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46"/>
        <w:gridCol w:w="3830"/>
      </w:tblGrid>
      <w:tr w:rsidR="00A65737" w:rsidRPr="00900466" w14:paraId="2A81F6E2" w14:textId="77777777" w:rsidTr="0BBC3317">
        <w:tc>
          <w:tcPr>
            <w:tcW w:w="10188" w:type="dxa"/>
          </w:tcPr>
          <w:p w14:paraId="085C9895" w14:textId="50912053" w:rsidR="00A65737" w:rsidRPr="00900466" w:rsidRDefault="006B6A44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>
              <w:rPr>
                <w:rFonts w:cs="Arial"/>
                <w:noProof/>
                <w:sz w:val="24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AFBD70B" wp14:editId="6C4D1F83">
                  <wp:simplePos x="0" y="0"/>
                  <wp:positionH relativeFrom="column">
                    <wp:posOffset>3906548</wp:posOffset>
                  </wp:positionH>
                  <wp:positionV relativeFrom="paragraph">
                    <wp:posOffset>-4445</wp:posOffset>
                  </wp:positionV>
                  <wp:extent cx="1645920" cy="8229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737" w:rsidRPr="00900466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3563BA2" w14:textId="5AFDAADF" w:rsidR="00A65737" w:rsidRPr="00900466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  <w:szCs w:val="22"/>
              </w:rPr>
            </w:pPr>
            <w:r w:rsidRPr="00900466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E3A95D5" w14:textId="6696CF28" w:rsidR="008A420F" w:rsidRPr="00900466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900466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962D1E">
              <w:rPr>
                <w:rFonts w:cs="Arial"/>
                <w:b w:val="0"/>
                <w:sz w:val="24"/>
                <w:szCs w:val="22"/>
              </w:rPr>
              <w:t>September</w:t>
            </w:r>
            <w:r w:rsidR="00BD1245" w:rsidRPr="00900466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962D1E">
              <w:rPr>
                <w:rFonts w:cs="Arial"/>
                <w:b w:val="0"/>
                <w:sz w:val="24"/>
                <w:szCs w:val="22"/>
              </w:rPr>
              <w:t>8</w:t>
            </w:r>
            <w:r w:rsidR="00BD1245" w:rsidRPr="00900466">
              <w:rPr>
                <w:rFonts w:cs="Arial"/>
                <w:b w:val="0"/>
                <w:sz w:val="24"/>
                <w:szCs w:val="22"/>
              </w:rPr>
              <w:t>, 2021</w:t>
            </w:r>
          </w:p>
        </w:tc>
        <w:tc>
          <w:tcPr>
            <w:tcW w:w="4212" w:type="dxa"/>
          </w:tcPr>
          <w:p w14:paraId="2893005F" w14:textId="4C1F8ED3" w:rsidR="00A65737" w:rsidRPr="00900466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1B70413" wp14:editId="15243B6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668145" cy="885825"/>
                  <wp:effectExtent l="0" t="0" r="8255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E902AF" w14:textId="77777777" w:rsidR="00A65737" w:rsidRPr="00900466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4418D176" w14:textId="77777777" w:rsidR="00A65737" w:rsidRPr="00900466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07286633" w14:textId="27598A99"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900466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900466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900466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3E56D32" w14:textId="1B5E6431"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900466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900466">
        <w:rPr>
          <w:rFonts w:cs="Arial"/>
          <w:bCs/>
          <w:color w:val="000000"/>
          <w:sz w:val="22"/>
          <w:szCs w:val="22"/>
        </w:rPr>
        <w:t>p</w:t>
      </w:r>
      <w:r w:rsidR="00B236DD" w:rsidRPr="00900466">
        <w:rPr>
          <w:rFonts w:cs="Arial"/>
          <w:bCs/>
          <w:color w:val="000000"/>
          <w:sz w:val="22"/>
          <w:szCs w:val="22"/>
        </w:rPr>
        <w:t>.</w:t>
      </w:r>
      <w:r w:rsidR="005B0F13" w:rsidRPr="00900466">
        <w:rPr>
          <w:rFonts w:cs="Arial"/>
          <w:bCs/>
          <w:color w:val="000000"/>
          <w:sz w:val="22"/>
          <w:szCs w:val="22"/>
        </w:rPr>
        <w:t>m</w:t>
      </w:r>
      <w:r w:rsidR="00B236DD" w:rsidRPr="00900466">
        <w:rPr>
          <w:rFonts w:cs="Arial"/>
          <w:bCs/>
          <w:color w:val="000000"/>
          <w:sz w:val="22"/>
          <w:szCs w:val="22"/>
        </w:rPr>
        <w:t>.</w:t>
      </w:r>
      <w:r w:rsidRPr="00900466">
        <w:rPr>
          <w:rFonts w:cs="Arial"/>
          <w:bCs/>
          <w:color w:val="000000"/>
          <w:sz w:val="22"/>
          <w:szCs w:val="22"/>
        </w:rPr>
        <w:t xml:space="preserve"> by </w:t>
      </w:r>
      <w:r w:rsidR="0032244D" w:rsidRPr="00900466">
        <w:rPr>
          <w:rFonts w:cs="Arial"/>
          <w:color w:val="000000"/>
          <w:sz w:val="22"/>
          <w:szCs w:val="22"/>
        </w:rPr>
        <w:t xml:space="preserve">Greg Low, </w:t>
      </w:r>
      <w:proofErr w:type="spellStart"/>
      <w:r w:rsidR="0032244D" w:rsidRPr="00900466">
        <w:rPr>
          <w:rFonts w:cs="Arial"/>
          <w:color w:val="000000"/>
          <w:sz w:val="22"/>
          <w:szCs w:val="22"/>
        </w:rPr>
        <w:t>RPh</w:t>
      </w:r>
      <w:proofErr w:type="spellEnd"/>
      <w:r w:rsidR="0032244D" w:rsidRPr="00900466">
        <w:rPr>
          <w:rFonts w:cs="Arial"/>
          <w:color w:val="000000"/>
          <w:sz w:val="22"/>
          <w:szCs w:val="22"/>
        </w:rPr>
        <w:t>, PhD</w:t>
      </w:r>
      <w:r w:rsidR="00F34E10">
        <w:rPr>
          <w:rFonts w:cs="Arial"/>
          <w:color w:val="000000"/>
          <w:sz w:val="22"/>
          <w:szCs w:val="22"/>
        </w:rPr>
        <w:t>.</w:t>
      </w:r>
    </w:p>
    <w:p w14:paraId="039AF9A0" w14:textId="15A3DF2A" w:rsidR="00A067DE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AB50AE0" w14:textId="17D98660" w:rsidR="00F277E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250D2C25" w14:textId="77777777" w:rsidR="00F277EB" w:rsidRPr="00900466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062740" w14:textId="25620942" w:rsidR="007A4F87" w:rsidRPr="00900466" w:rsidRDefault="00A067DE" w:rsidP="007A4F87">
      <w:pPr>
        <w:rPr>
          <w:rFonts w:cs="Arial"/>
          <w:color w:val="000000"/>
          <w:sz w:val="22"/>
          <w:szCs w:val="22"/>
        </w:rPr>
      </w:pPr>
      <w:r w:rsidRPr="0BBC3317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7A4F87" w:rsidRPr="0BBC3317">
        <w:rPr>
          <w:rFonts w:cs="Arial"/>
          <w:sz w:val="22"/>
          <w:szCs w:val="22"/>
        </w:rPr>
        <w:t xml:space="preserve">Melissa Coyle, PharmD; </w:t>
      </w:r>
      <w:r w:rsidR="0032244D" w:rsidRPr="0BBC3317">
        <w:rPr>
          <w:rFonts w:cs="Arial"/>
          <w:sz w:val="22"/>
          <w:szCs w:val="22"/>
        </w:rPr>
        <w:t xml:space="preserve">Kristopher DaCosta, PharmD; </w:t>
      </w:r>
      <w:r w:rsidR="004158D7" w:rsidRPr="00900466">
        <w:rPr>
          <w:rFonts w:cs="Arial"/>
          <w:color w:val="000000"/>
          <w:sz w:val="22"/>
          <w:szCs w:val="22"/>
        </w:rPr>
        <w:t>James Gagnon, RPh, PharmD;</w:t>
      </w:r>
      <w:r w:rsidR="004158D7" w:rsidRPr="0032244D">
        <w:rPr>
          <w:rFonts w:cs="Arial"/>
          <w:sz w:val="22"/>
          <w:szCs w:val="22"/>
        </w:rPr>
        <w:t xml:space="preserve"> </w:t>
      </w:r>
      <w:r w:rsidR="00C7301D" w:rsidRPr="0BBC3317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7A4F87" w:rsidRPr="0BBC3317">
        <w:rPr>
          <w:rFonts w:cs="Arial"/>
          <w:color w:val="000000" w:themeColor="text1"/>
          <w:sz w:val="22"/>
          <w:szCs w:val="22"/>
        </w:rPr>
        <w:t>Lori Lewicki, RPh;</w:t>
      </w:r>
      <w:r w:rsidR="007A4F87" w:rsidRPr="0BBC3317">
        <w:rPr>
          <w:rFonts w:cs="Arial"/>
          <w:sz w:val="22"/>
          <w:szCs w:val="22"/>
        </w:rPr>
        <w:t xml:space="preserve"> </w:t>
      </w:r>
      <w:bookmarkStart w:id="0" w:name="_Hlk74213401"/>
      <w:r w:rsidR="007A4F87" w:rsidRPr="0BBC3317">
        <w:rPr>
          <w:rFonts w:cs="Arial"/>
          <w:color w:val="000000" w:themeColor="text1"/>
          <w:sz w:val="22"/>
          <w:szCs w:val="22"/>
        </w:rPr>
        <w:t>Greg Low, R</w:t>
      </w:r>
      <w:r w:rsidR="00953AC7" w:rsidRPr="0BBC3317">
        <w:rPr>
          <w:rFonts w:cs="Arial"/>
          <w:color w:val="000000" w:themeColor="text1"/>
          <w:sz w:val="22"/>
          <w:szCs w:val="22"/>
        </w:rPr>
        <w:t>P</w:t>
      </w:r>
      <w:r w:rsidR="007A4F87" w:rsidRPr="0BBC3317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BBC3317">
        <w:rPr>
          <w:rFonts w:cs="Arial"/>
          <w:color w:val="000000" w:themeColor="text1"/>
          <w:sz w:val="22"/>
          <w:szCs w:val="22"/>
        </w:rPr>
        <w:t>;</w:t>
      </w:r>
      <w:r w:rsidR="007A4F87" w:rsidRPr="0BBC3317">
        <w:rPr>
          <w:rFonts w:cs="Arial"/>
          <w:color w:val="000000" w:themeColor="text1"/>
          <w:sz w:val="22"/>
          <w:szCs w:val="22"/>
        </w:rPr>
        <w:t xml:space="preserve"> </w:t>
      </w:r>
      <w:r w:rsidR="00962D1E" w:rsidRPr="00900466">
        <w:rPr>
          <w:rFonts w:cs="Arial"/>
          <w:sz w:val="22"/>
          <w:szCs w:val="22"/>
        </w:rPr>
        <w:t>Sarah M McGee, MD</w:t>
      </w:r>
      <w:r w:rsidR="00F324E6">
        <w:rPr>
          <w:rFonts w:cs="Arial"/>
          <w:sz w:val="22"/>
          <w:szCs w:val="22"/>
        </w:rPr>
        <w:t>;</w:t>
      </w:r>
      <w:r w:rsidR="00962D1E" w:rsidRPr="0032244D">
        <w:rPr>
          <w:rFonts w:cs="Arial"/>
          <w:color w:val="000000"/>
          <w:sz w:val="22"/>
          <w:szCs w:val="22"/>
        </w:rPr>
        <w:t xml:space="preserve"> </w:t>
      </w:r>
      <w:r w:rsidR="00C7301D" w:rsidRPr="0BBC3317">
        <w:rPr>
          <w:rFonts w:cs="Arial"/>
          <w:color w:val="000000" w:themeColor="text1"/>
          <w:sz w:val="22"/>
          <w:szCs w:val="22"/>
        </w:rPr>
        <w:t xml:space="preserve">Laura Spring, MD; </w:t>
      </w:r>
      <w:r w:rsidR="007A4F87" w:rsidRPr="0BBC3317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BBC3317">
        <w:rPr>
          <w:rFonts w:cs="Arial"/>
          <w:color w:val="000000" w:themeColor="text1"/>
          <w:sz w:val="22"/>
          <w:szCs w:val="22"/>
        </w:rPr>
        <w:t>, PhD</w:t>
      </w:r>
      <w:r w:rsidR="001160F1">
        <w:rPr>
          <w:rFonts w:cs="Arial"/>
          <w:color w:val="000000" w:themeColor="text1"/>
          <w:sz w:val="22"/>
          <w:szCs w:val="22"/>
        </w:rPr>
        <w:t>.</w:t>
      </w:r>
      <w:r w:rsidR="00C7301D" w:rsidRPr="0BBC3317">
        <w:rPr>
          <w:rFonts w:cs="Arial"/>
          <w:color w:val="000000" w:themeColor="text1"/>
          <w:sz w:val="22"/>
          <w:szCs w:val="22"/>
        </w:rPr>
        <w:t xml:space="preserve"> </w:t>
      </w:r>
    </w:p>
    <w:p w14:paraId="6CCA1515" w14:textId="77777777" w:rsidR="00A067DE" w:rsidRPr="00900466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B3707" w14:textId="379CE92F" w:rsidR="00401D9D" w:rsidRPr="00900466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>Absent:</w:t>
      </w:r>
      <w:r w:rsidRPr="00900466">
        <w:rPr>
          <w:rFonts w:cs="Arial"/>
          <w:bCs/>
          <w:color w:val="000000"/>
          <w:sz w:val="22"/>
          <w:szCs w:val="22"/>
        </w:rPr>
        <w:t xml:space="preserve"> </w:t>
      </w:r>
      <w:r w:rsidR="00F324E6" w:rsidRPr="0BBC3317">
        <w:rPr>
          <w:rFonts w:cs="Arial"/>
          <w:color w:val="000000" w:themeColor="text1"/>
          <w:sz w:val="22"/>
          <w:szCs w:val="22"/>
        </w:rPr>
        <w:t>Timothy Fensky, RPh;</w:t>
      </w:r>
      <w:r w:rsidR="00F324E6" w:rsidRPr="00F324E6">
        <w:rPr>
          <w:rFonts w:cs="Arial"/>
          <w:color w:val="000000"/>
          <w:sz w:val="22"/>
          <w:szCs w:val="22"/>
        </w:rPr>
        <w:t xml:space="preserve"> </w:t>
      </w:r>
      <w:r w:rsidR="00F324E6" w:rsidRPr="00900466">
        <w:rPr>
          <w:rFonts w:cs="Arial"/>
          <w:color w:val="000000"/>
          <w:sz w:val="22"/>
          <w:szCs w:val="22"/>
        </w:rPr>
        <w:t>Karen Ryle, MS, RPh;</w:t>
      </w:r>
      <w:r w:rsidR="00F324E6" w:rsidRPr="0032244D">
        <w:rPr>
          <w:rFonts w:cs="Arial"/>
          <w:bCs/>
          <w:color w:val="000000"/>
          <w:sz w:val="22"/>
          <w:szCs w:val="22"/>
        </w:rPr>
        <w:t xml:space="preserve"> </w:t>
      </w:r>
      <w:r w:rsidR="00F324E6" w:rsidRPr="00900466">
        <w:rPr>
          <w:rFonts w:cs="Arial"/>
          <w:bCs/>
          <w:color w:val="000000"/>
          <w:sz w:val="22"/>
          <w:szCs w:val="22"/>
        </w:rPr>
        <w:t>Michael Thompson, MD</w:t>
      </w:r>
    </w:p>
    <w:p w14:paraId="310F107B" w14:textId="77777777" w:rsidR="00C7301D" w:rsidRPr="00900466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12302925" w14:textId="77777777" w:rsidR="00EA3B98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 xml:space="preserve">Welcome and Introductory Remarks </w:t>
      </w:r>
    </w:p>
    <w:p w14:paraId="086283E8" w14:textId="77777777" w:rsidR="001B277C" w:rsidRDefault="00EA3B98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Minutes</w:t>
      </w:r>
      <w:r w:rsidR="00503EAB" w:rsidRPr="00900466">
        <w:rPr>
          <w:rFonts w:cs="Arial"/>
          <w:b w:val="0"/>
          <w:sz w:val="22"/>
          <w:szCs w:val="22"/>
        </w:rPr>
        <w:tab/>
      </w:r>
    </w:p>
    <w:p w14:paraId="62ED8363" w14:textId="77777777" w:rsidR="00D62CBD" w:rsidRDefault="001B277C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Pipeline Update</w:t>
      </w:r>
    </w:p>
    <w:p w14:paraId="2B5E8E33" w14:textId="77777777" w:rsidR="00EB2BB5" w:rsidRDefault="00D62CBD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Synagis (palivizumab) Modulators Quality Assurance Analysis</w:t>
      </w:r>
    </w:p>
    <w:p w14:paraId="0703007A" w14:textId="77777777" w:rsidR="00EB2BB5" w:rsidRDefault="00EB2BB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Obesity Treatment Update: A Clinical Overview of Wegovy (semaglutide)</w:t>
      </w:r>
    </w:p>
    <w:p w14:paraId="62948753" w14:textId="3F4C94F3" w:rsidR="00503EAB" w:rsidRPr="00900466" w:rsidRDefault="00EB2BB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Over</w:t>
      </w:r>
      <w:r w:rsidR="001160F1">
        <w:rPr>
          <w:rFonts w:cs="Arial"/>
          <w:b w:val="0"/>
          <w:sz w:val="22"/>
          <w:szCs w:val="22"/>
        </w:rPr>
        <w:t>-</w:t>
      </w:r>
      <w:r>
        <w:rPr>
          <w:rFonts w:cs="Arial"/>
          <w:b w:val="0"/>
          <w:sz w:val="22"/>
          <w:szCs w:val="22"/>
        </w:rPr>
        <w:t>the</w:t>
      </w:r>
      <w:r w:rsidR="001160F1">
        <w:rPr>
          <w:rFonts w:cs="Arial"/>
          <w:b w:val="0"/>
          <w:sz w:val="22"/>
          <w:szCs w:val="22"/>
        </w:rPr>
        <w:t>-</w:t>
      </w:r>
      <w:r>
        <w:rPr>
          <w:rFonts w:cs="Arial"/>
          <w:b w:val="0"/>
          <w:sz w:val="22"/>
          <w:szCs w:val="22"/>
        </w:rPr>
        <w:t>Counter Agents Quality Assurance Analysis</w:t>
      </w:r>
      <w:r w:rsidR="00503EAB" w:rsidRPr="00900466">
        <w:rPr>
          <w:rFonts w:cs="Arial"/>
          <w:b w:val="0"/>
          <w:sz w:val="22"/>
          <w:szCs w:val="22"/>
        </w:rPr>
        <w:tab/>
      </w:r>
      <w:r w:rsidR="00503EAB" w:rsidRPr="00900466">
        <w:rPr>
          <w:rFonts w:cs="Arial"/>
          <w:b w:val="0"/>
          <w:sz w:val="22"/>
          <w:szCs w:val="22"/>
        </w:rPr>
        <w:tab/>
        <w:t xml:space="preserve">  </w:t>
      </w:r>
      <w:r w:rsidR="00503EAB" w:rsidRPr="00900466">
        <w:rPr>
          <w:rFonts w:cs="Arial"/>
          <w:b w:val="0"/>
          <w:sz w:val="22"/>
          <w:szCs w:val="22"/>
        </w:rPr>
        <w:tab/>
      </w:r>
      <w:r w:rsidR="00503EAB" w:rsidRPr="00900466">
        <w:rPr>
          <w:rFonts w:cs="Arial"/>
          <w:b w:val="0"/>
          <w:sz w:val="22"/>
          <w:szCs w:val="22"/>
        </w:rPr>
        <w:tab/>
        <w:t xml:space="preserve">  </w:t>
      </w:r>
    </w:p>
    <w:p w14:paraId="03679C90" w14:textId="2A82A969"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MHDL Update</w:t>
      </w:r>
    </w:p>
    <w:p w14:paraId="520F3269" w14:textId="7A32F5FD"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Style w:val="Strong"/>
          <w:rFonts w:cs="Arial"/>
          <w:sz w:val="22"/>
          <w:szCs w:val="22"/>
        </w:rPr>
        <w:t>DUR Operational Update</w:t>
      </w:r>
    </w:p>
    <w:p w14:paraId="611551BA" w14:textId="6D0475BF" w:rsidR="00503EAB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MassHealth Update</w:t>
      </w:r>
    </w:p>
    <w:p w14:paraId="5F261EA4" w14:textId="5BAD0A05" w:rsidR="00EB2BB5" w:rsidRDefault="00EB2BB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Targeted Immunomodulators Quality Assurance Analysis</w:t>
      </w:r>
    </w:p>
    <w:p w14:paraId="1EEF8D81" w14:textId="4FF9783C" w:rsidR="00463907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0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E0979" w:rsidRPr="00602726" w14:paraId="04484E51" w14:textId="77777777" w:rsidTr="35AA636B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F39B106" w14:textId="77777777" w:rsidR="00CE0979" w:rsidRPr="00602726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3491616" w14:textId="77777777" w:rsidR="00CE0979" w:rsidRPr="00602726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60272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45E11AD7" w14:textId="77777777" w:rsidR="00CE0979" w:rsidRPr="00602726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7CF8391" w14:textId="77777777" w:rsidR="00CE0979" w:rsidRPr="00602726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  <w:r w:rsidRPr="0060272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EF74D3C" w14:textId="77777777" w:rsidR="00CE0979" w:rsidRPr="00602726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05ABE6E" w14:textId="77777777" w:rsidR="00CE0979" w:rsidRPr="00602726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  <w:r w:rsidRPr="0060272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E0979" w:rsidRPr="00602726" w14:paraId="48F4FBBE" w14:textId="77777777" w:rsidTr="35AA63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4F1306C" w14:textId="77777777" w:rsidR="00CE0979" w:rsidRPr="00602726" w:rsidRDefault="00CE0979" w:rsidP="00C87182">
            <w:pPr>
              <w:rPr>
                <w:rFonts w:cs="Arial"/>
                <w:sz w:val="22"/>
                <w:szCs w:val="22"/>
              </w:rPr>
            </w:pPr>
          </w:p>
          <w:p w14:paraId="13DB8584" w14:textId="77777777" w:rsidR="00CE0979" w:rsidRPr="00602726" w:rsidRDefault="00CE0979" w:rsidP="00C8718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2726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679DCA1B" w14:textId="77777777" w:rsidR="00CE0979" w:rsidRPr="00602726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465C7C87" w14:textId="77777777" w:rsidR="00CE0979" w:rsidRDefault="00CE0979" w:rsidP="00C8718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2A95A14" w14:textId="0F3677B5" w:rsidR="00CE0979" w:rsidRPr="002C2E5D" w:rsidRDefault="00CE0979" w:rsidP="00C87182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gramStart"/>
            <w:r w:rsidRPr="002C2E5D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EB2BB5" w:rsidRPr="002C2E5D">
              <w:rPr>
                <w:rFonts w:cs="Arial"/>
                <w:b w:val="0"/>
                <w:bCs w:val="0"/>
                <w:sz w:val="22"/>
                <w:szCs w:val="22"/>
              </w:rPr>
              <w:t>June 2021</w:t>
            </w:r>
            <w:r w:rsidR="00F34E10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Pr="002C2E5D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 </w:t>
            </w:r>
            <w:r w:rsidR="006445E0" w:rsidRPr="002C2E5D">
              <w:rPr>
                <w:rFonts w:cs="Arial"/>
                <w:b w:val="0"/>
                <w:bCs w:val="0"/>
                <w:sz w:val="22"/>
                <w:szCs w:val="22"/>
              </w:rPr>
              <w:t>Sarah M McGee, MD</w:t>
            </w:r>
            <w:r w:rsidR="006445E0" w:rsidRPr="002C2E5D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2C2E5D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2C2E5D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6445E0" w:rsidRPr="002C2E5D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James Gagnon, RPh, PharmD</w:t>
            </w:r>
            <w:r w:rsidR="002C2E5D" w:rsidRPr="002C2E5D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.</w:t>
            </w:r>
            <w:proofErr w:type="gramEnd"/>
          </w:p>
          <w:p w14:paraId="2B5F4DA5" w14:textId="25F185B6" w:rsidR="00CE0979" w:rsidRPr="00602726" w:rsidRDefault="00CE0979" w:rsidP="00EB2BB5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23272A2" w14:textId="77777777" w:rsidR="00CE0979" w:rsidRPr="00602726" w:rsidRDefault="00CE0979" w:rsidP="00C87182">
            <w:pPr>
              <w:rPr>
                <w:rFonts w:cs="Arial"/>
                <w:sz w:val="22"/>
                <w:szCs w:val="22"/>
              </w:rPr>
            </w:pPr>
          </w:p>
          <w:p w14:paraId="64647376" w14:textId="77777777" w:rsidR="00CE0979" w:rsidRPr="00602726" w:rsidRDefault="00CE0979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60272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CAE6210" w14:textId="77777777" w:rsidR="00CE0979" w:rsidRPr="00602726" w:rsidRDefault="00CE0979" w:rsidP="00C87182">
            <w:pPr>
              <w:rPr>
                <w:rFonts w:cs="Arial"/>
                <w:sz w:val="22"/>
                <w:szCs w:val="22"/>
              </w:rPr>
            </w:pPr>
            <w:r w:rsidRPr="00602726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6BFC0D5A" w14:textId="1E620324" w:rsidR="00D31B6C" w:rsidRDefault="00D31B6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11F3923" w14:textId="77777777" w:rsidR="00A64EFB" w:rsidRDefault="00A64EF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541BF002" w14:textId="789F900B" w:rsidR="00CE0979" w:rsidRDefault="00CE0979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1C65F84D" w14:textId="0EF350A8" w:rsidR="00EB2BB5" w:rsidRDefault="00EB2BB5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769F6BA" w14:textId="272B122B" w:rsidR="00EB2BB5" w:rsidRDefault="00EB2BB5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A64B1DF" w14:textId="44087EF8" w:rsidR="00EB2BB5" w:rsidRDefault="00EB2BB5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14FBCA76" w14:textId="77777777" w:rsidR="00EB2BB5" w:rsidRDefault="00EB2BB5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879750" w14:textId="77777777" w:rsidR="00A7354F" w:rsidRPr="00900466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E73F9" w:rsidRPr="00900466" w14:paraId="79EFEADF" w14:textId="77777777" w:rsidTr="003E73F9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6518303" w14:textId="77777777"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01BD1CB" w14:textId="77777777"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64C526D" w14:textId="77777777"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031F33" w14:textId="77777777" w:rsidR="003E73F9" w:rsidRPr="00900466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7D0CE41" w14:textId="77777777"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856E93" w14:textId="77777777" w:rsidR="003E73F9" w:rsidRPr="00900466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E73F9" w:rsidRPr="00900466" w14:paraId="46AF84E0" w14:textId="77777777" w:rsidTr="003E73F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9DAF5C5" w14:textId="77777777" w:rsidR="00D31B6C" w:rsidRDefault="00D31B6C" w:rsidP="00D31B6C">
            <w:pPr>
              <w:pStyle w:val="Title"/>
              <w:overflowPunct/>
              <w:autoSpaceDE/>
              <w:autoSpaceDN/>
              <w:adjustRightInd/>
              <w:ind w:left="64"/>
              <w:jc w:val="left"/>
              <w:rPr>
                <w:rFonts w:cs="Arial"/>
                <w:bCs w:val="0"/>
                <w:sz w:val="22"/>
                <w:szCs w:val="22"/>
              </w:rPr>
            </w:pPr>
          </w:p>
          <w:p w14:paraId="01D05281" w14:textId="21DD1C14" w:rsidR="00D31B6C" w:rsidRPr="00D31B6C" w:rsidRDefault="008906B9" w:rsidP="00D31B6C">
            <w:pPr>
              <w:pStyle w:val="Title"/>
              <w:overflowPunct/>
              <w:autoSpaceDE/>
              <w:autoSpaceDN/>
              <w:adjustRightInd/>
              <w:ind w:left="64"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Pipeline</w:t>
            </w:r>
            <w:r w:rsidR="00D55B6D">
              <w:rPr>
                <w:rFonts w:cs="Arial"/>
                <w:bCs w:val="0"/>
                <w:sz w:val="22"/>
                <w:szCs w:val="22"/>
              </w:rPr>
              <w:t xml:space="preserve"> Update</w:t>
            </w:r>
          </w:p>
          <w:p w14:paraId="4838F4F0" w14:textId="2C277C17" w:rsidR="003E73F9" w:rsidRPr="00900466" w:rsidRDefault="003E73F9" w:rsidP="00891E4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27CFA44" w14:textId="77777777" w:rsidR="00BD1245" w:rsidRPr="00900466" w:rsidRDefault="00BD1245" w:rsidP="003E73F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344697B" w14:textId="29C8309D" w:rsidR="00D31B6C" w:rsidRPr="00D31B6C" w:rsidRDefault="00D55B6D" w:rsidP="00D31B6C">
            <w:pPr>
              <w:pStyle w:val="Title"/>
              <w:overflowPunct/>
              <w:autoSpaceDE/>
              <w:autoSpaceDN/>
              <w:adjustRightInd/>
              <w:ind w:left="64"/>
              <w:jc w:val="left"/>
              <w:rPr>
                <w:rFonts w:cs="Arial"/>
                <w:bCs w:val="0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Pipeline Update</w:t>
            </w:r>
            <w:r w:rsidR="00D31B6C" w:rsidRPr="00D31B6C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D31B6C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33AF3">
              <w:rPr>
                <w:rFonts w:cs="Arial"/>
                <w:bCs w:val="0"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783668">
              <w:rPr>
                <w:rFonts w:cs="Arial"/>
                <w:bCs w:val="0"/>
                <w:sz w:val="22"/>
                <w:szCs w:val="22"/>
                <w:u w:val="single"/>
              </w:rPr>
              <w:t>Wilson Haong</w:t>
            </w:r>
          </w:p>
          <w:p w14:paraId="4C1964FE" w14:textId="16B1AF3B" w:rsidR="003E73F9" w:rsidRPr="00900466" w:rsidRDefault="005F43AF" w:rsidP="00D31B6C">
            <w:pPr>
              <w:ind w:left="64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Pipeline Update </w:t>
            </w:r>
            <w:r w:rsidR="00EB4C19">
              <w:rPr>
                <w:rFonts w:cs="Arial"/>
                <w:sz w:val="22"/>
                <w:szCs w:val="22"/>
              </w:rPr>
              <w:t>provided</w:t>
            </w:r>
            <w:r>
              <w:rPr>
                <w:rFonts w:cs="Arial"/>
                <w:sz w:val="22"/>
                <w:szCs w:val="22"/>
              </w:rPr>
              <w:t xml:space="preserve"> a brief overview of clinical and</w:t>
            </w:r>
            <w:r w:rsidR="001472D4">
              <w:rPr>
                <w:rFonts w:cs="Arial"/>
                <w:sz w:val="22"/>
                <w:szCs w:val="22"/>
              </w:rPr>
              <w:t xml:space="preserve">/or regulatory updates regarding select pharmaceutical pipeline agents in late-stage development. </w:t>
            </w:r>
          </w:p>
          <w:p w14:paraId="259415C5" w14:textId="74A7F5BF" w:rsidR="003E73F9" w:rsidRPr="00900466" w:rsidRDefault="003E73F9" w:rsidP="00891E41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D13F158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411EA173" w14:textId="77777777"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F248282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3E73F9" w:rsidRPr="00900466" w14:paraId="241847BA" w14:textId="77777777" w:rsidTr="003E73F9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689626F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6F922D17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5D8B35B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39D95E5B" w14:textId="63058CB8" w:rsidR="0082707F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1AEF03A" w14:textId="6EC4FC5C" w:rsidR="003035B2" w:rsidRPr="003035B2" w:rsidRDefault="0043614C" w:rsidP="003035B2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Palovarotene</w:t>
            </w:r>
          </w:p>
          <w:p w14:paraId="01C68341" w14:textId="501FDD5B" w:rsidR="003035B2" w:rsidRDefault="00691D69" w:rsidP="00EA3B9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Indication: </w:t>
            </w:r>
            <w:r w:rsidR="009238CB">
              <w:rPr>
                <w:rFonts w:ascii="Arial" w:hAnsi="Arial" w:cs="Arial"/>
                <w:sz w:val="22"/>
                <w:szCs w:val="22"/>
              </w:rPr>
              <w:t xml:space="preserve">Treatment of </w:t>
            </w:r>
            <w:r>
              <w:rPr>
                <w:rFonts w:ascii="Arial" w:hAnsi="Arial" w:cs="Arial"/>
                <w:sz w:val="22"/>
                <w:szCs w:val="22"/>
              </w:rPr>
              <w:t>fibrodysplasia ossificans of progressiva (FOP)</w:t>
            </w:r>
          </w:p>
          <w:p w14:paraId="717BBD94" w14:textId="366B3423" w:rsidR="006451EA" w:rsidRDefault="006451EA" w:rsidP="00EA3B9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Agent: New chemical entity</w:t>
            </w:r>
          </w:p>
          <w:p w14:paraId="49BBFA75" w14:textId="2B83F0EA" w:rsidR="006451EA" w:rsidRDefault="006451EA" w:rsidP="00EA3B9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MOA: Selective RARy agonist</w:t>
            </w:r>
          </w:p>
          <w:p w14:paraId="7FBE04AA" w14:textId="5CD020CE" w:rsidR="006451EA" w:rsidRDefault="006451EA" w:rsidP="00EA3B9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Manufacturer: Ipsen Pharma</w:t>
            </w:r>
          </w:p>
          <w:p w14:paraId="378774D9" w14:textId="6524E6D0" w:rsidR="006451EA" w:rsidRDefault="006451EA" w:rsidP="00EA3B9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FDA Designations</w:t>
            </w:r>
          </w:p>
          <w:p w14:paraId="53B7A5D5" w14:textId="64564AE1" w:rsidR="00506380" w:rsidRDefault="00506380" w:rsidP="0050638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Breakthrough Therapy</w:t>
            </w:r>
          </w:p>
          <w:p w14:paraId="5D839538" w14:textId="283B9ADE" w:rsidR="00506380" w:rsidRDefault="00506380" w:rsidP="0050638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Priority Review</w:t>
            </w:r>
          </w:p>
          <w:p w14:paraId="11B11057" w14:textId="551F89F8" w:rsidR="00506380" w:rsidRDefault="00506380" w:rsidP="0050638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Orphan Drug</w:t>
            </w:r>
          </w:p>
          <w:p w14:paraId="35FCCDCE" w14:textId="29AD7DA0" w:rsidR="00C11C71" w:rsidRDefault="00DE1C28" w:rsidP="00C11C71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Ipsen Pharma announced withdrawal of NDA with</w:t>
            </w:r>
            <w:r w:rsidR="00663008">
              <w:rPr>
                <w:rFonts w:ascii="Arial" w:hAnsi="Arial" w:cs="Arial"/>
                <w:sz w:val="22"/>
                <w:szCs w:val="22"/>
              </w:rPr>
              <w:t xml:space="preserve"> intention to resubmit (original PDUFA date of November 20, 2021).</w:t>
            </w:r>
          </w:p>
          <w:p w14:paraId="7FB92A74" w14:textId="40865ADC" w:rsidR="00663008" w:rsidRDefault="00235CE1" w:rsidP="00C11C71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Population:</w:t>
            </w:r>
            <w:r w:rsidR="00423FE4">
              <w:rPr>
                <w:rFonts w:ascii="Arial" w:hAnsi="Arial" w:cs="Arial"/>
                <w:sz w:val="22"/>
                <w:szCs w:val="22"/>
              </w:rPr>
              <w:t xml:space="preserve"> Patients of ≥</w:t>
            </w:r>
            <w:r w:rsidR="00F34E10">
              <w:rPr>
                <w:rFonts w:ascii="Arial" w:hAnsi="Arial" w:cs="Arial"/>
                <w:sz w:val="22"/>
                <w:szCs w:val="22"/>
              </w:rPr>
              <w:t xml:space="preserve"> four</w:t>
            </w:r>
            <w:r w:rsidR="00423FE4">
              <w:rPr>
                <w:rFonts w:ascii="Arial" w:hAnsi="Arial" w:cs="Arial"/>
                <w:sz w:val="22"/>
                <w:szCs w:val="22"/>
              </w:rPr>
              <w:t xml:space="preserve"> years old with FOP</w:t>
            </w:r>
            <w:r w:rsidR="00195BD5">
              <w:rPr>
                <w:rFonts w:ascii="Arial" w:hAnsi="Arial" w:cs="Arial"/>
                <w:sz w:val="22"/>
                <w:szCs w:val="22"/>
              </w:rPr>
              <w:t xml:space="preserve"> who have no flare-up symptoms within the past four weeks. </w:t>
            </w:r>
          </w:p>
          <w:p w14:paraId="24DF1495" w14:textId="7D5875D2" w:rsidR="00195BD5" w:rsidRDefault="0018259A" w:rsidP="00C11C71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Administration: Chronic (5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mg</w:t>
            </w:r>
            <w:r w:rsidR="00D02976">
              <w:rPr>
                <w:rFonts w:ascii="Arial" w:hAnsi="Arial" w:cs="Arial"/>
                <w:sz w:val="22"/>
                <w:szCs w:val="22"/>
              </w:rPr>
              <w:t xml:space="preserve"> QD) and episodic </w:t>
            </w:r>
            <w:r w:rsidR="00D041A8">
              <w:rPr>
                <w:rFonts w:ascii="Arial" w:hAnsi="Arial" w:cs="Arial"/>
                <w:sz w:val="22"/>
                <w:szCs w:val="22"/>
              </w:rPr>
              <w:t>(</w:t>
            </w:r>
            <w:r w:rsidR="00D02976">
              <w:rPr>
                <w:rFonts w:ascii="Arial" w:hAnsi="Arial" w:cs="Arial"/>
                <w:sz w:val="22"/>
                <w:szCs w:val="22"/>
              </w:rPr>
              <w:t>20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976">
              <w:rPr>
                <w:rFonts w:ascii="Arial" w:hAnsi="Arial" w:cs="Arial"/>
                <w:sz w:val="22"/>
                <w:szCs w:val="22"/>
              </w:rPr>
              <w:t>m</w:t>
            </w:r>
            <w:r w:rsidR="00D041A8">
              <w:rPr>
                <w:rFonts w:ascii="Arial" w:hAnsi="Arial" w:cs="Arial"/>
                <w:sz w:val="22"/>
                <w:szCs w:val="22"/>
              </w:rPr>
              <w:t>g</w:t>
            </w:r>
            <w:r w:rsidR="00D02976">
              <w:rPr>
                <w:rFonts w:ascii="Arial" w:hAnsi="Arial" w:cs="Arial"/>
                <w:sz w:val="22"/>
                <w:szCs w:val="22"/>
              </w:rPr>
              <w:t xml:space="preserve"> QD x four weeks</w:t>
            </w:r>
            <w:r w:rsidR="00330E12">
              <w:rPr>
                <w:rFonts w:ascii="Arial" w:hAnsi="Arial" w:cs="Arial"/>
                <w:sz w:val="22"/>
                <w:szCs w:val="22"/>
              </w:rPr>
              <w:t>, followed by 10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E12">
              <w:rPr>
                <w:rFonts w:ascii="Arial" w:hAnsi="Arial" w:cs="Arial"/>
                <w:sz w:val="22"/>
                <w:szCs w:val="22"/>
              </w:rPr>
              <w:t>mg QD for ≥</w:t>
            </w:r>
            <w:r w:rsidR="00F34E10">
              <w:rPr>
                <w:rFonts w:ascii="Arial" w:hAnsi="Arial" w:cs="Arial"/>
                <w:sz w:val="22"/>
                <w:szCs w:val="22"/>
              </w:rPr>
              <w:t xml:space="preserve"> eight</w:t>
            </w:r>
            <w:r w:rsidR="00330E12">
              <w:rPr>
                <w:rFonts w:ascii="Arial" w:hAnsi="Arial" w:cs="Arial"/>
                <w:sz w:val="22"/>
                <w:szCs w:val="22"/>
              </w:rPr>
              <w:t xml:space="preserve"> weeks)</w:t>
            </w:r>
            <w:r w:rsidR="001267AF">
              <w:rPr>
                <w:rFonts w:ascii="Arial" w:hAnsi="Arial" w:cs="Arial"/>
                <w:sz w:val="22"/>
                <w:szCs w:val="22"/>
              </w:rPr>
              <w:t xml:space="preserve"> regimen for 24 months.</w:t>
            </w:r>
          </w:p>
          <w:p w14:paraId="53E43528" w14:textId="0BA81EB4" w:rsidR="00F433F4" w:rsidRDefault="00F433F4" w:rsidP="00C11C71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Impact</w:t>
            </w:r>
          </w:p>
          <w:p w14:paraId="4BAE9A6F" w14:textId="4CA564AE" w:rsidR="00F433F4" w:rsidRDefault="001A5D6E" w:rsidP="00F433F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Epidemiology: FOP affects 1.36 million individuals</w:t>
            </w:r>
            <w:r w:rsidR="0067143A">
              <w:rPr>
                <w:rFonts w:ascii="Arial" w:hAnsi="Arial" w:cs="Arial"/>
                <w:sz w:val="22"/>
                <w:szCs w:val="22"/>
              </w:rPr>
              <w:t>; cases vary by country.</w:t>
            </w:r>
          </w:p>
          <w:p w14:paraId="001439B6" w14:textId="2B144B71" w:rsidR="0067143A" w:rsidRDefault="0067143A" w:rsidP="00F433F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Treatment Options: There are no treatment options to prevent</w:t>
            </w:r>
            <w:r w:rsidR="00435EF1">
              <w:rPr>
                <w:rFonts w:ascii="Arial" w:hAnsi="Arial" w:cs="Arial"/>
                <w:sz w:val="22"/>
                <w:szCs w:val="22"/>
              </w:rPr>
              <w:t xml:space="preserve"> or reverse the ossification associated with FOP.</w:t>
            </w:r>
          </w:p>
          <w:p w14:paraId="449EF60F" w14:textId="68CC6A90" w:rsidR="00435EF1" w:rsidRDefault="00435EF1" w:rsidP="00F433F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in Therapy: Palovarotene may be the first agent approved for the treatment of FOP.</w:t>
            </w:r>
          </w:p>
          <w:p w14:paraId="5D460F19" w14:textId="43D94B4F" w:rsidR="00FC31C5" w:rsidRDefault="00FC31C5" w:rsidP="00FC31C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Donanemab</w:t>
            </w:r>
          </w:p>
          <w:p w14:paraId="738812C5" w14:textId="0B576618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Indication: Treatment of </w:t>
            </w:r>
            <w:r w:rsidR="004F0FCF">
              <w:rPr>
                <w:rFonts w:ascii="Arial" w:hAnsi="Arial" w:cs="Arial"/>
                <w:sz w:val="22"/>
                <w:szCs w:val="22"/>
              </w:rPr>
              <w:t>Alzheimer’s disease</w:t>
            </w:r>
          </w:p>
          <w:p w14:paraId="4644FC23" w14:textId="77777777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Agent: New chemical entity</w:t>
            </w:r>
          </w:p>
          <w:p w14:paraId="5F89AC32" w14:textId="186DBDC4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MOA: </w:t>
            </w:r>
            <w:r w:rsidR="004F0FCF">
              <w:rPr>
                <w:rFonts w:ascii="Arial" w:hAnsi="Arial" w:cs="Arial"/>
                <w:sz w:val="22"/>
                <w:szCs w:val="22"/>
              </w:rPr>
              <w:t>Anti-amyloid monoclonal antibody</w:t>
            </w:r>
          </w:p>
          <w:p w14:paraId="3F9FE011" w14:textId="6AA31B3B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Manufacturer: </w:t>
            </w:r>
            <w:r w:rsidR="004F0FCF">
              <w:rPr>
                <w:rFonts w:ascii="Arial" w:hAnsi="Arial" w:cs="Arial"/>
                <w:sz w:val="22"/>
                <w:szCs w:val="22"/>
              </w:rPr>
              <w:t>Eli Lil</w:t>
            </w:r>
            <w:r w:rsidR="00064788">
              <w:rPr>
                <w:rFonts w:ascii="Arial" w:hAnsi="Arial" w:cs="Arial"/>
                <w:sz w:val="22"/>
                <w:szCs w:val="22"/>
              </w:rPr>
              <w:t>l</w:t>
            </w:r>
            <w:r w:rsidR="004F0FCF">
              <w:rPr>
                <w:rFonts w:ascii="Arial" w:hAnsi="Arial" w:cs="Arial"/>
                <w:sz w:val="22"/>
                <w:szCs w:val="22"/>
              </w:rPr>
              <w:t>y and Company</w:t>
            </w:r>
          </w:p>
          <w:p w14:paraId="7363C736" w14:textId="77777777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FDA Designations</w:t>
            </w:r>
          </w:p>
          <w:p w14:paraId="55DE570E" w14:textId="77777777" w:rsidR="00931C3B" w:rsidRDefault="00931C3B" w:rsidP="00931C3B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Breakthrough Therapy</w:t>
            </w:r>
          </w:p>
          <w:p w14:paraId="628EDDA6" w14:textId="52321495" w:rsidR="00931C3B" w:rsidRDefault="00064788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 Lilly</w:t>
            </w:r>
            <w:r w:rsidR="003B0BA9">
              <w:rPr>
                <w:rFonts w:ascii="Arial" w:hAnsi="Arial" w:cs="Arial"/>
                <w:sz w:val="22"/>
                <w:szCs w:val="22"/>
              </w:rPr>
              <w:t xml:space="preserve"> plans to submit a BLA under the accelerated approval pathway later this year</w:t>
            </w:r>
          </w:p>
          <w:p w14:paraId="1DDA059E" w14:textId="1A6CBF2A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Population: </w:t>
            </w:r>
            <w:r w:rsidR="003B0BA9">
              <w:rPr>
                <w:rFonts w:ascii="Arial" w:hAnsi="Arial" w:cs="Arial"/>
                <w:sz w:val="22"/>
                <w:szCs w:val="22"/>
              </w:rPr>
              <w:t xml:space="preserve">Patients aged 60 to 85 years </w:t>
            </w:r>
            <w:r w:rsidR="00DF009F">
              <w:rPr>
                <w:rFonts w:ascii="Arial" w:hAnsi="Arial" w:cs="Arial"/>
                <w:sz w:val="22"/>
                <w:szCs w:val="22"/>
              </w:rPr>
              <w:t xml:space="preserve">who had prodromal Alzheimer’s disease or mild Alzheimer’s disease with </w:t>
            </w:r>
            <w:r w:rsidR="00B802F4">
              <w:rPr>
                <w:rFonts w:ascii="Arial" w:hAnsi="Arial" w:cs="Arial"/>
                <w:sz w:val="22"/>
                <w:szCs w:val="22"/>
              </w:rPr>
              <w:t>dementia and</w:t>
            </w:r>
            <w:r w:rsidR="00137E53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="008850DD">
              <w:rPr>
                <w:rFonts w:ascii="Arial" w:hAnsi="Arial" w:cs="Arial"/>
                <w:sz w:val="22"/>
                <w:szCs w:val="22"/>
              </w:rPr>
              <w:t xml:space="preserve"> had a MMSE score of 20 to 28.</w:t>
            </w:r>
          </w:p>
          <w:p w14:paraId="50164FD8" w14:textId="5EF91327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Administration: </w:t>
            </w:r>
            <w:r w:rsidR="008850DD">
              <w:rPr>
                <w:rFonts w:ascii="Arial" w:hAnsi="Arial" w:cs="Arial"/>
                <w:sz w:val="22"/>
                <w:szCs w:val="22"/>
              </w:rPr>
              <w:t xml:space="preserve">Intravenous </w:t>
            </w:r>
            <w:proofErr w:type="spellStart"/>
            <w:r w:rsidR="008850DD">
              <w:rPr>
                <w:rFonts w:ascii="Arial" w:hAnsi="Arial" w:cs="Arial"/>
                <w:sz w:val="22"/>
                <w:szCs w:val="22"/>
              </w:rPr>
              <w:t>dona</w:t>
            </w:r>
            <w:r w:rsidR="00B802F4">
              <w:rPr>
                <w:rFonts w:ascii="Arial" w:hAnsi="Arial" w:cs="Arial"/>
                <w:sz w:val="22"/>
                <w:szCs w:val="22"/>
              </w:rPr>
              <w:t>nemab</w:t>
            </w:r>
            <w:proofErr w:type="spellEnd"/>
            <w:r w:rsidR="00B802F4">
              <w:rPr>
                <w:rFonts w:ascii="Arial" w:hAnsi="Arial" w:cs="Arial"/>
                <w:sz w:val="22"/>
                <w:szCs w:val="22"/>
              </w:rPr>
              <w:t xml:space="preserve"> (700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2F4">
              <w:rPr>
                <w:rFonts w:ascii="Arial" w:hAnsi="Arial" w:cs="Arial"/>
                <w:sz w:val="22"/>
                <w:szCs w:val="22"/>
              </w:rPr>
              <w:t>mg for the first three doses and 1,400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2F4">
              <w:rPr>
                <w:rFonts w:ascii="Arial" w:hAnsi="Arial" w:cs="Arial"/>
                <w:sz w:val="22"/>
                <w:szCs w:val="22"/>
              </w:rPr>
              <w:t xml:space="preserve">mg thereafter) every four weeks for </w:t>
            </w:r>
            <w:r w:rsidR="00A64EFB">
              <w:rPr>
                <w:rFonts w:ascii="Arial" w:hAnsi="Arial" w:cs="Arial"/>
                <w:sz w:val="22"/>
                <w:szCs w:val="22"/>
              </w:rPr>
              <w:t>up</w:t>
            </w:r>
            <w:r w:rsidR="00B802F4">
              <w:rPr>
                <w:rFonts w:ascii="Arial" w:hAnsi="Arial" w:cs="Arial"/>
                <w:sz w:val="22"/>
                <w:szCs w:val="22"/>
              </w:rPr>
              <w:t xml:space="preserve"> to 72 weeks.</w:t>
            </w:r>
          </w:p>
          <w:p w14:paraId="0301FC52" w14:textId="77777777" w:rsidR="00931C3B" w:rsidRDefault="00931C3B" w:rsidP="00931C3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Impact</w:t>
            </w:r>
          </w:p>
          <w:p w14:paraId="7E398A03" w14:textId="454961E8" w:rsidR="00931C3B" w:rsidRDefault="00931C3B" w:rsidP="00931C3B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Epidemiology: </w:t>
            </w:r>
            <w:r w:rsidR="002E2771">
              <w:rPr>
                <w:rFonts w:ascii="Arial" w:hAnsi="Arial" w:cs="Arial"/>
                <w:sz w:val="22"/>
                <w:szCs w:val="22"/>
              </w:rPr>
              <w:t>There are approximately 130,00</w:t>
            </w:r>
            <w:r w:rsidR="00F34E10">
              <w:rPr>
                <w:rFonts w:ascii="Arial" w:hAnsi="Arial" w:cs="Arial"/>
                <w:sz w:val="22"/>
                <w:szCs w:val="22"/>
              </w:rPr>
              <w:t>0</w:t>
            </w:r>
            <w:r w:rsidR="002E277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E2771">
              <w:rPr>
                <w:rFonts w:ascii="Arial" w:hAnsi="Arial" w:cs="Arial"/>
                <w:sz w:val="22"/>
                <w:szCs w:val="22"/>
              </w:rPr>
              <w:t>patients</w:t>
            </w:r>
            <w:proofErr w:type="gramEnd"/>
            <w:r w:rsidR="002E2771">
              <w:rPr>
                <w:rFonts w:ascii="Arial" w:hAnsi="Arial" w:cs="Arial"/>
                <w:sz w:val="22"/>
                <w:szCs w:val="22"/>
              </w:rPr>
              <w:t xml:space="preserve"> ≥</w:t>
            </w:r>
            <w:r w:rsidR="00F34E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771">
              <w:rPr>
                <w:rFonts w:ascii="Arial" w:hAnsi="Arial" w:cs="Arial"/>
                <w:sz w:val="22"/>
                <w:szCs w:val="22"/>
              </w:rPr>
              <w:t xml:space="preserve">65 years old with </w:t>
            </w:r>
            <w:r w:rsidR="00A75247">
              <w:rPr>
                <w:rFonts w:ascii="Arial" w:hAnsi="Arial" w:cs="Arial"/>
                <w:sz w:val="22"/>
                <w:szCs w:val="22"/>
              </w:rPr>
              <w:t>Alzheimer’s</w:t>
            </w:r>
            <w:r w:rsidR="00F06D9D">
              <w:rPr>
                <w:rFonts w:ascii="Arial" w:hAnsi="Arial" w:cs="Arial"/>
                <w:sz w:val="22"/>
                <w:szCs w:val="22"/>
              </w:rPr>
              <w:t xml:space="preserve"> dementia in Massachusetts.</w:t>
            </w:r>
          </w:p>
          <w:p w14:paraId="4AAF12F0" w14:textId="1AE051B6" w:rsidR="00F06D9D" w:rsidRDefault="009F70B8" w:rsidP="00F06D9D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Projected </w:t>
            </w:r>
            <w:r w:rsidR="00123456">
              <w:rPr>
                <w:rFonts w:ascii="Arial" w:hAnsi="Arial" w:cs="Arial"/>
                <w:sz w:val="22"/>
                <w:szCs w:val="22"/>
              </w:rPr>
              <w:t>to be 150,000 in 2025</w:t>
            </w:r>
          </w:p>
          <w:p w14:paraId="00708617" w14:textId="66C05A42" w:rsidR="00931C3B" w:rsidRPr="00123456" w:rsidRDefault="00931C3B" w:rsidP="00123456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Treatment Options: </w:t>
            </w:r>
            <w:r w:rsidR="00123456" w:rsidRPr="00123456">
              <w:rPr>
                <w:rFonts w:ascii="Arial" w:hAnsi="Arial" w:cs="Arial"/>
                <w:sz w:val="22"/>
                <w:szCs w:val="22"/>
              </w:rPr>
              <w:t>While treatments are available that can ameliorate some symptoms of the illness, there is no cure currently available, and the disease inevitably progresses in all patients</w:t>
            </w:r>
            <w:r w:rsidR="001234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594B72" w14:textId="01DAC6F6" w:rsidR="00891E41" w:rsidRPr="00607580" w:rsidRDefault="00931C3B" w:rsidP="0060758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10F2A">
              <w:rPr>
                <w:rFonts w:ascii="Arial" w:hAnsi="Arial" w:cs="Arial"/>
                <w:sz w:val="22"/>
                <w:szCs w:val="22"/>
              </w:rPr>
              <w:t xml:space="preserve">Place in Therapy: </w:t>
            </w:r>
            <w:r w:rsidR="00F10F2A" w:rsidRPr="00F10F2A">
              <w:rPr>
                <w:rFonts w:ascii="Arial" w:hAnsi="Arial" w:cs="Arial"/>
                <w:sz w:val="22"/>
                <w:szCs w:val="22"/>
              </w:rPr>
              <w:t>Donanemab may be the second anti-amyloid monoclonal antibody to be approved for the treatment of Alzheimer’s disease; however, there are multiple anti-amyloid antibodies undergoing phase III studies.</w:t>
            </w:r>
          </w:p>
          <w:p w14:paraId="3048FA82" w14:textId="7DD389C5" w:rsidR="00131DD9" w:rsidRPr="00900466" w:rsidRDefault="00131DD9" w:rsidP="00131DD9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Questions</w:t>
            </w:r>
          </w:p>
          <w:p w14:paraId="09747C3B" w14:textId="03B86A30" w:rsidR="00236EAB" w:rsidRDefault="00F553EC" w:rsidP="00607580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inquired about </w:t>
            </w:r>
            <w:r w:rsidR="00A8185B">
              <w:rPr>
                <w:rFonts w:ascii="Arial" w:hAnsi="Arial" w:cs="Arial"/>
                <w:sz w:val="22"/>
                <w:szCs w:val="22"/>
              </w:rPr>
              <w:t xml:space="preserve">speculations </w:t>
            </w:r>
            <w:r w:rsidR="00232C37">
              <w:rPr>
                <w:rFonts w:ascii="Arial" w:hAnsi="Arial" w:cs="Arial"/>
                <w:sz w:val="22"/>
                <w:szCs w:val="22"/>
              </w:rPr>
              <w:t>whether the approval of</w:t>
            </w:r>
            <w:r w:rsidR="00A818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52B9">
              <w:rPr>
                <w:rFonts w:ascii="Arial" w:hAnsi="Arial" w:cs="Arial"/>
                <w:sz w:val="22"/>
                <w:szCs w:val="22"/>
              </w:rPr>
              <w:t xml:space="preserve">aducanumab </w:t>
            </w:r>
            <w:r w:rsidR="00232C37">
              <w:rPr>
                <w:rFonts w:ascii="Arial" w:hAnsi="Arial" w:cs="Arial"/>
                <w:sz w:val="22"/>
                <w:szCs w:val="22"/>
              </w:rPr>
              <w:t xml:space="preserve">opened or closed the door </w:t>
            </w:r>
            <w:r w:rsidR="00D074F8">
              <w:rPr>
                <w:rFonts w:ascii="Arial" w:hAnsi="Arial" w:cs="Arial"/>
                <w:sz w:val="22"/>
                <w:szCs w:val="22"/>
              </w:rPr>
              <w:t>for Donanemab</w:t>
            </w:r>
            <w:r w:rsidR="00187A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C37">
              <w:rPr>
                <w:rFonts w:ascii="Arial" w:hAnsi="Arial" w:cs="Arial"/>
                <w:sz w:val="22"/>
                <w:szCs w:val="22"/>
              </w:rPr>
              <w:t>comparing to what is on the market.</w:t>
            </w:r>
            <w:r w:rsidR="002D5B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E5877" w14:textId="15AAF58D" w:rsidR="00D074F8" w:rsidRPr="00900466" w:rsidRDefault="00187ACD" w:rsidP="00607580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Hoang responded </w:t>
            </w:r>
            <w:r w:rsidR="004230BE">
              <w:rPr>
                <w:rFonts w:ascii="Arial" w:hAnsi="Arial" w:cs="Arial"/>
                <w:sz w:val="22"/>
                <w:szCs w:val="22"/>
              </w:rPr>
              <w:t xml:space="preserve">that it opened the approval process because it set the precedent.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404BC0D" w14:textId="77777777"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34AF0B00" w14:textId="77777777"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A45D565" w14:textId="77777777"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AFCDF87" w14:textId="2551475D" w:rsidR="003E73F9" w:rsidRPr="00900466" w:rsidRDefault="003E73F9" w:rsidP="00D20CB4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6F5E50C8" w14:textId="384A751B" w:rsidR="00736E7F" w:rsidRPr="00900466" w:rsidRDefault="00736E7F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14:paraId="1B05D969" w14:textId="77777777" w:rsidTr="00772118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98AF555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2F28E6E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4E4EDB04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35061D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7386253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920D130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14:paraId="2A74FC5F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A7242BF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14:paraId="677AA2DA" w14:textId="4BE2C3E7" w:rsidR="00891E41" w:rsidRDefault="00C12FDC" w:rsidP="0077211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Synagis (</w:t>
            </w:r>
            <w:r w:rsidR="001A7806">
              <w:rPr>
                <w:rFonts w:cs="Arial"/>
                <w:b/>
                <w:sz w:val="22"/>
                <w:szCs w:val="22"/>
              </w:rPr>
              <w:t>palivizumab) Modulators Quality Assurance Analysis</w:t>
            </w:r>
          </w:p>
          <w:p w14:paraId="1C777CAB" w14:textId="5E83204A" w:rsidR="00D31B6C" w:rsidRPr="00900466" w:rsidRDefault="00D31B6C" w:rsidP="0077211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F67973" w14:textId="77777777" w:rsidR="00891E41" w:rsidRPr="00900466" w:rsidRDefault="00891E41" w:rsidP="0077211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0B54D31" w14:textId="77777777" w:rsidR="00891E41" w:rsidRPr="00900466" w:rsidRDefault="00891E41" w:rsidP="0077211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B4A7C07" w14:textId="425AA066" w:rsidR="00D31B6C" w:rsidRPr="00D31B6C" w:rsidRDefault="001A7806" w:rsidP="00D31B6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Synagis</w:t>
            </w:r>
            <w:r w:rsidR="00A436CF">
              <w:rPr>
                <w:rFonts w:cs="Arial"/>
                <w:b/>
                <w:sz w:val="22"/>
                <w:szCs w:val="22"/>
                <w:u w:val="single"/>
              </w:rPr>
              <w:t xml:space="preserve"> (palivizumab) Modulators Quality Assurance Analysis</w:t>
            </w:r>
            <w:r w:rsidR="00D31B6C">
              <w:rPr>
                <w:rFonts w:cs="Arial"/>
                <w:b/>
                <w:sz w:val="22"/>
                <w:szCs w:val="22"/>
                <w:u w:val="single"/>
              </w:rPr>
              <w:t xml:space="preserve"> by </w:t>
            </w:r>
            <w:r w:rsidR="00033AF3">
              <w:rPr>
                <w:rFonts w:cs="Arial"/>
                <w:b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D31B6C">
              <w:rPr>
                <w:rFonts w:cs="Arial"/>
                <w:b/>
                <w:sz w:val="22"/>
                <w:szCs w:val="22"/>
                <w:u w:val="single"/>
              </w:rPr>
              <w:t>Warren Smith</w:t>
            </w:r>
          </w:p>
          <w:p w14:paraId="409DF5A3" w14:textId="20984424" w:rsidR="00D7509E" w:rsidRPr="006251AB" w:rsidRDefault="00800068" w:rsidP="006251AB">
            <w:pPr>
              <w:pStyle w:val="BodyText"/>
              <w:kinsoku w:val="0"/>
              <w:overflowPunct w:val="0"/>
              <w:spacing w:line="259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overview </w:t>
            </w:r>
            <w:r w:rsidR="00EB4C19">
              <w:rPr>
                <w:rFonts w:ascii="Arial" w:hAnsi="Arial" w:cs="Arial"/>
                <w:sz w:val="22"/>
                <w:szCs w:val="22"/>
              </w:rPr>
              <w:t>was</w:t>
            </w:r>
            <w:r>
              <w:rPr>
                <w:rFonts w:ascii="Arial" w:hAnsi="Arial" w:cs="Arial"/>
                <w:sz w:val="22"/>
                <w:szCs w:val="22"/>
              </w:rPr>
              <w:t xml:space="preserve"> an evaluation of current medical literature and will provide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6E54549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249FB78B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E5127EA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94B44" w:rsidRPr="00900466" w14:paraId="1A7578BF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502A379" w14:textId="77777777"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14:paraId="3146466E" w14:textId="77777777"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94938F1" w14:textId="77777777"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14:paraId="391A6C63" w14:textId="77777777"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D3E8DA0" w14:textId="35F0F6E9" w:rsidR="00EA3B98" w:rsidRDefault="003C0DE6" w:rsidP="0012685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Guidelines and Criteria</w:t>
            </w:r>
          </w:p>
          <w:p w14:paraId="783D2B19" w14:textId="07B49F7C" w:rsidR="00EC50EC" w:rsidRDefault="005D4D5E" w:rsidP="00EC50E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Indication:</w:t>
            </w:r>
            <w:r w:rsidR="00D317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Prevention of Serious LRTI caused by RSV in high-risk children</w:t>
            </w:r>
          </w:p>
          <w:p w14:paraId="375701EF" w14:textId="1460A885" w:rsidR="00D3174D" w:rsidRDefault="00D3174D" w:rsidP="00EC50E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Dosing: 15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mg/kg IM once monthly</w:t>
            </w:r>
            <w:r w:rsidR="00506DE5">
              <w:rPr>
                <w:rFonts w:ascii="Arial" w:hAnsi="Arial" w:cs="Arial"/>
                <w:sz w:val="22"/>
                <w:szCs w:val="22"/>
              </w:rPr>
              <w:t xml:space="preserve"> for a maximum of five doses per season</w:t>
            </w:r>
          </w:p>
          <w:p w14:paraId="6E724361" w14:textId="545E4043" w:rsidR="00035EE0" w:rsidRDefault="001C00E9" w:rsidP="00EC50E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American Academy of Pediatrics Guidelines (2014)</w:t>
            </w:r>
          </w:p>
          <w:p w14:paraId="4AA0D0AB" w14:textId="0E5D4883" w:rsidR="00035EE0" w:rsidRDefault="00035EE0" w:rsidP="00035EE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High-risk Infants </w:t>
            </w:r>
          </w:p>
          <w:p w14:paraId="2BB383F6" w14:textId="69CF18D9" w:rsidR="00035EE0" w:rsidRDefault="00240339" w:rsidP="00240339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CLD</w:t>
            </w:r>
          </w:p>
          <w:p w14:paraId="48F924AF" w14:textId="0ECC5720" w:rsidR="00240339" w:rsidRDefault="00240339" w:rsidP="00240339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CHD</w:t>
            </w:r>
          </w:p>
          <w:p w14:paraId="503721BE" w14:textId="77A0F10F" w:rsidR="00240339" w:rsidRDefault="00240339" w:rsidP="00240339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Compromised Immune Systems</w:t>
            </w:r>
          </w:p>
          <w:p w14:paraId="23D86FE6" w14:textId="0976273D" w:rsidR="00240339" w:rsidRDefault="00240339" w:rsidP="00240339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Prematurity</w:t>
            </w:r>
          </w:p>
          <w:p w14:paraId="14CBFC1F" w14:textId="39896045" w:rsidR="00240339" w:rsidRDefault="00DE7E78" w:rsidP="00240339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MassHealth Criteria</w:t>
            </w:r>
          </w:p>
          <w:p w14:paraId="663EFC86" w14:textId="615CB29C" w:rsidR="008D7708" w:rsidRDefault="008D7708" w:rsidP="008D770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Aligns with AAP guidelines</w:t>
            </w:r>
          </w:p>
          <w:p w14:paraId="3C3CF31F" w14:textId="22FF696A" w:rsidR="008D7708" w:rsidRPr="00240339" w:rsidRDefault="008D7708" w:rsidP="008D770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 the QA analysis from 2019-2020 season, there were no proposed changes to the criteria.</w:t>
            </w:r>
          </w:p>
          <w:p w14:paraId="196BE542" w14:textId="07386DA4" w:rsidR="00506DE5" w:rsidRDefault="009D316E" w:rsidP="00506DE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Respiratory and Enteric Virus Surveillance System</w:t>
            </w:r>
            <w:r w:rsidR="0054733A">
              <w:rPr>
                <w:rFonts w:ascii="Arial" w:hAnsi="Arial" w:cs="Arial"/>
                <w:sz w:val="22"/>
                <w:szCs w:val="22"/>
              </w:rPr>
              <w:t xml:space="preserve"> activity is monitored weekly.</w:t>
            </w:r>
          </w:p>
          <w:p w14:paraId="1AD2D917" w14:textId="79DC5A9F" w:rsidR="0054733A" w:rsidRDefault="00550B52" w:rsidP="0054733A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RSV </w:t>
            </w:r>
            <w:r w:rsidR="003D4B8F">
              <w:rPr>
                <w:rFonts w:ascii="Arial" w:hAnsi="Arial" w:cs="Arial"/>
                <w:sz w:val="22"/>
                <w:szCs w:val="22"/>
              </w:rPr>
              <w:t>Outbreak Def</w:t>
            </w:r>
            <w:r w:rsidR="009A42D7">
              <w:rPr>
                <w:rFonts w:ascii="Arial" w:hAnsi="Arial" w:cs="Arial"/>
                <w:sz w:val="22"/>
                <w:szCs w:val="22"/>
              </w:rPr>
              <w:t>inition: first of two consecutive weeks when &gt;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2D7">
              <w:rPr>
                <w:rFonts w:ascii="Arial" w:hAnsi="Arial" w:cs="Arial"/>
                <w:sz w:val="22"/>
                <w:szCs w:val="22"/>
              </w:rPr>
              <w:t>50% of participating laboratories report a weekly mean percentage of positive RSV antigen-based test is &gt;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2D7">
              <w:rPr>
                <w:rFonts w:ascii="Arial" w:hAnsi="Arial" w:cs="Arial"/>
                <w:sz w:val="22"/>
                <w:szCs w:val="22"/>
              </w:rPr>
              <w:t>10%.</w:t>
            </w:r>
          </w:p>
          <w:p w14:paraId="14FD2308" w14:textId="1230F65A" w:rsidR="00B134E4" w:rsidRDefault="00B134E4" w:rsidP="0054733A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PCR Diagnostic Assay</w:t>
            </w:r>
          </w:p>
          <w:p w14:paraId="79B81789" w14:textId="58EE742A" w:rsidR="00EC2231" w:rsidRPr="00EC2231" w:rsidRDefault="00EC2231" w:rsidP="00EC2231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C2231">
              <w:rPr>
                <w:rFonts w:ascii="Arial" w:hAnsi="Arial" w:cs="Arial"/>
                <w:sz w:val="22"/>
                <w:szCs w:val="22"/>
              </w:rPr>
              <w:t>Molecular testing such as the PCR diagnostic assay has become more widely use in the past decade</w:t>
            </w:r>
            <w:r w:rsidR="00137E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679A02" w14:textId="158D8CB6" w:rsidR="00B134E4" w:rsidRPr="00896DBD" w:rsidRDefault="00EC2231" w:rsidP="00EC2231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C2231">
              <w:rPr>
                <w:rFonts w:ascii="Arial" w:hAnsi="Arial" w:cs="Arial"/>
                <w:sz w:val="22"/>
                <w:szCs w:val="22"/>
              </w:rPr>
              <w:t>RSV season onset defined as the first of two consecutive weeks when the weekly mean percentage of positive tests is &gt;</w:t>
            </w:r>
            <w:r w:rsidR="00C450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2231">
              <w:rPr>
                <w:rFonts w:ascii="Arial" w:hAnsi="Arial" w:cs="Arial"/>
                <w:sz w:val="22"/>
                <w:szCs w:val="22"/>
              </w:rPr>
              <w:t>3%</w:t>
            </w:r>
            <w:r w:rsidR="00137E53">
              <w:rPr>
                <w:rFonts w:ascii="Arial" w:hAnsi="Arial" w:cs="Arial"/>
                <w:sz w:val="22"/>
                <w:szCs w:val="22"/>
              </w:rPr>
              <w:t>.</w:t>
            </w:r>
            <w:r w:rsidRPr="00EC22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369D2B" w14:textId="6739CB1F" w:rsidR="0054733A" w:rsidRDefault="005C3050" w:rsidP="00506DE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2020-2021 season for</w:t>
            </w:r>
            <w:r w:rsidR="00F22B65">
              <w:rPr>
                <w:rFonts w:ascii="Arial" w:hAnsi="Arial" w:cs="Arial"/>
                <w:sz w:val="22"/>
                <w:szCs w:val="22"/>
              </w:rPr>
              <w:t xml:space="preserve"> Unique Utilizers</w:t>
            </w:r>
            <w:r w:rsidR="001E12E9">
              <w:rPr>
                <w:rFonts w:ascii="Arial" w:hAnsi="Arial" w:cs="Arial"/>
                <w:sz w:val="22"/>
                <w:szCs w:val="22"/>
              </w:rPr>
              <w:t>,</w:t>
            </w:r>
            <w:r w:rsidR="00F22B65">
              <w:rPr>
                <w:rFonts w:ascii="Arial" w:hAnsi="Arial" w:cs="Arial"/>
                <w:sz w:val="22"/>
                <w:szCs w:val="22"/>
              </w:rPr>
              <w:t xml:space="preserve"> there were 132 out of </w:t>
            </w:r>
            <w:r w:rsidR="00C325AF">
              <w:rPr>
                <w:rFonts w:ascii="Arial" w:hAnsi="Arial" w:cs="Arial"/>
                <w:sz w:val="22"/>
                <w:szCs w:val="22"/>
              </w:rPr>
              <w:t xml:space="preserve">719 claims. Total paid were </w:t>
            </w:r>
            <w:r w:rsidR="000F6B65">
              <w:rPr>
                <w:rFonts w:ascii="Arial" w:hAnsi="Arial" w:cs="Arial"/>
                <w:sz w:val="22"/>
                <w:szCs w:val="22"/>
              </w:rPr>
              <w:t>$1,372,143.</w:t>
            </w:r>
          </w:p>
          <w:p w14:paraId="1B55C817" w14:textId="127154A0" w:rsidR="00572C42" w:rsidRDefault="00776409" w:rsidP="00506DE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Outreach Calls f</w:t>
            </w:r>
            <w:r w:rsidR="00BA7A11">
              <w:rPr>
                <w:rFonts w:ascii="Arial" w:hAnsi="Arial" w:cs="Arial"/>
                <w:sz w:val="22"/>
                <w:szCs w:val="22"/>
              </w:rPr>
              <w:t>rom 2020-2021 season:</w:t>
            </w:r>
          </w:p>
          <w:p w14:paraId="68F75F42" w14:textId="66959C8F" w:rsidR="00071B07" w:rsidRDefault="00071B07" w:rsidP="00436844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Prescriber Outreach Attempts 216</w:t>
            </w:r>
            <w:r w:rsidR="004368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6844">
              <w:rPr>
                <w:rFonts w:ascii="Arial" w:hAnsi="Arial" w:cs="Arial"/>
                <w:sz w:val="22"/>
                <w:szCs w:val="22"/>
              </w:rPr>
              <w:t>Successful</w:t>
            </w:r>
            <w:r w:rsidR="00436844" w:rsidRPr="00436844">
              <w:rPr>
                <w:rFonts w:ascii="Arial" w:hAnsi="Arial" w:cs="Arial"/>
                <w:sz w:val="22"/>
                <w:szCs w:val="22"/>
              </w:rPr>
              <w:t xml:space="preserve"> 152 (70.4%)</w:t>
            </w:r>
          </w:p>
          <w:p w14:paraId="3E0ACB70" w14:textId="50B760FC" w:rsidR="000B19A1" w:rsidRPr="000B19A1" w:rsidRDefault="000B19A1" w:rsidP="000B19A1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B19A1">
              <w:rPr>
                <w:rFonts w:ascii="Arial" w:hAnsi="Arial" w:cs="Arial"/>
                <w:sz w:val="22"/>
                <w:szCs w:val="22"/>
              </w:rPr>
              <w:t>Most calls made to prescriber offices were to confirm member weight and administration date of most recent injection</w:t>
            </w:r>
            <w:r w:rsidR="00137E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A3FCC8" w14:textId="641C9450" w:rsidR="00F16E2E" w:rsidRPr="000B19A1" w:rsidRDefault="000B19A1" w:rsidP="000B19A1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B19A1">
              <w:rPr>
                <w:rFonts w:ascii="Arial" w:hAnsi="Arial" w:cs="Arial"/>
                <w:sz w:val="22"/>
                <w:szCs w:val="22"/>
              </w:rPr>
              <w:t>Percentage of successful calls continued to trend up (67.9% in 2019-2020</w:t>
            </w:r>
            <w:r w:rsidR="00137E53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CCEB2C7" w14:textId="3F2AECAE" w:rsidR="00F16E2E" w:rsidRDefault="00F16E2E" w:rsidP="00436844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Pharmacy Outreach Attempts 12 Successful 11 (91.7%)</w:t>
            </w:r>
          </w:p>
          <w:p w14:paraId="18EED829" w14:textId="414DEA5E" w:rsidR="000A3F2B" w:rsidRPr="000A3F2B" w:rsidRDefault="000A3F2B" w:rsidP="000A3F2B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A3F2B">
              <w:rPr>
                <w:rFonts w:ascii="Arial" w:hAnsi="Arial" w:cs="Arial"/>
                <w:sz w:val="22"/>
                <w:szCs w:val="22"/>
              </w:rPr>
              <w:t>Seven calls clarified rationale for higher-than-expected dose (pharmacies were running test claims that were later reversed)</w:t>
            </w:r>
            <w:r w:rsidR="00F41F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8ECD93" w14:textId="6524FE93" w:rsidR="00BA7A11" w:rsidRPr="009763EA" w:rsidRDefault="000A3F2B" w:rsidP="009763EA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A3F2B">
              <w:rPr>
                <w:rFonts w:ascii="Arial" w:hAnsi="Arial" w:cs="Arial"/>
                <w:sz w:val="22"/>
                <w:szCs w:val="22"/>
              </w:rPr>
              <w:t>Other calls were one-off situations (i.e., office stating they didn’t receive full amount of medication)</w:t>
            </w:r>
            <w:r w:rsidR="00F41F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9FCB3E" w14:textId="77777777" w:rsidR="0012685E" w:rsidRDefault="0012685E" w:rsidP="0012685E">
            <w:p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</w:p>
          <w:p w14:paraId="5B44C2B1" w14:textId="77777777" w:rsidR="0012685E" w:rsidRDefault="0012685E" w:rsidP="0012685E">
            <w:p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7C27CA13" w14:textId="428E89C4" w:rsidR="00D94B44" w:rsidRPr="005407AD" w:rsidRDefault="00736928" w:rsidP="00451502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5407AD">
              <w:rPr>
                <w:rFonts w:ascii="Arial" w:hAnsi="Arial" w:cs="Arial"/>
                <w:sz w:val="22"/>
                <w:szCs w:val="22"/>
              </w:rPr>
              <w:t xml:space="preserve">Total number of utilizers and paid claims has continued to decrease over </w:t>
            </w:r>
            <w:r w:rsidR="005407AD" w:rsidRPr="005407AD">
              <w:rPr>
                <w:rFonts w:ascii="Arial" w:hAnsi="Arial" w:cs="Arial"/>
                <w:sz w:val="22"/>
                <w:szCs w:val="22"/>
              </w:rPr>
              <w:t>last 10 years.</w:t>
            </w:r>
          </w:p>
          <w:p w14:paraId="71480CBA" w14:textId="2F325B53" w:rsidR="005407AD" w:rsidRDefault="005407AD" w:rsidP="00451502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5407AD">
              <w:rPr>
                <w:rFonts w:ascii="Arial" w:hAnsi="Arial" w:cs="Arial"/>
                <w:sz w:val="22"/>
                <w:szCs w:val="22"/>
              </w:rPr>
              <w:t>Nirsevimab could be the first longer</w:t>
            </w:r>
            <w:r w:rsidR="00F41F91">
              <w:rPr>
                <w:rFonts w:ascii="Arial" w:hAnsi="Arial" w:cs="Arial"/>
                <w:sz w:val="22"/>
                <w:szCs w:val="22"/>
              </w:rPr>
              <w:t>-</w:t>
            </w:r>
            <w:r w:rsidRPr="005407AD">
              <w:rPr>
                <w:rFonts w:ascii="Arial" w:hAnsi="Arial" w:cs="Arial"/>
                <w:sz w:val="22"/>
                <w:szCs w:val="22"/>
              </w:rPr>
              <w:t xml:space="preserve">acting prophylactic </w:t>
            </w:r>
            <w:r w:rsidR="00EA3537">
              <w:rPr>
                <w:rFonts w:ascii="Arial" w:hAnsi="Arial" w:cs="Arial"/>
                <w:sz w:val="22"/>
                <w:szCs w:val="22"/>
              </w:rPr>
              <w:t>RSV agent for all infants if approved.</w:t>
            </w:r>
          </w:p>
          <w:p w14:paraId="7F352E64" w14:textId="3176D350" w:rsidR="00EA3537" w:rsidRDefault="002C2BBC" w:rsidP="00451502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recommended changes based on clinical guidelines and PA review.</w:t>
            </w:r>
          </w:p>
          <w:p w14:paraId="36957151" w14:textId="257AD39C" w:rsidR="002C2BBC" w:rsidRPr="005407AD" w:rsidRDefault="006E02DB" w:rsidP="00451502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Impact of the </w:t>
            </w:r>
            <w:r w:rsidR="00E80C84">
              <w:rPr>
                <w:rFonts w:ascii="Arial" w:hAnsi="Arial" w:cs="Arial"/>
                <w:sz w:val="22"/>
                <w:szCs w:val="22"/>
              </w:rPr>
              <w:t>ongoing unprecedented RSV season will be monitored.</w:t>
            </w:r>
          </w:p>
          <w:p w14:paraId="1AAF4668" w14:textId="77777777" w:rsidR="00736928" w:rsidRDefault="00736928" w:rsidP="00D94B44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1D802707" w14:textId="568DD849" w:rsidR="00D94B44" w:rsidRPr="00900466" w:rsidRDefault="00D94B44" w:rsidP="00D94B44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Questions</w:t>
            </w:r>
          </w:p>
          <w:p w14:paraId="09AABD67" w14:textId="72293440" w:rsidR="00E80C84" w:rsidRPr="00900466" w:rsidRDefault="00337A5F" w:rsidP="00E80C84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Jeffrey inquired </w:t>
            </w:r>
            <w:r w:rsidR="00C62CD3">
              <w:rPr>
                <w:rFonts w:ascii="Arial" w:hAnsi="Arial" w:cs="Arial"/>
                <w:sz w:val="22"/>
                <w:szCs w:val="22"/>
              </w:rPr>
              <w:t xml:space="preserve">if the Synagis season would </w:t>
            </w:r>
            <w:r w:rsidR="004405BB">
              <w:rPr>
                <w:rFonts w:ascii="Arial" w:hAnsi="Arial" w:cs="Arial"/>
                <w:sz w:val="22"/>
                <w:szCs w:val="22"/>
              </w:rPr>
              <w:t xml:space="preserve">continue through April of 2022. </w:t>
            </w:r>
            <w:r w:rsidR="004A68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C3DCB" w14:textId="5C57B082" w:rsidR="00A033B9" w:rsidRDefault="00A34CC7" w:rsidP="00D31B6C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Smith</w:t>
            </w:r>
            <w:r w:rsidR="008008D5">
              <w:rPr>
                <w:rFonts w:ascii="Arial" w:hAnsi="Arial" w:cs="Arial"/>
                <w:sz w:val="22"/>
                <w:szCs w:val="22"/>
              </w:rPr>
              <w:t xml:space="preserve"> responded that</w:t>
            </w:r>
            <w:r w:rsidR="00784DD3">
              <w:rPr>
                <w:rFonts w:ascii="Arial" w:hAnsi="Arial" w:cs="Arial"/>
                <w:sz w:val="22"/>
                <w:szCs w:val="22"/>
              </w:rPr>
              <w:t xml:space="preserve"> based on the current</w:t>
            </w:r>
            <w:r w:rsidR="008008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389">
              <w:rPr>
                <w:rFonts w:ascii="Arial" w:hAnsi="Arial" w:cs="Arial"/>
                <w:sz w:val="22"/>
                <w:szCs w:val="22"/>
              </w:rPr>
              <w:t>trend of RSV</w:t>
            </w:r>
            <w:r w:rsidR="00C51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DD3">
              <w:rPr>
                <w:rFonts w:ascii="Arial" w:hAnsi="Arial" w:cs="Arial"/>
                <w:sz w:val="22"/>
                <w:szCs w:val="22"/>
              </w:rPr>
              <w:t xml:space="preserve">as well as how COVID </w:t>
            </w:r>
            <w:r w:rsidR="001C2C4C">
              <w:rPr>
                <w:rFonts w:ascii="Arial" w:hAnsi="Arial" w:cs="Arial"/>
                <w:sz w:val="22"/>
                <w:szCs w:val="22"/>
              </w:rPr>
              <w:t>is currently showing</w:t>
            </w:r>
            <w:r w:rsidR="00F41F91">
              <w:rPr>
                <w:rFonts w:ascii="Arial" w:hAnsi="Arial" w:cs="Arial"/>
                <w:sz w:val="22"/>
                <w:szCs w:val="22"/>
              </w:rPr>
              <w:t>,</w:t>
            </w:r>
            <w:r w:rsidR="001C2C4C">
              <w:rPr>
                <w:rFonts w:ascii="Arial" w:hAnsi="Arial" w:cs="Arial"/>
                <w:sz w:val="22"/>
                <w:szCs w:val="22"/>
              </w:rPr>
              <w:t xml:space="preserve"> it may continue to increase.</w:t>
            </w:r>
          </w:p>
          <w:p w14:paraId="5F713A16" w14:textId="3E0677C0" w:rsidR="001C2C4C" w:rsidRDefault="001C2C4C" w:rsidP="00D31B6C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Low inquired</w:t>
            </w:r>
            <w:r w:rsidR="002C2DF4">
              <w:rPr>
                <w:rFonts w:ascii="Arial" w:hAnsi="Arial" w:cs="Arial"/>
                <w:sz w:val="22"/>
                <w:szCs w:val="22"/>
              </w:rPr>
              <w:t xml:space="preserve"> if there w</w:t>
            </w:r>
            <w:r w:rsidR="00C4501B">
              <w:rPr>
                <w:rFonts w:ascii="Arial" w:hAnsi="Arial" w:cs="Arial"/>
                <w:sz w:val="22"/>
                <w:szCs w:val="22"/>
              </w:rPr>
              <w:t>as</w:t>
            </w:r>
            <w:r w:rsidR="002C2DF4">
              <w:rPr>
                <w:rFonts w:ascii="Arial" w:hAnsi="Arial" w:cs="Arial"/>
                <w:sz w:val="22"/>
                <w:szCs w:val="22"/>
              </w:rPr>
              <w:t xml:space="preserve"> anything surprising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00A">
              <w:rPr>
                <w:rFonts w:ascii="Arial" w:hAnsi="Arial" w:cs="Arial"/>
                <w:sz w:val="22"/>
                <w:szCs w:val="22"/>
              </w:rPr>
              <w:t xml:space="preserve">about the current utilization </w:t>
            </w:r>
            <w:r w:rsidR="006A3853">
              <w:rPr>
                <w:rFonts w:ascii="Arial" w:hAnsi="Arial" w:cs="Arial"/>
                <w:sz w:val="22"/>
                <w:szCs w:val="22"/>
              </w:rPr>
              <w:t>trends.</w:t>
            </w:r>
          </w:p>
          <w:p w14:paraId="737E7694" w14:textId="54CE6770" w:rsidR="001C2C4C" w:rsidRPr="00900466" w:rsidRDefault="001C2C4C" w:rsidP="00D31B6C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Smith responded</w:t>
            </w:r>
            <w:r w:rsidR="006A3853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2C2DF4">
              <w:rPr>
                <w:rFonts w:ascii="Arial" w:hAnsi="Arial" w:cs="Arial"/>
                <w:sz w:val="22"/>
                <w:szCs w:val="22"/>
              </w:rPr>
              <w:t xml:space="preserve">there was nothing surprising about the current utilization trends. </w:t>
            </w:r>
            <w:r w:rsidR="00E904D6">
              <w:rPr>
                <w:rFonts w:ascii="Arial" w:hAnsi="Arial" w:cs="Arial"/>
                <w:sz w:val="22"/>
                <w:szCs w:val="22"/>
              </w:rPr>
              <w:t>As the season continues</w:t>
            </w:r>
            <w:r w:rsidR="00232C37">
              <w:rPr>
                <w:rFonts w:ascii="Arial" w:hAnsi="Arial" w:cs="Arial"/>
                <w:sz w:val="22"/>
                <w:szCs w:val="22"/>
              </w:rPr>
              <w:t>,</w:t>
            </w:r>
            <w:r w:rsidR="00E904D6">
              <w:rPr>
                <w:rFonts w:ascii="Arial" w:hAnsi="Arial" w:cs="Arial"/>
                <w:sz w:val="22"/>
                <w:szCs w:val="22"/>
              </w:rPr>
              <w:t xml:space="preserve"> it is the infants who </w:t>
            </w:r>
            <w:r w:rsidR="00B13937">
              <w:rPr>
                <w:rFonts w:ascii="Arial" w:hAnsi="Arial" w:cs="Arial"/>
                <w:sz w:val="22"/>
                <w:szCs w:val="22"/>
              </w:rPr>
              <w:t xml:space="preserve">are high risk and </w:t>
            </w:r>
            <w:r w:rsidR="00E904D6">
              <w:rPr>
                <w:rFonts w:ascii="Arial" w:hAnsi="Arial" w:cs="Arial"/>
                <w:sz w:val="22"/>
                <w:szCs w:val="22"/>
              </w:rPr>
              <w:t xml:space="preserve">need </w:t>
            </w:r>
            <w:r w:rsidR="0096404B">
              <w:rPr>
                <w:rFonts w:ascii="Arial" w:hAnsi="Arial" w:cs="Arial"/>
                <w:sz w:val="22"/>
                <w:szCs w:val="22"/>
              </w:rPr>
              <w:t>Synagis</w:t>
            </w:r>
            <w:r w:rsidR="00E904D6">
              <w:rPr>
                <w:rFonts w:ascii="Arial" w:hAnsi="Arial" w:cs="Arial"/>
                <w:sz w:val="22"/>
                <w:szCs w:val="22"/>
              </w:rPr>
              <w:t xml:space="preserve">. It would be interesting as to where the numbers lead as the season continues. </w:t>
            </w:r>
            <w:r w:rsidR="002C2D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597F125" w14:textId="77777777"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14:paraId="410AE924" w14:textId="77777777" w:rsidR="00D94B44" w:rsidRPr="00900466" w:rsidRDefault="00D94B44" w:rsidP="00D94B4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A9ED59B" w14:textId="77777777" w:rsidR="00D94B44" w:rsidRPr="00900466" w:rsidRDefault="00D94B44" w:rsidP="00D94B4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B7B5245" w14:textId="051B595B" w:rsidR="00891E41" w:rsidRDefault="00891E41" w:rsidP="00E8289F">
      <w:pPr>
        <w:rPr>
          <w:rFonts w:cs="Arial"/>
          <w:sz w:val="22"/>
          <w:szCs w:val="22"/>
        </w:rPr>
      </w:pPr>
    </w:p>
    <w:p w14:paraId="152AEC20" w14:textId="2AB138DB" w:rsidR="00D31B6C" w:rsidRDefault="00D31B6C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31B6C" w:rsidRPr="00900466" w14:paraId="1BF9B1B9" w14:textId="77777777" w:rsidTr="35AA636B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60911D0" w14:textId="77777777" w:rsidR="00D31B6C" w:rsidRPr="00900466" w:rsidRDefault="00D31B6C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FD3A6C" w14:textId="77777777" w:rsidR="00D31B6C" w:rsidRPr="00900466" w:rsidRDefault="00D31B6C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1B6FD42" w14:textId="77777777" w:rsidR="00D31B6C" w:rsidRPr="00900466" w:rsidRDefault="00D31B6C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41E6D0B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E4A354F" w14:textId="77777777" w:rsidR="00D31B6C" w:rsidRPr="00900466" w:rsidRDefault="00D31B6C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FEC0145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31B6C" w:rsidRPr="00900466" w14:paraId="7643F443" w14:textId="77777777" w:rsidTr="35AA63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5523D136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</w:rPr>
            </w:pPr>
          </w:p>
          <w:p w14:paraId="5A1DD7A3" w14:textId="2F32B384" w:rsidR="00D31B6C" w:rsidRDefault="00520968" w:rsidP="00C871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Obesity Treatment Update: A Clinical Overview of Wegovy (semaglutide)</w:t>
            </w:r>
          </w:p>
          <w:p w14:paraId="45E66BF2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8DC7970" w14:textId="77777777" w:rsidR="00D31B6C" w:rsidRPr="00900466" w:rsidRDefault="00D31B6C" w:rsidP="00C8718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5D2B70A3" w14:textId="705CF12F" w:rsidR="00D31B6C" w:rsidRPr="00D31B6C" w:rsidRDefault="00520968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Obesity Treatment Update: A Clinical Overview of Wegovy (semaglutide)</w:t>
            </w:r>
            <w:r w:rsidR="00D31B6C">
              <w:rPr>
                <w:rFonts w:cs="Arial"/>
                <w:b/>
                <w:sz w:val="22"/>
                <w:szCs w:val="22"/>
                <w:u w:val="single"/>
              </w:rPr>
              <w:t xml:space="preserve"> by </w:t>
            </w:r>
            <w:r w:rsidR="001E12E9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AB52F0">
              <w:rPr>
                <w:rFonts w:cs="Arial"/>
                <w:b/>
                <w:sz w:val="22"/>
                <w:szCs w:val="22"/>
                <w:u w:val="single"/>
              </w:rPr>
              <w:t>Stephanie Tran</w:t>
            </w:r>
          </w:p>
          <w:p w14:paraId="668D0AD5" w14:textId="02E9F5F5" w:rsidR="00D31B6C" w:rsidRPr="00900466" w:rsidRDefault="00D31B6C" w:rsidP="00C87182">
            <w:pPr>
              <w:pStyle w:val="BodyText"/>
              <w:kinsoku w:val="0"/>
              <w:overflowPunct w:val="0"/>
              <w:spacing w:line="259" w:lineRule="exact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33469">
              <w:rPr>
                <w:rFonts w:ascii="Arial" w:hAnsi="Arial" w:cs="Arial"/>
                <w:sz w:val="22"/>
                <w:szCs w:val="22"/>
              </w:rPr>
              <w:t xml:space="preserve">presentation </w:t>
            </w:r>
            <w:r w:rsidR="00EB4C19">
              <w:rPr>
                <w:rFonts w:ascii="Arial" w:hAnsi="Arial" w:cs="Arial"/>
                <w:sz w:val="22"/>
                <w:szCs w:val="22"/>
              </w:rPr>
              <w:t>provided</w:t>
            </w:r>
            <w:r w:rsidR="00D33469">
              <w:rPr>
                <w:rFonts w:ascii="Arial" w:hAnsi="Arial" w:cs="Arial"/>
                <w:sz w:val="22"/>
                <w:szCs w:val="22"/>
              </w:rPr>
              <w:t xml:space="preserve"> a brief overview of the current state of obesity treatments and provide a review of the newest FDA-approved drug for chronic</w:t>
            </w:r>
            <w:r w:rsidR="00A615BD">
              <w:rPr>
                <w:rFonts w:ascii="Arial" w:hAnsi="Arial" w:cs="Arial"/>
                <w:sz w:val="22"/>
                <w:szCs w:val="22"/>
              </w:rPr>
              <w:t xml:space="preserve"> weight management. </w:t>
            </w:r>
          </w:p>
          <w:p w14:paraId="4BE5839E" w14:textId="77777777" w:rsidR="00D31B6C" w:rsidRPr="00900466" w:rsidRDefault="00D31B6C" w:rsidP="00C8718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EF71000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</w:p>
          <w:p w14:paraId="272DB468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F6EBC8B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31B6C" w:rsidRPr="00900466" w14:paraId="5A27E2C6" w14:textId="77777777" w:rsidTr="35AA636B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7FEB164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</w:p>
          <w:p w14:paraId="70E81753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D3CEBB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</w:p>
          <w:p w14:paraId="62AE8DE9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9CAF358" w14:textId="5898252D" w:rsidR="0012685E" w:rsidRPr="00B86D40" w:rsidRDefault="00D61099" w:rsidP="35AA636B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B86D40">
              <w:rPr>
                <w:rFonts w:ascii="Arial" w:eastAsia="Arial" w:hAnsi="Arial" w:cs="Arial"/>
                <w:sz w:val="22"/>
                <w:szCs w:val="22"/>
              </w:rPr>
              <w:t>Insurance Coverage</w:t>
            </w:r>
          </w:p>
          <w:p w14:paraId="1F9A6581" w14:textId="19A734A6" w:rsidR="00D31B6C" w:rsidRDefault="00D61099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General</w:t>
            </w:r>
          </w:p>
          <w:p w14:paraId="3E9B8EDC" w14:textId="1E107FE5" w:rsidR="00D61099" w:rsidRDefault="00834F5A" w:rsidP="00D6109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Obesity drugs not covered by Medicare</w:t>
            </w:r>
          </w:p>
          <w:p w14:paraId="7A073321" w14:textId="3F40E7E6" w:rsidR="00834F5A" w:rsidRDefault="00834F5A" w:rsidP="00D6109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2021 Reduce and Treat Obesity Act</w:t>
            </w:r>
          </w:p>
          <w:p w14:paraId="67900707" w14:textId="380D3E7E" w:rsidR="00D61099" w:rsidRDefault="00D61099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Medicaid</w:t>
            </w:r>
          </w:p>
          <w:p w14:paraId="6F233CBD" w14:textId="77603A92" w:rsidR="00834F5A" w:rsidRDefault="00834F5A" w:rsidP="00834F5A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Seven state Medicaid states covered </w:t>
            </w:r>
            <w:r w:rsidR="00C753F5">
              <w:rPr>
                <w:rFonts w:ascii="Arial" w:eastAsia="Arial" w:hAnsi="Arial" w:cs="Arial"/>
                <w:sz w:val="22"/>
                <w:szCs w:val="22"/>
              </w:rPr>
              <w:t>obesity treatments</w:t>
            </w:r>
            <w:r w:rsidR="00F41F9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1471808" w14:textId="11DBAFD1" w:rsidR="00D61099" w:rsidRDefault="00D61099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Regulations</w:t>
            </w:r>
          </w:p>
          <w:p w14:paraId="33F4AFA1" w14:textId="41B3E515" w:rsidR="00C753F5" w:rsidRPr="00A80143" w:rsidRDefault="00A80143" w:rsidP="00A8014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80143">
              <w:rPr>
                <w:rFonts w:ascii="Arial" w:eastAsia="Arial" w:hAnsi="Arial" w:cs="Arial"/>
                <w:sz w:val="22"/>
                <w:szCs w:val="22"/>
              </w:rPr>
              <w:t>The MassHealth agency does not pay for any drug used for the treatment of obesity (130 CMR 406.413[B][4])</w:t>
            </w:r>
            <w:r w:rsidR="00F41F9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AF06ABB" w14:textId="5A6022F0" w:rsidR="0012685E" w:rsidRPr="00B86D40" w:rsidRDefault="3CEDF08D" w:rsidP="35AA636B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B86D40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B86D40" w:rsidRPr="00B86D40">
              <w:rPr>
                <w:rFonts w:ascii="Arial" w:eastAsia="Arial" w:hAnsi="Arial" w:cs="Arial"/>
                <w:sz w:val="22"/>
                <w:szCs w:val="22"/>
              </w:rPr>
              <w:t>revalence (Adults</w:t>
            </w:r>
            <w:r w:rsidR="00B86D40">
              <w:rPr>
                <w:rFonts w:ascii="Arial" w:eastAsia="Arial" w:hAnsi="Arial" w:cs="Arial"/>
                <w:sz w:val="22"/>
                <w:szCs w:val="22"/>
              </w:rPr>
              <w:t xml:space="preserve">, Children, </w:t>
            </w:r>
            <w:r w:rsidR="00FF189B">
              <w:rPr>
                <w:rFonts w:ascii="Arial" w:eastAsia="Arial" w:hAnsi="Arial" w:cs="Arial"/>
                <w:sz w:val="22"/>
                <w:szCs w:val="22"/>
              </w:rPr>
              <w:t>Adolescents</w:t>
            </w:r>
            <w:r w:rsidR="00B86D4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479223B" w14:textId="2D681BCA" w:rsidR="0012685E" w:rsidRDefault="00FD12B8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Age-adjusted</w:t>
            </w:r>
            <w:r w:rsidR="00FF189B">
              <w:rPr>
                <w:rFonts w:ascii="Arial" w:eastAsia="Arial" w:hAnsi="Arial" w:cs="Arial"/>
                <w:sz w:val="22"/>
                <w:szCs w:val="22"/>
              </w:rPr>
              <w:t xml:space="preserve"> prevalence of obesity among adults in the US is 42.4%</w:t>
            </w:r>
            <w:r w:rsidR="00F41F9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630CB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532DACC" w14:textId="6940FD37" w:rsidR="00630CBF" w:rsidRDefault="002F2E8D" w:rsidP="00630CBF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Obesity Class 1 30.0 – 34.9</w:t>
            </w:r>
          </w:p>
          <w:p w14:paraId="3B9BC6B3" w14:textId="301014FA" w:rsidR="002F2E8D" w:rsidRDefault="002F2E8D" w:rsidP="00630CBF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Obesity Class 2 35.0 – 39.9</w:t>
            </w:r>
          </w:p>
          <w:p w14:paraId="7401952E" w14:textId="48E730D6" w:rsidR="002F2E8D" w:rsidRDefault="002F2E8D" w:rsidP="00630CBF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Obesity Class 3 </w:t>
            </w:r>
            <w:r w:rsidR="005F6149">
              <w:rPr>
                <w:rFonts w:ascii="Arial" w:eastAsia="Arial" w:hAnsi="Arial" w:cs="Arial"/>
                <w:sz w:val="22"/>
                <w:szCs w:val="22"/>
              </w:rPr>
              <w:t>&gt;</w:t>
            </w:r>
            <w:r w:rsidR="00C4501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F6149">
              <w:rPr>
                <w:rFonts w:ascii="Arial" w:eastAsia="Arial" w:hAnsi="Arial" w:cs="Arial"/>
                <w:sz w:val="22"/>
                <w:szCs w:val="22"/>
              </w:rPr>
              <w:t>40.0</w:t>
            </w:r>
          </w:p>
          <w:p w14:paraId="1D51E935" w14:textId="26B0481B" w:rsidR="00940CBE" w:rsidRPr="005F6149" w:rsidRDefault="00940CBE" w:rsidP="005F6149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Children and Adolescents Prevalence: 18%, affecting 13.7 million</w:t>
            </w:r>
          </w:p>
          <w:p w14:paraId="2EF57827" w14:textId="123AA0B2" w:rsidR="0012685E" w:rsidRPr="00B86D40" w:rsidRDefault="005F6149" w:rsidP="35AA636B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Consequences (Adults)</w:t>
            </w:r>
          </w:p>
          <w:p w14:paraId="52E85654" w14:textId="2106DC09" w:rsidR="0012685E" w:rsidRDefault="00402A9A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 medical costs: Prevent</w:t>
            </w:r>
            <w:r w:rsidR="00E56D5C">
              <w:rPr>
                <w:rFonts w:ascii="Arial" w:eastAsia="Arial" w:hAnsi="Arial" w:cs="Arial"/>
                <w:sz w:val="22"/>
                <w:szCs w:val="22"/>
              </w:rPr>
              <w:t xml:space="preserve">ive, diagnostic, and treatment </w:t>
            </w:r>
            <w:r w:rsidR="00E56D5C">
              <w:rPr>
                <w:rFonts w:ascii="Arial" w:eastAsia="Arial" w:hAnsi="Arial" w:cs="Arial"/>
                <w:sz w:val="22"/>
                <w:szCs w:val="22"/>
              </w:rPr>
              <w:lastRenderedPageBreak/>
              <w:t>services</w:t>
            </w:r>
          </w:p>
          <w:p w14:paraId="1F340F14" w14:textId="1B30006A" w:rsidR="00E56D5C" w:rsidRDefault="00096F2D" w:rsidP="35AA636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Indirect costs: morbidity and </w:t>
            </w:r>
            <w:r w:rsidR="00F2187D">
              <w:rPr>
                <w:rFonts w:ascii="Arial" w:eastAsia="Arial" w:hAnsi="Arial" w:cs="Arial"/>
                <w:sz w:val="22"/>
                <w:szCs w:val="22"/>
              </w:rPr>
              <w:t>mortality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lost </w:t>
            </w:r>
            <w:r w:rsidR="00F2187D">
              <w:rPr>
                <w:rFonts w:ascii="Arial" w:eastAsia="Arial" w:hAnsi="Arial" w:cs="Arial"/>
                <w:sz w:val="22"/>
                <w:szCs w:val="22"/>
              </w:rPr>
              <w:t>productivity</w:t>
            </w:r>
          </w:p>
          <w:p w14:paraId="58AD9BB4" w14:textId="064F6A6C" w:rsidR="00F2187D" w:rsidRPr="0012685E" w:rsidRDefault="000D7371" w:rsidP="008664C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Obesity-related medical care costs in the </w:t>
            </w:r>
            <w:r w:rsidR="00F269C1">
              <w:rPr>
                <w:rFonts w:ascii="Arial" w:eastAsia="Arial" w:hAnsi="Arial" w:cs="Arial"/>
                <w:sz w:val="22"/>
                <w:szCs w:val="22"/>
              </w:rPr>
              <w:t>United States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8664CB">
              <w:rPr>
                <w:rFonts w:ascii="Arial" w:eastAsia="Arial" w:hAnsi="Arial" w:cs="Arial"/>
                <w:sz w:val="22"/>
                <w:szCs w:val="22"/>
              </w:rPr>
              <w:t xml:space="preserve"> ~$147 billion (2008</w:t>
            </w:r>
            <w:r w:rsidR="00F269C1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484CB66" w14:textId="3F6CF07E" w:rsidR="0012685E" w:rsidRDefault="00F269C1" w:rsidP="35AA636B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Clinical Alternatives</w:t>
            </w:r>
          </w:p>
          <w:p w14:paraId="5152E372" w14:textId="2B892273" w:rsidR="00CB514A" w:rsidRDefault="00CB514A" w:rsidP="00CB514A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FDA-approved for chronic weight management</w:t>
            </w:r>
          </w:p>
          <w:p w14:paraId="46FB5099" w14:textId="78057504" w:rsidR="007311C3" w:rsidRPr="00093999" w:rsidRDefault="00294478" w:rsidP="007311C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093999">
              <w:rPr>
                <w:rFonts w:ascii="Arial" w:eastAsia="Arial" w:hAnsi="Arial" w:cs="Arial"/>
                <w:sz w:val="22"/>
                <w:szCs w:val="22"/>
              </w:rPr>
              <w:t>Xenical (orlistat)</w:t>
            </w:r>
          </w:p>
          <w:p w14:paraId="59DB3C15" w14:textId="053A0AF4" w:rsidR="00294478" w:rsidRPr="00093999" w:rsidRDefault="00244468" w:rsidP="007311C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Alli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 xml:space="preserve"> (orlistat)</w:t>
            </w:r>
          </w:p>
          <w:p w14:paraId="068C4DF9" w14:textId="2325F063" w:rsidR="00244468" w:rsidRPr="00093999" w:rsidRDefault="00244468" w:rsidP="00244468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Qsymia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 xml:space="preserve"> (phentermine/</w:t>
            </w: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topiramate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6C7D19CD" w14:textId="6D79F006" w:rsidR="00244468" w:rsidRPr="00093999" w:rsidRDefault="00244468" w:rsidP="00244468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Saxenda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liraglutide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49830490" w14:textId="7522891C" w:rsidR="00093999" w:rsidRPr="00093999" w:rsidRDefault="00093999" w:rsidP="0009399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Belviq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lorcaserin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>) withdrawn February 2020</w:t>
            </w:r>
          </w:p>
          <w:p w14:paraId="6A403C73" w14:textId="77777777" w:rsidR="00093999" w:rsidRPr="00093999" w:rsidRDefault="00093999" w:rsidP="0009399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093999">
              <w:rPr>
                <w:rFonts w:ascii="Arial" w:eastAsia="Arial" w:hAnsi="Arial" w:cs="Arial"/>
                <w:sz w:val="22"/>
                <w:szCs w:val="22"/>
              </w:rPr>
              <w:t>Phentermine, benzphetamine, diethylpropion, phendimetrazine</w:t>
            </w:r>
          </w:p>
          <w:p w14:paraId="08C5D42C" w14:textId="6FA26E34" w:rsidR="00093999" w:rsidRDefault="00093999" w:rsidP="00244468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93999">
              <w:rPr>
                <w:rFonts w:ascii="Arial" w:eastAsia="Arial" w:hAnsi="Arial" w:cs="Arial"/>
                <w:sz w:val="22"/>
                <w:szCs w:val="22"/>
              </w:rPr>
              <w:t>semaglutide</w:t>
            </w:r>
            <w:proofErr w:type="spellEnd"/>
            <w:r w:rsidRPr="00093999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C4C2371" w14:textId="6790BE4C" w:rsidR="00CD1FEE" w:rsidRDefault="0093414E" w:rsidP="00CD1FEE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3414E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93414E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3414E">
              <w:rPr>
                <w:rFonts w:ascii="Arial" w:eastAsia="Arial" w:hAnsi="Arial" w:cs="Arial"/>
                <w:sz w:val="22"/>
                <w:szCs w:val="22"/>
              </w:rPr>
              <w:t>semaglutide</w:t>
            </w:r>
            <w:proofErr w:type="spellEnd"/>
            <w:r w:rsidRPr="0093414E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FEBF61F" w14:textId="77777777" w:rsidR="001A6BED" w:rsidRPr="001A6BED" w:rsidRDefault="001A6BED" w:rsidP="001A6BED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1A6BED">
              <w:rPr>
                <w:rFonts w:ascii="Arial" w:eastAsia="Arial" w:hAnsi="Arial" w:cs="Arial"/>
                <w:sz w:val="22"/>
                <w:szCs w:val="22"/>
              </w:rPr>
              <w:t>First drug approved for chronic weight management since 2014</w:t>
            </w:r>
          </w:p>
          <w:p w14:paraId="4E215A5C" w14:textId="726ADC6D" w:rsidR="001A6BED" w:rsidRPr="001A6BED" w:rsidRDefault="001A6BED" w:rsidP="001A6BED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708EA">
              <w:rPr>
                <w:rFonts w:ascii="Arial" w:eastAsia="Arial" w:hAnsi="Arial" w:cs="Arial"/>
                <w:sz w:val="22"/>
                <w:szCs w:val="22"/>
              </w:rPr>
              <w:t>Limitation of Use</w:t>
            </w:r>
          </w:p>
          <w:p w14:paraId="70945303" w14:textId="77777777" w:rsidR="001A6BED" w:rsidRPr="001A6BED" w:rsidRDefault="001A6BED" w:rsidP="001A6BED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1A6BED">
              <w:rPr>
                <w:rFonts w:ascii="Arial" w:eastAsia="Arial" w:hAnsi="Arial" w:cs="Arial"/>
                <w:sz w:val="22"/>
                <w:szCs w:val="22"/>
              </w:rPr>
              <w:t>Contains semaglutide and should not be coadministered with other semaglutide-containing products or with any other GLP-1 receptor agonist.</w:t>
            </w:r>
          </w:p>
          <w:p w14:paraId="054180E5" w14:textId="77777777" w:rsidR="001A6BED" w:rsidRPr="001A6BED" w:rsidRDefault="001A6BED" w:rsidP="001A6BED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1A6BED">
              <w:rPr>
                <w:rFonts w:ascii="Arial" w:eastAsia="Arial" w:hAnsi="Arial" w:cs="Arial"/>
                <w:sz w:val="22"/>
                <w:szCs w:val="22"/>
              </w:rPr>
              <w:t>Safety and effectiveness in combination with other products intended for weight loss, including prescription drugs, OTC drugs, and herbal preparations, have not been established.</w:t>
            </w:r>
          </w:p>
          <w:p w14:paraId="3CFA8CC3" w14:textId="77777777" w:rsidR="001A6BED" w:rsidRPr="001A6BED" w:rsidRDefault="001A6BED" w:rsidP="001A6BED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1A6BED">
              <w:rPr>
                <w:rFonts w:ascii="Arial" w:eastAsia="Arial" w:hAnsi="Arial" w:cs="Arial"/>
                <w:sz w:val="22"/>
                <w:szCs w:val="22"/>
              </w:rPr>
              <w:t>Has not been studied in patients with a history of pancreatitis.</w:t>
            </w:r>
          </w:p>
          <w:p w14:paraId="76B8CBB8" w14:textId="44C03044" w:rsidR="00937C3E" w:rsidRDefault="00C82759" w:rsidP="00937C3E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Dosage and Administration</w:t>
            </w:r>
          </w:p>
          <w:p w14:paraId="1C0877B3" w14:textId="63C44899" w:rsidR="00C82759" w:rsidRDefault="00C82759" w:rsidP="00C8275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Self-a</w:t>
            </w:r>
            <w:r w:rsidR="00C035C0">
              <w:rPr>
                <w:rFonts w:ascii="Arial" w:eastAsia="Arial" w:hAnsi="Arial" w:cs="Arial"/>
                <w:sz w:val="22"/>
                <w:szCs w:val="22"/>
              </w:rPr>
              <w:t>dministered injectable medication</w:t>
            </w:r>
          </w:p>
          <w:p w14:paraId="7C2203F3" w14:textId="59C12BA7" w:rsidR="00C035C0" w:rsidRDefault="00C035C0" w:rsidP="00C8275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Initial, 0.25</w:t>
            </w:r>
            <w:r w:rsidR="00C4501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mg SC once weekly</w:t>
            </w:r>
          </w:p>
          <w:p w14:paraId="3F522899" w14:textId="62B47ED5" w:rsidR="00C035C0" w:rsidRDefault="00C035C0" w:rsidP="00C82759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Maintenance &amp;</w:t>
            </w:r>
            <w:r w:rsidR="00105061">
              <w:rPr>
                <w:rFonts w:ascii="Arial" w:eastAsia="Arial" w:hAnsi="Arial" w:cs="Arial"/>
                <w:sz w:val="22"/>
                <w:szCs w:val="22"/>
              </w:rPr>
              <w:t xml:space="preserve"> maximum, 2.4</w:t>
            </w:r>
            <w:r w:rsidR="00C4501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05061">
              <w:rPr>
                <w:rFonts w:ascii="Arial" w:eastAsia="Arial" w:hAnsi="Arial" w:cs="Arial"/>
                <w:sz w:val="22"/>
                <w:szCs w:val="22"/>
              </w:rPr>
              <w:t>mg SC once weekly</w:t>
            </w:r>
          </w:p>
          <w:p w14:paraId="776229AB" w14:textId="30E923E0" w:rsidR="00082D24" w:rsidRDefault="00082D24" w:rsidP="00082D24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Key Points</w:t>
            </w:r>
          </w:p>
          <w:p w14:paraId="3D74179A" w14:textId="389D91D5" w:rsidR="00361333" w:rsidRPr="00361333" w:rsidRDefault="00361333" w:rsidP="0036133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>Once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361333">
              <w:rPr>
                <w:rFonts w:ascii="Arial" w:eastAsia="Arial" w:hAnsi="Arial" w:cs="Arial"/>
                <w:sz w:val="22"/>
                <w:szCs w:val="22"/>
              </w:rPr>
              <w:t>weekly administration may improve adherence &amp; treatment perception</w:t>
            </w:r>
          </w:p>
          <w:p w14:paraId="29BA3169" w14:textId="3F0EF7F3" w:rsidR="00361333" w:rsidRPr="00361333" w:rsidRDefault="00361333" w:rsidP="0036133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STEP clinical trial program demonstrated that patients taking </w:t>
            </w:r>
            <w:proofErr w:type="spellStart"/>
            <w:r w:rsidRPr="00361333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 with a reduced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361333">
              <w:rPr>
                <w:rFonts w:ascii="Arial" w:eastAsia="Arial" w:hAnsi="Arial" w:cs="Arial"/>
                <w:sz w:val="22"/>
                <w:szCs w:val="22"/>
              </w:rPr>
              <w:t>calorie meal plan &amp; increased physical activity achieved a significant reduction in body weight compared with placebo (reduced calorie meal plan &amp; increased physical activity only)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706410A" w14:textId="0E3799E2" w:rsidR="00361333" w:rsidRPr="00361333" w:rsidRDefault="00361333" w:rsidP="0036133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 The STEP 5 clinical trial investigated the benefits of </w:t>
            </w:r>
            <w:proofErr w:type="spellStart"/>
            <w:r w:rsidRPr="00361333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 over a 2-year time frame (104 weeks)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5FA09CD" w14:textId="16F6C04D" w:rsidR="00361333" w:rsidRPr="00361333" w:rsidRDefault="00361333" w:rsidP="001D67A4">
            <w:pPr>
              <w:pStyle w:val="ListParagraph"/>
              <w:numPr>
                <w:ilvl w:val="3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Sustained weight loss with an average percent change in body weight of negative 16.7% in the </w:t>
            </w:r>
            <w:proofErr w:type="spellStart"/>
            <w:r w:rsidRPr="00361333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 arm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456F044" w14:textId="29432EDE" w:rsidR="00361333" w:rsidRPr="00361333" w:rsidRDefault="00361333" w:rsidP="001D67A4">
            <w:pPr>
              <w:pStyle w:val="ListParagraph"/>
              <w:numPr>
                <w:ilvl w:val="3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>40% of patients lost &gt;</w:t>
            </w:r>
            <w:r w:rsidR="00FA3CA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61333">
              <w:rPr>
                <w:rFonts w:ascii="Arial" w:eastAsia="Arial" w:hAnsi="Arial" w:cs="Arial"/>
                <w:sz w:val="22"/>
                <w:szCs w:val="22"/>
              </w:rPr>
              <w:t>20% of their body weight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64C1EAB" w14:textId="3783A62E" w:rsidR="00361333" w:rsidRPr="00361333" w:rsidRDefault="00361333" w:rsidP="0036133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 xml:space="preserve">No alarm bells raised with the FDA or obesity doctors about </w:t>
            </w:r>
            <w:r w:rsidRPr="00361333">
              <w:rPr>
                <w:rFonts w:ascii="Arial" w:eastAsia="Arial" w:hAnsi="Arial" w:cs="Arial"/>
                <w:sz w:val="22"/>
                <w:szCs w:val="22"/>
              </w:rPr>
              <w:lastRenderedPageBreak/>
              <w:t>serious side effects of previous treatments for obesity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1416848" w14:textId="508B0402" w:rsidR="00361333" w:rsidRPr="00655285" w:rsidRDefault="00361333" w:rsidP="00361333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361333">
              <w:rPr>
                <w:rFonts w:ascii="Arial" w:eastAsia="Arial" w:hAnsi="Arial" w:cs="Arial"/>
                <w:sz w:val="22"/>
                <w:szCs w:val="22"/>
              </w:rPr>
              <w:t>Appears to be the most efficacious of the agents approved for chronic weight management in adults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0015E61" w14:textId="5772200E" w:rsidR="00655285" w:rsidRPr="00655285" w:rsidRDefault="00655285" w:rsidP="00655285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55285">
              <w:rPr>
                <w:rFonts w:ascii="Arial" w:eastAsia="Arial" w:hAnsi="Arial" w:cs="Arial"/>
                <w:sz w:val="22"/>
                <w:szCs w:val="22"/>
              </w:rPr>
              <w:t>Adverse effects, contraindications, warnings, and precautions</w:t>
            </w:r>
          </w:p>
          <w:p w14:paraId="2F8EA82D" w14:textId="10E03B79" w:rsidR="00655285" w:rsidRPr="00655285" w:rsidRDefault="00655285" w:rsidP="00655285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55285">
              <w:rPr>
                <w:rFonts w:ascii="Arial" w:eastAsia="Arial" w:hAnsi="Arial" w:cs="Arial"/>
                <w:sz w:val="22"/>
                <w:szCs w:val="22"/>
              </w:rPr>
              <w:t>May lower blood glucose and can cause hypoglycemia; thus, the risk for hypoglycemia is higher when used concomitantly with insulin secretagogue or insulin</w:t>
            </w:r>
            <w:r w:rsidR="00C8718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ED68045" w14:textId="77777777" w:rsidR="00655285" w:rsidRPr="00655285" w:rsidRDefault="00655285" w:rsidP="00655285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55285">
              <w:rPr>
                <w:rFonts w:ascii="Arial" w:eastAsia="Arial" w:hAnsi="Arial" w:cs="Arial"/>
                <w:sz w:val="22"/>
                <w:szCs w:val="22"/>
              </w:rPr>
              <w:t>Stigma surrounding obesity as a disease</w:t>
            </w:r>
          </w:p>
          <w:p w14:paraId="56039A33" w14:textId="79B809E7" w:rsidR="00655285" w:rsidRPr="00655285" w:rsidRDefault="00655285" w:rsidP="006708EA">
            <w:pPr>
              <w:pStyle w:val="ListParagraph"/>
              <w:numPr>
                <w:ilvl w:val="3"/>
                <w:numId w:val="2"/>
              </w:numPr>
              <w:tabs>
                <w:tab w:val="left" w:pos="1066"/>
              </w:tabs>
              <w:ind w:hanging="358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55285">
              <w:rPr>
                <w:rFonts w:ascii="Arial" w:eastAsia="Arial" w:hAnsi="Arial" w:cs="Arial"/>
                <w:sz w:val="22"/>
                <w:szCs w:val="22"/>
              </w:rPr>
              <w:t>Patients may be hesitant to seek treatment</w:t>
            </w:r>
            <w:r w:rsidR="008E479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33F8D23" w14:textId="1E4D1F9B" w:rsidR="00655285" w:rsidRPr="00655285" w:rsidRDefault="00655285" w:rsidP="00655285">
            <w:pPr>
              <w:pStyle w:val="ListParagraph"/>
              <w:numPr>
                <w:ilvl w:val="2"/>
                <w:numId w:val="2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55285">
              <w:rPr>
                <w:rFonts w:ascii="Arial" w:eastAsia="Arial" w:hAnsi="Arial" w:cs="Arial"/>
                <w:sz w:val="22"/>
                <w:szCs w:val="22"/>
              </w:rPr>
              <w:t>Lingering safety doubts may persist after several high-profile withdrawals</w:t>
            </w:r>
            <w:r w:rsidR="008E479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5FA1CCB" w14:textId="77777777" w:rsidR="00655285" w:rsidRPr="00670EE5" w:rsidRDefault="00655285" w:rsidP="00670EE5">
            <w:pPr>
              <w:tabs>
                <w:tab w:val="left" w:pos="1066"/>
              </w:tabs>
              <w:contextualSpacing/>
              <w:rPr>
                <w:rFonts w:eastAsia="Arial" w:cs="Arial"/>
                <w:sz w:val="22"/>
                <w:szCs w:val="22"/>
              </w:rPr>
            </w:pPr>
          </w:p>
          <w:p w14:paraId="7B121D0A" w14:textId="275F7745" w:rsidR="00361333" w:rsidRDefault="00670EE5" w:rsidP="00670EE5">
            <w:pPr>
              <w:tabs>
                <w:tab w:val="left" w:pos="1066"/>
              </w:tabs>
              <w:contextualSpacing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Conclusions</w:t>
            </w:r>
          </w:p>
          <w:p w14:paraId="13164A42" w14:textId="77777777" w:rsidR="00633A5F" w:rsidRPr="00633A5F" w:rsidRDefault="00633A5F" w:rsidP="00451502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33A5F">
              <w:rPr>
                <w:rFonts w:ascii="Arial" w:eastAsia="Arial" w:hAnsi="Arial" w:cs="Arial"/>
                <w:sz w:val="22"/>
                <w:szCs w:val="22"/>
              </w:rPr>
              <w:t>Massachusetts regulations do not permit the coverage of agents for the treatment of obesity.</w:t>
            </w:r>
          </w:p>
          <w:p w14:paraId="592B8836" w14:textId="77777777" w:rsidR="00633A5F" w:rsidRPr="00633A5F" w:rsidRDefault="00633A5F" w:rsidP="00451502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33A5F">
              <w:rPr>
                <w:rFonts w:ascii="Arial" w:eastAsia="Arial" w:hAnsi="Arial" w:cs="Arial"/>
                <w:sz w:val="22"/>
                <w:szCs w:val="22"/>
              </w:rPr>
              <w:t>The MassHealth Pharmacy Program is currently evaluating coverage implications and engaging stakeholders on the role of drug products in obesity management.</w:t>
            </w:r>
          </w:p>
          <w:p w14:paraId="5D095139" w14:textId="1169C92D" w:rsidR="00633A5F" w:rsidRPr="00633A5F" w:rsidRDefault="00633A5F" w:rsidP="00451502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33A5F">
              <w:rPr>
                <w:rFonts w:ascii="Arial" w:eastAsia="Arial" w:hAnsi="Arial" w:cs="Arial"/>
                <w:sz w:val="22"/>
                <w:szCs w:val="22"/>
              </w:rPr>
              <w:t>Coverage of agents for the treatment of obesity in the United States is sparse and</w:t>
            </w:r>
            <w:r w:rsidR="00FA3CAB">
              <w:rPr>
                <w:rFonts w:ascii="Arial" w:eastAsia="Arial" w:hAnsi="Arial" w:cs="Arial"/>
                <w:sz w:val="22"/>
                <w:szCs w:val="22"/>
              </w:rPr>
              <w:t xml:space="preserve"> is</w:t>
            </w:r>
            <w:r w:rsidRPr="00633A5F">
              <w:rPr>
                <w:rFonts w:ascii="Arial" w:eastAsia="Arial" w:hAnsi="Arial" w:cs="Arial"/>
                <w:sz w:val="22"/>
                <w:szCs w:val="22"/>
              </w:rPr>
              <w:t xml:space="preserve"> guided by Medicare</w:t>
            </w:r>
            <w:r w:rsidR="008E479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C4C7E61" w14:textId="2257849D" w:rsidR="00633A5F" w:rsidRPr="00633A5F" w:rsidRDefault="00633A5F" w:rsidP="00451502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633A5F">
              <w:rPr>
                <w:rFonts w:ascii="Arial" w:eastAsia="Arial" w:hAnsi="Arial" w:cs="Arial"/>
                <w:sz w:val="22"/>
                <w:szCs w:val="22"/>
              </w:rPr>
              <w:t xml:space="preserve">Obesity affects a large portion of the US population and </w:t>
            </w:r>
            <w:r w:rsidR="00FA3CAB"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r w:rsidRPr="00633A5F">
              <w:rPr>
                <w:rFonts w:ascii="Arial" w:eastAsia="Arial" w:hAnsi="Arial" w:cs="Arial"/>
                <w:sz w:val="22"/>
                <w:szCs w:val="22"/>
              </w:rPr>
              <w:t>has health and financial consequences</w:t>
            </w:r>
            <w:r w:rsidR="008E479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EC6AB17" w14:textId="2A89F03F" w:rsidR="00633A5F" w:rsidRPr="00633A5F" w:rsidRDefault="00633A5F" w:rsidP="00451502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33A5F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00633A5F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33A5F">
              <w:rPr>
                <w:rFonts w:ascii="Arial" w:eastAsia="Arial" w:hAnsi="Arial" w:cs="Arial"/>
                <w:sz w:val="22"/>
                <w:szCs w:val="22"/>
              </w:rPr>
              <w:t>semaglutide</w:t>
            </w:r>
            <w:proofErr w:type="spellEnd"/>
            <w:r w:rsidRPr="00633A5F">
              <w:rPr>
                <w:rFonts w:ascii="Arial" w:eastAsia="Arial" w:hAnsi="Arial" w:cs="Arial"/>
                <w:sz w:val="22"/>
                <w:szCs w:val="22"/>
              </w:rPr>
              <w:t>) clinical efficacy data is promising compared to other FDA-approved weight management medications</w:t>
            </w:r>
            <w:r w:rsidR="008E479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F503327" w14:textId="77777777" w:rsidR="0012685E" w:rsidRPr="00900466" w:rsidRDefault="0012685E" w:rsidP="00C87182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0134CC9A" w14:textId="77777777" w:rsidR="00D31B6C" w:rsidRPr="00900466" w:rsidRDefault="00D31B6C" w:rsidP="00C87182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Questions</w:t>
            </w:r>
          </w:p>
          <w:p w14:paraId="5E10C2F9" w14:textId="3E9E7027" w:rsidR="00633A5F" w:rsidRDefault="001621B6" w:rsidP="00633A5F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Jeffr</w:t>
            </w:r>
            <w:r w:rsidR="00652C1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y commented that </w:t>
            </w:r>
            <w:r w:rsidR="00834C78">
              <w:rPr>
                <w:rFonts w:ascii="Arial" w:hAnsi="Arial" w:cs="Arial"/>
                <w:sz w:val="22"/>
                <w:szCs w:val="22"/>
              </w:rPr>
              <w:t>as a health</w:t>
            </w:r>
            <w:r w:rsidR="008E4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4C78">
              <w:rPr>
                <w:rFonts w:ascii="Arial" w:hAnsi="Arial" w:cs="Arial"/>
                <w:sz w:val="22"/>
                <w:szCs w:val="22"/>
              </w:rPr>
              <w:t>care system</w:t>
            </w:r>
            <w:r w:rsidR="00A34DC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32C37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A34DC9">
              <w:rPr>
                <w:rFonts w:ascii="Arial" w:hAnsi="Arial" w:cs="Arial"/>
                <w:sz w:val="22"/>
                <w:szCs w:val="22"/>
              </w:rPr>
              <w:t xml:space="preserve">acknowledge </w:t>
            </w:r>
            <w:r w:rsidR="008E479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50545A">
              <w:rPr>
                <w:rFonts w:ascii="Arial" w:hAnsi="Arial" w:cs="Arial"/>
                <w:sz w:val="22"/>
                <w:szCs w:val="22"/>
              </w:rPr>
              <w:t>weight is a problem</w:t>
            </w:r>
            <w:r w:rsidR="00232C37">
              <w:rPr>
                <w:rFonts w:ascii="Arial" w:hAnsi="Arial" w:cs="Arial"/>
                <w:sz w:val="22"/>
                <w:szCs w:val="22"/>
              </w:rPr>
              <w:t xml:space="preserve"> but </w:t>
            </w:r>
            <w:r w:rsidR="00C849B2">
              <w:rPr>
                <w:rFonts w:ascii="Arial" w:hAnsi="Arial" w:cs="Arial"/>
                <w:sz w:val="22"/>
                <w:szCs w:val="22"/>
              </w:rPr>
              <w:t xml:space="preserve">not </w:t>
            </w:r>
            <w:r w:rsidR="008E4794">
              <w:rPr>
                <w:rFonts w:ascii="Arial" w:hAnsi="Arial" w:cs="Arial"/>
                <w:sz w:val="22"/>
                <w:szCs w:val="22"/>
              </w:rPr>
              <w:t xml:space="preserve">one that we are </w:t>
            </w:r>
            <w:r w:rsidR="00C849B2">
              <w:rPr>
                <w:rFonts w:ascii="Arial" w:hAnsi="Arial" w:cs="Arial"/>
                <w:sz w:val="22"/>
                <w:szCs w:val="22"/>
              </w:rPr>
              <w:t>adequately addressing</w:t>
            </w:r>
            <w:r w:rsidR="005054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82FA6">
              <w:rPr>
                <w:rFonts w:ascii="Arial" w:hAnsi="Arial" w:cs="Arial"/>
                <w:sz w:val="22"/>
                <w:szCs w:val="22"/>
              </w:rPr>
              <w:t>He also comment</w:t>
            </w:r>
            <w:r w:rsidR="001B0C7E">
              <w:rPr>
                <w:rFonts w:ascii="Arial" w:hAnsi="Arial" w:cs="Arial"/>
                <w:sz w:val="22"/>
                <w:szCs w:val="22"/>
              </w:rPr>
              <w:t>ed</w:t>
            </w:r>
            <w:r w:rsidR="00982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0C7E">
              <w:rPr>
                <w:rFonts w:ascii="Arial" w:hAnsi="Arial" w:cs="Arial"/>
                <w:sz w:val="22"/>
                <w:szCs w:val="22"/>
              </w:rPr>
              <w:t>that we</w:t>
            </w:r>
            <w:r w:rsidR="00982FA6">
              <w:rPr>
                <w:rFonts w:ascii="Arial" w:hAnsi="Arial" w:cs="Arial"/>
                <w:sz w:val="22"/>
                <w:szCs w:val="22"/>
              </w:rPr>
              <w:t xml:space="preserve"> have been struggling with this issue</w:t>
            </w:r>
            <w:r w:rsidR="00192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9B2">
              <w:rPr>
                <w:rFonts w:ascii="Arial" w:hAnsi="Arial" w:cs="Arial"/>
                <w:sz w:val="22"/>
                <w:szCs w:val="22"/>
              </w:rPr>
              <w:t xml:space="preserve">as a stigma </w:t>
            </w:r>
            <w:r w:rsidR="0019234E">
              <w:rPr>
                <w:rFonts w:ascii="Arial" w:hAnsi="Arial" w:cs="Arial"/>
                <w:sz w:val="22"/>
                <w:szCs w:val="22"/>
              </w:rPr>
              <w:t>as well as other health issues.</w:t>
            </w:r>
            <w:r w:rsidR="008E4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54F2">
              <w:rPr>
                <w:rFonts w:ascii="Arial" w:hAnsi="Arial" w:cs="Arial"/>
                <w:sz w:val="22"/>
                <w:szCs w:val="22"/>
              </w:rPr>
              <w:t xml:space="preserve">Jeffrey </w:t>
            </w:r>
            <w:r w:rsidR="001B0C7E">
              <w:rPr>
                <w:rFonts w:ascii="Arial" w:hAnsi="Arial" w:cs="Arial"/>
                <w:sz w:val="22"/>
                <w:szCs w:val="22"/>
              </w:rPr>
              <w:t>mentioned that if we are to go forward there will need to be regulations and guideline changes that will need to be implemented</w:t>
            </w:r>
            <w:r w:rsidR="0048727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F00B3CC" w14:textId="37BDE954" w:rsidR="00E21C8C" w:rsidRDefault="00E21C8C" w:rsidP="00633A5F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Gagnon </w:t>
            </w:r>
            <w:r w:rsidR="006B0326">
              <w:rPr>
                <w:rFonts w:ascii="Arial" w:hAnsi="Arial" w:cs="Arial"/>
                <w:sz w:val="22"/>
                <w:szCs w:val="22"/>
              </w:rPr>
              <w:t>stated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the </w:t>
            </w:r>
            <w:r w:rsidR="00CA43FF">
              <w:rPr>
                <w:rFonts w:ascii="Arial" w:hAnsi="Arial" w:cs="Arial"/>
                <w:sz w:val="22"/>
                <w:szCs w:val="22"/>
              </w:rPr>
              <w:t>stigma point wa</w:t>
            </w:r>
            <w:r w:rsidR="002E7994">
              <w:rPr>
                <w:rFonts w:ascii="Arial" w:hAnsi="Arial" w:cs="Arial"/>
                <w:sz w:val="22"/>
                <w:szCs w:val="22"/>
              </w:rPr>
              <w:t>s valid</w:t>
            </w:r>
            <w:r w:rsidR="00F145AE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1865F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2E7994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1865F4">
              <w:rPr>
                <w:rFonts w:ascii="Arial" w:hAnsi="Arial" w:cs="Arial"/>
                <w:sz w:val="22"/>
                <w:szCs w:val="22"/>
              </w:rPr>
              <w:t xml:space="preserve">could make an impact </w:t>
            </w:r>
            <w:r w:rsidR="00CD6DB0">
              <w:rPr>
                <w:rFonts w:ascii="Arial" w:hAnsi="Arial" w:cs="Arial"/>
                <w:sz w:val="22"/>
                <w:szCs w:val="22"/>
              </w:rPr>
              <w:t>on</w:t>
            </w:r>
            <w:r w:rsidR="00F14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65F4">
              <w:rPr>
                <w:rFonts w:ascii="Arial" w:hAnsi="Arial" w:cs="Arial"/>
                <w:sz w:val="22"/>
                <w:szCs w:val="22"/>
              </w:rPr>
              <w:t>analysi</w:t>
            </w:r>
            <w:r w:rsidR="00F145AE">
              <w:rPr>
                <w:rFonts w:ascii="Arial" w:hAnsi="Arial" w:cs="Arial"/>
                <w:sz w:val="22"/>
                <w:szCs w:val="22"/>
              </w:rPr>
              <w:t>s o</w:t>
            </w:r>
            <w:r w:rsidR="00CD6DB0">
              <w:rPr>
                <w:rFonts w:ascii="Arial" w:hAnsi="Arial" w:cs="Arial"/>
                <w:sz w:val="22"/>
                <w:szCs w:val="22"/>
              </w:rPr>
              <w:t>f</w:t>
            </w:r>
            <w:r w:rsidR="00F145A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3495B">
              <w:rPr>
                <w:rFonts w:ascii="Arial" w:hAnsi="Arial" w:cs="Arial"/>
                <w:sz w:val="22"/>
                <w:szCs w:val="22"/>
              </w:rPr>
              <w:t xml:space="preserve"> budget</w:t>
            </w:r>
            <w:r w:rsidR="00C849B2">
              <w:rPr>
                <w:rFonts w:ascii="Arial" w:hAnsi="Arial" w:cs="Arial"/>
                <w:sz w:val="22"/>
                <w:szCs w:val="22"/>
              </w:rPr>
              <w:t xml:space="preserve"> as his experience diagnosis in under-documented</w:t>
            </w:r>
            <w:r w:rsidR="0013495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E8E6CA9" w14:textId="553E1962" w:rsidR="003A1C36" w:rsidRDefault="003A1C36" w:rsidP="00633A5F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inquired about the </w:t>
            </w:r>
            <w:r w:rsidR="005F69C2">
              <w:rPr>
                <w:rFonts w:ascii="Arial" w:hAnsi="Arial" w:cs="Arial"/>
                <w:sz w:val="22"/>
                <w:szCs w:val="22"/>
              </w:rPr>
              <w:t xml:space="preserve">comparison for </w:t>
            </w:r>
            <w:r w:rsidR="00F41F01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5F69C2">
              <w:rPr>
                <w:rFonts w:ascii="Arial" w:hAnsi="Arial" w:cs="Arial"/>
                <w:sz w:val="22"/>
                <w:szCs w:val="22"/>
              </w:rPr>
              <w:t>coverage</w:t>
            </w:r>
            <w:r w:rsidR="00F41F0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80AC6">
              <w:rPr>
                <w:rFonts w:ascii="Arial" w:hAnsi="Arial" w:cs="Arial"/>
                <w:sz w:val="22"/>
                <w:szCs w:val="22"/>
              </w:rPr>
              <w:t>i.e.,</w:t>
            </w:r>
            <w:r w:rsidR="00F41F01">
              <w:rPr>
                <w:rFonts w:ascii="Arial" w:hAnsi="Arial" w:cs="Arial"/>
                <w:sz w:val="22"/>
                <w:szCs w:val="22"/>
              </w:rPr>
              <w:t xml:space="preserve"> procedures</w:t>
            </w:r>
            <w:r w:rsidR="00580AC6">
              <w:rPr>
                <w:rFonts w:ascii="Arial" w:hAnsi="Arial" w:cs="Arial"/>
                <w:sz w:val="22"/>
                <w:szCs w:val="22"/>
              </w:rPr>
              <w:t xml:space="preserve"> for obesity)</w:t>
            </w:r>
            <w:r w:rsidR="005F69C2">
              <w:rPr>
                <w:rFonts w:ascii="Arial" w:hAnsi="Arial" w:cs="Arial"/>
                <w:sz w:val="22"/>
                <w:szCs w:val="22"/>
              </w:rPr>
              <w:t xml:space="preserve"> between MassHealth </w:t>
            </w:r>
            <w:r w:rsidR="00E33E38">
              <w:rPr>
                <w:rFonts w:ascii="Arial" w:hAnsi="Arial" w:cs="Arial"/>
                <w:sz w:val="22"/>
                <w:szCs w:val="22"/>
              </w:rPr>
              <w:t>and pharmacy.</w:t>
            </w:r>
          </w:p>
          <w:p w14:paraId="4A60B751" w14:textId="08D25B2F" w:rsidR="00E33E38" w:rsidRDefault="00E33E38" w:rsidP="00633A5F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Jeffrey responded that </w:t>
            </w:r>
            <w:r w:rsidR="00A61E76">
              <w:rPr>
                <w:rFonts w:ascii="Arial" w:hAnsi="Arial" w:cs="Arial"/>
                <w:sz w:val="22"/>
                <w:szCs w:val="22"/>
              </w:rPr>
              <w:t>MassHealth</w:t>
            </w:r>
            <w:r w:rsidR="00AD0B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covers gastric </w:t>
            </w:r>
            <w:r w:rsidR="002E34A0">
              <w:rPr>
                <w:rFonts w:ascii="Arial" w:hAnsi="Arial" w:cs="Arial"/>
                <w:sz w:val="22"/>
                <w:szCs w:val="22"/>
              </w:rPr>
              <w:t>bypass as well as various surgeries</w:t>
            </w:r>
            <w:r w:rsidR="00BD747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E34A0">
              <w:rPr>
                <w:rFonts w:ascii="Arial" w:hAnsi="Arial" w:cs="Arial"/>
                <w:sz w:val="22"/>
                <w:szCs w:val="22"/>
              </w:rPr>
              <w:t>medication</w:t>
            </w:r>
            <w:r w:rsidR="005A54F2">
              <w:rPr>
                <w:rFonts w:ascii="Arial" w:hAnsi="Arial" w:cs="Arial"/>
                <w:sz w:val="22"/>
                <w:szCs w:val="22"/>
              </w:rPr>
              <w:t xml:space="preserve"> for genetic causes of obesity.</w:t>
            </w:r>
            <w:r w:rsidR="002E34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050EE8" w14:textId="20903F98" w:rsidR="008A5BF2" w:rsidRDefault="008A5BF2" w:rsidP="00633A5F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Lenz stated that</w:t>
            </w:r>
            <w:r w:rsidR="00CA692A">
              <w:rPr>
                <w:rFonts w:ascii="Arial" w:hAnsi="Arial" w:cs="Arial"/>
                <w:sz w:val="22"/>
                <w:szCs w:val="22"/>
              </w:rPr>
              <w:t xml:space="preserve"> they discuss this subject with </w:t>
            </w:r>
            <w:r w:rsidR="00B66922">
              <w:rPr>
                <w:rFonts w:ascii="Arial" w:hAnsi="Arial" w:cs="Arial"/>
                <w:sz w:val="22"/>
                <w:szCs w:val="22"/>
              </w:rPr>
              <w:t xml:space="preserve">MassHealth Medical </w:t>
            </w:r>
            <w:r w:rsidR="00CA692A">
              <w:rPr>
                <w:rFonts w:ascii="Arial" w:hAnsi="Arial" w:cs="Arial"/>
                <w:sz w:val="22"/>
                <w:szCs w:val="22"/>
              </w:rPr>
              <w:t>directors</w:t>
            </w:r>
            <w:r w:rsidR="00B669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8A0">
              <w:rPr>
                <w:rFonts w:ascii="Arial" w:hAnsi="Arial" w:cs="Arial"/>
                <w:sz w:val="22"/>
                <w:szCs w:val="22"/>
              </w:rPr>
              <w:t xml:space="preserve">to make sure </w:t>
            </w:r>
            <w:r w:rsidR="00A558D6">
              <w:rPr>
                <w:rFonts w:ascii="Arial" w:hAnsi="Arial" w:cs="Arial"/>
                <w:sz w:val="22"/>
                <w:szCs w:val="22"/>
              </w:rPr>
              <w:t xml:space="preserve">both pharmacy and </w:t>
            </w:r>
            <w:r w:rsidR="00C849B2">
              <w:rPr>
                <w:rFonts w:ascii="Arial" w:hAnsi="Arial" w:cs="Arial"/>
                <w:sz w:val="22"/>
                <w:szCs w:val="22"/>
              </w:rPr>
              <w:t>m</w:t>
            </w:r>
            <w:r w:rsidR="00A558D6">
              <w:rPr>
                <w:rFonts w:ascii="Arial" w:hAnsi="Arial" w:cs="Arial"/>
                <w:sz w:val="22"/>
                <w:szCs w:val="22"/>
              </w:rPr>
              <w:t xml:space="preserve">edical </w:t>
            </w:r>
            <w:r w:rsidR="00C849B2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="00A558D6">
              <w:rPr>
                <w:rFonts w:ascii="Arial" w:hAnsi="Arial" w:cs="Arial"/>
                <w:sz w:val="22"/>
                <w:szCs w:val="22"/>
              </w:rPr>
              <w:t xml:space="preserve">are updated. </w:t>
            </w:r>
          </w:p>
          <w:p w14:paraId="6199CF0A" w14:textId="3D9EFA5A" w:rsidR="00A23014" w:rsidRPr="00BF7DD4" w:rsidRDefault="00381B48" w:rsidP="00BF7DD4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Low suggested</w:t>
            </w:r>
            <w:r w:rsidR="00BE326C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246B49">
              <w:rPr>
                <w:rFonts w:ascii="Arial" w:hAnsi="Arial" w:cs="Arial"/>
                <w:sz w:val="22"/>
                <w:szCs w:val="22"/>
              </w:rPr>
              <w:t>we need a clear</w:t>
            </w:r>
            <w:r w:rsidR="00111DDA">
              <w:rPr>
                <w:rFonts w:ascii="Arial" w:hAnsi="Arial" w:cs="Arial"/>
                <w:sz w:val="22"/>
                <w:szCs w:val="22"/>
              </w:rPr>
              <w:t>er</w:t>
            </w:r>
            <w:r w:rsidR="00246B49">
              <w:rPr>
                <w:rFonts w:ascii="Arial" w:hAnsi="Arial" w:cs="Arial"/>
                <w:sz w:val="22"/>
                <w:szCs w:val="22"/>
              </w:rPr>
              <w:t xml:space="preserve"> understanding of the</w:t>
            </w:r>
            <w:r w:rsidR="00111DDA">
              <w:rPr>
                <w:rFonts w:ascii="Arial" w:hAnsi="Arial" w:cs="Arial"/>
                <w:sz w:val="22"/>
                <w:szCs w:val="22"/>
              </w:rPr>
              <w:t xml:space="preserve"> treatment for obesity.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4A89B15" w14:textId="77777777" w:rsidR="00D31B6C" w:rsidRPr="00900466" w:rsidRDefault="00D31B6C" w:rsidP="00C87182">
            <w:pPr>
              <w:rPr>
                <w:rFonts w:cs="Arial"/>
                <w:sz w:val="22"/>
                <w:szCs w:val="22"/>
              </w:rPr>
            </w:pPr>
          </w:p>
          <w:p w14:paraId="335261E0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7A81A1C4" w14:textId="77777777" w:rsidR="00D31B6C" w:rsidRPr="00900466" w:rsidRDefault="00D31B6C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6BDEE9FF" w14:textId="16F71D00" w:rsidR="00D31B6C" w:rsidRDefault="00D31B6C" w:rsidP="00E8289F">
      <w:pPr>
        <w:rPr>
          <w:rFonts w:cs="Arial"/>
          <w:sz w:val="22"/>
          <w:szCs w:val="22"/>
        </w:rPr>
      </w:pPr>
    </w:p>
    <w:p w14:paraId="2120355C" w14:textId="77777777" w:rsidR="00111DDA" w:rsidRDefault="00111DDA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035B2" w:rsidRPr="00900466" w14:paraId="7C849F11" w14:textId="77777777" w:rsidTr="00C87182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77F0917C" w14:textId="77777777" w:rsidR="003035B2" w:rsidRPr="00900466" w:rsidRDefault="003035B2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30A3AFB" w14:textId="77777777" w:rsidR="003035B2" w:rsidRPr="00900466" w:rsidRDefault="003035B2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A858F9E" w14:textId="77777777" w:rsidR="003035B2" w:rsidRPr="00900466" w:rsidRDefault="003035B2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0E37179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084F6F8" w14:textId="77777777" w:rsidR="003035B2" w:rsidRPr="00900466" w:rsidRDefault="003035B2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8032A91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035B2" w:rsidRPr="00900466" w14:paraId="2FC2EADA" w14:textId="77777777" w:rsidTr="00C87182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6D742D5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</w:rPr>
            </w:pPr>
          </w:p>
          <w:p w14:paraId="0B2B939D" w14:textId="1ECD0F42" w:rsidR="003035B2" w:rsidRDefault="00AC09EE" w:rsidP="00C871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Over the Counter Agents Quality Assurance Analysis</w:t>
            </w:r>
          </w:p>
          <w:p w14:paraId="21CAA449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71561AE" w14:textId="77777777" w:rsidR="003035B2" w:rsidRPr="00900466" w:rsidRDefault="003035B2" w:rsidP="00C8718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0A5152D1" w14:textId="014F0C43" w:rsidR="003035B2" w:rsidRPr="003035B2" w:rsidRDefault="00AC09EE" w:rsidP="00C871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Over</w:t>
            </w:r>
            <w:r w:rsidR="008E4794">
              <w:rPr>
                <w:rFonts w:cs="Arial"/>
                <w:b/>
                <w:sz w:val="22"/>
                <w:szCs w:val="22"/>
                <w:u w:val="single"/>
              </w:rPr>
              <w:t>-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the</w:t>
            </w:r>
            <w:r w:rsidR="008E4794">
              <w:rPr>
                <w:rFonts w:cs="Arial"/>
                <w:b/>
                <w:sz w:val="22"/>
                <w:szCs w:val="22"/>
                <w:u w:val="single"/>
              </w:rPr>
              <w:t>-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Counter Agents </w:t>
            </w:r>
            <w:r w:rsidR="001F5149">
              <w:rPr>
                <w:rFonts w:cs="Arial"/>
                <w:b/>
                <w:sz w:val="22"/>
                <w:szCs w:val="22"/>
                <w:u w:val="single"/>
              </w:rPr>
              <w:t>Quality Assurance Analysis</w:t>
            </w:r>
            <w:r w:rsidR="003035B2" w:rsidRPr="003035B2">
              <w:rPr>
                <w:rFonts w:cs="Arial"/>
                <w:b/>
                <w:sz w:val="22"/>
                <w:szCs w:val="22"/>
                <w:u w:val="single"/>
              </w:rPr>
              <w:t xml:space="preserve"> by</w:t>
            </w:r>
            <w:r w:rsidR="003035B2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033AF3">
              <w:rPr>
                <w:rFonts w:cs="Arial"/>
                <w:b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="001F5149">
              <w:rPr>
                <w:rFonts w:cs="Arial"/>
                <w:b/>
                <w:sz w:val="22"/>
                <w:szCs w:val="22"/>
                <w:u w:val="single"/>
              </w:rPr>
              <w:t>Andrew Coelho</w:t>
            </w:r>
          </w:p>
          <w:p w14:paraId="6CE2C01D" w14:textId="272D3256" w:rsidR="003035B2" w:rsidRPr="00900466" w:rsidRDefault="006731B9" w:rsidP="00C87182">
            <w:pPr>
              <w:pStyle w:val="BodyText"/>
              <w:kinsoku w:val="0"/>
              <w:overflowPunct w:val="0"/>
              <w:spacing w:line="259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overview </w:t>
            </w:r>
            <w:r w:rsidR="00EB4C19">
              <w:rPr>
                <w:rFonts w:ascii="Arial" w:hAnsi="Arial" w:cs="Arial"/>
                <w:sz w:val="22"/>
                <w:szCs w:val="22"/>
              </w:rPr>
              <w:t>was</w:t>
            </w:r>
            <w:r>
              <w:rPr>
                <w:rFonts w:ascii="Arial" w:hAnsi="Arial" w:cs="Arial"/>
                <w:sz w:val="22"/>
                <w:szCs w:val="22"/>
              </w:rPr>
              <w:t xml:space="preserve"> an evaluation of current over</w:t>
            </w:r>
            <w:r w:rsidR="0000317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00317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counter product coverage and discuss any adjustments to MassHealth Pharmacy Program policy. </w:t>
            </w:r>
          </w:p>
          <w:p w14:paraId="51F10E79" w14:textId="77777777" w:rsidR="003035B2" w:rsidRPr="00900466" w:rsidRDefault="003035B2" w:rsidP="00C8718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7C50E34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</w:p>
          <w:p w14:paraId="4DBE96FD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3B3474C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3035B2" w:rsidRPr="00900466" w14:paraId="56A33BE3" w14:textId="77777777" w:rsidTr="00C87182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3B88888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</w:p>
          <w:p w14:paraId="395AB35B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79F7DC0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</w:p>
          <w:p w14:paraId="6CA82AD4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AABA250" w14:textId="4EB96C40" w:rsidR="00D13FE9" w:rsidRPr="00C43985" w:rsidRDefault="007842A1" w:rsidP="00D13FE9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13FE9">
              <w:rPr>
                <w:rFonts w:ascii="Arial" w:hAnsi="Arial" w:cs="Arial"/>
                <w:sz w:val="22"/>
                <w:szCs w:val="22"/>
              </w:rPr>
              <w:t>Over the Counter</w:t>
            </w:r>
            <w:r w:rsidR="00D13FE9" w:rsidRPr="00D13FE9">
              <w:rPr>
                <w:rFonts w:ascii="Arial" w:hAnsi="Arial" w:cs="Arial"/>
                <w:sz w:val="22"/>
                <w:szCs w:val="22"/>
              </w:rPr>
              <w:t xml:space="preserve"> (OTC)</w:t>
            </w:r>
            <w:r w:rsidR="0049238C" w:rsidRPr="00C4398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13FE9" w:rsidRPr="00C43985">
              <w:rPr>
                <w:rFonts w:ascii="Arial" w:hAnsi="Arial" w:cs="Arial"/>
                <w:sz w:val="22"/>
                <w:szCs w:val="22"/>
              </w:rPr>
              <w:t>Designation used to describe a medical product that can be purchased by the end-user without a prescription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AA28A5" w14:textId="77777777" w:rsidR="0049238C" w:rsidRPr="0049238C" w:rsidRDefault="0049238C" w:rsidP="0049238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9238C">
              <w:rPr>
                <w:rFonts w:ascii="Arial" w:hAnsi="Arial" w:cs="Arial"/>
                <w:sz w:val="22"/>
                <w:szCs w:val="22"/>
              </w:rPr>
              <w:t xml:space="preserve">Several different types of products may be classified as OTC. </w:t>
            </w:r>
          </w:p>
          <w:p w14:paraId="3FE632B5" w14:textId="0900D9B1" w:rsidR="0049238C" w:rsidRPr="0049238C" w:rsidRDefault="0049238C" w:rsidP="0049238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9238C">
              <w:rPr>
                <w:rFonts w:ascii="Arial" w:hAnsi="Arial" w:cs="Arial"/>
                <w:sz w:val="22"/>
                <w:szCs w:val="22"/>
              </w:rPr>
              <w:t>Definitions and requirements vary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  <w:r w:rsidRPr="004923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431C0" w14:textId="77777777" w:rsidR="0049238C" w:rsidRPr="0049238C" w:rsidRDefault="0049238C" w:rsidP="0049238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9238C">
              <w:rPr>
                <w:rFonts w:ascii="Arial" w:hAnsi="Arial" w:cs="Arial"/>
                <w:sz w:val="22"/>
                <w:szCs w:val="22"/>
              </w:rPr>
              <w:t>Ability to purchase without a prescription is consistent.</w:t>
            </w:r>
          </w:p>
          <w:p w14:paraId="611EFC5C" w14:textId="77777777" w:rsidR="00C43985" w:rsidRPr="00C43985" w:rsidRDefault="00C43985" w:rsidP="00C4398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43985">
              <w:rPr>
                <w:rFonts w:ascii="Arial" w:hAnsi="Arial" w:cs="Arial"/>
                <w:sz w:val="22"/>
                <w:szCs w:val="22"/>
              </w:rPr>
              <w:t>State Medicaid Programs are not required to cover most OTC products but may elect to cover these products based on the needs of their patients.</w:t>
            </w:r>
          </w:p>
          <w:p w14:paraId="7CC43507" w14:textId="53FB9B38" w:rsidR="00C43985" w:rsidRPr="00C43985" w:rsidRDefault="00C43985" w:rsidP="00C4398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43985">
              <w:rPr>
                <w:rFonts w:ascii="Arial" w:hAnsi="Arial" w:cs="Arial"/>
                <w:sz w:val="22"/>
                <w:szCs w:val="22"/>
              </w:rPr>
              <w:t>Utilization management can be implemented as indicated (e.g., trials with less costly alternatives)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0EC69F" w14:textId="069E2FA1" w:rsidR="001F618E" w:rsidRPr="00B10A8F" w:rsidRDefault="00C43985" w:rsidP="007842A1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43985">
              <w:rPr>
                <w:rFonts w:ascii="Arial" w:hAnsi="Arial" w:cs="Arial"/>
                <w:sz w:val="22"/>
                <w:szCs w:val="22"/>
              </w:rPr>
              <w:t>MassHealth has elected to cover certain OTC products through the pharmacy benefit when a valid prescription has been issued</w:t>
            </w:r>
            <w:r w:rsidR="00AA23A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4B796E" w14:textId="710D3C09" w:rsidR="007842A1" w:rsidRPr="00B10A8F" w:rsidRDefault="007842A1" w:rsidP="007842A1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Covered Products</w:t>
            </w:r>
          </w:p>
          <w:p w14:paraId="05FAD0B5" w14:textId="77777777" w:rsidR="00881883" w:rsidRPr="00881883" w:rsidRDefault="00881883" w:rsidP="0088188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881883">
              <w:rPr>
                <w:rFonts w:ascii="Arial" w:hAnsi="Arial" w:cs="Arial"/>
                <w:sz w:val="22"/>
                <w:szCs w:val="22"/>
              </w:rPr>
              <w:t>OTC Drugs</w:t>
            </w:r>
          </w:p>
          <w:p w14:paraId="02255D17" w14:textId="77777777" w:rsidR="00881883" w:rsidRPr="00881883" w:rsidRDefault="00881883" w:rsidP="0088188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881883">
              <w:rPr>
                <w:rFonts w:ascii="Arial" w:hAnsi="Arial" w:cs="Arial"/>
                <w:sz w:val="22"/>
                <w:szCs w:val="22"/>
              </w:rPr>
              <w:t>Vitamins, supplements</w:t>
            </w:r>
          </w:p>
          <w:p w14:paraId="23C50C86" w14:textId="7AD562ED" w:rsidR="007842A1" w:rsidRPr="00B10A8F" w:rsidRDefault="00881883" w:rsidP="0088188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881883">
              <w:rPr>
                <w:rFonts w:ascii="Arial" w:hAnsi="Arial" w:cs="Arial"/>
                <w:sz w:val="22"/>
                <w:szCs w:val="22"/>
              </w:rPr>
              <w:t>Medical supplies, devices</w:t>
            </w:r>
          </w:p>
          <w:p w14:paraId="37479A81" w14:textId="67410D84" w:rsidR="007842A1" w:rsidRPr="00B10A8F" w:rsidRDefault="007842A1" w:rsidP="007842A1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Product Listings</w:t>
            </w:r>
          </w:p>
          <w:p w14:paraId="3826180C" w14:textId="77777777" w:rsidR="00B10A8F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MassHealth OTC Drug List</w:t>
            </w:r>
          </w:p>
          <w:p w14:paraId="28756026" w14:textId="77777777" w:rsidR="00B10A8F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MassHealth Drug List (MHDL)</w:t>
            </w:r>
          </w:p>
          <w:p w14:paraId="39F658D6" w14:textId="77777777" w:rsidR="00B10A8F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MassHealth Non-Drug Product List</w:t>
            </w:r>
          </w:p>
          <w:p w14:paraId="45B05EB0" w14:textId="2FA0A07B" w:rsidR="00881883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ACPP/MCO Unified Pharmacy Product List</w:t>
            </w:r>
          </w:p>
          <w:p w14:paraId="340BED41" w14:textId="40394D66" w:rsidR="007842A1" w:rsidRPr="00B10A8F" w:rsidRDefault="007842A1" w:rsidP="007842A1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Utilization Management</w:t>
            </w:r>
          </w:p>
          <w:p w14:paraId="79148AD4" w14:textId="7640F58F" w:rsidR="00B10A8F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Many OTC agents covered without prior authorization (PA)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1EED97" w14:textId="21B5E607" w:rsidR="00B10A8F" w:rsidRPr="00B10A8F" w:rsidRDefault="00B10A8F" w:rsidP="00B10A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PA is required for some agents/classes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D7606" w14:textId="65F944A2" w:rsidR="00B10A8F" w:rsidRPr="00B10A8F" w:rsidRDefault="00B10A8F" w:rsidP="00B10A8F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Established criteria listed on the MHDL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5B1D2A" w14:textId="4BF42C64" w:rsidR="00B10A8F" w:rsidRDefault="00B10A8F" w:rsidP="00B10A8F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10A8F">
              <w:rPr>
                <w:rFonts w:ascii="Arial" w:hAnsi="Arial" w:cs="Arial"/>
                <w:sz w:val="22"/>
                <w:szCs w:val="22"/>
              </w:rPr>
              <w:t>Others evaluated case</w:t>
            </w:r>
            <w:r w:rsidR="000031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A8F">
              <w:rPr>
                <w:rFonts w:ascii="Arial" w:hAnsi="Arial" w:cs="Arial"/>
                <w:sz w:val="22"/>
                <w:szCs w:val="22"/>
              </w:rPr>
              <w:t>by</w:t>
            </w:r>
            <w:r w:rsidR="000031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A8F">
              <w:rPr>
                <w:rFonts w:ascii="Arial" w:hAnsi="Arial" w:cs="Arial"/>
                <w:sz w:val="22"/>
                <w:szCs w:val="22"/>
              </w:rPr>
              <w:t>case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D84E57" w14:textId="5F9CC680" w:rsidR="00057742" w:rsidRDefault="00513C17" w:rsidP="00057742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 Authorizations</w:t>
            </w:r>
            <w:r w:rsidR="007944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899">
              <w:rPr>
                <w:rFonts w:ascii="Arial" w:hAnsi="Arial" w:cs="Arial"/>
                <w:sz w:val="22"/>
                <w:szCs w:val="22"/>
              </w:rPr>
              <w:t>–</w:t>
            </w:r>
            <w:r w:rsidR="00794467">
              <w:rPr>
                <w:rFonts w:ascii="Arial" w:hAnsi="Arial" w:cs="Arial"/>
                <w:sz w:val="22"/>
                <w:szCs w:val="22"/>
              </w:rPr>
              <w:t xml:space="preserve"> OT</w:t>
            </w:r>
            <w:r w:rsidR="00177899">
              <w:rPr>
                <w:rFonts w:ascii="Arial" w:hAnsi="Arial" w:cs="Arial"/>
                <w:sz w:val="22"/>
                <w:szCs w:val="22"/>
              </w:rPr>
              <w:t>C Agents</w:t>
            </w:r>
          </w:p>
          <w:p w14:paraId="7342310C" w14:textId="79C8003D" w:rsidR="0078516C" w:rsidRDefault="0078516C" w:rsidP="0078516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8516C">
              <w:rPr>
                <w:rFonts w:ascii="Arial" w:hAnsi="Arial" w:cs="Arial"/>
                <w:sz w:val="22"/>
                <w:szCs w:val="22"/>
              </w:rPr>
              <w:t>OTC Agents, Unclassified</w:t>
            </w:r>
          </w:p>
          <w:p w14:paraId="7B11F69A" w14:textId="0C4C16BA" w:rsidR="00D27A20" w:rsidRPr="00D27A20" w:rsidRDefault="00D27A20" w:rsidP="00D27A2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27A20">
              <w:rPr>
                <w:rFonts w:ascii="Arial" w:hAnsi="Arial" w:cs="Arial"/>
                <w:sz w:val="22"/>
                <w:szCs w:val="22"/>
              </w:rPr>
              <w:t xml:space="preserve">Evaluated </w:t>
            </w:r>
            <w:r w:rsidR="0000317D">
              <w:rPr>
                <w:rFonts w:ascii="Arial" w:hAnsi="Arial" w:cs="Arial"/>
                <w:sz w:val="22"/>
                <w:szCs w:val="22"/>
              </w:rPr>
              <w:t>c</w:t>
            </w:r>
            <w:r w:rsidR="0000317D" w:rsidRPr="00D27A20">
              <w:rPr>
                <w:rFonts w:ascii="Arial" w:hAnsi="Arial" w:cs="Arial"/>
                <w:sz w:val="22"/>
                <w:szCs w:val="22"/>
              </w:rPr>
              <w:t>ase</w:t>
            </w:r>
            <w:r w:rsidR="000031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7A20">
              <w:rPr>
                <w:rFonts w:ascii="Arial" w:hAnsi="Arial" w:cs="Arial"/>
                <w:sz w:val="22"/>
                <w:szCs w:val="22"/>
              </w:rPr>
              <w:t>by</w:t>
            </w:r>
            <w:r w:rsidR="0000317D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D27A20">
              <w:rPr>
                <w:rFonts w:ascii="Arial" w:hAnsi="Arial" w:cs="Arial"/>
                <w:sz w:val="22"/>
                <w:szCs w:val="22"/>
              </w:rPr>
              <w:t>ase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2E6F26" w14:textId="77777777" w:rsidR="00D27A20" w:rsidRPr="00D27A20" w:rsidRDefault="00D27A20" w:rsidP="00D27A20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27A20">
              <w:rPr>
                <w:rFonts w:ascii="Arial" w:hAnsi="Arial" w:cs="Arial"/>
                <w:sz w:val="22"/>
                <w:szCs w:val="22"/>
              </w:rPr>
              <w:t>Requests typically denied for:</w:t>
            </w:r>
          </w:p>
          <w:p w14:paraId="3F6AF2BA" w14:textId="5F7831C1" w:rsidR="00D27A20" w:rsidRPr="00D27A20" w:rsidRDefault="00D27A20" w:rsidP="00D27A20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27A20">
              <w:rPr>
                <w:rFonts w:ascii="Arial" w:hAnsi="Arial" w:cs="Arial"/>
                <w:sz w:val="22"/>
                <w:szCs w:val="22"/>
              </w:rPr>
              <w:t>Generic available</w:t>
            </w:r>
            <w:r w:rsidR="0000317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4EE8F08" w14:textId="410C2452" w:rsidR="00D27A20" w:rsidRPr="00D27A20" w:rsidRDefault="00D27A20" w:rsidP="00D27A20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27A20">
              <w:rPr>
                <w:rFonts w:ascii="Arial" w:hAnsi="Arial" w:cs="Arial"/>
                <w:sz w:val="22"/>
                <w:szCs w:val="22"/>
              </w:rPr>
              <w:t>Formulation not covered</w:t>
            </w:r>
            <w:r w:rsidR="0000317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8BE2ABC" w14:textId="1BA403FA" w:rsidR="0083156F" w:rsidRPr="00D27A20" w:rsidRDefault="00D27A20" w:rsidP="00D27A20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27A20">
              <w:rPr>
                <w:rFonts w:ascii="Arial" w:hAnsi="Arial" w:cs="Arial"/>
                <w:sz w:val="22"/>
                <w:szCs w:val="22"/>
              </w:rPr>
              <w:lastRenderedPageBreak/>
              <w:t>Rx agent covered</w:t>
            </w:r>
            <w:r w:rsidR="000031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83F532" w14:textId="55D5E8AC" w:rsidR="00E4012A" w:rsidRDefault="00E4012A" w:rsidP="00E4012A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4012A">
              <w:rPr>
                <w:rFonts w:ascii="Arial" w:hAnsi="Arial" w:cs="Arial"/>
                <w:sz w:val="22"/>
                <w:szCs w:val="22"/>
              </w:rPr>
              <w:t>Medical Foods</w:t>
            </w:r>
          </w:p>
          <w:p w14:paraId="00C934A9" w14:textId="77777777" w:rsidR="00A41898" w:rsidRPr="00A41898" w:rsidRDefault="00A41898" w:rsidP="00A4189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41898">
              <w:rPr>
                <w:rFonts w:ascii="Arial" w:hAnsi="Arial" w:cs="Arial"/>
                <w:sz w:val="22"/>
                <w:szCs w:val="22"/>
              </w:rPr>
              <w:t>Not typically covered by MassHealth Pharmacy</w:t>
            </w:r>
          </w:p>
          <w:p w14:paraId="41F5DD89" w14:textId="5E10862E" w:rsidR="00A41898" w:rsidRPr="00A41898" w:rsidRDefault="00A41898" w:rsidP="00A41898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41898">
              <w:rPr>
                <w:rFonts w:ascii="Arial" w:hAnsi="Arial" w:cs="Arial"/>
                <w:sz w:val="22"/>
                <w:szCs w:val="22"/>
              </w:rPr>
              <w:t>Previous approvals for levomethylfolate are grandfathered</w:t>
            </w:r>
            <w:r w:rsidR="00346D74">
              <w:rPr>
                <w:rFonts w:ascii="Arial" w:hAnsi="Arial" w:cs="Arial"/>
                <w:sz w:val="22"/>
                <w:szCs w:val="22"/>
              </w:rPr>
              <w:t>;</w:t>
            </w:r>
            <w:r w:rsidRPr="00A41898">
              <w:rPr>
                <w:rFonts w:ascii="Arial" w:hAnsi="Arial" w:cs="Arial"/>
                <w:sz w:val="22"/>
                <w:szCs w:val="22"/>
              </w:rPr>
              <w:t xml:space="preserve"> new starts are denied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4BF36B" w14:textId="1583D286" w:rsidR="00D03988" w:rsidRPr="006528D9" w:rsidRDefault="00A41898" w:rsidP="00A41898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41898">
              <w:rPr>
                <w:rFonts w:ascii="Arial" w:hAnsi="Arial" w:cs="Arial"/>
                <w:sz w:val="22"/>
                <w:szCs w:val="22"/>
              </w:rPr>
              <w:t>Other agents are faxed back, not reviewed by MHDUR (case-by-case evaluation may apply)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8A3FA" w14:textId="43A52EFC" w:rsidR="00E4012A" w:rsidRPr="006528D9" w:rsidRDefault="00E4012A" w:rsidP="00C87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4012A">
              <w:rPr>
                <w:rFonts w:ascii="Arial" w:hAnsi="Arial" w:cs="Arial"/>
                <w:sz w:val="22"/>
                <w:szCs w:val="22"/>
              </w:rPr>
              <w:t>Coenzyme Q10 (age limit)</w:t>
            </w:r>
            <w:r w:rsidR="0083156F" w:rsidRPr="006528D9">
              <w:rPr>
                <w:rFonts w:ascii="Arial" w:hAnsi="Arial" w:cs="Arial"/>
                <w:sz w:val="22"/>
                <w:szCs w:val="22"/>
              </w:rPr>
              <w:t>/</w:t>
            </w:r>
            <w:r w:rsidRPr="00E4012A">
              <w:rPr>
                <w:rFonts w:ascii="Arial" w:hAnsi="Arial" w:cs="Arial"/>
                <w:sz w:val="22"/>
                <w:szCs w:val="22"/>
              </w:rPr>
              <w:t>Probiotics (age limit)</w:t>
            </w:r>
            <w:r w:rsidR="0083156F" w:rsidRPr="006528D9">
              <w:rPr>
                <w:rFonts w:ascii="Arial" w:hAnsi="Arial" w:cs="Arial"/>
                <w:sz w:val="22"/>
                <w:szCs w:val="22"/>
              </w:rPr>
              <w:t>/</w:t>
            </w:r>
            <w:r w:rsidRPr="00E4012A">
              <w:rPr>
                <w:rFonts w:ascii="Arial" w:hAnsi="Arial" w:cs="Arial"/>
                <w:sz w:val="22"/>
                <w:szCs w:val="22"/>
              </w:rPr>
              <w:t>Pseudoephedrine (dose limit)</w:t>
            </w:r>
            <w:r w:rsidR="0083156F" w:rsidRPr="006528D9">
              <w:rPr>
                <w:rFonts w:ascii="Arial" w:hAnsi="Arial" w:cs="Arial"/>
                <w:sz w:val="22"/>
                <w:szCs w:val="22"/>
              </w:rPr>
              <w:t>/</w:t>
            </w:r>
            <w:r w:rsidRPr="00E4012A">
              <w:rPr>
                <w:rFonts w:ascii="Arial" w:hAnsi="Arial" w:cs="Arial"/>
                <w:sz w:val="22"/>
                <w:szCs w:val="22"/>
              </w:rPr>
              <w:t>Vitamins, Brand Name/Combination</w:t>
            </w:r>
          </w:p>
          <w:p w14:paraId="70265599" w14:textId="1326FFE4" w:rsidR="006528D9" w:rsidRPr="006528D9" w:rsidRDefault="006528D9" w:rsidP="006528D9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6528D9">
              <w:rPr>
                <w:rFonts w:ascii="Arial" w:hAnsi="Arial" w:cs="Arial"/>
                <w:sz w:val="22"/>
                <w:szCs w:val="22"/>
              </w:rPr>
              <w:t>Have established PA criteria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77F841" w14:textId="7D464E44" w:rsidR="00177899" w:rsidRPr="00475265" w:rsidRDefault="006528D9" w:rsidP="0047526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6528D9">
              <w:rPr>
                <w:rFonts w:ascii="Arial" w:hAnsi="Arial" w:cs="Arial"/>
                <w:sz w:val="22"/>
                <w:szCs w:val="22"/>
              </w:rPr>
              <w:t>No notable PAs identified that may require adjustment of current management strategy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9535ED" w14:textId="77777777" w:rsidR="00AB7073" w:rsidRPr="00AB7073" w:rsidRDefault="00AB7073" w:rsidP="00AB7073">
            <w:p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</w:p>
          <w:p w14:paraId="3A219006" w14:textId="61054863" w:rsidR="001F618E" w:rsidRPr="001F618E" w:rsidRDefault="00475265" w:rsidP="001F618E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</w:t>
            </w:r>
          </w:p>
          <w:p w14:paraId="56B57677" w14:textId="3229E7BF" w:rsidR="00E5384C" w:rsidRPr="00E5384C" w:rsidRDefault="00E5384C" w:rsidP="00451502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OTC Products are associated with a significant cost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8EA75F" w14:textId="77777777" w:rsidR="00E5384C" w:rsidRPr="00E5384C" w:rsidRDefault="00E5384C" w:rsidP="00451502">
            <w:pPr>
              <w:pStyle w:val="ListParagraph"/>
              <w:numPr>
                <w:ilvl w:val="1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High volume, low average cost per claim</w:t>
            </w:r>
          </w:p>
          <w:p w14:paraId="1DB7AFD2" w14:textId="77777777" w:rsidR="00E5384C" w:rsidRPr="00E5384C" w:rsidRDefault="00E5384C" w:rsidP="00451502">
            <w:pPr>
              <w:pStyle w:val="ListParagraph"/>
              <w:numPr>
                <w:ilvl w:val="1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Several high-cost products with low or limited utilization</w:t>
            </w:r>
          </w:p>
          <w:p w14:paraId="2AE0C9A2" w14:textId="3AF87DC9" w:rsidR="00E5384C" w:rsidRPr="00E5384C" w:rsidRDefault="00E5384C" w:rsidP="00451502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 xml:space="preserve">Few </w:t>
            </w:r>
            <w:r w:rsidR="00346D74">
              <w:rPr>
                <w:rFonts w:ascii="Arial" w:hAnsi="Arial" w:cs="Arial"/>
                <w:sz w:val="22"/>
                <w:szCs w:val="22"/>
              </w:rPr>
              <w:t>PA</w:t>
            </w:r>
            <w:r w:rsidRPr="00E5384C">
              <w:rPr>
                <w:rFonts w:ascii="Arial" w:hAnsi="Arial" w:cs="Arial"/>
                <w:sz w:val="22"/>
                <w:szCs w:val="22"/>
              </w:rPr>
              <w:t xml:space="preserve"> requests</w:t>
            </w:r>
            <w:r w:rsidR="005A54F2">
              <w:rPr>
                <w:rFonts w:ascii="Arial" w:hAnsi="Arial" w:cs="Arial"/>
                <w:sz w:val="22"/>
                <w:szCs w:val="22"/>
              </w:rPr>
              <w:t>,</w:t>
            </w:r>
            <w:r w:rsidRPr="00E5384C">
              <w:rPr>
                <w:rFonts w:ascii="Arial" w:hAnsi="Arial" w:cs="Arial"/>
                <w:sz w:val="22"/>
                <w:szCs w:val="22"/>
              </w:rPr>
              <w:t xml:space="preserve"> approvals were appropriate</w:t>
            </w:r>
            <w:r w:rsidR="00346D74">
              <w:rPr>
                <w:rFonts w:ascii="Arial" w:hAnsi="Arial" w:cs="Arial"/>
                <w:sz w:val="22"/>
                <w:szCs w:val="22"/>
              </w:rPr>
              <w:t>,</w:t>
            </w:r>
            <w:r w:rsidRPr="00E5384C">
              <w:rPr>
                <w:rFonts w:ascii="Arial" w:hAnsi="Arial" w:cs="Arial"/>
                <w:sz w:val="22"/>
                <w:szCs w:val="22"/>
              </w:rPr>
              <w:t xml:space="preserve"> and no adjustments to criteria required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A40420" w14:textId="3F104A23" w:rsidR="00E5384C" w:rsidRPr="00E5384C" w:rsidRDefault="00E5384C" w:rsidP="00451502">
            <w:pPr>
              <w:pStyle w:val="ListParagraph"/>
              <w:numPr>
                <w:ilvl w:val="1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Certain classes have higher denial rates (e.g., vitamins)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3F02EA" w14:textId="6899898D" w:rsidR="00E5384C" w:rsidRPr="00E5384C" w:rsidRDefault="00E5384C" w:rsidP="00451502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All MassHealth MCOs provide OTC coverage; however, evaluating differences is challenging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5F82D5" w14:textId="7231FAD2" w:rsidR="00E5384C" w:rsidRPr="00E5384C" w:rsidRDefault="00E5384C" w:rsidP="00451502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Full evidence-based reviews will be completed for OTC classes (probiotics, coenzyme Q10, etc.)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BEF4A6" w14:textId="43708678" w:rsidR="003035B2" w:rsidRPr="00C174EF" w:rsidRDefault="00E5384C" w:rsidP="00BF4508">
            <w:pPr>
              <w:pStyle w:val="ListParagraph"/>
              <w:numPr>
                <w:ilvl w:val="1"/>
                <w:numId w:val="6"/>
              </w:num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 w:rsidRPr="00E5384C">
              <w:rPr>
                <w:rFonts w:ascii="Arial" w:hAnsi="Arial" w:cs="Arial"/>
                <w:sz w:val="22"/>
                <w:szCs w:val="22"/>
              </w:rPr>
              <w:t>Cost data, literature review, criteria updates if applicable, etc.</w:t>
            </w:r>
            <w:r w:rsidR="003035B2" w:rsidRPr="00C174EF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ABC4CFC" w14:textId="77777777" w:rsidR="003035B2" w:rsidRPr="00900466" w:rsidRDefault="003035B2" w:rsidP="00C87182">
            <w:pPr>
              <w:rPr>
                <w:rFonts w:cs="Arial"/>
                <w:sz w:val="22"/>
                <w:szCs w:val="22"/>
              </w:rPr>
            </w:pPr>
          </w:p>
          <w:p w14:paraId="34E240BB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6DA0FF6" w14:textId="77777777" w:rsidR="003035B2" w:rsidRPr="00900466" w:rsidRDefault="003035B2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03F21A7" w14:textId="20FAE574" w:rsidR="003035B2" w:rsidRDefault="003035B2" w:rsidP="00E8289F">
      <w:pPr>
        <w:rPr>
          <w:rFonts w:cs="Arial"/>
          <w:sz w:val="22"/>
          <w:szCs w:val="22"/>
        </w:rPr>
      </w:pPr>
    </w:p>
    <w:p w14:paraId="54414830" w14:textId="77777777" w:rsidR="003035B2" w:rsidRPr="00900466" w:rsidRDefault="003035B2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14:paraId="29D06B7D" w14:textId="77777777" w:rsidTr="00772118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129F3F14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439E70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721DCB1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1C605F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0AA06D7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D50FEB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14:paraId="2C26E275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3BB85378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14:paraId="2966F581" w14:textId="5244CBC8"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DE51BFE" w14:textId="77777777" w:rsidR="00891E41" w:rsidRPr="00900466" w:rsidRDefault="00891E41" w:rsidP="0077211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70E2FE0" w14:textId="5C7C036F"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 xml:space="preserve">MHDL Update by </w:t>
            </w:r>
            <w:r w:rsidR="00033AF3">
              <w:rPr>
                <w:rFonts w:cs="Arial"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283448">
              <w:rPr>
                <w:rFonts w:cs="Arial"/>
                <w:sz w:val="22"/>
                <w:szCs w:val="22"/>
                <w:u w:val="single"/>
              </w:rPr>
              <w:t>Ryan Bettencourt</w:t>
            </w:r>
          </w:p>
          <w:p w14:paraId="36462946" w14:textId="1C2DD58B" w:rsidR="00D7509E" w:rsidRPr="00900466" w:rsidRDefault="00D7509E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MHDL</w:t>
            </w:r>
            <w:r w:rsidRPr="0090046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Overview including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new additions, changes in PA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status, and related attachment updates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to be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implemented with a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recent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publication rollout.</w:t>
            </w:r>
          </w:p>
          <w:p w14:paraId="096FE014" w14:textId="42B85FF6" w:rsidR="00D7509E" w:rsidRPr="00900466" w:rsidRDefault="00D7509E" w:rsidP="00D7509E">
            <w:pPr>
              <w:pStyle w:val="BodyText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3F41C09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66E444A8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E2AD47F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14:paraId="671E58FC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ACA5F91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70C13F4D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0A6501A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475BDB46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80AF0EE" w14:textId="6C2C3B34" w:rsidR="0037149E" w:rsidRPr="00900466" w:rsidRDefault="0037149E" w:rsidP="0037149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B707BF">
              <w:rPr>
                <w:rFonts w:ascii="Arial" w:hAnsi="Arial" w:cs="Arial"/>
                <w:sz w:val="22"/>
                <w:szCs w:val="22"/>
              </w:rPr>
              <w:t>10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additions to the MHDL Drug list effect</w:t>
            </w:r>
            <w:r>
              <w:rPr>
                <w:rFonts w:ascii="Arial" w:hAnsi="Arial" w:cs="Arial"/>
                <w:sz w:val="22"/>
                <w:szCs w:val="22"/>
              </w:rPr>
              <w:t>ive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as of </w:t>
            </w:r>
            <w:r w:rsidR="0072321E">
              <w:rPr>
                <w:rFonts w:ascii="Arial" w:hAnsi="Arial" w:cs="Arial"/>
                <w:sz w:val="22"/>
                <w:szCs w:val="22"/>
              </w:rPr>
              <w:t>September</w:t>
            </w:r>
            <w:r w:rsidR="00B707B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900466">
              <w:rPr>
                <w:rFonts w:ascii="Arial" w:hAnsi="Arial" w:cs="Arial"/>
                <w:sz w:val="22"/>
                <w:szCs w:val="22"/>
              </w:rPr>
              <w:t>, 2021.</w:t>
            </w:r>
          </w:p>
          <w:p w14:paraId="3C628617" w14:textId="2A27C2DF" w:rsidR="00B6601F" w:rsidRDefault="0037149E" w:rsidP="00C87182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601F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CB258A" w:rsidRPr="00B6601F">
              <w:rPr>
                <w:rFonts w:ascii="Arial" w:hAnsi="Arial" w:cs="Arial"/>
                <w:sz w:val="22"/>
                <w:szCs w:val="22"/>
              </w:rPr>
              <w:t>10</w:t>
            </w:r>
            <w:r w:rsidRPr="00B6601F">
              <w:rPr>
                <w:rFonts w:ascii="Arial" w:hAnsi="Arial" w:cs="Arial"/>
                <w:sz w:val="22"/>
                <w:szCs w:val="22"/>
              </w:rPr>
              <w:t xml:space="preserve"> additions</w:t>
            </w:r>
            <w:r w:rsidR="00346D74">
              <w:rPr>
                <w:rFonts w:ascii="Arial" w:hAnsi="Arial" w:cs="Arial"/>
                <w:sz w:val="22"/>
                <w:szCs w:val="22"/>
              </w:rPr>
              <w:t>,</w:t>
            </w:r>
            <w:r w:rsidRPr="00B66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263D" w:rsidRPr="00B6601F">
              <w:rPr>
                <w:rFonts w:ascii="Arial" w:hAnsi="Arial" w:cs="Arial"/>
                <w:sz w:val="22"/>
                <w:szCs w:val="22"/>
              </w:rPr>
              <w:t>seven</w:t>
            </w:r>
            <w:r w:rsidR="000B32CE" w:rsidRPr="00B66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01F">
              <w:rPr>
                <w:rFonts w:ascii="Arial" w:hAnsi="Arial" w:cs="Arial"/>
                <w:sz w:val="22"/>
                <w:szCs w:val="22"/>
              </w:rPr>
              <w:t xml:space="preserve">will require </w:t>
            </w:r>
            <w:r w:rsidR="00346D74">
              <w:rPr>
                <w:rFonts w:ascii="Arial" w:hAnsi="Arial" w:cs="Arial"/>
                <w:sz w:val="22"/>
                <w:szCs w:val="22"/>
              </w:rPr>
              <w:t>PA</w:t>
            </w:r>
            <w:r w:rsidRPr="00B6601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B258A" w:rsidRPr="00B6601F">
              <w:rPr>
                <w:rFonts w:ascii="Arial" w:hAnsi="Arial" w:cs="Arial"/>
                <w:sz w:val="22"/>
                <w:szCs w:val="22"/>
              </w:rPr>
              <w:t>three</w:t>
            </w:r>
            <w:r w:rsidRPr="00B6601F">
              <w:rPr>
                <w:rFonts w:ascii="Arial" w:hAnsi="Arial" w:cs="Arial"/>
                <w:sz w:val="22"/>
                <w:szCs w:val="22"/>
              </w:rPr>
              <w:t xml:space="preserve"> will not</w:t>
            </w:r>
            <w:r w:rsidR="00346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694EE3" w14:textId="12873688" w:rsidR="0099208B" w:rsidRPr="00B6601F" w:rsidRDefault="00B6601F" w:rsidP="00C87182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9208B" w:rsidRPr="00B6601F">
              <w:rPr>
                <w:rFonts w:ascii="Arial" w:hAnsi="Arial" w:cs="Arial"/>
                <w:sz w:val="22"/>
                <w:szCs w:val="22"/>
              </w:rPr>
              <w:t xml:space="preserve">ne medication will be restricted </w:t>
            </w:r>
            <w:r w:rsidR="00944064" w:rsidRPr="00B6601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A3CAB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944064" w:rsidRPr="00B6601F">
              <w:rPr>
                <w:rFonts w:ascii="Arial" w:hAnsi="Arial" w:cs="Arial"/>
                <w:sz w:val="22"/>
                <w:szCs w:val="22"/>
              </w:rPr>
              <w:t>administered by a health care professional.</w:t>
            </w:r>
          </w:p>
          <w:p w14:paraId="0D95258B" w14:textId="526B9F15" w:rsidR="0037149E" w:rsidRPr="0037149E" w:rsidRDefault="0037149E" w:rsidP="0037149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Changes in </w:t>
            </w:r>
            <w:r w:rsidR="00346D74">
              <w:rPr>
                <w:rFonts w:ascii="Arial" w:hAnsi="Arial" w:cs="Arial"/>
                <w:sz w:val="22"/>
                <w:szCs w:val="22"/>
              </w:rPr>
              <w:t>PA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status</w:t>
            </w:r>
          </w:p>
          <w:p w14:paraId="2F8CD8AF" w14:textId="05C2B9B5" w:rsidR="006D4956" w:rsidRDefault="006D4956" w:rsidP="006D4956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One </w:t>
            </w:r>
            <w:r w:rsidR="007D1C6F">
              <w:rPr>
                <w:rFonts w:ascii="Arial" w:hAnsi="Arial" w:cs="Arial"/>
                <w:sz w:val="22"/>
                <w:szCs w:val="22"/>
              </w:rPr>
              <w:t>gout agent will no longer</w:t>
            </w:r>
            <w:r w:rsidR="00241B91">
              <w:rPr>
                <w:rFonts w:ascii="Arial" w:hAnsi="Arial" w:cs="Arial"/>
                <w:sz w:val="22"/>
                <w:szCs w:val="22"/>
              </w:rPr>
              <w:t xml:space="preserve">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="000C31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572A34" w14:textId="1A5AF666" w:rsidR="006D4956" w:rsidRPr="001A6CDB" w:rsidRDefault="00B42B7A" w:rsidP="001A6CD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Four</w:t>
            </w:r>
            <w:r w:rsidR="000C31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2B7A">
              <w:rPr>
                <w:rFonts w:ascii="Arial" w:hAnsi="Arial" w:cs="Arial"/>
                <w:sz w:val="22"/>
                <w:szCs w:val="22"/>
              </w:rPr>
              <w:t xml:space="preserve">ophthalmic anti-allergy and anti-inflammatory agents will no longer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Pr="00B42B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89D766" w14:textId="2EAB6FE3" w:rsidR="0037149E" w:rsidRDefault="00B42B7A" w:rsidP="0037149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716B5C" w:rsidRPr="00716B5C">
              <w:rPr>
                <w:rFonts w:ascii="Arial" w:hAnsi="Arial" w:cs="Arial"/>
                <w:sz w:val="22"/>
                <w:szCs w:val="22"/>
              </w:rPr>
              <w:t xml:space="preserve">topical dermatologic agent will no longer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="00716B5C" w:rsidRPr="00716B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BF057E" w14:textId="01F02039" w:rsidR="00716B5C" w:rsidRDefault="00716B5C" w:rsidP="0037149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Pr="00716B5C">
              <w:rPr>
                <w:rFonts w:ascii="Arial" w:eastAsia="Calibri" w:hAnsi="Arial" w:cstheme="minorBidi"/>
                <w:color w:val="FFFFFF" w:themeColor="background1"/>
                <w:kern w:val="24"/>
                <w:sz w:val="32"/>
                <w:szCs w:val="32"/>
              </w:rPr>
              <w:t xml:space="preserve"> </w:t>
            </w:r>
            <w:r w:rsidRPr="00716B5C">
              <w:rPr>
                <w:rFonts w:ascii="Arial" w:hAnsi="Arial" w:cs="Arial"/>
                <w:sz w:val="22"/>
                <w:szCs w:val="22"/>
              </w:rPr>
              <w:t xml:space="preserve">serotonin–norepinephrine reuptake inhibitor will no longer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Pr="00716B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9DE795" w14:textId="7410EC7E" w:rsidR="00CF64BA" w:rsidRPr="0037149E" w:rsidRDefault="00CF64BA" w:rsidP="0037149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Pr="00CF64BA">
              <w:rPr>
                <w:rFonts w:ascii="Arial" w:hAnsi="Arial" w:cs="Arial"/>
                <w:sz w:val="22"/>
                <w:szCs w:val="22"/>
              </w:rPr>
              <w:t xml:space="preserve">antiretroviral agent will no longer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Pr="00CF64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106C54" w14:textId="77777777" w:rsidR="0037149E" w:rsidRPr="00633278" w:rsidRDefault="0037149E" w:rsidP="0037149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3278">
              <w:rPr>
                <w:rFonts w:ascii="Arial" w:hAnsi="Arial" w:cs="Arial"/>
                <w:bCs/>
                <w:sz w:val="22"/>
                <w:szCs w:val="22"/>
              </w:rPr>
              <w:t>Changes to the MassHealth Brand Name Preferred Over Generic Drug List</w:t>
            </w:r>
          </w:p>
          <w:p w14:paraId="4D49C5B3" w14:textId="484D8A0C" w:rsidR="0037149E" w:rsidRDefault="00B56CA9" w:rsidP="0037149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Twelve </w:t>
            </w:r>
            <w:r w:rsidR="00E451DE">
              <w:rPr>
                <w:rFonts w:ascii="Arial" w:hAnsi="Arial" w:cs="Arial"/>
                <w:sz w:val="22"/>
                <w:szCs w:val="22"/>
              </w:rPr>
              <w:t xml:space="preserve">agents </w:t>
            </w:r>
            <w:r w:rsidR="00192B6A" w:rsidRPr="00192B6A">
              <w:rPr>
                <w:rFonts w:ascii="Arial" w:hAnsi="Arial" w:cs="Arial"/>
                <w:sz w:val="22"/>
                <w:szCs w:val="22"/>
              </w:rPr>
              <w:t xml:space="preserve">will no longer require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="00192B6A" w:rsidRPr="00192B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85A09B" w14:textId="1FCC02EB" w:rsidR="00AA3DC2" w:rsidRDefault="00AA3DC2" w:rsidP="0037149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Three </w:t>
            </w:r>
            <w:r w:rsidRPr="00AA3DC2">
              <w:rPr>
                <w:rFonts w:ascii="Arial" w:hAnsi="Arial" w:cs="Arial"/>
                <w:sz w:val="22"/>
                <w:szCs w:val="22"/>
              </w:rPr>
              <w:t>agents will be removed from the MassHealth Brand name Preferred Over Generic Drug List.</w:t>
            </w:r>
          </w:p>
          <w:p w14:paraId="7098AA2A" w14:textId="5129B9A0" w:rsidR="00AE0D98" w:rsidRDefault="00AE0D98" w:rsidP="00AE0D98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FDA “A”</w:t>
            </w:r>
            <w:r w:rsidR="009144DA">
              <w:rPr>
                <w:rFonts w:ascii="Arial" w:hAnsi="Arial" w:cs="Arial"/>
                <w:sz w:val="22"/>
                <w:szCs w:val="22"/>
              </w:rPr>
              <w:t>-rated Generics</w:t>
            </w:r>
          </w:p>
          <w:p w14:paraId="48C318B3" w14:textId="6843BB6C" w:rsidR="009144DA" w:rsidRPr="0037149E" w:rsidRDefault="009144DA" w:rsidP="009144DA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="00771CD4">
              <w:rPr>
                <w:rFonts w:ascii="Arial" w:hAnsi="Arial" w:cs="Arial"/>
                <w:sz w:val="22"/>
                <w:szCs w:val="22"/>
              </w:rPr>
              <w:t xml:space="preserve"> medication is added to the drug list and will need PA for </w:t>
            </w:r>
            <w:r w:rsidR="00374742">
              <w:rPr>
                <w:rFonts w:ascii="Arial" w:hAnsi="Arial" w:cs="Arial"/>
                <w:sz w:val="22"/>
                <w:szCs w:val="22"/>
              </w:rPr>
              <w:t>patient that is &lt;</w:t>
            </w:r>
            <w:r w:rsidR="00FA3C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4742">
              <w:rPr>
                <w:rFonts w:ascii="Arial" w:hAnsi="Arial" w:cs="Arial"/>
                <w:sz w:val="22"/>
                <w:szCs w:val="22"/>
              </w:rPr>
              <w:t>60 years</w:t>
            </w:r>
            <w:r w:rsidR="00E001F6">
              <w:rPr>
                <w:rFonts w:ascii="Arial" w:hAnsi="Arial" w:cs="Arial"/>
                <w:sz w:val="22"/>
                <w:szCs w:val="22"/>
              </w:rPr>
              <w:t xml:space="preserve"> will apply to brand and </w:t>
            </w:r>
            <w:r w:rsidR="00042062">
              <w:rPr>
                <w:rFonts w:ascii="Arial" w:hAnsi="Arial" w:cs="Arial"/>
                <w:sz w:val="22"/>
                <w:szCs w:val="22"/>
              </w:rPr>
              <w:t>generic products</w:t>
            </w:r>
            <w:r w:rsidR="00D96E0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E8D713F" w14:textId="77777777" w:rsidR="0037149E" w:rsidRPr="00633278" w:rsidRDefault="0037149E" w:rsidP="0037149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3278">
              <w:rPr>
                <w:rFonts w:ascii="Arial" w:hAnsi="Arial" w:cs="Arial"/>
                <w:bCs/>
                <w:sz w:val="22"/>
                <w:szCs w:val="22"/>
              </w:rPr>
              <w:t>Changes to Miscellaneous Documents on the MassHealth Drug List</w:t>
            </w:r>
          </w:p>
          <w:p w14:paraId="41B06A16" w14:textId="59C6C0E8" w:rsidR="00700AFF" w:rsidRPr="00A27965" w:rsidRDefault="00700AFF" w:rsidP="000B32C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27965">
              <w:rPr>
                <w:rFonts w:ascii="Arial" w:hAnsi="Arial" w:cs="Arial"/>
                <w:sz w:val="22"/>
                <w:szCs w:val="22"/>
              </w:rPr>
              <w:t>One document has been updated</w:t>
            </w:r>
            <w:r w:rsidR="006B421F" w:rsidRPr="00A27965">
              <w:rPr>
                <w:rFonts w:ascii="Arial" w:hAnsi="Arial" w:cs="Arial"/>
                <w:sz w:val="22"/>
                <w:szCs w:val="22"/>
              </w:rPr>
              <w:t xml:space="preserve"> to reflect recent changes for</w:t>
            </w:r>
            <w:r w:rsidR="005D04D4" w:rsidRPr="00A27965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5D04D4" w:rsidRPr="00A27965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5D04D4" w:rsidRPr="00A27965">
              <w:rPr>
                <w:rFonts w:ascii="Arial" w:hAnsi="Arial" w:cs="Arial"/>
                <w:sz w:val="22"/>
                <w:szCs w:val="22"/>
              </w:rPr>
              <w:t>MassHealth COVID-19 Pharmacy Program Emergency Response.</w:t>
            </w:r>
          </w:p>
          <w:p w14:paraId="3D00EEEA" w14:textId="429D32D5" w:rsidR="00A27965" w:rsidRDefault="00A27965" w:rsidP="00A2796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27965">
              <w:rPr>
                <w:rFonts w:ascii="Arial" w:hAnsi="Arial" w:cs="Arial"/>
                <w:sz w:val="22"/>
                <w:szCs w:val="22"/>
              </w:rPr>
              <w:t>The MassHealth Quick Reference Guide has been updated to reflect recent changes to the MassHealth Drug List.</w:t>
            </w:r>
          </w:p>
          <w:p w14:paraId="23B40001" w14:textId="1DA15315" w:rsidR="00A27965" w:rsidRPr="00253A49" w:rsidRDefault="001848C4" w:rsidP="00A2796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253A49">
              <w:rPr>
                <w:rFonts w:ascii="Arial" w:hAnsi="Arial" w:cs="Arial"/>
                <w:sz w:val="22"/>
                <w:szCs w:val="22"/>
              </w:rPr>
              <w:t>One document has been updated and the new Pharmacy Initiatives.</w:t>
            </w:r>
          </w:p>
          <w:p w14:paraId="50FD0114" w14:textId="550461C9" w:rsidR="00A27965" w:rsidRPr="00253A49" w:rsidRDefault="00253A49" w:rsidP="00253A49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253A49">
              <w:rPr>
                <w:rFonts w:ascii="Arial" w:hAnsi="Arial" w:cs="Arial"/>
                <w:sz w:val="22"/>
                <w:szCs w:val="22"/>
              </w:rPr>
              <w:t>The MassHealth Pharmacy Covered Professional Services List has been updated to reflect recent changes to the MassHealth Drug List.</w:t>
            </w:r>
          </w:p>
          <w:p w14:paraId="2FED57E0" w14:textId="77777777" w:rsidR="00F54376" w:rsidRPr="00DF516A" w:rsidRDefault="00DF516A" w:rsidP="00F54376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DF516A">
              <w:rPr>
                <w:rFonts w:cs="Arial"/>
                <w:sz w:val="22"/>
                <w:szCs w:val="22"/>
              </w:rPr>
              <w:t>Questions</w:t>
            </w:r>
          </w:p>
          <w:p w14:paraId="1D3BB365" w14:textId="086D4D15" w:rsidR="0031793A" w:rsidRPr="00C174EF" w:rsidRDefault="006068BC" w:rsidP="00C174EF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McGee inquired about</w:t>
            </w:r>
            <w:r w:rsidR="00ED6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6B6E" w:rsidRPr="00ED6B6E">
              <w:rPr>
                <w:rFonts w:ascii="Arial" w:hAnsi="Arial" w:cs="Arial"/>
                <w:sz w:val="22"/>
                <w:szCs w:val="22"/>
              </w:rPr>
              <w:t xml:space="preserve">Prevnar </w:t>
            </w:r>
            <w:r w:rsidR="0053356F">
              <w:rPr>
                <w:rFonts w:ascii="Arial" w:hAnsi="Arial" w:cs="Arial"/>
                <w:sz w:val="22"/>
                <w:szCs w:val="22"/>
              </w:rPr>
              <w:t>13 being replaced with Prevnar 20.</w:t>
            </w:r>
          </w:p>
          <w:p w14:paraId="0A771AEC" w14:textId="097A0B09" w:rsidR="0042133D" w:rsidRPr="0042133D" w:rsidRDefault="00C174EF" w:rsidP="0042133D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Betten</w:t>
            </w:r>
            <w:r w:rsidR="00253C80">
              <w:rPr>
                <w:rFonts w:ascii="Arial" w:hAnsi="Arial" w:cs="Arial"/>
                <w:sz w:val="22"/>
                <w:szCs w:val="22"/>
              </w:rPr>
              <w:t>court</w:t>
            </w:r>
            <w:r w:rsidR="0053356F">
              <w:rPr>
                <w:rFonts w:ascii="Arial" w:hAnsi="Arial" w:cs="Arial"/>
                <w:sz w:val="22"/>
                <w:szCs w:val="22"/>
              </w:rPr>
              <w:t xml:space="preserve"> replied that </w:t>
            </w:r>
            <w:r w:rsidR="0011004D">
              <w:rPr>
                <w:rFonts w:ascii="Arial" w:hAnsi="Arial" w:cs="Arial"/>
                <w:sz w:val="22"/>
                <w:szCs w:val="22"/>
              </w:rPr>
              <w:t xml:space="preserve">the information about Prevnar 13 is still currently active on the drug list as of the September board </w:t>
            </w:r>
            <w:r w:rsidR="00DC1331">
              <w:rPr>
                <w:rFonts w:ascii="Arial" w:hAnsi="Arial" w:cs="Arial"/>
                <w:sz w:val="22"/>
                <w:szCs w:val="22"/>
              </w:rPr>
              <w:t>meeting,</w:t>
            </w:r>
            <w:r w:rsidR="0011004D">
              <w:rPr>
                <w:rFonts w:ascii="Arial" w:hAnsi="Arial" w:cs="Arial"/>
                <w:sz w:val="22"/>
                <w:szCs w:val="22"/>
              </w:rPr>
              <w:t xml:space="preserve"> but</w:t>
            </w:r>
            <w:r w:rsidR="00FA3CA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100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211">
              <w:rPr>
                <w:rFonts w:ascii="Arial" w:hAnsi="Arial" w:cs="Arial"/>
                <w:sz w:val="22"/>
                <w:szCs w:val="22"/>
              </w:rPr>
              <w:t xml:space="preserve">drug company will have more information in October 2021. </w:t>
            </w:r>
          </w:p>
          <w:p w14:paraId="25CDF6DF" w14:textId="00AC16F3" w:rsidR="0042133D" w:rsidRPr="003076A8" w:rsidRDefault="00F353D2" w:rsidP="0042133D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 stated that he had issues with Glumetza </w:t>
            </w:r>
            <w:r w:rsidR="00C144B2">
              <w:rPr>
                <w:rFonts w:ascii="Arial" w:hAnsi="Arial" w:cs="Arial"/>
                <w:sz w:val="22"/>
                <w:szCs w:val="22"/>
              </w:rPr>
              <w:t xml:space="preserve">about the </w:t>
            </w:r>
            <w:r w:rsidR="00D00768">
              <w:rPr>
                <w:rFonts w:ascii="Arial" w:hAnsi="Arial" w:cs="Arial"/>
                <w:sz w:val="22"/>
                <w:szCs w:val="22"/>
              </w:rPr>
              <w:t>b</w:t>
            </w:r>
            <w:r w:rsidR="00C144B2">
              <w:rPr>
                <w:rFonts w:ascii="Arial" w:hAnsi="Arial" w:cs="Arial"/>
                <w:sz w:val="22"/>
                <w:szCs w:val="22"/>
              </w:rPr>
              <w:t xml:space="preserve">rand over </w:t>
            </w:r>
            <w:r w:rsidR="00D00768">
              <w:rPr>
                <w:rFonts w:ascii="Arial" w:hAnsi="Arial" w:cs="Arial"/>
                <w:sz w:val="22"/>
                <w:szCs w:val="22"/>
              </w:rPr>
              <w:t>g</w:t>
            </w:r>
            <w:r w:rsidR="00C144B2" w:rsidRPr="003076A8">
              <w:rPr>
                <w:rFonts w:ascii="Arial" w:hAnsi="Arial" w:cs="Arial"/>
                <w:sz w:val="22"/>
                <w:szCs w:val="22"/>
              </w:rPr>
              <w:t>eneric.</w:t>
            </w:r>
          </w:p>
          <w:p w14:paraId="66BA4F75" w14:textId="1635998C" w:rsidR="00C144B2" w:rsidRPr="003076A8" w:rsidRDefault="00C144B2" w:rsidP="0042133D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76A8">
              <w:rPr>
                <w:rFonts w:ascii="Arial" w:hAnsi="Arial" w:cs="Arial"/>
                <w:sz w:val="22"/>
                <w:szCs w:val="22"/>
              </w:rPr>
              <w:t xml:space="preserve">Bettencourt </w:t>
            </w:r>
            <w:r w:rsidR="001A7906" w:rsidRPr="003076A8">
              <w:rPr>
                <w:rFonts w:ascii="Arial" w:hAnsi="Arial" w:cs="Arial"/>
                <w:sz w:val="22"/>
                <w:szCs w:val="22"/>
              </w:rPr>
              <w:t>responded</w:t>
            </w:r>
            <w:r w:rsidRPr="003076A8">
              <w:rPr>
                <w:rFonts w:ascii="Arial" w:hAnsi="Arial" w:cs="Arial"/>
                <w:sz w:val="22"/>
                <w:szCs w:val="22"/>
              </w:rPr>
              <w:t xml:space="preserve"> that medication</w:t>
            </w:r>
            <w:r w:rsidR="001A7906" w:rsidRPr="003076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331" w:rsidRPr="003076A8">
              <w:rPr>
                <w:rFonts w:ascii="Arial" w:hAnsi="Arial" w:cs="Arial"/>
                <w:sz w:val="22"/>
                <w:szCs w:val="22"/>
              </w:rPr>
              <w:t>would</w:t>
            </w:r>
            <w:r w:rsidR="001A7906" w:rsidRPr="003076A8">
              <w:rPr>
                <w:rFonts w:ascii="Arial" w:hAnsi="Arial" w:cs="Arial"/>
                <w:sz w:val="22"/>
                <w:szCs w:val="22"/>
              </w:rPr>
              <w:t xml:space="preserve"> continue to stay on the brand</w:t>
            </w:r>
            <w:r w:rsidR="007C6BE2">
              <w:rPr>
                <w:rFonts w:ascii="Arial" w:hAnsi="Arial" w:cs="Arial"/>
                <w:sz w:val="22"/>
                <w:szCs w:val="22"/>
              </w:rPr>
              <w:t>-</w:t>
            </w:r>
            <w:r w:rsidR="001A7906" w:rsidRPr="003076A8">
              <w:rPr>
                <w:rFonts w:ascii="Arial" w:hAnsi="Arial" w:cs="Arial"/>
                <w:sz w:val="22"/>
                <w:szCs w:val="22"/>
              </w:rPr>
              <w:t>over</w:t>
            </w:r>
            <w:r w:rsidR="007C6BE2">
              <w:rPr>
                <w:rFonts w:ascii="Arial" w:hAnsi="Arial" w:cs="Arial"/>
                <w:sz w:val="22"/>
                <w:szCs w:val="22"/>
              </w:rPr>
              <w:t>-</w:t>
            </w:r>
            <w:r w:rsidR="001A7906" w:rsidRPr="003076A8">
              <w:rPr>
                <w:rFonts w:ascii="Arial" w:hAnsi="Arial" w:cs="Arial"/>
                <w:sz w:val="22"/>
                <w:szCs w:val="22"/>
              </w:rPr>
              <w:t>generic list.</w:t>
            </w:r>
          </w:p>
          <w:p w14:paraId="5CD58355" w14:textId="215047FC" w:rsidR="001A7906" w:rsidRPr="0042133D" w:rsidRDefault="001A7906" w:rsidP="0042133D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3076A8">
              <w:rPr>
                <w:rFonts w:ascii="Arial" w:hAnsi="Arial" w:cs="Arial"/>
                <w:sz w:val="22"/>
                <w:szCs w:val="22"/>
              </w:rPr>
              <w:t xml:space="preserve">Lenz replied that </w:t>
            </w:r>
            <w:r w:rsidR="0061178C">
              <w:rPr>
                <w:rFonts w:ascii="Arial" w:hAnsi="Arial" w:cs="Arial"/>
                <w:sz w:val="22"/>
                <w:szCs w:val="22"/>
              </w:rPr>
              <w:t xml:space="preserve">both brand and generic requires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="0061178C">
              <w:rPr>
                <w:rFonts w:ascii="Arial" w:hAnsi="Arial" w:cs="Arial"/>
                <w:sz w:val="22"/>
                <w:szCs w:val="22"/>
              </w:rPr>
              <w:t xml:space="preserve"> and medical necessity </w:t>
            </w:r>
            <w:r w:rsidRPr="003076A8">
              <w:rPr>
                <w:rFonts w:ascii="Arial" w:hAnsi="Arial" w:cs="Arial"/>
                <w:sz w:val="22"/>
                <w:szCs w:val="22"/>
              </w:rPr>
              <w:t xml:space="preserve">documentation </w:t>
            </w:r>
            <w:r w:rsidR="0061178C">
              <w:rPr>
                <w:rFonts w:ascii="Arial" w:hAnsi="Arial" w:cs="Arial"/>
                <w:sz w:val="22"/>
                <w:szCs w:val="22"/>
              </w:rPr>
              <w:t>is required.</w:t>
            </w:r>
            <w:r w:rsidR="003076A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61C489F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061AAF17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8BBC917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26187077" w14:textId="1212A86D" w:rsidR="00891E41" w:rsidRPr="00900466" w:rsidRDefault="00891E41" w:rsidP="00E8289F">
      <w:pPr>
        <w:rPr>
          <w:rFonts w:cs="Arial"/>
          <w:sz w:val="22"/>
          <w:szCs w:val="22"/>
        </w:rPr>
      </w:pPr>
    </w:p>
    <w:p w14:paraId="70D41E42" w14:textId="1499C0D1"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14:paraId="3C08080B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2CE4C66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F55C8EE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490A579C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CFCCF8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AF72301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06C032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14:paraId="2A4F8C90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1B296B96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14:paraId="1F1107F3" w14:textId="2EB734F9"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531A02D" w14:textId="77777777" w:rsidR="00891E41" w:rsidRPr="00900466" w:rsidRDefault="00891E41" w:rsidP="00D7509E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50535186" w14:textId="5FC78E9E"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 xml:space="preserve">DUR Operational Update by </w:t>
            </w:r>
            <w:r w:rsidR="00033AF3">
              <w:rPr>
                <w:rFonts w:cs="Arial"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BD04C6">
              <w:rPr>
                <w:rFonts w:cs="Arial"/>
                <w:sz w:val="22"/>
                <w:szCs w:val="22"/>
                <w:u w:val="single"/>
              </w:rPr>
              <w:t xml:space="preserve">Jeannine </w:t>
            </w:r>
            <w:r w:rsidR="00D764AC">
              <w:rPr>
                <w:rFonts w:cs="Arial"/>
                <w:sz w:val="22"/>
                <w:szCs w:val="22"/>
                <w:u w:val="single"/>
              </w:rPr>
              <w:t>Beauregard</w:t>
            </w:r>
          </w:p>
          <w:p w14:paraId="5ECAB628" w14:textId="435224D8" w:rsidR="00D7509E" w:rsidRPr="00900466" w:rsidRDefault="00D7509E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DUR Operational Overview including</w:t>
            </w:r>
            <w:r w:rsidRPr="0090046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statistics associated with</w:t>
            </w:r>
            <w:r w:rsidRPr="00900466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Prior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Authorization (PA)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review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 PA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response,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 Call Center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metrics</w:t>
            </w:r>
          </w:p>
          <w:p w14:paraId="79651CEA" w14:textId="74B7F588"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7133F02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78650F42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8074785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359FC" w:rsidRPr="00900466" w14:paraId="6C27AAF1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8D04295" w14:textId="77777777"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14:paraId="789738E6" w14:textId="77777777"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5448407" w14:textId="77777777"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14:paraId="2089D7D6" w14:textId="77777777"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C45F08F" w14:textId="05B728DB" w:rsidR="00CA6718" w:rsidRPr="009534B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4B6"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="007C6BE2">
              <w:rPr>
                <w:rFonts w:ascii="Arial" w:hAnsi="Arial" w:cs="Arial"/>
                <w:sz w:val="22"/>
                <w:szCs w:val="22"/>
              </w:rPr>
              <w:t>PA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 requests from 2017 to 202</w:t>
            </w:r>
            <w:r w:rsidR="009534B6" w:rsidRPr="009534B6">
              <w:rPr>
                <w:rFonts w:ascii="Arial" w:hAnsi="Arial" w:cs="Arial"/>
                <w:sz w:val="22"/>
                <w:szCs w:val="22"/>
              </w:rPr>
              <w:t>1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9534B6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322A8E58" w14:textId="72794741" w:rsidR="00CA6718" w:rsidRPr="009534B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4B6">
              <w:rPr>
                <w:rFonts w:ascii="Arial" w:hAnsi="Arial" w:cs="Arial"/>
                <w:sz w:val="22"/>
                <w:szCs w:val="22"/>
              </w:rPr>
              <w:t>MassHealth call center volume from 2017 to 202</w:t>
            </w:r>
            <w:r w:rsidR="009534B6" w:rsidRPr="009534B6">
              <w:rPr>
                <w:rFonts w:ascii="Arial" w:hAnsi="Arial" w:cs="Arial"/>
                <w:sz w:val="22"/>
                <w:szCs w:val="22"/>
              </w:rPr>
              <w:t>1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9534B6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25A38B21" w14:textId="5EA70AC9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The monthly average </w:t>
            </w:r>
            <w:r w:rsidR="005A54F2" w:rsidRPr="00900466">
              <w:rPr>
                <w:rFonts w:ascii="Arial" w:hAnsi="Arial" w:cs="Arial"/>
                <w:sz w:val="22"/>
                <w:szCs w:val="22"/>
              </w:rPr>
              <w:t>f</w:t>
            </w:r>
            <w:r w:rsidR="005A54F2">
              <w:rPr>
                <w:rFonts w:ascii="Arial" w:hAnsi="Arial" w:cs="Arial"/>
                <w:sz w:val="22"/>
                <w:szCs w:val="22"/>
              </w:rPr>
              <w:t>or</w:t>
            </w:r>
            <w:r w:rsidR="005A54F2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7590">
              <w:rPr>
                <w:rFonts w:ascii="Arial" w:hAnsi="Arial" w:cs="Arial"/>
                <w:sz w:val="22"/>
                <w:szCs w:val="22"/>
              </w:rPr>
              <w:t>PAs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from 201</w:t>
            </w:r>
            <w:r w:rsidR="00104EDC">
              <w:rPr>
                <w:rFonts w:ascii="Arial" w:hAnsi="Arial" w:cs="Arial"/>
                <w:sz w:val="22"/>
                <w:szCs w:val="22"/>
              </w:rPr>
              <w:t>5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to 2021 (to date) were reviewed. Peak average of </w:t>
            </w:r>
            <w:r w:rsidRPr="009534B6">
              <w:rPr>
                <w:rFonts w:ascii="Arial" w:hAnsi="Arial" w:cs="Arial"/>
                <w:sz w:val="22"/>
                <w:szCs w:val="22"/>
              </w:rPr>
              <w:t>10,547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per month in 2018 while currently 2021 (to date) average per 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month is </w:t>
            </w:r>
            <w:r w:rsidR="00104EDC">
              <w:rPr>
                <w:rFonts w:ascii="Arial" w:hAnsi="Arial" w:cs="Arial"/>
                <w:sz w:val="22"/>
                <w:szCs w:val="22"/>
              </w:rPr>
              <w:t>9</w:t>
            </w:r>
            <w:r w:rsidR="0007138F">
              <w:rPr>
                <w:rFonts w:ascii="Arial" w:hAnsi="Arial" w:cs="Arial"/>
                <w:sz w:val="22"/>
                <w:szCs w:val="22"/>
              </w:rPr>
              <w:t>,</w:t>
            </w:r>
            <w:r w:rsidR="00104EDC">
              <w:rPr>
                <w:rFonts w:ascii="Arial" w:hAnsi="Arial" w:cs="Arial"/>
                <w:sz w:val="22"/>
                <w:szCs w:val="22"/>
              </w:rPr>
              <w:t>231</w:t>
            </w:r>
            <w:r w:rsidRPr="009004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CFAF95" w14:textId="2F3A8E6D" w:rsidR="00CA6718" w:rsidRPr="00900466" w:rsidRDefault="005A54F2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Call a</w:t>
            </w:r>
            <w:r w:rsidR="004E712C" w:rsidRPr="00900466">
              <w:rPr>
                <w:rFonts w:ascii="Arial" w:hAnsi="Arial" w:cs="Arial"/>
                <w:sz w:val="22"/>
                <w:szCs w:val="22"/>
              </w:rPr>
              <w:t>bandon</w:t>
            </w:r>
            <w:r w:rsidR="004E712C">
              <w:rPr>
                <w:rFonts w:ascii="Arial" w:hAnsi="Arial" w:cs="Arial"/>
                <w:sz w:val="22"/>
                <w:szCs w:val="22"/>
              </w:rPr>
              <w:t xml:space="preserve">ment </w:t>
            </w:r>
            <w:r w:rsidR="00CA6718" w:rsidRPr="00900466">
              <w:rPr>
                <w:rFonts w:ascii="Arial" w:hAnsi="Arial" w:cs="Arial"/>
                <w:sz w:val="22"/>
                <w:szCs w:val="22"/>
              </w:rPr>
              <w:t>rate generally in the 2% range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8F9AAE" w14:textId="4955A7D2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Average wait time of answered call generally in the </w:t>
            </w:r>
            <w:r w:rsidR="00104EDC">
              <w:rPr>
                <w:rFonts w:ascii="Arial" w:hAnsi="Arial" w:cs="Arial"/>
                <w:sz w:val="22"/>
                <w:szCs w:val="22"/>
              </w:rPr>
              <w:t>3</w:t>
            </w:r>
            <w:r w:rsidRPr="00900466">
              <w:rPr>
                <w:rFonts w:ascii="Arial" w:hAnsi="Arial" w:cs="Arial"/>
                <w:sz w:val="22"/>
                <w:szCs w:val="22"/>
              </w:rPr>
              <w:t>0</w:t>
            </w:r>
            <w:r w:rsidR="00727590">
              <w:rPr>
                <w:rFonts w:ascii="Arial" w:hAnsi="Arial" w:cs="Arial"/>
                <w:sz w:val="22"/>
                <w:szCs w:val="22"/>
              </w:rPr>
              <w:t>-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="001708E2" w:rsidRPr="00900466">
              <w:rPr>
                <w:rFonts w:ascii="Arial" w:hAnsi="Arial" w:cs="Arial"/>
                <w:sz w:val="22"/>
                <w:szCs w:val="22"/>
              </w:rPr>
              <w:t>range.</w:t>
            </w:r>
          </w:p>
          <w:p w14:paraId="542DDDDA" w14:textId="3DD7F167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Average treatment time consistently around </w:t>
            </w:r>
            <w:r w:rsidR="004E712C">
              <w:rPr>
                <w:rFonts w:ascii="Arial" w:hAnsi="Arial" w:cs="Arial"/>
                <w:sz w:val="22"/>
                <w:szCs w:val="22"/>
              </w:rPr>
              <w:t>four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A4C976" w14:textId="1325FE8B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MassHealth Appeals: Current monthly average is </w:t>
            </w:r>
            <w:r w:rsidR="00C1373C">
              <w:rPr>
                <w:rFonts w:ascii="Arial" w:hAnsi="Arial" w:cs="Arial"/>
                <w:sz w:val="22"/>
                <w:szCs w:val="22"/>
              </w:rPr>
              <w:t>five</w:t>
            </w:r>
            <w:r w:rsidR="001708E2" w:rsidRPr="009004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D1A8D5" w14:textId="26A9AAAE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Provider Outreach Volume: Current monthly average is </w:t>
            </w:r>
            <w:r w:rsidR="00E731C2">
              <w:rPr>
                <w:rFonts w:ascii="Arial" w:hAnsi="Arial" w:cs="Arial"/>
                <w:sz w:val="22"/>
                <w:szCs w:val="22"/>
              </w:rPr>
              <w:t>746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calls</w:t>
            </w:r>
            <w:r w:rsidR="009163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46BBB0" w14:textId="47639384" w:rsidR="00CA6718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E731C2">
              <w:rPr>
                <w:rFonts w:ascii="Arial" w:hAnsi="Arial" w:cs="Arial"/>
                <w:sz w:val="22"/>
                <w:szCs w:val="22"/>
              </w:rPr>
              <w:t>July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1, </w:t>
            </w:r>
            <w:r w:rsidR="00916322" w:rsidRPr="00900466">
              <w:rPr>
                <w:rFonts w:ascii="Arial" w:hAnsi="Arial" w:cs="Arial"/>
                <w:sz w:val="22"/>
                <w:szCs w:val="22"/>
              </w:rPr>
              <w:t>20</w:t>
            </w:r>
            <w:r w:rsidR="00916322">
              <w:rPr>
                <w:rFonts w:ascii="Arial" w:hAnsi="Arial" w:cs="Arial"/>
                <w:sz w:val="22"/>
                <w:szCs w:val="22"/>
              </w:rPr>
              <w:t>20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E731C2">
              <w:rPr>
                <w:rFonts w:ascii="Arial" w:hAnsi="Arial" w:cs="Arial"/>
                <w:sz w:val="22"/>
                <w:szCs w:val="22"/>
              </w:rPr>
              <w:t>June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916322">
              <w:rPr>
                <w:rFonts w:ascii="Arial" w:hAnsi="Arial" w:cs="Arial"/>
                <w:sz w:val="22"/>
                <w:szCs w:val="22"/>
              </w:rPr>
              <w:t>1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708E2" w:rsidRPr="00900466">
              <w:rPr>
                <w:rFonts w:ascii="Arial" w:hAnsi="Arial" w:cs="Arial"/>
                <w:sz w:val="22"/>
                <w:szCs w:val="22"/>
              </w:rPr>
              <w:t>202</w:t>
            </w:r>
            <w:r w:rsidR="001708E2">
              <w:rPr>
                <w:rFonts w:ascii="Arial" w:hAnsi="Arial" w:cs="Arial"/>
                <w:sz w:val="22"/>
                <w:szCs w:val="22"/>
              </w:rPr>
              <w:t>1.</w:t>
            </w:r>
          </w:p>
          <w:tbl>
            <w:tblPr>
              <w:tblW w:w="5670" w:type="dxa"/>
              <w:tblInd w:w="697" w:type="dxa"/>
              <w:tblLook w:val="04A0" w:firstRow="1" w:lastRow="0" w:firstColumn="1" w:lastColumn="0" w:noHBand="0" w:noVBand="1"/>
            </w:tblPr>
            <w:tblGrid>
              <w:gridCol w:w="2680"/>
              <w:gridCol w:w="2990"/>
            </w:tblGrid>
            <w:tr w:rsidR="00946865" w:rsidRPr="00946865" w14:paraId="09662B05" w14:textId="77777777" w:rsidTr="0092755D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C994D" w14:textId="5B01858C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5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1FEBB" w14:textId="77777777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6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Clonidine </w:t>
                  </w:r>
                </w:p>
              </w:tc>
            </w:tr>
            <w:tr w:rsidR="00946865" w:rsidRPr="00946865" w14:paraId="1205008E" w14:textId="77777777" w:rsidTr="0092755D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D25A0" w14:textId="646D2506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7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Tretinoin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9378D" w14:textId="77777777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8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Testosterone </w:t>
                  </w:r>
                </w:p>
              </w:tc>
            </w:tr>
            <w:tr w:rsidR="00946865" w:rsidRPr="00946865" w14:paraId="6D6E664C" w14:textId="77777777" w:rsidTr="0092755D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30360" w14:textId="4A3236DD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9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57821" w14:textId="45182C48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0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FreeStyle</w:t>
                  </w:r>
                  <w:r w:rsidR="008C154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8C1548"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Test Strips</w:t>
                  </w:r>
                </w:p>
              </w:tc>
            </w:tr>
            <w:tr w:rsidR="00946865" w:rsidRPr="00946865" w14:paraId="5BE8054D" w14:textId="77777777" w:rsidTr="0092755D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7696C" w14:textId="036F9468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1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Methylphenidate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18CC" w14:textId="4103D403" w:rsidR="00946865" w:rsidRPr="00D02BA7" w:rsidRDefault="00971DC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2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Botulinum</w:t>
                  </w:r>
                </w:p>
              </w:tc>
            </w:tr>
            <w:tr w:rsidR="00946865" w:rsidRPr="00946865" w14:paraId="3E28A46A" w14:textId="77777777" w:rsidTr="0092755D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047D7" w14:textId="6A9CFE45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3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Clonazepam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10063" w14:textId="77777777" w:rsidR="00946865" w:rsidRPr="00D02BA7" w:rsidRDefault="00946865" w:rsidP="006708E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24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D02B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Linzess</w:t>
                  </w:r>
                </w:p>
              </w:tc>
            </w:tr>
          </w:tbl>
          <w:p w14:paraId="081542D5" w14:textId="0A317C1F" w:rsidR="00CA6718" w:rsidRPr="00900466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Prior Authorization Compliance Response Time</w:t>
            </w:r>
            <w:r w:rsidR="00104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F65D90">
              <w:rPr>
                <w:rFonts w:ascii="Arial" w:hAnsi="Arial" w:cs="Arial"/>
                <w:sz w:val="22"/>
                <w:szCs w:val="22"/>
              </w:rPr>
              <w:t>July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2020 to </w:t>
            </w:r>
            <w:r w:rsidR="001C2643">
              <w:rPr>
                <w:rFonts w:ascii="Arial" w:hAnsi="Arial" w:cs="Arial"/>
                <w:sz w:val="22"/>
                <w:szCs w:val="22"/>
              </w:rPr>
              <w:t>June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91632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32B18C31" w14:textId="76140538" w:rsidR="00CA6718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Total requests:</w:t>
            </w:r>
            <w:r w:rsidR="001C2643">
              <w:rPr>
                <w:rFonts w:ascii="Arial" w:hAnsi="Arial" w:cs="Arial"/>
                <w:sz w:val="22"/>
                <w:szCs w:val="22"/>
              </w:rPr>
              <w:t>105,633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05C1116" w14:textId="3E63A179" w:rsidR="00CA6718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6</w:t>
            </w:r>
            <w:r w:rsidR="001C2643">
              <w:rPr>
                <w:rFonts w:ascii="Arial" w:hAnsi="Arial" w:cs="Arial"/>
                <w:sz w:val="22"/>
                <w:szCs w:val="22"/>
              </w:rPr>
              <w:t>2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14:paraId="4708584D" w14:textId="5DD50E20" w:rsidR="00CA6718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9</w:t>
            </w:r>
            <w:r w:rsidR="001C2643">
              <w:rPr>
                <w:rFonts w:ascii="Arial" w:hAnsi="Arial" w:cs="Arial"/>
                <w:sz w:val="22"/>
                <w:szCs w:val="22"/>
              </w:rPr>
              <w:t>9</w:t>
            </w:r>
            <w:r w:rsidR="00192714">
              <w:rPr>
                <w:rFonts w:ascii="Arial" w:hAnsi="Arial" w:cs="Arial"/>
                <w:sz w:val="22"/>
                <w:szCs w:val="22"/>
              </w:rPr>
              <w:t>.5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in less than 24 hours.</w:t>
            </w:r>
          </w:p>
          <w:p w14:paraId="26305D9D" w14:textId="064B9E96" w:rsidR="00CA6718" w:rsidRPr="00916322" w:rsidRDefault="00CA671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Call Center hours </w:t>
            </w:r>
            <w:r w:rsidR="00916322" w:rsidRPr="0090046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192714">
              <w:rPr>
                <w:rFonts w:ascii="Arial" w:hAnsi="Arial" w:cs="Arial"/>
                <w:sz w:val="22"/>
                <w:szCs w:val="22"/>
              </w:rPr>
              <w:t>July</w:t>
            </w:r>
            <w:r w:rsidR="00916322" w:rsidRPr="00900466">
              <w:rPr>
                <w:rFonts w:ascii="Arial" w:hAnsi="Arial" w:cs="Arial"/>
                <w:sz w:val="22"/>
                <w:szCs w:val="22"/>
              </w:rPr>
              <w:t xml:space="preserve"> 2020 to </w:t>
            </w:r>
            <w:r w:rsidR="00192714">
              <w:rPr>
                <w:rFonts w:ascii="Arial" w:hAnsi="Arial" w:cs="Arial"/>
                <w:sz w:val="22"/>
                <w:szCs w:val="22"/>
              </w:rPr>
              <w:t>June</w:t>
            </w:r>
            <w:r w:rsidR="00916322" w:rsidRPr="0090046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91632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8840922" w14:textId="25EBD29B" w:rsidR="00CA6718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192714">
              <w:rPr>
                <w:rFonts w:ascii="Arial" w:hAnsi="Arial" w:cs="Arial"/>
                <w:sz w:val="22"/>
                <w:szCs w:val="22"/>
              </w:rPr>
              <w:t>105,633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requests</w:t>
            </w:r>
          </w:p>
          <w:p w14:paraId="6C5F208F" w14:textId="793AD946" w:rsidR="00CA6718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8</w:t>
            </w:r>
            <w:r w:rsidR="00192714">
              <w:rPr>
                <w:rFonts w:ascii="Arial" w:hAnsi="Arial" w:cs="Arial"/>
                <w:sz w:val="22"/>
                <w:szCs w:val="22"/>
              </w:rPr>
              <w:t>4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within six hours.</w:t>
            </w:r>
          </w:p>
          <w:p w14:paraId="6329F7AB" w14:textId="79191EB1" w:rsidR="00A359FC" w:rsidRPr="00900466" w:rsidRDefault="00CA6718" w:rsidP="0062368F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9</w:t>
            </w:r>
            <w:r w:rsidR="00916322">
              <w:rPr>
                <w:rFonts w:ascii="Arial" w:hAnsi="Arial" w:cs="Arial"/>
                <w:sz w:val="22"/>
                <w:szCs w:val="22"/>
              </w:rPr>
              <w:t>9.</w:t>
            </w:r>
            <w:r w:rsidR="00192714">
              <w:rPr>
                <w:rFonts w:ascii="Arial" w:hAnsi="Arial" w:cs="Arial"/>
                <w:sz w:val="22"/>
                <w:szCs w:val="22"/>
              </w:rPr>
              <w:t>7</w:t>
            </w:r>
            <w:r w:rsidR="00192714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% of all PAs decisions in </w:t>
            </w:r>
            <w:r w:rsidR="00727590">
              <w:rPr>
                <w:rFonts w:ascii="Arial" w:hAnsi="Arial" w:cs="Arial"/>
                <w:sz w:val="22"/>
                <w:szCs w:val="22"/>
              </w:rPr>
              <w:t>less</w:t>
            </w:r>
            <w:r w:rsidR="00727590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than nine hours.</w:t>
            </w:r>
          </w:p>
          <w:p w14:paraId="534039CE" w14:textId="326EB1ED" w:rsidR="00A359FC" w:rsidRPr="00DF516A" w:rsidRDefault="00FA3CAB" w:rsidP="008C4181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</w:t>
            </w:r>
            <w:r w:rsidR="00DF516A" w:rsidRPr="00DF516A">
              <w:rPr>
                <w:rFonts w:cs="Arial"/>
                <w:sz w:val="22"/>
                <w:szCs w:val="22"/>
              </w:rPr>
              <w:t>uestions</w:t>
            </w:r>
          </w:p>
          <w:p w14:paraId="48FA4392" w14:textId="32933640" w:rsidR="00192714" w:rsidRPr="008B54F4" w:rsidRDefault="001578A6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Labelle inquired about </w:t>
            </w:r>
            <w:r w:rsidR="0061178C">
              <w:rPr>
                <w:rFonts w:ascii="Arial" w:hAnsi="Arial" w:cs="Arial"/>
                <w:sz w:val="22"/>
                <w:szCs w:val="22"/>
              </w:rPr>
              <w:t xml:space="preserve">lessons learned during COVID and the PA process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cost </w:t>
            </w:r>
            <w:r w:rsidR="0061178C">
              <w:rPr>
                <w:rFonts w:ascii="Arial" w:hAnsi="Arial" w:cs="Arial"/>
                <w:sz w:val="22"/>
                <w:szCs w:val="22"/>
              </w:rPr>
              <w:t>savings</w:t>
            </w:r>
            <w:r w:rsidR="00F834A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A26DB3" w14:textId="77777777" w:rsidR="008B54F4" w:rsidRDefault="003076A8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76A8">
              <w:rPr>
                <w:rFonts w:ascii="Arial" w:hAnsi="Arial" w:cs="Arial"/>
                <w:sz w:val="22"/>
                <w:szCs w:val="22"/>
              </w:rPr>
              <w:t xml:space="preserve">Beauregard </w:t>
            </w:r>
            <w:r w:rsidR="00F834A2">
              <w:rPr>
                <w:rFonts w:ascii="Arial" w:hAnsi="Arial" w:cs="Arial"/>
                <w:sz w:val="22"/>
                <w:szCs w:val="22"/>
              </w:rPr>
              <w:t xml:space="preserve">responded that </w:t>
            </w:r>
            <w:r w:rsidR="009B47FB">
              <w:rPr>
                <w:rFonts w:ascii="Arial" w:hAnsi="Arial" w:cs="Arial"/>
                <w:sz w:val="22"/>
                <w:szCs w:val="22"/>
              </w:rPr>
              <w:t>the staff schedules were adjusted accordingly to accommodate the volume of wo</w:t>
            </w:r>
            <w:r w:rsidR="00345505">
              <w:rPr>
                <w:rFonts w:ascii="Arial" w:hAnsi="Arial" w:cs="Arial"/>
                <w:sz w:val="22"/>
                <w:szCs w:val="22"/>
              </w:rPr>
              <w:t xml:space="preserve">rk. </w:t>
            </w:r>
          </w:p>
          <w:p w14:paraId="4E98E44B" w14:textId="729C579D" w:rsidR="00345505" w:rsidRDefault="00345505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Labelle </w:t>
            </w:r>
            <w:r w:rsidR="0027735E">
              <w:rPr>
                <w:rFonts w:ascii="Arial" w:hAnsi="Arial" w:cs="Arial"/>
                <w:sz w:val="22"/>
                <w:szCs w:val="22"/>
              </w:rPr>
              <w:t>inquired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the </w:t>
            </w:r>
            <w:r w:rsidR="00574EF6">
              <w:rPr>
                <w:rFonts w:ascii="Arial" w:hAnsi="Arial" w:cs="Arial"/>
                <w:sz w:val="22"/>
                <w:szCs w:val="22"/>
              </w:rPr>
              <w:t xml:space="preserve">patients’ </w:t>
            </w:r>
            <w:r w:rsidR="0061178C">
              <w:rPr>
                <w:rFonts w:ascii="Arial" w:hAnsi="Arial" w:cs="Arial"/>
                <w:sz w:val="22"/>
                <w:szCs w:val="22"/>
              </w:rPr>
              <w:t xml:space="preserve">medication utilization </w:t>
            </w:r>
            <w:r w:rsidR="00EB6CA8">
              <w:rPr>
                <w:rFonts w:ascii="Arial" w:hAnsi="Arial" w:cs="Arial"/>
                <w:sz w:val="22"/>
                <w:szCs w:val="22"/>
              </w:rPr>
              <w:t>trend</w:t>
            </w:r>
            <w:r w:rsidR="0061178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F1EF24" w14:textId="77777777" w:rsidR="00345505" w:rsidRDefault="00345505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Beauregard responded that the </w:t>
            </w:r>
            <w:r w:rsidR="006570F4">
              <w:rPr>
                <w:rFonts w:ascii="Arial" w:hAnsi="Arial" w:cs="Arial"/>
                <w:sz w:val="22"/>
                <w:szCs w:val="22"/>
              </w:rPr>
              <w:t xml:space="preserve">numbers of PA volumes would reflect that. </w:t>
            </w:r>
          </w:p>
          <w:p w14:paraId="4536C85A" w14:textId="72DA247C" w:rsidR="00A00EFF" w:rsidRDefault="00A00EFF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Lenz commented that there</w:t>
            </w:r>
            <w:r w:rsidR="002B38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2B38D3">
              <w:rPr>
                <w:rFonts w:ascii="Arial" w:hAnsi="Arial" w:cs="Arial"/>
                <w:sz w:val="22"/>
                <w:szCs w:val="22"/>
              </w:rPr>
              <w:t xml:space="preserve">programs (e.g., </w:t>
            </w:r>
            <w:r>
              <w:rPr>
                <w:rFonts w:ascii="Arial" w:hAnsi="Arial" w:cs="Arial"/>
                <w:sz w:val="22"/>
                <w:szCs w:val="22"/>
              </w:rPr>
              <w:t>delivery programs</w:t>
            </w:r>
            <w:r w:rsidR="002B38D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will continue</w:t>
            </w:r>
            <w:r w:rsidR="00A00B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CF0304" w14:textId="77777777" w:rsidR="00A00BA0" w:rsidRDefault="00A00BA0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Labelle </w:t>
            </w:r>
            <w:r w:rsidR="00C7151A">
              <w:rPr>
                <w:rFonts w:ascii="Arial" w:hAnsi="Arial" w:cs="Arial"/>
                <w:sz w:val="22"/>
                <w:szCs w:val="22"/>
              </w:rPr>
              <w:t>inquired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about the co-pays being</w:t>
            </w:r>
            <w:r w:rsidR="00C7151A">
              <w:rPr>
                <w:rFonts w:ascii="Arial" w:hAnsi="Arial" w:cs="Arial"/>
                <w:sz w:val="22"/>
                <w:szCs w:val="22"/>
              </w:rPr>
              <w:t xml:space="preserve"> withdrawn.</w:t>
            </w:r>
          </w:p>
          <w:p w14:paraId="4F39125F" w14:textId="4C1976A6" w:rsidR="00C7151A" w:rsidRPr="003076A8" w:rsidRDefault="00C7151A" w:rsidP="0062368F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Lenz commented that </w:t>
            </w:r>
            <w:r w:rsidR="009C7CE1">
              <w:rPr>
                <w:rFonts w:ascii="Arial" w:hAnsi="Arial" w:cs="Arial"/>
                <w:sz w:val="22"/>
                <w:szCs w:val="22"/>
              </w:rPr>
              <w:t>the co-pays came off for certain criteria</w:t>
            </w:r>
            <w:r w:rsidR="002348A6">
              <w:rPr>
                <w:rFonts w:ascii="Arial" w:hAnsi="Arial" w:cs="Arial"/>
                <w:sz w:val="22"/>
                <w:szCs w:val="22"/>
              </w:rPr>
              <w:t xml:space="preserve"> and will be evaluated in future.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B82A55F" w14:textId="77777777"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14:paraId="3E0F05B4" w14:textId="77777777" w:rsidR="00A359FC" w:rsidRPr="00900466" w:rsidRDefault="00A359FC" w:rsidP="00A359F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15A9C36" w14:textId="77777777" w:rsidR="00A359FC" w:rsidRPr="00900466" w:rsidRDefault="00A359FC" w:rsidP="00A359F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6986C8B2" w14:textId="48D5CBE6" w:rsidR="00891E41" w:rsidRPr="00900466" w:rsidRDefault="00891E41" w:rsidP="00E8289F">
      <w:pPr>
        <w:rPr>
          <w:rFonts w:cs="Arial"/>
          <w:sz w:val="22"/>
          <w:szCs w:val="22"/>
        </w:rPr>
      </w:pPr>
    </w:p>
    <w:p w14:paraId="4CFC0335" w14:textId="7B13DB1F" w:rsidR="00891E41" w:rsidRPr="00900466" w:rsidRDefault="00891E41" w:rsidP="00E8289F">
      <w:pPr>
        <w:rPr>
          <w:rFonts w:cs="Arial"/>
          <w:sz w:val="22"/>
          <w:szCs w:val="22"/>
        </w:rPr>
      </w:pPr>
    </w:p>
    <w:p w14:paraId="6B27890A" w14:textId="66C1242A"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14:paraId="4B8AC373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261E70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A6A9543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5ED1ECF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C39B27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F240A9A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B76AD8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14:paraId="70391B71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578EA98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14:paraId="2ACC9E90" w14:textId="79524D28"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MassHealth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6EBCFE2" w14:textId="77777777" w:rsidR="00891E41" w:rsidRPr="00900466" w:rsidRDefault="00891E41" w:rsidP="00D7509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6661F58" w14:textId="76D30C1C" w:rsidR="00891E41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 xml:space="preserve">MassHealth Update by </w:t>
            </w:r>
            <w:r w:rsidR="00033AF3">
              <w:rPr>
                <w:rFonts w:cs="Arial"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900466">
              <w:rPr>
                <w:rFonts w:cs="Arial"/>
                <w:sz w:val="22"/>
                <w:szCs w:val="22"/>
                <w:u w:val="single"/>
              </w:rPr>
              <w:t>Paul Jeffrey</w:t>
            </w:r>
          </w:p>
          <w:p w14:paraId="553A18FE" w14:textId="5E34A455" w:rsidR="00D7509E" w:rsidRDefault="00D7509E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MassHealth Update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4E712C">
              <w:rPr>
                <w:rFonts w:ascii="Arial" w:hAnsi="Arial" w:cs="Arial"/>
                <w:sz w:val="22"/>
                <w:szCs w:val="22"/>
              </w:rPr>
              <w:t>was</w:t>
            </w:r>
            <w:r w:rsidR="004E712C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10E" w:rsidRPr="00900466">
              <w:rPr>
                <w:rFonts w:ascii="Arial" w:hAnsi="Arial" w:cs="Arial"/>
                <w:sz w:val="22"/>
                <w:szCs w:val="22"/>
              </w:rPr>
              <w:t>a</w:t>
            </w:r>
            <w:r w:rsidR="003A510E"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3A510E" w:rsidRPr="00900466">
              <w:rPr>
                <w:rFonts w:ascii="Arial" w:hAnsi="Arial" w:cs="Arial"/>
                <w:sz w:val="22"/>
                <w:szCs w:val="22"/>
              </w:rPr>
              <w:t>summary</w:t>
            </w:r>
            <w:r w:rsidRPr="0090046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of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recent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developments in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MassHealth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in the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context of pharmacy, managed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care,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or public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health.</w:t>
            </w:r>
          </w:p>
          <w:p w14:paraId="1F92D537" w14:textId="43E8CE2B" w:rsidR="00797B56" w:rsidRPr="00900466" w:rsidRDefault="00797B56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A56BA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2AADFCCE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FC83F81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14:paraId="71DFEAB6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9DEA753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4DC5FCEF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F85383D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74CB46B6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1E5207A" w14:textId="3A535E24" w:rsidR="005B699C" w:rsidRDefault="00F07CA8" w:rsidP="005B699C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Formulary </w:t>
            </w:r>
            <w:r w:rsidR="005B699C">
              <w:rPr>
                <w:rFonts w:ascii="Arial" w:hAnsi="Arial" w:cs="Arial"/>
                <w:sz w:val="22"/>
                <w:szCs w:val="22"/>
              </w:rPr>
              <w:t>Managemen</w:t>
            </w:r>
            <w:r w:rsidR="00AE44A5"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2B4F6B96" w14:textId="3CFBEC04" w:rsidR="00AE44A5" w:rsidRDefault="006348D1" w:rsidP="00AE44A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Unified Formulary-</w:t>
            </w:r>
            <w:r w:rsidR="00AE44A5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hAnsi="Arial" w:cs="Arial"/>
                <w:sz w:val="22"/>
                <w:szCs w:val="22"/>
              </w:rPr>
              <w:t xml:space="preserve">implemented </w:t>
            </w:r>
            <w:r w:rsidR="00BE3D0E">
              <w:rPr>
                <w:rFonts w:ascii="Arial" w:hAnsi="Arial" w:cs="Arial"/>
                <w:sz w:val="22"/>
                <w:szCs w:val="22"/>
              </w:rPr>
              <w:t>January</w:t>
            </w:r>
            <w:r w:rsidR="00AE44A5">
              <w:rPr>
                <w:rFonts w:ascii="Arial" w:hAnsi="Arial" w:cs="Arial"/>
                <w:sz w:val="22"/>
                <w:szCs w:val="22"/>
              </w:rPr>
              <w:t xml:space="preserve"> 2023</w:t>
            </w:r>
            <w:r w:rsidR="00BE3D0E">
              <w:rPr>
                <w:rFonts w:ascii="Arial" w:hAnsi="Arial" w:cs="Arial"/>
                <w:sz w:val="22"/>
                <w:szCs w:val="22"/>
              </w:rPr>
              <w:t xml:space="preserve"> with all Managed Care Partners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FD934A" w14:textId="4CC3755B" w:rsidR="006348D1" w:rsidRDefault="006348D1" w:rsidP="00AE44A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Thank you to Managed Care Partners and the DUR </w:t>
            </w:r>
            <w:r w:rsidR="00B01E07">
              <w:rPr>
                <w:rFonts w:ascii="Arial" w:hAnsi="Arial" w:cs="Arial"/>
                <w:sz w:val="22"/>
                <w:szCs w:val="22"/>
              </w:rPr>
              <w:t xml:space="preserve">and OCA </w:t>
            </w:r>
            <w:r>
              <w:rPr>
                <w:rFonts w:ascii="Arial" w:hAnsi="Arial" w:cs="Arial"/>
                <w:sz w:val="22"/>
                <w:szCs w:val="22"/>
              </w:rPr>
              <w:t>team  for work to implement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5368B5" w14:textId="58B0424E" w:rsidR="003A7D32" w:rsidRDefault="003A7D32" w:rsidP="003A7D32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 Negotiations with Legislation</w:t>
            </w:r>
          </w:p>
          <w:p w14:paraId="4371EB9F" w14:textId="0049FF9F" w:rsidR="007B4F55" w:rsidRDefault="004210D7" w:rsidP="007B4F5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370885">
              <w:rPr>
                <w:rFonts w:ascii="Arial" w:hAnsi="Arial" w:cs="Arial"/>
                <w:sz w:val="22"/>
                <w:szCs w:val="22"/>
              </w:rPr>
              <w:t>$</w:t>
            </w:r>
            <w:r w:rsidR="003A7D32">
              <w:rPr>
                <w:rFonts w:ascii="Arial" w:hAnsi="Arial" w:cs="Arial"/>
                <w:sz w:val="22"/>
                <w:szCs w:val="22"/>
              </w:rPr>
              <w:t>160 Million</w:t>
            </w:r>
            <w:r w:rsidR="0037088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B4F55">
              <w:rPr>
                <w:rFonts w:ascii="Arial" w:hAnsi="Arial" w:cs="Arial"/>
                <w:sz w:val="22"/>
                <w:szCs w:val="22"/>
              </w:rPr>
              <w:t>adding</w:t>
            </w:r>
            <w:r w:rsidR="00370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39C">
              <w:rPr>
                <w:rFonts w:ascii="Arial" w:hAnsi="Arial" w:cs="Arial"/>
                <w:sz w:val="22"/>
                <w:szCs w:val="22"/>
              </w:rPr>
              <w:t>non-drug</w:t>
            </w:r>
            <w:r>
              <w:rPr>
                <w:rFonts w:ascii="Arial" w:hAnsi="Arial" w:cs="Arial"/>
                <w:sz w:val="22"/>
                <w:szCs w:val="22"/>
              </w:rPr>
              <w:t xml:space="preserve"> products pushing </w:t>
            </w:r>
            <w:r w:rsidR="0006039C">
              <w:rPr>
                <w:rFonts w:ascii="Arial" w:hAnsi="Arial" w:cs="Arial"/>
                <w:sz w:val="22"/>
                <w:szCs w:val="22"/>
              </w:rPr>
              <w:t>$200 million supplemental rebate revenue)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A75819" w14:textId="3C63B3E5" w:rsidR="00E509E3" w:rsidRDefault="00E509E3" w:rsidP="00E509E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Thank you to </w:t>
            </w:r>
            <w:r w:rsidR="00746267">
              <w:rPr>
                <w:rFonts w:ascii="Arial" w:hAnsi="Arial" w:cs="Arial"/>
                <w:sz w:val="22"/>
                <w:szCs w:val="22"/>
              </w:rPr>
              <w:t>the p</w:t>
            </w:r>
            <w:r>
              <w:rPr>
                <w:rFonts w:ascii="Arial" w:hAnsi="Arial" w:cs="Arial"/>
                <w:sz w:val="22"/>
                <w:szCs w:val="22"/>
              </w:rPr>
              <w:t xml:space="preserve">harmaceutical </w:t>
            </w:r>
            <w:r w:rsidR="00746267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ndustry </w:t>
            </w:r>
            <w:r w:rsidR="00746267">
              <w:rPr>
                <w:rFonts w:ascii="Arial" w:hAnsi="Arial" w:cs="Arial"/>
                <w:sz w:val="22"/>
                <w:szCs w:val="22"/>
              </w:rPr>
              <w:t>especially for</w:t>
            </w:r>
            <w:r>
              <w:rPr>
                <w:rFonts w:ascii="Arial" w:hAnsi="Arial" w:cs="Arial"/>
                <w:sz w:val="22"/>
                <w:szCs w:val="22"/>
              </w:rPr>
              <w:t xml:space="preserve"> their continued </w:t>
            </w:r>
            <w:r w:rsidR="00B01E07">
              <w:rPr>
                <w:rFonts w:ascii="Arial" w:hAnsi="Arial" w:cs="Arial"/>
                <w:sz w:val="22"/>
                <w:szCs w:val="22"/>
              </w:rPr>
              <w:t>collaboration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CA0EF1" w14:textId="4E6FF33E" w:rsidR="00BA2736" w:rsidRDefault="00BA2736" w:rsidP="00BA2736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1315C7">
              <w:rPr>
                <w:rFonts w:ascii="Arial" w:hAnsi="Arial" w:cs="Arial"/>
                <w:sz w:val="22"/>
                <w:szCs w:val="22"/>
              </w:rPr>
              <w:t>Project</w:t>
            </w:r>
          </w:p>
          <w:p w14:paraId="4B76CE5C" w14:textId="198495CB" w:rsidR="00BA2736" w:rsidRDefault="001315C7" w:rsidP="00BA2736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 the New Medicaid Inmate Exclusion </w:t>
            </w:r>
            <w:r w:rsidR="006348D1">
              <w:rPr>
                <w:rFonts w:ascii="Arial" w:hAnsi="Arial" w:cs="Arial"/>
                <w:sz w:val="22"/>
                <w:szCs w:val="22"/>
              </w:rPr>
              <w:t>Policy</w:t>
            </w:r>
            <w:r w:rsidR="00727590">
              <w:rPr>
                <w:rFonts w:ascii="Arial" w:hAnsi="Arial" w:cs="Arial"/>
                <w:sz w:val="22"/>
                <w:szCs w:val="22"/>
              </w:rPr>
              <w:t>—</w:t>
            </w:r>
            <w:r w:rsidR="006348D1">
              <w:rPr>
                <w:rFonts w:ascii="Arial" w:hAnsi="Arial" w:cs="Arial"/>
                <w:sz w:val="22"/>
                <w:szCs w:val="22"/>
              </w:rPr>
              <w:t>not</w:t>
            </w:r>
            <w:bookmarkStart w:id="1" w:name="_GoBack"/>
            <w:bookmarkEnd w:id="1"/>
            <w:r w:rsidR="006348D1">
              <w:rPr>
                <w:rFonts w:ascii="Arial" w:hAnsi="Arial" w:cs="Arial"/>
                <w:sz w:val="22"/>
                <w:szCs w:val="22"/>
              </w:rPr>
              <w:t xml:space="preserve"> permissible for inmates to receive benefits from Medicaid</w:t>
            </w:r>
            <w:r w:rsidR="007275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68541A" w14:textId="424A476A" w:rsidR="001315C7" w:rsidRDefault="009445B0" w:rsidP="00BA2736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Jails currently have issues </w:t>
            </w:r>
            <w:r w:rsidR="00CE27AD">
              <w:rPr>
                <w:rFonts w:ascii="Arial" w:hAnsi="Arial" w:cs="Arial"/>
                <w:sz w:val="22"/>
                <w:szCs w:val="22"/>
              </w:rPr>
              <w:t>controlling medication</w:t>
            </w:r>
            <w:r w:rsidR="006348D1">
              <w:rPr>
                <w:rFonts w:ascii="Arial" w:hAnsi="Arial" w:cs="Arial"/>
                <w:sz w:val="22"/>
                <w:szCs w:val="22"/>
              </w:rPr>
              <w:t xml:space="preserve"> costs</w:t>
            </w:r>
            <w:r w:rsidR="00033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F1B9AB" w14:textId="07B7860E" w:rsidR="00CE27AD" w:rsidRPr="00E509E3" w:rsidRDefault="00CE27AD" w:rsidP="00BA2736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Large numbers of inmates going into/leaving </w:t>
            </w:r>
            <w:r w:rsidR="0080273E">
              <w:rPr>
                <w:rFonts w:ascii="Arial" w:hAnsi="Arial" w:cs="Arial"/>
                <w:sz w:val="22"/>
                <w:szCs w:val="22"/>
              </w:rPr>
              <w:t xml:space="preserve">jail on </w:t>
            </w:r>
            <w:r w:rsidR="006348D1">
              <w:rPr>
                <w:rFonts w:ascii="Arial" w:hAnsi="Arial" w:cs="Arial"/>
                <w:sz w:val="22"/>
                <w:szCs w:val="22"/>
              </w:rPr>
              <w:t>M</w:t>
            </w:r>
            <w:r w:rsidR="0080273E">
              <w:rPr>
                <w:rFonts w:ascii="Arial" w:hAnsi="Arial" w:cs="Arial"/>
                <w:sz w:val="22"/>
                <w:szCs w:val="22"/>
              </w:rPr>
              <w:t>edicaid</w:t>
            </w:r>
            <w:r w:rsidR="00033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7830E8" w14:textId="2AD1723E" w:rsidR="0080273E" w:rsidRDefault="0080273E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News </w:t>
            </w:r>
            <w:r w:rsidR="006348D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rticle on women being able to access birth control</w:t>
            </w:r>
          </w:p>
          <w:p w14:paraId="12D22DE5" w14:textId="6607FDD9" w:rsidR="008411C5" w:rsidRDefault="00F94ADD" w:rsidP="008411C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</w:t>
            </w:r>
            <w:r w:rsidR="00033AF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planning medication </w:t>
            </w:r>
            <w:r w:rsidR="00634ADA">
              <w:rPr>
                <w:rFonts w:ascii="Arial" w:hAnsi="Arial" w:cs="Arial"/>
                <w:sz w:val="22"/>
                <w:szCs w:val="22"/>
              </w:rPr>
              <w:t xml:space="preserve">can be accessible for </w:t>
            </w:r>
            <w:r w:rsidR="0074626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B5193">
              <w:rPr>
                <w:rFonts w:ascii="Arial" w:hAnsi="Arial" w:cs="Arial"/>
                <w:sz w:val="22"/>
                <w:szCs w:val="22"/>
              </w:rPr>
              <w:t>12-month</w:t>
            </w:r>
            <w:r w:rsidR="00634ADA">
              <w:rPr>
                <w:rFonts w:ascii="Arial" w:hAnsi="Arial" w:cs="Arial"/>
                <w:sz w:val="22"/>
                <w:szCs w:val="22"/>
              </w:rPr>
              <w:t xml:space="preserve"> supply</w:t>
            </w:r>
            <w:r w:rsidR="00033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900DA9" w14:textId="6C518B51" w:rsidR="00F94ADD" w:rsidRDefault="00F94ADD" w:rsidP="008411C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Listed under </w:t>
            </w:r>
            <w:r w:rsidR="006348D1">
              <w:rPr>
                <w:rFonts w:ascii="Arial" w:hAnsi="Arial" w:cs="Arial"/>
                <w:sz w:val="22"/>
                <w:szCs w:val="22"/>
              </w:rPr>
              <w:t xml:space="preserve">COVID </w:t>
            </w:r>
            <w:r w:rsidR="00634ADA">
              <w:rPr>
                <w:rFonts w:ascii="Arial" w:hAnsi="Arial" w:cs="Arial"/>
                <w:sz w:val="22"/>
                <w:szCs w:val="22"/>
              </w:rPr>
              <w:t>regulations</w:t>
            </w:r>
            <w:r w:rsidR="00735132">
              <w:rPr>
                <w:rFonts w:ascii="Arial" w:hAnsi="Arial" w:cs="Arial"/>
                <w:sz w:val="22"/>
                <w:szCs w:val="22"/>
              </w:rPr>
              <w:t xml:space="preserve"> for MassHealth</w:t>
            </w:r>
            <w:r w:rsidR="00033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50B95B" w14:textId="5F9C61F8" w:rsidR="00463EB2" w:rsidRPr="00E8351A" w:rsidRDefault="008D6E6B" w:rsidP="00E8351A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Regulations are being updated</w:t>
            </w:r>
            <w:r w:rsidR="006348D1">
              <w:rPr>
                <w:rFonts w:ascii="Arial" w:hAnsi="Arial" w:cs="Arial"/>
                <w:sz w:val="22"/>
                <w:szCs w:val="22"/>
              </w:rPr>
              <w:t xml:space="preserve"> to be explicit </w:t>
            </w:r>
            <w:r w:rsidR="0097221A">
              <w:rPr>
                <w:rFonts w:ascii="Arial" w:hAnsi="Arial" w:cs="Arial"/>
                <w:sz w:val="22"/>
                <w:szCs w:val="22"/>
              </w:rPr>
              <w:t xml:space="preserve">on rules </w:t>
            </w:r>
            <w:r w:rsidR="006348D1">
              <w:rPr>
                <w:rFonts w:ascii="Arial" w:hAnsi="Arial" w:cs="Arial"/>
                <w:sz w:val="22"/>
                <w:szCs w:val="22"/>
              </w:rPr>
              <w:t>and to continue access</w:t>
            </w:r>
            <w:r w:rsidR="00033A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E3A23E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4CD3D141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750F954F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A954FE1" w14:textId="363C416D" w:rsidR="00891E41" w:rsidRPr="00900466" w:rsidRDefault="00891E41" w:rsidP="00E8289F">
      <w:pPr>
        <w:rPr>
          <w:rFonts w:cs="Arial"/>
          <w:sz w:val="22"/>
          <w:szCs w:val="22"/>
        </w:rPr>
      </w:pPr>
    </w:p>
    <w:p w14:paraId="40A6CF6F" w14:textId="5A70B12F"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70"/>
        <w:gridCol w:w="8180"/>
        <w:gridCol w:w="2523"/>
      </w:tblGrid>
      <w:tr w:rsidR="00891E41" w:rsidRPr="00900466" w14:paraId="701A9A61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D6341E6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E3ECE5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A03ECF3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3A6055D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3288786" w14:textId="77777777"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E3BEC6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14:paraId="5D039D7D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A17406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14:paraId="17ECDC87" w14:textId="4CA81968" w:rsidR="00891E41" w:rsidRPr="00900466" w:rsidRDefault="00BD04C6" w:rsidP="0077211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Targeted I</w:t>
            </w:r>
            <w:r w:rsidR="00EC69B0">
              <w:rPr>
                <w:rFonts w:cs="Arial"/>
                <w:b/>
                <w:sz w:val="22"/>
                <w:szCs w:val="22"/>
              </w:rPr>
              <w:t>mmunomodulators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0629105" w14:textId="77777777" w:rsidR="00891E41" w:rsidRPr="00900466" w:rsidRDefault="00891E41" w:rsidP="0077211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018DFC50" w14:textId="612EDB54" w:rsidR="00132CB3" w:rsidRPr="00900466" w:rsidRDefault="005401EF" w:rsidP="00132CB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Targeted Immunomodulators Quality Assurance Analysis</w:t>
            </w:r>
            <w:r w:rsidR="00132CB3" w:rsidRPr="00900466">
              <w:rPr>
                <w:rFonts w:cs="Arial"/>
                <w:sz w:val="22"/>
                <w:szCs w:val="22"/>
                <w:u w:val="single"/>
              </w:rPr>
              <w:t xml:space="preserve"> by </w:t>
            </w:r>
            <w:r w:rsidR="00033AF3">
              <w:rPr>
                <w:rFonts w:cs="Arial"/>
                <w:sz w:val="22"/>
                <w:szCs w:val="22"/>
                <w:u w:val="single"/>
              </w:rPr>
              <w:t>Dr.</w:t>
            </w:r>
            <w:r w:rsidR="001E12E9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D764AC">
              <w:rPr>
                <w:rFonts w:cs="Arial"/>
                <w:sz w:val="22"/>
                <w:szCs w:val="22"/>
                <w:u w:val="single"/>
              </w:rPr>
              <w:t>Diala Nicolas</w:t>
            </w:r>
          </w:p>
          <w:p w14:paraId="0D6C3A27" w14:textId="0F4EAED1" w:rsidR="00132CB3" w:rsidRDefault="00132CB3" w:rsidP="00132CB3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This overview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4E712C">
              <w:rPr>
                <w:rFonts w:ascii="Arial" w:hAnsi="Arial" w:cs="Arial"/>
                <w:sz w:val="22"/>
                <w:szCs w:val="22"/>
              </w:rPr>
              <w:t>was</w:t>
            </w:r>
            <w:r w:rsidR="004E712C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 evaluation of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current medical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literature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will provide a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brief overview of new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guideline recommendations in this disease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state.</w:t>
            </w:r>
          </w:p>
          <w:p w14:paraId="2864E8BC" w14:textId="44731151" w:rsidR="00797B56" w:rsidRPr="00900466" w:rsidRDefault="00797B56" w:rsidP="00132CB3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241437F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5CC738C0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1D900E1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14:paraId="60C3FB36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EBDB7DF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7F43E2B0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023CCAD" w14:textId="77777777" w:rsidR="0033758E" w:rsidRDefault="0033758E" w:rsidP="0033758E">
            <w:pPr>
              <w:rPr>
                <w:rFonts w:cs="Arial"/>
                <w:sz w:val="22"/>
                <w:szCs w:val="22"/>
              </w:rPr>
            </w:pPr>
          </w:p>
          <w:p w14:paraId="55295667" w14:textId="4BF92596" w:rsidR="0033758E" w:rsidRPr="008C34BB" w:rsidRDefault="0033758E" w:rsidP="0033758E">
            <w:pPr>
              <w:rPr>
                <w:rFonts w:cs="Arial"/>
                <w:sz w:val="22"/>
                <w:szCs w:val="22"/>
              </w:rPr>
            </w:pPr>
            <w:r w:rsidRPr="008C34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DE48203" w14:textId="69F01E4B" w:rsidR="0033758E" w:rsidRPr="008C34BB" w:rsidRDefault="0033758E" w:rsidP="003375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C34BB">
              <w:rPr>
                <w:rFonts w:ascii="Arial" w:hAnsi="Arial" w:cs="Arial"/>
                <w:sz w:val="22"/>
                <w:szCs w:val="22"/>
              </w:rPr>
              <w:t>This presentation was tabled until the next DUR Board meeting</w:t>
            </w:r>
            <w:r w:rsidR="00C728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729781" w14:textId="3ABF3A38" w:rsidR="0028786E" w:rsidRPr="005F30B5" w:rsidRDefault="0028786E" w:rsidP="00265B02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02B2CD8" w14:textId="77777777"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14:paraId="0364336A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6150DED" w14:textId="77777777"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04A4C70" w14:textId="598936B5" w:rsidR="00891E41" w:rsidRPr="00900466" w:rsidRDefault="00891E41" w:rsidP="00E8289F">
      <w:pPr>
        <w:rPr>
          <w:rFonts w:cs="Arial"/>
          <w:sz w:val="22"/>
          <w:szCs w:val="22"/>
        </w:rPr>
      </w:pPr>
    </w:p>
    <w:p w14:paraId="0004B3C5" w14:textId="4F714343" w:rsidR="00891E41" w:rsidRPr="00900466" w:rsidRDefault="00891E41" w:rsidP="00E8289F">
      <w:pPr>
        <w:rPr>
          <w:rFonts w:cs="Arial"/>
          <w:sz w:val="22"/>
          <w:szCs w:val="22"/>
        </w:rPr>
      </w:pPr>
    </w:p>
    <w:p w14:paraId="1024CCAF" w14:textId="59821B4D" w:rsidR="00A65737" w:rsidRPr="00900466" w:rsidRDefault="00714631" w:rsidP="00E8289F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 xml:space="preserve">Meeting adjourned at </w:t>
      </w:r>
      <w:r w:rsidR="00FA75F7" w:rsidRPr="00900466">
        <w:rPr>
          <w:rFonts w:cs="Arial"/>
          <w:sz w:val="22"/>
          <w:szCs w:val="22"/>
        </w:rPr>
        <w:t>8</w:t>
      </w:r>
      <w:r w:rsidR="00816605" w:rsidRPr="00900466">
        <w:rPr>
          <w:rFonts w:cs="Arial"/>
          <w:sz w:val="22"/>
          <w:szCs w:val="22"/>
        </w:rPr>
        <w:t>:0</w:t>
      </w:r>
      <w:r w:rsidR="00AF36C5" w:rsidRPr="00900466">
        <w:rPr>
          <w:rFonts w:cs="Arial"/>
          <w:sz w:val="22"/>
          <w:szCs w:val="22"/>
        </w:rPr>
        <w:t>0</w:t>
      </w:r>
      <w:r w:rsidR="00D1252B" w:rsidRPr="00900466">
        <w:rPr>
          <w:rFonts w:cs="Arial"/>
          <w:sz w:val="22"/>
          <w:szCs w:val="22"/>
        </w:rPr>
        <w:t xml:space="preserve"> </w:t>
      </w:r>
      <w:r w:rsidR="00191B9D" w:rsidRPr="00900466">
        <w:rPr>
          <w:rFonts w:cs="Arial"/>
          <w:sz w:val="22"/>
          <w:szCs w:val="22"/>
        </w:rPr>
        <w:t>p</w:t>
      </w:r>
      <w:r w:rsidR="00A42983" w:rsidRPr="00900466">
        <w:rPr>
          <w:rFonts w:cs="Arial"/>
          <w:sz w:val="22"/>
          <w:szCs w:val="22"/>
        </w:rPr>
        <w:t>.</w:t>
      </w:r>
      <w:r w:rsidR="00191B9D" w:rsidRPr="00900466">
        <w:rPr>
          <w:rFonts w:cs="Arial"/>
          <w:sz w:val="22"/>
          <w:szCs w:val="22"/>
        </w:rPr>
        <w:t>m</w:t>
      </w:r>
      <w:r w:rsidR="00A42983" w:rsidRPr="00900466">
        <w:rPr>
          <w:rFonts w:cs="Arial"/>
          <w:sz w:val="22"/>
          <w:szCs w:val="22"/>
        </w:rPr>
        <w:t>.</w:t>
      </w:r>
    </w:p>
    <w:p w14:paraId="4BB00015" w14:textId="77777777" w:rsidR="00A65737" w:rsidRPr="00900466" w:rsidRDefault="00A65737" w:rsidP="005D7D65">
      <w:pPr>
        <w:rPr>
          <w:rFonts w:cs="Arial"/>
          <w:sz w:val="22"/>
          <w:szCs w:val="22"/>
        </w:rPr>
      </w:pPr>
    </w:p>
    <w:p w14:paraId="3A00095C" w14:textId="7A5E1117" w:rsidR="00A65737" w:rsidRPr="00900466" w:rsidRDefault="00A65737" w:rsidP="005D7D65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 xml:space="preserve">Respectfully submitted </w:t>
      </w:r>
      <w:r w:rsidR="002E4FF3" w:rsidRPr="00900466">
        <w:rPr>
          <w:rFonts w:cs="Arial"/>
          <w:sz w:val="22"/>
          <w:szCs w:val="22"/>
        </w:rPr>
        <w:t>by</w:t>
      </w:r>
      <w:r w:rsidRPr="00900466">
        <w:rPr>
          <w:rFonts w:cs="Arial"/>
          <w:sz w:val="22"/>
          <w:szCs w:val="22"/>
        </w:rPr>
        <w:t xml:space="preserve"> </w:t>
      </w:r>
      <w:r w:rsidR="00132CB3" w:rsidRPr="00900466">
        <w:rPr>
          <w:rFonts w:cs="Arial"/>
          <w:sz w:val="22"/>
          <w:szCs w:val="22"/>
        </w:rPr>
        <w:t>Mylissa Price</w:t>
      </w:r>
    </w:p>
    <w:p w14:paraId="2E73DF32" w14:textId="77777777" w:rsidR="00A65737" w:rsidRPr="00900466" w:rsidRDefault="00A65737" w:rsidP="005D7D65">
      <w:pPr>
        <w:rPr>
          <w:rFonts w:cs="Arial"/>
          <w:sz w:val="22"/>
          <w:szCs w:val="22"/>
        </w:rPr>
      </w:pPr>
    </w:p>
    <w:p w14:paraId="5B0453B5" w14:textId="7D2A7E23" w:rsidR="00A65737" w:rsidRPr="00900466" w:rsidRDefault="00A65737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>Date</w:t>
      </w:r>
      <w:r w:rsidR="00714631" w:rsidRPr="00900466">
        <w:rPr>
          <w:rFonts w:cs="Arial"/>
          <w:sz w:val="22"/>
          <w:szCs w:val="22"/>
        </w:rPr>
        <w:t xml:space="preserve">: </w:t>
      </w:r>
      <w:r w:rsidR="00350B85" w:rsidRPr="00900466">
        <w:rPr>
          <w:rFonts w:cs="Arial"/>
          <w:sz w:val="22"/>
          <w:szCs w:val="22"/>
        </w:rPr>
        <w:t>_________________</w:t>
      </w:r>
    </w:p>
    <w:sectPr w:rsidR="00A65737" w:rsidRPr="00900466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EEFC4" w14:textId="77777777" w:rsidR="00C4501B" w:rsidRDefault="00C4501B" w:rsidP="003A51FC">
      <w:r>
        <w:separator/>
      </w:r>
    </w:p>
  </w:endnote>
  <w:endnote w:type="continuationSeparator" w:id="0">
    <w:p w14:paraId="5DB6B9CD" w14:textId="77777777" w:rsidR="00C4501B" w:rsidRDefault="00C4501B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4B226" w14:textId="77777777" w:rsidR="00C4501B" w:rsidRDefault="00C4501B" w:rsidP="003A51FC">
      <w:r>
        <w:separator/>
      </w:r>
    </w:p>
  </w:footnote>
  <w:footnote w:type="continuationSeparator" w:id="0">
    <w:p w14:paraId="69048B43" w14:textId="77777777" w:rsidR="00C4501B" w:rsidRDefault="00C4501B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7EE"/>
    <w:multiLevelType w:val="hybridMultilevel"/>
    <w:tmpl w:val="33C6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7D85"/>
    <w:multiLevelType w:val="hybridMultilevel"/>
    <w:tmpl w:val="53ECE6C8"/>
    <w:lvl w:ilvl="0" w:tplc="B616FDDA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B2DB3"/>
    <w:multiLevelType w:val="hybridMultilevel"/>
    <w:tmpl w:val="E56AB5C2"/>
    <w:lvl w:ilvl="0" w:tplc="892CE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AF2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02C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873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8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27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CE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F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07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4E484A"/>
    <w:multiLevelType w:val="hybridMultilevel"/>
    <w:tmpl w:val="118E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737FB"/>
    <w:multiLevelType w:val="hybridMultilevel"/>
    <w:tmpl w:val="B548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A70CE"/>
    <w:multiLevelType w:val="hybridMultilevel"/>
    <w:tmpl w:val="AB40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66F37"/>
    <w:multiLevelType w:val="hybridMultilevel"/>
    <w:tmpl w:val="CEEA8B9A"/>
    <w:lvl w:ilvl="0" w:tplc="C1E8799A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841E66"/>
    <w:multiLevelType w:val="hybridMultilevel"/>
    <w:tmpl w:val="CB50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31F97"/>
    <w:multiLevelType w:val="hybridMultilevel"/>
    <w:tmpl w:val="11180EC4"/>
    <w:lvl w:ilvl="0" w:tplc="20FA6434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E2543"/>
    <w:multiLevelType w:val="hybridMultilevel"/>
    <w:tmpl w:val="C0D4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549B3"/>
    <w:multiLevelType w:val="hybridMultilevel"/>
    <w:tmpl w:val="4966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C70E8"/>
    <w:multiLevelType w:val="hybridMultilevel"/>
    <w:tmpl w:val="840E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53793"/>
    <w:multiLevelType w:val="hybridMultilevel"/>
    <w:tmpl w:val="258C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F51FD"/>
    <w:multiLevelType w:val="hybridMultilevel"/>
    <w:tmpl w:val="5E0C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C4C5E"/>
    <w:multiLevelType w:val="hybridMultilevel"/>
    <w:tmpl w:val="D89A37C6"/>
    <w:lvl w:ilvl="0" w:tplc="2310A1FC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A1633"/>
    <w:multiLevelType w:val="hybridMultilevel"/>
    <w:tmpl w:val="A0E2A832"/>
    <w:lvl w:ilvl="0" w:tplc="161EC9F2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92867"/>
    <w:multiLevelType w:val="hybridMultilevel"/>
    <w:tmpl w:val="6266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5"/>
  </w:num>
  <w:num w:numId="5">
    <w:abstractNumId w:val="10"/>
  </w:num>
  <w:num w:numId="6">
    <w:abstractNumId w:val="23"/>
  </w:num>
  <w:num w:numId="7">
    <w:abstractNumId w:val="6"/>
  </w:num>
  <w:num w:numId="8">
    <w:abstractNumId w:val="17"/>
  </w:num>
  <w:num w:numId="9">
    <w:abstractNumId w:val="9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9"/>
  </w:num>
  <w:num w:numId="15">
    <w:abstractNumId w:val="12"/>
  </w:num>
  <w:num w:numId="16">
    <w:abstractNumId w:val="4"/>
  </w:num>
  <w:num w:numId="17">
    <w:abstractNumId w:val="8"/>
  </w:num>
  <w:num w:numId="18">
    <w:abstractNumId w:val="11"/>
  </w:num>
  <w:num w:numId="19">
    <w:abstractNumId w:val="22"/>
  </w:num>
  <w:num w:numId="20">
    <w:abstractNumId w:val="14"/>
  </w:num>
  <w:num w:numId="21">
    <w:abstractNumId w:val="5"/>
  </w:num>
  <w:num w:numId="22">
    <w:abstractNumId w:val="21"/>
  </w:num>
  <w:num w:numId="23">
    <w:abstractNumId w:val="20"/>
  </w:num>
  <w:num w:numId="2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317D"/>
    <w:rsid w:val="000058AA"/>
    <w:rsid w:val="00005D5F"/>
    <w:rsid w:val="00013990"/>
    <w:rsid w:val="00015156"/>
    <w:rsid w:val="00015193"/>
    <w:rsid w:val="000169B3"/>
    <w:rsid w:val="00017337"/>
    <w:rsid w:val="000205AD"/>
    <w:rsid w:val="00021087"/>
    <w:rsid w:val="00021575"/>
    <w:rsid w:val="0002247C"/>
    <w:rsid w:val="0002679A"/>
    <w:rsid w:val="00026AA1"/>
    <w:rsid w:val="000277C5"/>
    <w:rsid w:val="00027E53"/>
    <w:rsid w:val="00033AF3"/>
    <w:rsid w:val="00035EE0"/>
    <w:rsid w:val="000418F4"/>
    <w:rsid w:val="00042062"/>
    <w:rsid w:val="00045266"/>
    <w:rsid w:val="00045812"/>
    <w:rsid w:val="00047664"/>
    <w:rsid w:val="000552C1"/>
    <w:rsid w:val="00055394"/>
    <w:rsid w:val="000558A0"/>
    <w:rsid w:val="00057742"/>
    <w:rsid w:val="0006039C"/>
    <w:rsid w:val="00062317"/>
    <w:rsid w:val="00064788"/>
    <w:rsid w:val="00066CC7"/>
    <w:rsid w:val="00070C00"/>
    <w:rsid w:val="0007138F"/>
    <w:rsid w:val="000714BC"/>
    <w:rsid w:val="00071B07"/>
    <w:rsid w:val="000726AD"/>
    <w:rsid w:val="00074385"/>
    <w:rsid w:val="00077764"/>
    <w:rsid w:val="0008021D"/>
    <w:rsid w:val="00082D24"/>
    <w:rsid w:val="00085011"/>
    <w:rsid w:val="00086D79"/>
    <w:rsid w:val="00086FD0"/>
    <w:rsid w:val="00087720"/>
    <w:rsid w:val="00090377"/>
    <w:rsid w:val="00093999"/>
    <w:rsid w:val="00096F2D"/>
    <w:rsid w:val="00097120"/>
    <w:rsid w:val="000A1B5D"/>
    <w:rsid w:val="000A2989"/>
    <w:rsid w:val="000A3F2B"/>
    <w:rsid w:val="000A7420"/>
    <w:rsid w:val="000B0C3B"/>
    <w:rsid w:val="000B19A1"/>
    <w:rsid w:val="000B32CE"/>
    <w:rsid w:val="000B3D30"/>
    <w:rsid w:val="000B6CB2"/>
    <w:rsid w:val="000B6F02"/>
    <w:rsid w:val="000B7502"/>
    <w:rsid w:val="000C31D6"/>
    <w:rsid w:val="000C37DD"/>
    <w:rsid w:val="000D1B9C"/>
    <w:rsid w:val="000D228F"/>
    <w:rsid w:val="000D27C9"/>
    <w:rsid w:val="000D6679"/>
    <w:rsid w:val="000D7371"/>
    <w:rsid w:val="000E1448"/>
    <w:rsid w:val="000E2E79"/>
    <w:rsid w:val="000E3030"/>
    <w:rsid w:val="000E58FF"/>
    <w:rsid w:val="000F01E3"/>
    <w:rsid w:val="000F4FD3"/>
    <w:rsid w:val="000F52DE"/>
    <w:rsid w:val="000F5FC0"/>
    <w:rsid w:val="000F6376"/>
    <w:rsid w:val="000F6B65"/>
    <w:rsid w:val="000F72E5"/>
    <w:rsid w:val="000F74BF"/>
    <w:rsid w:val="0010097D"/>
    <w:rsid w:val="0010128D"/>
    <w:rsid w:val="00104EDC"/>
    <w:rsid w:val="00105061"/>
    <w:rsid w:val="001056AE"/>
    <w:rsid w:val="0011004D"/>
    <w:rsid w:val="00110CBD"/>
    <w:rsid w:val="00111DDA"/>
    <w:rsid w:val="001138DC"/>
    <w:rsid w:val="001160F1"/>
    <w:rsid w:val="001215BC"/>
    <w:rsid w:val="00121D98"/>
    <w:rsid w:val="00121FBE"/>
    <w:rsid w:val="00123456"/>
    <w:rsid w:val="001267AF"/>
    <w:rsid w:val="0012685E"/>
    <w:rsid w:val="001315C7"/>
    <w:rsid w:val="00131DD9"/>
    <w:rsid w:val="001321C4"/>
    <w:rsid w:val="00132478"/>
    <w:rsid w:val="00132CB3"/>
    <w:rsid w:val="0013495B"/>
    <w:rsid w:val="001359B4"/>
    <w:rsid w:val="00135BDA"/>
    <w:rsid w:val="00137641"/>
    <w:rsid w:val="00137E53"/>
    <w:rsid w:val="00140B02"/>
    <w:rsid w:val="0014185A"/>
    <w:rsid w:val="00141E8C"/>
    <w:rsid w:val="00142795"/>
    <w:rsid w:val="00142976"/>
    <w:rsid w:val="001430C6"/>
    <w:rsid w:val="00143A3D"/>
    <w:rsid w:val="00143BA6"/>
    <w:rsid w:val="00144C80"/>
    <w:rsid w:val="001472D4"/>
    <w:rsid w:val="00147B03"/>
    <w:rsid w:val="001556A9"/>
    <w:rsid w:val="001578A6"/>
    <w:rsid w:val="00160B28"/>
    <w:rsid w:val="001621B6"/>
    <w:rsid w:val="001621FC"/>
    <w:rsid w:val="00163025"/>
    <w:rsid w:val="00163952"/>
    <w:rsid w:val="00165366"/>
    <w:rsid w:val="001708E2"/>
    <w:rsid w:val="00171F6D"/>
    <w:rsid w:val="00173809"/>
    <w:rsid w:val="00174B8E"/>
    <w:rsid w:val="00174DD8"/>
    <w:rsid w:val="00177899"/>
    <w:rsid w:val="0018097B"/>
    <w:rsid w:val="00181645"/>
    <w:rsid w:val="0018259A"/>
    <w:rsid w:val="001825E8"/>
    <w:rsid w:val="00182EE1"/>
    <w:rsid w:val="00182FC3"/>
    <w:rsid w:val="0018379F"/>
    <w:rsid w:val="00183BBC"/>
    <w:rsid w:val="001848C4"/>
    <w:rsid w:val="00184F56"/>
    <w:rsid w:val="001865F4"/>
    <w:rsid w:val="001874A5"/>
    <w:rsid w:val="00187ACD"/>
    <w:rsid w:val="00187DAE"/>
    <w:rsid w:val="00190DAB"/>
    <w:rsid w:val="0019177D"/>
    <w:rsid w:val="00191B9D"/>
    <w:rsid w:val="0019234E"/>
    <w:rsid w:val="00192714"/>
    <w:rsid w:val="00192B6A"/>
    <w:rsid w:val="00195AA5"/>
    <w:rsid w:val="00195BD5"/>
    <w:rsid w:val="001A0865"/>
    <w:rsid w:val="001A3886"/>
    <w:rsid w:val="001A4F7B"/>
    <w:rsid w:val="001A53EA"/>
    <w:rsid w:val="001A5C61"/>
    <w:rsid w:val="001A5D6E"/>
    <w:rsid w:val="001A5E52"/>
    <w:rsid w:val="001A6BED"/>
    <w:rsid w:val="001A6CDB"/>
    <w:rsid w:val="001A7806"/>
    <w:rsid w:val="001A7906"/>
    <w:rsid w:val="001B0C7E"/>
    <w:rsid w:val="001B1837"/>
    <w:rsid w:val="001B1D4C"/>
    <w:rsid w:val="001B277C"/>
    <w:rsid w:val="001B29B4"/>
    <w:rsid w:val="001B301B"/>
    <w:rsid w:val="001B31EB"/>
    <w:rsid w:val="001B3B95"/>
    <w:rsid w:val="001C00E9"/>
    <w:rsid w:val="001C261E"/>
    <w:rsid w:val="001C2643"/>
    <w:rsid w:val="001C2C4C"/>
    <w:rsid w:val="001C3D60"/>
    <w:rsid w:val="001C58EB"/>
    <w:rsid w:val="001C5AF2"/>
    <w:rsid w:val="001C71CD"/>
    <w:rsid w:val="001C7AC0"/>
    <w:rsid w:val="001D56D4"/>
    <w:rsid w:val="001D62EC"/>
    <w:rsid w:val="001D67A4"/>
    <w:rsid w:val="001D69CB"/>
    <w:rsid w:val="001D7779"/>
    <w:rsid w:val="001E12E9"/>
    <w:rsid w:val="001E46AF"/>
    <w:rsid w:val="001E6D80"/>
    <w:rsid w:val="001E795A"/>
    <w:rsid w:val="001E7BF5"/>
    <w:rsid w:val="001E7C9F"/>
    <w:rsid w:val="001F08C1"/>
    <w:rsid w:val="001F5149"/>
    <w:rsid w:val="001F618E"/>
    <w:rsid w:val="00204045"/>
    <w:rsid w:val="00204838"/>
    <w:rsid w:val="00205F8B"/>
    <w:rsid w:val="0021168F"/>
    <w:rsid w:val="00211F68"/>
    <w:rsid w:val="00212F40"/>
    <w:rsid w:val="00213411"/>
    <w:rsid w:val="00213629"/>
    <w:rsid w:val="00214088"/>
    <w:rsid w:val="0021413D"/>
    <w:rsid w:val="00223CB9"/>
    <w:rsid w:val="0022451D"/>
    <w:rsid w:val="00226D36"/>
    <w:rsid w:val="00232C37"/>
    <w:rsid w:val="002348A6"/>
    <w:rsid w:val="00235CE1"/>
    <w:rsid w:val="00236EAB"/>
    <w:rsid w:val="00240339"/>
    <w:rsid w:val="00241B91"/>
    <w:rsid w:val="0024224B"/>
    <w:rsid w:val="00244468"/>
    <w:rsid w:val="00246B49"/>
    <w:rsid w:val="00253A49"/>
    <w:rsid w:val="00253C80"/>
    <w:rsid w:val="00257168"/>
    <w:rsid w:val="002618A2"/>
    <w:rsid w:val="00261A11"/>
    <w:rsid w:val="0026346A"/>
    <w:rsid w:val="00264744"/>
    <w:rsid w:val="00265B02"/>
    <w:rsid w:val="00266360"/>
    <w:rsid w:val="002678FB"/>
    <w:rsid w:val="00272740"/>
    <w:rsid w:val="00273946"/>
    <w:rsid w:val="0027735E"/>
    <w:rsid w:val="00277E74"/>
    <w:rsid w:val="00280035"/>
    <w:rsid w:val="00283448"/>
    <w:rsid w:val="00283EC0"/>
    <w:rsid w:val="0028517F"/>
    <w:rsid w:val="00286180"/>
    <w:rsid w:val="00287666"/>
    <w:rsid w:val="0028786E"/>
    <w:rsid w:val="00287D73"/>
    <w:rsid w:val="0029090E"/>
    <w:rsid w:val="002910AB"/>
    <w:rsid w:val="00292CAB"/>
    <w:rsid w:val="002931B3"/>
    <w:rsid w:val="00294478"/>
    <w:rsid w:val="00297ABF"/>
    <w:rsid w:val="002A38CC"/>
    <w:rsid w:val="002A4976"/>
    <w:rsid w:val="002A63D9"/>
    <w:rsid w:val="002A760F"/>
    <w:rsid w:val="002B0500"/>
    <w:rsid w:val="002B06A3"/>
    <w:rsid w:val="002B163E"/>
    <w:rsid w:val="002B38D3"/>
    <w:rsid w:val="002B527C"/>
    <w:rsid w:val="002C1955"/>
    <w:rsid w:val="002C2BBC"/>
    <w:rsid w:val="002C2DF4"/>
    <w:rsid w:val="002C2E5D"/>
    <w:rsid w:val="002C55C3"/>
    <w:rsid w:val="002C7E40"/>
    <w:rsid w:val="002D1492"/>
    <w:rsid w:val="002D2372"/>
    <w:rsid w:val="002D2C9A"/>
    <w:rsid w:val="002D432A"/>
    <w:rsid w:val="002D52BD"/>
    <w:rsid w:val="002D5BF5"/>
    <w:rsid w:val="002D7BB0"/>
    <w:rsid w:val="002E1E0D"/>
    <w:rsid w:val="002E2771"/>
    <w:rsid w:val="002E34A0"/>
    <w:rsid w:val="002E4FF3"/>
    <w:rsid w:val="002E7420"/>
    <w:rsid w:val="002E7994"/>
    <w:rsid w:val="002F005E"/>
    <w:rsid w:val="002F0732"/>
    <w:rsid w:val="002F0F74"/>
    <w:rsid w:val="002F2201"/>
    <w:rsid w:val="002F2E8D"/>
    <w:rsid w:val="002F5471"/>
    <w:rsid w:val="002F56E7"/>
    <w:rsid w:val="002F765F"/>
    <w:rsid w:val="002F7C14"/>
    <w:rsid w:val="003035B2"/>
    <w:rsid w:val="00303E28"/>
    <w:rsid w:val="00304327"/>
    <w:rsid w:val="00304A40"/>
    <w:rsid w:val="00306239"/>
    <w:rsid w:val="003076A8"/>
    <w:rsid w:val="003100C4"/>
    <w:rsid w:val="0031201F"/>
    <w:rsid w:val="003148ED"/>
    <w:rsid w:val="0031523C"/>
    <w:rsid w:val="003177AE"/>
    <w:rsid w:val="0031793A"/>
    <w:rsid w:val="0032244D"/>
    <w:rsid w:val="00327EB3"/>
    <w:rsid w:val="003309D7"/>
    <w:rsid w:val="00330E12"/>
    <w:rsid w:val="00332A32"/>
    <w:rsid w:val="003369C8"/>
    <w:rsid w:val="003371D7"/>
    <w:rsid w:val="00337459"/>
    <w:rsid w:val="0033758E"/>
    <w:rsid w:val="00337A5F"/>
    <w:rsid w:val="00341CFC"/>
    <w:rsid w:val="00342C7A"/>
    <w:rsid w:val="00343A0F"/>
    <w:rsid w:val="00345505"/>
    <w:rsid w:val="003461B1"/>
    <w:rsid w:val="00346D74"/>
    <w:rsid w:val="00347390"/>
    <w:rsid w:val="00347DA4"/>
    <w:rsid w:val="00350B85"/>
    <w:rsid w:val="0035353B"/>
    <w:rsid w:val="00355658"/>
    <w:rsid w:val="00357B62"/>
    <w:rsid w:val="00361333"/>
    <w:rsid w:val="00367DEB"/>
    <w:rsid w:val="00367DF0"/>
    <w:rsid w:val="00370885"/>
    <w:rsid w:val="00370B8C"/>
    <w:rsid w:val="0037149E"/>
    <w:rsid w:val="00373D6B"/>
    <w:rsid w:val="00374742"/>
    <w:rsid w:val="00374838"/>
    <w:rsid w:val="00376088"/>
    <w:rsid w:val="003769C9"/>
    <w:rsid w:val="00376A82"/>
    <w:rsid w:val="0038032A"/>
    <w:rsid w:val="00380AE5"/>
    <w:rsid w:val="00381B48"/>
    <w:rsid w:val="00381F94"/>
    <w:rsid w:val="0039156A"/>
    <w:rsid w:val="0039686D"/>
    <w:rsid w:val="00396EA1"/>
    <w:rsid w:val="003A0287"/>
    <w:rsid w:val="003A1C36"/>
    <w:rsid w:val="003A510E"/>
    <w:rsid w:val="003A51FC"/>
    <w:rsid w:val="003A567D"/>
    <w:rsid w:val="003A62A1"/>
    <w:rsid w:val="003A657D"/>
    <w:rsid w:val="003A7D32"/>
    <w:rsid w:val="003B0BA9"/>
    <w:rsid w:val="003B2CE0"/>
    <w:rsid w:val="003B446B"/>
    <w:rsid w:val="003B6EDE"/>
    <w:rsid w:val="003C0DE6"/>
    <w:rsid w:val="003C19D6"/>
    <w:rsid w:val="003C294F"/>
    <w:rsid w:val="003C61B9"/>
    <w:rsid w:val="003C65BD"/>
    <w:rsid w:val="003C7115"/>
    <w:rsid w:val="003C7A8D"/>
    <w:rsid w:val="003D2462"/>
    <w:rsid w:val="003D2763"/>
    <w:rsid w:val="003D4B8F"/>
    <w:rsid w:val="003E19EE"/>
    <w:rsid w:val="003E4AF3"/>
    <w:rsid w:val="003E6BD6"/>
    <w:rsid w:val="003E73F9"/>
    <w:rsid w:val="003F206A"/>
    <w:rsid w:val="003F2C52"/>
    <w:rsid w:val="003F3D5D"/>
    <w:rsid w:val="003F7675"/>
    <w:rsid w:val="00400552"/>
    <w:rsid w:val="00401D9D"/>
    <w:rsid w:val="00402A9A"/>
    <w:rsid w:val="0040548B"/>
    <w:rsid w:val="00405B86"/>
    <w:rsid w:val="004077CE"/>
    <w:rsid w:val="00413743"/>
    <w:rsid w:val="004138A6"/>
    <w:rsid w:val="004158D7"/>
    <w:rsid w:val="00416D51"/>
    <w:rsid w:val="004210D7"/>
    <w:rsid w:val="0042133D"/>
    <w:rsid w:val="00421B1F"/>
    <w:rsid w:val="004230BE"/>
    <w:rsid w:val="00423C96"/>
    <w:rsid w:val="00423FE4"/>
    <w:rsid w:val="004265F9"/>
    <w:rsid w:val="00427421"/>
    <w:rsid w:val="00430565"/>
    <w:rsid w:val="00431113"/>
    <w:rsid w:val="00431A94"/>
    <w:rsid w:val="00435EF1"/>
    <w:rsid w:val="0043614C"/>
    <w:rsid w:val="004364E1"/>
    <w:rsid w:val="00436844"/>
    <w:rsid w:val="0043796F"/>
    <w:rsid w:val="004405BB"/>
    <w:rsid w:val="00446924"/>
    <w:rsid w:val="00447F19"/>
    <w:rsid w:val="00451502"/>
    <w:rsid w:val="004518D8"/>
    <w:rsid w:val="0045293D"/>
    <w:rsid w:val="00457130"/>
    <w:rsid w:val="00457A63"/>
    <w:rsid w:val="00463907"/>
    <w:rsid w:val="00463AAE"/>
    <w:rsid w:val="00463D17"/>
    <w:rsid w:val="00463EB2"/>
    <w:rsid w:val="00464F0A"/>
    <w:rsid w:val="004650F4"/>
    <w:rsid w:val="004712A6"/>
    <w:rsid w:val="00475265"/>
    <w:rsid w:val="004815ED"/>
    <w:rsid w:val="00482143"/>
    <w:rsid w:val="00482D34"/>
    <w:rsid w:val="00487272"/>
    <w:rsid w:val="00487E72"/>
    <w:rsid w:val="00490958"/>
    <w:rsid w:val="0049238C"/>
    <w:rsid w:val="004924B8"/>
    <w:rsid w:val="004946A4"/>
    <w:rsid w:val="004950EA"/>
    <w:rsid w:val="00496C8F"/>
    <w:rsid w:val="00496D32"/>
    <w:rsid w:val="004A0A62"/>
    <w:rsid w:val="004A6136"/>
    <w:rsid w:val="004A68BC"/>
    <w:rsid w:val="004B3619"/>
    <w:rsid w:val="004B4010"/>
    <w:rsid w:val="004B5E97"/>
    <w:rsid w:val="004C33BD"/>
    <w:rsid w:val="004C3430"/>
    <w:rsid w:val="004C51C4"/>
    <w:rsid w:val="004D0EF9"/>
    <w:rsid w:val="004D3FEF"/>
    <w:rsid w:val="004D6A48"/>
    <w:rsid w:val="004E7117"/>
    <w:rsid w:val="004E712C"/>
    <w:rsid w:val="004F0974"/>
    <w:rsid w:val="004F0FCF"/>
    <w:rsid w:val="004F1224"/>
    <w:rsid w:val="004F1553"/>
    <w:rsid w:val="004F1B96"/>
    <w:rsid w:val="004F3975"/>
    <w:rsid w:val="004F586A"/>
    <w:rsid w:val="004F7297"/>
    <w:rsid w:val="004F7BAC"/>
    <w:rsid w:val="005024C2"/>
    <w:rsid w:val="00503EAB"/>
    <w:rsid w:val="0050403E"/>
    <w:rsid w:val="00504713"/>
    <w:rsid w:val="0050545A"/>
    <w:rsid w:val="00506380"/>
    <w:rsid w:val="00506DE5"/>
    <w:rsid w:val="00507A06"/>
    <w:rsid w:val="00511A84"/>
    <w:rsid w:val="005122C3"/>
    <w:rsid w:val="00513C17"/>
    <w:rsid w:val="005142FE"/>
    <w:rsid w:val="00515524"/>
    <w:rsid w:val="0051741D"/>
    <w:rsid w:val="00520968"/>
    <w:rsid w:val="00521CAD"/>
    <w:rsid w:val="00524456"/>
    <w:rsid w:val="00526063"/>
    <w:rsid w:val="005300BB"/>
    <w:rsid w:val="005311AC"/>
    <w:rsid w:val="0053356F"/>
    <w:rsid w:val="005339E3"/>
    <w:rsid w:val="005347FA"/>
    <w:rsid w:val="00534CF7"/>
    <w:rsid w:val="00534FD3"/>
    <w:rsid w:val="00536490"/>
    <w:rsid w:val="005401EF"/>
    <w:rsid w:val="005407AD"/>
    <w:rsid w:val="00546DA0"/>
    <w:rsid w:val="0054733A"/>
    <w:rsid w:val="00550B52"/>
    <w:rsid w:val="00550BD2"/>
    <w:rsid w:val="005538F9"/>
    <w:rsid w:val="00553C1A"/>
    <w:rsid w:val="00557E22"/>
    <w:rsid w:val="00557F6A"/>
    <w:rsid w:val="00560F84"/>
    <w:rsid w:val="005628A4"/>
    <w:rsid w:val="00562937"/>
    <w:rsid w:val="005667E3"/>
    <w:rsid w:val="00566904"/>
    <w:rsid w:val="00572C42"/>
    <w:rsid w:val="00572C65"/>
    <w:rsid w:val="005746EB"/>
    <w:rsid w:val="00574EF6"/>
    <w:rsid w:val="00580028"/>
    <w:rsid w:val="00580AC6"/>
    <w:rsid w:val="005822F7"/>
    <w:rsid w:val="00584614"/>
    <w:rsid w:val="005852B9"/>
    <w:rsid w:val="00587BF0"/>
    <w:rsid w:val="00590828"/>
    <w:rsid w:val="005A1C66"/>
    <w:rsid w:val="005A54F2"/>
    <w:rsid w:val="005A6632"/>
    <w:rsid w:val="005B08A2"/>
    <w:rsid w:val="005B0A59"/>
    <w:rsid w:val="005B0F13"/>
    <w:rsid w:val="005B341D"/>
    <w:rsid w:val="005B699C"/>
    <w:rsid w:val="005C3050"/>
    <w:rsid w:val="005C34DC"/>
    <w:rsid w:val="005C748E"/>
    <w:rsid w:val="005D04D4"/>
    <w:rsid w:val="005D0905"/>
    <w:rsid w:val="005D0A24"/>
    <w:rsid w:val="005D4D5E"/>
    <w:rsid w:val="005D6DDC"/>
    <w:rsid w:val="005D7D65"/>
    <w:rsid w:val="005E099D"/>
    <w:rsid w:val="005E1B9F"/>
    <w:rsid w:val="005E2E29"/>
    <w:rsid w:val="005E7D8C"/>
    <w:rsid w:val="005F028F"/>
    <w:rsid w:val="005F09C3"/>
    <w:rsid w:val="005F1777"/>
    <w:rsid w:val="005F30B5"/>
    <w:rsid w:val="005F43AF"/>
    <w:rsid w:val="005F4895"/>
    <w:rsid w:val="005F6149"/>
    <w:rsid w:val="005F69C2"/>
    <w:rsid w:val="005F78C1"/>
    <w:rsid w:val="0060177B"/>
    <w:rsid w:val="006042A8"/>
    <w:rsid w:val="00605E1B"/>
    <w:rsid w:val="006068BC"/>
    <w:rsid w:val="0060719A"/>
    <w:rsid w:val="00607580"/>
    <w:rsid w:val="00610EC2"/>
    <w:rsid w:val="0061178C"/>
    <w:rsid w:val="00612392"/>
    <w:rsid w:val="00613662"/>
    <w:rsid w:val="00613AB3"/>
    <w:rsid w:val="0061443F"/>
    <w:rsid w:val="00621A2D"/>
    <w:rsid w:val="0062368F"/>
    <w:rsid w:val="00623E03"/>
    <w:rsid w:val="006251AB"/>
    <w:rsid w:val="006252F2"/>
    <w:rsid w:val="00626874"/>
    <w:rsid w:val="006274E7"/>
    <w:rsid w:val="00627DF4"/>
    <w:rsid w:val="00630813"/>
    <w:rsid w:val="00630CBF"/>
    <w:rsid w:val="00633166"/>
    <w:rsid w:val="00633278"/>
    <w:rsid w:val="00633747"/>
    <w:rsid w:val="00633A5F"/>
    <w:rsid w:val="006348D1"/>
    <w:rsid w:val="00634ADA"/>
    <w:rsid w:val="00635A7D"/>
    <w:rsid w:val="00637828"/>
    <w:rsid w:val="00642BA4"/>
    <w:rsid w:val="00643646"/>
    <w:rsid w:val="006445E0"/>
    <w:rsid w:val="006451EA"/>
    <w:rsid w:val="00645426"/>
    <w:rsid w:val="00645D62"/>
    <w:rsid w:val="00647A8E"/>
    <w:rsid w:val="006525AD"/>
    <w:rsid w:val="006528D9"/>
    <w:rsid w:val="00652C12"/>
    <w:rsid w:val="0065311F"/>
    <w:rsid w:val="006547B8"/>
    <w:rsid w:val="00655285"/>
    <w:rsid w:val="00655DA4"/>
    <w:rsid w:val="006570F4"/>
    <w:rsid w:val="00660634"/>
    <w:rsid w:val="00662FD7"/>
    <w:rsid w:val="00663008"/>
    <w:rsid w:val="0066411E"/>
    <w:rsid w:val="006646F3"/>
    <w:rsid w:val="00665F41"/>
    <w:rsid w:val="00666465"/>
    <w:rsid w:val="00670110"/>
    <w:rsid w:val="006708EA"/>
    <w:rsid w:val="00670EE5"/>
    <w:rsid w:val="0067143A"/>
    <w:rsid w:val="0067207E"/>
    <w:rsid w:val="006731B9"/>
    <w:rsid w:val="0067363B"/>
    <w:rsid w:val="00676F86"/>
    <w:rsid w:val="00677DD9"/>
    <w:rsid w:val="00680AFE"/>
    <w:rsid w:val="00683001"/>
    <w:rsid w:val="00686EA8"/>
    <w:rsid w:val="00691D69"/>
    <w:rsid w:val="00693B4B"/>
    <w:rsid w:val="006946E4"/>
    <w:rsid w:val="00695D09"/>
    <w:rsid w:val="0069740D"/>
    <w:rsid w:val="006A28CF"/>
    <w:rsid w:val="006A2A08"/>
    <w:rsid w:val="006A3853"/>
    <w:rsid w:val="006A3C28"/>
    <w:rsid w:val="006A6D3D"/>
    <w:rsid w:val="006B0326"/>
    <w:rsid w:val="006B0EEB"/>
    <w:rsid w:val="006B328A"/>
    <w:rsid w:val="006B421F"/>
    <w:rsid w:val="006B5193"/>
    <w:rsid w:val="006B585B"/>
    <w:rsid w:val="006B6183"/>
    <w:rsid w:val="006B6A44"/>
    <w:rsid w:val="006C01FA"/>
    <w:rsid w:val="006C228F"/>
    <w:rsid w:val="006C2B44"/>
    <w:rsid w:val="006C50DC"/>
    <w:rsid w:val="006D0463"/>
    <w:rsid w:val="006D4956"/>
    <w:rsid w:val="006E02DB"/>
    <w:rsid w:val="006E11D5"/>
    <w:rsid w:val="006F18F4"/>
    <w:rsid w:val="006F32DE"/>
    <w:rsid w:val="006F37B9"/>
    <w:rsid w:val="00700A81"/>
    <w:rsid w:val="00700AFF"/>
    <w:rsid w:val="007010A4"/>
    <w:rsid w:val="00701F4F"/>
    <w:rsid w:val="00702B09"/>
    <w:rsid w:val="0070703C"/>
    <w:rsid w:val="00714631"/>
    <w:rsid w:val="00716B5C"/>
    <w:rsid w:val="00721267"/>
    <w:rsid w:val="007220AA"/>
    <w:rsid w:val="0072321E"/>
    <w:rsid w:val="0072564A"/>
    <w:rsid w:val="00726BFD"/>
    <w:rsid w:val="00727590"/>
    <w:rsid w:val="00730F89"/>
    <w:rsid w:val="007311C3"/>
    <w:rsid w:val="007312E3"/>
    <w:rsid w:val="00731EBB"/>
    <w:rsid w:val="00732A88"/>
    <w:rsid w:val="00735132"/>
    <w:rsid w:val="0073585A"/>
    <w:rsid w:val="00736928"/>
    <w:rsid w:val="00736E7F"/>
    <w:rsid w:val="00737731"/>
    <w:rsid w:val="00741B0C"/>
    <w:rsid w:val="0074263D"/>
    <w:rsid w:val="007444FD"/>
    <w:rsid w:val="00746267"/>
    <w:rsid w:val="00747D33"/>
    <w:rsid w:val="00754A62"/>
    <w:rsid w:val="007569EE"/>
    <w:rsid w:val="00756D8A"/>
    <w:rsid w:val="00760FE3"/>
    <w:rsid w:val="00761C8B"/>
    <w:rsid w:val="00761F33"/>
    <w:rsid w:val="007625C8"/>
    <w:rsid w:val="007629F0"/>
    <w:rsid w:val="00763B7D"/>
    <w:rsid w:val="007644BD"/>
    <w:rsid w:val="007646AC"/>
    <w:rsid w:val="00766584"/>
    <w:rsid w:val="00767ED7"/>
    <w:rsid w:val="00770396"/>
    <w:rsid w:val="00771CD4"/>
    <w:rsid w:val="00772118"/>
    <w:rsid w:val="00772748"/>
    <w:rsid w:val="0077371C"/>
    <w:rsid w:val="00776409"/>
    <w:rsid w:val="00783668"/>
    <w:rsid w:val="007841D2"/>
    <w:rsid w:val="007842A1"/>
    <w:rsid w:val="00784A1F"/>
    <w:rsid w:val="00784DD3"/>
    <w:rsid w:val="0078516C"/>
    <w:rsid w:val="0078759B"/>
    <w:rsid w:val="007875CF"/>
    <w:rsid w:val="00791F06"/>
    <w:rsid w:val="00792814"/>
    <w:rsid w:val="00794467"/>
    <w:rsid w:val="007951DF"/>
    <w:rsid w:val="007973D0"/>
    <w:rsid w:val="007979A0"/>
    <w:rsid w:val="00797B56"/>
    <w:rsid w:val="007A2C85"/>
    <w:rsid w:val="007A2D55"/>
    <w:rsid w:val="007A4D88"/>
    <w:rsid w:val="007A4DD9"/>
    <w:rsid w:val="007A4F87"/>
    <w:rsid w:val="007A7118"/>
    <w:rsid w:val="007A77D2"/>
    <w:rsid w:val="007B2CDC"/>
    <w:rsid w:val="007B422F"/>
    <w:rsid w:val="007B4F55"/>
    <w:rsid w:val="007B4FF3"/>
    <w:rsid w:val="007B5157"/>
    <w:rsid w:val="007C15A7"/>
    <w:rsid w:val="007C2BB0"/>
    <w:rsid w:val="007C6B43"/>
    <w:rsid w:val="007C6BE2"/>
    <w:rsid w:val="007D1042"/>
    <w:rsid w:val="007D1C6F"/>
    <w:rsid w:val="007D31B1"/>
    <w:rsid w:val="007D69DE"/>
    <w:rsid w:val="007D7038"/>
    <w:rsid w:val="007D7FD7"/>
    <w:rsid w:val="007E6C79"/>
    <w:rsid w:val="007F17CB"/>
    <w:rsid w:val="007F1A1B"/>
    <w:rsid w:val="007F26BE"/>
    <w:rsid w:val="007F2BE2"/>
    <w:rsid w:val="007F3940"/>
    <w:rsid w:val="007F7F95"/>
    <w:rsid w:val="00800068"/>
    <w:rsid w:val="008008D5"/>
    <w:rsid w:val="0080273E"/>
    <w:rsid w:val="00802E03"/>
    <w:rsid w:val="008118C9"/>
    <w:rsid w:val="00813F5A"/>
    <w:rsid w:val="0081630F"/>
    <w:rsid w:val="00816489"/>
    <w:rsid w:val="00816605"/>
    <w:rsid w:val="00817298"/>
    <w:rsid w:val="008208F5"/>
    <w:rsid w:val="00822B71"/>
    <w:rsid w:val="008230FC"/>
    <w:rsid w:val="00826EB8"/>
    <w:rsid w:val="0082707F"/>
    <w:rsid w:val="0083156F"/>
    <w:rsid w:val="00834749"/>
    <w:rsid w:val="00834C78"/>
    <w:rsid w:val="00834F5A"/>
    <w:rsid w:val="00840BF6"/>
    <w:rsid w:val="008411C4"/>
    <w:rsid w:val="008411C5"/>
    <w:rsid w:val="0084123C"/>
    <w:rsid w:val="00844903"/>
    <w:rsid w:val="0084759A"/>
    <w:rsid w:val="00847A22"/>
    <w:rsid w:val="00850101"/>
    <w:rsid w:val="008535AD"/>
    <w:rsid w:val="0085734A"/>
    <w:rsid w:val="00861231"/>
    <w:rsid w:val="008655F6"/>
    <w:rsid w:val="008659EE"/>
    <w:rsid w:val="008664CB"/>
    <w:rsid w:val="00870DA1"/>
    <w:rsid w:val="00876A23"/>
    <w:rsid w:val="00881883"/>
    <w:rsid w:val="008850DD"/>
    <w:rsid w:val="0088597D"/>
    <w:rsid w:val="00886787"/>
    <w:rsid w:val="008868EC"/>
    <w:rsid w:val="008906B9"/>
    <w:rsid w:val="00891688"/>
    <w:rsid w:val="00891878"/>
    <w:rsid w:val="00891E41"/>
    <w:rsid w:val="0089218F"/>
    <w:rsid w:val="00893153"/>
    <w:rsid w:val="00896DBD"/>
    <w:rsid w:val="008A28A5"/>
    <w:rsid w:val="008A420F"/>
    <w:rsid w:val="008A5BF2"/>
    <w:rsid w:val="008B0435"/>
    <w:rsid w:val="008B2623"/>
    <w:rsid w:val="008B26E6"/>
    <w:rsid w:val="008B54F4"/>
    <w:rsid w:val="008C11A8"/>
    <w:rsid w:val="008C1548"/>
    <w:rsid w:val="008C15B2"/>
    <w:rsid w:val="008C34BB"/>
    <w:rsid w:val="008C3C28"/>
    <w:rsid w:val="008C4181"/>
    <w:rsid w:val="008C6724"/>
    <w:rsid w:val="008C7DD8"/>
    <w:rsid w:val="008D2EAC"/>
    <w:rsid w:val="008D6E6B"/>
    <w:rsid w:val="008D7708"/>
    <w:rsid w:val="008E4794"/>
    <w:rsid w:val="008F12AB"/>
    <w:rsid w:val="008F12D0"/>
    <w:rsid w:val="008F1606"/>
    <w:rsid w:val="008F1EDD"/>
    <w:rsid w:val="008F2606"/>
    <w:rsid w:val="008F30FD"/>
    <w:rsid w:val="008F39C2"/>
    <w:rsid w:val="008F3B5E"/>
    <w:rsid w:val="008F42ED"/>
    <w:rsid w:val="008F5620"/>
    <w:rsid w:val="008F5CD2"/>
    <w:rsid w:val="00900466"/>
    <w:rsid w:val="00900DBD"/>
    <w:rsid w:val="009014FA"/>
    <w:rsid w:val="00901E83"/>
    <w:rsid w:val="00906E95"/>
    <w:rsid w:val="00907477"/>
    <w:rsid w:val="00910EB5"/>
    <w:rsid w:val="0091157C"/>
    <w:rsid w:val="009119B8"/>
    <w:rsid w:val="0091301C"/>
    <w:rsid w:val="00913B9B"/>
    <w:rsid w:val="009144DA"/>
    <w:rsid w:val="00916322"/>
    <w:rsid w:val="00916A57"/>
    <w:rsid w:val="009178D4"/>
    <w:rsid w:val="00921CD9"/>
    <w:rsid w:val="009238CB"/>
    <w:rsid w:val="00923E03"/>
    <w:rsid w:val="00926D82"/>
    <w:rsid w:val="0092755D"/>
    <w:rsid w:val="00931C3B"/>
    <w:rsid w:val="0093414E"/>
    <w:rsid w:val="00935ADA"/>
    <w:rsid w:val="00936A5F"/>
    <w:rsid w:val="00936AB4"/>
    <w:rsid w:val="00937C3E"/>
    <w:rsid w:val="00940A3A"/>
    <w:rsid w:val="00940BEE"/>
    <w:rsid w:val="00940CBE"/>
    <w:rsid w:val="00941584"/>
    <w:rsid w:val="00944064"/>
    <w:rsid w:val="009445B0"/>
    <w:rsid w:val="00945CC7"/>
    <w:rsid w:val="00946220"/>
    <w:rsid w:val="00946865"/>
    <w:rsid w:val="00946C12"/>
    <w:rsid w:val="009534B6"/>
    <w:rsid w:val="00953AC7"/>
    <w:rsid w:val="00953B5C"/>
    <w:rsid w:val="009552D3"/>
    <w:rsid w:val="0095572F"/>
    <w:rsid w:val="009558BD"/>
    <w:rsid w:val="0095778E"/>
    <w:rsid w:val="009628FD"/>
    <w:rsid w:val="00962D1E"/>
    <w:rsid w:val="0096404B"/>
    <w:rsid w:val="0096570F"/>
    <w:rsid w:val="00965C80"/>
    <w:rsid w:val="009660B4"/>
    <w:rsid w:val="009715B1"/>
    <w:rsid w:val="0097194D"/>
    <w:rsid w:val="00971DC5"/>
    <w:rsid w:val="0097221A"/>
    <w:rsid w:val="00974686"/>
    <w:rsid w:val="009746A4"/>
    <w:rsid w:val="009758E8"/>
    <w:rsid w:val="009760A2"/>
    <w:rsid w:val="009763EA"/>
    <w:rsid w:val="00976EEE"/>
    <w:rsid w:val="009816E4"/>
    <w:rsid w:val="0098276C"/>
    <w:rsid w:val="00982FA6"/>
    <w:rsid w:val="009868E8"/>
    <w:rsid w:val="0099208B"/>
    <w:rsid w:val="00992468"/>
    <w:rsid w:val="00993273"/>
    <w:rsid w:val="009932C7"/>
    <w:rsid w:val="009A05A3"/>
    <w:rsid w:val="009A1058"/>
    <w:rsid w:val="009A1AE8"/>
    <w:rsid w:val="009A240F"/>
    <w:rsid w:val="009A42D7"/>
    <w:rsid w:val="009A4EE3"/>
    <w:rsid w:val="009A58AB"/>
    <w:rsid w:val="009A6D3B"/>
    <w:rsid w:val="009A7D84"/>
    <w:rsid w:val="009B1FD0"/>
    <w:rsid w:val="009B21EA"/>
    <w:rsid w:val="009B25CA"/>
    <w:rsid w:val="009B47FB"/>
    <w:rsid w:val="009B601A"/>
    <w:rsid w:val="009B7928"/>
    <w:rsid w:val="009C53F7"/>
    <w:rsid w:val="009C5FD3"/>
    <w:rsid w:val="009C7CE1"/>
    <w:rsid w:val="009D0C6B"/>
    <w:rsid w:val="009D2405"/>
    <w:rsid w:val="009D2544"/>
    <w:rsid w:val="009D316E"/>
    <w:rsid w:val="009D76AC"/>
    <w:rsid w:val="009E405A"/>
    <w:rsid w:val="009E6067"/>
    <w:rsid w:val="009F22D5"/>
    <w:rsid w:val="009F3068"/>
    <w:rsid w:val="009F496B"/>
    <w:rsid w:val="009F49FD"/>
    <w:rsid w:val="009F4F4C"/>
    <w:rsid w:val="009F70B8"/>
    <w:rsid w:val="00A00BA0"/>
    <w:rsid w:val="00A00EFF"/>
    <w:rsid w:val="00A02AEB"/>
    <w:rsid w:val="00A033B9"/>
    <w:rsid w:val="00A04922"/>
    <w:rsid w:val="00A05345"/>
    <w:rsid w:val="00A067DE"/>
    <w:rsid w:val="00A076F0"/>
    <w:rsid w:val="00A12838"/>
    <w:rsid w:val="00A12A4F"/>
    <w:rsid w:val="00A13430"/>
    <w:rsid w:val="00A15E14"/>
    <w:rsid w:val="00A17DB5"/>
    <w:rsid w:val="00A2045B"/>
    <w:rsid w:val="00A20E8B"/>
    <w:rsid w:val="00A22873"/>
    <w:rsid w:val="00A23014"/>
    <w:rsid w:val="00A232DE"/>
    <w:rsid w:val="00A254B8"/>
    <w:rsid w:val="00A27965"/>
    <w:rsid w:val="00A31517"/>
    <w:rsid w:val="00A34141"/>
    <w:rsid w:val="00A34CC7"/>
    <w:rsid w:val="00A34DC9"/>
    <w:rsid w:val="00A359FC"/>
    <w:rsid w:val="00A3683A"/>
    <w:rsid w:val="00A36F1D"/>
    <w:rsid w:val="00A405FB"/>
    <w:rsid w:val="00A410E3"/>
    <w:rsid w:val="00A41898"/>
    <w:rsid w:val="00A42983"/>
    <w:rsid w:val="00A436CF"/>
    <w:rsid w:val="00A43C69"/>
    <w:rsid w:val="00A448A9"/>
    <w:rsid w:val="00A45036"/>
    <w:rsid w:val="00A46D88"/>
    <w:rsid w:val="00A47577"/>
    <w:rsid w:val="00A5225C"/>
    <w:rsid w:val="00A52F91"/>
    <w:rsid w:val="00A53694"/>
    <w:rsid w:val="00A53D95"/>
    <w:rsid w:val="00A53E69"/>
    <w:rsid w:val="00A5433B"/>
    <w:rsid w:val="00A54F43"/>
    <w:rsid w:val="00A558D6"/>
    <w:rsid w:val="00A563B6"/>
    <w:rsid w:val="00A615BD"/>
    <w:rsid w:val="00A61E76"/>
    <w:rsid w:val="00A628CE"/>
    <w:rsid w:val="00A64EFB"/>
    <w:rsid w:val="00A655C7"/>
    <w:rsid w:val="00A65737"/>
    <w:rsid w:val="00A66F08"/>
    <w:rsid w:val="00A71BB6"/>
    <w:rsid w:val="00A7354F"/>
    <w:rsid w:val="00A74891"/>
    <w:rsid w:val="00A75229"/>
    <w:rsid w:val="00A75247"/>
    <w:rsid w:val="00A759A5"/>
    <w:rsid w:val="00A80143"/>
    <w:rsid w:val="00A8185B"/>
    <w:rsid w:val="00A83F41"/>
    <w:rsid w:val="00A85B4E"/>
    <w:rsid w:val="00A8725B"/>
    <w:rsid w:val="00A900A9"/>
    <w:rsid w:val="00A90E36"/>
    <w:rsid w:val="00A92068"/>
    <w:rsid w:val="00A92567"/>
    <w:rsid w:val="00A941A3"/>
    <w:rsid w:val="00A97DB0"/>
    <w:rsid w:val="00AA23A7"/>
    <w:rsid w:val="00AA2AF2"/>
    <w:rsid w:val="00AA3DC2"/>
    <w:rsid w:val="00AA4A0F"/>
    <w:rsid w:val="00AB1B89"/>
    <w:rsid w:val="00AB52F0"/>
    <w:rsid w:val="00AB7073"/>
    <w:rsid w:val="00AC09EE"/>
    <w:rsid w:val="00AC5384"/>
    <w:rsid w:val="00AC55DE"/>
    <w:rsid w:val="00AC6712"/>
    <w:rsid w:val="00AD0BBF"/>
    <w:rsid w:val="00AD1819"/>
    <w:rsid w:val="00AD745B"/>
    <w:rsid w:val="00AD7B21"/>
    <w:rsid w:val="00AD7F08"/>
    <w:rsid w:val="00AE0D98"/>
    <w:rsid w:val="00AE1FA2"/>
    <w:rsid w:val="00AE22F0"/>
    <w:rsid w:val="00AE43EE"/>
    <w:rsid w:val="00AE44A5"/>
    <w:rsid w:val="00AF14F1"/>
    <w:rsid w:val="00AF25E2"/>
    <w:rsid w:val="00AF36C5"/>
    <w:rsid w:val="00AF4958"/>
    <w:rsid w:val="00AF518D"/>
    <w:rsid w:val="00B01E07"/>
    <w:rsid w:val="00B024EE"/>
    <w:rsid w:val="00B05079"/>
    <w:rsid w:val="00B10A8F"/>
    <w:rsid w:val="00B11C70"/>
    <w:rsid w:val="00B1272D"/>
    <w:rsid w:val="00B134E4"/>
    <w:rsid w:val="00B13937"/>
    <w:rsid w:val="00B14A73"/>
    <w:rsid w:val="00B1661F"/>
    <w:rsid w:val="00B20B1A"/>
    <w:rsid w:val="00B236DD"/>
    <w:rsid w:val="00B24CBC"/>
    <w:rsid w:val="00B27F82"/>
    <w:rsid w:val="00B31E22"/>
    <w:rsid w:val="00B42B7A"/>
    <w:rsid w:val="00B43DFE"/>
    <w:rsid w:val="00B455CC"/>
    <w:rsid w:val="00B47621"/>
    <w:rsid w:val="00B51056"/>
    <w:rsid w:val="00B51A86"/>
    <w:rsid w:val="00B51E7F"/>
    <w:rsid w:val="00B5256D"/>
    <w:rsid w:val="00B52FED"/>
    <w:rsid w:val="00B5618F"/>
    <w:rsid w:val="00B56BDC"/>
    <w:rsid w:val="00B56CA9"/>
    <w:rsid w:val="00B61786"/>
    <w:rsid w:val="00B63202"/>
    <w:rsid w:val="00B6601F"/>
    <w:rsid w:val="00B66922"/>
    <w:rsid w:val="00B67B38"/>
    <w:rsid w:val="00B707BF"/>
    <w:rsid w:val="00B7213D"/>
    <w:rsid w:val="00B75EFD"/>
    <w:rsid w:val="00B76427"/>
    <w:rsid w:val="00B77267"/>
    <w:rsid w:val="00B802F4"/>
    <w:rsid w:val="00B81096"/>
    <w:rsid w:val="00B81D22"/>
    <w:rsid w:val="00B84450"/>
    <w:rsid w:val="00B86D40"/>
    <w:rsid w:val="00B86DE8"/>
    <w:rsid w:val="00B92704"/>
    <w:rsid w:val="00B94904"/>
    <w:rsid w:val="00B94C0C"/>
    <w:rsid w:val="00B97628"/>
    <w:rsid w:val="00BA1678"/>
    <w:rsid w:val="00BA2736"/>
    <w:rsid w:val="00BA59BD"/>
    <w:rsid w:val="00BA7A11"/>
    <w:rsid w:val="00BB2415"/>
    <w:rsid w:val="00BB25CF"/>
    <w:rsid w:val="00BB263C"/>
    <w:rsid w:val="00BB28C6"/>
    <w:rsid w:val="00BB34C1"/>
    <w:rsid w:val="00BB667F"/>
    <w:rsid w:val="00BC22FA"/>
    <w:rsid w:val="00BC269B"/>
    <w:rsid w:val="00BC28A8"/>
    <w:rsid w:val="00BC2B22"/>
    <w:rsid w:val="00BC3454"/>
    <w:rsid w:val="00BC3568"/>
    <w:rsid w:val="00BD04C6"/>
    <w:rsid w:val="00BD1245"/>
    <w:rsid w:val="00BD211D"/>
    <w:rsid w:val="00BD2CD7"/>
    <w:rsid w:val="00BD747B"/>
    <w:rsid w:val="00BD78D5"/>
    <w:rsid w:val="00BE04C8"/>
    <w:rsid w:val="00BE0F29"/>
    <w:rsid w:val="00BE144C"/>
    <w:rsid w:val="00BE1F08"/>
    <w:rsid w:val="00BE326C"/>
    <w:rsid w:val="00BE3D0E"/>
    <w:rsid w:val="00BF2F49"/>
    <w:rsid w:val="00BF4508"/>
    <w:rsid w:val="00BF5299"/>
    <w:rsid w:val="00BF58DA"/>
    <w:rsid w:val="00BF6464"/>
    <w:rsid w:val="00BF6CD5"/>
    <w:rsid w:val="00BF7DD4"/>
    <w:rsid w:val="00C0013B"/>
    <w:rsid w:val="00C01A81"/>
    <w:rsid w:val="00C03311"/>
    <w:rsid w:val="00C035C0"/>
    <w:rsid w:val="00C03E4C"/>
    <w:rsid w:val="00C0531A"/>
    <w:rsid w:val="00C05652"/>
    <w:rsid w:val="00C06E65"/>
    <w:rsid w:val="00C1143A"/>
    <w:rsid w:val="00C11C71"/>
    <w:rsid w:val="00C12FDC"/>
    <w:rsid w:val="00C1373C"/>
    <w:rsid w:val="00C1392C"/>
    <w:rsid w:val="00C144B2"/>
    <w:rsid w:val="00C1457A"/>
    <w:rsid w:val="00C16077"/>
    <w:rsid w:val="00C174EF"/>
    <w:rsid w:val="00C20267"/>
    <w:rsid w:val="00C2399A"/>
    <w:rsid w:val="00C270ED"/>
    <w:rsid w:val="00C30A47"/>
    <w:rsid w:val="00C31CA0"/>
    <w:rsid w:val="00C325AF"/>
    <w:rsid w:val="00C3322C"/>
    <w:rsid w:val="00C3323E"/>
    <w:rsid w:val="00C37CB2"/>
    <w:rsid w:val="00C41F7D"/>
    <w:rsid w:val="00C43985"/>
    <w:rsid w:val="00C43EC5"/>
    <w:rsid w:val="00C4455A"/>
    <w:rsid w:val="00C4501B"/>
    <w:rsid w:val="00C451EC"/>
    <w:rsid w:val="00C46B73"/>
    <w:rsid w:val="00C50EBE"/>
    <w:rsid w:val="00C5100A"/>
    <w:rsid w:val="00C52A78"/>
    <w:rsid w:val="00C53C6C"/>
    <w:rsid w:val="00C5565A"/>
    <w:rsid w:val="00C55A22"/>
    <w:rsid w:val="00C5611C"/>
    <w:rsid w:val="00C57959"/>
    <w:rsid w:val="00C62317"/>
    <w:rsid w:val="00C62CD3"/>
    <w:rsid w:val="00C675F6"/>
    <w:rsid w:val="00C7151A"/>
    <w:rsid w:val="00C7282C"/>
    <w:rsid w:val="00C7301D"/>
    <w:rsid w:val="00C744AF"/>
    <w:rsid w:val="00C74C56"/>
    <w:rsid w:val="00C753F5"/>
    <w:rsid w:val="00C77EAC"/>
    <w:rsid w:val="00C812A2"/>
    <w:rsid w:val="00C8246E"/>
    <w:rsid w:val="00C82759"/>
    <w:rsid w:val="00C8362A"/>
    <w:rsid w:val="00C83846"/>
    <w:rsid w:val="00C8387F"/>
    <w:rsid w:val="00C84277"/>
    <w:rsid w:val="00C849B2"/>
    <w:rsid w:val="00C87182"/>
    <w:rsid w:val="00C9353B"/>
    <w:rsid w:val="00C96707"/>
    <w:rsid w:val="00C968DA"/>
    <w:rsid w:val="00CA03AB"/>
    <w:rsid w:val="00CA18BC"/>
    <w:rsid w:val="00CA1AFB"/>
    <w:rsid w:val="00CA1CB6"/>
    <w:rsid w:val="00CA43FF"/>
    <w:rsid w:val="00CA5C5A"/>
    <w:rsid w:val="00CA6718"/>
    <w:rsid w:val="00CA692A"/>
    <w:rsid w:val="00CA6AD1"/>
    <w:rsid w:val="00CA716B"/>
    <w:rsid w:val="00CB015C"/>
    <w:rsid w:val="00CB258A"/>
    <w:rsid w:val="00CB2ED7"/>
    <w:rsid w:val="00CB3C69"/>
    <w:rsid w:val="00CB4772"/>
    <w:rsid w:val="00CB514A"/>
    <w:rsid w:val="00CB5734"/>
    <w:rsid w:val="00CB6AC7"/>
    <w:rsid w:val="00CD0AF8"/>
    <w:rsid w:val="00CD1937"/>
    <w:rsid w:val="00CD1FEE"/>
    <w:rsid w:val="00CD411B"/>
    <w:rsid w:val="00CD68D4"/>
    <w:rsid w:val="00CD6DB0"/>
    <w:rsid w:val="00CD7CDB"/>
    <w:rsid w:val="00CE0979"/>
    <w:rsid w:val="00CE260E"/>
    <w:rsid w:val="00CE27AD"/>
    <w:rsid w:val="00CF26F5"/>
    <w:rsid w:val="00CF2FBF"/>
    <w:rsid w:val="00CF363C"/>
    <w:rsid w:val="00CF3C51"/>
    <w:rsid w:val="00CF3DE6"/>
    <w:rsid w:val="00CF5255"/>
    <w:rsid w:val="00CF64BA"/>
    <w:rsid w:val="00CF752C"/>
    <w:rsid w:val="00D00768"/>
    <w:rsid w:val="00D02976"/>
    <w:rsid w:val="00D02B5C"/>
    <w:rsid w:val="00D02BA7"/>
    <w:rsid w:val="00D03290"/>
    <w:rsid w:val="00D03988"/>
    <w:rsid w:val="00D041A8"/>
    <w:rsid w:val="00D06BEC"/>
    <w:rsid w:val="00D074F8"/>
    <w:rsid w:val="00D07E77"/>
    <w:rsid w:val="00D1252B"/>
    <w:rsid w:val="00D13FE9"/>
    <w:rsid w:val="00D14834"/>
    <w:rsid w:val="00D1736E"/>
    <w:rsid w:val="00D20CB4"/>
    <w:rsid w:val="00D27A20"/>
    <w:rsid w:val="00D27F0F"/>
    <w:rsid w:val="00D30C5E"/>
    <w:rsid w:val="00D3174D"/>
    <w:rsid w:val="00D31B6C"/>
    <w:rsid w:val="00D329FF"/>
    <w:rsid w:val="00D33469"/>
    <w:rsid w:val="00D34F6E"/>
    <w:rsid w:val="00D35BC5"/>
    <w:rsid w:val="00D40D05"/>
    <w:rsid w:val="00D40ED9"/>
    <w:rsid w:val="00D47162"/>
    <w:rsid w:val="00D4795D"/>
    <w:rsid w:val="00D510E5"/>
    <w:rsid w:val="00D5318F"/>
    <w:rsid w:val="00D53B24"/>
    <w:rsid w:val="00D55B6D"/>
    <w:rsid w:val="00D57DBC"/>
    <w:rsid w:val="00D61099"/>
    <w:rsid w:val="00D61776"/>
    <w:rsid w:val="00D62CBD"/>
    <w:rsid w:val="00D63A2E"/>
    <w:rsid w:val="00D702CC"/>
    <w:rsid w:val="00D717E7"/>
    <w:rsid w:val="00D7509E"/>
    <w:rsid w:val="00D764AC"/>
    <w:rsid w:val="00D852C5"/>
    <w:rsid w:val="00D85ED6"/>
    <w:rsid w:val="00D909C8"/>
    <w:rsid w:val="00D9125C"/>
    <w:rsid w:val="00D92F0E"/>
    <w:rsid w:val="00D94142"/>
    <w:rsid w:val="00D94B44"/>
    <w:rsid w:val="00D94FAD"/>
    <w:rsid w:val="00D95329"/>
    <w:rsid w:val="00D96E0D"/>
    <w:rsid w:val="00DA268C"/>
    <w:rsid w:val="00DA4D65"/>
    <w:rsid w:val="00DA5CCE"/>
    <w:rsid w:val="00DA7C67"/>
    <w:rsid w:val="00DB1905"/>
    <w:rsid w:val="00DB3F48"/>
    <w:rsid w:val="00DB5CA5"/>
    <w:rsid w:val="00DB658F"/>
    <w:rsid w:val="00DC1331"/>
    <w:rsid w:val="00DC133A"/>
    <w:rsid w:val="00DC1628"/>
    <w:rsid w:val="00DC5BEC"/>
    <w:rsid w:val="00DD315E"/>
    <w:rsid w:val="00DD65F6"/>
    <w:rsid w:val="00DD6FC1"/>
    <w:rsid w:val="00DE1144"/>
    <w:rsid w:val="00DE1C28"/>
    <w:rsid w:val="00DE3610"/>
    <w:rsid w:val="00DE7414"/>
    <w:rsid w:val="00DE7E78"/>
    <w:rsid w:val="00DF009F"/>
    <w:rsid w:val="00DF2280"/>
    <w:rsid w:val="00DF516A"/>
    <w:rsid w:val="00DF5256"/>
    <w:rsid w:val="00DF551E"/>
    <w:rsid w:val="00E001F6"/>
    <w:rsid w:val="00E02842"/>
    <w:rsid w:val="00E029AF"/>
    <w:rsid w:val="00E044AD"/>
    <w:rsid w:val="00E04FB1"/>
    <w:rsid w:val="00E06391"/>
    <w:rsid w:val="00E07E99"/>
    <w:rsid w:val="00E11EEF"/>
    <w:rsid w:val="00E12BB3"/>
    <w:rsid w:val="00E16CDD"/>
    <w:rsid w:val="00E17CA1"/>
    <w:rsid w:val="00E209D8"/>
    <w:rsid w:val="00E21C8C"/>
    <w:rsid w:val="00E24F24"/>
    <w:rsid w:val="00E27122"/>
    <w:rsid w:val="00E306FA"/>
    <w:rsid w:val="00E32452"/>
    <w:rsid w:val="00E33E38"/>
    <w:rsid w:val="00E4012A"/>
    <w:rsid w:val="00E432F6"/>
    <w:rsid w:val="00E451DE"/>
    <w:rsid w:val="00E509E3"/>
    <w:rsid w:val="00E522B1"/>
    <w:rsid w:val="00E531A8"/>
    <w:rsid w:val="00E534EA"/>
    <w:rsid w:val="00E5384C"/>
    <w:rsid w:val="00E54518"/>
    <w:rsid w:val="00E54A7F"/>
    <w:rsid w:val="00E56D5C"/>
    <w:rsid w:val="00E57421"/>
    <w:rsid w:val="00E60C29"/>
    <w:rsid w:val="00E616C0"/>
    <w:rsid w:val="00E6188C"/>
    <w:rsid w:val="00E67F65"/>
    <w:rsid w:val="00E73073"/>
    <w:rsid w:val="00E731C2"/>
    <w:rsid w:val="00E734E6"/>
    <w:rsid w:val="00E73619"/>
    <w:rsid w:val="00E73A62"/>
    <w:rsid w:val="00E73D24"/>
    <w:rsid w:val="00E80C84"/>
    <w:rsid w:val="00E80C9A"/>
    <w:rsid w:val="00E81536"/>
    <w:rsid w:val="00E8209E"/>
    <w:rsid w:val="00E8289F"/>
    <w:rsid w:val="00E82F5E"/>
    <w:rsid w:val="00E8351A"/>
    <w:rsid w:val="00E862F9"/>
    <w:rsid w:val="00E86B76"/>
    <w:rsid w:val="00E90211"/>
    <w:rsid w:val="00E904D6"/>
    <w:rsid w:val="00E964DD"/>
    <w:rsid w:val="00EA1DFB"/>
    <w:rsid w:val="00EA3537"/>
    <w:rsid w:val="00EA3B98"/>
    <w:rsid w:val="00EA5A45"/>
    <w:rsid w:val="00EA5CCE"/>
    <w:rsid w:val="00EB0B0F"/>
    <w:rsid w:val="00EB1B09"/>
    <w:rsid w:val="00EB2AD0"/>
    <w:rsid w:val="00EB2BB5"/>
    <w:rsid w:val="00EB37E9"/>
    <w:rsid w:val="00EB3F95"/>
    <w:rsid w:val="00EB4C19"/>
    <w:rsid w:val="00EB54A4"/>
    <w:rsid w:val="00EB6CA8"/>
    <w:rsid w:val="00EB6EB7"/>
    <w:rsid w:val="00EC2231"/>
    <w:rsid w:val="00EC2F23"/>
    <w:rsid w:val="00EC36F0"/>
    <w:rsid w:val="00EC50EC"/>
    <w:rsid w:val="00EC69B0"/>
    <w:rsid w:val="00ED20A1"/>
    <w:rsid w:val="00ED2E0B"/>
    <w:rsid w:val="00ED3B11"/>
    <w:rsid w:val="00ED6B6E"/>
    <w:rsid w:val="00EE6509"/>
    <w:rsid w:val="00EF04FF"/>
    <w:rsid w:val="00EF1927"/>
    <w:rsid w:val="00EF202C"/>
    <w:rsid w:val="00EF434C"/>
    <w:rsid w:val="00EF4803"/>
    <w:rsid w:val="00EF7D45"/>
    <w:rsid w:val="00EF7E4C"/>
    <w:rsid w:val="00F00571"/>
    <w:rsid w:val="00F02040"/>
    <w:rsid w:val="00F06D9D"/>
    <w:rsid w:val="00F07CA8"/>
    <w:rsid w:val="00F10F2A"/>
    <w:rsid w:val="00F11657"/>
    <w:rsid w:val="00F13A26"/>
    <w:rsid w:val="00F13BCC"/>
    <w:rsid w:val="00F145AE"/>
    <w:rsid w:val="00F16E2E"/>
    <w:rsid w:val="00F17CA1"/>
    <w:rsid w:val="00F2187D"/>
    <w:rsid w:val="00F22B65"/>
    <w:rsid w:val="00F269C1"/>
    <w:rsid w:val="00F271D6"/>
    <w:rsid w:val="00F277EB"/>
    <w:rsid w:val="00F3132F"/>
    <w:rsid w:val="00F324E6"/>
    <w:rsid w:val="00F338FF"/>
    <w:rsid w:val="00F34599"/>
    <w:rsid w:val="00F34E10"/>
    <w:rsid w:val="00F353D2"/>
    <w:rsid w:val="00F35ADC"/>
    <w:rsid w:val="00F35E4E"/>
    <w:rsid w:val="00F36F8A"/>
    <w:rsid w:val="00F372DD"/>
    <w:rsid w:val="00F37B72"/>
    <w:rsid w:val="00F41F01"/>
    <w:rsid w:val="00F41F91"/>
    <w:rsid w:val="00F433F4"/>
    <w:rsid w:val="00F43CB1"/>
    <w:rsid w:val="00F46467"/>
    <w:rsid w:val="00F50075"/>
    <w:rsid w:val="00F51B8E"/>
    <w:rsid w:val="00F52066"/>
    <w:rsid w:val="00F53B89"/>
    <w:rsid w:val="00F5400A"/>
    <w:rsid w:val="00F54376"/>
    <w:rsid w:val="00F553EC"/>
    <w:rsid w:val="00F55548"/>
    <w:rsid w:val="00F56440"/>
    <w:rsid w:val="00F56667"/>
    <w:rsid w:val="00F5749F"/>
    <w:rsid w:val="00F63B06"/>
    <w:rsid w:val="00F65BD0"/>
    <w:rsid w:val="00F65D90"/>
    <w:rsid w:val="00F66D32"/>
    <w:rsid w:val="00F7047F"/>
    <w:rsid w:val="00F72E67"/>
    <w:rsid w:val="00F74442"/>
    <w:rsid w:val="00F810CE"/>
    <w:rsid w:val="00F834A2"/>
    <w:rsid w:val="00F85125"/>
    <w:rsid w:val="00F87DBD"/>
    <w:rsid w:val="00F94ADD"/>
    <w:rsid w:val="00F957E3"/>
    <w:rsid w:val="00FA2883"/>
    <w:rsid w:val="00FA3CAB"/>
    <w:rsid w:val="00FA537B"/>
    <w:rsid w:val="00FA6D40"/>
    <w:rsid w:val="00FA75CB"/>
    <w:rsid w:val="00FA75F7"/>
    <w:rsid w:val="00FB01B7"/>
    <w:rsid w:val="00FB1DE9"/>
    <w:rsid w:val="00FB2019"/>
    <w:rsid w:val="00FB30CC"/>
    <w:rsid w:val="00FB3516"/>
    <w:rsid w:val="00FB43A6"/>
    <w:rsid w:val="00FB6022"/>
    <w:rsid w:val="00FB71AD"/>
    <w:rsid w:val="00FB7E50"/>
    <w:rsid w:val="00FC31C5"/>
    <w:rsid w:val="00FC6186"/>
    <w:rsid w:val="00FC687D"/>
    <w:rsid w:val="00FC7B25"/>
    <w:rsid w:val="00FD12B8"/>
    <w:rsid w:val="00FD2E9B"/>
    <w:rsid w:val="00FD3B36"/>
    <w:rsid w:val="00FD6697"/>
    <w:rsid w:val="00FD68CA"/>
    <w:rsid w:val="00FE085B"/>
    <w:rsid w:val="00FE0C78"/>
    <w:rsid w:val="00FE6451"/>
    <w:rsid w:val="00FE78A1"/>
    <w:rsid w:val="00FF0A1B"/>
    <w:rsid w:val="00FF1389"/>
    <w:rsid w:val="00FF189B"/>
    <w:rsid w:val="00FF1F5B"/>
    <w:rsid w:val="00FF395D"/>
    <w:rsid w:val="00FF5962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B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B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FF6C-619F-4BAB-A061-B7D194C8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3206</Words>
  <Characters>18276</Characters>
  <Application>Microsoft Office Word</Application>
  <DocSecurity>4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21440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2</cp:revision>
  <cp:lastPrinted>2020-02-05T17:52:00Z</cp:lastPrinted>
  <dcterms:created xsi:type="dcterms:W3CDTF">2021-12-15T19:07:00Z</dcterms:created>
  <dcterms:modified xsi:type="dcterms:W3CDTF">2021-12-15T19:07:00Z</dcterms:modified>
</cp:coreProperties>
</file>