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0718AA" w:rsidRPr="000718AA" w:rsidRDefault="000718AA" w:rsidP="000718AA">
      <w:pPr>
        <w:tabs>
          <w:tab w:val="left" w:pos="5040"/>
        </w:tabs>
        <w:suppressAutoHyphens/>
        <w:ind w:left="5040"/>
        <w:rPr>
          <w:rFonts w:ascii="Georgia" w:hAnsi="Georgia" w:cs="Arial"/>
          <w:b/>
          <w:color w:val="365F91" w:themeColor="accent1" w:themeShade="BF"/>
          <w:sz w:val="24"/>
          <w:szCs w:val="24"/>
        </w:rPr>
      </w:pPr>
      <w:r w:rsidRPr="000718AA">
        <w:rPr>
          <w:rFonts w:ascii="Georgia" w:hAnsi="Georgia" w:cs="Arial"/>
          <w:b/>
          <w:color w:val="365F91" w:themeColor="accent1" w:themeShade="BF"/>
          <w:sz w:val="24"/>
          <w:szCs w:val="24"/>
        </w:rPr>
        <w:t>Durable Medical Equipment Bulletin 21</w:t>
      </w:r>
    </w:p>
    <w:p w:rsidR="00D65B5E" w:rsidRPr="000718AA" w:rsidRDefault="000718AA" w:rsidP="000718AA">
      <w:pPr>
        <w:tabs>
          <w:tab w:val="left" w:pos="5040"/>
        </w:tabs>
        <w:suppressAutoHyphens/>
        <w:ind w:left="5040"/>
        <w:rPr>
          <w:rFonts w:ascii="Georgia" w:hAnsi="Georgia" w:cs="Arial"/>
          <w:color w:val="365F91" w:themeColor="accent1" w:themeShade="BF"/>
          <w:sz w:val="24"/>
          <w:szCs w:val="24"/>
        </w:rPr>
      </w:pPr>
      <w:r w:rsidRPr="000718AA">
        <w:rPr>
          <w:rFonts w:ascii="Georgia" w:hAnsi="Georgia" w:cs="Arial"/>
          <w:b/>
          <w:color w:val="365F91" w:themeColor="accent1" w:themeShade="BF"/>
          <w:sz w:val="24"/>
          <w:szCs w:val="24"/>
        </w:rPr>
        <w:t>October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0718AA" w:rsidRPr="000718AA">
        <w:rPr>
          <w:rFonts w:ascii="Georgia" w:hAnsi="Georgia" w:cs="Arial"/>
          <w:sz w:val="22"/>
          <w:szCs w:val="22"/>
        </w:rPr>
        <w:t xml:space="preserve">Durable Medical Equipment Providers </w:t>
      </w:r>
      <w:r w:rsidRPr="000718AA">
        <w:rPr>
          <w:rFonts w:ascii="Georgia" w:hAnsi="Georgia" w:cs="Arial"/>
          <w:sz w:val="22"/>
          <w:szCs w:val="22"/>
        </w:rPr>
        <w:t>Participating in MassHealth</w:t>
      </w:r>
    </w:p>
    <w:p w:rsidR="00D65B5E" w:rsidRPr="001B792F" w:rsidRDefault="00D65B5E" w:rsidP="000718AA">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0718AA" w:rsidRPr="000718AA">
        <w:rPr>
          <w:rFonts w:ascii="Georgia" w:hAnsi="Georgia" w:cs="Arial"/>
          <w:sz w:val="22"/>
          <w:szCs w:val="22"/>
        </w:rPr>
        <w:t xml:space="preserve">Daniel Tsai, Assistant Secretary for MassHealth    </w:t>
      </w:r>
      <w:r w:rsidR="000718AA">
        <w:rPr>
          <w:rFonts w:ascii="Georgia" w:hAnsi="Georgia"/>
          <w:noProof/>
          <w:sz w:val="22"/>
          <w:szCs w:val="22"/>
        </w:rPr>
        <w:drawing>
          <wp:inline distT="0" distB="0" distL="0" distR="0" wp14:anchorId="72AD62EE" wp14:editId="00B93049">
            <wp:extent cx="135636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9535" cy="366616"/>
                    </a:xfrm>
                    <a:prstGeom prst="rect">
                      <a:avLst/>
                    </a:prstGeom>
                    <a:noFill/>
                  </pic:spPr>
                </pic:pic>
              </a:graphicData>
            </a:graphic>
          </wp:inline>
        </w:drawing>
      </w:r>
    </w:p>
    <w:p w:rsidR="000718AA" w:rsidRDefault="000718AA" w:rsidP="00F7118D">
      <w:pPr>
        <w:tabs>
          <w:tab w:val="right" w:pos="720"/>
          <w:tab w:val="left" w:pos="1152"/>
          <w:tab w:val="left" w:pos="5184"/>
        </w:tabs>
        <w:suppressAutoHyphens/>
        <w:ind w:left="1742" w:right="576" w:hanging="1166"/>
        <w:rPr>
          <w:rFonts w:ascii="Georgia" w:hAnsi="Georgia" w:cs="Arial"/>
          <w:b/>
          <w:sz w:val="22"/>
          <w:szCs w:val="22"/>
        </w:rPr>
      </w:pPr>
    </w:p>
    <w:p w:rsidR="00F7118D" w:rsidRPr="003B414F" w:rsidRDefault="0069586B" w:rsidP="00F7118D">
      <w:pPr>
        <w:tabs>
          <w:tab w:val="right" w:pos="720"/>
          <w:tab w:val="left" w:pos="1152"/>
          <w:tab w:val="left" w:pos="5184"/>
        </w:tabs>
        <w:suppressAutoHyphens/>
        <w:ind w:left="1742" w:right="576" w:hanging="1166"/>
        <w:rPr>
          <w:rFonts w:ascii="Georgia" w:hAnsi="Georgia" w:cs="Arial"/>
          <w:color w:val="FF0000"/>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0718AA" w:rsidRPr="000718AA">
        <w:rPr>
          <w:rFonts w:ascii="Georgia" w:hAnsi="Georgia" w:cs="Arial"/>
          <w:sz w:val="22"/>
          <w:szCs w:val="22"/>
        </w:rPr>
        <w:t>Clarification of Definition of Durable Medical Equipment and Use of Medicare Local Coverage Determinations</w:t>
      </w:r>
    </w:p>
    <w:p w:rsidR="00DC292A" w:rsidRDefault="00DC292A" w:rsidP="00287894">
      <w:pPr>
        <w:ind w:left="576" w:right="576" w:hanging="2880"/>
        <w:rPr>
          <w:rFonts w:ascii="Georgia" w:hAnsi="Georgia" w:cs="Arial"/>
          <w:b/>
          <w:i/>
          <w:sz w:val="22"/>
          <w:szCs w:val="22"/>
        </w:rPr>
      </w:pPr>
    </w:p>
    <w:p w:rsidR="00DC292A" w:rsidRDefault="00DC292A" w:rsidP="0008203E">
      <w:pPr>
        <w:ind w:left="720" w:right="720" w:hanging="2880"/>
        <w:rPr>
          <w:rFonts w:ascii="Georgia" w:hAnsi="Georgia" w:cs="Arial"/>
          <w:b/>
          <w:i/>
          <w:sz w:val="22"/>
          <w:szCs w:val="22"/>
        </w:rPr>
      </w:pPr>
    </w:p>
    <w:p w:rsidR="000718AA" w:rsidRPr="000718AA" w:rsidRDefault="000718AA" w:rsidP="000718AA">
      <w:pPr>
        <w:ind w:left="576" w:right="576"/>
        <w:rPr>
          <w:rFonts w:ascii="Georgia" w:hAnsi="Georgia" w:cs="Arial"/>
          <w:b/>
          <w:color w:val="365F91" w:themeColor="accent1" w:themeShade="BF"/>
          <w:sz w:val="24"/>
          <w:szCs w:val="24"/>
        </w:rPr>
      </w:pPr>
      <w:r w:rsidRPr="000718AA">
        <w:rPr>
          <w:rFonts w:ascii="Georgia" w:hAnsi="Georgia" w:cs="Arial"/>
          <w:b/>
          <w:color w:val="365F91" w:themeColor="accent1" w:themeShade="BF"/>
          <w:sz w:val="24"/>
          <w:szCs w:val="24"/>
        </w:rPr>
        <w:t>Summary</w:t>
      </w:r>
    </w:p>
    <w:p w:rsidR="000718AA" w:rsidRPr="000718AA" w:rsidRDefault="000718AA" w:rsidP="000718AA">
      <w:pPr>
        <w:ind w:left="576" w:right="576"/>
        <w:rPr>
          <w:rFonts w:ascii="Georgia" w:hAnsi="Georgia" w:cs="Arial"/>
          <w:color w:val="FF0000"/>
          <w:sz w:val="24"/>
          <w:szCs w:val="24"/>
        </w:rPr>
      </w:pPr>
    </w:p>
    <w:p w:rsidR="000718AA" w:rsidRPr="000718AA" w:rsidRDefault="000718AA" w:rsidP="000718AA">
      <w:pPr>
        <w:ind w:left="576" w:right="576"/>
        <w:rPr>
          <w:rFonts w:ascii="Georgia" w:hAnsi="Georgia" w:cs="Arial"/>
          <w:sz w:val="24"/>
          <w:szCs w:val="24"/>
        </w:rPr>
      </w:pPr>
      <w:r w:rsidRPr="000718AA" w:rsidDel="00AC0DB8">
        <w:rPr>
          <w:rFonts w:ascii="Georgia" w:hAnsi="Georgia" w:cs="Arial"/>
          <w:sz w:val="24"/>
          <w:szCs w:val="24"/>
        </w:rPr>
        <w:t xml:space="preserve">This bulletin </w:t>
      </w:r>
      <w:r w:rsidRPr="000718AA">
        <w:rPr>
          <w:rFonts w:ascii="Georgia" w:hAnsi="Georgia" w:cs="Arial"/>
          <w:sz w:val="24"/>
          <w:szCs w:val="24"/>
        </w:rPr>
        <w:t>provides clarification regarding MassHealth’s definition of durable medical equipment (DME) and the use of Medicare local coverage determinations (LCDs) in determining</w:t>
      </w:r>
      <w:r w:rsidRPr="000718AA" w:rsidDel="00AC0DB8">
        <w:rPr>
          <w:rFonts w:ascii="Georgia" w:hAnsi="Georgia" w:cs="Arial"/>
          <w:sz w:val="24"/>
          <w:szCs w:val="24"/>
        </w:rPr>
        <w:t xml:space="preserve"> medical necessity for </w:t>
      </w:r>
      <w:r w:rsidRPr="000718AA">
        <w:rPr>
          <w:rFonts w:ascii="Georgia" w:hAnsi="Georgia" w:cs="Arial"/>
          <w:sz w:val="24"/>
          <w:szCs w:val="24"/>
        </w:rPr>
        <w:t>durable medical equipment.</w:t>
      </w:r>
    </w:p>
    <w:p w:rsidR="000718AA" w:rsidRPr="000718AA" w:rsidRDefault="000718AA" w:rsidP="000718AA">
      <w:pPr>
        <w:ind w:left="576" w:right="576"/>
        <w:rPr>
          <w:rFonts w:ascii="Georgia" w:hAnsi="Georgia" w:cs="Arial"/>
          <w:b/>
          <w:sz w:val="24"/>
          <w:szCs w:val="24"/>
        </w:rPr>
      </w:pPr>
    </w:p>
    <w:p w:rsidR="000718AA" w:rsidRPr="000718AA" w:rsidRDefault="000718AA" w:rsidP="000718AA">
      <w:pPr>
        <w:ind w:left="576" w:right="576"/>
        <w:rPr>
          <w:rFonts w:ascii="Georgia" w:hAnsi="Georgia" w:cs="Arial"/>
          <w:b/>
          <w:sz w:val="22"/>
          <w:szCs w:val="22"/>
        </w:rPr>
      </w:pPr>
      <w:r w:rsidRPr="000718AA">
        <w:rPr>
          <w:rFonts w:ascii="Georgia" w:hAnsi="Georgia" w:cs="Arial"/>
          <w:b/>
          <w:sz w:val="22"/>
          <w:szCs w:val="22"/>
        </w:rPr>
        <w:t xml:space="preserve">Definition of Durable Medical Equipment </w:t>
      </w:r>
    </w:p>
    <w:p w:rsidR="000718AA" w:rsidRPr="000718AA" w:rsidRDefault="000718AA" w:rsidP="000718AA">
      <w:pPr>
        <w:tabs>
          <w:tab w:val="left" w:pos="1032"/>
        </w:tabs>
        <w:ind w:left="576" w:right="576"/>
        <w:rPr>
          <w:rFonts w:ascii="Georgia" w:hAnsi="Georgia" w:cs="Arial"/>
          <w:sz w:val="24"/>
          <w:szCs w:val="24"/>
        </w:rPr>
      </w:pPr>
      <w:r w:rsidRPr="000718AA">
        <w:rPr>
          <w:rFonts w:ascii="Georgia" w:hAnsi="Georgia" w:cs="Arial"/>
          <w:sz w:val="24"/>
          <w:szCs w:val="24"/>
        </w:rPr>
        <w:tab/>
      </w:r>
    </w:p>
    <w:p w:rsidR="000718AA" w:rsidRPr="000718AA" w:rsidRDefault="000718AA" w:rsidP="000718AA">
      <w:pPr>
        <w:ind w:left="576" w:right="576"/>
        <w:rPr>
          <w:rFonts w:ascii="Georgia" w:hAnsi="Georgia" w:cs="Arial"/>
          <w:sz w:val="22"/>
          <w:szCs w:val="22"/>
        </w:rPr>
      </w:pPr>
      <w:r w:rsidRPr="000718AA">
        <w:rPr>
          <w:rFonts w:ascii="Georgia" w:hAnsi="Georgia" w:cs="Arial"/>
          <w:sz w:val="22"/>
          <w:szCs w:val="22"/>
        </w:rPr>
        <w:t>MassHealth regulations at 130 CMR 409.402 define DME as equipment that</w:t>
      </w:r>
    </w:p>
    <w:p w:rsidR="000718AA" w:rsidRPr="000718AA" w:rsidRDefault="000718AA" w:rsidP="000718AA">
      <w:pPr>
        <w:ind w:left="1080" w:right="576"/>
        <w:rPr>
          <w:rFonts w:ascii="Georgia" w:hAnsi="Georgia" w:cs="Arial"/>
          <w:sz w:val="22"/>
          <w:szCs w:val="22"/>
        </w:rPr>
      </w:pPr>
      <w:r w:rsidRPr="000718AA">
        <w:rPr>
          <w:rFonts w:ascii="Georgia" w:hAnsi="Georgia" w:cs="Arial"/>
          <w:sz w:val="22"/>
          <w:szCs w:val="22"/>
        </w:rPr>
        <w:t xml:space="preserve">(1) </w:t>
      </w:r>
      <w:proofErr w:type="gramStart"/>
      <w:r w:rsidRPr="000718AA">
        <w:rPr>
          <w:rFonts w:ascii="Georgia" w:hAnsi="Georgia" w:cs="Arial"/>
          <w:sz w:val="22"/>
          <w:szCs w:val="22"/>
        </w:rPr>
        <w:t>is</w:t>
      </w:r>
      <w:proofErr w:type="gramEnd"/>
      <w:r w:rsidRPr="000718AA">
        <w:rPr>
          <w:rFonts w:ascii="Georgia" w:hAnsi="Georgia" w:cs="Arial"/>
          <w:sz w:val="22"/>
          <w:szCs w:val="22"/>
        </w:rPr>
        <w:t xml:space="preserve"> fabricated primarily and customarily to fulfill a medical purpose; </w:t>
      </w:r>
    </w:p>
    <w:p w:rsidR="000718AA" w:rsidRPr="000718AA" w:rsidRDefault="000718AA" w:rsidP="000718AA">
      <w:pPr>
        <w:ind w:left="1080" w:right="576"/>
        <w:rPr>
          <w:rFonts w:ascii="Georgia" w:hAnsi="Georgia" w:cs="Arial"/>
          <w:sz w:val="22"/>
          <w:szCs w:val="22"/>
        </w:rPr>
      </w:pPr>
      <w:r w:rsidRPr="000718AA">
        <w:rPr>
          <w:rFonts w:ascii="Georgia" w:hAnsi="Georgia" w:cs="Arial"/>
          <w:sz w:val="22"/>
          <w:szCs w:val="22"/>
        </w:rPr>
        <w:t xml:space="preserve">(2) </w:t>
      </w:r>
      <w:proofErr w:type="gramStart"/>
      <w:r w:rsidRPr="000718AA">
        <w:rPr>
          <w:rFonts w:ascii="Georgia" w:hAnsi="Georgia" w:cs="Arial"/>
          <w:sz w:val="22"/>
          <w:szCs w:val="22"/>
        </w:rPr>
        <w:t>is</w:t>
      </w:r>
      <w:proofErr w:type="gramEnd"/>
      <w:r w:rsidRPr="000718AA">
        <w:rPr>
          <w:rFonts w:ascii="Georgia" w:hAnsi="Georgia" w:cs="Arial"/>
          <w:sz w:val="22"/>
          <w:szCs w:val="22"/>
        </w:rPr>
        <w:t xml:space="preserve"> generally not useful in the absence of illness or injury; </w:t>
      </w:r>
    </w:p>
    <w:p w:rsidR="000718AA" w:rsidRPr="000718AA" w:rsidRDefault="000718AA" w:rsidP="000718AA">
      <w:pPr>
        <w:ind w:left="1080" w:right="576"/>
        <w:rPr>
          <w:rFonts w:ascii="Georgia" w:hAnsi="Georgia" w:cs="Arial"/>
          <w:sz w:val="22"/>
          <w:szCs w:val="22"/>
        </w:rPr>
      </w:pPr>
      <w:r w:rsidRPr="000718AA">
        <w:rPr>
          <w:rFonts w:ascii="Georgia" w:hAnsi="Georgia" w:cs="Arial"/>
          <w:sz w:val="22"/>
          <w:szCs w:val="22"/>
        </w:rPr>
        <w:t xml:space="preserve">(3) </w:t>
      </w:r>
      <w:proofErr w:type="gramStart"/>
      <w:r w:rsidRPr="000718AA">
        <w:rPr>
          <w:rFonts w:ascii="Georgia" w:hAnsi="Georgia" w:cs="Arial"/>
          <w:sz w:val="22"/>
          <w:szCs w:val="22"/>
        </w:rPr>
        <w:t>can</w:t>
      </w:r>
      <w:proofErr w:type="gramEnd"/>
      <w:r w:rsidRPr="000718AA">
        <w:rPr>
          <w:rFonts w:ascii="Georgia" w:hAnsi="Georgia" w:cs="Arial"/>
          <w:sz w:val="22"/>
          <w:szCs w:val="22"/>
        </w:rPr>
        <w:t xml:space="preserve"> withstand repeated use over an extended period; and </w:t>
      </w:r>
    </w:p>
    <w:p w:rsidR="002B5B63" w:rsidRPr="000718AA" w:rsidRDefault="000718AA" w:rsidP="000718AA">
      <w:pPr>
        <w:ind w:left="1080" w:right="576"/>
        <w:rPr>
          <w:rFonts w:ascii="Georgia" w:hAnsi="Georgia" w:cs="Arial"/>
          <w:b/>
          <w:sz w:val="22"/>
          <w:szCs w:val="22"/>
        </w:rPr>
      </w:pPr>
      <w:r w:rsidRPr="000718AA">
        <w:rPr>
          <w:rFonts w:ascii="Georgia" w:hAnsi="Georgia" w:cs="Arial"/>
          <w:sz w:val="22"/>
          <w:szCs w:val="22"/>
        </w:rPr>
        <w:t xml:space="preserve">(4) </w:t>
      </w:r>
      <w:proofErr w:type="gramStart"/>
      <w:r w:rsidRPr="000718AA">
        <w:rPr>
          <w:rFonts w:ascii="Georgia" w:hAnsi="Georgia" w:cs="Arial"/>
          <w:sz w:val="22"/>
          <w:szCs w:val="22"/>
        </w:rPr>
        <w:t>is</w:t>
      </w:r>
      <w:proofErr w:type="gramEnd"/>
      <w:r w:rsidRPr="000718AA">
        <w:rPr>
          <w:rFonts w:ascii="Georgia" w:hAnsi="Georgia" w:cs="Arial"/>
          <w:sz w:val="22"/>
          <w:szCs w:val="22"/>
        </w:rPr>
        <w:t xml:space="preserve"> appropriate for use in the member’s home</w:t>
      </w:r>
      <w:r w:rsidRPr="000718AA">
        <w:rPr>
          <w:rFonts w:ascii="Georgia" w:hAnsi="Georgia" w:cs="Arial"/>
          <w:b/>
          <w:sz w:val="22"/>
          <w:szCs w:val="22"/>
        </w:rPr>
        <w:t>.</w:t>
      </w:r>
    </w:p>
    <w:p w:rsidR="000718AA" w:rsidRPr="000718AA" w:rsidRDefault="000718AA" w:rsidP="000718AA">
      <w:pPr>
        <w:ind w:left="1080" w:right="576"/>
        <w:rPr>
          <w:rFonts w:ascii="Georgia" w:hAnsi="Georgia" w:cs="Arial"/>
          <w:sz w:val="22"/>
          <w:szCs w:val="22"/>
        </w:rPr>
      </w:pPr>
    </w:p>
    <w:p w:rsidR="000718AA" w:rsidRPr="000718AA" w:rsidRDefault="000718AA" w:rsidP="000718AA">
      <w:pPr>
        <w:ind w:left="576" w:right="576"/>
        <w:rPr>
          <w:rFonts w:ascii="Georgia" w:hAnsi="Georgia" w:cs="Arial"/>
          <w:b/>
          <w:sz w:val="22"/>
          <w:szCs w:val="22"/>
        </w:rPr>
      </w:pPr>
      <w:r w:rsidRPr="000718AA">
        <w:rPr>
          <w:rFonts w:ascii="Georgia" w:hAnsi="Georgia" w:cs="Arial"/>
          <w:sz w:val="22"/>
          <w:szCs w:val="22"/>
        </w:rPr>
        <w:t>It is the agency’s policy to interpret the above provision consistently with 42 CFR 440.70(b</w:t>
      </w:r>
      <w:proofErr w:type="gramStart"/>
      <w:r w:rsidRPr="000718AA">
        <w:rPr>
          <w:rFonts w:ascii="Georgia" w:hAnsi="Georgia" w:cs="Arial"/>
          <w:sz w:val="22"/>
          <w:szCs w:val="22"/>
        </w:rPr>
        <w:t>)(</w:t>
      </w:r>
      <w:proofErr w:type="gramEnd"/>
      <w:r w:rsidRPr="000718AA">
        <w:rPr>
          <w:rFonts w:ascii="Georgia" w:hAnsi="Georgia" w:cs="Arial"/>
          <w:sz w:val="22"/>
          <w:szCs w:val="22"/>
        </w:rPr>
        <w:t xml:space="preserve">3). Specifically, MassHealth interprets the clause at 130 CMR 409.402(4) to include items that meet the definition of durable medical equipment that are appropriate for use in any setting where normal life activities take place, including, but not limited to, the member’s home. </w:t>
      </w:r>
    </w:p>
    <w:p w:rsidR="00165D0F" w:rsidRPr="00165D0F" w:rsidRDefault="00165D0F" w:rsidP="00287894">
      <w:pPr>
        <w:ind w:left="576" w:right="576"/>
        <w:rPr>
          <w:rFonts w:ascii="Georgia" w:hAnsi="Georgia" w:cs="Arial"/>
          <w:sz w:val="22"/>
          <w:szCs w:val="22"/>
        </w:rPr>
      </w:pPr>
    </w:p>
    <w:p w:rsidR="002B5B63" w:rsidRPr="00AD19E1" w:rsidRDefault="000718AA" w:rsidP="00287894">
      <w:pPr>
        <w:ind w:left="576" w:right="576"/>
        <w:rPr>
          <w:rFonts w:ascii="Georgia" w:hAnsi="Georgia" w:cs="Arial"/>
          <w:b/>
          <w:sz w:val="22"/>
          <w:szCs w:val="22"/>
        </w:rPr>
      </w:pPr>
      <w:r w:rsidRPr="00AD19E1">
        <w:rPr>
          <w:rFonts w:ascii="Georgia" w:hAnsi="Georgia" w:cs="Arial"/>
          <w:b/>
          <w:sz w:val="22"/>
          <w:szCs w:val="22"/>
        </w:rPr>
        <w:t>Use of Medicare Local Coverage Determinations in Medical Necessity Determinations</w:t>
      </w:r>
    </w:p>
    <w:p w:rsidR="000718AA" w:rsidRPr="000718AA" w:rsidRDefault="000718AA" w:rsidP="00287894">
      <w:pPr>
        <w:ind w:left="576" w:right="576"/>
        <w:rPr>
          <w:rFonts w:ascii="Georgia" w:hAnsi="Georgia" w:cs="Arial"/>
          <w:b/>
          <w:sz w:val="22"/>
          <w:szCs w:val="22"/>
        </w:rPr>
      </w:pPr>
    </w:p>
    <w:p w:rsidR="000718AA" w:rsidRPr="000718AA" w:rsidRDefault="000718AA" w:rsidP="000718AA">
      <w:pPr>
        <w:tabs>
          <w:tab w:val="left" w:pos="10080"/>
        </w:tabs>
        <w:suppressAutoHyphens/>
        <w:spacing w:line="260" w:lineRule="exact"/>
        <w:ind w:left="540"/>
        <w:rPr>
          <w:rFonts w:ascii="Georgia" w:hAnsi="Georgia" w:cs="Arial"/>
          <w:sz w:val="22"/>
          <w:szCs w:val="22"/>
        </w:rPr>
      </w:pPr>
      <w:r w:rsidRPr="000718AA">
        <w:rPr>
          <w:rFonts w:ascii="Georgia" w:hAnsi="Georgia" w:cs="Arial"/>
          <w:sz w:val="22"/>
          <w:szCs w:val="22"/>
        </w:rPr>
        <w:t>MassHealth regulations at 130 CMR 409.417 provide that the medical necessity of durable medical equipment is determined as summarized below.</w:t>
      </w:r>
    </w:p>
    <w:p w:rsidR="000718AA" w:rsidRPr="000718AA" w:rsidRDefault="000718AA" w:rsidP="000718AA">
      <w:pPr>
        <w:tabs>
          <w:tab w:val="left" w:pos="2880"/>
          <w:tab w:val="left" w:pos="10080"/>
        </w:tabs>
        <w:suppressAutoHyphens/>
        <w:spacing w:line="260" w:lineRule="exact"/>
        <w:ind w:left="2880"/>
        <w:jc w:val="right"/>
        <w:rPr>
          <w:rFonts w:ascii="Georgia" w:hAnsi="Georgia" w:cs="Arial"/>
          <w:sz w:val="22"/>
          <w:szCs w:val="22"/>
        </w:rPr>
      </w:pPr>
    </w:p>
    <w:p w:rsidR="000718AA" w:rsidRPr="000718AA" w:rsidRDefault="000718AA" w:rsidP="000718AA">
      <w:pPr>
        <w:tabs>
          <w:tab w:val="left" w:pos="10080"/>
        </w:tabs>
        <w:suppressAutoHyphens/>
        <w:spacing w:line="260" w:lineRule="exact"/>
        <w:ind w:left="1080"/>
        <w:rPr>
          <w:rFonts w:ascii="Georgia" w:hAnsi="Georgia" w:cs="Arial"/>
          <w:sz w:val="22"/>
          <w:szCs w:val="22"/>
        </w:rPr>
      </w:pPr>
      <w:r w:rsidRPr="000718AA">
        <w:rPr>
          <w:rFonts w:ascii="Georgia" w:hAnsi="Georgia" w:cs="Arial"/>
          <w:sz w:val="22"/>
          <w:szCs w:val="22"/>
        </w:rPr>
        <w:t xml:space="preserve">All durable medical equipment covered by MassHealth must meet the medical necessity requirements set forth in 130 CMR 409.000 and 130 CMR 450.204, and in medical necessity guidelines for specific durable medical equipment published on the MassHealth website. If the MassHealth agency has not published product-specific medical necessity guidelines, DME providers must adhere to the current local coverage determination policy developed by the Centers for Medicare &amp; Medicaid Services (CMS) when demonstrating medical necessity. </w:t>
      </w:r>
    </w:p>
    <w:p w:rsidR="000718AA" w:rsidRDefault="000718AA" w:rsidP="000718AA">
      <w:pPr>
        <w:tabs>
          <w:tab w:val="left" w:pos="2880"/>
          <w:tab w:val="left" w:pos="4164"/>
          <w:tab w:val="left" w:pos="10080"/>
        </w:tabs>
        <w:suppressAutoHyphens/>
        <w:spacing w:line="260" w:lineRule="exact"/>
        <w:ind w:left="2880"/>
        <w:rPr>
          <w:rFonts w:ascii="Georgia" w:hAnsi="Georgia" w:cs="Arial"/>
          <w:sz w:val="22"/>
          <w:szCs w:val="22"/>
        </w:rPr>
      </w:pPr>
      <w:r>
        <w:rPr>
          <w:rFonts w:ascii="Georgia" w:hAnsi="Georgia" w:cs="Arial"/>
          <w:sz w:val="22"/>
          <w:szCs w:val="22"/>
        </w:rPr>
        <w:tab/>
      </w:r>
    </w:p>
    <w:p w:rsidR="00041672" w:rsidRPr="000718AA" w:rsidRDefault="00041672" w:rsidP="000718AA">
      <w:pPr>
        <w:tabs>
          <w:tab w:val="left" w:pos="2880"/>
          <w:tab w:val="left" w:pos="4164"/>
          <w:tab w:val="left" w:pos="10080"/>
        </w:tabs>
        <w:suppressAutoHyphens/>
        <w:spacing w:line="260" w:lineRule="exact"/>
        <w:ind w:left="2880"/>
        <w:rPr>
          <w:rFonts w:ascii="Georgia" w:hAnsi="Georgia" w:cs="Arial"/>
          <w:sz w:val="22"/>
          <w:szCs w:val="22"/>
        </w:rPr>
      </w:pPr>
    </w:p>
    <w:p w:rsidR="000718AA" w:rsidRPr="000718AA" w:rsidRDefault="000718AA" w:rsidP="000718AA">
      <w:pPr>
        <w:tabs>
          <w:tab w:val="left" w:pos="2880"/>
          <w:tab w:val="left" w:pos="10080"/>
        </w:tabs>
        <w:suppressAutoHyphens/>
        <w:spacing w:line="260" w:lineRule="exact"/>
        <w:ind w:left="2880"/>
        <w:jc w:val="right"/>
        <w:rPr>
          <w:rFonts w:ascii="Georgia" w:hAnsi="Georgia" w:cs="Arial"/>
          <w:i/>
          <w:sz w:val="22"/>
          <w:szCs w:val="22"/>
        </w:rPr>
      </w:pPr>
      <w:r w:rsidRPr="000718AA">
        <w:rPr>
          <w:rFonts w:ascii="Georgia" w:hAnsi="Georgia" w:cs="Arial"/>
          <w:i/>
          <w:sz w:val="22"/>
          <w:szCs w:val="22"/>
        </w:rPr>
        <w:t>(</w:t>
      </w:r>
      <w:proofErr w:type="gramStart"/>
      <w:r w:rsidRPr="000718AA">
        <w:rPr>
          <w:rFonts w:ascii="Georgia" w:hAnsi="Georgia" w:cs="Arial"/>
          <w:i/>
          <w:sz w:val="22"/>
          <w:szCs w:val="22"/>
        </w:rPr>
        <w:t>continued</w:t>
      </w:r>
      <w:proofErr w:type="gramEnd"/>
      <w:r w:rsidRPr="000718AA">
        <w:rPr>
          <w:rFonts w:ascii="Georgia" w:hAnsi="Georgia" w:cs="Arial"/>
          <w:i/>
          <w:sz w:val="22"/>
          <w:szCs w:val="22"/>
        </w:rPr>
        <w:t xml:space="preserve"> on next page)</w:t>
      </w:r>
    </w:p>
    <w:p w:rsidR="002B5B63" w:rsidRDefault="002B5B63" w:rsidP="006D3F3E">
      <w:pPr>
        <w:tabs>
          <w:tab w:val="left" w:pos="2880"/>
          <w:tab w:val="left" w:pos="10080"/>
        </w:tabs>
        <w:suppressAutoHyphens/>
        <w:spacing w:line="260" w:lineRule="exact"/>
        <w:ind w:left="2880"/>
        <w:jc w:val="right"/>
        <w:rPr>
          <w:rFonts w:ascii="Georgia" w:hAnsi="Georgia" w:cs="Arial"/>
          <w:i/>
          <w:sz w:val="22"/>
          <w:szCs w:val="22"/>
        </w:rPr>
      </w:pPr>
    </w:p>
    <w:p w:rsidR="003F56EC" w:rsidRDefault="003F56EC" w:rsidP="006D3F3E">
      <w:pPr>
        <w:tabs>
          <w:tab w:val="left" w:pos="2880"/>
          <w:tab w:val="left" w:pos="10080"/>
        </w:tabs>
        <w:suppressAutoHyphens/>
        <w:spacing w:line="260" w:lineRule="exact"/>
        <w:ind w:left="2880"/>
        <w:jc w:val="right"/>
        <w:rPr>
          <w:rFonts w:ascii="Georgia" w:hAnsi="Georgia" w:cs="Arial"/>
          <w:i/>
          <w:sz w:val="22"/>
          <w:szCs w:val="22"/>
        </w:rPr>
      </w:pPr>
    </w:p>
    <w:p w:rsidR="00165D0F" w:rsidRDefault="00165D0F" w:rsidP="006D3F3E">
      <w:pPr>
        <w:tabs>
          <w:tab w:val="left" w:pos="2880"/>
          <w:tab w:val="left" w:pos="10080"/>
        </w:tabs>
        <w:suppressAutoHyphens/>
        <w:spacing w:line="260" w:lineRule="exact"/>
        <w:ind w:left="2880"/>
        <w:jc w:val="right"/>
        <w:rPr>
          <w:rFonts w:ascii="Georgia" w:hAnsi="Georgia" w:cs="Arial"/>
          <w:i/>
          <w:sz w:val="22"/>
          <w:szCs w:val="22"/>
        </w:rPr>
      </w:pPr>
    </w:p>
    <w:p w:rsidR="0019652F" w:rsidRPr="00DE2900" w:rsidRDefault="0019652F" w:rsidP="00E715FE">
      <w:pPr>
        <w:pStyle w:val="Heading1"/>
        <w:tabs>
          <w:tab w:val="clear" w:pos="6426"/>
          <w:tab w:val="left" w:pos="5760"/>
        </w:tabs>
        <w:ind w:left="5040"/>
        <w:rPr>
          <w:rFonts w:ascii="Georgia" w:hAnsi="Georgia" w:cs="Arial"/>
          <w:color w:val="1F497D"/>
          <w:sz w:val="24"/>
          <w:szCs w:val="24"/>
        </w:rPr>
      </w:pPr>
      <w:r w:rsidRPr="00DE2900">
        <w:rPr>
          <w:rFonts w:ascii="Georgia" w:hAnsi="Georgia" w:cs="Arial"/>
          <w:color w:val="1F497D"/>
          <w:sz w:val="24"/>
          <w:szCs w:val="24"/>
        </w:rPr>
        <w:t>MassHealth</w:t>
      </w:r>
    </w:p>
    <w:p w:rsidR="0019652F" w:rsidRPr="00DE2900" w:rsidRDefault="000718AA" w:rsidP="00E715FE">
      <w:pPr>
        <w:pStyle w:val="Heading1"/>
        <w:tabs>
          <w:tab w:val="clear" w:pos="6426"/>
          <w:tab w:val="left" w:pos="5760"/>
        </w:tabs>
        <w:ind w:left="5040"/>
        <w:rPr>
          <w:rFonts w:ascii="Georgia" w:hAnsi="Georgia" w:cs="Arial"/>
          <w:color w:val="365F91" w:themeColor="accent1" w:themeShade="BF"/>
          <w:sz w:val="24"/>
          <w:szCs w:val="24"/>
        </w:rPr>
      </w:pPr>
      <w:r w:rsidRPr="00DE2900">
        <w:rPr>
          <w:rFonts w:ascii="Georgia" w:hAnsi="Georgia" w:cs="Arial"/>
          <w:color w:val="365F91" w:themeColor="accent1" w:themeShade="BF"/>
          <w:sz w:val="24"/>
          <w:szCs w:val="24"/>
        </w:rPr>
        <w:t xml:space="preserve">Durable Medical Equipment </w:t>
      </w:r>
      <w:r w:rsidR="002B5B63" w:rsidRPr="00DE2900">
        <w:rPr>
          <w:rFonts w:ascii="Georgia" w:hAnsi="Georgia" w:cs="Arial"/>
          <w:color w:val="365F91" w:themeColor="accent1" w:themeShade="BF"/>
          <w:sz w:val="24"/>
          <w:szCs w:val="24"/>
        </w:rPr>
        <w:t xml:space="preserve">Bulletin </w:t>
      </w:r>
      <w:r w:rsidRPr="00DE2900">
        <w:rPr>
          <w:rFonts w:ascii="Georgia" w:hAnsi="Georgia" w:cs="Arial"/>
          <w:color w:val="365F91" w:themeColor="accent1" w:themeShade="BF"/>
          <w:sz w:val="24"/>
          <w:szCs w:val="24"/>
        </w:rPr>
        <w:t>21</w:t>
      </w:r>
    </w:p>
    <w:p w:rsidR="000718AA" w:rsidRPr="00DE2900" w:rsidRDefault="000718AA" w:rsidP="000718AA">
      <w:pPr>
        <w:pStyle w:val="Heading1"/>
        <w:tabs>
          <w:tab w:val="left" w:pos="5760"/>
        </w:tabs>
        <w:ind w:left="5040"/>
        <w:rPr>
          <w:rFonts w:ascii="Georgia" w:hAnsi="Georgia" w:cs="Arial"/>
          <w:color w:val="1F497D"/>
          <w:sz w:val="24"/>
          <w:szCs w:val="24"/>
        </w:rPr>
      </w:pPr>
      <w:r w:rsidRPr="00DE2900">
        <w:rPr>
          <w:rFonts w:ascii="Georgia" w:hAnsi="Georgia" w:cs="Arial"/>
          <w:color w:val="1F497D"/>
          <w:sz w:val="24"/>
          <w:szCs w:val="24"/>
        </w:rPr>
        <w:t>October 2018</w:t>
      </w:r>
    </w:p>
    <w:p w:rsidR="0019652F" w:rsidRPr="00DE2900" w:rsidRDefault="0019652F" w:rsidP="00E715FE">
      <w:pPr>
        <w:pStyle w:val="Heading1"/>
        <w:tabs>
          <w:tab w:val="clear" w:pos="6426"/>
          <w:tab w:val="left" w:pos="5760"/>
        </w:tabs>
        <w:ind w:left="5040"/>
        <w:rPr>
          <w:rFonts w:ascii="Georgia" w:hAnsi="Georgia" w:cs="Arial"/>
          <w:color w:val="1F497D"/>
          <w:sz w:val="24"/>
          <w:szCs w:val="24"/>
        </w:rPr>
      </w:pPr>
      <w:r w:rsidRPr="00DE2900">
        <w:rPr>
          <w:rFonts w:ascii="Georgia" w:hAnsi="Georgia" w:cs="Arial"/>
          <w:color w:val="1F497D"/>
          <w:sz w:val="24"/>
          <w:szCs w:val="24"/>
        </w:rPr>
        <w:t xml:space="preserve">Page </w:t>
      </w:r>
      <w:r w:rsidRPr="00DE2900">
        <w:rPr>
          <w:rFonts w:ascii="Georgia" w:hAnsi="Georgia" w:cs="Arial"/>
          <w:color w:val="1F497D"/>
          <w:sz w:val="24"/>
          <w:szCs w:val="24"/>
        </w:rPr>
        <w:fldChar w:fldCharType="begin"/>
      </w:r>
      <w:r w:rsidRPr="00DE2900">
        <w:rPr>
          <w:rFonts w:ascii="Georgia" w:hAnsi="Georgia" w:cs="Arial"/>
          <w:color w:val="1F497D"/>
          <w:sz w:val="24"/>
          <w:szCs w:val="24"/>
        </w:rPr>
        <w:instrText>page \* arabic</w:instrText>
      </w:r>
      <w:r w:rsidRPr="00DE2900">
        <w:rPr>
          <w:rFonts w:ascii="Georgia" w:hAnsi="Georgia" w:cs="Arial"/>
          <w:color w:val="1F497D"/>
          <w:sz w:val="24"/>
          <w:szCs w:val="24"/>
        </w:rPr>
        <w:fldChar w:fldCharType="separate"/>
      </w:r>
      <w:r w:rsidR="00DA6AAA">
        <w:rPr>
          <w:rFonts w:ascii="Georgia" w:hAnsi="Georgia" w:cs="Arial"/>
          <w:noProof/>
          <w:color w:val="1F497D"/>
          <w:sz w:val="24"/>
          <w:szCs w:val="24"/>
        </w:rPr>
        <w:t>2</w:t>
      </w:r>
      <w:r w:rsidRPr="00DE2900">
        <w:rPr>
          <w:rFonts w:ascii="Georgia" w:hAnsi="Georgia" w:cs="Arial"/>
          <w:color w:val="1F497D"/>
          <w:sz w:val="24"/>
          <w:szCs w:val="24"/>
        </w:rPr>
        <w:fldChar w:fldCharType="end"/>
      </w:r>
    </w:p>
    <w:p w:rsidR="001B792F" w:rsidRDefault="001B792F" w:rsidP="001B792F">
      <w:pPr>
        <w:tabs>
          <w:tab w:val="left" w:pos="10080"/>
        </w:tabs>
        <w:suppressAutoHyphens/>
        <w:spacing w:line="260" w:lineRule="exact"/>
        <w:ind w:left="9270" w:hanging="9270"/>
        <w:rPr>
          <w:rFonts w:ascii="Georgia" w:hAnsi="Georgia" w:cs="Arial"/>
          <w:sz w:val="22"/>
          <w:szCs w:val="22"/>
        </w:rPr>
      </w:pPr>
    </w:p>
    <w:p w:rsidR="00041672" w:rsidRPr="0019652F" w:rsidRDefault="00041672" w:rsidP="001B792F">
      <w:pPr>
        <w:tabs>
          <w:tab w:val="left" w:pos="10080"/>
        </w:tabs>
        <w:suppressAutoHyphens/>
        <w:spacing w:line="260" w:lineRule="exact"/>
        <w:ind w:left="9270" w:hanging="9270"/>
        <w:rPr>
          <w:rFonts w:ascii="Georgia" w:hAnsi="Georgia" w:cs="Arial"/>
          <w:sz w:val="22"/>
          <w:szCs w:val="22"/>
        </w:rPr>
      </w:pPr>
    </w:p>
    <w:p w:rsidR="002B5B63" w:rsidRPr="00AD19E1" w:rsidRDefault="000718AA" w:rsidP="00287894">
      <w:pPr>
        <w:ind w:left="576" w:right="576"/>
        <w:rPr>
          <w:rFonts w:ascii="Georgia" w:hAnsi="Georgia" w:cs="Arial"/>
          <w:sz w:val="22"/>
          <w:szCs w:val="22"/>
        </w:rPr>
      </w:pPr>
      <w:proofErr w:type="gramStart"/>
      <w:r w:rsidRPr="00AD19E1">
        <w:rPr>
          <w:rFonts w:ascii="Georgia" w:hAnsi="Georgia" w:cs="Arial"/>
          <w:b/>
          <w:sz w:val="22"/>
          <w:szCs w:val="22"/>
        </w:rPr>
        <w:t xml:space="preserve">Medicare Local Coverage Determinations in Medical Necessity Determinations </w:t>
      </w:r>
      <w:r w:rsidRPr="00AD19E1">
        <w:rPr>
          <w:rFonts w:ascii="Georgia" w:hAnsi="Georgia" w:cs="Arial"/>
          <w:sz w:val="22"/>
          <w:szCs w:val="22"/>
        </w:rPr>
        <w:t>(</w:t>
      </w:r>
      <w:r w:rsidR="002B5B63" w:rsidRPr="00AD19E1">
        <w:rPr>
          <w:rFonts w:ascii="Georgia" w:hAnsi="Georgia" w:cs="Arial"/>
          <w:sz w:val="22"/>
          <w:szCs w:val="22"/>
        </w:rPr>
        <w:t>cont</w:t>
      </w:r>
      <w:r w:rsidR="00331AAC" w:rsidRPr="00AD19E1">
        <w:rPr>
          <w:rFonts w:ascii="Georgia" w:hAnsi="Georgia" w:cs="Arial"/>
          <w:sz w:val="22"/>
          <w:szCs w:val="22"/>
        </w:rPr>
        <w:t>.</w:t>
      </w:r>
      <w:r w:rsidR="002B5B63" w:rsidRPr="00AD19E1">
        <w:rPr>
          <w:rFonts w:ascii="Georgia" w:hAnsi="Georgia" w:cs="Arial"/>
          <w:sz w:val="22"/>
          <w:szCs w:val="22"/>
        </w:rPr>
        <w:t>)</w:t>
      </w:r>
      <w:proofErr w:type="gramEnd"/>
      <w:r w:rsidR="00AD6B24" w:rsidRPr="00AD19E1">
        <w:rPr>
          <w:rFonts w:ascii="Georgia" w:hAnsi="Georgia" w:cs="Arial"/>
          <w:sz w:val="22"/>
          <w:szCs w:val="22"/>
        </w:rPr>
        <w:t xml:space="preserve"> </w:t>
      </w:r>
    </w:p>
    <w:p w:rsidR="002B5B63" w:rsidRDefault="002B5B63" w:rsidP="00287894">
      <w:pPr>
        <w:ind w:left="576" w:right="576"/>
        <w:rPr>
          <w:rFonts w:ascii="Georgia" w:hAnsi="Georgia" w:cs="Arial"/>
          <w:b/>
          <w:i/>
          <w:sz w:val="22"/>
          <w:szCs w:val="22"/>
        </w:rPr>
      </w:pPr>
    </w:p>
    <w:p w:rsidR="000718AA" w:rsidRPr="000718AA" w:rsidRDefault="000718AA" w:rsidP="000718AA">
      <w:pPr>
        <w:ind w:left="576" w:right="576"/>
        <w:rPr>
          <w:rFonts w:ascii="Georgia" w:hAnsi="Georgia" w:cs="Arial"/>
          <w:sz w:val="22"/>
          <w:szCs w:val="22"/>
        </w:rPr>
      </w:pPr>
      <w:r w:rsidRPr="000718AA">
        <w:rPr>
          <w:rFonts w:ascii="Georgia" w:hAnsi="Georgia" w:cs="Arial"/>
          <w:sz w:val="22"/>
          <w:szCs w:val="22"/>
        </w:rPr>
        <w:t>MassHealth clarifies the use of Medicare LCDs in medical necessity determinations as described below.</w:t>
      </w:r>
    </w:p>
    <w:p w:rsidR="000718AA" w:rsidRPr="000718AA" w:rsidRDefault="000718AA" w:rsidP="000718AA">
      <w:pPr>
        <w:ind w:left="576" w:right="576"/>
        <w:rPr>
          <w:rFonts w:ascii="Georgia" w:hAnsi="Georgia" w:cs="Arial"/>
          <w:sz w:val="22"/>
          <w:szCs w:val="22"/>
        </w:rPr>
      </w:pPr>
    </w:p>
    <w:p w:rsidR="00E87247" w:rsidRDefault="000718AA" w:rsidP="00E87247">
      <w:pPr>
        <w:ind w:left="1080" w:right="576"/>
        <w:rPr>
          <w:rFonts w:ascii="Georgia" w:hAnsi="Georgia" w:cs="Arial"/>
          <w:sz w:val="22"/>
          <w:szCs w:val="22"/>
        </w:rPr>
      </w:pPr>
      <w:r w:rsidRPr="000718AA">
        <w:rPr>
          <w:rFonts w:ascii="Georgia" w:hAnsi="Georgia" w:cs="Arial"/>
          <w:sz w:val="22"/>
          <w:szCs w:val="22"/>
        </w:rPr>
        <w:t xml:space="preserve">For items covered by MassHealth for which there is no MassHealth item-specific medical necessity guideline, and for which there is a Medicare local coverage determination indicating Medicare coverage of the item under at least some circumstances, the provider must demonstrate medical necessity of the item consistent with the Medicare LCD. However, if the provider believes the durable medical equipment is medically necessary even though it does not meet the criteria </w:t>
      </w:r>
      <w:r w:rsidR="00E87247" w:rsidRPr="00E87247">
        <w:rPr>
          <w:rFonts w:ascii="Georgia" w:hAnsi="Georgia" w:cs="Arial"/>
          <w:sz w:val="22"/>
          <w:szCs w:val="22"/>
        </w:rPr>
        <w:t xml:space="preserve">established by the local coverage determination, the provider must </w:t>
      </w:r>
      <w:r w:rsidR="00E87247" w:rsidRPr="00E87247">
        <w:rPr>
          <w:rFonts w:ascii="Georgia" w:hAnsi="Georgia" w:cs="Arial"/>
          <w:sz w:val="22"/>
          <w:szCs w:val="22"/>
        </w:rPr>
        <w:tab/>
        <w:t>demonstrate medical necessity under 130 CMR 450.204.</w:t>
      </w:r>
    </w:p>
    <w:p w:rsidR="00E87247" w:rsidRDefault="00E87247" w:rsidP="00E87247">
      <w:pPr>
        <w:ind w:left="1080" w:right="576"/>
        <w:rPr>
          <w:rFonts w:ascii="Georgia" w:hAnsi="Georgia" w:cs="Arial"/>
          <w:sz w:val="22"/>
          <w:szCs w:val="22"/>
        </w:rPr>
      </w:pPr>
    </w:p>
    <w:p w:rsidR="00E87247" w:rsidRPr="00E87247" w:rsidRDefault="00E87247" w:rsidP="00E87247">
      <w:pPr>
        <w:ind w:left="630" w:right="576"/>
        <w:rPr>
          <w:rFonts w:ascii="Georgia" w:hAnsi="Georgia" w:cs="Arial"/>
          <w:sz w:val="22"/>
          <w:szCs w:val="22"/>
        </w:rPr>
      </w:pPr>
      <w:r w:rsidRPr="00E87247">
        <w:rPr>
          <w:rFonts w:ascii="Georgia" w:hAnsi="Georgia" w:cs="Arial"/>
          <w:sz w:val="22"/>
          <w:szCs w:val="22"/>
        </w:rPr>
        <w:t xml:space="preserve">For an item </w:t>
      </w:r>
      <w:r w:rsidRPr="00E87247">
        <w:rPr>
          <w:rFonts w:ascii="Georgia" w:hAnsi="Georgia" w:cs="Arial"/>
          <w:bCs/>
          <w:iCs/>
          <w:sz w:val="22"/>
          <w:szCs w:val="22"/>
        </w:rPr>
        <w:t>covered by MassHealth</w:t>
      </w:r>
      <w:r w:rsidRPr="00E87247">
        <w:rPr>
          <w:rFonts w:ascii="Georgia" w:hAnsi="Georgia" w:cs="Arial"/>
          <w:iCs/>
          <w:sz w:val="22"/>
          <w:szCs w:val="22"/>
        </w:rPr>
        <w:t xml:space="preserve"> </w:t>
      </w:r>
      <w:r w:rsidRPr="00E87247">
        <w:rPr>
          <w:rFonts w:ascii="Georgia" w:hAnsi="Georgia" w:cs="Arial"/>
          <w:sz w:val="22"/>
          <w:szCs w:val="22"/>
        </w:rPr>
        <w:t xml:space="preserve">for which there is no MassHealth item-specific medical necessity guideline, and for which there is a Medicare LCD indicating that the item is </w:t>
      </w:r>
      <w:r w:rsidRPr="00E87247">
        <w:rPr>
          <w:rFonts w:ascii="Georgia" w:hAnsi="Georgia" w:cs="Arial"/>
          <w:sz w:val="22"/>
          <w:szCs w:val="22"/>
          <w:u w:val="single"/>
        </w:rPr>
        <w:t>not covered</w:t>
      </w:r>
      <w:r w:rsidRPr="00E87247">
        <w:rPr>
          <w:rFonts w:ascii="Georgia" w:hAnsi="Georgia" w:cs="Arial"/>
          <w:sz w:val="22"/>
          <w:szCs w:val="22"/>
        </w:rPr>
        <w:t xml:space="preserve"> by Medicare under any circumstance,</w:t>
      </w:r>
      <w:r w:rsidRPr="00E87247" w:rsidDel="00A326DD">
        <w:rPr>
          <w:rFonts w:ascii="Georgia" w:hAnsi="Georgia" w:cs="Arial"/>
          <w:sz w:val="22"/>
          <w:szCs w:val="22"/>
        </w:rPr>
        <w:t xml:space="preserve"> </w:t>
      </w:r>
      <w:r w:rsidRPr="00E87247">
        <w:rPr>
          <w:rFonts w:ascii="Georgia" w:hAnsi="Georgia" w:cs="Arial"/>
          <w:sz w:val="22"/>
          <w:szCs w:val="22"/>
        </w:rPr>
        <w:t xml:space="preserve">the provider must demonstrate medical necessity under 130 CMR 450.204. </w:t>
      </w:r>
    </w:p>
    <w:p w:rsidR="00E87247" w:rsidRPr="00165D0F" w:rsidRDefault="00E87247" w:rsidP="00E87247">
      <w:pPr>
        <w:ind w:left="1080" w:right="576"/>
        <w:rPr>
          <w:rFonts w:ascii="Georgia" w:hAnsi="Georgia" w:cs="Arial"/>
          <w:sz w:val="22"/>
          <w:szCs w:val="22"/>
        </w:rPr>
      </w:pPr>
    </w:p>
    <w:p w:rsidR="003904A6" w:rsidRPr="00A27473" w:rsidRDefault="003904A6" w:rsidP="003904A6">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rsidR="003904A6" w:rsidRDefault="003904A6" w:rsidP="003904A6">
      <w:pPr>
        <w:widowControl w:val="0"/>
        <w:ind w:left="576"/>
        <w:rPr>
          <w:rFonts w:ascii="Arial" w:hAnsi="Arial" w:cs="Arial"/>
          <w:sz w:val="22"/>
        </w:rPr>
      </w:pPr>
    </w:p>
    <w:p w:rsidR="003904A6" w:rsidRPr="00A27473" w:rsidRDefault="003904A6" w:rsidP="003904A6">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1"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3904A6" w:rsidRDefault="003904A6" w:rsidP="003904A6">
      <w:pPr>
        <w:widowControl w:val="0"/>
        <w:ind w:left="576"/>
        <w:rPr>
          <w:rFonts w:ascii="Arial" w:hAnsi="Arial" w:cs="Arial"/>
          <w:sz w:val="22"/>
        </w:rPr>
      </w:pPr>
    </w:p>
    <w:p w:rsidR="003904A6" w:rsidRPr="00283142" w:rsidRDefault="003904A6" w:rsidP="003904A6">
      <w:pPr>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2"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Default="00772D2E" w:rsidP="00772D2E">
      <w:pPr>
        <w:ind w:left="576" w:right="576"/>
        <w:rPr>
          <w:rFonts w:ascii="Georgia" w:hAnsi="Georgia" w:cs="Arial"/>
          <w:sz w:val="22"/>
          <w:szCs w:val="22"/>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00FE20D1">
        <w:rPr>
          <w:rFonts w:ascii="Georgia" w:hAnsi="Georgia" w:cs="Arial"/>
          <w:sz w:val="22"/>
          <w:szCs w:val="22"/>
        </w:rPr>
        <w:t xml:space="preserve"> at (800)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3"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FE20D1">
        <w:rPr>
          <w:rFonts w:ascii="Georgia" w:hAnsi="Georgia" w:cs="Arial"/>
          <w:sz w:val="22"/>
          <w:szCs w:val="22"/>
        </w:rPr>
        <w:t>(</w:t>
      </w:r>
      <w:r w:rsidRPr="001B792F">
        <w:rPr>
          <w:rFonts w:ascii="Georgia" w:hAnsi="Georgia" w:cs="Arial"/>
          <w:sz w:val="22"/>
          <w:szCs w:val="22"/>
        </w:rPr>
        <w:t>617</w:t>
      </w:r>
      <w:r w:rsidR="00FE20D1">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684724" w:rsidRDefault="00684724" w:rsidP="00287894">
      <w:pPr>
        <w:ind w:left="576" w:right="576"/>
        <w:rPr>
          <w:rFonts w:ascii="Georgia" w:hAnsi="Georgia" w:cs="Arial"/>
          <w:sz w:val="22"/>
          <w:szCs w:val="22"/>
        </w:rPr>
      </w:pPr>
    </w:p>
    <w:p w:rsidR="00684724" w:rsidRDefault="00684724" w:rsidP="00287894">
      <w:pPr>
        <w:ind w:left="576" w:right="576"/>
        <w:rPr>
          <w:rFonts w:ascii="Georgia" w:hAnsi="Georgia" w:cs="Arial"/>
          <w:sz w:val="22"/>
          <w:szCs w:val="22"/>
        </w:rPr>
      </w:pPr>
    </w:p>
    <w:p w:rsidR="00684724" w:rsidRDefault="00684724" w:rsidP="00287894">
      <w:pPr>
        <w:ind w:left="576" w:right="576"/>
        <w:rPr>
          <w:rFonts w:ascii="Georgia" w:hAnsi="Georgia" w:cs="Arial"/>
          <w:sz w:val="22"/>
          <w:szCs w:val="22"/>
        </w:rPr>
      </w:pPr>
    </w:p>
    <w:p w:rsidR="00684724" w:rsidRDefault="00684724" w:rsidP="00287894">
      <w:pPr>
        <w:ind w:left="576" w:right="576"/>
        <w:rPr>
          <w:rFonts w:ascii="Georgia" w:hAnsi="Georgia" w:cs="Arial"/>
          <w:sz w:val="22"/>
          <w:szCs w:val="22"/>
        </w:rPr>
      </w:pPr>
    </w:p>
    <w:p w:rsidR="00684724" w:rsidRDefault="00684724" w:rsidP="00287894">
      <w:pPr>
        <w:ind w:left="576" w:right="576"/>
        <w:rPr>
          <w:rFonts w:ascii="Georgia" w:hAnsi="Georgia" w:cs="Arial"/>
          <w:sz w:val="22"/>
          <w:szCs w:val="22"/>
        </w:rPr>
      </w:pPr>
    </w:p>
    <w:p w:rsidR="00684724" w:rsidRPr="00684724" w:rsidRDefault="00684724" w:rsidP="00684724">
      <w:pPr>
        <w:jc w:val="right"/>
        <w:rPr>
          <w:rFonts w:ascii="Georgia" w:hAnsi="Georgia" w:cs="Arial"/>
          <w:sz w:val="22"/>
          <w:szCs w:val="22"/>
        </w:rPr>
      </w:pPr>
    </w:p>
    <w:sectPr w:rsidR="00684724" w:rsidRPr="00684724" w:rsidSect="004B165B">
      <w:headerReference w:type="default" r:id="rId14"/>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C3" w:rsidRDefault="003056C3" w:rsidP="00D65B5E">
      <w:r>
        <w:separator/>
      </w:r>
    </w:p>
  </w:endnote>
  <w:endnote w:type="continuationSeparator" w:id="0">
    <w:p w:rsidR="003056C3" w:rsidRDefault="003056C3"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C3" w:rsidRDefault="003056C3" w:rsidP="00D65B5E">
      <w:r>
        <w:separator/>
      </w:r>
    </w:p>
  </w:footnote>
  <w:footnote w:type="continuationSeparator" w:id="0">
    <w:p w:rsidR="003056C3" w:rsidRDefault="003056C3"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1672"/>
    <w:rsid w:val="00046D73"/>
    <w:rsid w:val="00051A74"/>
    <w:rsid w:val="00051CB0"/>
    <w:rsid w:val="0005607C"/>
    <w:rsid w:val="000561F1"/>
    <w:rsid w:val="000718AA"/>
    <w:rsid w:val="00081D68"/>
    <w:rsid w:val="0008203E"/>
    <w:rsid w:val="000A0245"/>
    <w:rsid w:val="000A0662"/>
    <w:rsid w:val="000B6C3A"/>
    <w:rsid w:val="000C085A"/>
    <w:rsid w:val="000F3698"/>
    <w:rsid w:val="000F5EDD"/>
    <w:rsid w:val="0010460D"/>
    <w:rsid w:val="001100D4"/>
    <w:rsid w:val="00121B4C"/>
    <w:rsid w:val="00122FC2"/>
    <w:rsid w:val="001341D1"/>
    <w:rsid w:val="001433E7"/>
    <w:rsid w:val="00144477"/>
    <w:rsid w:val="0015177D"/>
    <w:rsid w:val="00153CFF"/>
    <w:rsid w:val="00163194"/>
    <w:rsid w:val="00165D0F"/>
    <w:rsid w:val="00173613"/>
    <w:rsid w:val="0019295A"/>
    <w:rsid w:val="001954D2"/>
    <w:rsid w:val="0019652F"/>
    <w:rsid w:val="001A369C"/>
    <w:rsid w:val="001B792F"/>
    <w:rsid w:val="001D63E2"/>
    <w:rsid w:val="001F0B11"/>
    <w:rsid w:val="00204BAE"/>
    <w:rsid w:val="00241C06"/>
    <w:rsid w:val="00253ED3"/>
    <w:rsid w:val="00277E30"/>
    <w:rsid w:val="00286E7B"/>
    <w:rsid w:val="00287894"/>
    <w:rsid w:val="002B3CFE"/>
    <w:rsid w:val="002B5624"/>
    <w:rsid w:val="002B5B63"/>
    <w:rsid w:val="002C4BD7"/>
    <w:rsid w:val="002F0836"/>
    <w:rsid w:val="00300B78"/>
    <w:rsid w:val="003056C3"/>
    <w:rsid w:val="00331AAC"/>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3AED"/>
    <w:rsid w:val="003C1569"/>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D0B"/>
    <w:rsid w:val="004D7CEC"/>
    <w:rsid w:val="004E1DB1"/>
    <w:rsid w:val="004F09A1"/>
    <w:rsid w:val="004F347E"/>
    <w:rsid w:val="00511E42"/>
    <w:rsid w:val="00530C00"/>
    <w:rsid w:val="00540E00"/>
    <w:rsid w:val="00544D3B"/>
    <w:rsid w:val="005475A4"/>
    <w:rsid w:val="00566F08"/>
    <w:rsid w:val="00590CCB"/>
    <w:rsid w:val="005A5D1C"/>
    <w:rsid w:val="005B1886"/>
    <w:rsid w:val="005B5B80"/>
    <w:rsid w:val="005C0B08"/>
    <w:rsid w:val="005C179E"/>
    <w:rsid w:val="005C760F"/>
    <w:rsid w:val="005D1075"/>
    <w:rsid w:val="005D22B3"/>
    <w:rsid w:val="005D24AD"/>
    <w:rsid w:val="005E124D"/>
    <w:rsid w:val="005E4CC2"/>
    <w:rsid w:val="005F06C2"/>
    <w:rsid w:val="005F4949"/>
    <w:rsid w:val="00617D15"/>
    <w:rsid w:val="00620A4F"/>
    <w:rsid w:val="00621F13"/>
    <w:rsid w:val="00640A54"/>
    <w:rsid w:val="00661476"/>
    <w:rsid w:val="006621A1"/>
    <w:rsid w:val="00684368"/>
    <w:rsid w:val="00684724"/>
    <w:rsid w:val="00693A16"/>
    <w:rsid w:val="0069586B"/>
    <w:rsid w:val="00695CC0"/>
    <w:rsid w:val="006B22E3"/>
    <w:rsid w:val="006C101A"/>
    <w:rsid w:val="006D3F3E"/>
    <w:rsid w:val="006D63AE"/>
    <w:rsid w:val="006E3443"/>
    <w:rsid w:val="006F08BD"/>
    <w:rsid w:val="00701802"/>
    <w:rsid w:val="00706585"/>
    <w:rsid w:val="00715ADA"/>
    <w:rsid w:val="00736364"/>
    <w:rsid w:val="00746065"/>
    <w:rsid w:val="0075470C"/>
    <w:rsid w:val="00762517"/>
    <w:rsid w:val="00772D2E"/>
    <w:rsid w:val="00793652"/>
    <w:rsid w:val="007D602F"/>
    <w:rsid w:val="007E5047"/>
    <w:rsid w:val="007F085D"/>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6990"/>
    <w:rsid w:val="008C3BDF"/>
    <w:rsid w:val="0090478E"/>
    <w:rsid w:val="00905BB5"/>
    <w:rsid w:val="0091250B"/>
    <w:rsid w:val="00930A2B"/>
    <w:rsid w:val="0093403A"/>
    <w:rsid w:val="009478C1"/>
    <w:rsid w:val="00957B5D"/>
    <w:rsid w:val="009648E9"/>
    <w:rsid w:val="00967E33"/>
    <w:rsid w:val="009A494A"/>
    <w:rsid w:val="009A7D2E"/>
    <w:rsid w:val="009C3053"/>
    <w:rsid w:val="009C37D5"/>
    <w:rsid w:val="009D1F5C"/>
    <w:rsid w:val="009E157D"/>
    <w:rsid w:val="00A010D1"/>
    <w:rsid w:val="00A45AAC"/>
    <w:rsid w:val="00A47DD6"/>
    <w:rsid w:val="00A61095"/>
    <w:rsid w:val="00A63B71"/>
    <w:rsid w:val="00A7476F"/>
    <w:rsid w:val="00A91FB2"/>
    <w:rsid w:val="00A9437D"/>
    <w:rsid w:val="00A973B4"/>
    <w:rsid w:val="00AA1074"/>
    <w:rsid w:val="00AA5EED"/>
    <w:rsid w:val="00AB0550"/>
    <w:rsid w:val="00AB1C1F"/>
    <w:rsid w:val="00AD19E1"/>
    <w:rsid w:val="00AD41AD"/>
    <w:rsid w:val="00AD6B24"/>
    <w:rsid w:val="00AF7CB8"/>
    <w:rsid w:val="00B02284"/>
    <w:rsid w:val="00B23AA2"/>
    <w:rsid w:val="00B346A2"/>
    <w:rsid w:val="00B36452"/>
    <w:rsid w:val="00B441C4"/>
    <w:rsid w:val="00B61CF5"/>
    <w:rsid w:val="00B85308"/>
    <w:rsid w:val="00B877BE"/>
    <w:rsid w:val="00B93E59"/>
    <w:rsid w:val="00B9734C"/>
    <w:rsid w:val="00B97812"/>
    <w:rsid w:val="00B97DEF"/>
    <w:rsid w:val="00BC0557"/>
    <w:rsid w:val="00BC677C"/>
    <w:rsid w:val="00BE52FC"/>
    <w:rsid w:val="00BF5AA4"/>
    <w:rsid w:val="00C03F85"/>
    <w:rsid w:val="00C26155"/>
    <w:rsid w:val="00C55D56"/>
    <w:rsid w:val="00C62206"/>
    <w:rsid w:val="00C66371"/>
    <w:rsid w:val="00C71878"/>
    <w:rsid w:val="00C74836"/>
    <w:rsid w:val="00C81F6B"/>
    <w:rsid w:val="00C82910"/>
    <w:rsid w:val="00C97095"/>
    <w:rsid w:val="00CB0959"/>
    <w:rsid w:val="00CC4071"/>
    <w:rsid w:val="00CE4B40"/>
    <w:rsid w:val="00CF5226"/>
    <w:rsid w:val="00CF6E84"/>
    <w:rsid w:val="00D17FC2"/>
    <w:rsid w:val="00D275E5"/>
    <w:rsid w:val="00D34ADE"/>
    <w:rsid w:val="00D421CC"/>
    <w:rsid w:val="00D64B09"/>
    <w:rsid w:val="00D657CA"/>
    <w:rsid w:val="00D65B5E"/>
    <w:rsid w:val="00D66920"/>
    <w:rsid w:val="00D840C5"/>
    <w:rsid w:val="00D96485"/>
    <w:rsid w:val="00D971FE"/>
    <w:rsid w:val="00D97760"/>
    <w:rsid w:val="00DA2F9E"/>
    <w:rsid w:val="00DA3E13"/>
    <w:rsid w:val="00DA6AAA"/>
    <w:rsid w:val="00DB2672"/>
    <w:rsid w:val="00DC292A"/>
    <w:rsid w:val="00DD5296"/>
    <w:rsid w:val="00DE2900"/>
    <w:rsid w:val="00DE46E6"/>
    <w:rsid w:val="00E024B7"/>
    <w:rsid w:val="00E26B81"/>
    <w:rsid w:val="00E273F8"/>
    <w:rsid w:val="00E308C6"/>
    <w:rsid w:val="00E3459A"/>
    <w:rsid w:val="00E46BE7"/>
    <w:rsid w:val="00E63572"/>
    <w:rsid w:val="00E715FE"/>
    <w:rsid w:val="00E837E7"/>
    <w:rsid w:val="00E84B1B"/>
    <w:rsid w:val="00E87247"/>
    <w:rsid w:val="00EA1D60"/>
    <w:rsid w:val="00EA562B"/>
    <w:rsid w:val="00EC5866"/>
    <w:rsid w:val="00ED115A"/>
    <w:rsid w:val="00F12C1E"/>
    <w:rsid w:val="00F21012"/>
    <w:rsid w:val="00F3021E"/>
    <w:rsid w:val="00F346A4"/>
    <w:rsid w:val="00F559B6"/>
    <w:rsid w:val="00F66A36"/>
    <w:rsid w:val="00F7118D"/>
    <w:rsid w:val="00F81EF5"/>
    <w:rsid w:val="00F950C5"/>
    <w:rsid w:val="00FA7458"/>
    <w:rsid w:val="00FB0941"/>
    <w:rsid w:val="00FD580D"/>
    <w:rsid w:val="00FD60B4"/>
    <w:rsid w:val="00FE20D1"/>
    <w:rsid w:val="00FE46E8"/>
    <w:rsid w:val="00FE6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vidersupport@mahealth.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547</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4135</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17</cp:revision>
  <cp:lastPrinted>2018-10-26T18:03:00Z</cp:lastPrinted>
  <dcterms:created xsi:type="dcterms:W3CDTF">2018-10-26T16:47:00Z</dcterms:created>
  <dcterms:modified xsi:type="dcterms:W3CDTF">2018-10-26T18:04:00Z</dcterms:modified>
</cp:coreProperties>
</file>