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58CF7" w14:textId="7A309472" w:rsidR="00F664CC" w:rsidRPr="00777A22" w:rsidRDefault="0000380F"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57DDDB22" wp14:editId="70F1D121">
            <wp:simplePos x="0" y="0"/>
            <wp:positionH relativeFrom="margin">
              <wp:posOffset>-235686</wp:posOffset>
            </wp:positionH>
            <wp:positionV relativeFrom="margin">
              <wp:posOffset>5182</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196DB454" w14:textId="6B676F95"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20ABB0C4" w14:textId="44110BAD"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75A91628" w14:textId="2DA55B83" w:rsidR="006D3F15" w:rsidRPr="00777A22" w:rsidRDefault="006958DA"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72C3FD41" w14:textId="65EE4AB6" w:rsidR="00F664CC" w:rsidRPr="00150BCC" w:rsidRDefault="00F664CC" w:rsidP="00982839">
      <w:pPr>
        <w:pStyle w:val="BullsHeading"/>
        <w:spacing w:before="480"/>
      </w:pPr>
      <w:r w:rsidRPr="00150BCC">
        <w:t>MassHealth</w:t>
      </w:r>
    </w:p>
    <w:p w14:paraId="63D7A936" w14:textId="77777777" w:rsidR="00C51C0E" w:rsidRDefault="00C51C0E" w:rsidP="00150BCC">
      <w:pPr>
        <w:pStyle w:val="BullsHeading"/>
      </w:pPr>
      <w:r>
        <w:t xml:space="preserve">Durable Medical </w:t>
      </w:r>
      <w:r w:rsidR="00521DCB">
        <w:t xml:space="preserve">Equipment Provider </w:t>
      </w:r>
      <w:r>
        <w:t xml:space="preserve">  </w:t>
      </w:r>
    </w:p>
    <w:p w14:paraId="63836D88" w14:textId="221E8B2A" w:rsidR="00F664CC" w:rsidRPr="00150BCC" w:rsidRDefault="00C51C0E" w:rsidP="00150BCC">
      <w:pPr>
        <w:pStyle w:val="BullsHeading"/>
      </w:pPr>
      <w:r>
        <w:t xml:space="preserve">   </w:t>
      </w:r>
      <w:r w:rsidR="00521DCB">
        <w:t xml:space="preserve">Bulletin </w:t>
      </w:r>
      <w:r w:rsidR="00A878D8">
        <w:t>24</w:t>
      </w:r>
    </w:p>
    <w:p w14:paraId="440DF058" w14:textId="236564C9" w:rsidR="00F664CC" w:rsidRPr="00150BCC" w:rsidRDefault="00DB6562" w:rsidP="00150BCC">
      <w:pPr>
        <w:pStyle w:val="BullsHeading"/>
      </w:pPr>
      <w:r>
        <w:t xml:space="preserve">November </w:t>
      </w:r>
      <w:r w:rsidR="00521DCB">
        <w:t>2020</w:t>
      </w:r>
    </w:p>
    <w:p w14:paraId="65CA360F" w14:textId="77777777" w:rsidR="00F664CC" w:rsidRDefault="00F664CC" w:rsidP="00BD2DAF">
      <w:pPr>
        <w:spacing w:line="360" w:lineRule="auto"/>
        <w:ind w:left="360"/>
        <w:rPr>
          <w:rFonts w:ascii="Georgia" w:hAnsi="Georgia"/>
          <w:b/>
          <w:color w:val="1F497D" w:themeColor="text2"/>
          <w:sz w:val="24"/>
          <w:szCs w:val="24"/>
        </w:rPr>
      </w:pPr>
    </w:p>
    <w:p w14:paraId="1988D257"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F958BE1" w14:textId="77777777" w:rsidR="00744DBF" w:rsidRPr="002B3825" w:rsidRDefault="00F664CC" w:rsidP="00744DBF">
      <w:pPr>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C51C0E">
        <w:rPr>
          <w:rFonts w:ascii="Georgia" w:hAnsi="Georgia"/>
          <w:sz w:val="22"/>
          <w:szCs w:val="22"/>
        </w:rPr>
        <w:t>Durable Medical</w:t>
      </w:r>
      <w:r w:rsidR="00521DCB" w:rsidRPr="00521DCB">
        <w:rPr>
          <w:rFonts w:ascii="Georgia" w:hAnsi="Georgia"/>
          <w:sz w:val="22"/>
          <w:szCs w:val="22"/>
        </w:rPr>
        <w:t xml:space="preserve"> Equipment Provider</w:t>
      </w:r>
      <w:r w:rsidR="00521DCB">
        <w:rPr>
          <w:rFonts w:ascii="Georgia" w:hAnsi="Georgia"/>
          <w:sz w:val="22"/>
          <w:szCs w:val="22"/>
        </w:rPr>
        <w:t>s</w:t>
      </w:r>
      <w:r w:rsidR="00521DCB" w:rsidRPr="00521DCB">
        <w:rPr>
          <w:rFonts w:ascii="Georgia" w:hAnsi="Georgia"/>
          <w:sz w:val="22"/>
          <w:szCs w:val="22"/>
        </w:rPr>
        <w:t xml:space="preserve"> </w:t>
      </w:r>
      <w:r w:rsidR="00744DBF" w:rsidRPr="002B3825">
        <w:rPr>
          <w:rFonts w:ascii="Georgia" w:hAnsi="Georgia"/>
          <w:sz w:val="22"/>
          <w:szCs w:val="22"/>
        </w:rPr>
        <w:t>Participating in MassHealth</w:t>
      </w:r>
    </w:p>
    <w:p w14:paraId="67241E23" w14:textId="512815D0" w:rsidR="00744DBF" w:rsidRPr="002B3825" w:rsidRDefault="00744DBF" w:rsidP="00744DBF">
      <w:pPr>
        <w:ind w:left="360"/>
        <w:rPr>
          <w:rFonts w:ascii="Georgia" w:hAnsi="Georgia"/>
          <w:sz w:val="22"/>
          <w:szCs w:val="22"/>
        </w:rPr>
      </w:pPr>
    </w:p>
    <w:p w14:paraId="6FA51807" w14:textId="4445D3EF" w:rsidR="00744DBF" w:rsidRPr="002B3825" w:rsidRDefault="00744DBF" w:rsidP="00744DBF">
      <w:pPr>
        <w:ind w:left="360"/>
        <w:rPr>
          <w:rFonts w:ascii="Georgia" w:hAnsi="Georgia"/>
          <w:sz w:val="22"/>
          <w:szCs w:val="22"/>
        </w:rPr>
      </w:pPr>
      <w:r w:rsidRPr="002B3825">
        <w:rPr>
          <w:rFonts w:ascii="Georgia" w:hAnsi="Georgia"/>
          <w:b/>
          <w:sz w:val="22"/>
          <w:szCs w:val="22"/>
        </w:rPr>
        <w:t>FROM:</w:t>
      </w:r>
      <w:r w:rsidRPr="002B3825">
        <w:rPr>
          <w:rFonts w:ascii="Georgia" w:hAnsi="Georgia"/>
          <w:sz w:val="22"/>
          <w:szCs w:val="22"/>
        </w:rPr>
        <w:tab/>
        <w:t xml:space="preserve">Daniel Tsai, Assistant Secretary for MassHealth </w:t>
      </w:r>
      <w:r>
        <w:rPr>
          <w:rFonts w:ascii="Georgia" w:hAnsi="Georgia"/>
          <w:sz w:val="22"/>
          <w:szCs w:val="22"/>
        </w:rPr>
        <w:t xml:space="preserve"> </w:t>
      </w:r>
      <w:r w:rsidR="00D51CED">
        <w:rPr>
          <w:rFonts w:ascii="Georgia" w:hAnsi="Georgia"/>
          <w:sz w:val="22"/>
          <w:szCs w:val="22"/>
        </w:rPr>
        <w:tab/>
        <w:t>[Signature of Daniel Tsai]</w:t>
      </w:r>
    </w:p>
    <w:p w14:paraId="2B97B34A" w14:textId="77777777" w:rsidR="00744DBF" w:rsidRPr="002B3825" w:rsidRDefault="00744DBF" w:rsidP="00744DBF">
      <w:pPr>
        <w:ind w:left="360"/>
        <w:rPr>
          <w:rFonts w:ascii="Georgia" w:hAnsi="Georgia"/>
          <w:sz w:val="22"/>
          <w:szCs w:val="22"/>
        </w:rPr>
      </w:pPr>
    </w:p>
    <w:p w14:paraId="55A5B93E" w14:textId="06D1F44B" w:rsidR="00F664CC" w:rsidRPr="00F664CC" w:rsidRDefault="00F664CC" w:rsidP="00744DBF">
      <w:pPr>
        <w:spacing w:line="480"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521DCB">
        <w:rPr>
          <w:rFonts w:ascii="Georgia" w:hAnsi="Georgia" w:cs="Arial"/>
          <w:sz w:val="22"/>
          <w:szCs w:val="22"/>
        </w:rPr>
        <w:t xml:space="preserve">Policy </w:t>
      </w:r>
      <w:r w:rsidR="00146444">
        <w:rPr>
          <w:rFonts w:ascii="Georgia" w:hAnsi="Georgia" w:cs="Arial"/>
          <w:sz w:val="22"/>
          <w:szCs w:val="22"/>
        </w:rPr>
        <w:t xml:space="preserve">for </w:t>
      </w:r>
      <w:r w:rsidR="00521DCB">
        <w:rPr>
          <w:rFonts w:ascii="Georgia" w:hAnsi="Georgia" w:cs="Arial"/>
          <w:sz w:val="22"/>
          <w:szCs w:val="22"/>
        </w:rPr>
        <w:t xml:space="preserve">Temporary Replacement Equipment During Repair; New Service Code </w:t>
      </w:r>
    </w:p>
    <w:p w14:paraId="51C06C52" w14:textId="6BC10E09" w:rsidR="00521DCB" w:rsidRPr="00002A9C" w:rsidRDefault="00521DCB" w:rsidP="00417854">
      <w:pPr>
        <w:pStyle w:val="Heading1"/>
      </w:pPr>
      <w:r>
        <w:t>Introduction</w:t>
      </w:r>
      <w:r w:rsidR="00744DBF">
        <w:t xml:space="preserve"> </w:t>
      </w:r>
    </w:p>
    <w:p w14:paraId="5E0855BC" w14:textId="77777777" w:rsidR="00521DCB" w:rsidRPr="00437A81" w:rsidRDefault="00521DCB" w:rsidP="00437A81">
      <w:pPr>
        <w:pStyle w:val="BodyTextIndent"/>
      </w:pPr>
      <w:r w:rsidRPr="00521DCB">
        <w:t xml:space="preserve">This bulletin provides information on MassHealth policy </w:t>
      </w:r>
      <w:r w:rsidR="00146444">
        <w:t>for</w:t>
      </w:r>
      <w:r w:rsidR="00437A81" w:rsidRPr="00521DCB">
        <w:t xml:space="preserve"> </w:t>
      </w:r>
      <w:r w:rsidRPr="00521DCB">
        <w:t>temporary replacement equipment</w:t>
      </w:r>
      <w:r w:rsidR="00437A81">
        <w:t>. It also announces the</w:t>
      </w:r>
      <w:r w:rsidRPr="00521DCB">
        <w:t xml:space="preserve"> implementation of a new code for temporary replacement equipment provided when member-owned equipment has been determined to be unusable and requires repair. </w:t>
      </w:r>
    </w:p>
    <w:p w14:paraId="7AD1E5B7" w14:textId="012ED392" w:rsidR="00C51C0E" w:rsidRPr="00437A81" w:rsidRDefault="00521DCB" w:rsidP="00417854">
      <w:pPr>
        <w:pStyle w:val="Heading1"/>
      </w:pPr>
      <w:r w:rsidRPr="00437A81">
        <w:t>Code and Payment for Temporary Replacement Equipment</w:t>
      </w:r>
    </w:p>
    <w:p w14:paraId="616686FB" w14:textId="77777777" w:rsidR="00C51C0E" w:rsidRDefault="00521DCB" w:rsidP="00C51C0E">
      <w:pPr>
        <w:pStyle w:val="BodyTextIndent"/>
        <w:spacing w:before="0" w:after="0" w:afterAutospacing="0"/>
      </w:pPr>
      <w:r w:rsidRPr="00521DCB">
        <w:t>Effective for dates of service on or after October 1, 2020</w:t>
      </w:r>
      <w:r w:rsidR="00437A81">
        <w:t>,</w:t>
      </w:r>
      <w:r w:rsidRPr="00521DCB">
        <w:t xml:space="preserve"> MassHealth is implementing Healthcare Common Procedure Coding System (HCPCS) </w:t>
      </w:r>
      <w:r w:rsidR="00437A81">
        <w:t xml:space="preserve">service </w:t>
      </w:r>
      <w:r w:rsidRPr="00521DCB">
        <w:t>code K0462 for temporary replacement of member-owned equipment provided when member-owned equipment has been determined to be unusable and requires repair.</w:t>
      </w:r>
      <w:r w:rsidR="00437A81">
        <w:t xml:space="preserve"> Service code</w:t>
      </w:r>
      <w:r w:rsidRPr="00521DCB">
        <w:t xml:space="preserve"> K0462 may be billed only once for each repair and will be reimbursed at the rate for one month’s rental at the KJ fee on file for the primary HCPCS code for the item being repaired. The HCPCS code and 101 CMR 322.00: </w:t>
      </w:r>
      <w:r w:rsidRPr="00A90899">
        <w:rPr>
          <w:i/>
          <w:iCs/>
        </w:rPr>
        <w:t>Durable Medical Equipment, Oxygen and Respiratory Therapy Equipment</w:t>
      </w:r>
      <w:r w:rsidRPr="00521DCB">
        <w:t xml:space="preserve"> rate for the KJ modifier for the item being repaired must be on the required form</w:t>
      </w:r>
      <w:r w:rsidR="00437A81">
        <w:t xml:space="preserve"> and</w:t>
      </w:r>
      <w:r w:rsidRPr="00521DCB">
        <w:t xml:space="preserve"> attached to the claim as described in billing instructions below. </w:t>
      </w:r>
    </w:p>
    <w:p w14:paraId="355526F9" w14:textId="77777777" w:rsidR="00C51C0E" w:rsidRPr="00521DCB" w:rsidRDefault="00C51C0E" w:rsidP="00A90899">
      <w:pPr>
        <w:pStyle w:val="BodyTextIndent"/>
        <w:spacing w:before="0" w:after="0" w:afterAutospacing="0"/>
      </w:pPr>
    </w:p>
    <w:p w14:paraId="1EC4E57E" w14:textId="77777777" w:rsidR="00521DCB" w:rsidRDefault="00437A81" w:rsidP="00A90899">
      <w:pPr>
        <w:pStyle w:val="BodyTextIndent"/>
        <w:spacing w:before="0" w:after="0" w:afterAutospacing="0"/>
      </w:pPr>
      <w:r>
        <w:t>Service c</w:t>
      </w:r>
      <w:r w:rsidR="00521DCB" w:rsidRPr="00521DCB">
        <w:t xml:space="preserve">ode K0462 does not require a prior authorization (PA). All other regulations and requirements </w:t>
      </w:r>
      <w:r>
        <w:t>for</w:t>
      </w:r>
      <w:r w:rsidRPr="00521DCB">
        <w:t xml:space="preserve"> </w:t>
      </w:r>
      <w:r w:rsidR="00521DCB" w:rsidRPr="00521DCB">
        <w:t xml:space="preserve">repairs apply, including the requirement of PA for repairs totaling in excess of $1000. See 130 CMR 409.418(E). </w:t>
      </w:r>
    </w:p>
    <w:p w14:paraId="0775C9FE" w14:textId="77777777" w:rsidR="00521DCB" w:rsidRDefault="00521DCB" w:rsidP="00417854">
      <w:pPr>
        <w:pStyle w:val="Heading1"/>
      </w:pPr>
      <w:r w:rsidRPr="00521DCB">
        <w:t>Billing Instructions</w:t>
      </w:r>
    </w:p>
    <w:p w14:paraId="4CD2D231" w14:textId="77777777" w:rsidR="00C51C0E" w:rsidRPr="00521DCB" w:rsidRDefault="00C51C0E" w:rsidP="00A90899">
      <w:pPr>
        <w:pStyle w:val="BodyTextIndent"/>
        <w:spacing w:before="0" w:after="0" w:afterAutospacing="0"/>
        <w:rPr>
          <w:b/>
        </w:rPr>
      </w:pPr>
    </w:p>
    <w:p w14:paraId="4ED6861F" w14:textId="77777777" w:rsidR="00521DCB" w:rsidRDefault="00521DCB" w:rsidP="00A90899">
      <w:pPr>
        <w:pStyle w:val="BodyTextIndent"/>
        <w:spacing w:before="0" w:after="0" w:afterAutospacing="0"/>
      </w:pPr>
      <w:r>
        <w:t xml:space="preserve">To bill for this code, the provider must complete the “Temporary Replacement Equipment Form” now found on the MassHealth website at the </w:t>
      </w:r>
      <w:r w:rsidR="00437A81">
        <w:t xml:space="preserve">following </w:t>
      </w:r>
      <w:r>
        <w:t>link</w:t>
      </w:r>
      <w:r w:rsidR="00C51C0E">
        <w:t xml:space="preserve"> </w:t>
      </w:r>
      <w:r w:rsidR="00437A81">
        <w:t>0</w:t>
      </w:r>
      <w:r>
        <w:t>r within the online DME &amp; Oxygen Payment and Coverage Guideline Tool</w:t>
      </w:r>
      <w:r w:rsidR="00437A81">
        <w:t>,</w:t>
      </w:r>
      <w:r>
        <w:t xml:space="preserve"> as a link included with </w:t>
      </w:r>
      <w:r w:rsidR="00437A81">
        <w:t xml:space="preserve">service </w:t>
      </w:r>
      <w:r>
        <w:t>code K0462. The link for the online tool is</w:t>
      </w:r>
    </w:p>
    <w:p w14:paraId="16E42623" w14:textId="1371C82E" w:rsidR="00521DCB" w:rsidRDefault="006958DA" w:rsidP="00521DCB">
      <w:pPr>
        <w:pStyle w:val="BodyTextIndent"/>
      </w:pPr>
      <w:hyperlink r:id="rId13" w:history="1">
        <w:r w:rsidR="00521DCB" w:rsidRPr="00437A81">
          <w:rPr>
            <w:rStyle w:val="Hyperlink"/>
          </w:rPr>
          <w:t>https://www.mass.gov/service-details/masshealth-payment-and-coverage-guideline-tools</w:t>
        </w:r>
      </w:hyperlink>
      <w:r w:rsidR="00437A81">
        <w:t>.</w:t>
      </w:r>
    </w:p>
    <w:p w14:paraId="0F194177" w14:textId="072662A0" w:rsidR="00BF0D93" w:rsidRDefault="00BF0D93" w:rsidP="00521DCB">
      <w:pPr>
        <w:pStyle w:val="BodyTextIndent"/>
      </w:pPr>
      <w:r>
        <w:t xml:space="preserve">The link for the form is </w:t>
      </w:r>
      <w:hyperlink r:id="rId14" w:history="1">
        <w:r w:rsidR="00CB1766" w:rsidRPr="00ED1AFA">
          <w:rPr>
            <w:rStyle w:val="Hyperlink"/>
          </w:rPr>
          <w:t>https://www.mass.gov/doc/temporary-replacement-equipment-form-0/download</w:t>
        </w:r>
      </w:hyperlink>
      <w:r>
        <w:t>.</w:t>
      </w:r>
    </w:p>
    <w:p w14:paraId="4997BC25" w14:textId="77777777" w:rsidR="00437A81" w:rsidRDefault="00521DCB" w:rsidP="00521DCB">
      <w:pPr>
        <w:pStyle w:val="BodyTextIndent"/>
      </w:pPr>
      <w:r>
        <w:t>The Temporary Replacement Equipment Form must be attached to the provider’s claim. Any claim for</w:t>
      </w:r>
      <w:r w:rsidR="00437A81">
        <w:t xml:space="preserve"> service code</w:t>
      </w:r>
      <w:r>
        <w:t xml:space="preserve"> K0462 </w:t>
      </w:r>
      <w:r w:rsidR="00437A81">
        <w:t xml:space="preserve">submitted </w:t>
      </w:r>
      <w:r>
        <w:t xml:space="preserve">without </w:t>
      </w:r>
      <w:r w:rsidR="00437A81">
        <w:t xml:space="preserve">the completed </w:t>
      </w:r>
      <w:r>
        <w:t xml:space="preserve">form will be automatically denied.  </w:t>
      </w:r>
    </w:p>
    <w:p w14:paraId="3D934A40" w14:textId="545A9E77" w:rsidR="00C51C0E" w:rsidRDefault="00521DCB" w:rsidP="00417854">
      <w:pPr>
        <w:pStyle w:val="BodyTextIndent"/>
        <w:rPr>
          <w:b/>
          <w:color w:val="1F497D" w:themeColor="text2"/>
          <w:sz w:val="24"/>
          <w:szCs w:val="24"/>
        </w:rPr>
      </w:pPr>
      <w:r>
        <w:lastRenderedPageBreak/>
        <w:t>If the same piece of equipment needs to be repaired again at a later date, the provider must complete a new “Temporary Replacement Equipment Form” with new updated information.</w:t>
      </w:r>
      <w:r w:rsidR="00BF0D93">
        <w:t xml:space="preserve"> </w:t>
      </w:r>
    </w:p>
    <w:p w14:paraId="143E7FC7" w14:textId="77777777" w:rsidR="00F664CC" w:rsidRPr="009901A7" w:rsidRDefault="00F664CC" w:rsidP="00002A9C">
      <w:pPr>
        <w:pStyle w:val="Heading1"/>
      </w:pPr>
      <w:r w:rsidRPr="009901A7">
        <w:t>MassHealth Website</w:t>
      </w:r>
    </w:p>
    <w:p w14:paraId="3CB8C16C"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16E114B1" w14:textId="77777777" w:rsidR="00F664CC" w:rsidRPr="009901A7" w:rsidRDefault="00F664CC" w:rsidP="005E4B62">
      <w:pPr>
        <w:pStyle w:val="BodyTextIndent"/>
      </w:pPr>
      <w:r w:rsidRPr="009901A7">
        <w:t>To sign up to receive email alerts when MassHealth issues new bulletins and transmittal letters, send a blank email to </w:t>
      </w:r>
      <w:hyperlink r:id="rId16" w:history="1">
        <w:r w:rsidRPr="009901A7">
          <w:rPr>
            <w:rStyle w:val="Hyperlink"/>
          </w:rPr>
          <w:t>join-masshealth-provider-pubs@listserv.state.ma.us</w:t>
        </w:r>
      </w:hyperlink>
      <w:r w:rsidRPr="009901A7">
        <w:t>. No text in the body or subject line is needed.</w:t>
      </w:r>
    </w:p>
    <w:p w14:paraId="53E39694" w14:textId="77777777" w:rsidR="00F664CC" w:rsidRDefault="00F664CC" w:rsidP="002A3A5F">
      <w:pPr>
        <w:pStyle w:val="Heading1"/>
        <w:spacing w:before="0" w:after="0"/>
      </w:pPr>
      <w:r w:rsidRPr="009901A7">
        <w:t>Questions</w:t>
      </w:r>
    </w:p>
    <w:p w14:paraId="5D148228" w14:textId="77777777" w:rsidR="002A3A5F" w:rsidRPr="00A90899" w:rsidRDefault="002A3A5F" w:rsidP="00A90899"/>
    <w:p w14:paraId="76D222ED" w14:textId="77777777" w:rsidR="006E4E4F" w:rsidRDefault="006E4E4F" w:rsidP="002A3A5F">
      <w:pPr>
        <w:pStyle w:val="Heading1"/>
        <w:spacing w:before="0" w:after="0"/>
        <w:rPr>
          <w:b w:val="0"/>
          <w:color w:val="auto"/>
          <w:sz w:val="22"/>
          <w:szCs w:val="22"/>
        </w:rPr>
      </w:pPr>
      <w:r w:rsidRPr="006E4E4F">
        <w:rPr>
          <w:b w:val="0"/>
          <w:color w:val="auto"/>
          <w:sz w:val="22"/>
          <w:szCs w:val="22"/>
        </w:rPr>
        <w:t xml:space="preserve">If you have any questions about the information in this bulletin, please contact the Long Term Services and Supports (LTSS) Provider Service Center.  </w:t>
      </w:r>
    </w:p>
    <w:p w14:paraId="7692DB99" w14:textId="77777777" w:rsidR="002A3A5F" w:rsidRPr="00A90899" w:rsidRDefault="002A3A5F" w:rsidP="00A90899">
      <w:pPr>
        <w:rPr>
          <w:b/>
        </w:rPr>
      </w:pPr>
    </w:p>
    <w:p w14:paraId="7AFF865F" w14:textId="77777777" w:rsidR="006E4E4F" w:rsidRDefault="006E4E4F" w:rsidP="002A3A5F">
      <w:pPr>
        <w:pStyle w:val="Heading1"/>
        <w:spacing w:before="0" w:after="0"/>
        <w:rPr>
          <w:b w:val="0"/>
          <w:color w:val="auto"/>
          <w:sz w:val="22"/>
          <w:szCs w:val="22"/>
        </w:rPr>
      </w:pPr>
      <w:r w:rsidRPr="006E4E4F">
        <w:rPr>
          <w:b w:val="0"/>
          <w:color w:val="auto"/>
          <w:sz w:val="22"/>
          <w:szCs w:val="22"/>
        </w:rPr>
        <w:t>Phone:  Toll free (844</w:t>
      </w:r>
      <w:r w:rsidR="002A3A5F">
        <w:rPr>
          <w:b w:val="0"/>
          <w:color w:val="auto"/>
          <w:sz w:val="22"/>
          <w:szCs w:val="22"/>
        </w:rPr>
        <w:t xml:space="preserve">) </w:t>
      </w:r>
      <w:r w:rsidRPr="006E4E4F">
        <w:rPr>
          <w:b w:val="0"/>
          <w:color w:val="auto"/>
          <w:sz w:val="22"/>
          <w:szCs w:val="22"/>
        </w:rPr>
        <w:t xml:space="preserve">368-5184 </w:t>
      </w:r>
    </w:p>
    <w:p w14:paraId="37D2EC37" w14:textId="77777777" w:rsidR="002A3A5F" w:rsidRPr="00A90899" w:rsidRDefault="002A3A5F" w:rsidP="00A90899">
      <w:pPr>
        <w:rPr>
          <w:b/>
        </w:rPr>
      </w:pPr>
    </w:p>
    <w:p w14:paraId="31BCBDA4" w14:textId="77777777" w:rsidR="002A3A5F" w:rsidRDefault="002A3A5F" w:rsidP="002A3A5F">
      <w:pPr>
        <w:ind w:firstLine="360"/>
        <w:rPr>
          <w:rFonts w:ascii="Georgia" w:hAnsi="Georgia"/>
          <w:sz w:val="22"/>
          <w:szCs w:val="22"/>
        </w:rPr>
      </w:pPr>
      <w:r w:rsidRPr="00A90899">
        <w:rPr>
          <w:rFonts w:ascii="Georgia" w:hAnsi="Georgia"/>
          <w:sz w:val="22"/>
          <w:szCs w:val="22"/>
        </w:rPr>
        <w:t xml:space="preserve">Fax: (888) 832-3006 </w:t>
      </w:r>
    </w:p>
    <w:p w14:paraId="30C4173E" w14:textId="77777777" w:rsidR="002A3A5F" w:rsidRPr="002A3A5F" w:rsidRDefault="002A3A5F" w:rsidP="00A90899">
      <w:pPr>
        <w:ind w:firstLine="360"/>
        <w:rPr>
          <w:b/>
          <w:sz w:val="22"/>
          <w:szCs w:val="22"/>
        </w:rPr>
      </w:pPr>
    </w:p>
    <w:p w14:paraId="6DBC771E" w14:textId="77777777" w:rsidR="006E4E4F" w:rsidRDefault="006E4E4F" w:rsidP="002A3A5F">
      <w:pPr>
        <w:pStyle w:val="Heading1"/>
        <w:spacing w:before="0" w:after="0"/>
        <w:rPr>
          <w:b w:val="0"/>
          <w:color w:val="auto"/>
          <w:sz w:val="22"/>
          <w:szCs w:val="22"/>
        </w:rPr>
      </w:pPr>
      <w:r w:rsidRPr="006E4E4F">
        <w:rPr>
          <w:b w:val="0"/>
          <w:color w:val="auto"/>
          <w:sz w:val="22"/>
          <w:szCs w:val="22"/>
        </w:rPr>
        <w:t xml:space="preserve">Email: support@masshealthltss.com  </w:t>
      </w:r>
    </w:p>
    <w:p w14:paraId="7232B2AE" w14:textId="77777777" w:rsidR="002A3A5F" w:rsidRPr="00A90899" w:rsidRDefault="002A3A5F" w:rsidP="00A90899">
      <w:pPr>
        <w:rPr>
          <w:b/>
        </w:rPr>
      </w:pPr>
    </w:p>
    <w:p w14:paraId="1DFDB5EC" w14:textId="77777777" w:rsidR="006E4E4F" w:rsidRDefault="006E4E4F" w:rsidP="002A3A5F">
      <w:pPr>
        <w:pStyle w:val="Heading1"/>
        <w:spacing w:before="0" w:after="0"/>
        <w:rPr>
          <w:b w:val="0"/>
          <w:color w:val="auto"/>
          <w:sz w:val="22"/>
          <w:szCs w:val="22"/>
        </w:rPr>
      </w:pPr>
      <w:r w:rsidRPr="006E4E4F">
        <w:rPr>
          <w:b w:val="0"/>
          <w:color w:val="auto"/>
          <w:sz w:val="22"/>
          <w:szCs w:val="22"/>
        </w:rPr>
        <w:t xml:space="preserve">Portal: www.MassHealthLTSS.com  </w:t>
      </w:r>
    </w:p>
    <w:p w14:paraId="2938EA30" w14:textId="77777777" w:rsidR="002A3A5F" w:rsidRPr="00A90899" w:rsidRDefault="002A3A5F" w:rsidP="00A90899">
      <w:pPr>
        <w:rPr>
          <w:b/>
        </w:rPr>
      </w:pPr>
    </w:p>
    <w:p w14:paraId="077D09E9" w14:textId="77777777" w:rsidR="002A3A5F" w:rsidRDefault="006E4E4F" w:rsidP="00A90899">
      <w:pPr>
        <w:pStyle w:val="Heading1"/>
        <w:spacing w:before="0" w:after="0"/>
        <w:rPr>
          <w:b w:val="0"/>
          <w:color w:val="auto"/>
          <w:sz w:val="22"/>
          <w:szCs w:val="22"/>
        </w:rPr>
      </w:pPr>
      <w:r w:rsidRPr="006E4E4F">
        <w:rPr>
          <w:b w:val="0"/>
          <w:color w:val="auto"/>
          <w:sz w:val="22"/>
          <w:szCs w:val="22"/>
        </w:rPr>
        <w:t xml:space="preserve">Mail: MassHealth LTSS   </w:t>
      </w:r>
    </w:p>
    <w:p w14:paraId="62F1D448" w14:textId="77777777" w:rsidR="002A3A5F" w:rsidRDefault="006E4E4F" w:rsidP="00A90899">
      <w:pPr>
        <w:pStyle w:val="Heading1"/>
        <w:spacing w:before="0" w:after="0"/>
        <w:rPr>
          <w:b w:val="0"/>
          <w:color w:val="auto"/>
          <w:sz w:val="22"/>
          <w:szCs w:val="22"/>
        </w:rPr>
      </w:pPr>
      <w:r w:rsidRPr="006E4E4F">
        <w:rPr>
          <w:b w:val="0"/>
          <w:color w:val="auto"/>
          <w:sz w:val="22"/>
          <w:szCs w:val="22"/>
        </w:rPr>
        <w:t xml:space="preserve">PO Box 159108    </w:t>
      </w:r>
    </w:p>
    <w:p w14:paraId="7269C78A" w14:textId="77777777" w:rsidR="006E4E4F" w:rsidRPr="006E4E4F" w:rsidRDefault="006E4E4F" w:rsidP="00A90899">
      <w:pPr>
        <w:pStyle w:val="Heading1"/>
        <w:spacing w:before="0" w:after="0"/>
        <w:rPr>
          <w:b w:val="0"/>
          <w:color w:val="auto"/>
          <w:sz w:val="22"/>
          <w:szCs w:val="22"/>
        </w:rPr>
      </w:pPr>
      <w:r w:rsidRPr="006E4E4F">
        <w:rPr>
          <w:b w:val="0"/>
          <w:color w:val="auto"/>
          <w:sz w:val="22"/>
          <w:szCs w:val="22"/>
        </w:rPr>
        <w:t xml:space="preserve">Boston, MA  02215 </w:t>
      </w:r>
    </w:p>
    <w:sectPr w:rsidR="006E4E4F" w:rsidRPr="006E4E4F"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96548" w14:textId="77777777" w:rsidR="006958DA" w:rsidRDefault="006958DA" w:rsidP="00CC1E11">
      <w:r>
        <w:separator/>
      </w:r>
    </w:p>
  </w:endnote>
  <w:endnote w:type="continuationSeparator" w:id="0">
    <w:p w14:paraId="2255EEC5" w14:textId="77777777" w:rsidR="006958DA" w:rsidRDefault="006958DA"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BD741" w14:textId="77777777" w:rsidR="00CC1E11" w:rsidRPr="00437A81" w:rsidRDefault="00CC1E11" w:rsidP="00CC1E11">
    <w:pPr>
      <w:jc w:val="right"/>
      <w:rPr>
        <w:rFonts w:ascii="Bookman Old Style" w:hAnsi="Bookman Old Style"/>
        <w:bCs/>
        <w:iCs/>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r w:rsidR="00437A81">
      <w:rPr>
        <w:rStyle w:val="Hyperlink"/>
        <w:rFonts w:ascii="Bookman Old Style" w:hAnsi="Bookman Old Style"/>
        <w:bCs/>
        <w:iCs/>
        <w:u w:val="non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18AD7" w14:textId="77777777" w:rsidR="006958DA" w:rsidRDefault="006958DA" w:rsidP="00CC1E11">
      <w:r>
        <w:separator/>
      </w:r>
    </w:p>
  </w:footnote>
  <w:footnote w:type="continuationSeparator" w:id="0">
    <w:p w14:paraId="1B8D4FF9" w14:textId="77777777" w:rsidR="006958DA" w:rsidRDefault="006958DA"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73933" w14:textId="77777777" w:rsidR="00521DCB" w:rsidRDefault="00C51C0E" w:rsidP="00521DCB">
    <w:pPr>
      <w:pStyle w:val="BullsHeading"/>
    </w:pPr>
    <w:r>
      <w:t>Durable Medical Equipment</w:t>
    </w:r>
  </w:p>
  <w:p w14:paraId="7B7A24D4" w14:textId="76CAAA1C" w:rsidR="00521DCB" w:rsidRPr="00150BCC" w:rsidRDefault="00521DCB" w:rsidP="00521DCB">
    <w:pPr>
      <w:pStyle w:val="BullsHeading"/>
    </w:pPr>
    <w:r>
      <w:t xml:space="preserve">  </w:t>
    </w:r>
    <w:r w:rsidR="00C51C0E">
      <w:t xml:space="preserve"> </w:t>
    </w:r>
    <w:r>
      <w:t>Provider Bulletin</w:t>
    </w:r>
    <w:r w:rsidR="00A878D8">
      <w:t xml:space="preserve"> 24</w:t>
    </w:r>
  </w:p>
  <w:p w14:paraId="17E3C7EA" w14:textId="5A751F7C" w:rsidR="00521DCB" w:rsidRPr="00150BCC" w:rsidRDefault="00DB6562" w:rsidP="00521DCB">
    <w:pPr>
      <w:pStyle w:val="BullsHeading"/>
    </w:pPr>
    <w:r>
      <w:t xml:space="preserve">November </w:t>
    </w:r>
    <w:r w:rsidR="00521DCB">
      <w:t>2020</w:t>
    </w:r>
  </w:p>
  <w:p w14:paraId="187908E5"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C05EF9">
      <w:rPr>
        <w:noProof/>
      </w:rPr>
      <w:t>2</w:t>
    </w:r>
    <w:r>
      <w:fldChar w:fldCharType="end"/>
    </w:r>
    <w:r>
      <w:t xml:space="preserve"> of </w:t>
    </w:r>
    <w:fldSimple w:instr=" NUMPAGES  \* Arabic  \* MERGEFORMAT ">
      <w:r w:rsidR="00C05EF9">
        <w:rPr>
          <w:noProof/>
        </w:rPr>
        <w:t>2</w:t>
      </w:r>
    </w:fldSimple>
  </w:p>
  <w:p w14:paraId="7656E519"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380F"/>
    <w:rsid w:val="000049D1"/>
    <w:rsid w:val="000633D0"/>
    <w:rsid w:val="000D3DB5"/>
    <w:rsid w:val="00146444"/>
    <w:rsid w:val="00150BCC"/>
    <w:rsid w:val="002252F6"/>
    <w:rsid w:val="00267CCE"/>
    <w:rsid w:val="002A3A5F"/>
    <w:rsid w:val="002C5089"/>
    <w:rsid w:val="002F2993"/>
    <w:rsid w:val="003306BA"/>
    <w:rsid w:val="003A7588"/>
    <w:rsid w:val="003C2B8B"/>
    <w:rsid w:val="003D094F"/>
    <w:rsid w:val="003D735F"/>
    <w:rsid w:val="00417854"/>
    <w:rsid w:val="00437A81"/>
    <w:rsid w:val="004A7718"/>
    <w:rsid w:val="004F4B9A"/>
    <w:rsid w:val="005068BD"/>
    <w:rsid w:val="00507CFF"/>
    <w:rsid w:val="00521DCB"/>
    <w:rsid w:val="005E4B62"/>
    <w:rsid w:val="005F2B69"/>
    <w:rsid w:val="006958DA"/>
    <w:rsid w:val="006C70F9"/>
    <w:rsid w:val="006D0235"/>
    <w:rsid w:val="006D3F15"/>
    <w:rsid w:val="006E4E4F"/>
    <w:rsid w:val="00706438"/>
    <w:rsid w:val="00744DBF"/>
    <w:rsid w:val="00763C6B"/>
    <w:rsid w:val="00777A22"/>
    <w:rsid w:val="008206B7"/>
    <w:rsid w:val="00863041"/>
    <w:rsid w:val="008B6E51"/>
    <w:rsid w:val="00914588"/>
    <w:rsid w:val="00982839"/>
    <w:rsid w:val="00A772C1"/>
    <w:rsid w:val="00A878D8"/>
    <w:rsid w:val="00A90899"/>
    <w:rsid w:val="00A95FC1"/>
    <w:rsid w:val="00AD0CB2"/>
    <w:rsid w:val="00AD0D31"/>
    <w:rsid w:val="00AD204A"/>
    <w:rsid w:val="00AD6899"/>
    <w:rsid w:val="00B73653"/>
    <w:rsid w:val="00B821BC"/>
    <w:rsid w:val="00BC3755"/>
    <w:rsid w:val="00BD2DAF"/>
    <w:rsid w:val="00BF0D93"/>
    <w:rsid w:val="00C024A2"/>
    <w:rsid w:val="00C05EF9"/>
    <w:rsid w:val="00C51C0E"/>
    <w:rsid w:val="00CA7F82"/>
    <w:rsid w:val="00CB1766"/>
    <w:rsid w:val="00CC1E11"/>
    <w:rsid w:val="00D51CED"/>
    <w:rsid w:val="00DB6562"/>
    <w:rsid w:val="00EB3B4F"/>
    <w:rsid w:val="00EB5BC9"/>
    <w:rsid w:val="00ED497C"/>
    <w:rsid w:val="00F017F8"/>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F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UnresolvedMention1">
    <w:name w:val="Unresolved Mention1"/>
    <w:basedOn w:val="DefaultParagraphFont"/>
    <w:uiPriority w:val="99"/>
    <w:semiHidden/>
    <w:unhideWhenUsed/>
    <w:rsid w:val="00437A81"/>
    <w:rPr>
      <w:color w:val="605E5C"/>
      <w:shd w:val="clear" w:color="auto" w:fill="E1DFDD"/>
    </w:rPr>
  </w:style>
  <w:style w:type="character" w:styleId="CommentReference">
    <w:name w:val="annotation reference"/>
    <w:basedOn w:val="DefaultParagraphFont"/>
    <w:uiPriority w:val="99"/>
    <w:semiHidden/>
    <w:unhideWhenUsed/>
    <w:rsid w:val="006D0235"/>
    <w:rPr>
      <w:sz w:val="16"/>
      <w:szCs w:val="16"/>
    </w:rPr>
  </w:style>
  <w:style w:type="paragraph" w:styleId="CommentText">
    <w:name w:val="annotation text"/>
    <w:basedOn w:val="Normal"/>
    <w:link w:val="CommentTextChar"/>
    <w:uiPriority w:val="99"/>
    <w:semiHidden/>
    <w:unhideWhenUsed/>
    <w:rsid w:val="006D0235"/>
  </w:style>
  <w:style w:type="character" w:customStyle="1" w:styleId="CommentTextChar">
    <w:name w:val="Comment Text Char"/>
    <w:basedOn w:val="DefaultParagraphFont"/>
    <w:link w:val="CommentText"/>
    <w:uiPriority w:val="99"/>
    <w:semiHidden/>
    <w:rsid w:val="006D02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0235"/>
    <w:rPr>
      <w:b/>
      <w:bCs/>
    </w:rPr>
  </w:style>
  <w:style w:type="character" w:customStyle="1" w:styleId="CommentSubjectChar">
    <w:name w:val="Comment Subject Char"/>
    <w:basedOn w:val="CommentTextChar"/>
    <w:link w:val="CommentSubject"/>
    <w:uiPriority w:val="99"/>
    <w:semiHidden/>
    <w:rsid w:val="006D0235"/>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BF0D93"/>
    <w:rPr>
      <w:color w:val="605E5C"/>
      <w:shd w:val="clear" w:color="auto" w:fill="E1DFDD"/>
    </w:rPr>
  </w:style>
  <w:style w:type="character" w:styleId="FollowedHyperlink">
    <w:name w:val="FollowedHyperlink"/>
    <w:basedOn w:val="DefaultParagraphFont"/>
    <w:uiPriority w:val="99"/>
    <w:semiHidden/>
    <w:unhideWhenUsed/>
    <w:qFormat/>
    <w:rsid w:val="00CB17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UnresolvedMention1">
    <w:name w:val="Unresolved Mention1"/>
    <w:basedOn w:val="DefaultParagraphFont"/>
    <w:uiPriority w:val="99"/>
    <w:semiHidden/>
    <w:unhideWhenUsed/>
    <w:rsid w:val="00437A81"/>
    <w:rPr>
      <w:color w:val="605E5C"/>
      <w:shd w:val="clear" w:color="auto" w:fill="E1DFDD"/>
    </w:rPr>
  </w:style>
  <w:style w:type="character" w:styleId="CommentReference">
    <w:name w:val="annotation reference"/>
    <w:basedOn w:val="DefaultParagraphFont"/>
    <w:uiPriority w:val="99"/>
    <w:semiHidden/>
    <w:unhideWhenUsed/>
    <w:rsid w:val="006D0235"/>
    <w:rPr>
      <w:sz w:val="16"/>
      <w:szCs w:val="16"/>
    </w:rPr>
  </w:style>
  <w:style w:type="paragraph" w:styleId="CommentText">
    <w:name w:val="annotation text"/>
    <w:basedOn w:val="Normal"/>
    <w:link w:val="CommentTextChar"/>
    <w:uiPriority w:val="99"/>
    <w:semiHidden/>
    <w:unhideWhenUsed/>
    <w:rsid w:val="006D0235"/>
  </w:style>
  <w:style w:type="character" w:customStyle="1" w:styleId="CommentTextChar">
    <w:name w:val="Comment Text Char"/>
    <w:basedOn w:val="DefaultParagraphFont"/>
    <w:link w:val="CommentText"/>
    <w:uiPriority w:val="99"/>
    <w:semiHidden/>
    <w:rsid w:val="006D02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0235"/>
    <w:rPr>
      <w:b/>
      <w:bCs/>
    </w:rPr>
  </w:style>
  <w:style w:type="character" w:customStyle="1" w:styleId="CommentSubjectChar">
    <w:name w:val="Comment Subject Char"/>
    <w:basedOn w:val="CommentTextChar"/>
    <w:link w:val="CommentSubject"/>
    <w:uiPriority w:val="99"/>
    <w:semiHidden/>
    <w:rsid w:val="006D0235"/>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BF0D93"/>
    <w:rPr>
      <w:color w:val="605E5C"/>
      <w:shd w:val="clear" w:color="auto" w:fill="E1DFDD"/>
    </w:rPr>
  </w:style>
  <w:style w:type="character" w:styleId="FollowedHyperlink">
    <w:name w:val="FollowedHyperlink"/>
    <w:basedOn w:val="DefaultParagraphFont"/>
    <w:uiPriority w:val="99"/>
    <w:semiHidden/>
    <w:unhideWhenUsed/>
    <w:qFormat/>
    <w:rsid w:val="00CB17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service-details/masshealth-payment-and-coverage-guideline-too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in-masshealth-provider-pubs@listserv.state.ma.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ass.gov/masshealth-provider-bulletins"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doc/temporary-replacement-equipment-form-0/downloa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A766-91D6-45C6-96FE-CC9ED19B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2020-11-25T20:24:00Z</cp:lastPrinted>
  <dcterms:created xsi:type="dcterms:W3CDTF">2020-12-01T13:25:00Z</dcterms:created>
  <dcterms:modified xsi:type="dcterms:W3CDTF">2020-12-01T13:25:00Z</dcterms:modified>
</cp:coreProperties>
</file>