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FD49D8"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66805E66" w:rsidR="00F664CC" w:rsidRDefault="00E42635" w:rsidP="00E42635">
      <w:pPr>
        <w:pStyle w:val="Heading1"/>
        <w:ind w:left="5310" w:hanging="270"/>
      </w:pPr>
      <w:r>
        <w:t>Durable Medical Equipment Provider</w:t>
      </w:r>
      <w:r w:rsidR="00F664CC" w:rsidRPr="005B27F1">
        <w:t xml:space="preserve"> </w:t>
      </w:r>
      <w:r>
        <w:t xml:space="preserve">  </w:t>
      </w:r>
      <w:r w:rsidR="00F664CC" w:rsidRPr="005B27F1">
        <w:t xml:space="preserve">Bulletin </w:t>
      </w:r>
      <w:r w:rsidR="00605FA0">
        <w:t>28</w:t>
      </w:r>
    </w:p>
    <w:p w14:paraId="260BC1D0" w14:textId="59B5B599" w:rsidR="00E42635" w:rsidRPr="00E42635" w:rsidRDefault="00E42635" w:rsidP="00E42635">
      <w:pPr>
        <w:pStyle w:val="BullsHeading"/>
        <w:ind w:left="5310" w:hanging="270"/>
      </w:pPr>
      <w:r>
        <w:t xml:space="preserve">Oxygen and Respiratory Therapy Equipment Providers Bulletin </w:t>
      </w:r>
      <w:r w:rsidR="00605FA0">
        <w:t>22</w:t>
      </w:r>
    </w:p>
    <w:p w14:paraId="75D236DE" w14:textId="012E943C" w:rsidR="00F664CC" w:rsidRPr="00150BCC" w:rsidRDefault="00605FA0" w:rsidP="00150BCC">
      <w:pPr>
        <w:pStyle w:val="BullsHeading"/>
      </w:pPr>
      <w:r>
        <w:t>September</w:t>
      </w:r>
      <w:r w:rsidR="00E42635">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30AED83" w:rsidR="00F664CC" w:rsidRPr="00F664CC" w:rsidRDefault="00F664CC" w:rsidP="004674B4">
      <w:pPr>
        <w:ind w:left="1440" w:hanging="1080"/>
      </w:pPr>
      <w:r w:rsidRPr="00F664CC">
        <w:rPr>
          <w:b/>
        </w:rPr>
        <w:lastRenderedPageBreak/>
        <w:t>TO</w:t>
      </w:r>
      <w:r w:rsidRPr="00F664CC">
        <w:t>:</w:t>
      </w:r>
      <w:r>
        <w:tab/>
      </w:r>
      <w:r w:rsidR="00E42635">
        <w:t xml:space="preserve">Durable Medical Equipment </w:t>
      </w:r>
      <w:r w:rsidR="004674B4">
        <w:t xml:space="preserve">and Oxygen and Respiratory Therapy Equipment </w:t>
      </w:r>
      <w:r w:rsidR="00E42635">
        <w:t>Providers</w:t>
      </w:r>
      <w:r w:rsidRPr="00F664CC">
        <w:t xml:space="preserve"> Participating in MassHealth</w:t>
      </w:r>
    </w:p>
    <w:p w14:paraId="0B653655" w14:textId="04BC4ABD" w:rsidR="00F664CC" w:rsidRPr="00F664CC" w:rsidRDefault="00F664CC" w:rsidP="00511543">
      <w:pPr>
        <w:ind w:left="1440" w:hanging="1080"/>
      </w:pPr>
      <w:r w:rsidRPr="00F664CC">
        <w:rPr>
          <w:b/>
        </w:rPr>
        <w:t>FROM</w:t>
      </w:r>
      <w:r w:rsidRPr="00F664CC">
        <w:t>:</w:t>
      </w:r>
      <w:r>
        <w:tab/>
      </w:r>
      <w:r w:rsidR="00700F64">
        <w:t>Amanda Cassel Kraft</w:t>
      </w:r>
      <w:r w:rsidR="00AA6085">
        <w:t xml:space="preserve">, </w:t>
      </w:r>
      <w:r w:rsidR="004674B4">
        <w:t xml:space="preserve">Acting </w:t>
      </w:r>
      <w:r w:rsidR="00AA6085">
        <w:t>Assistant Secretary for MassHealth</w:t>
      </w:r>
      <w:r w:rsidR="00511543">
        <w:t xml:space="preserve"> [signature of Amanda Cassel Kraft]</w:t>
      </w:r>
    </w:p>
    <w:p w14:paraId="44E21639" w14:textId="2B82D0D1" w:rsidR="00F664CC" w:rsidRPr="00F664CC" w:rsidRDefault="00F664CC" w:rsidP="004674B4">
      <w:pPr>
        <w:pStyle w:val="SubjectLine"/>
        <w:ind w:left="1440" w:hanging="1080"/>
      </w:pPr>
      <w:r w:rsidRPr="00F664CC">
        <w:t>RE:</w:t>
      </w:r>
      <w:r w:rsidR="00BD2DAF">
        <w:tab/>
      </w:r>
      <w:r w:rsidR="009F2FA3" w:rsidRPr="009F2FA3">
        <w:t>Adoption of Premium Performance Specifications for Absorbent Products</w:t>
      </w:r>
      <w:r w:rsidR="004674B4">
        <w:t xml:space="preserve"> and </w:t>
      </w:r>
      <w:r w:rsidR="009F2FA3" w:rsidRPr="009F2FA3">
        <w:t>Update for Absorbent Products Prior Authorization Process</w:t>
      </w:r>
    </w:p>
    <w:p w14:paraId="307B7425" w14:textId="0C1BFAB3" w:rsidR="00F664CC" w:rsidRPr="005B27F1" w:rsidRDefault="00377F3E" w:rsidP="00E27CD8">
      <w:pPr>
        <w:pStyle w:val="Heading2"/>
      </w:pPr>
      <w:r>
        <w:t>Introduction</w:t>
      </w:r>
      <w:r w:rsidR="001554E7" w:rsidRPr="005B27F1">
        <w:t xml:space="preserve"> </w:t>
      </w:r>
    </w:p>
    <w:p w14:paraId="72021F8F" w14:textId="5143B6D9" w:rsidR="00377F3E" w:rsidRPr="00377F3E" w:rsidRDefault="00377F3E" w:rsidP="00377F3E">
      <w:pPr>
        <w:pStyle w:val="Heading3"/>
        <w:tabs>
          <w:tab w:val="center" w:pos="5083"/>
        </w:tabs>
        <w:spacing w:before="120" w:after="100"/>
        <w:rPr>
          <w:b w:val="0"/>
        </w:rPr>
      </w:pPr>
      <w:r w:rsidRPr="00377F3E">
        <w:rPr>
          <w:b w:val="0"/>
        </w:rPr>
        <w:t xml:space="preserve">This bulletin provides information </w:t>
      </w:r>
      <w:r w:rsidR="004674B4">
        <w:rPr>
          <w:b w:val="0"/>
        </w:rPr>
        <w:t>about</w:t>
      </w:r>
      <w:r w:rsidR="004674B4" w:rsidRPr="00377F3E">
        <w:rPr>
          <w:b w:val="0"/>
        </w:rPr>
        <w:t xml:space="preserve"> </w:t>
      </w:r>
      <w:r w:rsidRPr="00377F3E">
        <w:rPr>
          <w:b w:val="0"/>
        </w:rPr>
        <w:t xml:space="preserve">MassHealth’s policy for absorbent products.  MassHealth has a preferred supplier agreement with Geriatric Medical and Surgical Supply Inc., effective since January 1, 2018. MassHealth providers are not required to utilize the preferred supplier. However, MassHealth DME providers are required to furnish products to MassHealth </w:t>
      </w:r>
      <w:r w:rsidR="004674B4">
        <w:rPr>
          <w:b w:val="0"/>
        </w:rPr>
        <w:t>m</w:t>
      </w:r>
      <w:r w:rsidRPr="00377F3E">
        <w:rPr>
          <w:b w:val="0"/>
        </w:rPr>
        <w:t>embers of equivalent or better quality than those offered by the preferred supplier. Under its publicly procured contract, MassHealth established quality requirements based on those of the National Association for Continence (NAFC).</w:t>
      </w:r>
    </w:p>
    <w:p w14:paraId="5681AD2E" w14:textId="62E486B8" w:rsidR="00377F3E" w:rsidRPr="00377F3E" w:rsidRDefault="00377F3E" w:rsidP="00377F3E">
      <w:pPr>
        <w:pStyle w:val="Heading3"/>
        <w:tabs>
          <w:tab w:val="center" w:pos="5083"/>
        </w:tabs>
        <w:spacing w:before="120" w:after="100"/>
        <w:rPr>
          <w:b w:val="0"/>
        </w:rPr>
      </w:pPr>
      <w:r w:rsidRPr="00377F3E">
        <w:rPr>
          <w:b w:val="0"/>
        </w:rPr>
        <w:t>This bulletin reiterates the minimum quality requirements for Standard Performance products adopted in 2018; announces the implementation of minimum quality requirements for Premium Performance products for certain codes; and outlines process enhancements to reduce administrative burden and streamlines the Pri</w:t>
      </w:r>
      <w:r w:rsidR="000A7F09">
        <w:rPr>
          <w:b w:val="0"/>
        </w:rPr>
        <w:t xml:space="preserve">or Authorization (PA) process. </w:t>
      </w:r>
      <w:r w:rsidRPr="00377F3E">
        <w:rPr>
          <w:b w:val="0"/>
        </w:rPr>
        <w:t xml:space="preserve">The Premium Performance products </w:t>
      </w:r>
      <w:r w:rsidR="00A57814">
        <w:rPr>
          <w:b w:val="0"/>
        </w:rPr>
        <w:t xml:space="preserve">requirements </w:t>
      </w:r>
      <w:r w:rsidRPr="00377F3E">
        <w:rPr>
          <w:b w:val="0"/>
        </w:rPr>
        <w:t xml:space="preserve">are effective for dates of service on or after </w:t>
      </w:r>
      <w:r w:rsidR="00BB3D0E">
        <w:rPr>
          <w:b w:val="0"/>
        </w:rPr>
        <w:t>September 23</w:t>
      </w:r>
      <w:r w:rsidRPr="00377F3E">
        <w:rPr>
          <w:b w:val="0"/>
        </w:rPr>
        <w:t xml:space="preserve">, 2021.  </w:t>
      </w:r>
    </w:p>
    <w:p w14:paraId="01748E9F" w14:textId="322DEE11" w:rsidR="00377F3E" w:rsidRDefault="00377F3E" w:rsidP="00377F3E">
      <w:pPr>
        <w:pStyle w:val="Heading3"/>
        <w:tabs>
          <w:tab w:val="center" w:pos="5083"/>
        </w:tabs>
        <w:spacing w:before="120" w:after="100"/>
        <w:rPr>
          <w:b w:val="0"/>
        </w:rPr>
      </w:pPr>
      <w:r w:rsidRPr="00377F3E">
        <w:rPr>
          <w:b w:val="0"/>
        </w:rPr>
        <w:t xml:space="preserve">EOHHS has also issued </w:t>
      </w:r>
      <w:r w:rsidRPr="003602D0">
        <w:rPr>
          <w:b w:val="0"/>
        </w:rPr>
        <w:t>Administrative Bulletin 21-</w:t>
      </w:r>
      <w:r w:rsidR="00605FA0">
        <w:rPr>
          <w:b w:val="0"/>
        </w:rPr>
        <w:t>23</w:t>
      </w:r>
      <w:r w:rsidRPr="00377F3E">
        <w:rPr>
          <w:b w:val="0"/>
        </w:rPr>
        <w:t xml:space="preserve"> (AB) with the payment rates for three new Premium Performance Products code/modifier combinations and updated the MassHealth Durable Medical Equipment and Oxygen Payment and Coverage Guideline Tool (Tool). The links for the AB and Tool are within and at the end of this bulletin. </w:t>
      </w:r>
    </w:p>
    <w:p w14:paraId="6DC39BE9" w14:textId="204FC78D" w:rsidR="00F664CC" w:rsidRPr="005B27F1" w:rsidRDefault="00E42635" w:rsidP="00377F3E">
      <w:pPr>
        <w:pStyle w:val="Heading3"/>
        <w:tabs>
          <w:tab w:val="center" w:pos="5083"/>
        </w:tabs>
      </w:pPr>
      <w:r w:rsidRPr="00E42635">
        <w:t>Product Specifications for Certain Absorbent Products</w:t>
      </w:r>
      <w:r w:rsidR="00F60574">
        <w:tab/>
      </w:r>
    </w:p>
    <w:p w14:paraId="41C67817" w14:textId="2624770C" w:rsidR="00E42635" w:rsidRDefault="00E42635" w:rsidP="00E42635">
      <w:pPr>
        <w:pStyle w:val="Heading4"/>
      </w:pPr>
      <w:r>
        <w:t xml:space="preserve">Standard Performance Product Specifications </w:t>
      </w:r>
    </w:p>
    <w:p w14:paraId="75F9DF51" w14:textId="41FA2917" w:rsidR="00E42635" w:rsidRDefault="00E42635" w:rsidP="00E42635">
      <w:r>
        <w:t>DME Administrative Bulletin 18-15 for Standard Performance Covered Products includes the codes, code descriptions</w:t>
      </w:r>
      <w:r w:rsidR="004674B4">
        <w:t>,</w:t>
      </w:r>
      <w:r>
        <w:t xml:space="preserve"> and rates for Standard Performance Products</w:t>
      </w:r>
      <w:r w:rsidR="004B324D">
        <w:t>, and can be found at</w:t>
      </w:r>
      <w:r w:rsidR="005B4E4E">
        <w:t xml:space="preserve"> </w:t>
      </w:r>
      <w:hyperlink r:id="rId11" w:history="1">
        <w:r w:rsidR="004B324D" w:rsidRPr="00697116">
          <w:rPr>
            <w:rStyle w:val="Hyperlink"/>
          </w:rPr>
          <w:t>www.mass.gov/regulations/101-CMR-32200-durable-medical-equipment-oxygen-and-respiratory-therapy-equipment</w:t>
        </w:r>
      </w:hyperlink>
      <w:r w:rsidR="004B324D">
        <w:t xml:space="preserve">. </w:t>
      </w:r>
    </w:p>
    <w:p w14:paraId="784C4A66" w14:textId="4B26A08B" w:rsidR="00E42635" w:rsidRDefault="00A57814" w:rsidP="00E42635">
      <w:r>
        <w:lastRenderedPageBreak/>
        <w:t xml:space="preserve">Since 2018, </w:t>
      </w:r>
      <w:r w:rsidR="00E42635">
        <w:t xml:space="preserve">MassHealth </w:t>
      </w:r>
      <w:r>
        <w:t xml:space="preserve">has </w:t>
      </w:r>
      <w:r w:rsidR="00E42635">
        <w:t>require</w:t>
      </w:r>
      <w:r>
        <w:t>d</w:t>
      </w:r>
      <w:r w:rsidR="00E42635">
        <w:t xml:space="preserve"> DME providers to ensure certain absorbent products (briefs/</w:t>
      </w:r>
      <w:r w:rsidR="00C14DA9">
        <w:t xml:space="preserve">diapers) </w:t>
      </w:r>
      <w:r w:rsidR="00A762FB">
        <w:t>—</w:t>
      </w:r>
      <w:r w:rsidR="00C14DA9">
        <w:t xml:space="preserve"> </w:t>
      </w:r>
      <w:r w:rsidR="00E42635">
        <w:t xml:space="preserve">those corresponding to HCPCS codes T4521, </w:t>
      </w:r>
      <w:r w:rsidR="00E42635" w:rsidRPr="00A57814">
        <w:t>T4522, T4523, T4524</w:t>
      </w:r>
      <w:r w:rsidR="00E42635">
        <w:t>, T4533, T4543, and T4543</w:t>
      </w:r>
      <w:r w:rsidR="00A762FB">
        <w:t xml:space="preserve"> </w:t>
      </w:r>
      <w:r w:rsidR="00E42635">
        <w:t>UD</w:t>
      </w:r>
      <w:r w:rsidR="00A762FB">
        <w:t xml:space="preserve"> —</w:t>
      </w:r>
      <w:r w:rsidR="00E42635">
        <w:t xml:space="preserve"> comply with standards adopted by the NAFC and meet the minimum product specifications for Standard Performance Products</w:t>
      </w:r>
      <w:r w:rsidR="00C73682">
        <w:t xml:space="preserve">. </w:t>
      </w:r>
      <w:r>
        <w:t xml:space="preserve">Effective for dates of service on or after </w:t>
      </w:r>
      <w:r w:rsidR="00BB3D0E">
        <w:t>September 23</w:t>
      </w:r>
      <w:r>
        <w:t xml:space="preserve">, 2021, </w:t>
      </w:r>
      <w:r w:rsidR="000C5FCB">
        <w:t xml:space="preserve">the minimum product specifications below for Standard Performance Products will </w:t>
      </w:r>
      <w:r w:rsidR="009660E2">
        <w:t xml:space="preserve">continue to </w:t>
      </w:r>
      <w:r w:rsidR="000C5FCB">
        <w:t xml:space="preserve">apply to three </w:t>
      </w:r>
      <w:r>
        <w:t>products corresponding to codes</w:t>
      </w:r>
      <w:r w:rsidRPr="00A57814">
        <w:t xml:space="preserve"> </w:t>
      </w:r>
      <w:r w:rsidRPr="00C73682">
        <w:t>T4522</w:t>
      </w:r>
      <w:r w:rsidRPr="00A57814">
        <w:t xml:space="preserve">, </w:t>
      </w:r>
      <w:r w:rsidRPr="00C73682">
        <w:t>T4523</w:t>
      </w:r>
      <w:r w:rsidRPr="00A57814">
        <w:t xml:space="preserve">, </w:t>
      </w:r>
      <w:r w:rsidR="00C73682">
        <w:t xml:space="preserve">and </w:t>
      </w:r>
      <w:r w:rsidRPr="00C73682">
        <w:t>T4524</w:t>
      </w:r>
      <w:r w:rsidR="00E42635">
        <w:t xml:space="preserve">: </w:t>
      </w:r>
    </w:p>
    <w:p w14:paraId="21CF17ED" w14:textId="266B52E9" w:rsidR="00E42635" w:rsidRDefault="00E42635" w:rsidP="000A7F09">
      <w:pPr>
        <w:spacing w:before="0" w:after="120" w:afterAutospacing="0"/>
        <w:ind w:firstLine="360"/>
      </w:pPr>
      <w:r>
        <w:t>a. No plastic (non-breathable) backed products</w:t>
      </w:r>
    </w:p>
    <w:p w14:paraId="20D5B617" w14:textId="51533322" w:rsidR="00E42635" w:rsidRDefault="00E42635" w:rsidP="000A7F09">
      <w:pPr>
        <w:spacing w:before="0" w:after="120" w:afterAutospacing="0"/>
        <w:ind w:firstLine="360"/>
      </w:pPr>
      <w:r>
        <w:t>b. Rewet rate of &lt;2.0 g</w:t>
      </w:r>
    </w:p>
    <w:p w14:paraId="41B765C6" w14:textId="50BBD7D0" w:rsidR="00E42635" w:rsidRDefault="00E42635" w:rsidP="000A7F09">
      <w:pPr>
        <w:spacing w:before="0" w:after="120" w:afterAutospacing="0"/>
        <w:ind w:firstLine="360"/>
      </w:pPr>
      <w:r>
        <w:t>c. Rate of Acquisition (ROA) of &lt;60 seconds</w:t>
      </w:r>
    </w:p>
    <w:p w14:paraId="33C83978" w14:textId="3462E36F" w:rsidR="00E42635" w:rsidRDefault="00E42635" w:rsidP="000A7F09">
      <w:pPr>
        <w:spacing w:before="0" w:after="120" w:afterAutospacing="0"/>
        <w:ind w:firstLine="360"/>
      </w:pPr>
      <w:r>
        <w:t>d. Retention capacity of &gt;250 g</w:t>
      </w:r>
    </w:p>
    <w:p w14:paraId="23517096" w14:textId="1246777E" w:rsidR="00E42635" w:rsidRDefault="00E42635" w:rsidP="000A7F09">
      <w:pPr>
        <w:spacing w:before="0" w:after="120" w:afterAutospacing="0"/>
        <w:ind w:firstLine="360"/>
      </w:pPr>
      <w:r>
        <w:t>e. Presence of breathable zones with a minimum value of &gt;100 cubic feet per minute (cfm)</w:t>
      </w:r>
    </w:p>
    <w:p w14:paraId="1AFA7CC0" w14:textId="7E587A40" w:rsidR="00E42635" w:rsidRDefault="00E42635" w:rsidP="000A7F09">
      <w:pPr>
        <w:spacing w:before="0" w:after="120" w:afterAutospacing="0"/>
        <w:ind w:firstLine="360"/>
      </w:pPr>
      <w:r>
        <w:t>f. Presence of a closure system which allows for multiple fastening and unfastening occurrences</w:t>
      </w:r>
    </w:p>
    <w:p w14:paraId="54CB11C9" w14:textId="77177DB9" w:rsidR="00F664CC" w:rsidRDefault="00E42635" w:rsidP="00E42635">
      <w:r>
        <w:t>Providers who choose a supplier other than MassHealth’s preferred supplier must be able to demonstrate that their products meet the required minimum Standard Performance requirements for the specified codes.</w:t>
      </w:r>
    </w:p>
    <w:p w14:paraId="458456B8" w14:textId="1361C381" w:rsidR="000C5FCB" w:rsidRDefault="000C5FCB" w:rsidP="00E42635">
      <w:r w:rsidRPr="00EE7773">
        <w:t xml:space="preserve">Effective for dates of service on or after </w:t>
      </w:r>
      <w:r w:rsidR="00605FA0">
        <w:t>September 23</w:t>
      </w:r>
      <w:r w:rsidRPr="00EE7773">
        <w:t>, 2021, products for existing codes T4521, T4533, T4543, and T4543-UD</w:t>
      </w:r>
      <w:r w:rsidRPr="002035AD">
        <w:t xml:space="preserve"> must </w:t>
      </w:r>
      <w:r w:rsidRPr="00921682">
        <w:t>meet</w:t>
      </w:r>
      <w:r w:rsidRPr="009660E2">
        <w:t xml:space="preserve"> </w:t>
      </w:r>
      <w:r w:rsidRPr="005F4953">
        <w:t xml:space="preserve">the Premium Performance quality requirements described </w:t>
      </w:r>
      <w:r w:rsidR="00EE7773">
        <w:t>in the next section</w:t>
      </w:r>
      <w:r>
        <w:t>.</w:t>
      </w:r>
    </w:p>
    <w:p w14:paraId="0D763260" w14:textId="6E251C22" w:rsidR="00F664CC" w:rsidRPr="005B27F1" w:rsidRDefault="00EF166D" w:rsidP="00E27CD8">
      <w:pPr>
        <w:pStyle w:val="Heading4"/>
      </w:pPr>
      <w:r w:rsidRPr="00EF166D">
        <w:t xml:space="preserve">Premium Performance Product Specifications  </w:t>
      </w:r>
      <w:r w:rsidR="001554E7" w:rsidRPr="005B27F1">
        <w:t xml:space="preserve"> </w:t>
      </w:r>
    </w:p>
    <w:p w14:paraId="6688A27D" w14:textId="734C978E" w:rsidR="00EF166D" w:rsidRDefault="00EF166D" w:rsidP="00EF166D">
      <w:r>
        <w:t xml:space="preserve">Effective for dates of service on or after </w:t>
      </w:r>
      <w:r w:rsidR="00605FA0">
        <w:t>September 23</w:t>
      </w:r>
      <w:r>
        <w:t xml:space="preserve">, 2021, for members for whom Standard Performance briefs/diapers have not met their medical needs, MassHealth is adopting Premium Performance standards for briefs/diapers. Premium Performance briefs/diapers are subject to </w:t>
      </w:r>
      <w:r w:rsidR="004B324D">
        <w:t>prior authorization (</w:t>
      </w:r>
      <w:r>
        <w:t>PA</w:t>
      </w:r>
      <w:r w:rsidR="004B324D">
        <w:t>)</w:t>
      </w:r>
      <w:r>
        <w:t xml:space="preserve">, as discussed in the following section. Premium Performance products should be considered for </w:t>
      </w:r>
      <w:r w:rsidR="004B324D">
        <w:t>m</w:t>
      </w:r>
      <w:r>
        <w:t>embers in circumstances including, but not limited to:</w:t>
      </w:r>
    </w:p>
    <w:p w14:paraId="3D3C3680" w14:textId="53B514D1" w:rsidR="00EF166D" w:rsidRDefault="004B324D" w:rsidP="00EF166D">
      <w:pPr>
        <w:pStyle w:val="ListParagraph"/>
        <w:numPr>
          <w:ilvl w:val="0"/>
          <w:numId w:val="11"/>
        </w:numPr>
      </w:pPr>
      <w:r>
        <w:t>m</w:t>
      </w:r>
      <w:r w:rsidR="00EF166D">
        <w:t>ember</w:t>
      </w:r>
      <w:r w:rsidR="005B4E4E">
        <w:t>s</w:t>
      </w:r>
      <w:r w:rsidR="00EF166D">
        <w:t xml:space="preserve"> </w:t>
      </w:r>
      <w:r w:rsidR="005B4E4E">
        <w:t xml:space="preserve">who have </w:t>
      </w:r>
      <w:r w:rsidR="00EF166D">
        <w:t>used a Standard Performance brief/diaper and reports frequent urine or fecal leakage</w:t>
      </w:r>
      <w:r>
        <w:t>;</w:t>
      </w:r>
      <w:r w:rsidR="00EF166D">
        <w:t xml:space="preserve"> or</w:t>
      </w:r>
    </w:p>
    <w:p w14:paraId="525128FF" w14:textId="7E1CF495" w:rsidR="00EF166D" w:rsidRDefault="004B324D" w:rsidP="00EF166D">
      <w:pPr>
        <w:pStyle w:val="ListParagraph"/>
        <w:numPr>
          <w:ilvl w:val="0"/>
          <w:numId w:val="11"/>
        </w:numPr>
      </w:pPr>
      <w:r>
        <w:t>m</w:t>
      </w:r>
      <w:r w:rsidR="00EF166D">
        <w:t>ember</w:t>
      </w:r>
      <w:r w:rsidR="005B4E4E">
        <w:t>s</w:t>
      </w:r>
      <w:r w:rsidR="00EF166D">
        <w:t xml:space="preserve"> </w:t>
      </w:r>
      <w:r w:rsidR="005B4E4E">
        <w:t xml:space="preserve">accessing </w:t>
      </w:r>
      <w:r w:rsidR="00EF166D">
        <w:t xml:space="preserve">the community frequently </w:t>
      </w:r>
      <w:r w:rsidR="005B4E4E">
        <w:t xml:space="preserve">and who require </w:t>
      </w:r>
      <w:r w:rsidR="00EF166D">
        <w:t>a Premium Performance brief/diaper that allows for multiple wettings</w:t>
      </w:r>
      <w:r>
        <w:t>;</w:t>
      </w:r>
      <w:r w:rsidR="00EF166D">
        <w:t xml:space="preserve"> or</w:t>
      </w:r>
    </w:p>
    <w:p w14:paraId="47EF2BF1" w14:textId="30B8F791" w:rsidR="00EF166D" w:rsidRDefault="004B324D" w:rsidP="00EF166D">
      <w:pPr>
        <w:pStyle w:val="ListParagraph"/>
        <w:numPr>
          <w:ilvl w:val="0"/>
          <w:numId w:val="11"/>
        </w:numPr>
      </w:pPr>
      <w:r>
        <w:t>m</w:t>
      </w:r>
      <w:r w:rsidR="00EF166D">
        <w:t>ember</w:t>
      </w:r>
      <w:r w:rsidR="005B4E4E">
        <w:t>s</w:t>
      </w:r>
      <w:r w:rsidR="00EF166D">
        <w:t xml:space="preserve"> at risk </w:t>
      </w:r>
      <w:r w:rsidR="005B4E4E">
        <w:t xml:space="preserve">for </w:t>
      </w:r>
      <w:r w:rsidR="00EF166D">
        <w:t xml:space="preserve">or </w:t>
      </w:r>
      <w:r w:rsidR="005B4E4E">
        <w:t xml:space="preserve">with </w:t>
      </w:r>
      <w:r w:rsidR="00EF166D">
        <w:t>a history of skin breakdown.</w:t>
      </w:r>
    </w:p>
    <w:p w14:paraId="289A82E0" w14:textId="77777777" w:rsidR="00C73682" w:rsidRDefault="00C73682" w:rsidP="00EF166D">
      <w:pPr>
        <w:sectPr w:rsidR="00C73682"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75A1A1" w14:textId="75F13C9A" w:rsidR="007E2474" w:rsidRDefault="00EF166D" w:rsidP="00EF166D">
      <w:r>
        <w:lastRenderedPageBreak/>
        <w:t xml:space="preserve">MassHealth DME providers must ensure that briefs/diapers for HCPCS codes T4521, T4522-U6, T4523-U6, T4524-U6, T4533, T4543, and T4543-UD comply with the quality standards </w:t>
      </w:r>
      <w:r w:rsidR="005B4E4E">
        <w:t xml:space="preserve">and product specifications </w:t>
      </w:r>
      <w:r>
        <w:t>for Premium Performance products adopted and periodically updated by NAFC:</w:t>
      </w:r>
      <w:r w:rsidR="007E2474">
        <w:br w:type="page"/>
      </w:r>
    </w:p>
    <w:p w14:paraId="64C67899" w14:textId="01E81218" w:rsidR="00EF166D" w:rsidRDefault="00EF166D" w:rsidP="000A7F09">
      <w:pPr>
        <w:spacing w:before="0" w:after="120" w:afterAutospacing="0"/>
        <w:ind w:firstLine="360"/>
      </w:pPr>
      <w:r>
        <w:lastRenderedPageBreak/>
        <w:t>a. No plastic (non-breathable backed products)</w:t>
      </w:r>
    </w:p>
    <w:p w14:paraId="2D0D80FE" w14:textId="1D1EF3D0" w:rsidR="00EF166D" w:rsidRDefault="00EF166D" w:rsidP="000A7F09">
      <w:pPr>
        <w:spacing w:before="0" w:after="120" w:afterAutospacing="0"/>
        <w:ind w:firstLine="360"/>
      </w:pPr>
      <w:r>
        <w:t>b. Rewet rate of &lt; 1.0 g</w:t>
      </w:r>
    </w:p>
    <w:p w14:paraId="7A1A49F7" w14:textId="455DF351" w:rsidR="00EF166D" w:rsidRDefault="00EF166D" w:rsidP="000A7F09">
      <w:pPr>
        <w:spacing w:before="0" w:after="120" w:afterAutospacing="0"/>
        <w:ind w:firstLine="360"/>
      </w:pPr>
      <w:r>
        <w:t>c. Rate of Acquisition (ROA) of &lt;50 seconds</w:t>
      </w:r>
    </w:p>
    <w:p w14:paraId="5D9483B0" w14:textId="7864810E" w:rsidR="00EF166D" w:rsidRDefault="00EF166D" w:rsidP="000A7F09">
      <w:pPr>
        <w:spacing w:before="0" w:after="120" w:afterAutospacing="0"/>
        <w:ind w:firstLine="360"/>
      </w:pPr>
      <w:r>
        <w:t>d. Retention Capacity of &gt; 400 g</w:t>
      </w:r>
    </w:p>
    <w:p w14:paraId="258CD3A0" w14:textId="7C0ADC20" w:rsidR="00EF166D" w:rsidRDefault="00EF166D" w:rsidP="000A7F09">
      <w:pPr>
        <w:spacing w:before="0" w:after="120" w:afterAutospacing="0"/>
        <w:ind w:firstLine="360"/>
      </w:pPr>
      <w:r>
        <w:t>e. Presence of breathable zones with a minimum value of &gt;100 cubic feet per minute (cfm)</w:t>
      </w:r>
    </w:p>
    <w:p w14:paraId="4D741BF7" w14:textId="2356DFA4" w:rsidR="00EF166D" w:rsidRDefault="00EF166D" w:rsidP="00EF166D">
      <w:pPr>
        <w:ind w:firstLine="360"/>
      </w:pPr>
      <w:r>
        <w:t>f. Presence of a closure system which allows for multiple fastening and unfastening occurrences</w:t>
      </w:r>
    </w:p>
    <w:p w14:paraId="3F1FAF09" w14:textId="396ABEE0" w:rsidR="00EF166D" w:rsidRDefault="00EF166D" w:rsidP="00EF166D">
      <w:r>
        <w:t>The MassHealth Preferred Supplier already provides products that meet the minimum quality requirements for Premium Performance products for HCPCS codes T4521, T4533, T4543</w:t>
      </w:r>
      <w:r w:rsidR="004B324D">
        <w:t>,</w:t>
      </w:r>
      <w:r>
        <w:t xml:space="preserve"> and T4543-UD. Pricing for these codes will remain as listed in Administrative Bulletin 18-15. </w:t>
      </w:r>
    </w:p>
    <w:p w14:paraId="2D1AA90A" w14:textId="244D917B" w:rsidR="00EF166D" w:rsidRDefault="00EF166D" w:rsidP="00EF166D">
      <w:r>
        <w:t xml:space="preserve">Providers who choose a supplier other than MassHealth’s preferred supplier must be able to demonstrate that their products corresponding to codes T4521, T4522-U6, T4523-U6, T4524-U6, T4533, T4543, and T4543-UD meet the required minimum Premium Performance requirements for the specified codes. </w:t>
      </w:r>
    </w:p>
    <w:p w14:paraId="0A7BB163" w14:textId="78F1BD3F" w:rsidR="00CB51BB" w:rsidRDefault="00CB51BB" w:rsidP="00CB51BB">
      <w:r>
        <w:t>Table 1, below, summarizes these updates:</w:t>
      </w:r>
    </w:p>
    <w:tbl>
      <w:tblPr>
        <w:tblStyle w:val="TableGrid"/>
        <w:tblW w:w="0" w:type="auto"/>
        <w:tblInd w:w="607" w:type="dxa"/>
        <w:tblLook w:val="04A0" w:firstRow="1" w:lastRow="0" w:firstColumn="1" w:lastColumn="0" w:noHBand="0" w:noVBand="1"/>
      </w:tblPr>
      <w:tblGrid>
        <w:gridCol w:w="3116"/>
        <w:gridCol w:w="3117"/>
        <w:gridCol w:w="3117"/>
      </w:tblGrid>
      <w:tr w:rsidR="00CB51BB" w:rsidRPr="00EE7773" w14:paraId="4038B977" w14:textId="77777777" w:rsidTr="00DE5E9C">
        <w:tc>
          <w:tcPr>
            <w:tcW w:w="3116" w:type="dxa"/>
          </w:tcPr>
          <w:p w14:paraId="4650D29F" w14:textId="2C15719B" w:rsidR="00CB51BB" w:rsidRPr="00EE7773" w:rsidRDefault="00CB51BB" w:rsidP="00BB3D0E">
            <w:pPr>
              <w:spacing w:before="0" w:after="0" w:afterAutospacing="0"/>
              <w:ind w:left="0"/>
              <w:jc w:val="center"/>
              <w:rPr>
                <w:rFonts w:eastAsia="Calibri"/>
                <w:b/>
                <w:bCs/>
              </w:rPr>
            </w:pPr>
            <w:r w:rsidRPr="00EE7773">
              <w:rPr>
                <w:rFonts w:eastAsia="Calibri"/>
                <w:b/>
                <w:bCs/>
              </w:rPr>
              <w:t xml:space="preserve">Products subject to Standard Performance Specifications </w:t>
            </w:r>
            <w:r w:rsidR="00510A47">
              <w:rPr>
                <w:rFonts w:eastAsia="Calibri"/>
                <w:b/>
                <w:bCs/>
              </w:rPr>
              <w:t>p</w:t>
            </w:r>
            <w:r w:rsidRPr="00EE7773">
              <w:rPr>
                <w:rFonts w:eastAsia="Calibri"/>
                <w:b/>
                <w:bCs/>
              </w:rPr>
              <w:t xml:space="preserve">rior to </w:t>
            </w:r>
            <w:r w:rsidR="00BB3D0E">
              <w:rPr>
                <w:rFonts w:eastAsia="Calibri"/>
                <w:b/>
                <w:bCs/>
              </w:rPr>
              <w:t>September 23</w:t>
            </w:r>
            <w:r w:rsidRPr="00EE7773">
              <w:rPr>
                <w:rFonts w:eastAsia="Calibri"/>
                <w:b/>
                <w:bCs/>
              </w:rPr>
              <w:t>, 2021</w:t>
            </w:r>
          </w:p>
        </w:tc>
        <w:tc>
          <w:tcPr>
            <w:tcW w:w="3117" w:type="dxa"/>
          </w:tcPr>
          <w:p w14:paraId="25ACE552" w14:textId="7B87B6AC" w:rsidR="00CB51BB" w:rsidRPr="00EE7773" w:rsidRDefault="00CB51BB" w:rsidP="00BB3D0E">
            <w:pPr>
              <w:spacing w:before="0" w:after="0" w:afterAutospacing="0"/>
              <w:ind w:left="0"/>
              <w:jc w:val="center"/>
              <w:rPr>
                <w:rFonts w:eastAsia="Calibri"/>
                <w:b/>
                <w:bCs/>
              </w:rPr>
            </w:pPr>
            <w:r w:rsidRPr="00EE7773">
              <w:rPr>
                <w:rFonts w:eastAsia="Calibri"/>
                <w:b/>
                <w:bCs/>
              </w:rPr>
              <w:t xml:space="preserve">Products subject to Standard Performance Specifications </w:t>
            </w:r>
            <w:r>
              <w:rPr>
                <w:rFonts w:eastAsia="Calibri"/>
                <w:b/>
                <w:bCs/>
              </w:rPr>
              <w:t>e</w:t>
            </w:r>
            <w:r w:rsidRPr="00EE7773">
              <w:rPr>
                <w:rFonts w:eastAsia="Calibri"/>
                <w:b/>
                <w:bCs/>
              </w:rPr>
              <w:t xml:space="preserve">ffective </w:t>
            </w:r>
            <w:r w:rsidR="00BB3D0E">
              <w:rPr>
                <w:rFonts w:eastAsia="Calibri"/>
                <w:b/>
                <w:bCs/>
              </w:rPr>
              <w:t>September 23</w:t>
            </w:r>
            <w:r w:rsidRPr="00EE7773">
              <w:rPr>
                <w:rFonts w:eastAsia="Calibri"/>
                <w:b/>
                <w:bCs/>
              </w:rPr>
              <w:t>, 2021</w:t>
            </w:r>
          </w:p>
        </w:tc>
        <w:tc>
          <w:tcPr>
            <w:tcW w:w="3117" w:type="dxa"/>
          </w:tcPr>
          <w:p w14:paraId="74E6402B" w14:textId="12891EDC" w:rsidR="00CB51BB" w:rsidRPr="00EE7773" w:rsidRDefault="00CB51BB" w:rsidP="00BB3D0E">
            <w:pPr>
              <w:spacing w:before="0" w:after="0" w:afterAutospacing="0"/>
              <w:ind w:left="0"/>
              <w:jc w:val="center"/>
              <w:rPr>
                <w:rFonts w:eastAsia="Calibri"/>
                <w:b/>
                <w:bCs/>
              </w:rPr>
            </w:pPr>
            <w:r w:rsidRPr="00EE7773">
              <w:rPr>
                <w:rFonts w:eastAsia="Calibri"/>
                <w:b/>
                <w:bCs/>
              </w:rPr>
              <w:t xml:space="preserve">Products subject to Premium Performance Specifications </w:t>
            </w:r>
            <w:r>
              <w:rPr>
                <w:rFonts w:eastAsia="Calibri"/>
                <w:b/>
                <w:bCs/>
              </w:rPr>
              <w:t>e</w:t>
            </w:r>
            <w:r w:rsidRPr="00EE7773">
              <w:rPr>
                <w:rFonts w:eastAsia="Calibri"/>
                <w:b/>
                <w:bCs/>
              </w:rPr>
              <w:t xml:space="preserve">ffective </w:t>
            </w:r>
            <w:r w:rsidR="00BB3D0E">
              <w:rPr>
                <w:rFonts w:eastAsia="Calibri"/>
                <w:b/>
                <w:bCs/>
              </w:rPr>
              <w:t>September 23</w:t>
            </w:r>
            <w:r w:rsidRPr="00EE7773">
              <w:rPr>
                <w:rFonts w:eastAsia="Calibri"/>
                <w:b/>
                <w:bCs/>
              </w:rPr>
              <w:t>, 2021</w:t>
            </w:r>
          </w:p>
        </w:tc>
      </w:tr>
      <w:tr w:rsidR="00CB51BB" w:rsidRPr="00EE7773" w14:paraId="7F2CF5EF" w14:textId="77777777" w:rsidTr="00DE5E9C">
        <w:trPr>
          <w:trHeight w:val="2411"/>
        </w:trPr>
        <w:tc>
          <w:tcPr>
            <w:tcW w:w="3116" w:type="dxa"/>
          </w:tcPr>
          <w:p w14:paraId="5B2FF035" w14:textId="77777777" w:rsidR="00CB51BB" w:rsidRPr="00EE7773" w:rsidRDefault="00CB51BB" w:rsidP="00DE5E9C">
            <w:pPr>
              <w:spacing w:before="0" w:after="0" w:afterAutospacing="0"/>
              <w:ind w:left="0"/>
              <w:rPr>
                <w:rFonts w:eastAsia="Calibri"/>
              </w:rPr>
            </w:pPr>
          </w:p>
          <w:p w14:paraId="591F0342" w14:textId="77777777" w:rsidR="00CB51BB" w:rsidRPr="00EE7773" w:rsidRDefault="00CB51BB" w:rsidP="00DE5E9C">
            <w:pPr>
              <w:spacing w:before="0" w:after="0" w:afterAutospacing="0"/>
              <w:ind w:left="0"/>
              <w:jc w:val="center"/>
              <w:rPr>
                <w:rFonts w:eastAsia="Calibri"/>
              </w:rPr>
            </w:pPr>
            <w:r w:rsidRPr="00EE7773">
              <w:rPr>
                <w:rFonts w:eastAsia="Calibri"/>
              </w:rPr>
              <w:t>T4521</w:t>
            </w:r>
          </w:p>
          <w:p w14:paraId="15CCEB4C" w14:textId="77777777" w:rsidR="00CB51BB" w:rsidRPr="00EE7773" w:rsidRDefault="00CB51BB" w:rsidP="00DE5E9C">
            <w:pPr>
              <w:spacing w:before="0" w:after="0" w:afterAutospacing="0"/>
              <w:ind w:left="0"/>
              <w:jc w:val="center"/>
              <w:rPr>
                <w:rFonts w:eastAsia="Calibri"/>
              </w:rPr>
            </w:pPr>
            <w:r w:rsidRPr="00EE7773">
              <w:rPr>
                <w:rFonts w:eastAsia="Calibri"/>
              </w:rPr>
              <w:t>T4522</w:t>
            </w:r>
          </w:p>
          <w:p w14:paraId="716B80CC" w14:textId="77777777" w:rsidR="00CB51BB" w:rsidRPr="00EE7773" w:rsidRDefault="00CB51BB" w:rsidP="00DE5E9C">
            <w:pPr>
              <w:spacing w:before="0" w:after="0" w:afterAutospacing="0"/>
              <w:ind w:left="0"/>
              <w:jc w:val="center"/>
              <w:rPr>
                <w:rFonts w:eastAsia="Calibri"/>
              </w:rPr>
            </w:pPr>
            <w:r w:rsidRPr="00EE7773">
              <w:rPr>
                <w:rFonts w:eastAsia="Calibri"/>
              </w:rPr>
              <w:t>T4523</w:t>
            </w:r>
          </w:p>
          <w:p w14:paraId="4439092C" w14:textId="77777777" w:rsidR="00CB51BB" w:rsidRPr="00EE7773" w:rsidRDefault="00CB51BB" w:rsidP="00DE5E9C">
            <w:pPr>
              <w:spacing w:before="0" w:after="0" w:afterAutospacing="0"/>
              <w:ind w:left="0"/>
              <w:jc w:val="center"/>
              <w:rPr>
                <w:rFonts w:eastAsia="Calibri"/>
              </w:rPr>
            </w:pPr>
            <w:r w:rsidRPr="00EE7773">
              <w:rPr>
                <w:rFonts w:eastAsia="Calibri"/>
              </w:rPr>
              <w:t>T4524</w:t>
            </w:r>
          </w:p>
          <w:p w14:paraId="5B21A896" w14:textId="77777777" w:rsidR="00CB51BB" w:rsidRPr="00EE7773" w:rsidRDefault="00CB51BB" w:rsidP="00DE5E9C">
            <w:pPr>
              <w:spacing w:before="0" w:after="0" w:afterAutospacing="0"/>
              <w:ind w:left="0"/>
              <w:jc w:val="center"/>
              <w:rPr>
                <w:rFonts w:eastAsia="Calibri"/>
              </w:rPr>
            </w:pPr>
            <w:r w:rsidRPr="00EE7773">
              <w:rPr>
                <w:rFonts w:eastAsia="Calibri"/>
              </w:rPr>
              <w:t>T4533</w:t>
            </w:r>
          </w:p>
          <w:p w14:paraId="354D66E6" w14:textId="77777777" w:rsidR="00CB51BB" w:rsidRPr="00EE7773" w:rsidRDefault="00CB51BB" w:rsidP="00DE5E9C">
            <w:pPr>
              <w:spacing w:before="0" w:after="0" w:afterAutospacing="0"/>
              <w:ind w:left="0"/>
              <w:jc w:val="center"/>
              <w:rPr>
                <w:rFonts w:eastAsia="Calibri"/>
              </w:rPr>
            </w:pPr>
            <w:r w:rsidRPr="00EE7773">
              <w:rPr>
                <w:rFonts w:eastAsia="Calibri"/>
              </w:rPr>
              <w:t>T4543</w:t>
            </w:r>
          </w:p>
          <w:p w14:paraId="75714850" w14:textId="77777777" w:rsidR="00CB51BB" w:rsidRPr="00EE7773" w:rsidRDefault="00CB51BB" w:rsidP="00DE5E9C">
            <w:pPr>
              <w:spacing w:before="0" w:after="0" w:afterAutospacing="0"/>
              <w:ind w:left="0"/>
              <w:jc w:val="center"/>
              <w:rPr>
                <w:rFonts w:eastAsia="Calibri"/>
              </w:rPr>
            </w:pPr>
            <w:r w:rsidRPr="00EE7773">
              <w:rPr>
                <w:rFonts w:eastAsia="Calibri"/>
              </w:rPr>
              <w:t>T4543-UD</w:t>
            </w:r>
          </w:p>
        </w:tc>
        <w:tc>
          <w:tcPr>
            <w:tcW w:w="3117" w:type="dxa"/>
          </w:tcPr>
          <w:p w14:paraId="15F01F33" w14:textId="77777777" w:rsidR="00CB51BB" w:rsidRPr="00EE7773" w:rsidRDefault="00CB51BB" w:rsidP="00DE5E9C">
            <w:pPr>
              <w:spacing w:before="0" w:after="0" w:afterAutospacing="0"/>
              <w:ind w:left="0"/>
              <w:jc w:val="center"/>
              <w:rPr>
                <w:rFonts w:eastAsia="Calibri"/>
              </w:rPr>
            </w:pPr>
          </w:p>
          <w:p w14:paraId="37E99E00" w14:textId="77777777" w:rsidR="00CB51BB" w:rsidRPr="00EE7773" w:rsidRDefault="00CB51BB" w:rsidP="00DE5E9C">
            <w:pPr>
              <w:spacing w:before="0" w:after="0" w:afterAutospacing="0"/>
              <w:ind w:left="0"/>
              <w:jc w:val="center"/>
              <w:rPr>
                <w:rFonts w:eastAsia="Calibri"/>
              </w:rPr>
            </w:pPr>
            <w:r w:rsidRPr="00EE7773">
              <w:rPr>
                <w:rFonts w:eastAsia="Calibri"/>
              </w:rPr>
              <w:t>T4522</w:t>
            </w:r>
          </w:p>
          <w:p w14:paraId="185F41DD" w14:textId="77777777" w:rsidR="00CB51BB" w:rsidRPr="00EE7773" w:rsidRDefault="00CB51BB" w:rsidP="00DE5E9C">
            <w:pPr>
              <w:spacing w:before="0" w:after="0" w:afterAutospacing="0"/>
              <w:ind w:left="0"/>
              <w:jc w:val="center"/>
              <w:rPr>
                <w:rFonts w:eastAsia="Calibri"/>
              </w:rPr>
            </w:pPr>
            <w:r w:rsidRPr="00EE7773">
              <w:rPr>
                <w:rFonts w:eastAsia="Calibri"/>
              </w:rPr>
              <w:t>T4523</w:t>
            </w:r>
          </w:p>
          <w:p w14:paraId="196E894A" w14:textId="77777777" w:rsidR="00CB51BB" w:rsidRPr="00EE7773" w:rsidRDefault="00CB51BB" w:rsidP="00DE5E9C">
            <w:pPr>
              <w:spacing w:before="0" w:after="0" w:afterAutospacing="0"/>
              <w:ind w:left="0"/>
              <w:jc w:val="center"/>
              <w:rPr>
                <w:rFonts w:eastAsia="Calibri"/>
              </w:rPr>
            </w:pPr>
            <w:r w:rsidRPr="00EE7773">
              <w:rPr>
                <w:rFonts w:eastAsia="Calibri"/>
              </w:rPr>
              <w:t>T4524</w:t>
            </w:r>
          </w:p>
        </w:tc>
        <w:tc>
          <w:tcPr>
            <w:tcW w:w="3117" w:type="dxa"/>
          </w:tcPr>
          <w:p w14:paraId="409592BB" w14:textId="77777777" w:rsidR="00CB51BB" w:rsidRPr="00EE7773" w:rsidRDefault="00CB51BB" w:rsidP="00DE5E9C">
            <w:pPr>
              <w:spacing w:before="0" w:after="0" w:afterAutospacing="0"/>
              <w:ind w:left="0"/>
              <w:rPr>
                <w:rFonts w:eastAsia="Calibri"/>
              </w:rPr>
            </w:pPr>
          </w:p>
          <w:p w14:paraId="452AE846" w14:textId="77777777" w:rsidR="00CB51BB" w:rsidRPr="00EE7773" w:rsidRDefault="00CB51BB" w:rsidP="00DE5E9C">
            <w:pPr>
              <w:spacing w:before="0" w:after="0" w:afterAutospacing="0"/>
              <w:ind w:left="0"/>
              <w:jc w:val="center"/>
              <w:rPr>
                <w:rFonts w:eastAsia="Calibri"/>
              </w:rPr>
            </w:pPr>
            <w:r w:rsidRPr="00EE7773">
              <w:rPr>
                <w:rFonts w:eastAsia="Calibri"/>
              </w:rPr>
              <w:t>T4521</w:t>
            </w:r>
          </w:p>
          <w:p w14:paraId="1A1DA531" w14:textId="77777777" w:rsidR="00CB51BB" w:rsidRPr="00EE7773" w:rsidRDefault="00CB51BB" w:rsidP="00DE5E9C">
            <w:pPr>
              <w:spacing w:before="0" w:after="0" w:afterAutospacing="0"/>
              <w:ind w:left="0"/>
              <w:jc w:val="center"/>
              <w:rPr>
                <w:rFonts w:eastAsia="Calibri"/>
              </w:rPr>
            </w:pPr>
            <w:r w:rsidRPr="00EE7773">
              <w:rPr>
                <w:rFonts w:eastAsia="Calibri"/>
              </w:rPr>
              <w:t>T4522-U6</w:t>
            </w:r>
          </w:p>
          <w:p w14:paraId="7E570185" w14:textId="77777777" w:rsidR="00CB51BB" w:rsidRPr="00EE7773" w:rsidRDefault="00CB51BB" w:rsidP="00DE5E9C">
            <w:pPr>
              <w:spacing w:before="0" w:after="0" w:afterAutospacing="0"/>
              <w:ind w:left="0"/>
              <w:jc w:val="center"/>
              <w:rPr>
                <w:rFonts w:eastAsia="Calibri"/>
              </w:rPr>
            </w:pPr>
            <w:r w:rsidRPr="00EE7773">
              <w:rPr>
                <w:rFonts w:eastAsia="Calibri"/>
              </w:rPr>
              <w:t>T4523-U6</w:t>
            </w:r>
          </w:p>
          <w:p w14:paraId="6AE23869" w14:textId="77777777" w:rsidR="00CB51BB" w:rsidRPr="00EE7773" w:rsidRDefault="00CB51BB" w:rsidP="00DE5E9C">
            <w:pPr>
              <w:spacing w:before="0" w:after="0" w:afterAutospacing="0"/>
              <w:ind w:left="0"/>
              <w:jc w:val="center"/>
              <w:rPr>
                <w:rFonts w:eastAsia="Calibri"/>
              </w:rPr>
            </w:pPr>
            <w:r w:rsidRPr="00EE7773">
              <w:rPr>
                <w:rFonts w:eastAsia="Calibri"/>
              </w:rPr>
              <w:t>T4524-U6</w:t>
            </w:r>
          </w:p>
          <w:p w14:paraId="039AFFF8" w14:textId="77777777" w:rsidR="00CB51BB" w:rsidRPr="00EE7773" w:rsidRDefault="00CB51BB" w:rsidP="00DE5E9C">
            <w:pPr>
              <w:spacing w:before="0" w:after="0" w:afterAutospacing="0"/>
              <w:ind w:left="0"/>
              <w:jc w:val="center"/>
              <w:rPr>
                <w:rFonts w:eastAsia="Calibri"/>
              </w:rPr>
            </w:pPr>
            <w:r w:rsidRPr="00EE7773">
              <w:rPr>
                <w:rFonts w:eastAsia="Calibri"/>
              </w:rPr>
              <w:t>T4533</w:t>
            </w:r>
          </w:p>
          <w:p w14:paraId="6C5A8F41" w14:textId="77777777" w:rsidR="00CB51BB" w:rsidRPr="00EE7773" w:rsidRDefault="00CB51BB" w:rsidP="00DE5E9C">
            <w:pPr>
              <w:spacing w:before="0" w:after="0" w:afterAutospacing="0"/>
              <w:ind w:left="0"/>
              <w:jc w:val="center"/>
              <w:rPr>
                <w:rFonts w:eastAsia="Calibri"/>
              </w:rPr>
            </w:pPr>
            <w:r w:rsidRPr="00EE7773">
              <w:rPr>
                <w:rFonts w:eastAsia="Calibri"/>
              </w:rPr>
              <w:t>T4543</w:t>
            </w:r>
          </w:p>
          <w:p w14:paraId="6936995C" w14:textId="77777777" w:rsidR="00CB51BB" w:rsidRPr="00EE7773" w:rsidRDefault="00CB51BB" w:rsidP="00DE5E9C">
            <w:pPr>
              <w:spacing w:before="0" w:after="0" w:afterAutospacing="0"/>
              <w:ind w:left="0"/>
              <w:jc w:val="center"/>
              <w:rPr>
                <w:rFonts w:eastAsia="Calibri"/>
              </w:rPr>
            </w:pPr>
            <w:r w:rsidRPr="00EE7773">
              <w:rPr>
                <w:rFonts w:eastAsia="Calibri"/>
              </w:rPr>
              <w:t>T4543-UD</w:t>
            </w:r>
          </w:p>
          <w:p w14:paraId="6EA65C39" w14:textId="77777777" w:rsidR="00CB51BB" w:rsidRPr="00EE7773" w:rsidRDefault="00CB51BB" w:rsidP="00DE5E9C">
            <w:pPr>
              <w:spacing w:before="0" w:after="0" w:afterAutospacing="0"/>
              <w:ind w:left="0"/>
              <w:rPr>
                <w:rFonts w:eastAsia="Calibri"/>
              </w:rPr>
            </w:pPr>
          </w:p>
        </w:tc>
      </w:tr>
    </w:tbl>
    <w:p w14:paraId="3CFA7F43" w14:textId="49CCAB46" w:rsidR="00EF166D" w:rsidRDefault="00EF166D" w:rsidP="00EF166D">
      <w:pPr>
        <w:pStyle w:val="Heading4"/>
      </w:pPr>
      <w:r>
        <w:t>Codes and Payment for Premium Performance Products</w:t>
      </w:r>
    </w:p>
    <w:p w14:paraId="11906988" w14:textId="28111266" w:rsidR="00EF166D" w:rsidRDefault="000D46DC" w:rsidP="00EF166D">
      <w:r>
        <w:t>As noted above, p</w:t>
      </w:r>
      <w:r w:rsidR="00EF166D" w:rsidRPr="00600D4C">
        <w:t>ayment rates for codes</w:t>
      </w:r>
      <w:r w:rsidRPr="000D46DC">
        <w:t xml:space="preserve"> T4521, T4533, T4543, and T4543-UD</w:t>
      </w:r>
      <w:r w:rsidR="00EF166D" w:rsidRPr="00600D4C">
        <w:t xml:space="preserve"> remain as set forth in Administrative Bulletin 18-15.</w:t>
      </w:r>
    </w:p>
    <w:p w14:paraId="2202F563" w14:textId="77777777" w:rsidR="007E2474" w:rsidRDefault="007E2474" w:rsidP="00EF166D">
      <w:r>
        <w:br w:type="page"/>
      </w:r>
    </w:p>
    <w:p w14:paraId="1B7E6773" w14:textId="7E6C764A" w:rsidR="00EF166D" w:rsidRDefault="00EF166D" w:rsidP="00EF166D">
      <w:r>
        <w:lastRenderedPageBreak/>
        <w:t xml:space="preserve">Effective for dates of service on or after </w:t>
      </w:r>
      <w:r w:rsidR="00605FA0">
        <w:t>September 23</w:t>
      </w:r>
      <w:r>
        <w:t>, 2021, the Premium Performance quality requirements apply to the following new code/modifier combinations</w:t>
      </w:r>
      <w:r w:rsidR="009660E2">
        <w:t>:</w:t>
      </w:r>
    </w:p>
    <w:tbl>
      <w:tblPr>
        <w:tblStyle w:val="TableGrid"/>
        <w:tblW w:w="9365" w:type="dxa"/>
        <w:jc w:val="center"/>
        <w:tblLook w:val="04A0" w:firstRow="1" w:lastRow="0" w:firstColumn="1" w:lastColumn="0" w:noHBand="0" w:noVBand="1"/>
      </w:tblPr>
      <w:tblGrid>
        <w:gridCol w:w="1527"/>
        <w:gridCol w:w="7838"/>
      </w:tblGrid>
      <w:tr w:rsidR="00EF166D" w:rsidRPr="00EF166D" w14:paraId="6C2C5B58" w14:textId="77777777" w:rsidTr="003602D0">
        <w:trPr>
          <w:trHeight w:val="527"/>
          <w:jc w:val="center"/>
        </w:trPr>
        <w:tc>
          <w:tcPr>
            <w:tcW w:w="1527" w:type="dxa"/>
          </w:tcPr>
          <w:p w14:paraId="64CCB70B" w14:textId="77777777" w:rsidR="00EF166D" w:rsidRPr="00EF166D" w:rsidRDefault="00EF166D" w:rsidP="00DD0B1E">
            <w:pPr>
              <w:jc w:val="center"/>
            </w:pPr>
            <w:r w:rsidRPr="00EF166D">
              <w:t>T4522 -U6</w:t>
            </w:r>
          </w:p>
        </w:tc>
        <w:tc>
          <w:tcPr>
            <w:tcW w:w="7838" w:type="dxa"/>
          </w:tcPr>
          <w:p w14:paraId="1C971C7B" w14:textId="77777777" w:rsidR="00EF166D" w:rsidRPr="00EF166D" w:rsidRDefault="00EF166D" w:rsidP="00EF166D">
            <w:r w:rsidRPr="00EF166D">
              <w:t>Premium: Adult sized disposable incontinence product brief/diaper, medium, each,</w:t>
            </w:r>
          </w:p>
        </w:tc>
      </w:tr>
      <w:tr w:rsidR="00EF166D" w:rsidRPr="00EF166D" w14:paraId="2C5CEE2A" w14:textId="77777777" w:rsidTr="003602D0">
        <w:trPr>
          <w:trHeight w:val="527"/>
          <w:jc w:val="center"/>
        </w:trPr>
        <w:tc>
          <w:tcPr>
            <w:tcW w:w="1527" w:type="dxa"/>
          </w:tcPr>
          <w:p w14:paraId="7CB935CD" w14:textId="2B10F539" w:rsidR="00EF166D" w:rsidRPr="00EF166D" w:rsidRDefault="00EF166D" w:rsidP="00DD0B1E">
            <w:pPr>
              <w:jc w:val="center"/>
            </w:pPr>
            <w:r w:rsidRPr="00EF166D">
              <w:t>T4523-U6</w:t>
            </w:r>
          </w:p>
        </w:tc>
        <w:tc>
          <w:tcPr>
            <w:tcW w:w="7838" w:type="dxa"/>
          </w:tcPr>
          <w:p w14:paraId="6851FCD2" w14:textId="77777777" w:rsidR="00EF166D" w:rsidRPr="00EF166D" w:rsidRDefault="00EF166D" w:rsidP="00EF166D">
            <w:r w:rsidRPr="00EF166D">
              <w:t>Premium: Adult sized disposable incontinence product, brief/diaper, large each</w:t>
            </w:r>
          </w:p>
        </w:tc>
      </w:tr>
      <w:tr w:rsidR="00EF166D" w:rsidRPr="00EF166D" w14:paraId="2C98F79B" w14:textId="77777777" w:rsidTr="000A7F09">
        <w:trPr>
          <w:trHeight w:val="719"/>
          <w:jc w:val="center"/>
        </w:trPr>
        <w:tc>
          <w:tcPr>
            <w:tcW w:w="1527" w:type="dxa"/>
          </w:tcPr>
          <w:p w14:paraId="04298DFD" w14:textId="77777777" w:rsidR="00EF166D" w:rsidRPr="00EF166D" w:rsidRDefault="00EF166D" w:rsidP="00DD0B1E">
            <w:pPr>
              <w:jc w:val="center"/>
            </w:pPr>
            <w:r w:rsidRPr="00EF166D">
              <w:t>T4524-U6</w:t>
            </w:r>
          </w:p>
        </w:tc>
        <w:tc>
          <w:tcPr>
            <w:tcW w:w="7838" w:type="dxa"/>
          </w:tcPr>
          <w:p w14:paraId="4938D663" w14:textId="31191A41" w:rsidR="00EF166D" w:rsidRPr="00EF166D" w:rsidRDefault="00EF166D" w:rsidP="00DD0B1E">
            <w:r w:rsidRPr="00EF166D">
              <w:t>Premium:  Adult sized disposable incontinence product, brief/diaper, extra- large, each.</w:t>
            </w:r>
          </w:p>
          <w:p w14:paraId="248565A4" w14:textId="77777777" w:rsidR="00EF166D" w:rsidRPr="00EF166D" w:rsidRDefault="00EF166D" w:rsidP="00EF166D"/>
        </w:tc>
      </w:tr>
    </w:tbl>
    <w:p w14:paraId="14332959" w14:textId="4878BA3A" w:rsidR="00EF166D" w:rsidRDefault="00EF166D" w:rsidP="00EF166D">
      <w:r>
        <w:t xml:space="preserve">Payment rates for these three new code/modifier combinations are set forth in </w:t>
      </w:r>
      <w:r w:rsidRPr="003602D0">
        <w:t>Administrative Bulletin 21-</w:t>
      </w:r>
      <w:r w:rsidR="00605FA0">
        <w:t>23</w:t>
      </w:r>
      <w:r w:rsidRPr="003602D0">
        <w:t xml:space="preserve"> at </w:t>
      </w:r>
      <w:hyperlink r:id="rId12" w:history="1">
        <w:r w:rsidR="003602D0" w:rsidRPr="00B042C4">
          <w:rPr>
            <w:rStyle w:val="Hyperlink"/>
          </w:rPr>
          <w:t>www.mass.gov/lists/2021-eohhs-administrative-bulletins</w:t>
        </w:r>
      </w:hyperlink>
      <w:r w:rsidR="003602D0">
        <w:t xml:space="preserve">. </w:t>
      </w:r>
      <w:r w:rsidR="00B70715" w:rsidRPr="00B70715" w:rsidDel="00B70715">
        <w:t xml:space="preserve"> </w:t>
      </w:r>
    </w:p>
    <w:p w14:paraId="4D27F903" w14:textId="77777777" w:rsidR="003602D0" w:rsidRDefault="003602D0" w:rsidP="003602D0">
      <w:pPr>
        <w:pStyle w:val="Heading3"/>
        <w:spacing w:after="100"/>
        <w:sectPr w:rsidR="003602D0"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9C5F9D3" w14:textId="6419CF06" w:rsidR="00EF166D" w:rsidRDefault="00EF166D" w:rsidP="003602D0">
      <w:pPr>
        <w:pStyle w:val="Heading3"/>
        <w:spacing w:after="100"/>
      </w:pPr>
      <w:r>
        <w:lastRenderedPageBreak/>
        <w:t xml:space="preserve">Prior Authorization </w:t>
      </w:r>
      <w:r w:rsidR="00EE34D8">
        <w:t xml:space="preserve">(PA) </w:t>
      </w:r>
      <w:r>
        <w:t>Process</w:t>
      </w:r>
    </w:p>
    <w:p w14:paraId="0B0DD9DD" w14:textId="6B43D98E" w:rsidR="00EF166D" w:rsidRDefault="00EF166D" w:rsidP="00EF166D">
      <w:r>
        <w:t xml:space="preserve">All absorbent products require PA. </w:t>
      </w:r>
      <w:r w:rsidR="00092772">
        <w:t>PA r</w:t>
      </w:r>
      <w:r>
        <w:t>equests for absorbent products must be accompanied by clinical documentation that supports the medical necessity for the absorbent product(s) being requested and must be submitted to MassHealth in accordance with 130 CMR 409.418</w:t>
      </w:r>
      <w:r w:rsidR="007B00B0">
        <w:t xml:space="preserve">: </w:t>
      </w:r>
      <w:r w:rsidR="007B00B0" w:rsidRPr="007B00B0">
        <w:rPr>
          <w:i/>
        </w:rPr>
        <w:t>Prior Authorization</w:t>
      </w:r>
      <w:r>
        <w:t>. As part of the PA request, the DME provider must obtain a written prescription and letter of medical necessity signed by the member’s prescribing provider. The prescription and letter of medical necessity must meet the requirements at 130 CMR 409. 416</w:t>
      </w:r>
      <w:r w:rsidR="00A16219">
        <w:t xml:space="preserve">: </w:t>
      </w:r>
      <w:r w:rsidR="00A16219" w:rsidRPr="00A16219">
        <w:rPr>
          <w:i/>
        </w:rPr>
        <w:t>Prescription and Letter of Medical Necessity Requirements</w:t>
      </w:r>
      <w:r>
        <w:t>.</w:t>
      </w:r>
    </w:p>
    <w:p w14:paraId="2D6BAE55" w14:textId="24FE1EBD" w:rsidR="00EF166D" w:rsidRDefault="00EF166D" w:rsidP="00EF166D">
      <w:r>
        <w:t xml:space="preserve">Providers are strongly encouraged to submit PA requests electronically, using the MassHealth Long Term Services and Supports (LTSS) Provider Portal at </w:t>
      </w:r>
      <w:hyperlink r:id="rId13" w:history="1">
        <w:r w:rsidR="00443C6B" w:rsidRPr="00697116">
          <w:rPr>
            <w:rStyle w:val="Hyperlink"/>
          </w:rPr>
          <w:t>www.masshealthltss.com</w:t>
        </w:r>
      </w:hyperlink>
      <w:r w:rsidR="00443C6B">
        <w:t xml:space="preserve">. </w:t>
      </w:r>
      <w:r>
        <w:t xml:space="preserve"> MassHealth encourages providers to use the </w:t>
      </w:r>
      <w:hyperlink r:id="rId14" w:history="1">
        <w:r w:rsidRPr="00443C6B">
          <w:rPr>
            <w:rStyle w:val="Hyperlink"/>
            <w:i/>
          </w:rPr>
          <w:t>MassHealth Prescription and Medical Necessity Review Form for Absorbent Products</w:t>
        </w:r>
      </w:hyperlink>
      <w:r w:rsidR="00F542F6">
        <w:rPr>
          <w:i/>
        </w:rPr>
        <w:t xml:space="preserve"> </w:t>
      </w:r>
      <w:r w:rsidR="00F542F6">
        <w:t xml:space="preserve">for </w:t>
      </w:r>
      <w:r w:rsidR="000F00D4">
        <w:t xml:space="preserve">paper </w:t>
      </w:r>
      <w:r w:rsidR="00F542F6">
        <w:t>PA requests</w:t>
      </w:r>
      <w:r>
        <w:t xml:space="preserve">. Any additional clinical documentation supporting medical necessity must be submitted with the PA request. </w:t>
      </w:r>
    </w:p>
    <w:p w14:paraId="170BAB74" w14:textId="1C79EA81" w:rsidR="00EF166D" w:rsidRDefault="00CE3938" w:rsidP="00EF166D">
      <w:pPr>
        <w:pStyle w:val="Heading4"/>
      </w:pPr>
      <w:r>
        <w:t>Process Change</w:t>
      </w:r>
      <w:r w:rsidR="00EF166D">
        <w:t>: Initial PA Requests for Quantities Higher than Otherwise Applicable Limit</w:t>
      </w:r>
    </w:p>
    <w:p w14:paraId="06E64142" w14:textId="56E75F1B" w:rsidR="00EF166D" w:rsidRPr="00EF166D" w:rsidRDefault="00CE3938" w:rsidP="00CE3938">
      <w:r>
        <w:t>Ma</w:t>
      </w:r>
      <w:r w:rsidR="001D1C34">
        <w:t>ssHealth currently issues two PA</w:t>
      </w:r>
      <w:r>
        <w:t xml:space="preserve">s: one for units up to the applicable limit, and a second for the number of units above the otherwise applicable limit. </w:t>
      </w:r>
      <w:r w:rsidR="00EF166D">
        <w:t xml:space="preserve">To reduce administrative burden and cost, effective for </w:t>
      </w:r>
      <w:r>
        <w:t xml:space="preserve">new </w:t>
      </w:r>
      <w:r w:rsidR="00EF166D">
        <w:t xml:space="preserve">absorbent product </w:t>
      </w:r>
      <w:r w:rsidR="00EF166D" w:rsidRPr="003602D0">
        <w:t xml:space="preserve">PA requests submitted on or after </w:t>
      </w:r>
      <w:r w:rsidR="00605FA0">
        <w:t>September 23, 2021</w:t>
      </w:r>
      <w:r w:rsidR="00EF166D" w:rsidRPr="003602D0">
        <w:t>, MassHealth will no longer issue two PAs</w:t>
      </w:r>
      <w:r w:rsidRPr="003602D0">
        <w:t>. O</w:t>
      </w:r>
      <w:r w:rsidR="00EF166D" w:rsidRPr="003602D0">
        <w:t xml:space="preserve">n or after </w:t>
      </w:r>
      <w:r w:rsidR="00605FA0">
        <w:t>September 23, 2021</w:t>
      </w:r>
      <w:r w:rsidR="00EF166D" w:rsidRPr="003602D0">
        <w:t>, providers may file one initial PA request</w:t>
      </w:r>
      <w:r w:rsidR="00EF166D">
        <w:t xml:space="preserve"> and supporting documentation for the entire number of units being requested, including any units in excess of the otherwise applicable limit set forth on the online MassHealth Durable Medical Equipment and Oxygen Payment and Coverage</w:t>
      </w:r>
      <w:r>
        <w:t xml:space="preserve"> </w:t>
      </w:r>
      <w:r w:rsidR="00EF166D" w:rsidRPr="00EF166D">
        <w:t>Guideline Tool (Tool)</w:t>
      </w:r>
      <w:r w:rsidR="001D1C34">
        <w:t xml:space="preserve">, which can be found at </w:t>
      </w:r>
      <w:hyperlink r:id="rId15" w:anchor="masshealth-durable-medical-equipment-and-oxygen-payment-and-coverage-guideline-tool-" w:history="1">
        <w:r w:rsidR="00304632" w:rsidRPr="004F5A15">
          <w:rPr>
            <w:rStyle w:val="Hyperlink"/>
          </w:rPr>
          <w:t>www.mass.gov/info-details/masshealth-payment-and-coverage-guideline-tools#masshealth-durable-medical-equipment-and-oxygen-payment-and-coverage-guideline-tool-</w:t>
        </w:r>
      </w:hyperlink>
      <w:r w:rsidR="00304632">
        <w:t xml:space="preserve">. </w:t>
      </w:r>
      <w:r w:rsidR="00EF166D" w:rsidRPr="00EF166D">
        <w:t xml:space="preserve">MassHealth will issue only one PA for the entire number of units approved. </w:t>
      </w:r>
    </w:p>
    <w:p w14:paraId="4A624144" w14:textId="56DE5334" w:rsidR="00EF166D" w:rsidRPr="00EF166D" w:rsidRDefault="00EF166D" w:rsidP="00EF166D">
      <w:pPr>
        <w:pStyle w:val="Heading4"/>
      </w:pPr>
      <w:r w:rsidRPr="00EF166D">
        <w:lastRenderedPageBreak/>
        <w:t xml:space="preserve">Requesting an Increase in Units for Approved Product or Change of Product </w:t>
      </w:r>
      <w:r w:rsidR="00CE3938">
        <w:t>d</w:t>
      </w:r>
      <w:r w:rsidRPr="00EF166D">
        <w:t xml:space="preserve">uring an Existing PA Period </w:t>
      </w:r>
    </w:p>
    <w:p w14:paraId="366EA1B3" w14:textId="77777777" w:rsidR="00EF166D" w:rsidRPr="00EF166D" w:rsidRDefault="00EF166D" w:rsidP="00EF166D">
      <w:pPr>
        <w:pStyle w:val="Heading2"/>
        <w:rPr>
          <w:b w:val="0"/>
          <w:color w:val="auto"/>
          <w:sz w:val="22"/>
          <w:szCs w:val="22"/>
        </w:rPr>
      </w:pPr>
      <w:r w:rsidRPr="00EF166D">
        <w:rPr>
          <w:b w:val="0"/>
          <w:color w:val="auto"/>
          <w:sz w:val="22"/>
          <w:szCs w:val="22"/>
        </w:rPr>
        <w:t xml:space="preserve">The provider must submit a new PA request with updated documents that support the medical necessity of an increase in units for approved products or change of product during the time period covered by an existing PA. </w:t>
      </w:r>
    </w:p>
    <w:p w14:paraId="4D3E1B41" w14:textId="6BFFC600" w:rsidR="00EF166D" w:rsidRPr="00EF166D" w:rsidRDefault="00EF166D" w:rsidP="003602D0">
      <w:pPr>
        <w:pStyle w:val="Heading2"/>
        <w:spacing w:before="120" w:after="100"/>
        <w:rPr>
          <w:b w:val="0"/>
          <w:color w:val="auto"/>
          <w:sz w:val="22"/>
          <w:szCs w:val="22"/>
        </w:rPr>
      </w:pPr>
      <w:r w:rsidRPr="00EF166D">
        <w:rPr>
          <w:b w:val="0"/>
          <w:color w:val="auto"/>
          <w:sz w:val="22"/>
          <w:szCs w:val="22"/>
        </w:rPr>
        <w:t xml:space="preserve">MassHealth reviews requests for PA, including requests for an increase in products or a change in products, based on medical necessity. The </w:t>
      </w:r>
      <w:r w:rsidR="00CE3938">
        <w:rPr>
          <w:b w:val="0"/>
          <w:color w:val="auto"/>
          <w:sz w:val="22"/>
          <w:szCs w:val="22"/>
        </w:rPr>
        <w:t>m</w:t>
      </w:r>
      <w:r w:rsidRPr="00EF166D">
        <w:rPr>
          <w:b w:val="0"/>
          <w:color w:val="auto"/>
          <w:sz w:val="22"/>
          <w:szCs w:val="22"/>
        </w:rPr>
        <w:t xml:space="preserve">ember’s PA requests will be adjusted accordingly to </w:t>
      </w:r>
      <w:r w:rsidR="00CE3938">
        <w:rPr>
          <w:b w:val="0"/>
          <w:color w:val="auto"/>
          <w:sz w:val="22"/>
          <w:szCs w:val="22"/>
        </w:rPr>
        <w:t>ensure</w:t>
      </w:r>
      <w:r w:rsidR="00CE3938" w:rsidRPr="00EF166D">
        <w:rPr>
          <w:b w:val="0"/>
          <w:color w:val="auto"/>
          <w:sz w:val="22"/>
          <w:szCs w:val="22"/>
        </w:rPr>
        <w:t xml:space="preserve"> </w:t>
      </w:r>
      <w:r w:rsidRPr="00EF166D">
        <w:rPr>
          <w:b w:val="0"/>
          <w:color w:val="auto"/>
          <w:sz w:val="22"/>
          <w:szCs w:val="22"/>
        </w:rPr>
        <w:t xml:space="preserve">that the same HCPCS code is not active on multiple PAs.  </w:t>
      </w:r>
    </w:p>
    <w:p w14:paraId="35E3E6A8" w14:textId="77777777" w:rsidR="003602D0" w:rsidRPr="00EF166D" w:rsidRDefault="003602D0" w:rsidP="003602D0">
      <w:pPr>
        <w:pStyle w:val="Heading4"/>
      </w:pPr>
      <w:r>
        <w:t>Process Change</w:t>
      </w:r>
      <w:r w:rsidRPr="00EF166D">
        <w:t xml:space="preserve">: Requesting a Size Change </w:t>
      </w:r>
      <w:r>
        <w:t>d</w:t>
      </w:r>
      <w:r w:rsidRPr="00EF166D">
        <w:t>uring an Existing PA Period</w:t>
      </w:r>
    </w:p>
    <w:p w14:paraId="4FF26565" w14:textId="36A0EDB8" w:rsidR="00EF166D" w:rsidRPr="00EF166D" w:rsidRDefault="003602D0" w:rsidP="003602D0">
      <w:pPr>
        <w:pStyle w:val="Heading2"/>
        <w:rPr>
          <w:b w:val="0"/>
          <w:color w:val="auto"/>
          <w:sz w:val="22"/>
          <w:szCs w:val="22"/>
        </w:rPr>
      </w:pPr>
      <w:r w:rsidRPr="00EF166D">
        <w:rPr>
          <w:b w:val="0"/>
          <w:color w:val="auto"/>
          <w:sz w:val="22"/>
          <w:szCs w:val="22"/>
        </w:rPr>
        <w:t xml:space="preserve">To decrease administrative burden, MassHealth is streamlining the process for requesting approval of a change in size for a previously approved absorbent product. Effective for dates of service on or after </w:t>
      </w:r>
      <w:r w:rsidR="00BB3D0E">
        <w:rPr>
          <w:b w:val="0"/>
          <w:color w:val="auto"/>
          <w:sz w:val="22"/>
          <w:szCs w:val="22"/>
        </w:rPr>
        <w:t>September 23</w:t>
      </w:r>
      <w:r w:rsidRPr="00EF166D">
        <w:rPr>
          <w:b w:val="0"/>
          <w:color w:val="auto"/>
          <w:sz w:val="22"/>
          <w:szCs w:val="22"/>
        </w:rPr>
        <w:t>, 2021, providers must submit a new PA request for the requested</w:t>
      </w:r>
      <w:r>
        <w:rPr>
          <w:b w:val="0"/>
          <w:color w:val="auto"/>
          <w:sz w:val="22"/>
          <w:szCs w:val="22"/>
        </w:rPr>
        <w:t xml:space="preserve"> </w:t>
      </w:r>
      <w:r w:rsidR="00EF166D" w:rsidRPr="00EF166D">
        <w:rPr>
          <w:b w:val="0"/>
          <w:color w:val="auto"/>
          <w:sz w:val="22"/>
          <w:szCs w:val="22"/>
        </w:rPr>
        <w:t xml:space="preserve">size change. Where medical necessity has been established for absorbents on the existing PA, additional documents will not be required for a change in size within the same product category.  </w:t>
      </w:r>
    </w:p>
    <w:p w14:paraId="603545B7" w14:textId="77777777" w:rsidR="003602D0" w:rsidRDefault="003602D0" w:rsidP="003602D0">
      <w:pPr>
        <w:pStyle w:val="Heading2"/>
        <w:spacing w:before="120" w:after="100"/>
        <w:rPr>
          <w:b w:val="0"/>
          <w:color w:val="auto"/>
          <w:sz w:val="22"/>
          <w:szCs w:val="22"/>
        </w:rPr>
        <w:sectPr w:rsidR="003602D0"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128C210" w14:textId="25F26C66" w:rsidR="00EF166D" w:rsidRPr="00EF166D" w:rsidRDefault="00CE27C6" w:rsidP="003602D0">
      <w:pPr>
        <w:pStyle w:val="Heading2"/>
        <w:spacing w:before="120" w:after="100"/>
        <w:rPr>
          <w:b w:val="0"/>
          <w:color w:val="auto"/>
          <w:sz w:val="22"/>
          <w:szCs w:val="22"/>
        </w:rPr>
      </w:pPr>
      <w:r>
        <w:rPr>
          <w:b w:val="0"/>
          <w:color w:val="auto"/>
          <w:sz w:val="22"/>
          <w:szCs w:val="22"/>
        </w:rPr>
        <w:lastRenderedPageBreak/>
        <w:t>T</w:t>
      </w:r>
      <w:r w:rsidR="00EF166D" w:rsidRPr="00EF166D">
        <w:rPr>
          <w:b w:val="0"/>
          <w:color w:val="auto"/>
          <w:sz w:val="22"/>
          <w:szCs w:val="22"/>
        </w:rPr>
        <w:t>o request a change in size</w:t>
      </w:r>
      <w:r>
        <w:rPr>
          <w:b w:val="0"/>
          <w:color w:val="auto"/>
          <w:sz w:val="22"/>
          <w:szCs w:val="22"/>
        </w:rPr>
        <w:t>, providers should f</w:t>
      </w:r>
      <w:r w:rsidR="00EF166D" w:rsidRPr="00EF166D">
        <w:rPr>
          <w:b w:val="0"/>
          <w:color w:val="auto"/>
          <w:sz w:val="22"/>
          <w:szCs w:val="22"/>
        </w:rPr>
        <w:t xml:space="preserve">ile a new PA request </w:t>
      </w:r>
      <w:r>
        <w:rPr>
          <w:b w:val="0"/>
          <w:color w:val="auto"/>
          <w:sz w:val="22"/>
          <w:szCs w:val="22"/>
        </w:rPr>
        <w:t xml:space="preserve">and </w:t>
      </w:r>
      <w:r w:rsidRPr="00EF166D">
        <w:rPr>
          <w:b w:val="0"/>
          <w:color w:val="auto"/>
          <w:sz w:val="22"/>
          <w:szCs w:val="22"/>
        </w:rPr>
        <w:t>provid</w:t>
      </w:r>
      <w:r>
        <w:rPr>
          <w:b w:val="0"/>
          <w:color w:val="auto"/>
          <w:sz w:val="22"/>
          <w:szCs w:val="22"/>
        </w:rPr>
        <w:t>e</w:t>
      </w:r>
      <w:r w:rsidRPr="00EF166D">
        <w:rPr>
          <w:b w:val="0"/>
          <w:color w:val="auto"/>
          <w:sz w:val="22"/>
          <w:szCs w:val="22"/>
        </w:rPr>
        <w:t xml:space="preserve"> </w:t>
      </w:r>
      <w:r w:rsidR="00EF166D" w:rsidRPr="00EF166D">
        <w:rPr>
          <w:b w:val="0"/>
          <w:color w:val="auto"/>
          <w:sz w:val="22"/>
          <w:szCs w:val="22"/>
        </w:rPr>
        <w:t>the following information in the external text message or Provider comment section of the PA</w:t>
      </w:r>
      <w:r>
        <w:rPr>
          <w:b w:val="0"/>
          <w:color w:val="auto"/>
          <w:sz w:val="22"/>
          <w:szCs w:val="22"/>
        </w:rPr>
        <w:t>.</w:t>
      </w:r>
    </w:p>
    <w:p w14:paraId="33A9A8A5" w14:textId="116ECD9E" w:rsidR="00EF166D" w:rsidRPr="00EF166D" w:rsidRDefault="00EF166D" w:rsidP="00EF166D">
      <w:pPr>
        <w:pStyle w:val="Heading2"/>
        <w:numPr>
          <w:ilvl w:val="0"/>
          <w:numId w:val="12"/>
        </w:numPr>
        <w:spacing w:before="0" w:after="100"/>
        <w:rPr>
          <w:b w:val="0"/>
          <w:color w:val="auto"/>
          <w:sz w:val="22"/>
          <w:szCs w:val="22"/>
        </w:rPr>
      </w:pPr>
      <w:r w:rsidRPr="00EF166D">
        <w:rPr>
          <w:b w:val="0"/>
          <w:color w:val="auto"/>
          <w:sz w:val="22"/>
          <w:szCs w:val="22"/>
        </w:rPr>
        <w:t xml:space="preserve">A statement that the </w:t>
      </w:r>
      <w:r w:rsidR="00CE27C6">
        <w:rPr>
          <w:b w:val="0"/>
          <w:color w:val="auto"/>
          <w:sz w:val="22"/>
          <w:szCs w:val="22"/>
        </w:rPr>
        <w:t>m</w:t>
      </w:r>
      <w:r w:rsidRPr="00EF166D">
        <w:rPr>
          <w:b w:val="0"/>
          <w:color w:val="auto"/>
          <w:sz w:val="22"/>
          <w:szCs w:val="22"/>
        </w:rPr>
        <w:t>ember requires a change in size</w:t>
      </w:r>
      <w:r w:rsidR="00CE27C6">
        <w:rPr>
          <w:b w:val="0"/>
          <w:color w:val="auto"/>
          <w:sz w:val="22"/>
          <w:szCs w:val="22"/>
        </w:rPr>
        <w:t>;</w:t>
      </w:r>
    </w:p>
    <w:p w14:paraId="0EB78AB3" w14:textId="62D2D048" w:rsidR="00EF166D" w:rsidRPr="00EF166D" w:rsidRDefault="00EF166D" w:rsidP="00EF166D">
      <w:pPr>
        <w:pStyle w:val="Heading2"/>
        <w:numPr>
          <w:ilvl w:val="0"/>
          <w:numId w:val="12"/>
        </w:numPr>
        <w:spacing w:before="0" w:after="100"/>
        <w:rPr>
          <w:b w:val="0"/>
          <w:color w:val="auto"/>
          <w:sz w:val="22"/>
          <w:szCs w:val="22"/>
        </w:rPr>
      </w:pPr>
      <w:r w:rsidRPr="00EF166D">
        <w:rPr>
          <w:b w:val="0"/>
          <w:color w:val="auto"/>
          <w:sz w:val="22"/>
          <w:szCs w:val="22"/>
        </w:rPr>
        <w:t>The active PA number</w:t>
      </w:r>
      <w:r w:rsidR="00CE27C6">
        <w:rPr>
          <w:b w:val="0"/>
          <w:color w:val="auto"/>
          <w:sz w:val="22"/>
          <w:szCs w:val="22"/>
        </w:rPr>
        <w:t>;</w:t>
      </w:r>
      <w:r w:rsidRPr="00EF166D">
        <w:rPr>
          <w:b w:val="0"/>
          <w:color w:val="auto"/>
          <w:sz w:val="22"/>
          <w:szCs w:val="22"/>
        </w:rPr>
        <w:t xml:space="preserve"> </w:t>
      </w:r>
    </w:p>
    <w:p w14:paraId="0C005504" w14:textId="4C8D489A" w:rsidR="00EF166D" w:rsidRDefault="00EF166D" w:rsidP="00EF166D">
      <w:pPr>
        <w:pStyle w:val="Heading2"/>
        <w:numPr>
          <w:ilvl w:val="0"/>
          <w:numId w:val="12"/>
        </w:numPr>
        <w:spacing w:before="0" w:after="100"/>
        <w:rPr>
          <w:b w:val="0"/>
          <w:color w:val="auto"/>
          <w:sz w:val="22"/>
          <w:szCs w:val="22"/>
        </w:rPr>
      </w:pPr>
      <w:r>
        <w:rPr>
          <w:b w:val="0"/>
          <w:color w:val="auto"/>
          <w:sz w:val="22"/>
          <w:szCs w:val="22"/>
        </w:rPr>
        <w:t>The size being requested</w:t>
      </w:r>
      <w:r w:rsidR="00CE27C6">
        <w:rPr>
          <w:b w:val="0"/>
          <w:color w:val="auto"/>
          <w:sz w:val="22"/>
          <w:szCs w:val="22"/>
        </w:rPr>
        <w:t>;</w:t>
      </w:r>
      <w:r>
        <w:rPr>
          <w:b w:val="0"/>
          <w:color w:val="auto"/>
          <w:sz w:val="22"/>
          <w:szCs w:val="22"/>
        </w:rPr>
        <w:t xml:space="preserve"> and </w:t>
      </w:r>
    </w:p>
    <w:p w14:paraId="67581846" w14:textId="63270BBE" w:rsidR="00EF166D" w:rsidRPr="00EF166D" w:rsidRDefault="00CE27C6" w:rsidP="00EF166D">
      <w:pPr>
        <w:pStyle w:val="Heading2"/>
        <w:numPr>
          <w:ilvl w:val="0"/>
          <w:numId w:val="12"/>
        </w:numPr>
        <w:spacing w:before="0" w:after="100"/>
        <w:rPr>
          <w:b w:val="0"/>
          <w:color w:val="auto"/>
          <w:sz w:val="22"/>
          <w:szCs w:val="22"/>
        </w:rPr>
      </w:pPr>
      <w:r>
        <w:rPr>
          <w:b w:val="0"/>
          <w:color w:val="auto"/>
          <w:sz w:val="22"/>
          <w:szCs w:val="22"/>
        </w:rPr>
        <w:t>T</w:t>
      </w:r>
      <w:r w:rsidR="00EF166D" w:rsidRPr="00EF166D">
        <w:rPr>
          <w:b w:val="0"/>
          <w:color w:val="auto"/>
          <w:sz w:val="22"/>
          <w:szCs w:val="22"/>
        </w:rPr>
        <w:t xml:space="preserve">he corresponding HCPCS code. </w:t>
      </w:r>
    </w:p>
    <w:p w14:paraId="6BDE8504" w14:textId="7FB59F56" w:rsidR="00EF166D" w:rsidRDefault="00EF166D" w:rsidP="003602D0">
      <w:pPr>
        <w:pStyle w:val="Heading2"/>
        <w:spacing w:before="120" w:after="100"/>
        <w:rPr>
          <w:b w:val="0"/>
          <w:color w:val="auto"/>
          <w:sz w:val="22"/>
          <w:szCs w:val="22"/>
        </w:rPr>
      </w:pPr>
      <w:r w:rsidRPr="00EF166D">
        <w:rPr>
          <w:b w:val="0"/>
          <w:color w:val="auto"/>
          <w:sz w:val="22"/>
          <w:szCs w:val="22"/>
        </w:rPr>
        <w:t>The existing PA will be modified to reflect any approved change in size</w:t>
      </w:r>
      <w:r w:rsidR="00CE27C6">
        <w:rPr>
          <w:b w:val="0"/>
          <w:color w:val="auto"/>
          <w:sz w:val="22"/>
          <w:szCs w:val="22"/>
        </w:rPr>
        <w:t>.</w:t>
      </w:r>
      <w:r w:rsidRPr="00EF166D">
        <w:rPr>
          <w:b w:val="0"/>
          <w:color w:val="auto"/>
          <w:sz w:val="22"/>
          <w:szCs w:val="22"/>
        </w:rPr>
        <w:t xml:space="preserve"> </w:t>
      </w:r>
      <w:r w:rsidR="00CE27C6">
        <w:rPr>
          <w:b w:val="0"/>
          <w:color w:val="auto"/>
          <w:sz w:val="22"/>
          <w:szCs w:val="22"/>
        </w:rPr>
        <w:t>N</w:t>
      </w:r>
      <w:r w:rsidRPr="00EF166D">
        <w:rPr>
          <w:b w:val="0"/>
          <w:color w:val="auto"/>
          <w:sz w:val="22"/>
          <w:szCs w:val="22"/>
        </w:rPr>
        <w:t xml:space="preserve">otices to the DME provider and MassHealth </w:t>
      </w:r>
      <w:r w:rsidR="00CE27C6">
        <w:rPr>
          <w:b w:val="0"/>
          <w:color w:val="auto"/>
          <w:sz w:val="22"/>
          <w:szCs w:val="22"/>
        </w:rPr>
        <w:t>m</w:t>
      </w:r>
      <w:r w:rsidRPr="00EF166D">
        <w:rPr>
          <w:b w:val="0"/>
          <w:color w:val="auto"/>
          <w:sz w:val="22"/>
          <w:szCs w:val="22"/>
        </w:rPr>
        <w:t>ember will reflect the MassHealth decision regarding the size change.</w:t>
      </w:r>
    </w:p>
    <w:p w14:paraId="1F0005E8" w14:textId="75AEB56D" w:rsidR="00EF166D" w:rsidRDefault="00EF166D" w:rsidP="00EF166D">
      <w:pPr>
        <w:pStyle w:val="Heading4"/>
      </w:pPr>
      <w:r>
        <w:t xml:space="preserve">Requesting PA Extensions for </w:t>
      </w:r>
      <w:r w:rsidR="00CE27C6">
        <w:t>u</w:t>
      </w:r>
      <w:r>
        <w:t xml:space="preserve">p to 90 Days </w:t>
      </w:r>
    </w:p>
    <w:p w14:paraId="5EEF65D4" w14:textId="4B1BEA18" w:rsidR="00EF166D" w:rsidRDefault="00EF166D" w:rsidP="00EF166D">
      <w:r>
        <w:t xml:space="preserve">To avoid disruption of services for members, effective for dates of service on or after </w:t>
      </w:r>
      <w:r w:rsidR="00BB3D0E">
        <w:t>September 23</w:t>
      </w:r>
      <w:r>
        <w:t xml:space="preserve">, 2021, providers may request an extension of a PA for up to 90 days, to ensure continued service for a member. Extension requests may be </w:t>
      </w:r>
      <w:r w:rsidR="00CE27C6">
        <w:t xml:space="preserve">used </w:t>
      </w:r>
      <w:r>
        <w:t xml:space="preserve">if providers have not been able to obtain the documentation </w:t>
      </w:r>
      <w:r w:rsidR="00CE27C6">
        <w:t xml:space="preserve">needed for a new PA </w:t>
      </w:r>
      <w:r>
        <w:t xml:space="preserve">from a member’s medical provider.  </w:t>
      </w:r>
    </w:p>
    <w:p w14:paraId="021DE786" w14:textId="77777777" w:rsidR="007E2474" w:rsidRDefault="007E2474" w:rsidP="00EF166D">
      <w:r>
        <w:br w:type="page"/>
      </w:r>
    </w:p>
    <w:p w14:paraId="212259F9" w14:textId="7378F362" w:rsidR="00EF166D" w:rsidRDefault="00CE27C6" w:rsidP="00EF166D">
      <w:r>
        <w:lastRenderedPageBreak/>
        <w:t>T</w:t>
      </w:r>
      <w:r w:rsidR="00EF166D">
        <w:t xml:space="preserve">o request a PA </w:t>
      </w:r>
      <w:r>
        <w:t>e</w:t>
      </w:r>
      <w:r w:rsidR="00EF166D">
        <w:t>xtension</w:t>
      </w:r>
      <w:r>
        <w:t>, providers should f</w:t>
      </w:r>
      <w:r w:rsidR="00EF166D">
        <w:t xml:space="preserve">ile a new PA request </w:t>
      </w:r>
      <w:r>
        <w:t xml:space="preserve">and provide </w:t>
      </w:r>
      <w:r w:rsidR="00EF166D">
        <w:t>the following information in the external text message or Provider comment section of the PA</w:t>
      </w:r>
      <w:r>
        <w:t>.</w:t>
      </w:r>
    </w:p>
    <w:p w14:paraId="3DE264C6" w14:textId="0D18E4C4" w:rsidR="00EF166D" w:rsidRDefault="00EF166D" w:rsidP="00467964">
      <w:pPr>
        <w:pStyle w:val="ListParagraph"/>
        <w:numPr>
          <w:ilvl w:val="0"/>
          <w:numId w:val="15"/>
        </w:numPr>
      </w:pPr>
      <w:r>
        <w:t>Reason for the extension</w:t>
      </w:r>
      <w:r w:rsidR="00CE27C6">
        <w:t>;</w:t>
      </w:r>
      <w:r>
        <w:t xml:space="preserve"> </w:t>
      </w:r>
    </w:p>
    <w:p w14:paraId="3140C610" w14:textId="67EB8FF5" w:rsidR="00EF166D" w:rsidRDefault="00EF166D" w:rsidP="00467964">
      <w:pPr>
        <w:pStyle w:val="ListParagraph"/>
        <w:numPr>
          <w:ilvl w:val="0"/>
          <w:numId w:val="15"/>
        </w:numPr>
      </w:pPr>
      <w:r>
        <w:t>Length of extension being requested</w:t>
      </w:r>
      <w:r w:rsidR="00CE27C6">
        <w:t>;</w:t>
      </w:r>
      <w:r>
        <w:t xml:space="preserve"> and</w:t>
      </w:r>
    </w:p>
    <w:p w14:paraId="1CFB2E41" w14:textId="60EAE08D" w:rsidR="00EF166D" w:rsidRDefault="00EF166D" w:rsidP="00467964">
      <w:pPr>
        <w:pStyle w:val="ListParagraph"/>
        <w:numPr>
          <w:ilvl w:val="0"/>
          <w:numId w:val="15"/>
        </w:numPr>
      </w:pPr>
      <w:r>
        <w:t xml:space="preserve">PA number requiring extension.  </w:t>
      </w:r>
    </w:p>
    <w:p w14:paraId="15DEE245" w14:textId="424660F2" w:rsidR="00CE27C6" w:rsidRDefault="00EF166D" w:rsidP="00CE27C6">
      <w:pPr>
        <w:sectPr w:rsidR="00CE27C6"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 xml:space="preserve">Providers are expected to make diligent efforts to obtain the appropriate documentation in a timely manner and to maintain records for outreach to </w:t>
      </w:r>
      <w:r w:rsidR="00CE27C6">
        <w:t>m</w:t>
      </w:r>
      <w:r>
        <w:t>embers and their prescribers. All documentation, recordkeeping</w:t>
      </w:r>
      <w:r w:rsidR="00CE27C6">
        <w:t>,</w:t>
      </w:r>
      <w:r>
        <w:t xml:space="preserve"> and other applicable provisions of 130 CMR 450.000 and 130 CMR 409.000 apply.</w:t>
      </w:r>
    </w:p>
    <w:p w14:paraId="4196E2C2" w14:textId="0FFEB2EE" w:rsidR="00467964" w:rsidRDefault="00467964" w:rsidP="00467964">
      <w:pPr>
        <w:pStyle w:val="Heading4"/>
      </w:pPr>
      <w:r>
        <w:lastRenderedPageBreak/>
        <w:t>Prior Authorization Submission Process</w:t>
      </w:r>
    </w:p>
    <w:p w14:paraId="140360CA" w14:textId="511C3F85" w:rsidR="00467964" w:rsidRDefault="00467964" w:rsidP="00EF178F">
      <w:r>
        <w:t>Providers must submit all information related to a PA request through the Long-Term Services and Supports Management System (LTMS)</w:t>
      </w:r>
      <w:r w:rsidR="00EF178F">
        <w:t>.</w:t>
      </w:r>
      <w:r>
        <w:t xml:space="preserve"> If submitting a non-electronic request, the provider should </w:t>
      </w:r>
      <w:r w:rsidR="00242754">
        <w:t xml:space="preserve">complete and </w:t>
      </w:r>
      <w:r>
        <w:t>mail the PA-1 form, and any supporting documentation</w:t>
      </w:r>
      <w:r w:rsidR="00176D4B">
        <w:t>,</w:t>
      </w:r>
      <w:r>
        <w:t xml:space="preserve"> to the address on the back of the PA-1 form. Providers may contact </w:t>
      </w:r>
      <w:r w:rsidR="00EF178F">
        <w:t xml:space="preserve">the </w:t>
      </w:r>
      <w:r>
        <w:t xml:space="preserve">MassHealth LTSS Provider Service Center at </w:t>
      </w:r>
      <w:r w:rsidR="00EF178F">
        <w:t>(</w:t>
      </w:r>
      <w:r>
        <w:t>844</w:t>
      </w:r>
      <w:r w:rsidR="00EF178F">
        <w:t xml:space="preserve">) </w:t>
      </w:r>
      <w:r>
        <w:t>368-5184</w:t>
      </w:r>
      <w:r w:rsidR="00EF178F">
        <w:t xml:space="preserve"> with any questions about LTMS access</w:t>
      </w:r>
      <w:r>
        <w:t xml:space="preserve">. </w:t>
      </w:r>
      <w:r w:rsidR="00EF178F">
        <w:t xml:space="preserve">Providers can access the </w:t>
      </w:r>
      <w:r>
        <w:t xml:space="preserve">MassHealth LTSS Provider Portal at </w:t>
      </w:r>
      <w:hyperlink r:id="rId16" w:history="1">
        <w:r w:rsidR="00EF178F" w:rsidRPr="00697116">
          <w:rPr>
            <w:rStyle w:val="Hyperlink"/>
          </w:rPr>
          <w:t>www.masshealthltss.com</w:t>
        </w:r>
      </w:hyperlink>
      <w:r w:rsidR="00EF178F">
        <w:t>. T</w:t>
      </w:r>
      <w:r>
        <w:t xml:space="preserve">he PA-1 form </w:t>
      </w:r>
      <w:r w:rsidR="00EF178F">
        <w:t xml:space="preserve">can be found at </w:t>
      </w:r>
      <w:hyperlink r:id="rId17" w:history="1">
        <w:r w:rsidR="00A77D2A" w:rsidRPr="00A77D2A">
          <w:rPr>
            <w:rStyle w:val="Hyperlink"/>
          </w:rPr>
          <w:t>www.mass.gov/doc/prior-authorization-request-pa-1</w:t>
        </w:r>
      </w:hyperlink>
      <w:r w:rsidR="00EF178F">
        <w:t>.</w:t>
      </w:r>
    </w:p>
    <w:p w14:paraId="6FF4A58B" w14:textId="77777777" w:rsidR="003602D0" w:rsidRDefault="003602D0" w:rsidP="003602D0">
      <w:pPr>
        <w:pStyle w:val="Heading4"/>
      </w:pPr>
      <w:r>
        <w:t>PA Requests for Community Case Management (CCM) Members</w:t>
      </w:r>
    </w:p>
    <w:p w14:paraId="177FB30B" w14:textId="77777777" w:rsidR="003602D0" w:rsidRDefault="003602D0" w:rsidP="003602D0">
      <w:r>
        <w:t>When submitting PA requests for Community Case Management (CCM) members, all information related to the request should be submitted using the Provider Online Service Center (POSC). If submitting a non-electronic request, the provider should complete and mail the PA-1 form, and any supporting documentation, to the address on the back of the PA-1 form. Providers may contact the MassHealth Customer Service Center at (800) 841-2900 with any questions about POSC access.</w:t>
      </w:r>
    </w:p>
    <w:p w14:paraId="2B77CA58" w14:textId="55BE0206" w:rsidR="00467964" w:rsidRDefault="00896781" w:rsidP="003602D0">
      <w:pPr>
        <w:pStyle w:val="Heading2"/>
      </w:pPr>
      <w:r>
        <w:t>Helpful Links</w:t>
      </w:r>
    </w:p>
    <w:p w14:paraId="2D9A66F0" w14:textId="14A85BCA" w:rsidR="00467964" w:rsidRDefault="00467964" w:rsidP="00467964">
      <w:r>
        <w:t xml:space="preserve">The </w:t>
      </w:r>
      <w:r w:rsidR="00664734" w:rsidRPr="00664734">
        <w:t xml:space="preserve">MassHealth Durable Medical Equipment and Oxygen Payment and Coverage Guideline </w:t>
      </w:r>
      <w:r>
        <w:t xml:space="preserve">Tool </w:t>
      </w:r>
      <w:r w:rsidR="00664734">
        <w:t>can be found at</w:t>
      </w:r>
      <w:r>
        <w:t xml:space="preserve"> </w:t>
      </w:r>
      <w:hyperlink r:id="rId18" w:anchor="masshealth-durable-medical-equipment-and-oxygen-payment-and-coverage-guideline-tool-" w:history="1">
        <w:r w:rsidR="00664734" w:rsidRPr="004F5A15">
          <w:rPr>
            <w:rStyle w:val="Hyperlink"/>
          </w:rPr>
          <w:t>www.mass.gov/info-details/masshealth-payment-and-coverage-guideline-tools#masshealth-durable-medical-equipment-and-oxygen-payment-and-coverage-guideline-tool-</w:t>
        </w:r>
      </w:hyperlink>
      <w:r w:rsidR="00664734">
        <w:t xml:space="preserve"> </w:t>
      </w:r>
    </w:p>
    <w:p w14:paraId="176BDE48" w14:textId="033611E2" w:rsidR="00467964" w:rsidRDefault="00467964" w:rsidP="00467964">
      <w:r>
        <w:t xml:space="preserve">DME Administrative Bulletin 18-15 </w:t>
      </w:r>
      <w:r w:rsidR="00664734">
        <w:t xml:space="preserve">can be found at </w:t>
      </w:r>
      <w:hyperlink r:id="rId19" w:history="1">
        <w:r w:rsidR="000A7F09" w:rsidRPr="00B042C4">
          <w:rPr>
            <w:rStyle w:val="Hyperlink"/>
          </w:rPr>
          <w:t>https://www.mass.gov/lists/2018-eohhs-administrative-bulletins</w:t>
        </w:r>
      </w:hyperlink>
      <w:r w:rsidR="000A7F09">
        <w:t xml:space="preserve">. </w:t>
      </w:r>
      <w:r w:rsidR="00664734" w:rsidRPr="00664734" w:rsidDel="00664734">
        <w:t xml:space="preserve"> </w:t>
      </w:r>
      <w:r w:rsidR="00664734">
        <w:t xml:space="preserve">DME Administrative Bulletin </w:t>
      </w:r>
      <w:r>
        <w:t>21-</w:t>
      </w:r>
      <w:r w:rsidR="0052284B">
        <w:t>23</w:t>
      </w:r>
      <w:r w:rsidR="00664734">
        <w:t xml:space="preserve"> can be found at </w:t>
      </w:r>
      <w:hyperlink r:id="rId20" w:history="1">
        <w:r w:rsidR="0052284B" w:rsidRPr="003361D0">
          <w:rPr>
            <w:rStyle w:val="Hyperlink"/>
          </w:rPr>
          <w:t>https://www.mass.gov/lists/2021-eohhs-administrative-bulletins</w:t>
        </w:r>
      </w:hyperlink>
      <w:r w:rsidR="0052284B">
        <w:t xml:space="preserve">. </w:t>
      </w:r>
      <w:r>
        <w:t xml:space="preserve"> </w:t>
      </w:r>
    </w:p>
    <w:p w14:paraId="6AF8B046" w14:textId="06AAD8CC" w:rsidR="00467964" w:rsidRPr="00EF166D" w:rsidRDefault="00467964" w:rsidP="00467964">
      <w:r>
        <w:t xml:space="preserve">101 CMR 322.00: Durable Medical Equipment, Oxygen and Respiratory Therapy Equipment </w:t>
      </w:r>
      <w:r w:rsidR="00664734">
        <w:t xml:space="preserve">can be found at </w:t>
      </w:r>
      <w:hyperlink r:id="rId21" w:history="1">
        <w:r w:rsidR="000A7F09" w:rsidRPr="00B042C4">
          <w:rPr>
            <w:rStyle w:val="Hyperlink"/>
          </w:rPr>
          <w:t>www.mass.gov/regulations/101-CMR-32200-durable-medical-equipment-oxygen-and-respiratory-therapy-equipment</w:t>
        </w:r>
      </w:hyperlink>
      <w:r w:rsidR="000A7F09">
        <w:t xml:space="preserve">. </w:t>
      </w:r>
      <w:r w:rsidR="00664734" w:rsidRPr="00664734" w:rsidDel="00664734">
        <w:t xml:space="preserve"> </w:t>
      </w:r>
    </w:p>
    <w:p w14:paraId="2AD49528" w14:textId="77777777" w:rsidR="007E2474" w:rsidRDefault="007E2474" w:rsidP="00EF166D">
      <w:pPr>
        <w:pStyle w:val="Heading2"/>
      </w:pPr>
      <w:r>
        <w:br w:type="page"/>
      </w:r>
    </w:p>
    <w:p w14:paraId="40F4D486" w14:textId="6829E8CB" w:rsidR="00F664CC" w:rsidRPr="009901A7" w:rsidRDefault="00F664CC" w:rsidP="00EF166D">
      <w:pPr>
        <w:pStyle w:val="Heading2"/>
      </w:pPr>
      <w:r w:rsidRPr="009901A7">
        <w:lastRenderedPageBreak/>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22"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FD49D8" w:rsidP="00E27CD8">
      <w:hyperlink r:id="rId23"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1568513F" w14:textId="77777777" w:rsidR="007D253F" w:rsidRDefault="007D253F" w:rsidP="007D253F">
      <w:pPr>
        <w:pStyle w:val="Heading2"/>
        <w:spacing w:after="100"/>
        <w:sectPr w:rsidR="007D253F"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D1FD47E" w14:textId="15F5E53F" w:rsidR="00F664CC" w:rsidRPr="009901A7" w:rsidRDefault="00F664CC" w:rsidP="007D253F">
      <w:pPr>
        <w:pStyle w:val="Heading2"/>
        <w:spacing w:after="100"/>
      </w:pPr>
      <w:r w:rsidRPr="009901A7">
        <w:lastRenderedPageBreak/>
        <w:t>Questions</w:t>
      </w:r>
      <w:r w:rsidR="001554E7">
        <w:t xml:space="preserve"> </w:t>
      </w:r>
    </w:p>
    <w:p w14:paraId="7B312B74" w14:textId="3CF6277F" w:rsidR="00467964" w:rsidRDefault="00467964" w:rsidP="00467964">
      <w:r>
        <w:t>If you have any questions about the information in this bulletin, please contact the Long-Term Services and Supports (LTSS) Provide</w:t>
      </w:r>
      <w:r w:rsidR="003602D0">
        <w:t>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467964" w:rsidRPr="0039104C" w14:paraId="49F5D13B" w14:textId="77777777" w:rsidTr="00654F5A">
        <w:tc>
          <w:tcPr>
            <w:tcW w:w="1098" w:type="dxa"/>
          </w:tcPr>
          <w:p w14:paraId="340834EA" w14:textId="77777777" w:rsidR="00467964" w:rsidRPr="0039104C" w:rsidRDefault="00467964" w:rsidP="00654F5A">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39E2B991" w14:textId="77777777" w:rsidR="00467964" w:rsidRPr="0039104C" w:rsidRDefault="00467964" w:rsidP="00654F5A">
            <w:pPr>
              <w:tabs>
                <w:tab w:val="left" w:pos="0"/>
              </w:tabs>
              <w:spacing w:after="0" w:afterAutospacing="0"/>
              <w:ind w:left="0"/>
              <w:rPr>
                <w:rFonts w:cs="Arial"/>
              </w:rPr>
            </w:pPr>
            <w:r w:rsidRPr="0039104C">
              <w:rPr>
                <w:rFonts w:cs="Arial"/>
              </w:rPr>
              <w:t>Toll free (844) 368-5184</w:t>
            </w:r>
          </w:p>
        </w:tc>
      </w:tr>
      <w:tr w:rsidR="00467964" w:rsidRPr="0039104C" w14:paraId="68E99010" w14:textId="77777777" w:rsidTr="00654F5A">
        <w:tc>
          <w:tcPr>
            <w:tcW w:w="1098" w:type="dxa"/>
          </w:tcPr>
          <w:p w14:paraId="7668B14D" w14:textId="77777777" w:rsidR="00467964" w:rsidRPr="0039104C" w:rsidRDefault="00467964" w:rsidP="00654F5A">
            <w:pPr>
              <w:tabs>
                <w:tab w:val="left" w:pos="0"/>
              </w:tabs>
              <w:spacing w:after="0" w:afterAutospacing="0"/>
              <w:ind w:left="0"/>
              <w:rPr>
                <w:rFonts w:cs="Arial"/>
              </w:rPr>
            </w:pPr>
            <w:r w:rsidRPr="0039104C">
              <w:rPr>
                <w:rFonts w:cs="Arial"/>
                <w:b/>
              </w:rPr>
              <w:t>Email</w:t>
            </w:r>
            <w:r>
              <w:rPr>
                <w:rFonts w:cs="Arial"/>
                <w:b/>
              </w:rPr>
              <w:t>:</w:t>
            </w:r>
          </w:p>
        </w:tc>
        <w:tc>
          <w:tcPr>
            <w:tcW w:w="3330" w:type="dxa"/>
          </w:tcPr>
          <w:p w14:paraId="2966D441" w14:textId="77777777" w:rsidR="00467964" w:rsidRPr="0039104C" w:rsidRDefault="00FD49D8" w:rsidP="00654F5A">
            <w:pPr>
              <w:tabs>
                <w:tab w:val="left" w:pos="0"/>
              </w:tabs>
              <w:spacing w:after="0" w:afterAutospacing="0"/>
              <w:ind w:left="0"/>
              <w:rPr>
                <w:rFonts w:cs="Arial"/>
              </w:rPr>
            </w:pPr>
            <w:hyperlink r:id="rId24" w:history="1">
              <w:r w:rsidR="00467964" w:rsidRPr="0039104C">
                <w:rPr>
                  <w:rStyle w:val="Hyperlink"/>
                  <w:rFonts w:cs="Arial"/>
                </w:rPr>
                <w:t>support@masshealthltss.com</w:t>
              </w:r>
            </w:hyperlink>
            <w:r w:rsidR="00467964" w:rsidRPr="0039104C">
              <w:rPr>
                <w:rFonts w:cs="Arial"/>
              </w:rPr>
              <w:t xml:space="preserve"> </w:t>
            </w:r>
          </w:p>
        </w:tc>
      </w:tr>
      <w:tr w:rsidR="00467964" w:rsidRPr="0039104C" w14:paraId="7F7C460B" w14:textId="77777777" w:rsidTr="00654F5A">
        <w:tc>
          <w:tcPr>
            <w:tcW w:w="1098" w:type="dxa"/>
          </w:tcPr>
          <w:p w14:paraId="63489678" w14:textId="77777777" w:rsidR="00467964" w:rsidRPr="0039104C" w:rsidRDefault="00467964" w:rsidP="00654F5A">
            <w:pPr>
              <w:tabs>
                <w:tab w:val="left" w:pos="0"/>
              </w:tabs>
              <w:spacing w:after="0" w:afterAutospacing="0"/>
              <w:ind w:left="0"/>
              <w:rPr>
                <w:rFonts w:cs="Arial"/>
              </w:rPr>
            </w:pPr>
            <w:r w:rsidRPr="0039104C">
              <w:rPr>
                <w:rFonts w:cs="Arial"/>
                <w:b/>
              </w:rPr>
              <w:t>Portal</w:t>
            </w:r>
            <w:r>
              <w:rPr>
                <w:rFonts w:cs="Arial"/>
                <w:b/>
              </w:rPr>
              <w:t>:</w:t>
            </w:r>
          </w:p>
        </w:tc>
        <w:tc>
          <w:tcPr>
            <w:tcW w:w="3330" w:type="dxa"/>
          </w:tcPr>
          <w:p w14:paraId="72C15F92" w14:textId="77777777" w:rsidR="00467964" w:rsidRPr="0039104C" w:rsidRDefault="00FD49D8" w:rsidP="00654F5A">
            <w:pPr>
              <w:tabs>
                <w:tab w:val="left" w:pos="0"/>
              </w:tabs>
              <w:spacing w:after="0" w:afterAutospacing="0"/>
              <w:ind w:left="0"/>
              <w:rPr>
                <w:rFonts w:cs="Arial"/>
              </w:rPr>
            </w:pPr>
            <w:hyperlink r:id="rId25" w:history="1">
              <w:r w:rsidR="00467964" w:rsidRPr="0039104C">
                <w:rPr>
                  <w:rStyle w:val="Hyperlink"/>
                  <w:rFonts w:cs="Arial"/>
                </w:rPr>
                <w:t>www.MassHealthLTSS.com</w:t>
              </w:r>
            </w:hyperlink>
            <w:r w:rsidR="00467964" w:rsidRPr="0039104C">
              <w:rPr>
                <w:rFonts w:cs="Arial"/>
              </w:rPr>
              <w:t xml:space="preserve"> </w:t>
            </w:r>
          </w:p>
        </w:tc>
      </w:tr>
      <w:tr w:rsidR="00467964" w:rsidRPr="0039104C" w14:paraId="27974750" w14:textId="77777777" w:rsidTr="00654F5A">
        <w:trPr>
          <w:trHeight w:val="890"/>
        </w:trPr>
        <w:tc>
          <w:tcPr>
            <w:tcW w:w="1098" w:type="dxa"/>
          </w:tcPr>
          <w:p w14:paraId="5D980450" w14:textId="77777777" w:rsidR="00467964" w:rsidRPr="0039104C" w:rsidRDefault="00467964" w:rsidP="00654F5A">
            <w:pPr>
              <w:tabs>
                <w:tab w:val="left" w:pos="0"/>
              </w:tabs>
              <w:spacing w:after="0" w:afterAutospacing="0"/>
              <w:ind w:left="0"/>
              <w:rPr>
                <w:rFonts w:cs="Arial"/>
              </w:rPr>
            </w:pPr>
            <w:r w:rsidRPr="0039104C">
              <w:rPr>
                <w:rFonts w:cs="Arial"/>
                <w:b/>
              </w:rPr>
              <w:t>Mail</w:t>
            </w:r>
            <w:r>
              <w:rPr>
                <w:rFonts w:cs="Arial"/>
                <w:b/>
              </w:rPr>
              <w:t>:</w:t>
            </w:r>
          </w:p>
        </w:tc>
        <w:tc>
          <w:tcPr>
            <w:tcW w:w="3330" w:type="dxa"/>
          </w:tcPr>
          <w:p w14:paraId="2BEA55B1" w14:textId="77777777" w:rsidR="00467964" w:rsidRPr="0039104C" w:rsidRDefault="00467964" w:rsidP="00654F5A">
            <w:pPr>
              <w:tabs>
                <w:tab w:val="left" w:pos="0"/>
              </w:tabs>
              <w:spacing w:after="0" w:afterAutospacing="0"/>
              <w:ind w:left="0"/>
              <w:rPr>
                <w:rFonts w:cs="Arial"/>
              </w:rPr>
            </w:pPr>
            <w:r w:rsidRPr="0039104C">
              <w:rPr>
                <w:rFonts w:cs="Arial"/>
              </w:rPr>
              <w:t>MassHealth LTSS</w:t>
            </w:r>
          </w:p>
          <w:p w14:paraId="57E63EF7" w14:textId="77777777" w:rsidR="00467964" w:rsidRPr="0039104C" w:rsidRDefault="00467964" w:rsidP="00654F5A">
            <w:pPr>
              <w:tabs>
                <w:tab w:val="left" w:pos="0"/>
              </w:tabs>
              <w:spacing w:before="0" w:after="0" w:afterAutospacing="0"/>
              <w:ind w:left="0"/>
              <w:rPr>
                <w:rFonts w:cs="Arial"/>
              </w:rPr>
            </w:pPr>
            <w:r w:rsidRPr="0039104C">
              <w:rPr>
                <w:rFonts w:cs="Arial"/>
              </w:rPr>
              <w:t xml:space="preserve">P.O. Box 159108 </w:t>
            </w:r>
          </w:p>
          <w:p w14:paraId="370A7780" w14:textId="77777777" w:rsidR="00467964" w:rsidRPr="0039104C" w:rsidRDefault="00467964" w:rsidP="00654F5A">
            <w:pPr>
              <w:tabs>
                <w:tab w:val="left" w:pos="0"/>
              </w:tabs>
              <w:spacing w:before="0" w:after="0" w:afterAutospacing="0"/>
              <w:ind w:left="0"/>
              <w:rPr>
                <w:rFonts w:cs="Arial"/>
              </w:rPr>
            </w:pPr>
            <w:r w:rsidRPr="0039104C">
              <w:rPr>
                <w:rFonts w:cs="Arial"/>
              </w:rPr>
              <w:t>Boston, MA  02215</w:t>
            </w:r>
          </w:p>
        </w:tc>
      </w:tr>
      <w:tr w:rsidR="00467964" w:rsidRPr="0039104C" w14:paraId="0C3F1F0D" w14:textId="77777777" w:rsidTr="00654F5A">
        <w:tc>
          <w:tcPr>
            <w:tcW w:w="1098" w:type="dxa"/>
          </w:tcPr>
          <w:p w14:paraId="71978B6C" w14:textId="77777777" w:rsidR="00467964" w:rsidRPr="0039104C" w:rsidRDefault="00467964" w:rsidP="00654F5A">
            <w:pPr>
              <w:tabs>
                <w:tab w:val="left" w:pos="0"/>
              </w:tabs>
              <w:spacing w:after="0" w:afterAutospacing="0"/>
              <w:ind w:left="0"/>
              <w:rPr>
                <w:rFonts w:cs="Arial"/>
              </w:rPr>
            </w:pPr>
            <w:r w:rsidRPr="0039104C">
              <w:rPr>
                <w:rFonts w:cs="Arial"/>
                <w:b/>
              </w:rPr>
              <w:t>Fax</w:t>
            </w:r>
            <w:r>
              <w:rPr>
                <w:rFonts w:cs="Arial"/>
                <w:b/>
              </w:rPr>
              <w:t>:</w:t>
            </w:r>
          </w:p>
        </w:tc>
        <w:tc>
          <w:tcPr>
            <w:tcW w:w="3330" w:type="dxa"/>
          </w:tcPr>
          <w:p w14:paraId="5DCC9363" w14:textId="77777777" w:rsidR="00467964" w:rsidRPr="0039104C" w:rsidRDefault="00467964" w:rsidP="00654F5A">
            <w:pPr>
              <w:tabs>
                <w:tab w:val="left" w:pos="0"/>
              </w:tabs>
              <w:spacing w:after="0" w:afterAutospacing="0"/>
              <w:ind w:left="0"/>
              <w:rPr>
                <w:rFonts w:cs="Arial"/>
              </w:rPr>
            </w:pPr>
            <w:r w:rsidRPr="0039104C">
              <w:rPr>
                <w:rFonts w:cs="Arial"/>
              </w:rPr>
              <w:t>(888) 832-3006</w:t>
            </w:r>
          </w:p>
        </w:tc>
      </w:tr>
    </w:tbl>
    <w:p w14:paraId="6E0AEBE2" w14:textId="77777777" w:rsidR="00467964" w:rsidRDefault="00467964" w:rsidP="003602D0">
      <w:pPr>
        <w:ind w:left="0"/>
      </w:pPr>
    </w:p>
    <w:sectPr w:rsidR="00467964"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0D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24E9" w16cex:dateUtc="2021-07-2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0D665" w16cid:durableId="24A924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D9EB5" w14:textId="77777777" w:rsidR="00213B4E" w:rsidRDefault="00213B4E" w:rsidP="00E27CD8">
      <w:r>
        <w:separator/>
      </w:r>
    </w:p>
  </w:endnote>
  <w:endnote w:type="continuationSeparator" w:id="0">
    <w:p w14:paraId="4E45E1BA" w14:textId="77777777" w:rsidR="00213B4E" w:rsidRDefault="00213B4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2245" w14:textId="77777777" w:rsidR="00213B4E" w:rsidRDefault="00213B4E" w:rsidP="00E27CD8">
      <w:r>
        <w:separator/>
      </w:r>
    </w:p>
  </w:footnote>
  <w:footnote w:type="continuationSeparator" w:id="0">
    <w:p w14:paraId="59ECEFEF" w14:textId="77777777" w:rsidR="00213B4E" w:rsidRDefault="00213B4E"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0B4FDA94" w14:textId="0A9BE4A5" w:rsidR="00D00385" w:rsidRDefault="00D00385" w:rsidP="00D00385">
    <w:pPr>
      <w:pStyle w:val="Heading1"/>
      <w:ind w:left="5310" w:hanging="270"/>
    </w:pPr>
    <w:r>
      <w:t>Durable Medical Equipment Provider</w:t>
    </w:r>
    <w:r w:rsidRPr="005B27F1">
      <w:t xml:space="preserve"> </w:t>
    </w:r>
    <w:r>
      <w:t xml:space="preserve">  </w:t>
    </w:r>
    <w:r w:rsidRPr="005B27F1">
      <w:t xml:space="preserve">Bulletin </w:t>
    </w:r>
    <w:r w:rsidR="00605FA0">
      <w:t>28</w:t>
    </w:r>
  </w:p>
  <w:p w14:paraId="118107C8" w14:textId="19F5896D" w:rsidR="00D00385" w:rsidRPr="00E42635" w:rsidRDefault="00D00385" w:rsidP="00D00385">
    <w:pPr>
      <w:pStyle w:val="BullsHeading"/>
      <w:ind w:left="5310" w:hanging="270"/>
    </w:pPr>
    <w:r>
      <w:t xml:space="preserve">Oxygen and Respiratory Therapy Equipment Providers Bulletin </w:t>
    </w:r>
    <w:r w:rsidR="00605FA0">
      <w:t>22</w:t>
    </w:r>
  </w:p>
  <w:p w14:paraId="2FBB1D84" w14:textId="668ED70F" w:rsidR="00AD204A" w:rsidRDefault="00605FA0" w:rsidP="00D00385">
    <w:pPr>
      <w:pStyle w:val="BullsHeading"/>
    </w:pPr>
    <w:r>
      <w:t>September</w:t>
    </w:r>
    <w:r w:rsidR="00D00385">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FD49D8">
      <w:rPr>
        <w:noProof/>
      </w:rPr>
      <w:t>7</w:t>
    </w:r>
    <w:r>
      <w:rPr>
        <w:b w:val="0"/>
      </w:rPr>
      <w:fldChar w:fldCharType="end"/>
    </w:r>
    <w:r>
      <w:t xml:space="preserve"> of </w:t>
    </w:r>
    <w:fldSimple w:instr=" NUMPAGES  \* Arabic  \* MERGEFORMAT ">
      <w:r w:rsidR="00FD49D8">
        <w:rPr>
          <w:noProof/>
        </w:rPr>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B338DD"/>
    <w:multiLevelType w:val="hybridMultilevel"/>
    <w:tmpl w:val="4AA64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2F5D0F"/>
    <w:multiLevelType w:val="hybridMultilevel"/>
    <w:tmpl w:val="BB0EB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4F72EA"/>
    <w:multiLevelType w:val="hybridMultilevel"/>
    <w:tmpl w:val="B9CE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A14B3C"/>
    <w:multiLevelType w:val="hybridMultilevel"/>
    <w:tmpl w:val="05AA8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F519B1"/>
    <w:multiLevelType w:val="hybridMultilevel"/>
    <w:tmpl w:val="B68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ce, JoAnne (EHS)">
    <w15:presenceInfo w15:providerId="AD" w15:userId="S::joanne.pierce@mass.gov::6c7ca35e-d36e-49e5-9a7a-ea8e5ca42e53"/>
  </w15:person>
  <w15:person w15:author="Leino, Russell (EHS)">
    <w15:presenceInfo w15:providerId="AD" w15:userId="S::russell.leino@mass.gov::97140af4-b542-412c-84e7-47cba1336e8c"/>
  </w15:person>
  <w15:person w15:author="Girard, Daniel J. (EHS)">
    <w15:presenceInfo w15:providerId="AD" w15:userId="S::Daniel.J.Girard@mass.gov::78d9d6e0-eb67-4362-9d37-f8ee5b724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40BD"/>
    <w:rsid w:val="000602C3"/>
    <w:rsid w:val="00092772"/>
    <w:rsid w:val="000A7F09"/>
    <w:rsid w:val="000C5FCB"/>
    <w:rsid w:val="000D3DB5"/>
    <w:rsid w:val="000D46DC"/>
    <w:rsid w:val="000F00D4"/>
    <w:rsid w:val="001227FB"/>
    <w:rsid w:val="00150BCC"/>
    <w:rsid w:val="001554E7"/>
    <w:rsid w:val="001634DD"/>
    <w:rsid w:val="00176D4B"/>
    <w:rsid w:val="0019011F"/>
    <w:rsid w:val="001D1C34"/>
    <w:rsid w:val="002035AD"/>
    <w:rsid w:val="00213B4E"/>
    <w:rsid w:val="00221556"/>
    <w:rsid w:val="00237E5C"/>
    <w:rsid w:val="00242754"/>
    <w:rsid w:val="0028720F"/>
    <w:rsid w:val="002D2BF8"/>
    <w:rsid w:val="002F2993"/>
    <w:rsid w:val="00304632"/>
    <w:rsid w:val="003602D0"/>
    <w:rsid w:val="00377F3E"/>
    <w:rsid w:val="00393B55"/>
    <w:rsid w:val="003A7588"/>
    <w:rsid w:val="003E2878"/>
    <w:rsid w:val="003E67EB"/>
    <w:rsid w:val="00413946"/>
    <w:rsid w:val="00443C6B"/>
    <w:rsid w:val="004674B4"/>
    <w:rsid w:val="00467964"/>
    <w:rsid w:val="004972ED"/>
    <w:rsid w:val="004A7718"/>
    <w:rsid w:val="004B324D"/>
    <w:rsid w:val="004F4B9A"/>
    <w:rsid w:val="005068BD"/>
    <w:rsid w:val="00507CFF"/>
    <w:rsid w:val="00510A47"/>
    <w:rsid w:val="00511543"/>
    <w:rsid w:val="0052284B"/>
    <w:rsid w:val="0058634E"/>
    <w:rsid w:val="0059142C"/>
    <w:rsid w:val="005B27F1"/>
    <w:rsid w:val="005B4E4E"/>
    <w:rsid w:val="005E4B62"/>
    <w:rsid w:val="005F2B69"/>
    <w:rsid w:val="005F4953"/>
    <w:rsid w:val="00600D4C"/>
    <w:rsid w:val="00605FA0"/>
    <w:rsid w:val="00627C7F"/>
    <w:rsid w:val="00664734"/>
    <w:rsid w:val="006941BF"/>
    <w:rsid w:val="006A318D"/>
    <w:rsid w:val="006C70F9"/>
    <w:rsid w:val="006D3F15"/>
    <w:rsid w:val="006E2857"/>
    <w:rsid w:val="00700F64"/>
    <w:rsid w:val="00706438"/>
    <w:rsid w:val="00715A8E"/>
    <w:rsid w:val="00777A22"/>
    <w:rsid w:val="00795E06"/>
    <w:rsid w:val="007B00B0"/>
    <w:rsid w:val="007D253F"/>
    <w:rsid w:val="007E2474"/>
    <w:rsid w:val="007F03C2"/>
    <w:rsid w:val="007F33CF"/>
    <w:rsid w:val="007F7DBF"/>
    <w:rsid w:val="008201CC"/>
    <w:rsid w:val="00836D85"/>
    <w:rsid w:val="00863041"/>
    <w:rsid w:val="0088511D"/>
    <w:rsid w:val="0088752A"/>
    <w:rsid w:val="00896781"/>
    <w:rsid w:val="008B6E51"/>
    <w:rsid w:val="008C3CDA"/>
    <w:rsid w:val="008F3BCB"/>
    <w:rsid w:val="008F5850"/>
    <w:rsid w:val="00914588"/>
    <w:rsid w:val="00921682"/>
    <w:rsid w:val="00922F04"/>
    <w:rsid w:val="0093187E"/>
    <w:rsid w:val="00942F86"/>
    <w:rsid w:val="009660E2"/>
    <w:rsid w:val="00982839"/>
    <w:rsid w:val="009B2E23"/>
    <w:rsid w:val="009C3ED0"/>
    <w:rsid w:val="009D7672"/>
    <w:rsid w:val="009F2FA3"/>
    <w:rsid w:val="00A16219"/>
    <w:rsid w:val="00A2440D"/>
    <w:rsid w:val="00A57814"/>
    <w:rsid w:val="00A762FB"/>
    <w:rsid w:val="00A772C1"/>
    <w:rsid w:val="00A77D2A"/>
    <w:rsid w:val="00A81A76"/>
    <w:rsid w:val="00A95FC1"/>
    <w:rsid w:val="00AA6085"/>
    <w:rsid w:val="00AD204A"/>
    <w:rsid w:val="00AD6899"/>
    <w:rsid w:val="00B12EF9"/>
    <w:rsid w:val="00B56346"/>
    <w:rsid w:val="00B70715"/>
    <w:rsid w:val="00B73653"/>
    <w:rsid w:val="00BB3D0E"/>
    <w:rsid w:val="00BC3755"/>
    <w:rsid w:val="00BD2DAF"/>
    <w:rsid w:val="00C024A2"/>
    <w:rsid w:val="00C14DA9"/>
    <w:rsid w:val="00C358D3"/>
    <w:rsid w:val="00C73682"/>
    <w:rsid w:val="00CB51BB"/>
    <w:rsid w:val="00CC1E11"/>
    <w:rsid w:val="00CD456D"/>
    <w:rsid w:val="00CE27C6"/>
    <w:rsid w:val="00CE3938"/>
    <w:rsid w:val="00D00385"/>
    <w:rsid w:val="00D7764F"/>
    <w:rsid w:val="00DD0B1E"/>
    <w:rsid w:val="00E01D80"/>
    <w:rsid w:val="00E27CD8"/>
    <w:rsid w:val="00E33508"/>
    <w:rsid w:val="00E42635"/>
    <w:rsid w:val="00E5314E"/>
    <w:rsid w:val="00EB61EB"/>
    <w:rsid w:val="00ED497C"/>
    <w:rsid w:val="00EE34D8"/>
    <w:rsid w:val="00EE7773"/>
    <w:rsid w:val="00EF166D"/>
    <w:rsid w:val="00EF178F"/>
    <w:rsid w:val="00EF5E59"/>
    <w:rsid w:val="00F542F6"/>
    <w:rsid w:val="00F60574"/>
    <w:rsid w:val="00F664CC"/>
    <w:rsid w:val="00F73D6F"/>
    <w:rsid w:val="00F74F30"/>
    <w:rsid w:val="00FD49D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EF166D"/>
    <w:pPr>
      <w:ind w:left="720"/>
      <w:contextualSpacing/>
    </w:pPr>
  </w:style>
  <w:style w:type="table" w:styleId="TableGrid">
    <w:name w:val="Table Grid"/>
    <w:basedOn w:val="TableNormal"/>
    <w:uiPriority w:val="39"/>
    <w:rsid w:val="00EF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C34"/>
    <w:rPr>
      <w:sz w:val="16"/>
      <w:szCs w:val="16"/>
    </w:rPr>
  </w:style>
  <w:style w:type="paragraph" w:styleId="CommentText">
    <w:name w:val="annotation text"/>
    <w:basedOn w:val="Normal"/>
    <w:link w:val="CommentTextChar"/>
    <w:uiPriority w:val="99"/>
    <w:unhideWhenUsed/>
    <w:rsid w:val="001D1C34"/>
    <w:rPr>
      <w:sz w:val="20"/>
      <w:szCs w:val="20"/>
    </w:rPr>
  </w:style>
  <w:style w:type="character" w:customStyle="1" w:styleId="CommentTextChar">
    <w:name w:val="Comment Text Char"/>
    <w:basedOn w:val="DefaultParagraphFont"/>
    <w:link w:val="CommentText"/>
    <w:uiPriority w:val="99"/>
    <w:rsid w:val="001D1C3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D1C34"/>
    <w:rPr>
      <w:b/>
      <w:bCs/>
    </w:rPr>
  </w:style>
  <w:style w:type="character" w:customStyle="1" w:styleId="CommentSubjectChar">
    <w:name w:val="Comment Subject Char"/>
    <w:basedOn w:val="CommentTextChar"/>
    <w:link w:val="CommentSubject"/>
    <w:uiPriority w:val="99"/>
    <w:semiHidden/>
    <w:rsid w:val="001D1C34"/>
    <w:rPr>
      <w:rFonts w:ascii="Georgia" w:eastAsia="Times New Roman" w:hAnsi="Georgia" w:cs="Times New Roman"/>
      <w:b/>
      <w:bCs/>
      <w:sz w:val="20"/>
      <w:szCs w:val="20"/>
    </w:rPr>
  </w:style>
  <w:style w:type="paragraph" w:styleId="Revision">
    <w:name w:val="Revision"/>
    <w:hidden/>
    <w:uiPriority w:val="99"/>
    <w:semiHidden/>
    <w:rsid w:val="007F33CF"/>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8C3C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EF166D"/>
    <w:pPr>
      <w:ind w:left="720"/>
      <w:contextualSpacing/>
    </w:pPr>
  </w:style>
  <w:style w:type="table" w:styleId="TableGrid">
    <w:name w:val="Table Grid"/>
    <w:basedOn w:val="TableNormal"/>
    <w:uiPriority w:val="39"/>
    <w:rsid w:val="00EF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C34"/>
    <w:rPr>
      <w:sz w:val="16"/>
      <w:szCs w:val="16"/>
    </w:rPr>
  </w:style>
  <w:style w:type="paragraph" w:styleId="CommentText">
    <w:name w:val="annotation text"/>
    <w:basedOn w:val="Normal"/>
    <w:link w:val="CommentTextChar"/>
    <w:uiPriority w:val="99"/>
    <w:unhideWhenUsed/>
    <w:rsid w:val="001D1C34"/>
    <w:rPr>
      <w:sz w:val="20"/>
      <w:szCs w:val="20"/>
    </w:rPr>
  </w:style>
  <w:style w:type="character" w:customStyle="1" w:styleId="CommentTextChar">
    <w:name w:val="Comment Text Char"/>
    <w:basedOn w:val="DefaultParagraphFont"/>
    <w:link w:val="CommentText"/>
    <w:uiPriority w:val="99"/>
    <w:rsid w:val="001D1C3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D1C34"/>
    <w:rPr>
      <w:b/>
      <w:bCs/>
    </w:rPr>
  </w:style>
  <w:style w:type="character" w:customStyle="1" w:styleId="CommentSubjectChar">
    <w:name w:val="Comment Subject Char"/>
    <w:basedOn w:val="CommentTextChar"/>
    <w:link w:val="CommentSubject"/>
    <w:uiPriority w:val="99"/>
    <w:semiHidden/>
    <w:rsid w:val="001D1C34"/>
    <w:rPr>
      <w:rFonts w:ascii="Georgia" w:eastAsia="Times New Roman" w:hAnsi="Georgia" w:cs="Times New Roman"/>
      <w:b/>
      <w:bCs/>
      <w:sz w:val="20"/>
      <w:szCs w:val="20"/>
    </w:rPr>
  </w:style>
  <w:style w:type="paragraph" w:styleId="Revision">
    <w:name w:val="Revision"/>
    <w:hidden/>
    <w:uiPriority w:val="99"/>
    <w:semiHidden/>
    <w:rsid w:val="007F33CF"/>
    <w:pPr>
      <w:spacing w:after="0" w:line="240" w:lineRule="auto"/>
    </w:pPr>
    <w:rPr>
      <w:rFonts w:ascii="Georgia" w:eastAsia="Times New Roman" w:hAnsi="Georgia" w:cs="Times New Roman"/>
    </w:rPr>
  </w:style>
  <w:style w:type="character" w:styleId="FollowedHyperlink">
    <w:name w:val="FollowedHyperlink"/>
    <w:basedOn w:val="DefaultParagraphFont"/>
    <w:uiPriority w:val="99"/>
    <w:semiHidden/>
    <w:unhideWhenUsed/>
    <w:qFormat/>
    <w:rsid w:val="008C3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healthltss.com" TargetMode="External"/><Relationship Id="rId18" Type="http://schemas.openxmlformats.org/officeDocument/2006/relationships/hyperlink" Target="http://www.mass.gov/info-details/masshealth-payment-and-coverage-guideline-tool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ass.gov/regulations/101-CMR-32200-durable-medical-equipment-oxygen-and-respiratory-therapy-equipment" TargetMode="External"/><Relationship Id="rId7" Type="http://schemas.openxmlformats.org/officeDocument/2006/relationships/endnotes" Target="endnotes.xml"/><Relationship Id="rId12" Type="http://schemas.openxmlformats.org/officeDocument/2006/relationships/hyperlink" Target="http://www.mass.gov/lists/2021-eohhs-administrative-bulletins" TargetMode="External"/><Relationship Id="rId17" Type="http://schemas.openxmlformats.org/officeDocument/2006/relationships/hyperlink" Target="http://www.mass.gov/doc/prior-authorization-request-pa-1" TargetMode="External"/><Relationship Id="rId25"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https://www.masshealthltss.com/s/?language=en_US" TargetMode="External"/><Relationship Id="rId20" Type="http://schemas.openxmlformats.org/officeDocument/2006/relationships/hyperlink" Target="https://www.mass.gov/lists/2021-eohhs-administrative-bulletin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regulations/101-CMR-32200-durable-medical-equipment-oxygen-and-respiratory-therapy-equipment" TargetMode="External"/><Relationship Id="rId24" Type="http://schemas.openxmlformats.org/officeDocument/2006/relationships/hyperlink" Target="mailto:support@masshealthltss.com" TargetMode="External"/><Relationship Id="rId5" Type="http://schemas.openxmlformats.org/officeDocument/2006/relationships/webSettings" Target="webSettings.xml"/><Relationship Id="rId15" Type="http://schemas.openxmlformats.org/officeDocument/2006/relationships/hyperlink" Target="http://www.mass.gov/info-details/masshealth-payment-and-coverage-guideline-tools" TargetMode="External"/><Relationship Id="rId23" Type="http://schemas.openxmlformats.org/officeDocument/2006/relationships/hyperlink" Target="https://www.mass.gov/forms/email-notifications-for-provider-bulletins-and-transmittal-letters"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s://www.mass.gov/lists/2018-eohhs-administrative-bulletins"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iles/documents/2017/11/07/mnr-absorbent.pdf" TargetMode="External"/><Relationship Id="rId22" Type="http://schemas.openxmlformats.org/officeDocument/2006/relationships/hyperlink" Target="http://www.mass.gov/masshealth-provider-bulletins" TargetMode="Externa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2021-09-08T18:19:00Z</cp:lastPrinted>
  <dcterms:created xsi:type="dcterms:W3CDTF">2021-09-09T12:48:00Z</dcterms:created>
  <dcterms:modified xsi:type="dcterms:W3CDTF">2021-09-09T12:48:00Z</dcterms:modified>
</cp:coreProperties>
</file>