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BC7" w:rsidRDefault="00155135">
      <w:pPr>
        <w:pStyle w:val="BodyText"/>
        <w:rPr>
          <w:sz w:val="20"/>
        </w:rPr>
      </w:pPr>
      <w:r>
        <w:pict>
          <v:shapetype id="_x0000_t202" coordsize="21600,21600" o:spt="202" path="m,l,21600r21600,l21600,xe">
            <v:stroke joinstyle="miter"/>
            <v:path gradientshapeok="t" o:connecttype="rect"/>
          </v:shapetype>
          <v:shape id="_x0000_s1097" type="#_x0000_t202" style="position:absolute;margin-left:303pt;margin-top:728.5pt;width:6pt;height:13.3pt;z-index:-251668480;mso-position-horizontal-relative:page;mso-position-vertical-relative:page" filled="f" stroked="f">
            <v:textbox inset="0,0,0,0">
              <w:txbxContent>
                <w:p w:rsidR="00594BC7" w:rsidRDefault="00155135">
                  <w:pPr>
                    <w:pStyle w:val="BodyText"/>
                    <w:spacing w:line="266" w:lineRule="exact"/>
                  </w:pPr>
                  <w:r>
                    <w:t>1</w:t>
                  </w:r>
                </w:p>
              </w:txbxContent>
            </v:textbox>
            <w10:wrap anchorx="page" anchory="page"/>
          </v:shape>
        </w:pict>
      </w:r>
      <w:r>
        <w:rPr>
          <w:sz w:val="20"/>
        </w:rPr>
        <w:t>Charles D Baker</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Marylou </w:t>
      </w:r>
      <w:proofErr w:type="spellStart"/>
      <w:r>
        <w:rPr>
          <w:sz w:val="20"/>
        </w:rPr>
        <w:t>Sudders</w:t>
      </w:r>
      <w:proofErr w:type="spellEnd"/>
    </w:p>
    <w:p w:rsidR="00155135" w:rsidRDefault="00155135" w:rsidP="00155135">
      <w:pPr>
        <w:pStyle w:val="BodyText"/>
        <w:rPr>
          <w:sz w:val="20"/>
        </w:rPr>
      </w:pPr>
      <w:r>
        <w:rPr>
          <w:sz w:val="20"/>
        </w:rPr>
        <w:t>Governor</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Secretary</w:t>
      </w:r>
    </w:p>
    <w:p w:rsidR="00155135" w:rsidRDefault="00155135" w:rsidP="00155135">
      <w:pPr>
        <w:pStyle w:val="BodyText"/>
        <w:rPr>
          <w:sz w:val="20"/>
        </w:rPr>
      </w:pPr>
      <w:r>
        <w:rPr>
          <w:sz w:val="20"/>
        </w:rPr>
        <w:t xml:space="preserve">Karen </w:t>
      </w:r>
      <w:proofErr w:type="spellStart"/>
      <w:r>
        <w:rPr>
          <w:sz w:val="20"/>
        </w:rPr>
        <w:t>Polito</w:t>
      </w:r>
      <w:proofErr w:type="spellEnd"/>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Peter J. Forbes</w:t>
      </w:r>
    </w:p>
    <w:p w:rsidR="00155135" w:rsidRDefault="00155135" w:rsidP="00155135">
      <w:pPr>
        <w:pStyle w:val="BodyText"/>
        <w:rPr>
          <w:sz w:val="20"/>
        </w:rPr>
      </w:pPr>
      <w:r>
        <w:rPr>
          <w:sz w:val="20"/>
        </w:rPr>
        <w:t>Lieutenant Governor</w:t>
      </w:r>
      <w:r>
        <w:rPr>
          <w:sz w:val="20"/>
        </w:rPr>
        <w:tab/>
      </w:r>
      <w:r>
        <w:rPr>
          <w:sz w:val="20"/>
        </w:rPr>
        <w:tab/>
      </w:r>
      <w:r>
        <w:rPr>
          <w:sz w:val="20"/>
        </w:rPr>
        <w:tab/>
      </w:r>
      <w:r>
        <w:rPr>
          <w:sz w:val="20"/>
        </w:rPr>
        <w:tab/>
      </w:r>
      <w:r>
        <w:rPr>
          <w:sz w:val="20"/>
        </w:rPr>
        <w:tab/>
      </w:r>
      <w:r>
        <w:rPr>
          <w:sz w:val="20"/>
        </w:rPr>
        <w:tab/>
      </w:r>
      <w:r>
        <w:rPr>
          <w:sz w:val="20"/>
        </w:rPr>
        <w:tab/>
      </w:r>
      <w:r>
        <w:rPr>
          <w:sz w:val="20"/>
        </w:rPr>
        <w:tab/>
        <w:t>Commissioner</w:t>
      </w:r>
    </w:p>
    <w:p w:rsidR="00594BC7" w:rsidRDefault="00594BC7">
      <w:pPr>
        <w:pStyle w:val="BodyText"/>
        <w:rPr>
          <w:sz w:val="20"/>
        </w:rPr>
      </w:pPr>
    </w:p>
    <w:p w:rsidR="00594BC7" w:rsidRDefault="00594BC7">
      <w:pPr>
        <w:pStyle w:val="BodyText"/>
        <w:rPr>
          <w:sz w:val="20"/>
        </w:rPr>
      </w:pPr>
    </w:p>
    <w:p w:rsidR="00594BC7" w:rsidRDefault="00594BC7">
      <w:pPr>
        <w:pStyle w:val="BodyText"/>
        <w:rPr>
          <w:sz w:val="20"/>
        </w:rPr>
      </w:pPr>
    </w:p>
    <w:p w:rsidR="00594BC7" w:rsidRDefault="00594BC7">
      <w:pPr>
        <w:pStyle w:val="BodyText"/>
        <w:rPr>
          <w:sz w:val="20"/>
        </w:rPr>
      </w:pPr>
    </w:p>
    <w:p w:rsidR="00594BC7" w:rsidRDefault="00594BC7">
      <w:pPr>
        <w:pStyle w:val="BodyText"/>
        <w:rPr>
          <w:sz w:val="20"/>
        </w:rPr>
      </w:pPr>
    </w:p>
    <w:p w:rsidR="00594BC7" w:rsidRDefault="00594BC7">
      <w:pPr>
        <w:pStyle w:val="BodyText"/>
        <w:rPr>
          <w:sz w:val="20"/>
        </w:rPr>
      </w:pPr>
    </w:p>
    <w:p w:rsidR="00594BC7" w:rsidRDefault="00594BC7">
      <w:pPr>
        <w:pStyle w:val="BodyText"/>
        <w:rPr>
          <w:sz w:val="20"/>
        </w:rPr>
      </w:pPr>
    </w:p>
    <w:p w:rsidR="00594BC7" w:rsidRDefault="00594BC7">
      <w:pPr>
        <w:pStyle w:val="BodyText"/>
        <w:spacing w:before="7" w:after="1"/>
        <w:rPr>
          <w:sz w:val="15"/>
        </w:rPr>
      </w:pPr>
    </w:p>
    <w:p w:rsidR="00155135" w:rsidRDefault="00155135" w:rsidP="00155135">
      <w:pPr>
        <w:ind w:left="1090" w:right="1090"/>
        <w:jc w:val="center"/>
        <w:rPr>
          <w:rFonts w:ascii="Cambria"/>
          <w:b/>
          <w:sz w:val="36"/>
        </w:rPr>
      </w:pPr>
      <w:r>
        <w:rPr>
          <w:rFonts w:ascii="Cambria"/>
          <w:b/>
          <w:sz w:val="36"/>
        </w:rPr>
        <w:t>Massachusetts</w:t>
      </w:r>
    </w:p>
    <w:p w:rsidR="00155135" w:rsidRPr="00155135" w:rsidRDefault="00155135" w:rsidP="00155135">
      <w:pPr>
        <w:spacing w:before="2"/>
        <w:ind w:left="1090" w:right="1092"/>
        <w:jc w:val="center"/>
        <w:rPr>
          <w:rFonts w:ascii="Cambria"/>
          <w:b/>
          <w:sz w:val="52"/>
        </w:rPr>
      </w:pPr>
      <w:r>
        <w:rPr>
          <w:rFonts w:ascii="Cambria"/>
          <w:b/>
          <w:sz w:val="52"/>
        </w:rPr>
        <w:t>Department of Youth Services 2016 Annual Report</w:t>
      </w:r>
    </w:p>
    <w:p w:rsidR="00155135" w:rsidRDefault="00155135" w:rsidP="00155135">
      <w:pPr>
        <w:spacing w:before="491"/>
        <w:ind w:left="1090" w:right="1090"/>
        <w:jc w:val="center"/>
        <w:rPr>
          <w:b/>
          <w:sz w:val="36"/>
        </w:rPr>
      </w:pPr>
      <w:r>
        <w:rPr>
          <w:b/>
          <w:sz w:val="36"/>
        </w:rPr>
        <w:t>December 2017</w:t>
      </w:r>
    </w:p>
    <w:p w:rsidR="00594BC7" w:rsidRDefault="00594BC7">
      <w:pPr>
        <w:pStyle w:val="BodyText"/>
        <w:ind w:left="510"/>
        <w:rPr>
          <w:sz w:val="20"/>
        </w:rPr>
      </w:pPr>
    </w:p>
    <w:p w:rsidR="00594BC7" w:rsidRDefault="00594BC7">
      <w:pPr>
        <w:rPr>
          <w:sz w:val="20"/>
        </w:rPr>
        <w:sectPr w:rsidR="00594BC7">
          <w:type w:val="continuous"/>
          <w:pgSz w:w="12240" w:h="15840"/>
          <w:pgMar w:top="920" w:right="940" w:bottom="280" w:left="1020" w:header="720" w:footer="720" w:gutter="0"/>
          <w:cols w:space="720"/>
        </w:sectPr>
      </w:pPr>
    </w:p>
    <w:p w:rsidR="00594BC7" w:rsidRDefault="00155135">
      <w:pPr>
        <w:pStyle w:val="Heading5"/>
        <w:spacing w:before="76"/>
        <w:ind w:left="2908" w:right="2664"/>
        <w:jc w:val="center"/>
      </w:pPr>
      <w:r>
        <w:lastRenderedPageBreak/>
        <w:t xml:space="preserve">Massachusetts Department </w:t>
      </w:r>
      <w:proofErr w:type="gramStart"/>
      <w:r>
        <w:t>Of</w:t>
      </w:r>
      <w:proofErr w:type="gramEnd"/>
      <w:r>
        <w:t xml:space="preserve"> Youth Services Calendar Year 2016</w:t>
      </w:r>
    </w:p>
    <w:p w:rsidR="00594BC7" w:rsidRDefault="00155135">
      <w:pPr>
        <w:pStyle w:val="Heading5"/>
        <w:ind w:left="2852" w:right="2664"/>
        <w:jc w:val="center"/>
      </w:pPr>
      <w:r>
        <w:t>EXECUTIVE HIGHLIGHTS</w:t>
      </w:r>
    </w:p>
    <w:p w:rsidR="00594BC7" w:rsidRDefault="00594BC7">
      <w:pPr>
        <w:pStyle w:val="BodyText"/>
        <w:spacing w:before="5"/>
        <w:rPr>
          <w:b/>
          <w:sz w:val="16"/>
        </w:rPr>
      </w:pPr>
    </w:p>
    <w:p w:rsidR="00594BC7" w:rsidRDefault="00155135">
      <w:pPr>
        <w:pStyle w:val="Heading3"/>
      </w:pPr>
      <w:r>
        <w:t>Youth Demographics</w:t>
      </w:r>
    </w:p>
    <w:p w:rsidR="00594BC7" w:rsidRDefault="00155135">
      <w:pPr>
        <w:pStyle w:val="BodyText"/>
        <w:spacing w:before="269"/>
        <w:ind w:left="420"/>
      </w:pPr>
      <w:r>
        <w:t xml:space="preserve">Commitment: </w:t>
      </w:r>
      <w:r>
        <w:rPr>
          <w:u w:val="single"/>
        </w:rPr>
        <w:t>DYS served 991 youth on commitment.</w:t>
      </w:r>
    </w:p>
    <w:p w:rsidR="00594BC7" w:rsidRDefault="00594BC7">
      <w:pPr>
        <w:pStyle w:val="BodyText"/>
        <w:spacing w:before="2"/>
      </w:pPr>
    </w:p>
    <w:p w:rsidR="00594BC7" w:rsidRDefault="00155135">
      <w:pPr>
        <w:pStyle w:val="ListParagraph"/>
        <w:numPr>
          <w:ilvl w:val="0"/>
          <w:numId w:val="3"/>
        </w:numPr>
        <w:tabs>
          <w:tab w:val="left" w:pos="871"/>
          <w:tab w:val="left" w:pos="872"/>
        </w:tabs>
        <w:spacing w:before="0"/>
        <w:ind w:hanging="360"/>
        <w:rPr>
          <w:sz w:val="24"/>
        </w:rPr>
      </w:pPr>
      <w:r>
        <w:tab/>
      </w:r>
      <w:r>
        <w:rPr>
          <w:sz w:val="24"/>
        </w:rPr>
        <w:t>662 on commitment until age</w:t>
      </w:r>
      <w:r>
        <w:rPr>
          <w:spacing w:val="-4"/>
          <w:sz w:val="24"/>
        </w:rPr>
        <w:t xml:space="preserve"> </w:t>
      </w:r>
      <w:r>
        <w:rPr>
          <w:sz w:val="24"/>
        </w:rPr>
        <w:t>18</w:t>
      </w:r>
    </w:p>
    <w:p w:rsidR="00594BC7" w:rsidRDefault="00155135">
      <w:pPr>
        <w:pStyle w:val="ListParagraph"/>
        <w:numPr>
          <w:ilvl w:val="0"/>
          <w:numId w:val="3"/>
        </w:numPr>
        <w:tabs>
          <w:tab w:val="left" w:pos="871"/>
          <w:tab w:val="left" w:pos="872"/>
        </w:tabs>
        <w:spacing w:before="42"/>
        <w:ind w:hanging="360"/>
        <w:rPr>
          <w:sz w:val="24"/>
        </w:rPr>
      </w:pPr>
      <w:r>
        <w:tab/>
      </w:r>
      <w:r>
        <w:rPr>
          <w:sz w:val="24"/>
        </w:rPr>
        <w:t>75 on commitment until age</w:t>
      </w:r>
      <w:r>
        <w:rPr>
          <w:spacing w:val="-4"/>
          <w:sz w:val="24"/>
        </w:rPr>
        <w:t xml:space="preserve"> </w:t>
      </w:r>
      <w:r>
        <w:rPr>
          <w:sz w:val="24"/>
        </w:rPr>
        <w:t>19</w:t>
      </w:r>
    </w:p>
    <w:p w:rsidR="00594BC7" w:rsidRDefault="00155135">
      <w:pPr>
        <w:pStyle w:val="ListParagraph"/>
        <w:numPr>
          <w:ilvl w:val="0"/>
          <w:numId w:val="3"/>
        </w:numPr>
        <w:tabs>
          <w:tab w:val="left" w:pos="871"/>
          <w:tab w:val="left" w:pos="872"/>
        </w:tabs>
        <w:ind w:hanging="360"/>
        <w:rPr>
          <w:sz w:val="24"/>
        </w:rPr>
      </w:pPr>
      <w:r>
        <w:tab/>
      </w:r>
      <w:r>
        <w:rPr>
          <w:sz w:val="24"/>
        </w:rPr>
        <w:t xml:space="preserve">3 on commitment until </w:t>
      </w:r>
      <w:r>
        <w:rPr>
          <w:spacing w:val="-3"/>
          <w:sz w:val="24"/>
        </w:rPr>
        <w:t>age</w:t>
      </w:r>
      <w:r>
        <w:rPr>
          <w:spacing w:val="-1"/>
          <w:sz w:val="24"/>
        </w:rPr>
        <w:t xml:space="preserve"> </w:t>
      </w:r>
      <w:r>
        <w:rPr>
          <w:sz w:val="24"/>
        </w:rPr>
        <w:t>20</w:t>
      </w:r>
    </w:p>
    <w:p w:rsidR="00594BC7" w:rsidRDefault="00155135">
      <w:pPr>
        <w:pStyle w:val="ListParagraph"/>
        <w:numPr>
          <w:ilvl w:val="0"/>
          <w:numId w:val="3"/>
        </w:numPr>
        <w:tabs>
          <w:tab w:val="left" w:pos="871"/>
          <w:tab w:val="left" w:pos="872"/>
        </w:tabs>
        <w:ind w:hanging="360"/>
        <w:rPr>
          <w:sz w:val="24"/>
        </w:rPr>
      </w:pPr>
      <w:r>
        <w:tab/>
      </w:r>
      <w:r>
        <w:rPr>
          <w:sz w:val="24"/>
        </w:rPr>
        <w:t>251 on commitment until age 21, as youthful offenders</w:t>
      </w:r>
    </w:p>
    <w:p w:rsidR="00594BC7" w:rsidRDefault="00155135">
      <w:pPr>
        <w:pStyle w:val="ListParagraph"/>
        <w:numPr>
          <w:ilvl w:val="0"/>
          <w:numId w:val="3"/>
        </w:numPr>
        <w:tabs>
          <w:tab w:val="left" w:pos="871"/>
          <w:tab w:val="left" w:pos="872"/>
        </w:tabs>
        <w:spacing w:before="41"/>
        <w:ind w:hanging="360"/>
        <w:rPr>
          <w:sz w:val="24"/>
        </w:rPr>
      </w:pPr>
      <w:r>
        <w:tab/>
      </w:r>
      <w:r>
        <w:rPr>
          <w:sz w:val="24"/>
        </w:rPr>
        <w:t>40% were committed for serious felonies, e.g. manslaughter, armed robbery and</w:t>
      </w:r>
      <w:r>
        <w:rPr>
          <w:spacing w:val="-11"/>
          <w:sz w:val="24"/>
        </w:rPr>
        <w:t xml:space="preserve"> </w:t>
      </w:r>
      <w:r>
        <w:rPr>
          <w:sz w:val="24"/>
        </w:rPr>
        <w:t>carjacking</w:t>
      </w:r>
    </w:p>
    <w:p w:rsidR="00594BC7" w:rsidRDefault="00155135">
      <w:pPr>
        <w:pStyle w:val="ListParagraph"/>
        <w:numPr>
          <w:ilvl w:val="0"/>
          <w:numId w:val="3"/>
        </w:numPr>
        <w:tabs>
          <w:tab w:val="left" w:pos="871"/>
          <w:tab w:val="left" w:pos="872"/>
        </w:tabs>
        <w:ind w:hanging="360"/>
        <w:rPr>
          <w:sz w:val="24"/>
        </w:rPr>
      </w:pPr>
      <w:r>
        <w:tab/>
      </w:r>
      <w:r>
        <w:rPr>
          <w:sz w:val="24"/>
        </w:rPr>
        <w:t>17.2 years was the average age of the committed</w:t>
      </w:r>
      <w:r>
        <w:rPr>
          <w:spacing w:val="-3"/>
          <w:sz w:val="24"/>
        </w:rPr>
        <w:t xml:space="preserve"> </w:t>
      </w:r>
      <w:r>
        <w:rPr>
          <w:sz w:val="24"/>
        </w:rPr>
        <w:t>population</w:t>
      </w:r>
    </w:p>
    <w:p w:rsidR="00594BC7" w:rsidRDefault="00155135">
      <w:pPr>
        <w:pStyle w:val="ListParagraph"/>
        <w:numPr>
          <w:ilvl w:val="0"/>
          <w:numId w:val="3"/>
        </w:numPr>
        <w:tabs>
          <w:tab w:val="left" w:pos="871"/>
          <w:tab w:val="left" w:pos="872"/>
        </w:tabs>
        <w:spacing w:before="42"/>
        <w:ind w:hanging="360"/>
        <w:rPr>
          <w:sz w:val="24"/>
        </w:rPr>
      </w:pPr>
      <w:r>
        <w:tab/>
      </w:r>
      <w:r>
        <w:rPr>
          <w:sz w:val="24"/>
        </w:rPr>
        <w:t>85% were male and 15% were</w:t>
      </w:r>
      <w:r>
        <w:rPr>
          <w:spacing w:val="-2"/>
          <w:sz w:val="24"/>
        </w:rPr>
        <w:t xml:space="preserve"> </w:t>
      </w:r>
      <w:r>
        <w:rPr>
          <w:sz w:val="24"/>
        </w:rPr>
        <w:t>female</w:t>
      </w:r>
    </w:p>
    <w:p w:rsidR="00594BC7" w:rsidRDefault="00155135">
      <w:pPr>
        <w:pStyle w:val="ListParagraph"/>
        <w:numPr>
          <w:ilvl w:val="0"/>
          <w:numId w:val="3"/>
        </w:numPr>
        <w:tabs>
          <w:tab w:val="left" w:pos="871"/>
          <w:tab w:val="left" w:pos="872"/>
        </w:tabs>
        <w:ind w:hanging="360"/>
        <w:rPr>
          <w:sz w:val="24"/>
        </w:rPr>
      </w:pPr>
      <w:r>
        <w:tab/>
      </w:r>
      <w:r>
        <w:rPr>
          <w:sz w:val="24"/>
        </w:rPr>
        <w:t>Race and</w:t>
      </w:r>
      <w:r>
        <w:rPr>
          <w:spacing w:val="-2"/>
          <w:sz w:val="24"/>
        </w:rPr>
        <w:t xml:space="preserve"> </w:t>
      </w:r>
      <w:r>
        <w:rPr>
          <w:sz w:val="24"/>
        </w:rPr>
        <w:t>Ethnicity:</w:t>
      </w:r>
    </w:p>
    <w:p w:rsidR="00594BC7" w:rsidRDefault="00155135">
      <w:pPr>
        <w:pStyle w:val="ListParagraph"/>
        <w:numPr>
          <w:ilvl w:val="1"/>
          <w:numId w:val="3"/>
        </w:numPr>
        <w:tabs>
          <w:tab w:val="left" w:pos="1319"/>
          <w:tab w:val="left" w:pos="1320"/>
        </w:tabs>
        <w:ind w:left="1320" w:hanging="449"/>
        <w:rPr>
          <w:rFonts w:ascii="Courier New" w:hAnsi="Courier New"/>
          <w:sz w:val="24"/>
        </w:rPr>
      </w:pPr>
      <w:r>
        <w:rPr>
          <w:sz w:val="24"/>
        </w:rPr>
        <w:t>1%</w:t>
      </w:r>
      <w:r>
        <w:rPr>
          <w:spacing w:val="-2"/>
          <w:sz w:val="24"/>
        </w:rPr>
        <w:t xml:space="preserve"> </w:t>
      </w:r>
      <w:r>
        <w:rPr>
          <w:sz w:val="24"/>
        </w:rPr>
        <w:t>Asian</w:t>
      </w:r>
    </w:p>
    <w:p w:rsidR="00594BC7" w:rsidRDefault="00155135">
      <w:pPr>
        <w:pStyle w:val="ListParagraph"/>
        <w:numPr>
          <w:ilvl w:val="1"/>
          <w:numId w:val="3"/>
        </w:numPr>
        <w:tabs>
          <w:tab w:val="left" w:pos="1319"/>
          <w:tab w:val="left" w:pos="1320"/>
        </w:tabs>
        <w:spacing w:before="23"/>
        <w:ind w:left="1320" w:hanging="449"/>
        <w:rPr>
          <w:rFonts w:ascii="Courier New" w:hAnsi="Courier New"/>
          <w:sz w:val="24"/>
        </w:rPr>
      </w:pPr>
      <w:r>
        <w:rPr>
          <w:sz w:val="24"/>
        </w:rPr>
        <w:t>37%</w:t>
      </w:r>
      <w:r>
        <w:rPr>
          <w:spacing w:val="-2"/>
          <w:sz w:val="24"/>
        </w:rPr>
        <w:t xml:space="preserve"> </w:t>
      </w:r>
      <w:r>
        <w:rPr>
          <w:sz w:val="24"/>
        </w:rPr>
        <w:t>Black</w:t>
      </w:r>
    </w:p>
    <w:p w:rsidR="00594BC7" w:rsidRDefault="00155135">
      <w:pPr>
        <w:pStyle w:val="ListParagraph"/>
        <w:numPr>
          <w:ilvl w:val="1"/>
          <w:numId w:val="3"/>
        </w:numPr>
        <w:tabs>
          <w:tab w:val="left" w:pos="1319"/>
          <w:tab w:val="left" w:pos="1320"/>
        </w:tabs>
        <w:spacing w:before="20"/>
        <w:ind w:left="1320" w:hanging="449"/>
        <w:rPr>
          <w:rFonts w:ascii="Courier New" w:hAnsi="Courier New"/>
          <w:sz w:val="24"/>
        </w:rPr>
      </w:pPr>
      <w:r>
        <w:rPr>
          <w:sz w:val="24"/>
        </w:rPr>
        <w:t>37%</w:t>
      </w:r>
      <w:r>
        <w:rPr>
          <w:spacing w:val="-2"/>
          <w:sz w:val="24"/>
        </w:rPr>
        <w:t xml:space="preserve"> </w:t>
      </w:r>
      <w:r>
        <w:rPr>
          <w:sz w:val="24"/>
        </w:rPr>
        <w:t>Hispanic</w:t>
      </w:r>
    </w:p>
    <w:p w:rsidR="00594BC7" w:rsidRDefault="00155135">
      <w:pPr>
        <w:pStyle w:val="ListParagraph"/>
        <w:numPr>
          <w:ilvl w:val="1"/>
          <w:numId w:val="3"/>
        </w:numPr>
        <w:tabs>
          <w:tab w:val="left" w:pos="1319"/>
          <w:tab w:val="left" w:pos="1320"/>
        </w:tabs>
        <w:spacing w:before="21"/>
        <w:ind w:left="1320" w:hanging="449"/>
        <w:rPr>
          <w:rFonts w:ascii="Courier New" w:hAnsi="Courier New"/>
          <w:sz w:val="24"/>
        </w:rPr>
      </w:pPr>
      <w:r>
        <w:rPr>
          <w:sz w:val="24"/>
        </w:rPr>
        <w:t>21%</w:t>
      </w:r>
      <w:r>
        <w:rPr>
          <w:spacing w:val="-1"/>
          <w:sz w:val="24"/>
        </w:rPr>
        <w:t xml:space="preserve"> </w:t>
      </w:r>
      <w:r>
        <w:rPr>
          <w:sz w:val="24"/>
        </w:rPr>
        <w:t>White</w:t>
      </w:r>
    </w:p>
    <w:p w:rsidR="00594BC7" w:rsidRDefault="00155135">
      <w:pPr>
        <w:pStyle w:val="ListParagraph"/>
        <w:numPr>
          <w:ilvl w:val="1"/>
          <w:numId w:val="3"/>
        </w:numPr>
        <w:tabs>
          <w:tab w:val="left" w:pos="1319"/>
          <w:tab w:val="left" w:pos="1320"/>
        </w:tabs>
        <w:spacing w:before="21"/>
        <w:ind w:left="1320" w:hanging="449"/>
        <w:rPr>
          <w:rFonts w:ascii="Courier New" w:hAnsi="Courier New"/>
          <w:sz w:val="24"/>
        </w:rPr>
      </w:pPr>
      <w:r>
        <w:rPr>
          <w:sz w:val="24"/>
        </w:rPr>
        <w:t>4%</w:t>
      </w:r>
      <w:r>
        <w:rPr>
          <w:spacing w:val="-2"/>
          <w:sz w:val="24"/>
        </w:rPr>
        <w:t xml:space="preserve"> </w:t>
      </w:r>
      <w:r>
        <w:rPr>
          <w:sz w:val="24"/>
        </w:rPr>
        <w:t>Other</w:t>
      </w:r>
    </w:p>
    <w:p w:rsidR="00594BC7" w:rsidRDefault="00594BC7">
      <w:pPr>
        <w:pStyle w:val="BodyText"/>
        <w:spacing w:before="9"/>
        <w:rPr>
          <w:sz w:val="25"/>
        </w:rPr>
      </w:pPr>
    </w:p>
    <w:p w:rsidR="00594BC7" w:rsidRDefault="00155135">
      <w:pPr>
        <w:pStyle w:val="BodyText"/>
        <w:ind w:left="420"/>
      </w:pPr>
      <w:r>
        <w:t xml:space="preserve">Detention: </w:t>
      </w:r>
      <w:r>
        <w:rPr>
          <w:u w:val="single"/>
        </w:rPr>
        <w:t>There were 1,859 detention admissions of youth pending future court dates</w:t>
      </w:r>
    </w:p>
    <w:p w:rsidR="00594BC7" w:rsidRDefault="00594BC7">
      <w:pPr>
        <w:pStyle w:val="BodyText"/>
        <w:spacing w:before="2"/>
      </w:pPr>
    </w:p>
    <w:p w:rsidR="00594BC7" w:rsidRDefault="00155135">
      <w:pPr>
        <w:pStyle w:val="ListParagraph"/>
        <w:numPr>
          <w:ilvl w:val="0"/>
          <w:numId w:val="3"/>
        </w:numPr>
        <w:tabs>
          <w:tab w:val="left" w:pos="871"/>
          <w:tab w:val="left" w:pos="872"/>
        </w:tabs>
        <w:spacing w:before="0"/>
        <w:ind w:hanging="360"/>
        <w:rPr>
          <w:sz w:val="24"/>
        </w:rPr>
      </w:pPr>
      <w:r>
        <w:tab/>
      </w:r>
      <w:r>
        <w:rPr>
          <w:sz w:val="24"/>
        </w:rPr>
        <w:t>316 youth were in detention and later on</w:t>
      </w:r>
      <w:r>
        <w:rPr>
          <w:spacing w:val="-2"/>
          <w:sz w:val="24"/>
        </w:rPr>
        <w:t xml:space="preserve"> </w:t>
      </w:r>
      <w:r>
        <w:rPr>
          <w:sz w:val="24"/>
        </w:rPr>
        <w:t>commitment</w:t>
      </w:r>
    </w:p>
    <w:p w:rsidR="00594BC7" w:rsidRDefault="00155135">
      <w:pPr>
        <w:pStyle w:val="ListParagraph"/>
        <w:numPr>
          <w:ilvl w:val="0"/>
          <w:numId w:val="3"/>
        </w:numPr>
        <w:tabs>
          <w:tab w:val="left" w:pos="871"/>
          <w:tab w:val="left" w:pos="872"/>
        </w:tabs>
        <w:spacing w:before="39"/>
        <w:ind w:hanging="360"/>
        <w:rPr>
          <w:sz w:val="24"/>
        </w:rPr>
      </w:pPr>
      <w:r>
        <w:tab/>
      </w:r>
      <w:r>
        <w:rPr>
          <w:sz w:val="24"/>
        </w:rPr>
        <w:t>16.3 years was the average age of the detained</w:t>
      </w:r>
      <w:r>
        <w:rPr>
          <w:spacing w:val="-3"/>
          <w:sz w:val="24"/>
        </w:rPr>
        <w:t xml:space="preserve"> </w:t>
      </w:r>
      <w:r>
        <w:rPr>
          <w:sz w:val="24"/>
        </w:rPr>
        <w:t>population</w:t>
      </w:r>
    </w:p>
    <w:p w:rsidR="00594BC7" w:rsidRDefault="00155135">
      <w:pPr>
        <w:pStyle w:val="ListParagraph"/>
        <w:numPr>
          <w:ilvl w:val="0"/>
          <w:numId w:val="3"/>
        </w:numPr>
        <w:tabs>
          <w:tab w:val="left" w:pos="871"/>
          <w:tab w:val="left" w:pos="872"/>
        </w:tabs>
        <w:ind w:hanging="360"/>
        <w:rPr>
          <w:sz w:val="24"/>
        </w:rPr>
      </w:pPr>
      <w:r>
        <w:tab/>
      </w:r>
      <w:r>
        <w:rPr>
          <w:sz w:val="24"/>
        </w:rPr>
        <w:t>80% were male and 20% were</w:t>
      </w:r>
      <w:r>
        <w:rPr>
          <w:spacing w:val="-2"/>
          <w:sz w:val="24"/>
        </w:rPr>
        <w:t xml:space="preserve"> </w:t>
      </w:r>
      <w:r>
        <w:rPr>
          <w:sz w:val="24"/>
        </w:rPr>
        <w:t>female</w:t>
      </w:r>
    </w:p>
    <w:p w:rsidR="00594BC7" w:rsidRDefault="00155135">
      <w:pPr>
        <w:pStyle w:val="ListParagraph"/>
        <w:numPr>
          <w:ilvl w:val="0"/>
          <w:numId w:val="3"/>
        </w:numPr>
        <w:tabs>
          <w:tab w:val="left" w:pos="871"/>
          <w:tab w:val="left" w:pos="872"/>
        </w:tabs>
        <w:spacing w:before="42"/>
        <w:ind w:hanging="360"/>
        <w:rPr>
          <w:sz w:val="24"/>
        </w:rPr>
      </w:pPr>
      <w:r>
        <w:tab/>
      </w:r>
      <w:r>
        <w:rPr>
          <w:sz w:val="24"/>
        </w:rPr>
        <w:t>29 days was the average length of stay in</w:t>
      </w:r>
      <w:r>
        <w:rPr>
          <w:spacing w:val="-5"/>
          <w:sz w:val="24"/>
        </w:rPr>
        <w:t xml:space="preserve"> </w:t>
      </w:r>
      <w:r>
        <w:rPr>
          <w:sz w:val="24"/>
        </w:rPr>
        <w:t>detention</w:t>
      </w:r>
    </w:p>
    <w:p w:rsidR="00594BC7" w:rsidRDefault="00155135">
      <w:pPr>
        <w:pStyle w:val="ListParagraph"/>
        <w:numPr>
          <w:ilvl w:val="0"/>
          <w:numId w:val="3"/>
        </w:numPr>
        <w:tabs>
          <w:tab w:val="left" w:pos="871"/>
          <w:tab w:val="left" w:pos="872"/>
        </w:tabs>
        <w:ind w:hanging="360"/>
        <w:rPr>
          <w:sz w:val="24"/>
        </w:rPr>
      </w:pPr>
      <w:r>
        <w:tab/>
      </w:r>
      <w:r>
        <w:rPr>
          <w:sz w:val="24"/>
        </w:rPr>
        <w:t>Race and</w:t>
      </w:r>
      <w:r>
        <w:rPr>
          <w:spacing w:val="-2"/>
          <w:sz w:val="24"/>
        </w:rPr>
        <w:t xml:space="preserve"> </w:t>
      </w:r>
      <w:r>
        <w:rPr>
          <w:sz w:val="24"/>
        </w:rPr>
        <w:t>Ethnicity:</w:t>
      </w:r>
    </w:p>
    <w:p w:rsidR="00594BC7" w:rsidRDefault="00155135">
      <w:pPr>
        <w:pStyle w:val="ListParagraph"/>
        <w:numPr>
          <w:ilvl w:val="1"/>
          <w:numId w:val="3"/>
        </w:numPr>
        <w:tabs>
          <w:tab w:val="left" w:pos="1319"/>
          <w:tab w:val="left" w:pos="1320"/>
        </w:tabs>
        <w:spacing w:before="42"/>
        <w:ind w:left="1320" w:hanging="449"/>
        <w:rPr>
          <w:rFonts w:ascii="Courier New" w:hAnsi="Courier New"/>
          <w:sz w:val="24"/>
        </w:rPr>
      </w:pPr>
      <w:r>
        <w:rPr>
          <w:sz w:val="24"/>
        </w:rPr>
        <w:t>1%</w:t>
      </w:r>
      <w:r>
        <w:rPr>
          <w:spacing w:val="-2"/>
          <w:sz w:val="24"/>
        </w:rPr>
        <w:t xml:space="preserve"> </w:t>
      </w:r>
      <w:r>
        <w:rPr>
          <w:sz w:val="24"/>
        </w:rPr>
        <w:t>Asian</w:t>
      </w:r>
    </w:p>
    <w:p w:rsidR="00594BC7" w:rsidRDefault="00155135">
      <w:pPr>
        <w:pStyle w:val="ListParagraph"/>
        <w:numPr>
          <w:ilvl w:val="1"/>
          <w:numId w:val="3"/>
        </w:numPr>
        <w:tabs>
          <w:tab w:val="left" w:pos="1319"/>
          <w:tab w:val="left" w:pos="1320"/>
        </w:tabs>
        <w:spacing w:before="21"/>
        <w:ind w:left="1320" w:hanging="449"/>
        <w:rPr>
          <w:rFonts w:ascii="Courier New" w:hAnsi="Courier New"/>
          <w:sz w:val="24"/>
        </w:rPr>
      </w:pPr>
      <w:r>
        <w:rPr>
          <w:sz w:val="24"/>
        </w:rPr>
        <w:t>28%</w:t>
      </w:r>
      <w:r>
        <w:rPr>
          <w:spacing w:val="-2"/>
          <w:sz w:val="24"/>
        </w:rPr>
        <w:t xml:space="preserve"> </w:t>
      </w:r>
      <w:r>
        <w:rPr>
          <w:sz w:val="24"/>
        </w:rPr>
        <w:t>Black</w:t>
      </w:r>
    </w:p>
    <w:p w:rsidR="00594BC7" w:rsidRDefault="00155135">
      <w:pPr>
        <w:pStyle w:val="ListParagraph"/>
        <w:numPr>
          <w:ilvl w:val="1"/>
          <w:numId w:val="3"/>
        </w:numPr>
        <w:tabs>
          <w:tab w:val="left" w:pos="1319"/>
          <w:tab w:val="left" w:pos="1320"/>
        </w:tabs>
        <w:spacing w:before="20"/>
        <w:ind w:left="1320" w:hanging="449"/>
        <w:rPr>
          <w:rFonts w:ascii="Courier New" w:hAnsi="Courier New"/>
          <w:sz w:val="24"/>
        </w:rPr>
      </w:pPr>
      <w:r>
        <w:rPr>
          <w:sz w:val="24"/>
        </w:rPr>
        <w:t>39%</w:t>
      </w:r>
      <w:r>
        <w:rPr>
          <w:spacing w:val="-2"/>
          <w:sz w:val="24"/>
        </w:rPr>
        <w:t xml:space="preserve"> </w:t>
      </w:r>
      <w:r>
        <w:rPr>
          <w:sz w:val="24"/>
        </w:rPr>
        <w:t>Hispanic</w:t>
      </w:r>
    </w:p>
    <w:p w:rsidR="00594BC7" w:rsidRDefault="00155135">
      <w:pPr>
        <w:pStyle w:val="ListParagraph"/>
        <w:numPr>
          <w:ilvl w:val="1"/>
          <w:numId w:val="3"/>
        </w:numPr>
        <w:tabs>
          <w:tab w:val="left" w:pos="1319"/>
          <w:tab w:val="left" w:pos="1320"/>
        </w:tabs>
        <w:spacing w:before="21"/>
        <w:ind w:left="1320" w:hanging="449"/>
        <w:rPr>
          <w:rFonts w:ascii="Courier New" w:hAnsi="Courier New"/>
          <w:sz w:val="24"/>
        </w:rPr>
      </w:pPr>
      <w:r>
        <w:rPr>
          <w:sz w:val="24"/>
        </w:rPr>
        <w:t>29%</w:t>
      </w:r>
      <w:r>
        <w:rPr>
          <w:spacing w:val="-1"/>
          <w:sz w:val="24"/>
        </w:rPr>
        <w:t xml:space="preserve"> </w:t>
      </w:r>
      <w:r>
        <w:rPr>
          <w:sz w:val="24"/>
        </w:rPr>
        <w:t>White</w:t>
      </w:r>
    </w:p>
    <w:p w:rsidR="00594BC7" w:rsidRDefault="00155135">
      <w:pPr>
        <w:pStyle w:val="ListParagraph"/>
        <w:numPr>
          <w:ilvl w:val="1"/>
          <w:numId w:val="3"/>
        </w:numPr>
        <w:tabs>
          <w:tab w:val="left" w:pos="1319"/>
          <w:tab w:val="left" w:pos="1320"/>
        </w:tabs>
        <w:spacing w:before="23"/>
        <w:ind w:left="1320" w:hanging="449"/>
        <w:rPr>
          <w:rFonts w:ascii="Courier New" w:hAnsi="Courier New"/>
          <w:sz w:val="24"/>
        </w:rPr>
      </w:pPr>
      <w:r>
        <w:rPr>
          <w:sz w:val="24"/>
        </w:rPr>
        <w:t>3%</w:t>
      </w:r>
      <w:r>
        <w:rPr>
          <w:spacing w:val="-2"/>
          <w:sz w:val="24"/>
        </w:rPr>
        <w:t xml:space="preserve"> </w:t>
      </w:r>
      <w:r>
        <w:rPr>
          <w:sz w:val="24"/>
        </w:rPr>
        <w:t>Other</w:t>
      </w:r>
    </w:p>
    <w:p w:rsidR="00594BC7" w:rsidRDefault="00594BC7">
      <w:pPr>
        <w:pStyle w:val="BodyText"/>
        <w:spacing w:before="7"/>
        <w:rPr>
          <w:sz w:val="25"/>
        </w:rPr>
      </w:pPr>
    </w:p>
    <w:p w:rsidR="00594BC7" w:rsidRDefault="00155135">
      <w:pPr>
        <w:pStyle w:val="BodyText"/>
        <w:ind w:left="420"/>
      </w:pPr>
      <w:r>
        <w:t xml:space="preserve">Arrest: </w:t>
      </w:r>
      <w:r>
        <w:rPr>
          <w:u w:val="single"/>
        </w:rPr>
        <w:t>There were 1660 overnight arrest admissions, 1,368 youth held.</w:t>
      </w:r>
    </w:p>
    <w:p w:rsidR="00594BC7" w:rsidRDefault="00594BC7">
      <w:pPr>
        <w:pStyle w:val="BodyText"/>
        <w:spacing w:before="4"/>
        <w:rPr>
          <w:sz w:val="16"/>
        </w:rPr>
      </w:pPr>
    </w:p>
    <w:p w:rsidR="00594BC7" w:rsidRDefault="00155135">
      <w:pPr>
        <w:pStyle w:val="BodyText"/>
        <w:spacing w:before="90" w:line="360" w:lineRule="auto"/>
        <w:ind w:left="871" w:hanging="452"/>
      </w:pPr>
      <w:r>
        <w:t>Voluntary Services: 175 youth (</w:t>
      </w:r>
      <w:r>
        <w:rPr>
          <w:u w:val="single"/>
        </w:rPr>
        <w:t>49% of those discharged) signed up for YES (Youth Engaged in</w:t>
      </w:r>
      <w:r>
        <w:t xml:space="preserve"> </w:t>
      </w:r>
      <w:r>
        <w:rPr>
          <w:u w:val="single"/>
        </w:rPr>
        <w:t>Services) to continue to receive DYS services after discharge.</w:t>
      </w:r>
    </w:p>
    <w:p w:rsidR="00594BC7" w:rsidRDefault="00594BC7">
      <w:pPr>
        <w:spacing w:line="360" w:lineRule="auto"/>
        <w:sectPr w:rsidR="00594BC7">
          <w:footerReference w:type="default" r:id="rId8"/>
          <w:pgSz w:w="12240" w:h="15840"/>
          <w:pgMar w:top="940" w:right="940" w:bottom="1200" w:left="1020" w:header="0" w:footer="1019" w:gutter="0"/>
          <w:pgBorders w:offsetFrom="page">
            <w:top w:val="single" w:sz="18" w:space="24" w:color="000000"/>
            <w:left w:val="single" w:sz="18" w:space="24" w:color="000000"/>
            <w:bottom w:val="single" w:sz="18" w:space="24" w:color="000000"/>
            <w:right w:val="single" w:sz="18" w:space="24" w:color="000000"/>
          </w:pgBorders>
          <w:pgNumType w:start="2"/>
          <w:cols w:space="720"/>
        </w:sectPr>
      </w:pPr>
    </w:p>
    <w:p w:rsidR="00594BC7" w:rsidRDefault="00155135">
      <w:pPr>
        <w:pStyle w:val="Heading3"/>
        <w:spacing w:before="77"/>
        <w:ind w:left="424"/>
      </w:pPr>
      <w:r>
        <w:lastRenderedPageBreak/>
        <w:t>Youth Academic Performance</w:t>
      </w:r>
    </w:p>
    <w:p w:rsidR="00594BC7" w:rsidRDefault="00594BC7">
      <w:pPr>
        <w:pStyle w:val="BodyText"/>
        <w:spacing w:before="2"/>
        <w:rPr>
          <w:b/>
        </w:rPr>
      </w:pPr>
    </w:p>
    <w:tbl>
      <w:tblPr>
        <w:tblW w:w="0" w:type="auto"/>
        <w:tblInd w:w="319" w:type="dxa"/>
        <w:tblLayout w:type="fixed"/>
        <w:tblCellMar>
          <w:left w:w="0" w:type="dxa"/>
          <w:right w:w="0" w:type="dxa"/>
        </w:tblCellMar>
        <w:tblLook w:val="01E0" w:firstRow="1" w:lastRow="1" w:firstColumn="1" w:lastColumn="1" w:noHBand="0" w:noVBand="0"/>
      </w:tblPr>
      <w:tblGrid>
        <w:gridCol w:w="2563"/>
        <w:gridCol w:w="2331"/>
        <w:gridCol w:w="2145"/>
        <w:gridCol w:w="2810"/>
      </w:tblGrid>
      <w:tr w:rsidR="00594BC7">
        <w:trPr>
          <w:trHeight w:val="515"/>
        </w:trPr>
        <w:tc>
          <w:tcPr>
            <w:tcW w:w="9849" w:type="dxa"/>
            <w:gridSpan w:val="4"/>
            <w:tcBorders>
              <w:top w:val="single" w:sz="6" w:space="0" w:color="000000"/>
              <w:left w:val="single" w:sz="6" w:space="0" w:color="000000"/>
              <w:bottom w:val="single" w:sz="6" w:space="0" w:color="000000"/>
              <w:right w:val="single" w:sz="6" w:space="0" w:color="000000"/>
            </w:tcBorders>
          </w:tcPr>
          <w:p w:rsidR="00594BC7" w:rsidRDefault="00155135">
            <w:pPr>
              <w:pStyle w:val="TableParagraph"/>
              <w:spacing w:before="111"/>
              <w:ind w:left="3535" w:right="3524"/>
              <w:jc w:val="center"/>
              <w:rPr>
                <w:sz w:val="24"/>
              </w:rPr>
            </w:pPr>
            <w:r>
              <w:rPr>
                <w:sz w:val="24"/>
              </w:rPr>
              <w:t>10</w:t>
            </w:r>
            <w:r>
              <w:rPr>
                <w:sz w:val="24"/>
                <w:vertAlign w:val="superscript"/>
              </w:rPr>
              <w:t>th</w:t>
            </w:r>
            <w:r>
              <w:rPr>
                <w:sz w:val="24"/>
              </w:rPr>
              <w:t xml:space="preserve"> Grade MCAS Pass Rate</w:t>
            </w:r>
          </w:p>
        </w:tc>
      </w:tr>
      <w:tr w:rsidR="00594BC7">
        <w:trPr>
          <w:trHeight w:val="769"/>
        </w:trPr>
        <w:tc>
          <w:tcPr>
            <w:tcW w:w="2563" w:type="dxa"/>
            <w:tcBorders>
              <w:top w:val="single" w:sz="6" w:space="0" w:color="000000"/>
              <w:left w:val="single" w:sz="6" w:space="0" w:color="000000"/>
            </w:tcBorders>
          </w:tcPr>
          <w:p w:rsidR="00594BC7" w:rsidRDefault="00594BC7">
            <w:pPr>
              <w:pStyle w:val="TableParagraph"/>
              <w:spacing w:before="0"/>
              <w:rPr>
                <w:sz w:val="24"/>
              </w:rPr>
            </w:pPr>
          </w:p>
        </w:tc>
        <w:tc>
          <w:tcPr>
            <w:tcW w:w="2331" w:type="dxa"/>
            <w:tcBorders>
              <w:top w:val="single" w:sz="6" w:space="0" w:color="000000"/>
            </w:tcBorders>
          </w:tcPr>
          <w:p w:rsidR="00594BC7" w:rsidRDefault="00155135">
            <w:pPr>
              <w:pStyle w:val="TableParagraph"/>
              <w:spacing w:before="114"/>
              <w:ind w:left="252" w:right="266"/>
              <w:rPr>
                <w:sz w:val="24"/>
              </w:rPr>
            </w:pPr>
            <w:r>
              <w:rPr>
                <w:sz w:val="24"/>
              </w:rPr>
              <w:t>General Education Students</w:t>
            </w:r>
          </w:p>
        </w:tc>
        <w:tc>
          <w:tcPr>
            <w:tcW w:w="2145" w:type="dxa"/>
            <w:tcBorders>
              <w:top w:val="single" w:sz="6" w:space="0" w:color="000000"/>
            </w:tcBorders>
          </w:tcPr>
          <w:p w:rsidR="00594BC7" w:rsidRDefault="00155135">
            <w:pPr>
              <w:pStyle w:val="TableParagraph"/>
              <w:spacing w:before="114"/>
              <w:ind w:left="302" w:right="509"/>
              <w:rPr>
                <w:sz w:val="24"/>
              </w:rPr>
            </w:pPr>
            <w:r>
              <w:rPr>
                <w:sz w:val="24"/>
              </w:rPr>
              <w:t>Students with Disabilities</w:t>
            </w:r>
          </w:p>
        </w:tc>
        <w:tc>
          <w:tcPr>
            <w:tcW w:w="2810" w:type="dxa"/>
            <w:tcBorders>
              <w:top w:val="single" w:sz="6" w:space="0" w:color="000000"/>
              <w:right w:val="single" w:sz="6" w:space="0" w:color="000000"/>
            </w:tcBorders>
          </w:tcPr>
          <w:p w:rsidR="00594BC7" w:rsidRDefault="00594BC7">
            <w:pPr>
              <w:pStyle w:val="TableParagraph"/>
              <w:spacing w:before="9"/>
              <w:rPr>
                <w:b/>
                <w:sz w:val="21"/>
              </w:rPr>
            </w:pPr>
          </w:p>
          <w:p w:rsidR="00594BC7" w:rsidRDefault="00155135">
            <w:pPr>
              <w:pStyle w:val="TableParagraph"/>
              <w:spacing w:before="0"/>
              <w:ind w:left="540"/>
              <w:rPr>
                <w:sz w:val="24"/>
              </w:rPr>
            </w:pPr>
            <w:r>
              <w:rPr>
                <w:sz w:val="24"/>
              </w:rPr>
              <w:t>All DYS Students</w:t>
            </w:r>
          </w:p>
        </w:tc>
      </w:tr>
      <w:tr w:rsidR="00594BC7">
        <w:trPr>
          <w:trHeight w:val="452"/>
        </w:trPr>
        <w:tc>
          <w:tcPr>
            <w:tcW w:w="2563" w:type="dxa"/>
            <w:tcBorders>
              <w:left w:val="single" w:sz="6" w:space="0" w:color="000000"/>
            </w:tcBorders>
          </w:tcPr>
          <w:p w:rsidR="00594BC7" w:rsidRDefault="00155135">
            <w:pPr>
              <w:pStyle w:val="TableParagraph"/>
              <w:spacing w:before="93"/>
              <w:ind w:left="107"/>
              <w:rPr>
                <w:sz w:val="24"/>
              </w:rPr>
            </w:pPr>
            <w:r>
              <w:rPr>
                <w:sz w:val="24"/>
              </w:rPr>
              <w:t>English Language Arts</w:t>
            </w:r>
          </w:p>
        </w:tc>
        <w:tc>
          <w:tcPr>
            <w:tcW w:w="2331" w:type="dxa"/>
          </w:tcPr>
          <w:p w:rsidR="00594BC7" w:rsidRDefault="00155135">
            <w:pPr>
              <w:pStyle w:val="TableParagraph"/>
              <w:spacing w:before="93"/>
              <w:ind w:left="252"/>
              <w:rPr>
                <w:sz w:val="24"/>
              </w:rPr>
            </w:pPr>
            <w:r>
              <w:rPr>
                <w:sz w:val="24"/>
              </w:rPr>
              <w:t>100%</w:t>
            </w:r>
          </w:p>
        </w:tc>
        <w:tc>
          <w:tcPr>
            <w:tcW w:w="2145" w:type="dxa"/>
          </w:tcPr>
          <w:p w:rsidR="00594BC7" w:rsidRDefault="00155135">
            <w:pPr>
              <w:pStyle w:val="TableParagraph"/>
              <w:spacing w:before="93"/>
              <w:ind w:left="302"/>
              <w:rPr>
                <w:sz w:val="24"/>
              </w:rPr>
            </w:pPr>
            <w:r>
              <w:rPr>
                <w:sz w:val="24"/>
              </w:rPr>
              <w:t>90.5%</w:t>
            </w:r>
          </w:p>
        </w:tc>
        <w:tc>
          <w:tcPr>
            <w:tcW w:w="2810" w:type="dxa"/>
            <w:tcBorders>
              <w:right w:val="single" w:sz="6" w:space="0" w:color="000000"/>
            </w:tcBorders>
          </w:tcPr>
          <w:p w:rsidR="00594BC7" w:rsidRDefault="00155135">
            <w:pPr>
              <w:pStyle w:val="TableParagraph"/>
              <w:spacing w:before="93"/>
              <w:ind w:left="540"/>
              <w:rPr>
                <w:sz w:val="24"/>
              </w:rPr>
            </w:pPr>
            <w:r>
              <w:rPr>
                <w:sz w:val="24"/>
              </w:rPr>
              <w:t>94.9%</w:t>
            </w:r>
          </w:p>
        </w:tc>
      </w:tr>
      <w:tr w:rsidR="00594BC7">
        <w:trPr>
          <w:trHeight w:val="432"/>
        </w:trPr>
        <w:tc>
          <w:tcPr>
            <w:tcW w:w="2563" w:type="dxa"/>
            <w:tcBorders>
              <w:left w:val="single" w:sz="6" w:space="0" w:color="000000"/>
            </w:tcBorders>
          </w:tcPr>
          <w:p w:rsidR="00594BC7" w:rsidRDefault="00155135">
            <w:pPr>
              <w:pStyle w:val="TableParagraph"/>
              <w:spacing w:before="73"/>
              <w:ind w:left="107"/>
              <w:rPr>
                <w:sz w:val="24"/>
              </w:rPr>
            </w:pPr>
            <w:r>
              <w:rPr>
                <w:sz w:val="24"/>
              </w:rPr>
              <w:t>Math</w:t>
            </w:r>
          </w:p>
        </w:tc>
        <w:tc>
          <w:tcPr>
            <w:tcW w:w="2331" w:type="dxa"/>
          </w:tcPr>
          <w:p w:rsidR="00594BC7" w:rsidRDefault="00155135">
            <w:pPr>
              <w:pStyle w:val="TableParagraph"/>
              <w:spacing w:before="73"/>
              <w:ind w:left="252"/>
              <w:rPr>
                <w:sz w:val="24"/>
              </w:rPr>
            </w:pPr>
            <w:r>
              <w:rPr>
                <w:sz w:val="24"/>
              </w:rPr>
              <w:t>92.6%</w:t>
            </w:r>
          </w:p>
        </w:tc>
        <w:tc>
          <w:tcPr>
            <w:tcW w:w="2145" w:type="dxa"/>
          </w:tcPr>
          <w:p w:rsidR="00594BC7" w:rsidRDefault="00155135">
            <w:pPr>
              <w:pStyle w:val="TableParagraph"/>
              <w:spacing w:before="73"/>
              <w:ind w:left="302"/>
              <w:rPr>
                <w:sz w:val="24"/>
              </w:rPr>
            </w:pPr>
            <w:r>
              <w:rPr>
                <w:sz w:val="24"/>
              </w:rPr>
              <w:t>58.2%</w:t>
            </w:r>
          </w:p>
        </w:tc>
        <w:tc>
          <w:tcPr>
            <w:tcW w:w="2810" w:type="dxa"/>
            <w:tcBorders>
              <w:right w:val="single" w:sz="6" w:space="0" w:color="000000"/>
            </w:tcBorders>
          </w:tcPr>
          <w:p w:rsidR="00594BC7" w:rsidRDefault="00155135">
            <w:pPr>
              <w:pStyle w:val="TableParagraph"/>
              <w:spacing w:before="73"/>
              <w:ind w:left="540"/>
              <w:rPr>
                <w:sz w:val="24"/>
              </w:rPr>
            </w:pPr>
            <w:r>
              <w:rPr>
                <w:sz w:val="24"/>
              </w:rPr>
              <w:t>79.2%</w:t>
            </w:r>
          </w:p>
        </w:tc>
      </w:tr>
      <w:tr w:rsidR="00594BC7">
        <w:trPr>
          <w:trHeight w:val="435"/>
        </w:trPr>
        <w:tc>
          <w:tcPr>
            <w:tcW w:w="2563" w:type="dxa"/>
            <w:tcBorders>
              <w:left w:val="single" w:sz="6" w:space="0" w:color="000000"/>
              <w:bottom w:val="single" w:sz="6" w:space="0" w:color="000000"/>
            </w:tcBorders>
          </w:tcPr>
          <w:p w:rsidR="00594BC7" w:rsidRDefault="00155135">
            <w:pPr>
              <w:pStyle w:val="TableParagraph"/>
              <w:spacing w:before="73"/>
              <w:ind w:left="107"/>
              <w:rPr>
                <w:sz w:val="24"/>
              </w:rPr>
            </w:pPr>
            <w:r>
              <w:rPr>
                <w:sz w:val="24"/>
              </w:rPr>
              <w:t>Science</w:t>
            </w:r>
          </w:p>
        </w:tc>
        <w:tc>
          <w:tcPr>
            <w:tcW w:w="2331" w:type="dxa"/>
            <w:tcBorders>
              <w:bottom w:val="single" w:sz="6" w:space="0" w:color="000000"/>
            </w:tcBorders>
          </w:tcPr>
          <w:p w:rsidR="00594BC7" w:rsidRDefault="00155135">
            <w:pPr>
              <w:pStyle w:val="TableParagraph"/>
              <w:spacing w:before="73"/>
              <w:ind w:left="252"/>
              <w:rPr>
                <w:sz w:val="24"/>
              </w:rPr>
            </w:pPr>
            <w:r>
              <w:rPr>
                <w:sz w:val="24"/>
              </w:rPr>
              <w:t>56.0%</w:t>
            </w:r>
          </w:p>
        </w:tc>
        <w:tc>
          <w:tcPr>
            <w:tcW w:w="2145" w:type="dxa"/>
            <w:tcBorders>
              <w:bottom w:val="single" w:sz="6" w:space="0" w:color="000000"/>
            </w:tcBorders>
          </w:tcPr>
          <w:p w:rsidR="00594BC7" w:rsidRDefault="00155135">
            <w:pPr>
              <w:pStyle w:val="TableParagraph"/>
              <w:spacing w:before="73"/>
              <w:ind w:left="302"/>
              <w:rPr>
                <w:sz w:val="24"/>
              </w:rPr>
            </w:pPr>
            <w:r>
              <w:rPr>
                <w:sz w:val="24"/>
              </w:rPr>
              <w:t>29.0%</w:t>
            </w:r>
          </w:p>
        </w:tc>
        <w:tc>
          <w:tcPr>
            <w:tcW w:w="2810" w:type="dxa"/>
            <w:tcBorders>
              <w:bottom w:val="single" w:sz="6" w:space="0" w:color="000000"/>
              <w:right w:val="single" w:sz="6" w:space="0" w:color="000000"/>
            </w:tcBorders>
          </w:tcPr>
          <w:p w:rsidR="00594BC7" w:rsidRDefault="00155135">
            <w:pPr>
              <w:pStyle w:val="TableParagraph"/>
              <w:spacing w:before="73"/>
              <w:ind w:left="540"/>
              <w:rPr>
                <w:sz w:val="24"/>
              </w:rPr>
            </w:pPr>
            <w:r>
              <w:rPr>
                <w:sz w:val="24"/>
              </w:rPr>
              <w:t>36.1%</w:t>
            </w:r>
          </w:p>
        </w:tc>
      </w:tr>
    </w:tbl>
    <w:p w:rsidR="00594BC7" w:rsidRDefault="00594BC7">
      <w:pPr>
        <w:pStyle w:val="BodyText"/>
        <w:rPr>
          <w:b/>
          <w:sz w:val="20"/>
        </w:rPr>
      </w:pPr>
    </w:p>
    <w:p w:rsidR="00594BC7" w:rsidRDefault="00594BC7">
      <w:pPr>
        <w:pStyle w:val="BodyText"/>
        <w:rPr>
          <w:b/>
          <w:sz w:val="28"/>
        </w:r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45"/>
        <w:gridCol w:w="6703"/>
      </w:tblGrid>
      <w:tr w:rsidR="00594BC7">
        <w:trPr>
          <w:trHeight w:val="431"/>
        </w:trPr>
        <w:tc>
          <w:tcPr>
            <w:tcW w:w="9848" w:type="dxa"/>
            <w:gridSpan w:val="2"/>
            <w:tcBorders>
              <w:bottom w:val="single" w:sz="6" w:space="0" w:color="000000"/>
            </w:tcBorders>
          </w:tcPr>
          <w:p w:rsidR="00594BC7" w:rsidRDefault="00155135">
            <w:pPr>
              <w:pStyle w:val="TableParagraph"/>
              <w:spacing w:before="71"/>
              <w:ind w:left="2095"/>
              <w:rPr>
                <w:sz w:val="24"/>
              </w:rPr>
            </w:pPr>
            <w:r>
              <w:rPr>
                <w:sz w:val="24"/>
              </w:rPr>
              <w:t>High School Equivalency Assessment Test (Hi-SET/GED)</w:t>
            </w:r>
          </w:p>
        </w:tc>
      </w:tr>
      <w:tr w:rsidR="00594BC7">
        <w:trPr>
          <w:trHeight w:val="429"/>
        </w:trPr>
        <w:tc>
          <w:tcPr>
            <w:tcW w:w="3145" w:type="dxa"/>
            <w:tcBorders>
              <w:top w:val="single" w:sz="6" w:space="0" w:color="000000"/>
              <w:left w:val="single" w:sz="6" w:space="0" w:color="000000"/>
              <w:bottom w:val="nil"/>
              <w:right w:val="nil"/>
            </w:tcBorders>
          </w:tcPr>
          <w:p w:rsidR="00594BC7" w:rsidRDefault="00155135">
            <w:pPr>
              <w:pStyle w:val="TableParagraph"/>
              <w:spacing w:before="71"/>
              <w:ind w:left="107"/>
              <w:rPr>
                <w:sz w:val="24"/>
              </w:rPr>
            </w:pPr>
            <w:r>
              <w:rPr>
                <w:sz w:val="24"/>
              </w:rPr>
              <w:t>DYS Youth</w:t>
            </w:r>
          </w:p>
        </w:tc>
        <w:tc>
          <w:tcPr>
            <w:tcW w:w="6703" w:type="dxa"/>
            <w:tcBorders>
              <w:top w:val="single" w:sz="6" w:space="0" w:color="000000"/>
              <w:left w:val="nil"/>
              <w:bottom w:val="nil"/>
              <w:right w:val="single" w:sz="6" w:space="0" w:color="000000"/>
            </w:tcBorders>
          </w:tcPr>
          <w:p w:rsidR="00594BC7" w:rsidRDefault="00155135">
            <w:pPr>
              <w:pStyle w:val="TableParagraph"/>
              <w:spacing w:before="71"/>
              <w:ind w:left="1892"/>
              <w:rPr>
                <w:sz w:val="24"/>
              </w:rPr>
            </w:pPr>
            <w:r>
              <w:rPr>
                <w:sz w:val="24"/>
              </w:rPr>
              <w:t>All Massachusetts Youth (including DYS)</w:t>
            </w:r>
          </w:p>
        </w:tc>
      </w:tr>
      <w:tr w:rsidR="00594BC7">
        <w:trPr>
          <w:trHeight w:val="435"/>
        </w:trPr>
        <w:tc>
          <w:tcPr>
            <w:tcW w:w="3145" w:type="dxa"/>
            <w:tcBorders>
              <w:top w:val="nil"/>
              <w:left w:val="single" w:sz="6" w:space="0" w:color="000000"/>
              <w:bottom w:val="single" w:sz="6" w:space="0" w:color="000000"/>
              <w:right w:val="nil"/>
            </w:tcBorders>
          </w:tcPr>
          <w:p w:rsidR="00594BC7" w:rsidRDefault="00155135">
            <w:pPr>
              <w:pStyle w:val="TableParagraph"/>
              <w:spacing w:before="73"/>
              <w:ind w:left="107"/>
              <w:rPr>
                <w:sz w:val="24"/>
              </w:rPr>
            </w:pPr>
            <w:r>
              <w:rPr>
                <w:sz w:val="24"/>
              </w:rPr>
              <w:t>76% Passed</w:t>
            </w:r>
          </w:p>
        </w:tc>
        <w:tc>
          <w:tcPr>
            <w:tcW w:w="6703" w:type="dxa"/>
            <w:tcBorders>
              <w:top w:val="nil"/>
              <w:left w:val="nil"/>
              <w:bottom w:val="single" w:sz="6" w:space="0" w:color="000000"/>
              <w:right w:val="single" w:sz="6" w:space="0" w:color="000000"/>
            </w:tcBorders>
          </w:tcPr>
          <w:p w:rsidR="00594BC7" w:rsidRDefault="00155135">
            <w:pPr>
              <w:pStyle w:val="TableParagraph"/>
              <w:spacing w:before="73"/>
              <w:ind w:left="1892"/>
              <w:rPr>
                <w:sz w:val="24"/>
              </w:rPr>
            </w:pPr>
            <w:r>
              <w:rPr>
                <w:sz w:val="24"/>
              </w:rPr>
              <w:t>71% Passed</w:t>
            </w:r>
          </w:p>
        </w:tc>
      </w:tr>
    </w:tbl>
    <w:p w:rsidR="00594BC7" w:rsidRDefault="00594BC7">
      <w:pPr>
        <w:pStyle w:val="BodyText"/>
        <w:rPr>
          <w:b/>
          <w:sz w:val="20"/>
        </w:rPr>
      </w:pPr>
    </w:p>
    <w:p w:rsidR="00594BC7" w:rsidRDefault="00594BC7">
      <w:pPr>
        <w:pStyle w:val="BodyText"/>
        <w:spacing w:before="10"/>
        <w:rPr>
          <w:b/>
          <w:sz w:val="15"/>
        </w:rPr>
      </w:pPr>
    </w:p>
    <w:tbl>
      <w:tblPr>
        <w:tblW w:w="0" w:type="auto"/>
        <w:tblInd w:w="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72"/>
        <w:gridCol w:w="5576"/>
      </w:tblGrid>
      <w:tr w:rsidR="00594BC7">
        <w:trPr>
          <w:trHeight w:val="431"/>
        </w:trPr>
        <w:tc>
          <w:tcPr>
            <w:tcW w:w="9848" w:type="dxa"/>
            <w:gridSpan w:val="2"/>
            <w:tcBorders>
              <w:bottom w:val="single" w:sz="6" w:space="0" w:color="000000"/>
            </w:tcBorders>
          </w:tcPr>
          <w:p w:rsidR="00594BC7" w:rsidRDefault="00155135">
            <w:pPr>
              <w:pStyle w:val="TableParagraph"/>
              <w:spacing w:before="71"/>
              <w:ind w:left="1886"/>
              <w:rPr>
                <w:sz w:val="24"/>
              </w:rPr>
            </w:pPr>
            <w:r>
              <w:rPr>
                <w:sz w:val="24"/>
              </w:rPr>
              <w:t>Youth Workforce Development and Career Readiness Training</w:t>
            </w:r>
          </w:p>
        </w:tc>
      </w:tr>
      <w:tr w:rsidR="00594BC7">
        <w:trPr>
          <w:trHeight w:val="433"/>
        </w:trPr>
        <w:tc>
          <w:tcPr>
            <w:tcW w:w="4272" w:type="dxa"/>
            <w:tcBorders>
              <w:top w:val="single" w:sz="6" w:space="0" w:color="000000"/>
              <w:left w:val="single" w:sz="6" w:space="0" w:color="000000"/>
              <w:bottom w:val="single" w:sz="6" w:space="0" w:color="000000"/>
              <w:right w:val="nil"/>
            </w:tcBorders>
          </w:tcPr>
          <w:p w:rsidR="00594BC7" w:rsidRDefault="00155135">
            <w:pPr>
              <w:pStyle w:val="TableParagraph"/>
              <w:spacing w:before="71"/>
              <w:ind w:left="107"/>
              <w:rPr>
                <w:sz w:val="24"/>
              </w:rPr>
            </w:pPr>
            <w:r>
              <w:rPr>
                <w:sz w:val="24"/>
              </w:rPr>
              <w:t>70% completed orientation training</w:t>
            </w:r>
          </w:p>
        </w:tc>
        <w:tc>
          <w:tcPr>
            <w:tcW w:w="5576" w:type="dxa"/>
            <w:tcBorders>
              <w:top w:val="single" w:sz="6" w:space="0" w:color="000000"/>
              <w:left w:val="nil"/>
              <w:bottom w:val="single" w:sz="6" w:space="0" w:color="000000"/>
              <w:right w:val="single" w:sz="6" w:space="0" w:color="000000"/>
            </w:tcBorders>
          </w:tcPr>
          <w:p w:rsidR="00594BC7" w:rsidRDefault="00155135">
            <w:pPr>
              <w:pStyle w:val="TableParagraph"/>
              <w:spacing w:before="71"/>
              <w:ind w:left="765"/>
              <w:rPr>
                <w:sz w:val="24"/>
              </w:rPr>
            </w:pPr>
            <w:r>
              <w:rPr>
                <w:sz w:val="24"/>
              </w:rPr>
              <w:t>64% completed subsidized employment</w:t>
            </w:r>
          </w:p>
        </w:tc>
      </w:tr>
    </w:tbl>
    <w:p w:rsidR="00594BC7" w:rsidRDefault="00594BC7">
      <w:pPr>
        <w:rPr>
          <w:sz w:val="24"/>
        </w:rPr>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3"/>
        <w:spacing w:before="161"/>
        <w:ind w:left="2258"/>
      </w:pPr>
      <w:r>
        <w:lastRenderedPageBreak/>
        <w:t>Massachusetts Department of Youth Services</w:t>
      </w:r>
    </w:p>
    <w:p w:rsidR="00594BC7" w:rsidRDefault="00155135">
      <w:pPr>
        <w:pStyle w:val="BodyText"/>
        <w:spacing w:before="269"/>
        <w:ind w:left="420" w:right="765"/>
        <w:jc w:val="both"/>
      </w:pPr>
      <w:r>
        <w:t xml:space="preserve">The Department of Youth Services </w:t>
      </w:r>
      <w:r>
        <w:rPr>
          <w:color w:val="1C1C1C"/>
        </w:rPr>
        <w:t>(DYS)</w:t>
      </w:r>
      <w:r>
        <w:t>, under the Executive Office of Health and Human Services, is charged with providing a comprehensive and coordinated program of delinquency prevention and services to youth detained by or committed to the Department by</w:t>
      </w:r>
      <w:r>
        <w:t xml:space="preserve"> the courts.</w:t>
      </w:r>
    </w:p>
    <w:p w:rsidR="00594BC7" w:rsidRDefault="00594BC7">
      <w:pPr>
        <w:pStyle w:val="BodyText"/>
      </w:pPr>
    </w:p>
    <w:p w:rsidR="00594BC7" w:rsidRDefault="00155135">
      <w:pPr>
        <w:pStyle w:val="BodyText"/>
        <w:spacing w:before="1"/>
        <w:ind w:left="420" w:right="768"/>
        <w:jc w:val="both"/>
      </w:pPr>
      <w:r>
        <w:t>The Department is the first juvenile correctional system established in the nation, founded in 1846 with the opening of the Massachusetts State Reform School in Westborough.</w:t>
      </w:r>
    </w:p>
    <w:p w:rsidR="00594BC7" w:rsidRDefault="00594BC7">
      <w:pPr>
        <w:pStyle w:val="BodyText"/>
        <w:spacing w:before="7"/>
      </w:pPr>
    </w:p>
    <w:p w:rsidR="00594BC7" w:rsidRDefault="00155135">
      <w:pPr>
        <w:pStyle w:val="Heading5"/>
      </w:pPr>
      <w:r>
        <w:rPr>
          <w:color w:val="1C1C1C"/>
        </w:rPr>
        <w:t>MISSION</w:t>
      </w:r>
    </w:p>
    <w:p w:rsidR="00594BC7" w:rsidRDefault="00155135">
      <w:pPr>
        <w:pStyle w:val="BodyText"/>
        <w:spacing w:before="74"/>
        <w:ind w:left="420" w:right="768"/>
        <w:jc w:val="both"/>
      </w:pPr>
      <w:r>
        <w:rPr>
          <w:color w:val="1C1C1C"/>
        </w:rPr>
        <w:t>As the juvenile justice agency for the Commonwealth of Massachusetts, the Department promotes positive change in the youth in our care and custody. Our mission is to make communities safer by improving the life outcomes for youth in our care. We achieve ou</w:t>
      </w:r>
      <w:r>
        <w:rPr>
          <w:color w:val="1C1C1C"/>
        </w:rPr>
        <w:t>r mission through investing in highly qualified staff and a service continuum that engages youth, families and communities in strategies that support positive youth</w:t>
      </w:r>
      <w:r>
        <w:rPr>
          <w:color w:val="1C1C1C"/>
          <w:spacing w:val="-8"/>
        </w:rPr>
        <w:t xml:space="preserve"> </w:t>
      </w:r>
      <w:r>
        <w:rPr>
          <w:color w:val="1C1C1C"/>
        </w:rPr>
        <w:t>development.</w:t>
      </w:r>
    </w:p>
    <w:p w:rsidR="00594BC7" w:rsidRDefault="00594BC7">
      <w:pPr>
        <w:pStyle w:val="BodyText"/>
        <w:spacing w:before="6"/>
        <w:rPr>
          <w:sz w:val="21"/>
        </w:rPr>
      </w:pPr>
    </w:p>
    <w:p w:rsidR="00594BC7" w:rsidRDefault="00155135">
      <w:pPr>
        <w:pStyle w:val="Heading5"/>
      </w:pPr>
      <w:r>
        <w:rPr>
          <w:color w:val="1C1C1C"/>
        </w:rPr>
        <w:t>VISION</w:t>
      </w:r>
    </w:p>
    <w:p w:rsidR="00594BC7" w:rsidRDefault="00155135">
      <w:pPr>
        <w:pStyle w:val="BodyText"/>
        <w:spacing w:before="72"/>
        <w:ind w:left="420" w:right="766"/>
        <w:jc w:val="both"/>
      </w:pPr>
      <w:r>
        <w:rPr>
          <w:color w:val="1C1C1C"/>
        </w:rPr>
        <w:t>Every young person served by the Department will become a valued, prod</w:t>
      </w:r>
      <w:r>
        <w:rPr>
          <w:color w:val="1C1C1C"/>
        </w:rPr>
        <w:t>uctive member of their community and lead a fulfilling life.</w:t>
      </w:r>
    </w:p>
    <w:p w:rsidR="00594BC7" w:rsidRDefault="00594BC7">
      <w:pPr>
        <w:pStyle w:val="BodyText"/>
        <w:spacing w:before="6"/>
        <w:rPr>
          <w:sz w:val="21"/>
        </w:rPr>
      </w:pPr>
    </w:p>
    <w:p w:rsidR="00594BC7" w:rsidRDefault="00155135">
      <w:pPr>
        <w:pStyle w:val="Heading5"/>
      </w:pPr>
      <w:r>
        <w:rPr>
          <w:color w:val="1C1C1C"/>
        </w:rPr>
        <w:t>VALUES</w:t>
      </w:r>
    </w:p>
    <w:p w:rsidR="00594BC7" w:rsidRDefault="00155135">
      <w:pPr>
        <w:pStyle w:val="ListParagraph"/>
        <w:numPr>
          <w:ilvl w:val="0"/>
          <w:numId w:val="2"/>
        </w:numPr>
        <w:tabs>
          <w:tab w:val="left" w:pos="1139"/>
          <w:tab w:val="left" w:pos="1140"/>
        </w:tabs>
        <w:spacing w:before="76" w:line="237" w:lineRule="auto"/>
        <w:ind w:right="1186"/>
        <w:rPr>
          <w:rFonts w:ascii="Symbol" w:hAnsi="Symbol"/>
          <w:color w:val="1C1C1C"/>
          <w:sz w:val="24"/>
        </w:rPr>
      </w:pPr>
      <w:r>
        <w:rPr>
          <w:color w:val="1C1C1C"/>
          <w:sz w:val="24"/>
        </w:rPr>
        <w:t>We unwaveringly and persistently pursue the positive development of youth in our care.</w:t>
      </w:r>
    </w:p>
    <w:p w:rsidR="00594BC7" w:rsidRDefault="00155135">
      <w:pPr>
        <w:pStyle w:val="ListParagraph"/>
        <w:numPr>
          <w:ilvl w:val="0"/>
          <w:numId w:val="2"/>
        </w:numPr>
        <w:tabs>
          <w:tab w:val="left" w:pos="1139"/>
          <w:tab w:val="left" w:pos="1140"/>
        </w:tabs>
        <w:spacing w:before="122"/>
        <w:ind w:right="2056"/>
        <w:rPr>
          <w:rFonts w:ascii="Symbol" w:hAnsi="Symbol"/>
          <w:color w:val="1C1C1C"/>
          <w:sz w:val="24"/>
        </w:rPr>
      </w:pPr>
      <w:r>
        <w:rPr>
          <w:color w:val="1C1C1C"/>
          <w:sz w:val="24"/>
        </w:rPr>
        <w:t>We promote safer communities by providing prevention, intervention</w:t>
      </w:r>
      <w:r>
        <w:rPr>
          <w:color w:val="1C1C1C"/>
          <w:spacing w:val="-16"/>
          <w:sz w:val="24"/>
        </w:rPr>
        <w:t xml:space="preserve"> </w:t>
      </w:r>
      <w:r>
        <w:rPr>
          <w:color w:val="1C1C1C"/>
          <w:sz w:val="24"/>
        </w:rPr>
        <w:t>and rehabilitation</w:t>
      </w:r>
      <w:r>
        <w:rPr>
          <w:color w:val="1C1C1C"/>
          <w:spacing w:val="-1"/>
          <w:sz w:val="24"/>
        </w:rPr>
        <w:t xml:space="preserve"> </w:t>
      </w:r>
      <w:r>
        <w:rPr>
          <w:color w:val="1C1C1C"/>
          <w:sz w:val="24"/>
        </w:rPr>
        <w:t>services.</w:t>
      </w:r>
    </w:p>
    <w:p w:rsidR="00594BC7" w:rsidRDefault="00155135">
      <w:pPr>
        <w:pStyle w:val="ListParagraph"/>
        <w:numPr>
          <w:ilvl w:val="0"/>
          <w:numId w:val="2"/>
        </w:numPr>
        <w:tabs>
          <w:tab w:val="left" w:pos="1139"/>
          <w:tab w:val="left" w:pos="1140"/>
        </w:tabs>
        <w:spacing w:before="122"/>
        <w:rPr>
          <w:rFonts w:ascii="Symbol" w:hAnsi="Symbol"/>
          <w:color w:val="1C1C1C"/>
          <w:sz w:val="24"/>
        </w:rPr>
      </w:pPr>
      <w:r>
        <w:rPr>
          <w:color w:val="1C1C1C"/>
          <w:sz w:val="24"/>
        </w:rPr>
        <w:t>We actively engage and support youth, families and communities as our</w:t>
      </w:r>
      <w:r>
        <w:rPr>
          <w:color w:val="1C1C1C"/>
          <w:spacing w:val="-8"/>
          <w:sz w:val="24"/>
        </w:rPr>
        <w:t xml:space="preserve"> </w:t>
      </w:r>
      <w:r>
        <w:rPr>
          <w:color w:val="1C1C1C"/>
          <w:sz w:val="24"/>
        </w:rPr>
        <w:t>partners.</w:t>
      </w:r>
    </w:p>
    <w:p w:rsidR="00594BC7" w:rsidRDefault="00155135">
      <w:pPr>
        <w:pStyle w:val="ListParagraph"/>
        <w:numPr>
          <w:ilvl w:val="0"/>
          <w:numId w:val="2"/>
        </w:numPr>
        <w:tabs>
          <w:tab w:val="left" w:pos="1139"/>
          <w:tab w:val="left" w:pos="1140"/>
        </w:tabs>
        <w:spacing w:before="118"/>
        <w:rPr>
          <w:rFonts w:ascii="Symbol" w:hAnsi="Symbol"/>
          <w:color w:val="1C1C1C"/>
          <w:sz w:val="24"/>
        </w:rPr>
      </w:pPr>
      <w:r>
        <w:rPr>
          <w:color w:val="1C1C1C"/>
          <w:sz w:val="24"/>
        </w:rPr>
        <w:t>We actively support a safe and healthy environment for our</w:t>
      </w:r>
      <w:r>
        <w:rPr>
          <w:color w:val="1C1C1C"/>
          <w:spacing w:val="-14"/>
          <w:sz w:val="24"/>
        </w:rPr>
        <w:t xml:space="preserve"> </w:t>
      </w:r>
      <w:r>
        <w:rPr>
          <w:color w:val="1C1C1C"/>
          <w:sz w:val="24"/>
        </w:rPr>
        <w:t>workforce.</w:t>
      </w:r>
    </w:p>
    <w:p w:rsidR="00594BC7" w:rsidRDefault="00155135">
      <w:pPr>
        <w:pStyle w:val="ListParagraph"/>
        <w:numPr>
          <w:ilvl w:val="0"/>
          <w:numId w:val="2"/>
        </w:numPr>
        <w:tabs>
          <w:tab w:val="left" w:pos="1139"/>
          <w:tab w:val="left" w:pos="1140"/>
        </w:tabs>
        <w:spacing w:before="119"/>
        <w:rPr>
          <w:rFonts w:ascii="Symbol" w:hAnsi="Symbol"/>
          <w:color w:val="1C1C1C"/>
          <w:sz w:val="24"/>
        </w:rPr>
      </w:pPr>
      <w:r>
        <w:rPr>
          <w:color w:val="1C1C1C"/>
          <w:sz w:val="24"/>
        </w:rPr>
        <w:t>We work collaboratively with our public and private</w:t>
      </w:r>
      <w:r>
        <w:rPr>
          <w:color w:val="1C1C1C"/>
          <w:spacing w:val="-8"/>
          <w:sz w:val="24"/>
        </w:rPr>
        <w:t xml:space="preserve"> </w:t>
      </w:r>
      <w:r>
        <w:rPr>
          <w:color w:val="1C1C1C"/>
          <w:sz w:val="24"/>
        </w:rPr>
        <w:t>partners.</w:t>
      </w:r>
    </w:p>
    <w:p w:rsidR="00594BC7" w:rsidRDefault="00155135">
      <w:pPr>
        <w:pStyle w:val="ListParagraph"/>
        <w:numPr>
          <w:ilvl w:val="0"/>
          <w:numId w:val="2"/>
        </w:numPr>
        <w:tabs>
          <w:tab w:val="left" w:pos="1139"/>
          <w:tab w:val="left" w:pos="1140"/>
        </w:tabs>
        <w:spacing w:before="119"/>
        <w:rPr>
          <w:rFonts w:ascii="Symbol" w:hAnsi="Symbol"/>
          <w:color w:val="1C1C1C"/>
          <w:sz w:val="24"/>
        </w:rPr>
      </w:pPr>
      <w:r>
        <w:rPr>
          <w:color w:val="1C1C1C"/>
          <w:sz w:val="24"/>
        </w:rPr>
        <w:t>We adhere to the highest ethical and profess</w:t>
      </w:r>
      <w:r>
        <w:rPr>
          <w:color w:val="1C1C1C"/>
          <w:sz w:val="24"/>
        </w:rPr>
        <w:t>ional standards in all our</w:t>
      </w:r>
      <w:r>
        <w:rPr>
          <w:color w:val="1C1C1C"/>
          <w:spacing w:val="-6"/>
          <w:sz w:val="24"/>
        </w:rPr>
        <w:t xml:space="preserve"> </w:t>
      </w:r>
      <w:r>
        <w:rPr>
          <w:color w:val="1C1C1C"/>
          <w:sz w:val="24"/>
        </w:rPr>
        <w:t>work.</w:t>
      </w:r>
    </w:p>
    <w:p w:rsidR="00594BC7" w:rsidRDefault="00155135">
      <w:pPr>
        <w:pStyle w:val="ListParagraph"/>
        <w:numPr>
          <w:ilvl w:val="0"/>
          <w:numId w:val="2"/>
        </w:numPr>
        <w:tabs>
          <w:tab w:val="left" w:pos="1139"/>
          <w:tab w:val="left" w:pos="1140"/>
        </w:tabs>
        <w:spacing w:before="119"/>
        <w:rPr>
          <w:rFonts w:ascii="Symbol" w:hAnsi="Symbol"/>
          <w:color w:val="1C1C1C"/>
          <w:sz w:val="24"/>
        </w:rPr>
      </w:pPr>
      <w:r>
        <w:rPr>
          <w:color w:val="1C1C1C"/>
          <w:sz w:val="24"/>
        </w:rPr>
        <w:t>We respect and embrace</w:t>
      </w:r>
      <w:r>
        <w:rPr>
          <w:color w:val="1C1C1C"/>
          <w:spacing w:val="1"/>
          <w:sz w:val="24"/>
        </w:rPr>
        <w:t xml:space="preserve"> </w:t>
      </w:r>
      <w:r>
        <w:rPr>
          <w:color w:val="1C1C1C"/>
          <w:sz w:val="24"/>
        </w:rPr>
        <w:t>diversity.</w:t>
      </w:r>
    </w:p>
    <w:p w:rsidR="00594BC7" w:rsidRDefault="00594BC7">
      <w:pPr>
        <w:rPr>
          <w:rFonts w:ascii="Symbol" w:hAnsi="Symbol"/>
          <w:sz w:val="24"/>
        </w:rPr>
        <w:sectPr w:rsidR="00594BC7">
          <w:pgSz w:w="12240" w:h="15840"/>
          <w:pgMar w:top="150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594BC7">
      <w:pPr>
        <w:pStyle w:val="BodyText"/>
        <w:ind w:left="109"/>
        <w:rPr>
          <w:sz w:val="20"/>
        </w:rPr>
      </w:pPr>
    </w:p>
    <w:p w:rsidR="00594BC7" w:rsidRDefault="00155135">
      <w:pPr>
        <w:spacing w:before="32"/>
        <w:ind w:left="412"/>
        <w:rPr>
          <w:rFonts w:ascii="Arial"/>
          <w:sz w:val="16"/>
        </w:rPr>
      </w:pPr>
      <w:r>
        <w:pict>
          <v:shape id="_x0000_s1090" type="#_x0000_t202" style="position:absolute;left:0;text-align:left;margin-left:54pt;margin-top:-66.45pt;width:5.1pt;height:13.55pt;z-index:-251666432;mso-position-horizontal-relative:page" filled="f" stroked="f">
            <v:textbox inset="0,0,0,0">
              <w:txbxContent>
                <w:p w:rsidR="00594BC7" w:rsidRDefault="00155135">
                  <w:pPr>
                    <w:spacing w:before="1"/>
                    <w:rPr>
                      <w:rFonts w:ascii="Symbol" w:hAnsi="Symbol"/>
                    </w:rPr>
                  </w:pPr>
                  <w:r>
                    <w:rPr>
                      <w:rFonts w:ascii="Symbol" w:hAnsi="Symbol"/>
                    </w:rPr>
                    <w:t></w:t>
                  </w:r>
                </w:p>
              </w:txbxContent>
            </v:textbox>
            <w10:wrap anchorx="page"/>
          </v:shape>
        </w:pict>
      </w:r>
      <w:r>
        <w:rPr>
          <w:rFonts w:ascii="Arial"/>
          <w:color w:val="002060"/>
          <w:sz w:val="16"/>
        </w:rPr>
        <w:t>CHARLES D. BA</w:t>
      </w:r>
      <w:bookmarkStart w:id="0" w:name="The_Commonwealth_of_Massachusetts"/>
      <w:bookmarkEnd w:id="0"/>
      <w:r>
        <w:rPr>
          <w:rFonts w:ascii="Arial"/>
          <w:color w:val="002060"/>
          <w:sz w:val="16"/>
        </w:rPr>
        <w:t>KER</w:t>
      </w:r>
    </w:p>
    <w:p w:rsidR="00594BC7" w:rsidRDefault="00155135">
      <w:pPr>
        <w:spacing w:before="1"/>
        <w:ind w:left="412"/>
        <w:rPr>
          <w:rFonts w:ascii="Arial"/>
          <w:sz w:val="16"/>
        </w:rPr>
      </w:pPr>
      <w:r>
        <w:rPr>
          <w:rFonts w:ascii="Arial"/>
          <w:color w:val="002060"/>
          <w:sz w:val="16"/>
        </w:rPr>
        <w:t>Governor</w:t>
      </w:r>
    </w:p>
    <w:p w:rsidR="00594BC7" w:rsidRDefault="00594BC7">
      <w:pPr>
        <w:pStyle w:val="BodyText"/>
        <w:spacing w:before="10"/>
        <w:rPr>
          <w:rFonts w:ascii="Arial"/>
          <w:sz w:val="23"/>
        </w:rPr>
      </w:pPr>
    </w:p>
    <w:p w:rsidR="00594BC7" w:rsidRDefault="00155135">
      <w:pPr>
        <w:ind w:left="412"/>
        <w:rPr>
          <w:rFonts w:ascii="Arial"/>
          <w:sz w:val="16"/>
        </w:rPr>
      </w:pPr>
      <w:r>
        <w:rPr>
          <w:rFonts w:ascii="Arial"/>
          <w:color w:val="002060"/>
          <w:sz w:val="16"/>
        </w:rPr>
        <w:t>KARYN E. POLITO</w:t>
      </w:r>
    </w:p>
    <w:p w:rsidR="00594BC7" w:rsidRDefault="00155135">
      <w:pPr>
        <w:spacing w:before="1"/>
        <w:ind w:left="412"/>
        <w:rPr>
          <w:rFonts w:ascii="Arial"/>
          <w:sz w:val="16"/>
        </w:rPr>
      </w:pPr>
      <w:r>
        <w:rPr>
          <w:rFonts w:ascii="Arial"/>
          <w:color w:val="002060"/>
          <w:sz w:val="16"/>
        </w:rPr>
        <w:t>Lieutenant Governor</w:t>
      </w:r>
    </w:p>
    <w:p w:rsidR="00594BC7" w:rsidRDefault="00594BC7">
      <w:pPr>
        <w:pStyle w:val="BodyText"/>
        <w:spacing w:before="10"/>
        <w:rPr>
          <w:rFonts w:ascii="Arial"/>
          <w:sz w:val="15"/>
        </w:rPr>
      </w:pPr>
    </w:p>
    <w:p w:rsidR="00594BC7" w:rsidRDefault="00155135">
      <w:pPr>
        <w:ind w:left="412"/>
        <w:rPr>
          <w:rFonts w:ascii="Arial"/>
          <w:i/>
          <w:sz w:val="16"/>
        </w:rPr>
      </w:pPr>
      <w:r>
        <w:rPr>
          <w:rFonts w:ascii="Arial"/>
          <w:i/>
          <w:color w:val="002060"/>
          <w:sz w:val="16"/>
        </w:rPr>
        <w:t>MARYLOU SUDDERS</w:t>
      </w:r>
    </w:p>
    <w:p w:rsidR="00594BC7" w:rsidRDefault="00155135">
      <w:pPr>
        <w:spacing w:before="1"/>
        <w:ind w:left="412"/>
        <w:rPr>
          <w:rFonts w:ascii="Arial"/>
          <w:sz w:val="16"/>
        </w:rPr>
      </w:pPr>
      <w:r>
        <w:rPr>
          <w:rFonts w:ascii="Arial"/>
          <w:color w:val="002060"/>
          <w:sz w:val="16"/>
        </w:rPr>
        <w:t>Secretary</w:t>
      </w:r>
    </w:p>
    <w:p w:rsidR="00594BC7" w:rsidRDefault="00594BC7">
      <w:pPr>
        <w:pStyle w:val="BodyText"/>
        <w:spacing w:before="11"/>
        <w:rPr>
          <w:rFonts w:ascii="Arial"/>
          <w:sz w:val="15"/>
        </w:rPr>
      </w:pPr>
    </w:p>
    <w:p w:rsidR="00594BC7" w:rsidRDefault="00155135">
      <w:pPr>
        <w:ind w:left="412"/>
        <w:rPr>
          <w:rFonts w:ascii="Arial"/>
          <w:i/>
          <w:sz w:val="16"/>
        </w:rPr>
      </w:pPr>
      <w:r>
        <w:rPr>
          <w:rFonts w:ascii="Arial"/>
          <w:i/>
          <w:color w:val="002060"/>
          <w:sz w:val="16"/>
        </w:rPr>
        <w:t>PETER J. FORBES</w:t>
      </w:r>
    </w:p>
    <w:p w:rsidR="00594BC7" w:rsidRDefault="00155135">
      <w:pPr>
        <w:spacing w:before="1"/>
        <w:ind w:left="412"/>
        <w:rPr>
          <w:rFonts w:ascii="Arial"/>
          <w:sz w:val="16"/>
        </w:rPr>
      </w:pPr>
      <w:r>
        <w:rPr>
          <w:rFonts w:ascii="Arial"/>
          <w:color w:val="002060"/>
          <w:sz w:val="16"/>
        </w:rPr>
        <w:t>Commissioner</w:t>
      </w:r>
    </w:p>
    <w:p w:rsidR="00594BC7" w:rsidRDefault="00155135">
      <w:pPr>
        <w:pStyle w:val="BodyText"/>
        <w:spacing w:before="3"/>
        <w:rPr>
          <w:rFonts w:ascii="Arial"/>
          <w:sz w:val="42"/>
        </w:rPr>
      </w:pPr>
      <w:r>
        <w:br w:type="column"/>
      </w:r>
    </w:p>
    <w:p w:rsidR="00594BC7" w:rsidRDefault="00155135" w:rsidP="00155135">
      <w:pPr>
        <w:pStyle w:val="Heading4"/>
        <w:jc w:val="center"/>
      </w:pPr>
      <w:r>
        <w:rPr>
          <w:color w:val="365F91"/>
        </w:rPr>
        <w:t>The Commonwealth of Massachusetts</w:t>
      </w:r>
    </w:p>
    <w:p w:rsidR="00155135" w:rsidRDefault="00155135" w:rsidP="00155135">
      <w:pPr>
        <w:spacing w:before="14" w:line="245" w:lineRule="exact"/>
        <w:ind w:left="683"/>
        <w:jc w:val="center"/>
        <w:rPr>
          <w:rFonts w:ascii="Book Antiqua"/>
          <w:sz w:val="20"/>
        </w:rPr>
      </w:pPr>
      <w:r>
        <w:rPr>
          <w:rFonts w:ascii="Book Antiqua"/>
          <w:color w:val="000080"/>
          <w:sz w:val="20"/>
        </w:rPr>
        <w:t>Executive Office of Health and Human</w:t>
      </w:r>
      <w:r>
        <w:rPr>
          <w:rFonts w:ascii="Book Antiqua"/>
          <w:color w:val="000080"/>
          <w:spacing w:val="-21"/>
          <w:sz w:val="20"/>
        </w:rPr>
        <w:t xml:space="preserve"> </w:t>
      </w:r>
      <w:r>
        <w:rPr>
          <w:rFonts w:ascii="Book Antiqua"/>
          <w:color w:val="000080"/>
          <w:sz w:val="20"/>
        </w:rPr>
        <w:t>Services</w:t>
      </w:r>
    </w:p>
    <w:p w:rsidR="00155135" w:rsidRDefault="00155135" w:rsidP="00155135">
      <w:pPr>
        <w:spacing w:line="353" w:lineRule="exact"/>
        <w:ind w:left="727"/>
        <w:jc w:val="center"/>
        <w:rPr>
          <w:rFonts w:ascii="Book Antiqua"/>
          <w:b/>
          <w:sz w:val="30"/>
        </w:rPr>
      </w:pPr>
      <w:r>
        <w:rPr>
          <w:rFonts w:ascii="Book Antiqua"/>
          <w:b/>
          <w:color w:val="000080"/>
          <w:sz w:val="30"/>
        </w:rPr>
        <w:t>Department of Youth</w:t>
      </w:r>
      <w:r>
        <w:rPr>
          <w:rFonts w:ascii="Book Antiqua"/>
          <w:b/>
          <w:color w:val="000080"/>
          <w:spacing w:val="-8"/>
          <w:sz w:val="30"/>
        </w:rPr>
        <w:t xml:space="preserve"> </w:t>
      </w:r>
      <w:r>
        <w:rPr>
          <w:rFonts w:ascii="Book Antiqua"/>
          <w:b/>
          <w:color w:val="000080"/>
          <w:sz w:val="30"/>
        </w:rPr>
        <w:t>Services</w:t>
      </w:r>
    </w:p>
    <w:p w:rsidR="00155135" w:rsidRDefault="00155135" w:rsidP="00155135">
      <w:pPr>
        <w:spacing w:line="249" w:lineRule="auto"/>
        <w:ind w:left="1401" w:right="1405"/>
        <w:jc w:val="center"/>
        <w:rPr>
          <w:rFonts w:ascii="Book Antiqua"/>
          <w:sz w:val="20"/>
        </w:rPr>
      </w:pPr>
      <w:r>
        <w:rPr>
          <w:rFonts w:ascii="Book Antiqua"/>
          <w:color w:val="000080"/>
          <w:sz w:val="20"/>
        </w:rPr>
        <w:t>600 Washington Street, 4</w:t>
      </w:r>
      <w:proofErr w:type="spellStart"/>
      <w:r>
        <w:rPr>
          <w:rFonts w:ascii="Book Antiqua"/>
          <w:color w:val="000080"/>
          <w:position w:val="5"/>
          <w:sz w:val="13"/>
        </w:rPr>
        <w:t>th</w:t>
      </w:r>
      <w:proofErr w:type="spellEnd"/>
      <w:r>
        <w:rPr>
          <w:rFonts w:ascii="Book Antiqua"/>
          <w:color w:val="000080"/>
          <w:position w:val="5"/>
          <w:sz w:val="13"/>
        </w:rPr>
        <w:t xml:space="preserve"> </w:t>
      </w:r>
      <w:r>
        <w:rPr>
          <w:rFonts w:ascii="Book Antiqua"/>
          <w:color w:val="000080"/>
          <w:sz w:val="20"/>
        </w:rPr>
        <w:t>floor Boston, MA 02111</w:t>
      </w:r>
    </w:p>
    <w:p w:rsidR="00594BC7" w:rsidRDefault="00155135">
      <w:pPr>
        <w:pStyle w:val="BodyText"/>
        <w:rPr>
          <w:rFonts w:ascii="Book Antiqua"/>
          <w:b/>
          <w:i/>
          <w:sz w:val="20"/>
        </w:rPr>
      </w:pPr>
      <w:r>
        <w:br w:type="column"/>
      </w:r>
    </w:p>
    <w:p w:rsidR="00594BC7" w:rsidRDefault="00594BC7">
      <w:pPr>
        <w:pStyle w:val="BodyText"/>
        <w:rPr>
          <w:rFonts w:ascii="Book Antiqua"/>
          <w:b/>
          <w:i/>
          <w:sz w:val="20"/>
        </w:rPr>
      </w:pPr>
    </w:p>
    <w:p w:rsidR="00594BC7" w:rsidRDefault="00594BC7">
      <w:pPr>
        <w:pStyle w:val="BodyText"/>
        <w:rPr>
          <w:rFonts w:ascii="Book Antiqua"/>
          <w:b/>
          <w:i/>
          <w:sz w:val="20"/>
        </w:rPr>
      </w:pPr>
    </w:p>
    <w:p w:rsidR="00594BC7" w:rsidRDefault="00594BC7">
      <w:pPr>
        <w:pStyle w:val="BodyText"/>
        <w:rPr>
          <w:rFonts w:ascii="Book Antiqua"/>
          <w:b/>
          <w:i/>
          <w:sz w:val="20"/>
        </w:rPr>
      </w:pPr>
    </w:p>
    <w:p w:rsidR="00594BC7" w:rsidRDefault="00594BC7">
      <w:pPr>
        <w:pStyle w:val="BodyText"/>
        <w:rPr>
          <w:rFonts w:ascii="Book Antiqua"/>
          <w:b/>
          <w:i/>
          <w:sz w:val="20"/>
        </w:rPr>
      </w:pPr>
    </w:p>
    <w:p w:rsidR="00594BC7" w:rsidRDefault="00594BC7">
      <w:pPr>
        <w:pStyle w:val="BodyText"/>
        <w:rPr>
          <w:rFonts w:ascii="Book Antiqua"/>
          <w:b/>
          <w:i/>
          <w:sz w:val="20"/>
        </w:rPr>
      </w:pPr>
    </w:p>
    <w:p w:rsidR="00594BC7" w:rsidRDefault="00594BC7">
      <w:pPr>
        <w:pStyle w:val="BodyText"/>
        <w:rPr>
          <w:rFonts w:ascii="Book Antiqua"/>
          <w:b/>
          <w:i/>
          <w:sz w:val="20"/>
        </w:rPr>
      </w:pPr>
    </w:p>
    <w:p w:rsidR="00594BC7" w:rsidRDefault="00594BC7">
      <w:pPr>
        <w:pStyle w:val="BodyText"/>
        <w:spacing w:before="6"/>
        <w:rPr>
          <w:rFonts w:ascii="Book Antiqua"/>
          <w:b/>
          <w:i/>
          <w:sz w:val="27"/>
        </w:rPr>
      </w:pPr>
    </w:p>
    <w:p w:rsidR="00594BC7" w:rsidRDefault="00155135">
      <w:pPr>
        <w:ind w:left="92" w:right="156"/>
        <w:jc w:val="center"/>
        <w:rPr>
          <w:rFonts w:ascii="Arial"/>
          <w:b/>
          <w:sz w:val="18"/>
        </w:rPr>
      </w:pPr>
      <w:r>
        <w:rPr>
          <w:rFonts w:ascii="Arial"/>
          <w:b/>
          <w:color w:val="000080"/>
          <w:sz w:val="18"/>
        </w:rPr>
        <w:t>617-727-7575</w:t>
      </w:r>
    </w:p>
    <w:p w:rsidR="00594BC7" w:rsidRDefault="00155135">
      <w:pPr>
        <w:spacing w:before="33"/>
        <w:ind w:left="92" w:right="156"/>
        <w:jc w:val="center"/>
        <w:rPr>
          <w:rFonts w:ascii="Arial"/>
          <w:b/>
          <w:sz w:val="18"/>
        </w:rPr>
      </w:pPr>
      <w:r>
        <w:rPr>
          <w:rFonts w:ascii="Arial"/>
          <w:b/>
          <w:color w:val="000080"/>
          <w:sz w:val="18"/>
        </w:rPr>
        <w:t>FAX#: 617-727-0696</w:t>
      </w:r>
    </w:p>
    <w:p w:rsidR="00594BC7" w:rsidRDefault="00155135">
      <w:pPr>
        <w:spacing w:before="33"/>
        <w:ind w:left="92" w:right="154"/>
        <w:jc w:val="center"/>
        <w:rPr>
          <w:rFonts w:ascii="Arial"/>
          <w:b/>
          <w:i/>
          <w:sz w:val="18"/>
        </w:rPr>
      </w:pPr>
      <w:hyperlink r:id="rId9">
        <w:r>
          <w:rPr>
            <w:rFonts w:ascii="Arial"/>
            <w:b/>
            <w:i/>
            <w:color w:val="0000FF"/>
            <w:sz w:val="18"/>
            <w:u w:val="single" w:color="0000FF"/>
          </w:rPr>
          <w:t>www.mass.gov</w:t>
        </w:r>
      </w:hyperlink>
    </w:p>
    <w:p w:rsidR="00594BC7" w:rsidRDefault="00594BC7">
      <w:pPr>
        <w:jc w:val="center"/>
        <w:rPr>
          <w:rFonts w:ascii="Arial"/>
          <w:sz w:val="18"/>
        </w:rPr>
        <w:sectPr w:rsidR="00594BC7">
          <w:pgSz w:w="12240" w:h="15840"/>
          <w:pgMar w:top="840" w:right="940" w:bottom="1200" w:left="1020" w:header="0" w:footer="1019" w:gutter="0"/>
          <w:pgBorders w:offsetFrom="page">
            <w:top w:val="single" w:sz="18" w:space="24" w:color="000000"/>
            <w:left w:val="single" w:sz="18" w:space="24" w:color="000000"/>
            <w:bottom w:val="single" w:sz="18" w:space="24" w:color="000000"/>
            <w:right w:val="single" w:sz="18" w:space="24" w:color="000000"/>
          </w:pgBorders>
          <w:cols w:num="3" w:space="720" w:equalWidth="0">
            <w:col w:w="2072" w:space="938"/>
            <w:col w:w="4566" w:space="725"/>
            <w:col w:w="1979"/>
          </w:cols>
        </w:sectPr>
      </w:pPr>
    </w:p>
    <w:p w:rsidR="00594BC7" w:rsidRDefault="00594BC7">
      <w:pPr>
        <w:pStyle w:val="BodyText"/>
        <w:spacing w:before="3"/>
        <w:rPr>
          <w:rFonts w:ascii="Arial"/>
          <w:b/>
          <w:i/>
          <w:sz w:val="21"/>
        </w:rPr>
      </w:pPr>
    </w:p>
    <w:p w:rsidR="00594BC7" w:rsidRDefault="00155135">
      <w:pPr>
        <w:spacing w:before="91"/>
        <w:ind w:left="420"/>
      </w:pPr>
      <w:r>
        <w:t>Dear Colleagues:</w:t>
      </w:r>
    </w:p>
    <w:p w:rsidR="00594BC7" w:rsidRDefault="00594BC7">
      <w:pPr>
        <w:pStyle w:val="BodyText"/>
        <w:rPr>
          <w:sz w:val="22"/>
        </w:rPr>
      </w:pPr>
    </w:p>
    <w:p w:rsidR="00594BC7" w:rsidRDefault="00155135">
      <w:pPr>
        <w:ind w:left="419" w:right="316"/>
      </w:pPr>
      <w:r>
        <w:t xml:space="preserve">The Department of Youth Services is built on the energy and commitment of the direct care staff, managers, clinicians, and professionals working in collaboration with our not-for-profit provider community. Their dedication as mentors and caring adults has </w:t>
      </w:r>
      <w:r>
        <w:t>had a profound positive impact on the many young people committed to our care. This year’s Annual Report provides an update on the Department’s operations and highlights accomplishments and positive youth outcomes achieved. Successes during 2016 included:</w:t>
      </w:r>
    </w:p>
    <w:p w:rsidR="00594BC7" w:rsidRDefault="00155135">
      <w:pPr>
        <w:pStyle w:val="ListParagraph"/>
        <w:numPr>
          <w:ilvl w:val="0"/>
          <w:numId w:val="2"/>
        </w:numPr>
        <w:tabs>
          <w:tab w:val="left" w:pos="1140"/>
          <w:tab w:val="left" w:pos="1141"/>
        </w:tabs>
        <w:spacing w:before="137"/>
        <w:rPr>
          <w:rFonts w:ascii="Symbol" w:hAnsi="Symbol"/>
        </w:rPr>
      </w:pPr>
      <w:r>
        <w:t>74 youth attained a high school diploma</w:t>
      </w:r>
    </w:p>
    <w:p w:rsidR="00594BC7" w:rsidRDefault="00155135">
      <w:pPr>
        <w:pStyle w:val="ListParagraph"/>
        <w:numPr>
          <w:ilvl w:val="0"/>
          <w:numId w:val="2"/>
        </w:numPr>
        <w:tabs>
          <w:tab w:val="left" w:pos="1140"/>
          <w:tab w:val="left" w:pos="1141"/>
        </w:tabs>
        <w:ind w:right="1247"/>
        <w:rPr>
          <w:rFonts w:ascii="Symbol" w:hAnsi="Symbol"/>
        </w:rPr>
      </w:pPr>
      <w:r>
        <w:t>86 youth (76% ) passed the GED (General Equivalency Diploma) or Hi-Set (High School Equivalency</w:t>
      </w:r>
      <w:r>
        <w:rPr>
          <w:spacing w:val="-4"/>
        </w:rPr>
        <w:t xml:space="preserve"> </w:t>
      </w:r>
      <w:r>
        <w:t>Diploma)</w:t>
      </w:r>
    </w:p>
    <w:p w:rsidR="00594BC7" w:rsidRDefault="00155135">
      <w:pPr>
        <w:pStyle w:val="ListParagraph"/>
        <w:numPr>
          <w:ilvl w:val="0"/>
          <w:numId w:val="2"/>
        </w:numPr>
        <w:tabs>
          <w:tab w:val="left" w:pos="1140"/>
          <w:tab w:val="left" w:pos="1141"/>
        </w:tabs>
        <w:spacing w:before="39"/>
        <w:rPr>
          <w:rFonts w:ascii="Symbol" w:hAnsi="Symbol"/>
        </w:rPr>
      </w:pPr>
      <w:r>
        <w:t>Youth enrolled in general and special education</w:t>
      </w:r>
    </w:p>
    <w:p w:rsidR="00594BC7" w:rsidRDefault="00155135">
      <w:pPr>
        <w:pStyle w:val="ListParagraph"/>
        <w:numPr>
          <w:ilvl w:val="1"/>
          <w:numId w:val="2"/>
        </w:numPr>
        <w:tabs>
          <w:tab w:val="left" w:pos="1860"/>
          <w:tab w:val="left" w:pos="1861"/>
        </w:tabs>
        <w:spacing w:before="39"/>
        <w:ind w:hanging="360"/>
      </w:pPr>
      <w:r>
        <w:t>94.9% passed the 10th grade MCAS English Language Arts competen</w:t>
      </w:r>
      <w:r>
        <w:t>cy</w:t>
      </w:r>
      <w:r>
        <w:rPr>
          <w:spacing w:val="-13"/>
        </w:rPr>
        <w:t xml:space="preserve"> </w:t>
      </w:r>
      <w:r>
        <w:t>exam</w:t>
      </w:r>
    </w:p>
    <w:p w:rsidR="00594BC7" w:rsidRDefault="00155135">
      <w:pPr>
        <w:pStyle w:val="ListParagraph"/>
        <w:numPr>
          <w:ilvl w:val="1"/>
          <w:numId w:val="2"/>
        </w:numPr>
        <w:tabs>
          <w:tab w:val="left" w:pos="1860"/>
          <w:tab w:val="left" w:pos="1861"/>
        </w:tabs>
        <w:spacing w:before="21"/>
        <w:ind w:hanging="360"/>
      </w:pPr>
      <w:r>
        <w:t>79.2% passed the 10th grade MCAS Mathematics competency</w:t>
      </w:r>
      <w:r>
        <w:rPr>
          <w:spacing w:val="-10"/>
        </w:rPr>
        <w:t xml:space="preserve"> </w:t>
      </w:r>
      <w:r>
        <w:t>exam</w:t>
      </w:r>
    </w:p>
    <w:p w:rsidR="00594BC7" w:rsidRDefault="00155135">
      <w:pPr>
        <w:pStyle w:val="ListParagraph"/>
        <w:numPr>
          <w:ilvl w:val="0"/>
          <w:numId w:val="2"/>
        </w:numPr>
        <w:tabs>
          <w:tab w:val="left" w:pos="1140"/>
          <w:tab w:val="left" w:pos="1141"/>
        </w:tabs>
        <w:spacing w:before="22"/>
        <w:rPr>
          <w:rFonts w:ascii="Symbol" w:hAnsi="Symbol"/>
        </w:rPr>
      </w:pPr>
      <w:r>
        <w:t>42 youth enrolled in post-secondary</w:t>
      </w:r>
      <w:r>
        <w:rPr>
          <w:spacing w:val="-7"/>
        </w:rPr>
        <w:t xml:space="preserve"> </w:t>
      </w:r>
      <w:r>
        <w:t>courses</w:t>
      </w:r>
    </w:p>
    <w:p w:rsidR="00594BC7" w:rsidRDefault="00155135">
      <w:pPr>
        <w:pStyle w:val="ListParagraph"/>
        <w:numPr>
          <w:ilvl w:val="0"/>
          <w:numId w:val="2"/>
        </w:numPr>
        <w:tabs>
          <w:tab w:val="left" w:pos="1140"/>
          <w:tab w:val="left" w:pos="1141"/>
        </w:tabs>
        <w:spacing w:before="38"/>
        <w:ind w:right="678"/>
        <w:rPr>
          <w:rFonts w:ascii="Symbol" w:hAnsi="Symbol"/>
        </w:rPr>
      </w:pPr>
      <w:r>
        <w:t>175 youth (49% of those discharged) signed an agreement with DYS for voluntary services post discharge</w:t>
      </w:r>
    </w:p>
    <w:p w:rsidR="00594BC7" w:rsidRDefault="00155135">
      <w:pPr>
        <w:pStyle w:val="ListParagraph"/>
        <w:numPr>
          <w:ilvl w:val="0"/>
          <w:numId w:val="2"/>
        </w:numPr>
        <w:tabs>
          <w:tab w:val="left" w:pos="1140"/>
          <w:tab w:val="left" w:pos="1141"/>
        </w:tabs>
        <w:spacing w:before="39"/>
        <w:rPr>
          <w:rFonts w:ascii="Symbol" w:hAnsi="Symbol"/>
        </w:rPr>
      </w:pPr>
      <w:r>
        <w:t>Opening of the Northeast Youth Service C</w:t>
      </w:r>
      <w:r>
        <w:t>enter, a state-of-the-art facility in</w:t>
      </w:r>
      <w:r>
        <w:rPr>
          <w:spacing w:val="-14"/>
        </w:rPr>
        <w:t xml:space="preserve"> </w:t>
      </w:r>
      <w:r>
        <w:t>Middleton</w:t>
      </w:r>
    </w:p>
    <w:p w:rsidR="00594BC7" w:rsidRDefault="00155135">
      <w:pPr>
        <w:pStyle w:val="ListParagraph"/>
        <w:numPr>
          <w:ilvl w:val="0"/>
          <w:numId w:val="2"/>
        </w:numPr>
        <w:tabs>
          <w:tab w:val="left" w:pos="1140"/>
          <w:tab w:val="left" w:pos="1141"/>
        </w:tabs>
        <w:ind w:right="691"/>
        <w:rPr>
          <w:rFonts w:ascii="Symbol" w:hAnsi="Symbol"/>
        </w:rPr>
      </w:pPr>
      <w:r>
        <w:t>DYS PREA Working Group awarded the Manual Carballo Governor’s Award for Excellence in Public</w:t>
      </w:r>
      <w:r>
        <w:rPr>
          <w:spacing w:val="-1"/>
        </w:rPr>
        <w:t xml:space="preserve"> </w:t>
      </w:r>
      <w:r>
        <w:t>Service</w:t>
      </w:r>
    </w:p>
    <w:p w:rsidR="00594BC7" w:rsidRDefault="00155135">
      <w:pPr>
        <w:spacing w:before="178"/>
        <w:ind w:left="419" w:right="142"/>
      </w:pPr>
      <w:r>
        <w:t xml:space="preserve">These accomplishments are possible because of the many stakeholders who believe in our agency’s mission and values. Families and advocates continue to be important partners through their support and collaboration in helping to change the life trajectories </w:t>
      </w:r>
      <w:r>
        <w:t xml:space="preserve">of our young people. And the Department has benefitted immensely from the policy and fiscal support of Governor Baker, Lieutenant Governor </w:t>
      </w:r>
      <w:proofErr w:type="spellStart"/>
      <w:r>
        <w:t>Polito</w:t>
      </w:r>
      <w:proofErr w:type="spellEnd"/>
      <w:r>
        <w:t xml:space="preserve">, Health and Human Services Secretary </w:t>
      </w:r>
      <w:proofErr w:type="spellStart"/>
      <w:r>
        <w:t>Sudders</w:t>
      </w:r>
      <w:proofErr w:type="spellEnd"/>
      <w:r>
        <w:t xml:space="preserve"> and members of our State Legislature.</w:t>
      </w:r>
    </w:p>
    <w:p w:rsidR="00594BC7" w:rsidRDefault="00594BC7">
      <w:pPr>
        <w:pStyle w:val="BodyText"/>
        <w:spacing w:before="1"/>
        <w:rPr>
          <w:sz w:val="22"/>
        </w:rPr>
      </w:pPr>
    </w:p>
    <w:p w:rsidR="00594BC7" w:rsidRDefault="00155135">
      <w:pPr>
        <w:ind w:left="420" w:right="595"/>
      </w:pPr>
      <w:r>
        <w:t>All the support given to the Department of Youth Services is greatly appreciated. I am committed to maintaining this support by continuing to improve outcomes for our young people, and by demonstrating integrity in Department operations.</w:t>
      </w:r>
    </w:p>
    <w:p w:rsidR="00594BC7" w:rsidRDefault="00594BC7">
      <w:pPr>
        <w:pStyle w:val="BodyText"/>
        <w:rPr>
          <w:sz w:val="22"/>
        </w:rPr>
      </w:pPr>
    </w:p>
    <w:p w:rsidR="00594BC7" w:rsidRDefault="00155135">
      <w:pPr>
        <w:ind w:left="420"/>
      </w:pPr>
      <w:r>
        <w:rPr>
          <w:noProof/>
          <w:lang w:bidi="ar-SA"/>
        </w:rPr>
        <w:drawing>
          <wp:anchor distT="0" distB="0" distL="0" distR="0" simplePos="0" relativeHeight="251643904" behindDoc="0" locked="0" layoutInCell="1" allowOverlap="1">
            <wp:simplePos x="0" y="0"/>
            <wp:positionH relativeFrom="page">
              <wp:posOffset>922749</wp:posOffset>
            </wp:positionH>
            <wp:positionV relativeFrom="paragraph">
              <wp:posOffset>177013</wp:posOffset>
            </wp:positionV>
            <wp:extent cx="1345456" cy="355758"/>
            <wp:effectExtent l="0" t="0" r="0" b="0"/>
            <wp:wrapTopAndBottom/>
            <wp:docPr id="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7.png"/>
                    <pic:cNvPicPr/>
                  </pic:nvPicPr>
                  <pic:blipFill>
                    <a:blip r:embed="rId10" cstate="print"/>
                    <a:stretch>
                      <a:fillRect/>
                    </a:stretch>
                  </pic:blipFill>
                  <pic:spPr>
                    <a:xfrm>
                      <a:off x="0" y="0"/>
                      <a:ext cx="1345456" cy="355758"/>
                    </a:xfrm>
                    <a:prstGeom prst="rect">
                      <a:avLst/>
                    </a:prstGeom>
                  </pic:spPr>
                </pic:pic>
              </a:graphicData>
            </a:graphic>
          </wp:anchor>
        </w:drawing>
      </w:r>
      <w:r>
        <w:t>Sincerely,</w:t>
      </w:r>
    </w:p>
    <w:p w:rsidR="00594BC7" w:rsidRDefault="00155135">
      <w:pPr>
        <w:ind w:left="420" w:right="8078"/>
      </w:pPr>
      <w:r>
        <w:t>Peter</w:t>
      </w:r>
      <w:r>
        <w:t xml:space="preserve"> J. Forbes DYS</w:t>
      </w:r>
      <w:r>
        <w:rPr>
          <w:spacing w:val="-13"/>
        </w:rPr>
        <w:t xml:space="preserve"> </w:t>
      </w:r>
      <w:r>
        <w:t>Commissioner</w:t>
      </w:r>
    </w:p>
    <w:p w:rsidR="00594BC7" w:rsidRDefault="00594BC7">
      <w:pPr>
        <w:sectPr w:rsidR="00594BC7">
          <w:type w:val="continuous"/>
          <w:pgSz w:w="12240" w:h="15840"/>
          <w:pgMar w:top="920" w:right="940" w:bottom="280" w:left="1020" w:header="720" w:footer="720"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3"/>
        <w:spacing w:before="78"/>
        <w:ind w:left="2856" w:right="2664"/>
        <w:jc w:val="center"/>
        <w:rPr>
          <w:rFonts w:ascii="Cambria"/>
        </w:rPr>
      </w:pPr>
      <w:r>
        <w:rPr>
          <w:rFonts w:ascii="Cambria"/>
          <w:color w:val="365F91"/>
        </w:rPr>
        <w:lastRenderedPageBreak/>
        <w:t>Table of Contents</w:t>
      </w:r>
    </w:p>
    <w:sdt>
      <w:sdtPr>
        <w:id w:val="317466782"/>
        <w:docPartObj>
          <w:docPartGallery w:val="Table of Contents"/>
          <w:docPartUnique/>
        </w:docPartObj>
      </w:sdtPr>
      <w:sdtEndPr/>
      <w:sdtContent>
        <w:p w:rsidR="00594BC7" w:rsidRDefault="00155135">
          <w:pPr>
            <w:pStyle w:val="TOC1"/>
            <w:tabs>
              <w:tab w:val="right" w:leader="dot" w:pos="9779"/>
            </w:tabs>
            <w:spacing w:before="282"/>
          </w:pPr>
          <w:hyperlink w:anchor="_bookmark0" w:history="1">
            <w:r>
              <w:t>DYS Youth</w:t>
            </w:r>
            <w:r>
              <w:rPr>
                <w:spacing w:val="-1"/>
              </w:rPr>
              <w:t xml:space="preserve"> </w:t>
            </w:r>
            <w:r>
              <w:t>Demographic</w:t>
            </w:r>
            <w:r>
              <w:rPr>
                <w:spacing w:val="-1"/>
              </w:rPr>
              <w:t xml:space="preserve"> </w:t>
            </w:r>
            <w:r>
              <w:t>Trends</w:t>
            </w:r>
            <w:r>
              <w:tab/>
              <w:t>7</w:t>
            </w:r>
          </w:hyperlink>
        </w:p>
        <w:p w:rsidR="00594BC7" w:rsidRDefault="00155135">
          <w:pPr>
            <w:pStyle w:val="TOC2"/>
            <w:tabs>
              <w:tab w:val="right" w:leader="dot" w:pos="9779"/>
            </w:tabs>
          </w:pPr>
          <w:hyperlink w:anchor="_bookmark1" w:history="1">
            <w:r>
              <w:t>Committed</w:t>
            </w:r>
            <w:r>
              <w:rPr>
                <w:spacing w:val="-1"/>
              </w:rPr>
              <w:t xml:space="preserve"> </w:t>
            </w:r>
            <w:r>
              <w:t>Youth</w:t>
            </w:r>
            <w:r>
              <w:tab/>
              <w:t>7</w:t>
            </w:r>
          </w:hyperlink>
        </w:p>
        <w:p w:rsidR="00594BC7" w:rsidRDefault="00155135">
          <w:pPr>
            <w:pStyle w:val="TOC2"/>
            <w:tabs>
              <w:tab w:val="right" w:leader="dot" w:pos="9779"/>
            </w:tabs>
          </w:pPr>
          <w:hyperlink w:anchor="_bookmark2" w:history="1">
            <w:r>
              <w:t>Detained</w:t>
            </w:r>
            <w:r>
              <w:rPr>
                <w:spacing w:val="-1"/>
              </w:rPr>
              <w:t xml:space="preserve"> </w:t>
            </w:r>
            <w:r>
              <w:t>Youth</w:t>
            </w:r>
            <w:r>
              <w:tab/>
              <w:t>11</w:t>
            </w:r>
          </w:hyperlink>
        </w:p>
        <w:p w:rsidR="00594BC7" w:rsidRDefault="00155135">
          <w:pPr>
            <w:pStyle w:val="TOC2"/>
            <w:tabs>
              <w:tab w:val="right" w:leader="dot" w:pos="9779"/>
            </w:tabs>
            <w:spacing w:before="158"/>
          </w:pPr>
          <w:hyperlink w:anchor="_bookmark3" w:history="1">
            <w:r>
              <w:t>Raise-the-Age: Impact on DYS Commitment and</w:t>
            </w:r>
            <w:r>
              <w:rPr>
                <w:spacing w:val="-3"/>
              </w:rPr>
              <w:t xml:space="preserve"> </w:t>
            </w:r>
            <w:r>
              <w:t>Detention</w:t>
            </w:r>
            <w:r>
              <w:tab/>
              <w:t>14</w:t>
            </w:r>
          </w:hyperlink>
        </w:p>
        <w:p w:rsidR="00594BC7" w:rsidRDefault="00155135">
          <w:pPr>
            <w:pStyle w:val="TOC2"/>
            <w:tabs>
              <w:tab w:val="right" w:leader="dot" w:pos="9779"/>
            </w:tabs>
          </w:pPr>
          <w:hyperlink w:anchor="_bookmark4" w:history="1">
            <w:r>
              <w:t>DYS Alternative Lock-up (Overnight</w:t>
            </w:r>
            <w:r>
              <w:rPr>
                <w:spacing w:val="-24"/>
              </w:rPr>
              <w:t xml:space="preserve"> </w:t>
            </w:r>
            <w:r>
              <w:t>Arrest)</w:t>
            </w:r>
            <w:r>
              <w:rPr>
                <w:spacing w:val="-2"/>
              </w:rPr>
              <w:t xml:space="preserve"> </w:t>
            </w:r>
            <w:r>
              <w:t>Programs</w:t>
            </w:r>
            <w:r>
              <w:tab/>
              <w:t>16</w:t>
            </w:r>
          </w:hyperlink>
        </w:p>
        <w:p w:rsidR="00594BC7" w:rsidRDefault="00155135">
          <w:pPr>
            <w:pStyle w:val="TOC2"/>
            <w:tabs>
              <w:tab w:val="right" w:leader="dot" w:pos="9779"/>
            </w:tabs>
          </w:pPr>
          <w:hyperlink w:anchor="_bookmark5" w:history="1">
            <w:r>
              <w:t>DYS</w:t>
            </w:r>
            <w:r>
              <w:rPr>
                <w:spacing w:val="-13"/>
              </w:rPr>
              <w:t xml:space="preserve"> </w:t>
            </w:r>
            <w:r>
              <w:t>Revocation</w:t>
            </w:r>
            <w:r>
              <w:tab/>
              <w:t>19</w:t>
            </w:r>
          </w:hyperlink>
        </w:p>
        <w:p w:rsidR="00594BC7" w:rsidRDefault="00155135">
          <w:pPr>
            <w:pStyle w:val="TOC2"/>
            <w:tabs>
              <w:tab w:val="right" w:leader="dot" w:pos="9779"/>
            </w:tabs>
            <w:spacing w:before="158"/>
          </w:pPr>
          <w:hyperlink w:anchor="_bookmark6" w:history="1">
            <w:r>
              <w:t>Youth Engaged</w:t>
            </w:r>
            <w:r>
              <w:rPr>
                <w:spacing w:val="-1"/>
              </w:rPr>
              <w:t xml:space="preserve"> </w:t>
            </w:r>
            <w:r>
              <w:t>in Services</w:t>
            </w:r>
            <w:r>
              <w:tab/>
              <w:t>19</w:t>
            </w:r>
          </w:hyperlink>
        </w:p>
        <w:p w:rsidR="00594BC7" w:rsidRDefault="00155135">
          <w:pPr>
            <w:pStyle w:val="TOC2"/>
            <w:tabs>
              <w:tab w:val="right" w:leader="dot" w:pos="9779"/>
            </w:tabs>
          </w:pPr>
          <w:hyperlink w:anchor="_bookmark7" w:history="1">
            <w:r>
              <w:t>Recidivism</w:t>
            </w:r>
            <w:r>
              <w:tab/>
              <w:t>21</w:t>
            </w:r>
          </w:hyperlink>
        </w:p>
        <w:p w:rsidR="00594BC7" w:rsidRDefault="00155135">
          <w:pPr>
            <w:pStyle w:val="TOC2"/>
            <w:tabs>
              <w:tab w:val="right" w:leader="dot" w:pos="9779"/>
            </w:tabs>
          </w:pPr>
          <w:hyperlink w:anchor="_bookmark8" w:history="1">
            <w:r>
              <w:t>The DYS</w:t>
            </w:r>
            <w:r>
              <w:rPr>
                <w:spacing w:val="-2"/>
              </w:rPr>
              <w:t xml:space="preserve"> </w:t>
            </w:r>
            <w:r>
              <w:t>Service</w:t>
            </w:r>
            <w:r>
              <w:rPr>
                <w:spacing w:val="-1"/>
              </w:rPr>
              <w:t xml:space="preserve"> </w:t>
            </w:r>
            <w:r>
              <w:t>Continuum</w:t>
            </w:r>
            <w:r>
              <w:tab/>
              <w:t>23</w:t>
            </w:r>
          </w:hyperlink>
        </w:p>
        <w:p w:rsidR="00594BC7" w:rsidRDefault="00155135">
          <w:pPr>
            <w:pStyle w:val="TOC2"/>
            <w:tabs>
              <w:tab w:val="right" w:leader="dot" w:pos="9779"/>
            </w:tabs>
            <w:spacing w:before="158"/>
          </w:pPr>
          <w:hyperlink w:anchor="_bookmark9" w:history="1">
            <w:r>
              <w:t>DYS</w:t>
            </w:r>
            <w:r>
              <w:rPr>
                <w:spacing w:val="-1"/>
              </w:rPr>
              <w:t xml:space="preserve"> </w:t>
            </w:r>
            <w:r>
              <w:t>Placement</w:t>
            </w:r>
            <w:r>
              <w:rPr>
                <w:spacing w:val="-19"/>
              </w:rPr>
              <w:t xml:space="preserve"> </w:t>
            </w:r>
            <w:r>
              <w:t>Services</w:t>
            </w:r>
            <w:r>
              <w:tab/>
              <w:t>23</w:t>
            </w:r>
          </w:hyperlink>
        </w:p>
        <w:p w:rsidR="00594BC7" w:rsidRDefault="00155135">
          <w:pPr>
            <w:pStyle w:val="TOC1"/>
            <w:tabs>
              <w:tab w:val="right" w:leader="dot" w:pos="9779"/>
            </w:tabs>
            <w:spacing w:before="161"/>
          </w:pPr>
          <w:hyperlink w:anchor="_bookmark10" w:history="1">
            <w:r>
              <w:t>DYS Community</w:t>
            </w:r>
            <w:r>
              <w:rPr>
                <w:spacing w:val="-22"/>
              </w:rPr>
              <w:t xml:space="preserve"> </w:t>
            </w:r>
            <w:r>
              <w:rPr>
                <w:spacing w:val="-15"/>
              </w:rPr>
              <w:t>Services</w:t>
            </w:r>
            <w:r>
              <w:rPr>
                <w:spacing w:val="-15"/>
              </w:rPr>
              <w:tab/>
            </w:r>
            <w:r>
              <w:t>23</w:t>
            </w:r>
          </w:hyperlink>
        </w:p>
        <w:p w:rsidR="00594BC7" w:rsidRDefault="00155135">
          <w:pPr>
            <w:pStyle w:val="TOC2"/>
            <w:tabs>
              <w:tab w:val="right" w:leader="dot" w:pos="9779"/>
            </w:tabs>
          </w:pPr>
          <w:hyperlink w:anchor="_bookmark11" w:history="1">
            <w:r>
              <w:t>Education</w:t>
            </w:r>
            <w:r>
              <w:tab/>
              <w:t>24</w:t>
            </w:r>
          </w:hyperlink>
        </w:p>
        <w:p w:rsidR="00594BC7" w:rsidRDefault="00155135">
          <w:pPr>
            <w:pStyle w:val="TOC2"/>
            <w:tabs>
              <w:tab w:val="right" w:leader="dot" w:pos="9779"/>
            </w:tabs>
            <w:spacing w:before="158"/>
          </w:pPr>
          <w:hyperlink w:anchor="_bookmark12" w:history="1">
            <w:r>
              <w:t>MCAS Performance Outcomes (2015-2016)</w:t>
            </w:r>
            <w:r>
              <w:tab/>
              <w:t>25</w:t>
            </w:r>
          </w:hyperlink>
        </w:p>
        <w:p w:rsidR="00594BC7" w:rsidRDefault="00155135">
          <w:pPr>
            <w:pStyle w:val="TOC2"/>
            <w:tabs>
              <w:tab w:val="right" w:leader="dot" w:pos="9779"/>
            </w:tabs>
          </w:pPr>
          <w:hyperlink w:anchor="_bookmark13" w:history="1">
            <w:r>
              <w:t>Career</w:t>
            </w:r>
            <w:r>
              <w:rPr>
                <w:spacing w:val="-2"/>
              </w:rPr>
              <w:t xml:space="preserve"> </w:t>
            </w:r>
            <w:r>
              <w:t>Readiness</w:t>
            </w:r>
            <w:r>
              <w:tab/>
              <w:t>26</w:t>
            </w:r>
          </w:hyperlink>
        </w:p>
        <w:p w:rsidR="00594BC7" w:rsidRDefault="00155135">
          <w:pPr>
            <w:pStyle w:val="TOC1"/>
            <w:tabs>
              <w:tab w:val="right" w:leader="dot" w:pos="9779"/>
            </w:tabs>
          </w:pPr>
          <w:hyperlink w:anchor="_bookmark14" w:history="1">
            <w:r>
              <w:t>CY 2016</w:t>
            </w:r>
            <w:r>
              <w:rPr>
                <w:spacing w:val="-2"/>
              </w:rPr>
              <w:t xml:space="preserve"> </w:t>
            </w:r>
            <w:r>
              <w:t>DYS HIGHLIGHTS</w:t>
            </w:r>
            <w:r>
              <w:tab/>
              <w:t>27</w:t>
            </w:r>
          </w:hyperlink>
        </w:p>
        <w:p w:rsidR="00594BC7" w:rsidRDefault="00155135">
          <w:pPr>
            <w:pStyle w:val="TOC2"/>
            <w:tabs>
              <w:tab w:val="right" w:leader="dot" w:pos="9779"/>
            </w:tabs>
          </w:pPr>
          <w:hyperlink w:anchor="_bookmark15" w:history="1">
            <w:r>
              <w:t>4</w:t>
            </w:r>
            <w:r>
              <w:rPr>
                <w:vertAlign w:val="superscript"/>
              </w:rPr>
              <w:t>th</w:t>
            </w:r>
            <w:r>
              <w:t xml:space="preserve"> Annual Youth Art Showcase — Voicing</w:t>
            </w:r>
            <w:r>
              <w:rPr>
                <w:spacing w:val="-4"/>
              </w:rPr>
              <w:t xml:space="preserve"> </w:t>
            </w:r>
            <w:r>
              <w:t>What Matters!</w:t>
            </w:r>
            <w:r>
              <w:tab/>
              <w:t>27</w:t>
            </w:r>
          </w:hyperlink>
        </w:p>
        <w:p w:rsidR="00594BC7" w:rsidRDefault="00155135">
          <w:pPr>
            <w:pStyle w:val="TOC2"/>
            <w:tabs>
              <w:tab w:val="right" w:leader="dot" w:pos="9779"/>
            </w:tabs>
            <w:spacing w:before="160"/>
          </w:pPr>
          <w:hyperlink w:anchor="_bookmark16" w:history="1">
            <w:r>
              <w:t>JDAI</w:t>
            </w:r>
            <w:r>
              <w:tab/>
              <w:t>28</w:t>
            </w:r>
          </w:hyperlink>
        </w:p>
        <w:p w:rsidR="00594BC7" w:rsidRDefault="00155135">
          <w:pPr>
            <w:pStyle w:val="TOC2"/>
            <w:tabs>
              <w:tab w:val="right" w:leader="dot" w:pos="9779"/>
            </w:tabs>
            <w:spacing w:before="159"/>
          </w:pPr>
          <w:hyperlink w:anchor="_bookmark17" w:history="1">
            <w:r>
              <w:t>PREA</w:t>
            </w:r>
            <w:r>
              <w:tab/>
              <w:t>28</w:t>
            </w:r>
          </w:hyperlink>
        </w:p>
        <w:p w:rsidR="00594BC7" w:rsidRDefault="00155135">
          <w:pPr>
            <w:pStyle w:val="TOC2"/>
            <w:tabs>
              <w:tab w:val="right" w:leader="dot" w:pos="9779"/>
            </w:tabs>
          </w:pPr>
          <w:hyperlink w:anchor="_bookmark18" w:history="1">
            <w:r>
              <w:t>OJJDP Second</w:t>
            </w:r>
            <w:r>
              <w:rPr>
                <w:spacing w:val="-1"/>
              </w:rPr>
              <w:t xml:space="preserve"> </w:t>
            </w:r>
            <w:r>
              <w:t>Chance</w:t>
            </w:r>
            <w:r>
              <w:rPr>
                <w:spacing w:val="-1"/>
              </w:rPr>
              <w:t xml:space="preserve"> </w:t>
            </w:r>
            <w:r>
              <w:t>Grant</w:t>
            </w:r>
            <w:r>
              <w:tab/>
              <w:t>29</w:t>
            </w:r>
          </w:hyperlink>
        </w:p>
        <w:p w:rsidR="00594BC7" w:rsidRDefault="00155135">
          <w:pPr>
            <w:pStyle w:val="TOC1"/>
            <w:tabs>
              <w:tab w:val="right" w:leader="dot" w:pos="9779"/>
            </w:tabs>
            <w:spacing w:before="160"/>
          </w:pPr>
          <w:hyperlink w:anchor="_bookmark19" w:history="1">
            <w:r>
              <w:t>DYS Staff, Infrastructure</w:t>
            </w:r>
            <w:r>
              <w:rPr>
                <w:spacing w:val="2"/>
              </w:rPr>
              <w:t xml:space="preserve"> </w:t>
            </w:r>
            <w:r>
              <w:t>&amp;</w:t>
            </w:r>
            <w:r>
              <w:rPr>
                <w:spacing w:val="-2"/>
              </w:rPr>
              <w:t xml:space="preserve"> </w:t>
            </w:r>
            <w:r>
              <w:t>Finance</w:t>
            </w:r>
            <w:r>
              <w:tab/>
              <w:t>30</w:t>
            </w:r>
          </w:hyperlink>
        </w:p>
        <w:p w:rsidR="00594BC7" w:rsidRDefault="00155135">
          <w:pPr>
            <w:pStyle w:val="TOC2"/>
            <w:tabs>
              <w:tab w:val="right" w:leader="dot" w:pos="9779"/>
            </w:tabs>
            <w:spacing w:before="159"/>
          </w:pPr>
          <w:hyperlink w:anchor="_bookmark20" w:history="1">
            <w:r>
              <w:t>The DYS Workforce at</w:t>
            </w:r>
            <w:r>
              <w:rPr>
                <w:spacing w:val="-3"/>
              </w:rPr>
              <w:t xml:space="preserve"> </w:t>
            </w:r>
            <w:r>
              <w:t>a</w:t>
            </w:r>
            <w:r>
              <w:rPr>
                <w:spacing w:val="1"/>
              </w:rPr>
              <w:t xml:space="preserve"> </w:t>
            </w:r>
            <w:r>
              <w:t>Glance</w:t>
            </w:r>
            <w:r>
              <w:tab/>
              <w:t>30</w:t>
            </w:r>
          </w:hyperlink>
        </w:p>
        <w:p w:rsidR="00594BC7" w:rsidRDefault="00155135">
          <w:pPr>
            <w:pStyle w:val="TOC2"/>
            <w:tabs>
              <w:tab w:val="right" w:leader="dot" w:pos="9779"/>
            </w:tabs>
          </w:pPr>
          <w:hyperlink w:anchor="_bookmark21" w:history="1">
            <w:r>
              <w:t>Training and</w:t>
            </w:r>
            <w:r>
              <w:rPr>
                <w:spacing w:val="-1"/>
              </w:rPr>
              <w:t xml:space="preserve"> </w:t>
            </w:r>
            <w:r>
              <w:t>Staff</w:t>
            </w:r>
            <w:r>
              <w:rPr>
                <w:spacing w:val="-1"/>
              </w:rPr>
              <w:t xml:space="preserve"> </w:t>
            </w:r>
            <w:r>
              <w:t>Development</w:t>
            </w:r>
            <w:r>
              <w:tab/>
              <w:t>30</w:t>
            </w:r>
          </w:hyperlink>
        </w:p>
        <w:p w:rsidR="00594BC7" w:rsidRDefault="00155135">
          <w:pPr>
            <w:pStyle w:val="TOC2"/>
            <w:tabs>
              <w:tab w:val="right" w:leader="dot" w:pos="9779"/>
            </w:tabs>
            <w:spacing w:before="160"/>
          </w:pPr>
          <w:hyperlink w:anchor="_bookmark22" w:history="1">
            <w:r>
              <w:t>DYS</w:t>
            </w:r>
            <w:r>
              <w:rPr>
                <w:spacing w:val="-1"/>
              </w:rPr>
              <w:t xml:space="preserve"> </w:t>
            </w:r>
            <w:r>
              <w:t>Capital Projects</w:t>
            </w:r>
            <w:r>
              <w:tab/>
              <w:t>31</w:t>
            </w:r>
          </w:hyperlink>
        </w:p>
        <w:p w:rsidR="00594BC7" w:rsidRDefault="00155135">
          <w:pPr>
            <w:pStyle w:val="TOC2"/>
            <w:tabs>
              <w:tab w:val="right" w:leader="dot" w:pos="9779"/>
            </w:tabs>
            <w:spacing w:before="159"/>
          </w:pPr>
          <w:hyperlink w:anchor="_bookmark23" w:history="1">
            <w:r>
              <w:t>DYS Fiscal Year 2016 Budget at</w:t>
            </w:r>
            <w:r>
              <w:rPr>
                <w:spacing w:val="1"/>
              </w:rPr>
              <w:t xml:space="preserve"> </w:t>
            </w:r>
            <w:r>
              <w:t>a</w:t>
            </w:r>
            <w:r>
              <w:rPr>
                <w:spacing w:val="-28"/>
              </w:rPr>
              <w:t xml:space="preserve"> </w:t>
            </w:r>
            <w:r>
              <w:t>Glance</w:t>
            </w:r>
            <w:r>
              <w:tab/>
              <w:t>32</w:t>
            </w:r>
          </w:hyperlink>
        </w:p>
      </w:sdtContent>
    </w:sdt>
    <w:p w:rsidR="00594BC7" w:rsidRDefault="00594BC7">
      <w:pPr>
        <w:sectPr w:rsidR="00594BC7">
          <w:pgSz w:w="12240" w:h="15840"/>
          <w:pgMar w:top="142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1"/>
        <w:ind w:left="2335"/>
      </w:pPr>
      <w:bookmarkStart w:id="1" w:name="DYS_Youth_Demographic_Trends"/>
      <w:bookmarkStart w:id="2" w:name="_bookmark0"/>
      <w:bookmarkEnd w:id="1"/>
      <w:bookmarkEnd w:id="2"/>
      <w:r>
        <w:lastRenderedPageBreak/>
        <w:t>DYS Youth Demographic Trends</w:t>
      </w:r>
    </w:p>
    <w:p w:rsidR="00594BC7" w:rsidRDefault="00155135">
      <w:pPr>
        <w:pStyle w:val="Heading2"/>
        <w:spacing w:before="236"/>
      </w:pPr>
      <w:bookmarkStart w:id="3" w:name="Committed_Youth"/>
      <w:bookmarkStart w:id="4" w:name="_bookmark1"/>
      <w:bookmarkEnd w:id="3"/>
      <w:bookmarkEnd w:id="4"/>
      <w:r>
        <w:rPr>
          <w:color w:val="1F497D"/>
        </w:rPr>
        <w:t>Committed Youth</w:t>
      </w:r>
    </w:p>
    <w:p w:rsidR="00594BC7" w:rsidRDefault="00155135">
      <w:pPr>
        <w:pStyle w:val="BodyText"/>
        <w:spacing w:before="156"/>
        <w:ind w:left="420" w:right="773"/>
        <w:jc w:val="both"/>
      </w:pPr>
      <w:r>
        <w:t>The graphs below present data on the age, race, gender, and grid level of the youth who were committed to the Department of Youth Services (DYS) f</w:t>
      </w:r>
      <w:r>
        <w:t xml:space="preserve">rom 2012 through 2016. The </w:t>
      </w:r>
      <w:proofErr w:type="gramStart"/>
      <w:r>
        <w:t>majority of these yo</w:t>
      </w:r>
      <w:bookmarkStart w:id="5" w:name="_GoBack"/>
      <w:bookmarkEnd w:id="5"/>
      <w:r>
        <w:t>uth were</w:t>
      </w:r>
      <w:proofErr w:type="gramEnd"/>
      <w:r>
        <w:t xml:space="preserve"> between the ages of 16 and 17, male, and fell in DYS Offense Grid Levels 2 and</w:t>
      </w:r>
      <w:r>
        <w:rPr>
          <w:spacing w:val="1"/>
        </w:rPr>
        <w:t xml:space="preserve"> </w:t>
      </w:r>
      <w:r>
        <w:t>3.</w:t>
      </w:r>
    </w:p>
    <w:p w:rsidR="00594BC7" w:rsidRDefault="00155135">
      <w:pPr>
        <w:pStyle w:val="BodyText"/>
        <w:spacing w:before="120"/>
        <w:ind w:left="420" w:right="776"/>
        <w:jc w:val="both"/>
      </w:pPr>
      <w:r>
        <w:t>In CY 2016, there were 992 committed youth served by DYS, 316 of whom had been in detention earlier in the year.</w:t>
      </w:r>
    </w:p>
    <w:p w:rsidR="00594BC7" w:rsidRDefault="00155135">
      <w:pPr>
        <w:pStyle w:val="BodyText"/>
        <w:spacing w:before="6"/>
        <w:rPr>
          <w:sz w:val="9"/>
        </w:rPr>
      </w:pPr>
      <w:r>
        <w:pict>
          <v:group id="_x0000_s1083" style="position:absolute;margin-left:73.25pt;margin-top:7.7pt;width:432.5pt;height:259.45pt;z-index:-251665408;mso-wrap-distance-left:0;mso-wrap-distance-right:0;mso-position-horizontal-relative:page" coordorigin="1465,154" coordsize="8650,5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5" type="#_x0000_t75" style="position:absolute;left:1470;top:159;width:8640;height:5179">
              <v:imagedata r:id="rId11" o:title=""/>
            </v:shape>
            <v:rect id="_x0000_s1084" style="position:absolute;left:1467;top:156;width:8645;height:5184" filled="f" strokeweight=".25pt"/>
            <w10:wrap type="topAndBottom" anchorx="page"/>
          </v:group>
        </w:pict>
      </w:r>
    </w:p>
    <w:p w:rsidR="00594BC7" w:rsidRDefault="00155135">
      <w:pPr>
        <w:pStyle w:val="BodyText"/>
        <w:spacing w:before="54"/>
        <w:ind w:left="420"/>
        <w:jc w:val="both"/>
      </w:pPr>
      <w:r>
        <w:t>T</w:t>
      </w:r>
      <w:r>
        <w:t>he DYS commitment caseload continued to trend downward in CY 2016.</w:t>
      </w:r>
    </w:p>
    <w:p w:rsidR="00594BC7" w:rsidRDefault="00594BC7">
      <w:pPr>
        <w:jc w:val="both"/>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BodyText"/>
        <w:ind w:left="440"/>
        <w:rPr>
          <w:sz w:val="20"/>
        </w:rPr>
      </w:pPr>
      <w:r>
        <w:rPr>
          <w:sz w:val="20"/>
        </w:rPr>
      </w:r>
      <w:r>
        <w:rPr>
          <w:sz w:val="20"/>
        </w:rPr>
        <w:pict>
          <v:group id="_x0000_s1080" style="width:432.5pt;height:292.75pt;mso-position-horizontal-relative:char;mso-position-vertical-relative:line" coordsize="8650,5855">
            <v:shape id="_x0000_s1082" type="#_x0000_t75" style="position:absolute;left:5;top:5;width:8640;height:5845">
              <v:imagedata r:id="rId12" o:title=""/>
            </v:shape>
            <v:rect id="_x0000_s1081" style="position:absolute;left:2;top:2;width:8645;height:5850" filled="f" strokeweight=".25pt"/>
            <w10:wrap type="none"/>
            <w10:anchorlock/>
          </v:group>
        </w:pict>
      </w:r>
    </w:p>
    <w:p w:rsidR="00594BC7" w:rsidRDefault="00155135">
      <w:pPr>
        <w:pStyle w:val="BodyText"/>
        <w:spacing w:before="48"/>
        <w:ind w:left="420" w:right="595"/>
      </w:pPr>
      <w:r>
        <w:t>In the DYS committed population, the proportion of youth of color — relative to Caucasian youth — has continued to increase since 2012.</w:t>
      </w:r>
    </w:p>
    <w:p w:rsidR="00594BC7" w:rsidRDefault="00594BC7">
      <w:pPr>
        <w:pStyle w:val="BodyText"/>
        <w:rPr>
          <w:sz w:val="20"/>
        </w:rPr>
      </w:pPr>
    </w:p>
    <w:p w:rsidR="00594BC7" w:rsidRDefault="00155135">
      <w:pPr>
        <w:pStyle w:val="BodyText"/>
        <w:spacing w:before="8"/>
        <w:rPr>
          <w:sz w:val="20"/>
        </w:rPr>
      </w:pPr>
      <w:r>
        <w:pict>
          <v:group id="_x0000_s1077" style="position:absolute;margin-left:73.25pt;margin-top:13.9pt;width:432.5pt;height:280.4pt;z-index:-251664384;mso-wrap-distance-left:0;mso-wrap-distance-right:0;mso-position-horizontal-relative:page" coordorigin="1465,278" coordsize="8650,5608">
            <v:shape id="_x0000_s1079" type="#_x0000_t75" style="position:absolute;left:1470;top:283;width:8640;height:5598">
              <v:imagedata r:id="rId13" o:title=""/>
            </v:shape>
            <v:rect id="_x0000_s1078" style="position:absolute;left:1467;top:280;width:8645;height:5603" filled="f" strokeweight=".25pt"/>
            <w10:wrap type="topAndBottom" anchorx="page"/>
          </v:group>
        </w:pict>
      </w:r>
    </w:p>
    <w:p w:rsidR="00594BC7" w:rsidRDefault="00155135">
      <w:pPr>
        <w:pStyle w:val="BodyText"/>
        <w:spacing w:before="58" w:line="242" w:lineRule="auto"/>
        <w:ind w:left="419" w:right="1023"/>
      </w:pPr>
      <w:r>
        <w:t xml:space="preserve">The average age of youth at first-time commitment in CY 2016 was 16.9. First-time commitments of 17-year-olds continue to increase, representing 32% in 2012, </w:t>
      </w:r>
      <w:proofErr w:type="gramStart"/>
      <w:r>
        <w:t>51</w:t>
      </w:r>
      <w:proofErr w:type="gramEnd"/>
      <w:r>
        <w:t>% in 2016.</w:t>
      </w:r>
    </w:p>
    <w:p w:rsidR="00594BC7" w:rsidRDefault="00594BC7">
      <w:pPr>
        <w:spacing w:line="242" w:lineRule="auto"/>
        <w:sectPr w:rsidR="00594BC7">
          <w:pgSz w:w="12240" w:h="15840"/>
          <w:pgMar w:top="10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BodyText"/>
        <w:ind w:left="440"/>
        <w:rPr>
          <w:sz w:val="20"/>
        </w:rPr>
      </w:pPr>
      <w:r>
        <w:rPr>
          <w:sz w:val="20"/>
        </w:rPr>
      </w:r>
      <w:r>
        <w:rPr>
          <w:sz w:val="20"/>
        </w:rPr>
        <w:pict>
          <v:group id="_x0000_s1074" style="width:432.5pt;height:223.75pt;mso-position-horizontal-relative:char;mso-position-vertical-relative:line" coordsize="8650,4475">
            <v:shape id="_x0000_s1076" type="#_x0000_t75" style="position:absolute;left:5;top:5;width:8640;height:4465">
              <v:imagedata r:id="rId14" o:title=""/>
            </v:shape>
            <v:rect id="_x0000_s1075" style="position:absolute;left:2;top:2;width:8645;height:4470" filled="f" strokeweight=".25pt"/>
            <w10:wrap type="none"/>
            <w10:anchorlock/>
          </v:group>
        </w:pict>
      </w:r>
    </w:p>
    <w:p w:rsidR="00594BC7" w:rsidRDefault="00155135">
      <w:pPr>
        <w:pStyle w:val="BodyText"/>
        <w:spacing w:before="41" w:line="242" w:lineRule="auto"/>
        <w:ind w:left="420" w:right="778"/>
        <w:jc w:val="both"/>
      </w:pPr>
      <w:r>
        <w:t>The percentage of committed females served by DYS was 15% in CY 2016, an increase from the 11 to 13% in the previous 4 years.</w:t>
      </w:r>
    </w:p>
    <w:p w:rsidR="00594BC7" w:rsidRDefault="00594BC7">
      <w:pPr>
        <w:pStyle w:val="BodyText"/>
        <w:rPr>
          <w:sz w:val="20"/>
        </w:rPr>
      </w:pPr>
    </w:p>
    <w:p w:rsidR="00594BC7" w:rsidRDefault="00155135">
      <w:pPr>
        <w:pStyle w:val="BodyText"/>
        <w:spacing w:before="9"/>
        <w:rPr>
          <w:sz w:val="20"/>
        </w:rPr>
      </w:pPr>
      <w:r>
        <w:pict>
          <v:group id="_x0000_s1071" style="position:absolute;margin-left:73.25pt;margin-top:13.95pt;width:432.5pt;height:223.05pt;z-index:-251663360;mso-wrap-distance-left:0;mso-wrap-distance-right:0;mso-position-horizontal-relative:page" coordorigin="1465,279" coordsize="8650,4461">
            <v:shape id="_x0000_s1073" type="#_x0000_t75" style="position:absolute;left:1470;top:284;width:8640;height:4451">
              <v:imagedata r:id="rId15" o:title=""/>
            </v:shape>
            <v:rect id="_x0000_s1072" style="position:absolute;left:1467;top:281;width:8645;height:4456" filled="f" strokeweight=".25pt"/>
            <w10:wrap type="topAndBottom" anchorx="page"/>
          </v:group>
        </w:pict>
      </w:r>
    </w:p>
    <w:p w:rsidR="00594BC7" w:rsidRDefault="00155135">
      <w:pPr>
        <w:pStyle w:val="BodyText"/>
        <w:spacing w:before="162" w:line="276" w:lineRule="auto"/>
        <w:ind w:left="420" w:right="766"/>
        <w:jc w:val="both"/>
      </w:pPr>
      <w:r>
        <w:t>DYS assigns each committed youth a Grid Level reflecting the severity of the most serious off</w:t>
      </w:r>
      <w:r>
        <w:t>ense for which they’ve been committed. The Grid Level is then used in the classification process to determine both the recommendation for time in the initial residential setting as well as whether the youth will be placed in a community-based or secure set</w:t>
      </w:r>
      <w:r>
        <w:t>ting. Grid Levels range from one (least severe) to six (most severe); typical offenses corresponding to the Grid Levels are listed below:</w:t>
      </w:r>
    </w:p>
    <w:p w:rsidR="00594BC7" w:rsidRDefault="00594BC7">
      <w:pPr>
        <w:spacing w:line="276" w:lineRule="auto"/>
        <w:jc w:val="both"/>
        <w:sectPr w:rsidR="00594BC7">
          <w:pgSz w:w="12240" w:h="15840"/>
          <w:pgMar w:top="132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ListParagraph"/>
        <w:numPr>
          <w:ilvl w:val="0"/>
          <w:numId w:val="2"/>
        </w:numPr>
        <w:tabs>
          <w:tab w:val="left" w:pos="1139"/>
          <w:tab w:val="left" w:pos="1140"/>
        </w:tabs>
        <w:spacing w:before="76" w:line="237" w:lineRule="auto"/>
        <w:ind w:right="1467"/>
        <w:rPr>
          <w:rFonts w:ascii="Symbol" w:hAnsi="Symbol"/>
          <w:sz w:val="24"/>
        </w:rPr>
      </w:pPr>
      <w:bookmarkStart w:id="6" w:name="_bookmark2"/>
      <w:bookmarkEnd w:id="6"/>
      <w:r>
        <w:rPr>
          <w:sz w:val="24"/>
        </w:rPr>
        <w:lastRenderedPageBreak/>
        <w:t>Grid 1: Operating a MV with a suspended license, marijuana possessio</w:t>
      </w:r>
      <w:r>
        <w:rPr>
          <w:sz w:val="24"/>
        </w:rPr>
        <w:t>n (over</w:t>
      </w:r>
      <w:r>
        <w:rPr>
          <w:spacing w:val="-18"/>
          <w:sz w:val="24"/>
        </w:rPr>
        <w:t xml:space="preserve"> </w:t>
      </w:r>
      <w:r>
        <w:rPr>
          <w:sz w:val="24"/>
        </w:rPr>
        <w:t>1 ounce), shoplifting, disorderly conduct,</w:t>
      </w:r>
      <w:r>
        <w:rPr>
          <w:spacing w:val="-14"/>
          <w:sz w:val="24"/>
        </w:rPr>
        <w:t xml:space="preserve"> </w:t>
      </w:r>
      <w:r>
        <w:rPr>
          <w:sz w:val="24"/>
        </w:rPr>
        <w:t>trespass</w:t>
      </w:r>
    </w:p>
    <w:p w:rsidR="00594BC7" w:rsidRDefault="00155135">
      <w:pPr>
        <w:pStyle w:val="ListParagraph"/>
        <w:numPr>
          <w:ilvl w:val="0"/>
          <w:numId w:val="2"/>
        </w:numPr>
        <w:tabs>
          <w:tab w:val="left" w:pos="1139"/>
          <w:tab w:val="left" w:pos="1140"/>
        </w:tabs>
        <w:spacing w:before="125" w:line="237" w:lineRule="auto"/>
        <w:ind w:right="980"/>
        <w:rPr>
          <w:rFonts w:ascii="Symbol" w:hAnsi="Symbol"/>
          <w:sz w:val="24"/>
        </w:rPr>
      </w:pPr>
      <w:r>
        <w:rPr>
          <w:sz w:val="24"/>
        </w:rPr>
        <w:t>Grid 2: OUI liquor or drugs, possession of heroin, assault, assault &amp; battery,</w:t>
      </w:r>
      <w:r>
        <w:rPr>
          <w:spacing w:val="-21"/>
          <w:sz w:val="24"/>
        </w:rPr>
        <w:t xml:space="preserve"> </w:t>
      </w:r>
      <w:r>
        <w:rPr>
          <w:sz w:val="24"/>
        </w:rPr>
        <w:t>tagging, breaking &amp;</w:t>
      </w:r>
      <w:r>
        <w:rPr>
          <w:spacing w:val="-3"/>
          <w:sz w:val="24"/>
        </w:rPr>
        <w:t xml:space="preserve"> </w:t>
      </w:r>
      <w:r>
        <w:rPr>
          <w:sz w:val="24"/>
        </w:rPr>
        <w:t>entering</w:t>
      </w:r>
    </w:p>
    <w:p w:rsidR="00594BC7" w:rsidRDefault="00155135">
      <w:pPr>
        <w:pStyle w:val="ListParagraph"/>
        <w:numPr>
          <w:ilvl w:val="0"/>
          <w:numId w:val="2"/>
        </w:numPr>
        <w:tabs>
          <w:tab w:val="left" w:pos="1139"/>
          <w:tab w:val="left" w:pos="1140"/>
        </w:tabs>
        <w:spacing w:before="122"/>
        <w:rPr>
          <w:rFonts w:ascii="Symbol" w:hAnsi="Symbol"/>
          <w:sz w:val="24"/>
        </w:rPr>
      </w:pPr>
      <w:r>
        <w:rPr>
          <w:sz w:val="24"/>
        </w:rPr>
        <w:t>Grid 3: Robbery, stalking, burning buildings</w:t>
      </w:r>
      <w:r>
        <w:rPr>
          <w:spacing w:val="-2"/>
          <w:sz w:val="24"/>
        </w:rPr>
        <w:t xml:space="preserve"> </w:t>
      </w:r>
      <w:r>
        <w:rPr>
          <w:sz w:val="24"/>
        </w:rPr>
        <w:t>(arson)</w:t>
      </w:r>
    </w:p>
    <w:p w:rsidR="00594BC7" w:rsidRDefault="00155135">
      <w:pPr>
        <w:pStyle w:val="ListParagraph"/>
        <w:numPr>
          <w:ilvl w:val="0"/>
          <w:numId w:val="2"/>
        </w:numPr>
        <w:tabs>
          <w:tab w:val="left" w:pos="1139"/>
          <w:tab w:val="left" w:pos="1140"/>
        </w:tabs>
        <w:spacing w:before="118"/>
        <w:ind w:right="1121"/>
        <w:rPr>
          <w:rFonts w:ascii="Symbol" w:hAnsi="Symbol"/>
          <w:sz w:val="24"/>
        </w:rPr>
      </w:pPr>
      <w:r>
        <w:rPr>
          <w:sz w:val="24"/>
        </w:rPr>
        <w:t>Grid 4: Indecent A&amp;</w:t>
      </w:r>
      <w:r>
        <w:rPr>
          <w:sz w:val="24"/>
        </w:rPr>
        <w:t>B on a child, assault to murder or maim, assault &amp; battery</w:t>
      </w:r>
      <w:r>
        <w:rPr>
          <w:spacing w:val="-34"/>
          <w:sz w:val="24"/>
        </w:rPr>
        <w:t xml:space="preserve"> </w:t>
      </w:r>
      <w:r>
        <w:rPr>
          <w:sz w:val="24"/>
        </w:rPr>
        <w:t>with dangerous weapon (ABDW) with significant injury, armed robbery, carjacking, kidnapping</w:t>
      </w:r>
    </w:p>
    <w:p w:rsidR="00594BC7" w:rsidRDefault="00155135">
      <w:pPr>
        <w:pStyle w:val="ListParagraph"/>
        <w:numPr>
          <w:ilvl w:val="0"/>
          <w:numId w:val="2"/>
        </w:numPr>
        <w:tabs>
          <w:tab w:val="left" w:pos="1139"/>
          <w:tab w:val="left" w:pos="1140"/>
        </w:tabs>
        <w:spacing w:before="124" w:line="237" w:lineRule="auto"/>
        <w:ind w:right="1016"/>
        <w:rPr>
          <w:rFonts w:ascii="Symbol" w:hAnsi="Symbol"/>
          <w:sz w:val="24"/>
        </w:rPr>
      </w:pPr>
      <w:r>
        <w:rPr>
          <w:sz w:val="24"/>
        </w:rPr>
        <w:t>Grid 5: Involuntary manslaughter, A&amp;B on a child with substantial injury,</w:t>
      </w:r>
      <w:r>
        <w:rPr>
          <w:spacing w:val="-38"/>
          <w:sz w:val="24"/>
        </w:rPr>
        <w:t xml:space="preserve"> </w:t>
      </w:r>
      <w:r>
        <w:rPr>
          <w:sz w:val="24"/>
        </w:rPr>
        <w:t>attempted murder, armed robbery</w:t>
      </w:r>
      <w:r>
        <w:rPr>
          <w:sz w:val="24"/>
        </w:rPr>
        <w:t xml:space="preserve"> with firearm, assault to murder (armed), armed</w:t>
      </w:r>
      <w:r>
        <w:rPr>
          <w:spacing w:val="-11"/>
          <w:sz w:val="24"/>
        </w:rPr>
        <w:t xml:space="preserve"> </w:t>
      </w:r>
      <w:r>
        <w:rPr>
          <w:sz w:val="24"/>
        </w:rPr>
        <w:t>carjacking</w:t>
      </w:r>
    </w:p>
    <w:p w:rsidR="00594BC7" w:rsidRDefault="00155135">
      <w:pPr>
        <w:pStyle w:val="ListParagraph"/>
        <w:numPr>
          <w:ilvl w:val="0"/>
          <w:numId w:val="2"/>
        </w:numPr>
        <w:tabs>
          <w:tab w:val="left" w:pos="1139"/>
          <w:tab w:val="left" w:pos="1140"/>
        </w:tabs>
        <w:spacing w:before="125" w:line="237" w:lineRule="auto"/>
        <w:ind w:right="1134"/>
        <w:rPr>
          <w:rFonts w:ascii="Symbol" w:hAnsi="Symbol"/>
          <w:sz w:val="24"/>
        </w:rPr>
      </w:pPr>
      <w:r>
        <w:rPr>
          <w:sz w:val="24"/>
        </w:rPr>
        <w:t>Grid 6: Manslaughter, home invasion, rape of child under 16 with force,</w:t>
      </w:r>
      <w:r>
        <w:rPr>
          <w:spacing w:val="-16"/>
          <w:sz w:val="24"/>
        </w:rPr>
        <w:t xml:space="preserve"> </w:t>
      </w:r>
      <w:r>
        <w:rPr>
          <w:sz w:val="24"/>
        </w:rPr>
        <w:t>trafficking firearms (20+</w:t>
      </w:r>
      <w:r>
        <w:rPr>
          <w:spacing w:val="-2"/>
          <w:sz w:val="24"/>
        </w:rPr>
        <w:t xml:space="preserve"> </w:t>
      </w:r>
      <w:r>
        <w:rPr>
          <w:sz w:val="24"/>
        </w:rPr>
        <w:t>weapons)</w:t>
      </w:r>
    </w:p>
    <w:p w:rsidR="00594BC7" w:rsidRDefault="00594BC7">
      <w:pPr>
        <w:pStyle w:val="BodyText"/>
        <w:spacing w:before="4"/>
        <w:rPr>
          <w:sz w:val="34"/>
        </w:rPr>
      </w:pPr>
    </w:p>
    <w:p w:rsidR="00594BC7" w:rsidRDefault="00155135">
      <w:pPr>
        <w:pStyle w:val="BodyText"/>
        <w:spacing w:before="1"/>
        <w:ind w:left="419" w:right="595"/>
      </w:pPr>
      <w:r>
        <w:t>In CY 2016, 77% of the most serious offenses related to first-time commitments were below Grid 4; 68% were Grid Levels 2 and 3.</w:t>
      </w:r>
    </w:p>
    <w:p w:rsidR="00594BC7" w:rsidRDefault="00594BC7">
      <w:pPr>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2"/>
      </w:pPr>
      <w:bookmarkStart w:id="7" w:name="Detained_Youth"/>
      <w:bookmarkEnd w:id="7"/>
      <w:r>
        <w:rPr>
          <w:color w:val="1F497D"/>
        </w:rPr>
        <w:lastRenderedPageBreak/>
        <w:t>Detained Youth</w:t>
      </w:r>
    </w:p>
    <w:p w:rsidR="00594BC7" w:rsidRDefault="00155135">
      <w:pPr>
        <w:pStyle w:val="BodyText"/>
        <w:spacing w:before="4"/>
        <w:rPr>
          <w:rFonts w:ascii="Cambria"/>
          <w:b/>
          <w:i/>
          <w:sz w:val="12"/>
        </w:rPr>
      </w:pPr>
      <w:r>
        <w:pict>
          <v:group id="_x0000_s1068" style="position:absolute;margin-left:73.25pt;margin-top:9.45pt;width:432.45pt;height:286.8pt;z-index:-251662336;mso-wrap-distance-left:0;mso-wrap-distance-right:0;mso-position-horizontal-relative:page" coordorigin="1465,189" coordsize="8649,5736">
            <v:shape id="_x0000_s1070" type="#_x0000_t75" style="position:absolute;left:1470;top:194;width:8639;height:5726">
              <v:imagedata r:id="rId16" o:title=""/>
            </v:shape>
            <v:rect id="_x0000_s1069" style="position:absolute;left:1467;top:191;width:8644;height:5731" filled="f" strokeweight=".25pt"/>
            <w10:wrap type="topAndBottom" anchorx="page"/>
          </v:group>
        </w:pict>
      </w:r>
    </w:p>
    <w:p w:rsidR="00594BC7" w:rsidRDefault="00155135">
      <w:pPr>
        <w:pStyle w:val="BodyText"/>
        <w:spacing w:before="45"/>
        <w:ind w:left="420"/>
      </w:pPr>
      <w:r>
        <w:t>In CY 2016, there were 1,859 detention admissions.</w:t>
      </w:r>
    </w:p>
    <w:p w:rsidR="00594BC7" w:rsidRDefault="00155135">
      <w:pPr>
        <w:pStyle w:val="BodyText"/>
        <w:spacing w:before="6"/>
        <w:rPr>
          <w:sz w:val="23"/>
        </w:rPr>
      </w:pPr>
      <w:r>
        <w:pict>
          <v:group id="_x0000_s1065" style="position:absolute;margin-left:73.25pt;margin-top:15.55pt;width:432.5pt;height:255.1pt;z-index:-251661312;mso-wrap-distance-left:0;mso-wrap-distance-right:0;mso-position-horizontal-relative:page" coordorigin="1465,311" coordsize="8650,5102">
            <v:shape id="_x0000_s1067" type="#_x0000_t75" style="position:absolute;left:1470;top:315;width:8640;height:5092">
              <v:imagedata r:id="rId17" o:title=""/>
            </v:shape>
            <v:rect id="_x0000_s1066" style="position:absolute;left:1467;top:313;width:8645;height:5097" filled="f" strokeweight=".25pt"/>
            <w10:wrap type="topAndBottom" anchorx="page"/>
          </v:group>
        </w:pict>
      </w:r>
    </w:p>
    <w:p w:rsidR="00594BC7" w:rsidRDefault="00155135">
      <w:pPr>
        <w:pStyle w:val="BodyText"/>
        <w:spacing w:before="54"/>
        <w:ind w:left="420"/>
      </w:pPr>
      <w:r>
        <w:t>Twen</w:t>
      </w:r>
      <w:r>
        <w:t>ty one percent (21%) of the youth detained in CY 2016 were females.</w:t>
      </w:r>
    </w:p>
    <w:p w:rsidR="00594BC7" w:rsidRDefault="00594BC7">
      <w:pPr>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BodyText"/>
        <w:ind w:left="440"/>
        <w:rPr>
          <w:sz w:val="20"/>
        </w:rPr>
      </w:pPr>
      <w:r>
        <w:rPr>
          <w:sz w:val="20"/>
        </w:rPr>
      </w:r>
      <w:r>
        <w:rPr>
          <w:sz w:val="20"/>
        </w:rPr>
        <w:pict>
          <v:group id="_x0000_s1062" style="width:432.5pt;height:251.05pt;mso-position-horizontal-relative:char;mso-position-vertical-relative:line" coordsize="8650,5021">
            <v:shape id="_x0000_s1064" type="#_x0000_t75" style="position:absolute;left:5;top:5;width:8640;height:5011">
              <v:imagedata r:id="rId18" o:title=""/>
            </v:shape>
            <v:rect id="_x0000_s1063" style="position:absolute;left:2;top:2;width:8645;height:5016" filled="f" strokeweight=".25pt"/>
            <w10:wrap type="none"/>
            <w10:anchorlock/>
          </v:group>
        </w:pict>
      </w:r>
    </w:p>
    <w:p w:rsidR="00594BC7" w:rsidRDefault="00155135">
      <w:pPr>
        <w:pStyle w:val="BodyText"/>
        <w:spacing w:before="33"/>
        <w:ind w:left="420"/>
      </w:pPr>
      <w:r>
        <w:t>The average age of youth at the time of detention admission rose to 16.3</w:t>
      </w:r>
      <w:r>
        <w:t xml:space="preserve"> in CY 2016.</w:t>
      </w:r>
    </w:p>
    <w:p w:rsidR="00594BC7" w:rsidRDefault="00155135">
      <w:pPr>
        <w:pStyle w:val="BodyText"/>
        <w:spacing w:before="4"/>
        <w:rPr>
          <w:sz w:val="23"/>
        </w:rPr>
      </w:pPr>
      <w:r>
        <w:pict>
          <v:group id="_x0000_s1059" style="position:absolute;margin-left:73.25pt;margin-top:15.4pt;width:432.5pt;height:270.75pt;z-index:-251660288;mso-wrap-distance-left:0;mso-wrap-distance-right:0;mso-position-horizontal-relative:page" coordorigin="1465,308" coordsize="8650,5415">
            <v:shape id="_x0000_s1061" type="#_x0000_t75" style="position:absolute;left:1470;top:312;width:8640;height:5405">
              <v:imagedata r:id="rId19" o:title=""/>
            </v:shape>
            <v:rect id="_x0000_s1060" style="position:absolute;left:1467;top:310;width:8645;height:5410" filled="f" strokeweight=".25pt"/>
            <w10:wrap type="topAndBottom" anchorx="page"/>
          </v:group>
        </w:pict>
      </w:r>
    </w:p>
    <w:p w:rsidR="00594BC7" w:rsidRDefault="00155135">
      <w:pPr>
        <w:pStyle w:val="BodyText"/>
        <w:spacing w:before="41"/>
        <w:ind w:left="420"/>
      </w:pPr>
      <w:r>
        <w:t>Most of detained youth were held for crimes against a person or property.</w:t>
      </w:r>
    </w:p>
    <w:p w:rsidR="00594BC7" w:rsidRDefault="00594BC7">
      <w:pPr>
        <w:sectPr w:rsidR="00594BC7">
          <w:pgSz w:w="12240" w:h="15840"/>
          <w:pgMar w:top="10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BodyText"/>
        <w:ind w:left="440"/>
        <w:rPr>
          <w:sz w:val="20"/>
        </w:rPr>
      </w:pPr>
      <w:r>
        <w:rPr>
          <w:sz w:val="20"/>
        </w:rPr>
      </w:r>
      <w:r>
        <w:rPr>
          <w:sz w:val="20"/>
        </w:rPr>
        <w:pict>
          <v:group id="_x0000_s1056" style="width:432.5pt;height:289.2pt;mso-position-horizontal-relative:char;mso-position-vertical-relative:line" coordsize="8650,5784">
            <v:shape id="_x0000_s1058" type="#_x0000_t75" style="position:absolute;left:5;top:5;width:8640;height:5774">
              <v:imagedata r:id="rId20" o:title=""/>
            </v:shape>
            <v:rect id="_x0000_s1057" style="position:absolute;left:2;top:2;width:8645;height:5779" filled="f" strokeweight=".25pt"/>
            <w10:wrap type="none"/>
            <w10:anchorlock/>
          </v:group>
        </w:pict>
      </w:r>
    </w:p>
    <w:p w:rsidR="00594BC7" w:rsidRDefault="00155135">
      <w:pPr>
        <w:pStyle w:val="BodyText"/>
        <w:spacing w:before="17"/>
        <w:ind w:left="420" w:right="775"/>
        <w:jc w:val="both"/>
      </w:pPr>
      <w:r>
        <w:t>In CY 2016, most of the youth in detention were assigned Grid Level 2 for such offenses as OUI liquor or drugs, possession of heroin, assault, assault &amp; battery, tagging, breaking &amp; entering.</w:t>
      </w:r>
    </w:p>
    <w:p w:rsidR="00594BC7" w:rsidRDefault="00155135">
      <w:pPr>
        <w:pStyle w:val="BodyText"/>
        <w:spacing w:before="9"/>
        <w:rPr>
          <w:sz w:val="16"/>
        </w:rPr>
      </w:pPr>
      <w:r>
        <w:pict>
          <v:group id="_x0000_s1053" style="position:absolute;margin-left:73.25pt;margin-top:11.65pt;width:432.5pt;height:246.1pt;z-index:-251659264;mso-wrap-distance-left:0;mso-wrap-distance-right:0;mso-position-horizontal-relative:page" coordorigin="1465,233" coordsize="8650,4922">
            <v:shape id="_x0000_s1055" type="#_x0000_t75" style="position:absolute;left:1470;top:238;width:8640;height:4912">
              <v:imagedata r:id="rId21" o:title=""/>
            </v:shape>
            <v:rect id="_x0000_s1054" style="position:absolute;left:1467;top:235;width:8645;height:4917" filled="f" strokeweight=".25pt"/>
            <w10:wrap type="topAndBottom" anchorx="page"/>
          </v:group>
        </w:pict>
      </w:r>
    </w:p>
    <w:p w:rsidR="00594BC7" w:rsidRDefault="00155135">
      <w:pPr>
        <w:pStyle w:val="BodyText"/>
        <w:spacing w:before="54"/>
        <w:ind w:left="420" w:right="779"/>
        <w:jc w:val="both"/>
      </w:pPr>
      <w:r>
        <w:t>Since 2012, Hispanic you</w:t>
      </w:r>
      <w:r>
        <w:t>th have accounted for a larger proportion of the youth in detention as the number of Caucasian and African American youth in detention dropped at a greater rate.</w:t>
      </w:r>
    </w:p>
    <w:p w:rsidR="00594BC7" w:rsidRDefault="00155135">
      <w:pPr>
        <w:pStyle w:val="BodyText"/>
        <w:ind w:left="420" w:right="1628"/>
      </w:pPr>
      <w:r>
        <w:t>In CY 2016, there were 726 detention admissions of Hispanic youth compared to 523 admissions o</w:t>
      </w:r>
      <w:r>
        <w:t>f Caucasian youth.</w:t>
      </w:r>
    </w:p>
    <w:p w:rsidR="00594BC7" w:rsidRDefault="00594BC7">
      <w:pPr>
        <w:sectPr w:rsidR="00594BC7">
          <w:pgSz w:w="12240" w:h="15840"/>
          <w:pgMar w:top="10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BodyText"/>
        <w:ind w:left="440"/>
        <w:rPr>
          <w:sz w:val="20"/>
        </w:rPr>
      </w:pPr>
      <w:r>
        <w:rPr>
          <w:sz w:val="20"/>
        </w:rPr>
      </w:r>
      <w:r>
        <w:rPr>
          <w:sz w:val="20"/>
        </w:rPr>
        <w:pict>
          <v:group id="_x0000_s1050" style="width:432.5pt;height:273.55pt;mso-position-horizontal-relative:char;mso-position-vertical-relative:line" coordsize="8650,5471">
            <v:shape id="_x0000_s1052" type="#_x0000_t75" style="position:absolute;left:5;top:5;width:8640;height:5461">
              <v:imagedata r:id="rId22" o:title=""/>
            </v:shape>
            <v:rect id="_x0000_s1051" style="position:absolute;left:2;top:2;width:8645;height:5466" filled="f" strokeweight=".25pt"/>
            <w10:wrap type="none"/>
            <w10:anchorlock/>
          </v:group>
        </w:pict>
      </w:r>
    </w:p>
    <w:p w:rsidR="00594BC7" w:rsidRDefault="00155135">
      <w:pPr>
        <w:pStyle w:val="BodyText"/>
        <w:spacing w:before="32"/>
        <w:ind w:left="420" w:right="995"/>
      </w:pPr>
      <w:bookmarkStart w:id="8" w:name="_bookmark3"/>
      <w:bookmarkEnd w:id="8"/>
      <w:r>
        <w:t>In CY 2016, the percentage of detention admissions of youth with DCF involvement was 42.5%. Over the 5 years from CY 2012 to CY 2016, the percentage of detention admissions of youth with DCF involvement has ranged from 3</w:t>
      </w:r>
      <w:r>
        <w:t>7.2% to 44.5%.</w:t>
      </w:r>
    </w:p>
    <w:p w:rsidR="00594BC7" w:rsidRDefault="00594BC7">
      <w:pPr>
        <w:sectPr w:rsidR="00594BC7">
          <w:pgSz w:w="12240" w:h="15840"/>
          <w:pgMar w:top="10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2"/>
      </w:pPr>
      <w:bookmarkStart w:id="9" w:name="Raise-the-Age:_Impact_on_DYS_Commitment_"/>
      <w:bookmarkEnd w:id="9"/>
      <w:r>
        <w:rPr>
          <w:color w:val="1F497D"/>
        </w:rPr>
        <w:lastRenderedPageBreak/>
        <w:t>Raise-the-Age: Impact on DYS Commitment and Detention</w:t>
      </w:r>
    </w:p>
    <w:p w:rsidR="00594BC7" w:rsidRDefault="00155135">
      <w:pPr>
        <w:pStyle w:val="BodyText"/>
        <w:spacing w:before="156"/>
        <w:ind w:left="420" w:right="995"/>
      </w:pPr>
      <w:r>
        <w:pict>
          <v:group id="_x0000_s1047" style="position:absolute;left:0;text-align:left;margin-left:73.25pt;margin-top:53.85pt;width:432.5pt;height:289.1pt;z-index:-251658240;mso-wrap-distance-left:0;mso-wrap-distance-right:0;mso-position-horizontal-relative:page" coordorigin="1465,1077" coordsize="8650,5782">
            <v:shape id="_x0000_s1049" type="#_x0000_t75" style="position:absolute;left:1470;top:1081;width:8640;height:5772">
              <v:imagedata r:id="rId23" o:title=""/>
            </v:shape>
            <v:rect id="_x0000_s1048" style="position:absolute;left:1467;top:1079;width:8645;height:5777" filled="f" strokeweight=".25pt"/>
            <w10:wrap type="topAndBottom" anchorx="page"/>
          </v:group>
        </w:pict>
      </w:r>
      <w:r>
        <w:t>In 2013, the Raise-the-Age legislation was passed in Massachusetts which increased the age of juvenile court jurisdiction from 17 to 1</w:t>
      </w:r>
      <w:r>
        <w:t>8 for delinquency cases and youthful offender matters.</w:t>
      </w:r>
    </w:p>
    <w:p w:rsidR="00594BC7" w:rsidRDefault="00155135">
      <w:pPr>
        <w:pStyle w:val="BodyText"/>
        <w:spacing w:before="31"/>
        <w:ind w:left="420" w:right="962"/>
      </w:pPr>
      <w:r>
        <w:t>In CY 2016, DYS saw the statewide average daily detention population rate start to level off after trending upward following the passage of the Raise the Age legislation. In the last quarter of CY 2016</w:t>
      </w:r>
      <w:r>
        <w:t>, the statewide average daily detained population was 165 youth.</w:t>
      </w:r>
    </w:p>
    <w:p w:rsidR="00594BC7" w:rsidRDefault="00594BC7">
      <w:pPr>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BodyText"/>
        <w:ind w:left="440"/>
        <w:rPr>
          <w:sz w:val="20"/>
        </w:rPr>
      </w:pPr>
      <w:r>
        <w:rPr>
          <w:sz w:val="20"/>
        </w:rPr>
      </w:r>
      <w:r>
        <w:rPr>
          <w:sz w:val="20"/>
        </w:rPr>
        <w:pict>
          <v:group id="_x0000_s1044" style="width:432.45pt;height:274.8pt;mso-position-horizontal-relative:char;mso-position-vertical-relative:line" coordsize="8649,5496">
            <v:shape id="_x0000_s1046" type="#_x0000_t75" style="position:absolute;left:5;top:5;width:8639;height:5486">
              <v:imagedata r:id="rId24" o:title=""/>
            </v:shape>
            <v:rect id="_x0000_s1045" style="position:absolute;left:2;top:2;width:8644;height:5491" filled="f" strokeweight=".25pt"/>
            <w10:wrap type="none"/>
            <w10:anchorlock/>
          </v:group>
        </w:pict>
      </w:r>
    </w:p>
    <w:p w:rsidR="00594BC7" w:rsidRDefault="00155135">
      <w:pPr>
        <w:pStyle w:val="BodyText"/>
        <w:spacing w:before="35" w:line="237" w:lineRule="auto"/>
        <w:ind w:left="420" w:right="922"/>
      </w:pPr>
      <w:bookmarkStart w:id="10" w:name="_bookmark4"/>
      <w:bookmarkEnd w:id="10"/>
      <w:r>
        <w:t>The number of youth age 17 detained since Raise the Age is starting to trend downward and the number of 17 year old youth committed since Raise the Age has been relatively constant.</w:t>
      </w:r>
    </w:p>
    <w:p w:rsidR="00594BC7" w:rsidRDefault="00594BC7">
      <w:pPr>
        <w:pStyle w:val="BodyText"/>
        <w:spacing w:before="2"/>
        <w:rPr>
          <w:sz w:val="33"/>
        </w:rPr>
      </w:pPr>
    </w:p>
    <w:p w:rsidR="00594BC7" w:rsidRDefault="00155135">
      <w:pPr>
        <w:pStyle w:val="Heading2"/>
        <w:spacing w:before="0"/>
      </w:pPr>
      <w:bookmarkStart w:id="11" w:name="DYS_Alternative_Lock-up_(Overnight_Arres"/>
      <w:bookmarkEnd w:id="11"/>
      <w:r>
        <w:rPr>
          <w:color w:val="1F497D"/>
        </w:rPr>
        <w:t>DYS Alternative Lock-up (Overnight Arrest) Programs</w:t>
      </w:r>
    </w:p>
    <w:p w:rsidR="00594BC7" w:rsidRDefault="00155135">
      <w:pPr>
        <w:pStyle w:val="BodyText"/>
        <w:spacing w:before="156"/>
        <w:ind w:left="420" w:right="770"/>
        <w:jc w:val="both"/>
      </w:pPr>
      <w:r>
        <w:t>The Department of You</w:t>
      </w:r>
      <w:r>
        <w:t>th Services administers the Alternative Lockup Programs which provide secure placements for youth arrested when courts are not in session. The program is designed to provide a safe, non-police environment for youth who are awaiting a court appearance.</w:t>
      </w:r>
    </w:p>
    <w:p w:rsidR="00594BC7" w:rsidRDefault="00594BC7">
      <w:pPr>
        <w:pStyle w:val="BodyText"/>
        <w:spacing w:before="3"/>
      </w:pPr>
    </w:p>
    <w:p w:rsidR="00594BC7" w:rsidRDefault="00155135">
      <w:pPr>
        <w:pStyle w:val="BodyText"/>
        <w:ind w:left="420" w:right="316"/>
      </w:pPr>
      <w:r>
        <w:t>The</w:t>
      </w:r>
      <w:r>
        <w:t xml:space="preserve"> alternative placement of youth awaiting arraignment follows both state and federal requirements that include:</w:t>
      </w:r>
    </w:p>
    <w:p w:rsidR="00594BC7" w:rsidRDefault="00594BC7">
      <w:pPr>
        <w:pStyle w:val="BodyText"/>
        <w:spacing w:before="7"/>
      </w:pPr>
    </w:p>
    <w:p w:rsidR="00594BC7" w:rsidRDefault="00155135">
      <w:pPr>
        <w:pStyle w:val="ListParagraph"/>
        <w:numPr>
          <w:ilvl w:val="0"/>
          <w:numId w:val="3"/>
        </w:numPr>
        <w:tabs>
          <w:tab w:val="left" w:pos="779"/>
          <w:tab w:val="left" w:pos="780"/>
        </w:tabs>
        <w:spacing w:before="0" w:line="237" w:lineRule="auto"/>
        <w:ind w:right="767" w:hanging="360"/>
        <w:rPr>
          <w:sz w:val="24"/>
        </w:rPr>
      </w:pPr>
      <w:r>
        <w:rPr>
          <w:sz w:val="24"/>
        </w:rPr>
        <w:t>Youth who commit a status offense (an offense that is only prohibited for minors) may not be securely detained for any length of</w:t>
      </w:r>
      <w:r>
        <w:rPr>
          <w:spacing w:val="-19"/>
          <w:sz w:val="24"/>
        </w:rPr>
        <w:t xml:space="preserve"> </w:t>
      </w:r>
      <w:r>
        <w:rPr>
          <w:sz w:val="24"/>
        </w:rPr>
        <w:t>time</w:t>
      </w:r>
    </w:p>
    <w:p w:rsidR="00594BC7" w:rsidRDefault="00155135">
      <w:pPr>
        <w:pStyle w:val="ListParagraph"/>
        <w:numPr>
          <w:ilvl w:val="0"/>
          <w:numId w:val="3"/>
        </w:numPr>
        <w:tabs>
          <w:tab w:val="left" w:pos="779"/>
          <w:tab w:val="left" w:pos="780"/>
        </w:tabs>
        <w:spacing w:before="2"/>
        <w:ind w:right="769" w:hanging="360"/>
        <w:rPr>
          <w:sz w:val="24"/>
        </w:rPr>
      </w:pPr>
      <w:r>
        <w:rPr>
          <w:sz w:val="24"/>
        </w:rPr>
        <w:t xml:space="preserve">Juveniles </w:t>
      </w:r>
      <w:r>
        <w:rPr>
          <w:sz w:val="24"/>
        </w:rPr>
        <w:t>charged with a non-status offense may be securely detained for no longer than 6 hours in a local police</w:t>
      </w:r>
      <w:r>
        <w:rPr>
          <w:spacing w:val="-13"/>
          <w:sz w:val="24"/>
        </w:rPr>
        <w:t xml:space="preserve"> </w:t>
      </w:r>
      <w:r>
        <w:rPr>
          <w:sz w:val="24"/>
        </w:rPr>
        <w:t>station</w:t>
      </w:r>
    </w:p>
    <w:p w:rsidR="00594BC7" w:rsidRDefault="00155135">
      <w:pPr>
        <w:pStyle w:val="ListParagraph"/>
        <w:numPr>
          <w:ilvl w:val="0"/>
          <w:numId w:val="3"/>
        </w:numPr>
        <w:tabs>
          <w:tab w:val="left" w:pos="779"/>
          <w:tab w:val="left" w:pos="780"/>
        </w:tabs>
        <w:spacing w:before="0" w:line="257" w:lineRule="exact"/>
        <w:ind w:hanging="360"/>
        <w:rPr>
          <w:sz w:val="24"/>
        </w:rPr>
      </w:pPr>
      <w:r>
        <w:rPr>
          <w:sz w:val="24"/>
        </w:rPr>
        <w:t>Youth must be sight and sound separated from</w:t>
      </w:r>
      <w:r>
        <w:rPr>
          <w:spacing w:val="-12"/>
          <w:sz w:val="24"/>
        </w:rPr>
        <w:t xml:space="preserve"> </w:t>
      </w:r>
      <w:r>
        <w:rPr>
          <w:sz w:val="24"/>
        </w:rPr>
        <w:t>adults</w:t>
      </w:r>
    </w:p>
    <w:p w:rsidR="00594BC7" w:rsidRDefault="00155135">
      <w:pPr>
        <w:pStyle w:val="ListParagraph"/>
        <w:numPr>
          <w:ilvl w:val="0"/>
          <w:numId w:val="3"/>
        </w:numPr>
        <w:tabs>
          <w:tab w:val="left" w:pos="779"/>
          <w:tab w:val="left" w:pos="780"/>
        </w:tabs>
        <w:spacing w:before="0" w:line="290" w:lineRule="exact"/>
        <w:ind w:hanging="360"/>
        <w:rPr>
          <w:sz w:val="24"/>
        </w:rPr>
      </w:pPr>
      <w:r>
        <w:rPr>
          <w:sz w:val="24"/>
        </w:rPr>
        <w:t>No juvenile under the age of 14 may be held in a police</w:t>
      </w:r>
      <w:r>
        <w:rPr>
          <w:spacing w:val="-21"/>
          <w:sz w:val="24"/>
        </w:rPr>
        <w:t xml:space="preserve"> </w:t>
      </w:r>
      <w:r>
        <w:rPr>
          <w:sz w:val="24"/>
        </w:rPr>
        <w:t>lockup</w:t>
      </w:r>
    </w:p>
    <w:p w:rsidR="00594BC7" w:rsidRDefault="00594BC7">
      <w:pPr>
        <w:pStyle w:val="BodyText"/>
        <w:spacing w:before="10"/>
        <w:rPr>
          <w:sz w:val="23"/>
        </w:rPr>
      </w:pPr>
    </w:p>
    <w:p w:rsidR="00594BC7" w:rsidRDefault="00155135">
      <w:pPr>
        <w:pStyle w:val="BodyText"/>
        <w:spacing w:before="1"/>
        <w:ind w:left="419" w:right="863"/>
      </w:pPr>
      <w:r>
        <w:t>DYS had 1663 overnight arrest admissions (placement for youth arrested overnight or during the weekend until arraignment or court date) in CY 2016.</w:t>
      </w:r>
    </w:p>
    <w:p w:rsidR="00594BC7" w:rsidRDefault="00594BC7">
      <w:pPr>
        <w:sectPr w:rsidR="00594BC7">
          <w:pgSz w:w="12240" w:h="15840"/>
          <w:pgMar w:top="10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BodyText"/>
        <w:ind w:left="440"/>
        <w:rPr>
          <w:sz w:val="20"/>
        </w:rPr>
      </w:pPr>
      <w:r>
        <w:rPr>
          <w:sz w:val="20"/>
        </w:rPr>
      </w:r>
      <w:r>
        <w:rPr>
          <w:sz w:val="20"/>
        </w:rPr>
        <w:pict>
          <v:group id="_x0000_s1041" style="width:432.45pt;height:233.35pt;mso-position-horizontal-relative:char;mso-position-vertical-relative:line" coordsize="8649,4667">
            <v:shape id="_x0000_s1043" type="#_x0000_t75" style="position:absolute;left:5;top:5;width:8639;height:4657">
              <v:imagedata r:id="rId25" o:title=""/>
            </v:shape>
            <v:rect id="_x0000_s1042" style="position:absolute;left:2;top:2;width:8644;height:4662" filled="f" strokeweight=".25pt"/>
            <w10:wrap type="none"/>
            <w10:anchorlock/>
          </v:group>
        </w:pict>
      </w:r>
    </w:p>
    <w:p w:rsidR="00594BC7" w:rsidRDefault="00155135">
      <w:pPr>
        <w:pStyle w:val="BodyText"/>
        <w:spacing w:before="33"/>
        <w:ind w:left="420" w:right="595"/>
      </w:pPr>
      <w:r>
        <w:t>In CY 2016, the trend continued with the number of youth placed in a DYS Alternative Lock- Up programs increasing with the age of the youth.</w:t>
      </w:r>
    </w:p>
    <w:p w:rsidR="00594BC7" w:rsidRDefault="00594BC7">
      <w:pPr>
        <w:pStyle w:val="BodyText"/>
        <w:rPr>
          <w:sz w:val="20"/>
        </w:rPr>
      </w:pPr>
    </w:p>
    <w:p w:rsidR="00594BC7" w:rsidRDefault="00155135">
      <w:pPr>
        <w:pStyle w:val="BodyText"/>
        <w:spacing w:before="8"/>
        <w:rPr>
          <w:sz w:val="20"/>
        </w:rPr>
      </w:pPr>
      <w:r>
        <w:pict>
          <v:group id="_x0000_s1038" style="position:absolute;margin-left:73.25pt;margin-top:13.9pt;width:432.5pt;height:251.95pt;z-index:-251657216;mso-wrap-distance-left:0;mso-wrap-distance-right:0;mso-position-horizontal-relative:page" coordorigin="1465,278" coordsize="8650,5039">
            <v:shape id="_x0000_s1040" type="#_x0000_t75" style="position:absolute;left:1470;top:283;width:8640;height:5029">
              <v:imagedata r:id="rId26" o:title=""/>
            </v:shape>
            <v:rect id="_x0000_s1039" style="position:absolute;left:1467;top:280;width:8645;height:5034" filled="f" strokeweight=".25pt"/>
            <w10:wrap type="topAndBottom" anchorx="page"/>
          </v:group>
        </w:pict>
      </w:r>
    </w:p>
    <w:p w:rsidR="00594BC7" w:rsidRDefault="00155135">
      <w:pPr>
        <w:pStyle w:val="BodyText"/>
        <w:spacing w:before="59" w:line="242" w:lineRule="auto"/>
        <w:ind w:left="420" w:right="1023"/>
      </w:pPr>
      <w:r>
        <w:t>Young male represented 73% and young female represented 27% of the youth p</w:t>
      </w:r>
      <w:r>
        <w:t>laced in a DYS Alternative Lock-Up Program in CY 2016.</w:t>
      </w:r>
    </w:p>
    <w:p w:rsidR="00594BC7" w:rsidRDefault="00594BC7">
      <w:pPr>
        <w:spacing w:line="242" w:lineRule="auto"/>
        <w:sectPr w:rsidR="00594BC7">
          <w:pgSz w:w="12240" w:h="15840"/>
          <w:pgMar w:top="10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BodyText"/>
        <w:ind w:left="440"/>
        <w:rPr>
          <w:sz w:val="20"/>
        </w:rPr>
      </w:pPr>
      <w:r>
        <w:rPr>
          <w:sz w:val="20"/>
        </w:rPr>
      </w:r>
      <w:r>
        <w:rPr>
          <w:sz w:val="20"/>
        </w:rPr>
        <w:pict>
          <v:group id="_x0000_s1035" style="width:432.5pt;height:236.3pt;mso-position-horizontal-relative:char;mso-position-vertical-relative:line" coordsize="8650,4726">
            <v:shape id="_x0000_s1037" type="#_x0000_t75" style="position:absolute;left:5;top:5;width:8640;height:4716">
              <v:imagedata r:id="rId27" o:title=""/>
            </v:shape>
            <v:rect id="_x0000_s1036" style="position:absolute;left:2;top:2;width:8645;height:4721" filled="f" strokeweight=".25pt"/>
            <w10:wrap type="none"/>
            <w10:anchorlock/>
          </v:group>
        </w:pict>
      </w:r>
    </w:p>
    <w:p w:rsidR="00594BC7" w:rsidRDefault="00155135">
      <w:pPr>
        <w:pStyle w:val="BodyText"/>
        <w:spacing w:before="33"/>
        <w:ind w:left="420" w:right="1023"/>
      </w:pPr>
      <w:r>
        <w:t xml:space="preserve">The average length of stay in a DYS Alternative Lock-Up Program was 1.55 days in CY </w:t>
      </w:r>
      <w:r>
        <w:t>2016.</w:t>
      </w:r>
    </w:p>
    <w:p w:rsidR="00594BC7" w:rsidRDefault="00594BC7">
      <w:pPr>
        <w:pStyle w:val="BodyText"/>
        <w:rPr>
          <w:sz w:val="20"/>
        </w:rPr>
      </w:pPr>
    </w:p>
    <w:p w:rsidR="00594BC7" w:rsidRDefault="00155135">
      <w:pPr>
        <w:pStyle w:val="BodyText"/>
        <w:spacing w:before="8"/>
        <w:rPr>
          <w:sz w:val="20"/>
        </w:rPr>
      </w:pPr>
      <w:r>
        <w:pict>
          <v:group id="_x0000_s1032" style="position:absolute;margin-left:73.25pt;margin-top:13.9pt;width:432.5pt;height:266.55pt;z-index:-251656192;mso-wrap-distance-left:0;mso-wrap-distance-right:0;mso-position-horizontal-relative:page" coordorigin="1465,278" coordsize="8650,5331">
            <v:shape id="_x0000_s1034" type="#_x0000_t75" style="position:absolute;left:1470;top:283;width:8640;height:5321">
              <v:imagedata r:id="rId28" o:title=""/>
            </v:shape>
            <v:rect id="_x0000_s1033" style="position:absolute;left:1467;top:280;width:8645;height:5326" filled="f" strokeweight=".25pt"/>
            <w10:wrap type="topAndBottom" anchorx="page"/>
          </v:group>
        </w:pict>
      </w:r>
    </w:p>
    <w:p w:rsidR="00594BC7" w:rsidRDefault="00155135">
      <w:pPr>
        <w:pStyle w:val="BodyText"/>
        <w:spacing w:before="35" w:line="242" w:lineRule="auto"/>
        <w:ind w:left="420" w:right="595"/>
      </w:pPr>
      <w:r>
        <w:t>In CY 2016, 34% of youth placed in DYS Alternative Lock-Up programs were subsequently placed in detention as compared to 35% in CY 2015.</w:t>
      </w:r>
    </w:p>
    <w:p w:rsidR="00594BC7" w:rsidRDefault="00594BC7">
      <w:pPr>
        <w:spacing w:line="242" w:lineRule="auto"/>
        <w:sectPr w:rsidR="00594BC7">
          <w:pgSz w:w="12240" w:h="15840"/>
          <w:pgMar w:top="10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BodyText"/>
        <w:ind w:left="440"/>
        <w:rPr>
          <w:sz w:val="20"/>
        </w:rPr>
      </w:pPr>
      <w:r>
        <w:rPr>
          <w:sz w:val="20"/>
        </w:rPr>
      </w:r>
      <w:r>
        <w:rPr>
          <w:sz w:val="20"/>
        </w:rPr>
        <w:pict>
          <v:group id="_x0000_s1029" style="width:432.45pt;height:125.3pt;mso-position-horizontal-relative:char;mso-position-vertical-relative:line" coordsize="8649,2506">
            <v:shape id="_x0000_s1031" type="#_x0000_t75" style="position:absolute;left:5;top:5;width:8639;height:2496">
              <v:imagedata r:id="rId29" o:title=""/>
            </v:shape>
            <v:rect id="_x0000_s1030" style="position:absolute;left:2;top:2;width:8644;height:2501" filled="f" strokeweight=".25pt"/>
            <w10:wrap type="none"/>
            <w10:anchorlock/>
          </v:group>
        </w:pict>
      </w:r>
    </w:p>
    <w:p w:rsidR="00594BC7" w:rsidRDefault="00155135">
      <w:pPr>
        <w:pStyle w:val="BodyText"/>
        <w:spacing w:before="33"/>
        <w:ind w:left="420" w:right="774"/>
        <w:jc w:val="both"/>
      </w:pPr>
      <w:r>
        <w:t>The average number of 17-year-olds referred each month to DYS for overnight arrest program has decreased from 56 in CY 2014 to 40 in CY 2016.</w:t>
      </w:r>
    </w:p>
    <w:p w:rsidR="00594BC7" w:rsidRDefault="00594BC7">
      <w:pPr>
        <w:pStyle w:val="BodyText"/>
        <w:rPr>
          <w:sz w:val="26"/>
        </w:rPr>
      </w:pPr>
    </w:p>
    <w:p w:rsidR="00594BC7" w:rsidRDefault="00155135">
      <w:pPr>
        <w:pStyle w:val="Heading2"/>
        <w:spacing w:before="180"/>
        <w:jc w:val="both"/>
      </w:pPr>
      <w:bookmarkStart w:id="12" w:name="DYS_Revocation"/>
      <w:bookmarkStart w:id="13" w:name="_bookmark5"/>
      <w:bookmarkEnd w:id="12"/>
      <w:bookmarkEnd w:id="13"/>
      <w:r>
        <w:rPr>
          <w:color w:val="1F497D"/>
        </w:rPr>
        <w:t>DYS Revocation</w:t>
      </w:r>
    </w:p>
    <w:p w:rsidR="00594BC7" w:rsidRDefault="00155135">
      <w:pPr>
        <w:pStyle w:val="BodyText"/>
        <w:spacing w:before="156"/>
        <w:ind w:left="420" w:right="768"/>
        <w:jc w:val="both"/>
      </w:pPr>
      <w:r>
        <w:t>After youth are committed by the court to DYS and complete their residential or secure treatment requirement, they are then released into the community under an agreement similar to a parole agreement which is called the Grant of Conditional Liberty, or GC</w:t>
      </w:r>
      <w:r>
        <w:t>L.</w:t>
      </w:r>
    </w:p>
    <w:p w:rsidR="00594BC7" w:rsidRDefault="00594BC7">
      <w:pPr>
        <w:pStyle w:val="BodyText"/>
        <w:spacing w:before="4"/>
        <w:rPr>
          <w:sz w:val="36"/>
        </w:rPr>
      </w:pPr>
    </w:p>
    <w:p w:rsidR="00594BC7" w:rsidRDefault="00155135">
      <w:pPr>
        <w:pStyle w:val="BodyText"/>
        <w:ind w:left="419" w:right="765"/>
        <w:jc w:val="both"/>
      </w:pPr>
      <w:r>
        <w:t>The GCL is a document signed by youth and their DYS caseworkers that lists the conditions that the youth must follow, such as attending school regularly and staying in contact with the DYS caseworker. When DYS caseworkers believe that a youth is not fo</w:t>
      </w:r>
      <w:r>
        <w:t>llowing the conditions of their GCL, they may decide to return the youth to custody to face a revocation hearing.</w:t>
      </w:r>
    </w:p>
    <w:p w:rsidR="00594BC7" w:rsidRDefault="00594BC7">
      <w:pPr>
        <w:pStyle w:val="BodyText"/>
        <w:spacing w:before="6"/>
        <w:rPr>
          <w:sz w:val="31"/>
        </w:rPr>
      </w:pPr>
    </w:p>
    <w:p w:rsidR="00594BC7" w:rsidRDefault="00155135">
      <w:pPr>
        <w:pStyle w:val="Heading5"/>
        <w:ind w:left="419"/>
        <w:jc w:val="both"/>
      </w:pPr>
      <w:r>
        <w:t>Revocations by Calendar Year</w:t>
      </w:r>
    </w:p>
    <w:p w:rsidR="00594BC7" w:rsidRDefault="00155135">
      <w:pPr>
        <w:pStyle w:val="BodyText"/>
        <w:spacing w:before="67"/>
        <w:ind w:left="419" w:right="768"/>
        <w:jc w:val="both"/>
      </w:pPr>
      <w:r>
        <w:t xml:space="preserve">In CY 2016, 353 youth were </w:t>
      </w:r>
      <w:proofErr w:type="spellStart"/>
      <w:r>
        <w:t>revocated</w:t>
      </w:r>
      <w:proofErr w:type="spellEnd"/>
      <w:r>
        <w:t xml:space="preserve">. Thirty seven percent (37%) were black youth, 33% were Hispanic youth, 23% </w:t>
      </w:r>
      <w:r>
        <w:t>were white youth and 6% were in the other category; 47% of the youth were 17 years old at the time of revocation.</w:t>
      </w:r>
    </w:p>
    <w:p w:rsidR="00594BC7" w:rsidRDefault="00594BC7">
      <w:pPr>
        <w:pStyle w:val="BodyText"/>
        <w:spacing w:before="5"/>
        <w:rPr>
          <w:sz w:val="30"/>
        </w:rPr>
      </w:pPr>
    </w:p>
    <w:p w:rsidR="00594BC7" w:rsidRDefault="00155135">
      <w:pPr>
        <w:pStyle w:val="Heading2"/>
        <w:spacing w:before="0"/>
        <w:jc w:val="both"/>
      </w:pPr>
      <w:bookmarkStart w:id="14" w:name="Youth_Engaged_in_Services"/>
      <w:bookmarkStart w:id="15" w:name="_bookmark6"/>
      <w:bookmarkEnd w:id="14"/>
      <w:bookmarkEnd w:id="15"/>
      <w:r>
        <w:rPr>
          <w:color w:val="1F497D"/>
        </w:rPr>
        <w:t>Youth Engaged in Services</w:t>
      </w:r>
    </w:p>
    <w:p w:rsidR="00594BC7" w:rsidRDefault="00155135">
      <w:pPr>
        <w:pStyle w:val="BodyText"/>
        <w:spacing w:before="156"/>
        <w:ind w:left="420" w:right="768"/>
        <w:jc w:val="both"/>
      </w:pPr>
      <w:r>
        <w:t xml:space="preserve">In 2013, DYS began offering voluntary community support services to every youth discharging from DYS custody </w:t>
      </w:r>
      <w:proofErr w:type="gramStart"/>
      <w:r>
        <w:t>These</w:t>
      </w:r>
      <w:proofErr w:type="gramEnd"/>
      <w:r>
        <w:t xml:space="preserve"> </w:t>
      </w:r>
      <w:r>
        <w:t>voluntary services are intended to provide a safety net to youth released from care and prevent youth from engaging in behaviors that lead to adult criminal justice involvement. Through the voluntary agreement entered into with DYS, a youth agrees to abide</w:t>
      </w:r>
      <w:r>
        <w:t xml:space="preserve"> by the conditions of the agreement following discharge in exchange for continuing case management and other transitional supports such as housing, continued education, treatment and/or job</w:t>
      </w:r>
      <w:r>
        <w:rPr>
          <w:spacing w:val="-2"/>
        </w:rPr>
        <w:t xml:space="preserve"> </w:t>
      </w:r>
      <w:r>
        <w:t>training.</w:t>
      </w:r>
    </w:p>
    <w:p w:rsidR="00594BC7" w:rsidRDefault="00594BC7">
      <w:pPr>
        <w:pStyle w:val="BodyText"/>
        <w:spacing w:before="6"/>
        <w:rPr>
          <w:sz w:val="36"/>
        </w:rPr>
      </w:pPr>
    </w:p>
    <w:p w:rsidR="00594BC7" w:rsidRDefault="00155135">
      <w:pPr>
        <w:pStyle w:val="BodyText"/>
        <w:ind w:left="419" w:right="766"/>
        <w:jc w:val="both"/>
      </w:pPr>
      <w:r>
        <w:t>In 2016, the statute, M.G.L. c.120, §15, was amended an</w:t>
      </w:r>
      <w:r>
        <w:t xml:space="preserve">d authorized DYS to offer and provide the services to youth offenders after they are discharged at age 21 and also established a window of 90 days for a discharged youth to change his/her mind after initially rejecting the voluntary services. Prior to the </w:t>
      </w:r>
      <w:r>
        <w:t>amendment, DYS could not offer these voluntary services to youthful offender discharging at 21 or to a youth after discharge from the Department. Formerly known as the Assent of Ward program, the Youth Engaged in Services (“YES”) program is a DYS service s</w:t>
      </w:r>
      <w:r>
        <w:t>trategy that is directed to reduce recidivism through increasing skill attainment and supporting other positive youth</w:t>
      </w:r>
      <w:r>
        <w:rPr>
          <w:spacing w:val="-25"/>
        </w:rPr>
        <w:t xml:space="preserve"> </w:t>
      </w:r>
      <w:r>
        <w:t>outcomes.</w:t>
      </w:r>
    </w:p>
    <w:p w:rsidR="00594BC7" w:rsidRDefault="00594BC7">
      <w:pPr>
        <w:jc w:val="both"/>
        <w:sectPr w:rsidR="00594BC7">
          <w:pgSz w:w="12240" w:h="15840"/>
          <w:pgMar w:top="1040" w:right="940" w:bottom="124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bookmarkStart w:id="16" w:name="_bookmark7"/>
    <w:bookmarkEnd w:id="16"/>
    <w:p w:rsidR="00594BC7" w:rsidRDefault="00155135">
      <w:pPr>
        <w:pStyle w:val="BodyText"/>
        <w:ind w:left="440"/>
        <w:rPr>
          <w:sz w:val="20"/>
        </w:rPr>
      </w:pPr>
      <w:r>
        <w:rPr>
          <w:sz w:val="20"/>
        </w:rPr>
      </w:r>
      <w:r>
        <w:rPr>
          <w:sz w:val="20"/>
        </w:rPr>
        <w:pict>
          <v:group id="_x0000_s1026" style="width:432.5pt;height:242.1pt;mso-position-horizontal-relative:char;mso-position-vertical-relative:line" coordsize="8650,4842">
            <v:shape id="_x0000_s1028" type="#_x0000_t75" style="position:absolute;left:5;top:5;width:8640;height:4832">
              <v:imagedata r:id="rId30" o:title=""/>
            </v:shape>
            <v:rect id="_x0000_s1027" style="position:absolute;left:2;top:2;width:8645;height:4837" filled="f" strokeweight=".25pt"/>
            <w10:wrap type="none"/>
            <w10:anchorlock/>
          </v:group>
        </w:pict>
      </w:r>
    </w:p>
    <w:p w:rsidR="00594BC7" w:rsidRDefault="00155135">
      <w:pPr>
        <w:pStyle w:val="BodyText"/>
        <w:spacing w:before="18"/>
        <w:ind w:left="420" w:right="774"/>
        <w:jc w:val="both"/>
      </w:pPr>
      <w:r>
        <w:t>The Youth Engaged in Services voluntary agreements have increased almost four-fold since the inception of the program in CY 2013 from 23% to 49% in CY 2016. This trend reflects another positive step taken by youth in pla</w:t>
      </w:r>
      <w:r>
        <w:t>nning for their future post discharge.</w:t>
      </w:r>
    </w:p>
    <w:p w:rsidR="00594BC7" w:rsidRDefault="00594BC7">
      <w:pPr>
        <w:jc w:val="both"/>
        <w:sectPr w:rsidR="00594BC7">
          <w:pgSz w:w="12240" w:h="15840"/>
          <w:pgMar w:top="140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2"/>
      </w:pPr>
      <w:bookmarkStart w:id="17" w:name="Recidivism"/>
      <w:bookmarkEnd w:id="17"/>
      <w:r>
        <w:rPr>
          <w:color w:val="1F497D"/>
        </w:rPr>
        <w:lastRenderedPageBreak/>
        <w:t>Recidivism</w:t>
      </w:r>
    </w:p>
    <w:p w:rsidR="00594BC7" w:rsidRDefault="00155135">
      <w:pPr>
        <w:pStyle w:val="BodyText"/>
        <w:spacing w:before="156"/>
        <w:ind w:left="420" w:right="767"/>
        <w:jc w:val="both"/>
      </w:pPr>
      <w:r>
        <w:t>In CY 2016, DYS tracked and evaluated the criminal history of 401 former DYS youth who were discharged in 2012 in order to find the rate of recidivism for the entire cohort. Of the 401 individuals in the study, 22% were convicted of an offense committed wi</w:t>
      </w:r>
      <w:r>
        <w:t>thin 1 year of discharge from DYS which compares favorably with the rates in prior years. For the 2011 cohort, the rate was 22%; 25% for the 2010 cohort; 28% for the 2009 cohort; and a 37% rate for the 2008 cohort. Youth at high risk for conviction post di</w:t>
      </w:r>
      <w:r>
        <w:t>scharge tended to be males who had been committed to DYS on property or person offenses.</w:t>
      </w:r>
    </w:p>
    <w:p w:rsidR="00594BC7" w:rsidRDefault="00594BC7">
      <w:pPr>
        <w:pStyle w:val="BodyText"/>
        <w:rPr>
          <w:sz w:val="20"/>
        </w:rPr>
      </w:pPr>
    </w:p>
    <w:p w:rsidR="00594BC7" w:rsidRDefault="00594BC7">
      <w:pPr>
        <w:pStyle w:val="BodyText"/>
        <w:rPr>
          <w:sz w:val="20"/>
        </w:rPr>
      </w:pPr>
    </w:p>
    <w:p w:rsidR="00594BC7" w:rsidRDefault="00594BC7">
      <w:pPr>
        <w:pStyle w:val="BodyText"/>
        <w:spacing w:before="4"/>
        <w:rPr>
          <w:sz w:val="20"/>
        </w:rPr>
      </w:pPr>
    </w:p>
    <w:tbl>
      <w:tblPr>
        <w:tblW w:w="0" w:type="auto"/>
        <w:tblInd w:w="3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2160"/>
      </w:tblGrid>
      <w:tr w:rsidR="00594BC7">
        <w:trPr>
          <w:trHeight w:val="688"/>
        </w:trPr>
        <w:tc>
          <w:tcPr>
            <w:tcW w:w="2160" w:type="dxa"/>
          </w:tcPr>
          <w:p w:rsidR="00594BC7" w:rsidRDefault="00594BC7">
            <w:pPr>
              <w:pStyle w:val="TableParagraph"/>
              <w:spacing w:before="0"/>
            </w:pPr>
          </w:p>
        </w:tc>
        <w:tc>
          <w:tcPr>
            <w:tcW w:w="2160" w:type="dxa"/>
          </w:tcPr>
          <w:p w:rsidR="00594BC7" w:rsidRDefault="00155135">
            <w:pPr>
              <w:pStyle w:val="TableParagraph"/>
              <w:spacing w:before="0"/>
              <w:ind w:left="400" w:right="619" w:firstLine="266"/>
              <w:rPr>
                <w:b/>
                <w:sz w:val="20"/>
              </w:rPr>
            </w:pPr>
            <w:r>
              <w:rPr>
                <w:b/>
                <w:sz w:val="20"/>
              </w:rPr>
              <w:t>One-Year Reconviction</w:t>
            </w:r>
          </w:p>
          <w:p w:rsidR="00594BC7" w:rsidRDefault="00155135">
            <w:pPr>
              <w:pStyle w:val="TableParagraph"/>
              <w:spacing w:before="0" w:line="210" w:lineRule="exact"/>
              <w:ind w:left="1111"/>
              <w:rPr>
                <w:b/>
                <w:sz w:val="20"/>
              </w:rPr>
            </w:pPr>
            <w:r>
              <w:rPr>
                <w:b/>
                <w:sz w:val="20"/>
              </w:rPr>
              <w:t>Rate</w:t>
            </w:r>
          </w:p>
        </w:tc>
      </w:tr>
      <w:tr w:rsidR="00594BC7">
        <w:trPr>
          <w:trHeight w:val="330"/>
        </w:trPr>
        <w:tc>
          <w:tcPr>
            <w:tcW w:w="4320" w:type="dxa"/>
            <w:gridSpan w:val="2"/>
          </w:tcPr>
          <w:p w:rsidR="00594BC7" w:rsidRDefault="00155135">
            <w:pPr>
              <w:pStyle w:val="TableParagraph"/>
              <w:spacing w:before="50"/>
              <w:ind w:left="107"/>
              <w:rPr>
                <w:b/>
                <w:sz w:val="20"/>
              </w:rPr>
            </w:pPr>
            <w:r>
              <w:rPr>
                <w:b/>
                <w:sz w:val="20"/>
              </w:rPr>
              <w:t>Gender</w:t>
            </w:r>
          </w:p>
        </w:tc>
      </w:tr>
      <w:tr w:rsidR="00594BC7">
        <w:trPr>
          <w:trHeight w:val="333"/>
        </w:trPr>
        <w:tc>
          <w:tcPr>
            <w:tcW w:w="2160" w:type="dxa"/>
          </w:tcPr>
          <w:p w:rsidR="00594BC7" w:rsidRDefault="00155135">
            <w:pPr>
              <w:pStyle w:val="TableParagraph"/>
              <w:spacing w:before="46"/>
              <w:ind w:left="107"/>
              <w:rPr>
                <w:sz w:val="20"/>
              </w:rPr>
            </w:pPr>
            <w:r>
              <w:rPr>
                <w:sz w:val="20"/>
              </w:rPr>
              <w:t>Males</w:t>
            </w:r>
          </w:p>
        </w:tc>
        <w:tc>
          <w:tcPr>
            <w:tcW w:w="2160" w:type="dxa"/>
          </w:tcPr>
          <w:p w:rsidR="00594BC7" w:rsidRDefault="00155135">
            <w:pPr>
              <w:pStyle w:val="TableParagraph"/>
              <w:spacing w:before="46"/>
              <w:ind w:right="632"/>
              <w:jc w:val="right"/>
              <w:rPr>
                <w:sz w:val="20"/>
              </w:rPr>
            </w:pPr>
            <w:r>
              <w:rPr>
                <w:sz w:val="20"/>
              </w:rPr>
              <w:t>24.8%</w:t>
            </w:r>
          </w:p>
        </w:tc>
      </w:tr>
      <w:tr w:rsidR="00594BC7">
        <w:trPr>
          <w:trHeight w:val="330"/>
        </w:trPr>
        <w:tc>
          <w:tcPr>
            <w:tcW w:w="2160" w:type="dxa"/>
          </w:tcPr>
          <w:p w:rsidR="00594BC7" w:rsidRDefault="00155135">
            <w:pPr>
              <w:pStyle w:val="TableParagraph"/>
              <w:spacing w:before="43"/>
              <w:ind w:left="107"/>
              <w:rPr>
                <w:sz w:val="20"/>
              </w:rPr>
            </w:pPr>
            <w:r>
              <w:rPr>
                <w:sz w:val="20"/>
              </w:rPr>
              <w:t>Females</w:t>
            </w:r>
          </w:p>
        </w:tc>
        <w:tc>
          <w:tcPr>
            <w:tcW w:w="2160" w:type="dxa"/>
          </w:tcPr>
          <w:p w:rsidR="00594BC7" w:rsidRDefault="00155135">
            <w:pPr>
              <w:pStyle w:val="TableParagraph"/>
              <w:spacing w:before="43"/>
              <w:ind w:right="632"/>
              <w:jc w:val="right"/>
              <w:rPr>
                <w:sz w:val="20"/>
              </w:rPr>
            </w:pPr>
            <w:r>
              <w:rPr>
                <w:sz w:val="20"/>
              </w:rPr>
              <w:t>4.3%</w:t>
            </w:r>
          </w:p>
        </w:tc>
      </w:tr>
      <w:tr w:rsidR="00594BC7">
        <w:trPr>
          <w:trHeight w:val="330"/>
        </w:trPr>
        <w:tc>
          <w:tcPr>
            <w:tcW w:w="4320" w:type="dxa"/>
            <w:gridSpan w:val="2"/>
          </w:tcPr>
          <w:p w:rsidR="00594BC7" w:rsidRDefault="00155135">
            <w:pPr>
              <w:pStyle w:val="TableParagraph"/>
              <w:spacing w:before="48"/>
              <w:ind w:left="107"/>
              <w:rPr>
                <w:b/>
                <w:sz w:val="20"/>
              </w:rPr>
            </w:pPr>
            <w:r>
              <w:rPr>
                <w:b/>
                <w:sz w:val="20"/>
              </w:rPr>
              <w:t>Ethnicity</w:t>
            </w:r>
          </w:p>
        </w:tc>
      </w:tr>
      <w:tr w:rsidR="00594BC7">
        <w:trPr>
          <w:trHeight w:val="330"/>
        </w:trPr>
        <w:tc>
          <w:tcPr>
            <w:tcW w:w="2160" w:type="dxa"/>
          </w:tcPr>
          <w:p w:rsidR="00594BC7" w:rsidRDefault="00155135">
            <w:pPr>
              <w:pStyle w:val="TableParagraph"/>
              <w:spacing w:before="43"/>
              <w:ind w:left="107"/>
              <w:rPr>
                <w:sz w:val="20"/>
              </w:rPr>
            </w:pPr>
            <w:r>
              <w:rPr>
                <w:sz w:val="20"/>
              </w:rPr>
              <w:t>Afr. American</w:t>
            </w:r>
          </w:p>
        </w:tc>
        <w:tc>
          <w:tcPr>
            <w:tcW w:w="2160" w:type="dxa"/>
          </w:tcPr>
          <w:p w:rsidR="00594BC7" w:rsidRDefault="00155135">
            <w:pPr>
              <w:pStyle w:val="TableParagraph"/>
              <w:spacing w:before="43"/>
              <w:ind w:right="632"/>
              <w:jc w:val="right"/>
              <w:rPr>
                <w:sz w:val="20"/>
              </w:rPr>
            </w:pPr>
            <w:r>
              <w:rPr>
                <w:sz w:val="20"/>
              </w:rPr>
              <w:t>30.5%</w:t>
            </w:r>
          </w:p>
        </w:tc>
      </w:tr>
      <w:tr w:rsidR="00594BC7">
        <w:trPr>
          <w:trHeight w:val="330"/>
        </w:trPr>
        <w:tc>
          <w:tcPr>
            <w:tcW w:w="2160" w:type="dxa"/>
          </w:tcPr>
          <w:p w:rsidR="00594BC7" w:rsidRDefault="00155135">
            <w:pPr>
              <w:pStyle w:val="TableParagraph"/>
              <w:spacing w:before="43"/>
              <w:ind w:left="107"/>
              <w:rPr>
                <w:sz w:val="20"/>
              </w:rPr>
            </w:pPr>
            <w:r>
              <w:rPr>
                <w:sz w:val="20"/>
              </w:rPr>
              <w:t>Hispanic</w:t>
            </w:r>
          </w:p>
        </w:tc>
        <w:tc>
          <w:tcPr>
            <w:tcW w:w="2160" w:type="dxa"/>
          </w:tcPr>
          <w:p w:rsidR="00594BC7" w:rsidRDefault="00155135">
            <w:pPr>
              <w:pStyle w:val="TableParagraph"/>
              <w:spacing w:before="43"/>
              <w:ind w:right="632"/>
              <w:jc w:val="right"/>
              <w:rPr>
                <w:sz w:val="20"/>
              </w:rPr>
            </w:pPr>
            <w:r>
              <w:rPr>
                <w:sz w:val="20"/>
              </w:rPr>
              <w:t>23.3%</w:t>
            </w:r>
          </w:p>
        </w:tc>
      </w:tr>
      <w:tr w:rsidR="00594BC7">
        <w:trPr>
          <w:trHeight w:val="330"/>
        </w:trPr>
        <w:tc>
          <w:tcPr>
            <w:tcW w:w="2160" w:type="dxa"/>
          </w:tcPr>
          <w:p w:rsidR="00594BC7" w:rsidRDefault="00155135">
            <w:pPr>
              <w:pStyle w:val="TableParagraph"/>
              <w:spacing w:before="43"/>
              <w:ind w:left="107"/>
              <w:rPr>
                <w:sz w:val="20"/>
              </w:rPr>
            </w:pPr>
            <w:r>
              <w:rPr>
                <w:sz w:val="20"/>
              </w:rPr>
              <w:t>Caucasian</w:t>
            </w:r>
          </w:p>
        </w:tc>
        <w:tc>
          <w:tcPr>
            <w:tcW w:w="2160" w:type="dxa"/>
          </w:tcPr>
          <w:p w:rsidR="00594BC7" w:rsidRDefault="00155135">
            <w:pPr>
              <w:pStyle w:val="TableParagraph"/>
              <w:spacing w:before="43"/>
              <w:ind w:right="632"/>
              <w:jc w:val="right"/>
              <w:rPr>
                <w:sz w:val="20"/>
              </w:rPr>
            </w:pPr>
            <w:r>
              <w:rPr>
                <w:sz w:val="20"/>
              </w:rPr>
              <w:t>17.6%</w:t>
            </w:r>
          </w:p>
        </w:tc>
      </w:tr>
      <w:tr w:rsidR="00594BC7">
        <w:trPr>
          <w:trHeight w:val="330"/>
        </w:trPr>
        <w:tc>
          <w:tcPr>
            <w:tcW w:w="2160" w:type="dxa"/>
          </w:tcPr>
          <w:p w:rsidR="00594BC7" w:rsidRDefault="00155135">
            <w:pPr>
              <w:pStyle w:val="TableParagraph"/>
              <w:spacing w:before="43"/>
              <w:ind w:left="107"/>
              <w:rPr>
                <w:sz w:val="20"/>
              </w:rPr>
            </w:pPr>
            <w:r>
              <w:rPr>
                <w:sz w:val="20"/>
              </w:rPr>
              <w:t>Other</w:t>
            </w:r>
          </w:p>
        </w:tc>
        <w:tc>
          <w:tcPr>
            <w:tcW w:w="2160" w:type="dxa"/>
          </w:tcPr>
          <w:p w:rsidR="00594BC7" w:rsidRDefault="00155135">
            <w:pPr>
              <w:pStyle w:val="TableParagraph"/>
              <w:spacing w:before="43"/>
              <w:ind w:right="632"/>
              <w:jc w:val="right"/>
              <w:rPr>
                <w:sz w:val="20"/>
              </w:rPr>
            </w:pPr>
            <w:r>
              <w:rPr>
                <w:sz w:val="20"/>
              </w:rPr>
              <w:t>14.7%</w:t>
            </w:r>
          </w:p>
        </w:tc>
      </w:tr>
      <w:tr w:rsidR="00594BC7">
        <w:trPr>
          <w:trHeight w:val="330"/>
        </w:trPr>
        <w:tc>
          <w:tcPr>
            <w:tcW w:w="4320" w:type="dxa"/>
            <w:gridSpan w:val="2"/>
          </w:tcPr>
          <w:p w:rsidR="00594BC7" w:rsidRDefault="00155135">
            <w:pPr>
              <w:pStyle w:val="TableParagraph"/>
              <w:spacing w:before="48"/>
              <w:ind w:left="107"/>
              <w:rPr>
                <w:b/>
                <w:sz w:val="20"/>
              </w:rPr>
            </w:pPr>
            <w:r>
              <w:rPr>
                <w:b/>
                <w:sz w:val="20"/>
              </w:rPr>
              <w:t>DYS Committing Offense Type</w:t>
            </w:r>
          </w:p>
        </w:tc>
      </w:tr>
      <w:tr w:rsidR="00594BC7">
        <w:trPr>
          <w:trHeight w:val="330"/>
        </w:trPr>
        <w:tc>
          <w:tcPr>
            <w:tcW w:w="2160" w:type="dxa"/>
          </w:tcPr>
          <w:p w:rsidR="00594BC7" w:rsidRDefault="00155135">
            <w:pPr>
              <w:pStyle w:val="TableParagraph"/>
              <w:spacing w:before="43"/>
              <w:ind w:left="107"/>
              <w:rPr>
                <w:sz w:val="20"/>
              </w:rPr>
            </w:pPr>
            <w:r>
              <w:rPr>
                <w:sz w:val="20"/>
              </w:rPr>
              <w:t>Person</w:t>
            </w:r>
          </w:p>
        </w:tc>
        <w:tc>
          <w:tcPr>
            <w:tcW w:w="2160" w:type="dxa"/>
          </w:tcPr>
          <w:p w:rsidR="00594BC7" w:rsidRDefault="00155135">
            <w:pPr>
              <w:pStyle w:val="TableParagraph"/>
              <w:spacing w:before="43"/>
              <w:ind w:right="632"/>
              <w:jc w:val="right"/>
              <w:rPr>
                <w:sz w:val="20"/>
              </w:rPr>
            </w:pPr>
            <w:r>
              <w:rPr>
                <w:sz w:val="20"/>
              </w:rPr>
              <w:t>25.0%</w:t>
            </w:r>
          </w:p>
        </w:tc>
      </w:tr>
      <w:tr w:rsidR="00594BC7">
        <w:trPr>
          <w:trHeight w:val="330"/>
        </w:trPr>
        <w:tc>
          <w:tcPr>
            <w:tcW w:w="2160" w:type="dxa"/>
          </w:tcPr>
          <w:p w:rsidR="00594BC7" w:rsidRDefault="00155135">
            <w:pPr>
              <w:pStyle w:val="TableParagraph"/>
              <w:spacing w:before="43"/>
              <w:ind w:left="107"/>
              <w:rPr>
                <w:sz w:val="20"/>
              </w:rPr>
            </w:pPr>
            <w:r>
              <w:rPr>
                <w:sz w:val="20"/>
              </w:rPr>
              <w:t>Property</w:t>
            </w:r>
          </w:p>
        </w:tc>
        <w:tc>
          <w:tcPr>
            <w:tcW w:w="2160" w:type="dxa"/>
          </w:tcPr>
          <w:p w:rsidR="00594BC7" w:rsidRDefault="00155135">
            <w:pPr>
              <w:pStyle w:val="TableParagraph"/>
              <w:spacing w:before="43"/>
              <w:ind w:right="632"/>
              <w:jc w:val="right"/>
              <w:rPr>
                <w:sz w:val="20"/>
              </w:rPr>
            </w:pPr>
            <w:r>
              <w:rPr>
                <w:sz w:val="20"/>
              </w:rPr>
              <w:t>23.0%</w:t>
            </w:r>
          </w:p>
        </w:tc>
      </w:tr>
      <w:tr w:rsidR="00594BC7">
        <w:trPr>
          <w:trHeight w:val="330"/>
        </w:trPr>
        <w:tc>
          <w:tcPr>
            <w:tcW w:w="2160" w:type="dxa"/>
          </w:tcPr>
          <w:p w:rsidR="00594BC7" w:rsidRDefault="00155135">
            <w:pPr>
              <w:pStyle w:val="TableParagraph"/>
              <w:spacing w:before="46"/>
              <w:ind w:left="107"/>
              <w:rPr>
                <w:sz w:val="20"/>
              </w:rPr>
            </w:pPr>
            <w:r>
              <w:rPr>
                <w:sz w:val="20"/>
              </w:rPr>
              <w:t>Drug</w:t>
            </w:r>
          </w:p>
        </w:tc>
        <w:tc>
          <w:tcPr>
            <w:tcW w:w="2160" w:type="dxa"/>
          </w:tcPr>
          <w:p w:rsidR="00594BC7" w:rsidRDefault="00155135">
            <w:pPr>
              <w:pStyle w:val="TableParagraph"/>
              <w:spacing w:before="46"/>
              <w:ind w:right="632"/>
              <w:jc w:val="right"/>
              <w:rPr>
                <w:sz w:val="20"/>
              </w:rPr>
            </w:pPr>
            <w:r>
              <w:rPr>
                <w:sz w:val="20"/>
              </w:rPr>
              <w:t>21.7%</w:t>
            </w:r>
          </w:p>
        </w:tc>
      </w:tr>
      <w:tr w:rsidR="00594BC7">
        <w:trPr>
          <w:trHeight w:val="330"/>
        </w:trPr>
        <w:tc>
          <w:tcPr>
            <w:tcW w:w="2160" w:type="dxa"/>
          </w:tcPr>
          <w:p w:rsidR="00594BC7" w:rsidRDefault="00155135">
            <w:pPr>
              <w:pStyle w:val="TableParagraph"/>
              <w:spacing w:before="46"/>
              <w:ind w:left="107"/>
              <w:rPr>
                <w:sz w:val="20"/>
              </w:rPr>
            </w:pPr>
            <w:r>
              <w:rPr>
                <w:sz w:val="20"/>
              </w:rPr>
              <w:t>Motor Vehicle</w:t>
            </w:r>
          </w:p>
        </w:tc>
        <w:tc>
          <w:tcPr>
            <w:tcW w:w="2160" w:type="dxa"/>
          </w:tcPr>
          <w:p w:rsidR="00594BC7" w:rsidRDefault="00155135">
            <w:pPr>
              <w:pStyle w:val="TableParagraph"/>
              <w:spacing w:before="46"/>
              <w:ind w:right="634"/>
              <w:jc w:val="right"/>
              <w:rPr>
                <w:sz w:val="20"/>
              </w:rPr>
            </w:pPr>
            <w:r>
              <w:rPr>
                <w:sz w:val="20"/>
              </w:rPr>
              <w:t>7.1%</w:t>
            </w:r>
          </w:p>
        </w:tc>
      </w:tr>
      <w:tr w:rsidR="00594BC7">
        <w:trPr>
          <w:trHeight w:val="333"/>
        </w:trPr>
        <w:tc>
          <w:tcPr>
            <w:tcW w:w="2160" w:type="dxa"/>
          </w:tcPr>
          <w:p w:rsidR="00594BC7" w:rsidRDefault="00155135">
            <w:pPr>
              <w:pStyle w:val="TableParagraph"/>
              <w:spacing w:before="46"/>
              <w:ind w:left="107"/>
              <w:rPr>
                <w:sz w:val="20"/>
              </w:rPr>
            </w:pPr>
            <w:r>
              <w:rPr>
                <w:sz w:val="20"/>
              </w:rPr>
              <w:t>Weapons</w:t>
            </w:r>
          </w:p>
        </w:tc>
        <w:tc>
          <w:tcPr>
            <w:tcW w:w="2160" w:type="dxa"/>
          </w:tcPr>
          <w:p w:rsidR="00594BC7" w:rsidRDefault="00155135">
            <w:pPr>
              <w:pStyle w:val="TableParagraph"/>
              <w:spacing w:before="46"/>
              <w:ind w:right="632"/>
              <w:jc w:val="right"/>
              <w:rPr>
                <w:sz w:val="20"/>
              </w:rPr>
            </w:pPr>
            <w:r>
              <w:rPr>
                <w:sz w:val="20"/>
              </w:rPr>
              <w:t>20.7%</w:t>
            </w:r>
          </w:p>
        </w:tc>
      </w:tr>
      <w:tr w:rsidR="00594BC7">
        <w:trPr>
          <w:trHeight w:val="330"/>
        </w:trPr>
        <w:tc>
          <w:tcPr>
            <w:tcW w:w="2160" w:type="dxa"/>
          </w:tcPr>
          <w:p w:rsidR="00594BC7" w:rsidRDefault="00155135">
            <w:pPr>
              <w:pStyle w:val="TableParagraph"/>
              <w:spacing w:before="43"/>
              <w:ind w:left="107"/>
              <w:rPr>
                <w:sz w:val="20"/>
              </w:rPr>
            </w:pPr>
            <w:r>
              <w:rPr>
                <w:sz w:val="20"/>
              </w:rPr>
              <w:t>Public Order</w:t>
            </w:r>
          </w:p>
        </w:tc>
        <w:tc>
          <w:tcPr>
            <w:tcW w:w="2160" w:type="dxa"/>
          </w:tcPr>
          <w:p w:rsidR="00594BC7" w:rsidRDefault="00155135">
            <w:pPr>
              <w:pStyle w:val="TableParagraph"/>
              <w:spacing w:before="43"/>
              <w:ind w:right="632"/>
              <w:jc w:val="right"/>
              <w:rPr>
                <w:sz w:val="20"/>
              </w:rPr>
            </w:pPr>
            <w:r>
              <w:rPr>
                <w:sz w:val="20"/>
              </w:rPr>
              <w:t>17.9%</w:t>
            </w:r>
          </w:p>
        </w:tc>
      </w:tr>
      <w:tr w:rsidR="00594BC7">
        <w:trPr>
          <w:trHeight w:val="330"/>
        </w:trPr>
        <w:tc>
          <w:tcPr>
            <w:tcW w:w="4320" w:type="dxa"/>
            <w:gridSpan w:val="2"/>
          </w:tcPr>
          <w:p w:rsidR="00594BC7" w:rsidRDefault="00155135">
            <w:pPr>
              <w:pStyle w:val="TableParagraph"/>
              <w:spacing w:before="48"/>
              <w:ind w:left="107"/>
              <w:rPr>
                <w:b/>
                <w:sz w:val="20"/>
              </w:rPr>
            </w:pPr>
            <w:r>
              <w:rPr>
                <w:b/>
                <w:sz w:val="20"/>
              </w:rPr>
              <w:t>Grid Level</w:t>
            </w:r>
          </w:p>
        </w:tc>
      </w:tr>
      <w:tr w:rsidR="00594BC7">
        <w:trPr>
          <w:trHeight w:val="330"/>
        </w:trPr>
        <w:tc>
          <w:tcPr>
            <w:tcW w:w="2160" w:type="dxa"/>
          </w:tcPr>
          <w:p w:rsidR="00594BC7" w:rsidRDefault="00155135">
            <w:pPr>
              <w:pStyle w:val="TableParagraph"/>
              <w:spacing w:before="43"/>
              <w:ind w:left="107"/>
              <w:rPr>
                <w:sz w:val="20"/>
              </w:rPr>
            </w:pPr>
            <w:r>
              <w:rPr>
                <w:sz w:val="20"/>
              </w:rPr>
              <w:t>&lt;= Grid 2</w:t>
            </w:r>
          </w:p>
        </w:tc>
        <w:tc>
          <w:tcPr>
            <w:tcW w:w="2160" w:type="dxa"/>
          </w:tcPr>
          <w:p w:rsidR="00594BC7" w:rsidRDefault="00155135">
            <w:pPr>
              <w:pStyle w:val="TableParagraph"/>
              <w:spacing w:before="43"/>
              <w:ind w:right="632"/>
              <w:jc w:val="right"/>
              <w:rPr>
                <w:sz w:val="20"/>
              </w:rPr>
            </w:pPr>
            <w:r>
              <w:rPr>
                <w:sz w:val="20"/>
              </w:rPr>
              <w:t>19.9%</w:t>
            </w:r>
          </w:p>
        </w:tc>
      </w:tr>
      <w:tr w:rsidR="00594BC7">
        <w:trPr>
          <w:trHeight w:val="330"/>
        </w:trPr>
        <w:tc>
          <w:tcPr>
            <w:tcW w:w="2160" w:type="dxa"/>
          </w:tcPr>
          <w:p w:rsidR="00594BC7" w:rsidRDefault="00155135">
            <w:pPr>
              <w:pStyle w:val="TableParagraph"/>
              <w:spacing w:before="43"/>
              <w:ind w:left="107"/>
              <w:rPr>
                <w:sz w:val="20"/>
              </w:rPr>
            </w:pPr>
            <w:r>
              <w:rPr>
                <w:sz w:val="20"/>
              </w:rPr>
              <w:t>Grid 3</w:t>
            </w:r>
          </w:p>
        </w:tc>
        <w:tc>
          <w:tcPr>
            <w:tcW w:w="2160" w:type="dxa"/>
          </w:tcPr>
          <w:p w:rsidR="00594BC7" w:rsidRDefault="00155135">
            <w:pPr>
              <w:pStyle w:val="TableParagraph"/>
              <w:spacing w:before="43"/>
              <w:ind w:right="632"/>
              <w:jc w:val="right"/>
              <w:rPr>
                <w:sz w:val="20"/>
              </w:rPr>
            </w:pPr>
            <w:r>
              <w:rPr>
                <w:sz w:val="20"/>
              </w:rPr>
              <w:t>22.7%</w:t>
            </w:r>
          </w:p>
        </w:tc>
      </w:tr>
      <w:tr w:rsidR="00594BC7">
        <w:trPr>
          <w:trHeight w:val="330"/>
        </w:trPr>
        <w:tc>
          <w:tcPr>
            <w:tcW w:w="2160" w:type="dxa"/>
          </w:tcPr>
          <w:p w:rsidR="00594BC7" w:rsidRDefault="00155135">
            <w:pPr>
              <w:pStyle w:val="TableParagraph"/>
              <w:spacing w:before="43"/>
              <w:ind w:left="107"/>
              <w:rPr>
                <w:sz w:val="20"/>
              </w:rPr>
            </w:pPr>
            <w:r>
              <w:rPr>
                <w:sz w:val="20"/>
              </w:rPr>
              <w:t>Grid 4</w:t>
            </w:r>
          </w:p>
        </w:tc>
        <w:tc>
          <w:tcPr>
            <w:tcW w:w="2160" w:type="dxa"/>
          </w:tcPr>
          <w:p w:rsidR="00594BC7" w:rsidRDefault="00155135">
            <w:pPr>
              <w:pStyle w:val="TableParagraph"/>
              <w:spacing w:before="43"/>
              <w:ind w:right="632"/>
              <w:jc w:val="right"/>
              <w:rPr>
                <w:sz w:val="20"/>
              </w:rPr>
            </w:pPr>
            <w:r>
              <w:rPr>
                <w:sz w:val="20"/>
              </w:rPr>
              <w:t>25.0%</w:t>
            </w:r>
          </w:p>
        </w:tc>
      </w:tr>
      <w:tr w:rsidR="00594BC7">
        <w:trPr>
          <w:trHeight w:val="330"/>
        </w:trPr>
        <w:tc>
          <w:tcPr>
            <w:tcW w:w="2160" w:type="dxa"/>
          </w:tcPr>
          <w:p w:rsidR="00594BC7" w:rsidRDefault="00155135">
            <w:pPr>
              <w:pStyle w:val="TableParagraph"/>
              <w:spacing w:before="43"/>
              <w:ind w:left="107"/>
              <w:rPr>
                <w:sz w:val="20"/>
              </w:rPr>
            </w:pPr>
            <w:r>
              <w:rPr>
                <w:sz w:val="20"/>
              </w:rPr>
              <w:t>&gt;= Grid 5</w:t>
            </w:r>
          </w:p>
        </w:tc>
        <w:tc>
          <w:tcPr>
            <w:tcW w:w="2160" w:type="dxa"/>
          </w:tcPr>
          <w:p w:rsidR="00594BC7" w:rsidRDefault="00155135">
            <w:pPr>
              <w:pStyle w:val="TableParagraph"/>
              <w:spacing w:before="43"/>
              <w:ind w:right="632"/>
              <w:jc w:val="right"/>
              <w:rPr>
                <w:sz w:val="20"/>
              </w:rPr>
            </w:pPr>
            <w:r>
              <w:rPr>
                <w:sz w:val="20"/>
              </w:rPr>
              <w:t>29.0%</w:t>
            </w:r>
          </w:p>
        </w:tc>
      </w:tr>
    </w:tbl>
    <w:p w:rsidR="00594BC7" w:rsidRDefault="00594BC7">
      <w:pPr>
        <w:jc w:val="right"/>
        <w:rPr>
          <w:sz w:val="20"/>
        </w:rPr>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ListParagraph"/>
        <w:numPr>
          <w:ilvl w:val="0"/>
          <w:numId w:val="1"/>
        </w:numPr>
        <w:tabs>
          <w:tab w:val="left" w:pos="1139"/>
          <w:tab w:val="left" w:pos="1140"/>
        </w:tabs>
        <w:spacing w:before="86"/>
        <w:ind w:right="1029"/>
        <w:rPr>
          <w:sz w:val="24"/>
        </w:rPr>
      </w:pPr>
      <w:r>
        <w:rPr>
          <w:sz w:val="24"/>
        </w:rPr>
        <w:lastRenderedPageBreak/>
        <w:t>In the current study, the one-year reconviction rate was the same for the 2012</w:t>
      </w:r>
      <w:r>
        <w:rPr>
          <w:spacing w:val="-18"/>
          <w:sz w:val="24"/>
        </w:rPr>
        <w:t xml:space="preserve"> </w:t>
      </w:r>
      <w:r>
        <w:rPr>
          <w:sz w:val="24"/>
        </w:rPr>
        <w:t>cohort as it was for the 2011 cohort</w:t>
      </w:r>
      <w:r>
        <w:rPr>
          <w:spacing w:val="-1"/>
          <w:sz w:val="24"/>
        </w:rPr>
        <w:t xml:space="preserve"> </w:t>
      </w:r>
      <w:r>
        <w:rPr>
          <w:sz w:val="24"/>
        </w:rPr>
        <w:t>(22%).</w:t>
      </w:r>
    </w:p>
    <w:p w:rsidR="00594BC7" w:rsidRDefault="00155135">
      <w:pPr>
        <w:pStyle w:val="ListParagraph"/>
        <w:numPr>
          <w:ilvl w:val="0"/>
          <w:numId w:val="1"/>
        </w:numPr>
        <w:tabs>
          <w:tab w:val="left" w:pos="1139"/>
          <w:tab w:val="left" w:pos="1140"/>
        </w:tabs>
        <w:spacing w:before="124" w:line="237" w:lineRule="auto"/>
        <w:ind w:right="1649"/>
        <w:rPr>
          <w:sz w:val="24"/>
        </w:rPr>
      </w:pPr>
      <w:r>
        <w:rPr>
          <w:sz w:val="24"/>
        </w:rPr>
        <w:t>Of the youth who were reconvicted for offenses committed within one year</w:t>
      </w:r>
      <w:r>
        <w:rPr>
          <w:spacing w:val="-18"/>
          <w:sz w:val="24"/>
        </w:rPr>
        <w:t xml:space="preserve"> </w:t>
      </w:r>
      <w:r>
        <w:rPr>
          <w:sz w:val="24"/>
        </w:rPr>
        <w:t>of discharge 61% were reconvicted within the first six</w:t>
      </w:r>
      <w:r>
        <w:rPr>
          <w:spacing w:val="-4"/>
          <w:sz w:val="24"/>
        </w:rPr>
        <w:t xml:space="preserve"> </w:t>
      </w:r>
      <w:r>
        <w:rPr>
          <w:sz w:val="24"/>
        </w:rPr>
        <w:t>month</w:t>
      </w:r>
      <w:r>
        <w:rPr>
          <w:sz w:val="24"/>
        </w:rPr>
        <w:t>s.</w:t>
      </w:r>
    </w:p>
    <w:p w:rsidR="00594BC7" w:rsidRDefault="00155135">
      <w:pPr>
        <w:pStyle w:val="ListParagraph"/>
        <w:numPr>
          <w:ilvl w:val="0"/>
          <w:numId w:val="1"/>
        </w:numPr>
        <w:tabs>
          <w:tab w:val="left" w:pos="1139"/>
          <w:tab w:val="left" w:pos="1140"/>
        </w:tabs>
        <w:spacing w:before="122"/>
        <w:rPr>
          <w:sz w:val="24"/>
        </w:rPr>
      </w:pPr>
      <w:r>
        <w:rPr>
          <w:sz w:val="24"/>
        </w:rPr>
        <w:t>The recidivism rate for males was 25% while the rate for females was only</w:t>
      </w:r>
      <w:r>
        <w:rPr>
          <w:spacing w:val="-13"/>
          <w:sz w:val="24"/>
        </w:rPr>
        <w:t xml:space="preserve"> </w:t>
      </w:r>
      <w:r>
        <w:rPr>
          <w:sz w:val="24"/>
        </w:rPr>
        <w:t>4%.</w:t>
      </w:r>
    </w:p>
    <w:p w:rsidR="00594BC7" w:rsidRDefault="00155135">
      <w:pPr>
        <w:pStyle w:val="ListParagraph"/>
        <w:numPr>
          <w:ilvl w:val="0"/>
          <w:numId w:val="1"/>
        </w:numPr>
        <w:tabs>
          <w:tab w:val="left" w:pos="1139"/>
          <w:tab w:val="left" w:pos="1140"/>
        </w:tabs>
        <w:spacing w:before="121" w:line="237" w:lineRule="auto"/>
        <w:ind w:right="1181"/>
        <w:rPr>
          <w:sz w:val="24"/>
        </w:rPr>
      </w:pPr>
      <w:r>
        <w:rPr>
          <w:sz w:val="24"/>
        </w:rPr>
        <w:t>Recidivism rates were significantly higher for youth who had been committed on</w:t>
      </w:r>
      <w:r>
        <w:rPr>
          <w:spacing w:val="-19"/>
          <w:sz w:val="24"/>
        </w:rPr>
        <w:t xml:space="preserve"> </w:t>
      </w:r>
      <w:r>
        <w:rPr>
          <w:sz w:val="24"/>
        </w:rPr>
        <w:t>a felony as a juvenile (27%) than those who had been committed on a misdemeanor (17%).</w:t>
      </w:r>
    </w:p>
    <w:p w:rsidR="00594BC7" w:rsidRDefault="00155135">
      <w:pPr>
        <w:pStyle w:val="ListParagraph"/>
        <w:numPr>
          <w:ilvl w:val="0"/>
          <w:numId w:val="1"/>
        </w:numPr>
        <w:tabs>
          <w:tab w:val="left" w:pos="1139"/>
          <w:tab w:val="left" w:pos="1140"/>
        </w:tabs>
        <w:spacing w:before="128" w:line="237" w:lineRule="auto"/>
        <w:ind w:right="1174"/>
        <w:rPr>
          <w:sz w:val="24"/>
        </w:rPr>
      </w:pPr>
      <w:r>
        <w:rPr>
          <w:sz w:val="24"/>
        </w:rPr>
        <w:t>Recidivism rates were highest for youth whose juvenile offenses involved a</w:t>
      </w:r>
      <w:r>
        <w:rPr>
          <w:spacing w:val="-17"/>
          <w:sz w:val="24"/>
        </w:rPr>
        <w:t xml:space="preserve"> </w:t>
      </w:r>
      <w:r>
        <w:rPr>
          <w:sz w:val="24"/>
        </w:rPr>
        <w:t>person (25%), or property (23%). The lowest rates were for those committed for motor vehicle offenses</w:t>
      </w:r>
      <w:r>
        <w:rPr>
          <w:spacing w:val="-2"/>
          <w:sz w:val="24"/>
        </w:rPr>
        <w:t xml:space="preserve"> </w:t>
      </w:r>
      <w:r>
        <w:rPr>
          <w:sz w:val="24"/>
        </w:rPr>
        <w:t>(7%).</w:t>
      </w:r>
    </w:p>
    <w:p w:rsidR="00594BC7" w:rsidRDefault="00155135">
      <w:pPr>
        <w:pStyle w:val="ListParagraph"/>
        <w:numPr>
          <w:ilvl w:val="0"/>
          <w:numId w:val="1"/>
        </w:numPr>
        <w:tabs>
          <w:tab w:val="left" w:pos="1139"/>
          <w:tab w:val="left" w:pos="1140"/>
        </w:tabs>
        <w:spacing w:before="127" w:line="237" w:lineRule="auto"/>
        <w:ind w:right="821"/>
        <w:rPr>
          <w:sz w:val="24"/>
        </w:rPr>
      </w:pPr>
      <w:r>
        <w:rPr>
          <w:sz w:val="24"/>
        </w:rPr>
        <w:t>High recidivism rates were associated with youth committed to DYS for ass</w:t>
      </w:r>
      <w:r>
        <w:rPr>
          <w:sz w:val="24"/>
        </w:rPr>
        <w:t>ault</w:t>
      </w:r>
      <w:r>
        <w:rPr>
          <w:spacing w:val="-22"/>
          <w:sz w:val="24"/>
        </w:rPr>
        <w:t xml:space="preserve"> </w:t>
      </w:r>
      <w:r>
        <w:rPr>
          <w:sz w:val="24"/>
        </w:rPr>
        <w:t>(36%) and larceny (32%). Low recidivism rates were associated with youth committed to DYS for carrying a dangerous weapon (15%) and assault and battery</w:t>
      </w:r>
      <w:r>
        <w:rPr>
          <w:spacing w:val="-10"/>
          <w:sz w:val="24"/>
        </w:rPr>
        <w:t xml:space="preserve"> </w:t>
      </w:r>
      <w:r>
        <w:rPr>
          <w:sz w:val="24"/>
        </w:rPr>
        <w:t>(17%).</w:t>
      </w:r>
    </w:p>
    <w:p w:rsidR="00594BC7" w:rsidRDefault="00155135">
      <w:pPr>
        <w:pStyle w:val="ListParagraph"/>
        <w:numPr>
          <w:ilvl w:val="0"/>
          <w:numId w:val="1"/>
        </w:numPr>
        <w:tabs>
          <w:tab w:val="left" w:pos="1139"/>
          <w:tab w:val="left" w:pos="1140"/>
        </w:tabs>
        <w:spacing w:before="125"/>
        <w:rPr>
          <w:sz w:val="24"/>
        </w:rPr>
      </w:pPr>
      <w:r>
        <w:rPr>
          <w:sz w:val="24"/>
        </w:rPr>
        <w:t>Of the five DYS Regions, the Northeast Region had the lowest recidivism rate</w:t>
      </w:r>
      <w:r>
        <w:rPr>
          <w:spacing w:val="-24"/>
          <w:sz w:val="24"/>
        </w:rPr>
        <w:t xml:space="preserve"> </w:t>
      </w:r>
      <w:r>
        <w:rPr>
          <w:sz w:val="24"/>
        </w:rPr>
        <w:t>(18%).</w:t>
      </w:r>
    </w:p>
    <w:p w:rsidR="00594BC7" w:rsidRDefault="00155135">
      <w:pPr>
        <w:pStyle w:val="ListParagraph"/>
        <w:numPr>
          <w:ilvl w:val="0"/>
          <w:numId w:val="1"/>
        </w:numPr>
        <w:tabs>
          <w:tab w:val="left" w:pos="1139"/>
          <w:tab w:val="left" w:pos="1140"/>
        </w:tabs>
        <w:spacing w:before="123" w:line="237" w:lineRule="auto"/>
        <w:ind w:right="947"/>
        <w:rPr>
          <w:sz w:val="24"/>
        </w:rPr>
      </w:pPr>
      <w:r>
        <w:rPr>
          <w:sz w:val="24"/>
        </w:rPr>
        <w:t>Among th</w:t>
      </w:r>
      <w:r>
        <w:rPr>
          <w:sz w:val="24"/>
        </w:rPr>
        <w:t>e major Massachusetts cities, Worcester youth had the highest</w:t>
      </w:r>
      <w:r>
        <w:rPr>
          <w:spacing w:val="-17"/>
          <w:sz w:val="24"/>
        </w:rPr>
        <w:t xml:space="preserve"> </w:t>
      </w:r>
      <w:r>
        <w:rPr>
          <w:sz w:val="24"/>
        </w:rPr>
        <w:t>reconviction rate (46%), while Fall River youth had the lowest</w:t>
      </w:r>
      <w:r>
        <w:rPr>
          <w:spacing w:val="1"/>
          <w:sz w:val="24"/>
        </w:rPr>
        <w:t xml:space="preserve"> </w:t>
      </w:r>
      <w:r>
        <w:rPr>
          <w:sz w:val="24"/>
        </w:rPr>
        <w:t>(8%).</w:t>
      </w:r>
    </w:p>
    <w:p w:rsidR="00594BC7" w:rsidRDefault="00594BC7">
      <w:pPr>
        <w:pStyle w:val="BodyText"/>
        <w:rPr>
          <w:sz w:val="26"/>
        </w:rPr>
      </w:pPr>
    </w:p>
    <w:p w:rsidR="00594BC7" w:rsidRDefault="00155135">
      <w:pPr>
        <w:pStyle w:val="Heading5"/>
        <w:spacing w:before="222" w:after="4"/>
      </w:pPr>
      <w:r>
        <w:t>Recidivism Rates for Former DYS Youth with Selected DYS Offenses Sample</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2036"/>
        <w:gridCol w:w="2036"/>
        <w:gridCol w:w="2036"/>
      </w:tblGrid>
      <w:tr w:rsidR="00594BC7">
        <w:trPr>
          <w:trHeight w:val="395"/>
        </w:trPr>
        <w:tc>
          <w:tcPr>
            <w:tcW w:w="3742" w:type="dxa"/>
            <w:shd w:val="clear" w:color="auto" w:fill="DADADA"/>
          </w:tcPr>
          <w:p w:rsidR="00594BC7" w:rsidRDefault="00155135">
            <w:pPr>
              <w:pStyle w:val="TableParagraph"/>
              <w:spacing w:before="56"/>
              <w:ind w:left="107"/>
              <w:rPr>
                <w:b/>
                <w:sz w:val="24"/>
              </w:rPr>
            </w:pPr>
            <w:r>
              <w:rPr>
                <w:b/>
                <w:sz w:val="24"/>
              </w:rPr>
              <w:t>DYS Offense Sample</w:t>
            </w:r>
          </w:p>
        </w:tc>
        <w:tc>
          <w:tcPr>
            <w:tcW w:w="2036" w:type="dxa"/>
            <w:shd w:val="clear" w:color="auto" w:fill="DADADA"/>
          </w:tcPr>
          <w:p w:rsidR="00594BC7" w:rsidRDefault="00155135">
            <w:pPr>
              <w:pStyle w:val="TableParagraph"/>
              <w:spacing w:before="56"/>
              <w:ind w:left="209" w:right="147"/>
              <w:jc w:val="center"/>
              <w:rPr>
                <w:b/>
                <w:sz w:val="24"/>
              </w:rPr>
            </w:pPr>
            <w:r>
              <w:rPr>
                <w:b/>
                <w:sz w:val="24"/>
              </w:rPr>
              <w:t># Adjudicated</w:t>
            </w:r>
          </w:p>
        </w:tc>
        <w:tc>
          <w:tcPr>
            <w:tcW w:w="2036" w:type="dxa"/>
            <w:shd w:val="clear" w:color="auto" w:fill="DADADA"/>
          </w:tcPr>
          <w:p w:rsidR="00594BC7" w:rsidRDefault="00155135">
            <w:pPr>
              <w:pStyle w:val="TableParagraph"/>
              <w:spacing w:before="56"/>
              <w:ind w:left="211" w:right="147"/>
              <w:jc w:val="center"/>
              <w:rPr>
                <w:b/>
                <w:sz w:val="24"/>
              </w:rPr>
            </w:pPr>
            <w:r>
              <w:rPr>
                <w:b/>
                <w:sz w:val="24"/>
              </w:rPr>
              <w:t>Total in Sample</w:t>
            </w:r>
          </w:p>
        </w:tc>
        <w:tc>
          <w:tcPr>
            <w:tcW w:w="2036" w:type="dxa"/>
            <w:shd w:val="clear" w:color="auto" w:fill="DADADA"/>
          </w:tcPr>
          <w:p w:rsidR="00594BC7" w:rsidRDefault="00155135">
            <w:pPr>
              <w:pStyle w:val="TableParagraph"/>
              <w:spacing w:before="56"/>
              <w:ind w:left="210" w:right="147"/>
              <w:jc w:val="center"/>
              <w:rPr>
                <w:b/>
                <w:sz w:val="24"/>
              </w:rPr>
            </w:pPr>
            <w:r>
              <w:rPr>
                <w:b/>
                <w:sz w:val="24"/>
              </w:rPr>
              <w:t>Recidivism</w:t>
            </w:r>
          </w:p>
        </w:tc>
      </w:tr>
      <w:tr w:rsidR="00594BC7">
        <w:trPr>
          <w:trHeight w:val="395"/>
        </w:trPr>
        <w:tc>
          <w:tcPr>
            <w:tcW w:w="3742" w:type="dxa"/>
          </w:tcPr>
          <w:p w:rsidR="00594BC7" w:rsidRDefault="00155135">
            <w:pPr>
              <w:pStyle w:val="TableParagraph"/>
              <w:ind w:left="107"/>
              <w:rPr>
                <w:sz w:val="24"/>
              </w:rPr>
            </w:pPr>
            <w:r>
              <w:rPr>
                <w:sz w:val="24"/>
              </w:rPr>
              <w:t>Assault</w:t>
            </w:r>
          </w:p>
        </w:tc>
        <w:tc>
          <w:tcPr>
            <w:tcW w:w="2036" w:type="dxa"/>
          </w:tcPr>
          <w:p w:rsidR="00594BC7" w:rsidRDefault="00155135">
            <w:pPr>
              <w:pStyle w:val="TableParagraph"/>
              <w:ind w:left="60"/>
              <w:jc w:val="center"/>
              <w:rPr>
                <w:sz w:val="24"/>
              </w:rPr>
            </w:pPr>
            <w:r>
              <w:rPr>
                <w:sz w:val="24"/>
              </w:rPr>
              <w:t>5</w:t>
            </w:r>
          </w:p>
        </w:tc>
        <w:tc>
          <w:tcPr>
            <w:tcW w:w="2036" w:type="dxa"/>
          </w:tcPr>
          <w:p w:rsidR="00594BC7" w:rsidRDefault="00155135">
            <w:pPr>
              <w:pStyle w:val="TableParagraph"/>
              <w:ind w:left="211" w:right="147"/>
              <w:jc w:val="center"/>
              <w:rPr>
                <w:sz w:val="24"/>
              </w:rPr>
            </w:pPr>
            <w:r>
              <w:rPr>
                <w:sz w:val="24"/>
              </w:rPr>
              <w:t>14</w:t>
            </w:r>
          </w:p>
        </w:tc>
        <w:tc>
          <w:tcPr>
            <w:tcW w:w="2036" w:type="dxa"/>
          </w:tcPr>
          <w:p w:rsidR="00594BC7" w:rsidRDefault="00155135">
            <w:pPr>
              <w:pStyle w:val="TableParagraph"/>
              <w:ind w:left="210" w:right="147"/>
              <w:jc w:val="center"/>
              <w:rPr>
                <w:sz w:val="24"/>
              </w:rPr>
            </w:pPr>
            <w:r>
              <w:rPr>
                <w:sz w:val="24"/>
              </w:rPr>
              <w:t>35.7%</w:t>
            </w:r>
          </w:p>
        </w:tc>
      </w:tr>
      <w:tr w:rsidR="00594BC7">
        <w:trPr>
          <w:trHeight w:val="395"/>
        </w:trPr>
        <w:tc>
          <w:tcPr>
            <w:tcW w:w="3742" w:type="dxa"/>
          </w:tcPr>
          <w:p w:rsidR="00594BC7" w:rsidRDefault="00155135">
            <w:pPr>
              <w:pStyle w:val="TableParagraph"/>
              <w:ind w:left="107"/>
              <w:rPr>
                <w:sz w:val="24"/>
              </w:rPr>
            </w:pPr>
            <w:r>
              <w:rPr>
                <w:sz w:val="24"/>
              </w:rPr>
              <w:t>Larceny</w:t>
            </w:r>
          </w:p>
        </w:tc>
        <w:tc>
          <w:tcPr>
            <w:tcW w:w="2036" w:type="dxa"/>
          </w:tcPr>
          <w:p w:rsidR="00594BC7" w:rsidRDefault="00155135">
            <w:pPr>
              <w:pStyle w:val="TableParagraph"/>
              <w:ind w:left="207" w:right="147"/>
              <w:jc w:val="center"/>
              <w:rPr>
                <w:sz w:val="24"/>
              </w:rPr>
            </w:pPr>
            <w:r>
              <w:rPr>
                <w:sz w:val="24"/>
              </w:rPr>
              <w:t>10</w:t>
            </w:r>
          </w:p>
        </w:tc>
        <w:tc>
          <w:tcPr>
            <w:tcW w:w="2036" w:type="dxa"/>
          </w:tcPr>
          <w:p w:rsidR="00594BC7" w:rsidRDefault="00155135">
            <w:pPr>
              <w:pStyle w:val="TableParagraph"/>
              <w:ind w:left="211" w:right="147"/>
              <w:jc w:val="center"/>
              <w:rPr>
                <w:sz w:val="24"/>
              </w:rPr>
            </w:pPr>
            <w:r>
              <w:rPr>
                <w:sz w:val="24"/>
              </w:rPr>
              <w:t>31</w:t>
            </w:r>
          </w:p>
        </w:tc>
        <w:tc>
          <w:tcPr>
            <w:tcW w:w="2036" w:type="dxa"/>
          </w:tcPr>
          <w:p w:rsidR="00594BC7" w:rsidRDefault="00155135">
            <w:pPr>
              <w:pStyle w:val="TableParagraph"/>
              <w:ind w:left="210" w:right="147"/>
              <w:jc w:val="center"/>
              <w:rPr>
                <w:sz w:val="24"/>
              </w:rPr>
            </w:pPr>
            <w:r>
              <w:rPr>
                <w:sz w:val="24"/>
              </w:rPr>
              <w:t>32.3%</w:t>
            </w:r>
          </w:p>
        </w:tc>
      </w:tr>
      <w:tr w:rsidR="00594BC7">
        <w:trPr>
          <w:trHeight w:val="395"/>
        </w:trPr>
        <w:tc>
          <w:tcPr>
            <w:tcW w:w="3742" w:type="dxa"/>
          </w:tcPr>
          <w:p w:rsidR="00594BC7" w:rsidRDefault="00155135">
            <w:pPr>
              <w:pStyle w:val="TableParagraph"/>
              <w:ind w:left="107"/>
              <w:rPr>
                <w:sz w:val="24"/>
              </w:rPr>
            </w:pPr>
            <w:r>
              <w:rPr>
                <w:sz w:val="24"/>
              </w:rPr>
              <w:t>Unarmed Robbery</w:t>
            </w:r>
          </w:p>
        </w:tc>
        <w:tc>
          <w:tcPr>
            <w:tcW w:w="2036" w:type="dxa"/>
          </w:tcPr>
          <w:p w:rsidR="00594BC7" w:rsidRDefault="00155135">
            <w:pPr>
              <w:pStyle w:val="TableParagraph"/>
              <w:ind w:left="60"/>
              <w:jc w:val="center"/>
              <w:rPr>
                <w:sz w:val="24"/>
              </w:rPr>
            </w:pPr>
            <w:r>
              <w:rPr>
                <w:sz w:val="24"/>
              </w:rPr>
              <w:t>5</w:t>
            </w:r>
          </w:p>
        </w:tc>
        <w:tc>
          <w:tcPr>
            <w:tcW w:w="2036" w:type="dxa"/>
          </w:tcPr>
          <w:p w:rsidR="00594BC7" w:rsidRDefault="00155135">
            <w:pPr>
              <w:pStyle w:val="TableParagraph"/>
              <w:ind w:left="211" w:right="147"/>
              <w:jc w:val="center"/>
              <w:rPr>
                <w:sz w:val="24"/>
              </w:rPr>
            </w:pPr>
            <w:r>
              <w:rPr>
                <w:sz w:val="24"/>
              </w:rPr>
              <w:t>17</w:t>
            </w:r>
          </w:p>
        </w:tc>
        <w:tc>
          <w:tcPr>
            <w:tcW w:w="2036" w:type="dxa"/>
          </w:tcPr>
          <w:p w:rsidR="00594BC7" w:rsidRDefault="00155135">
            <w:pPr>
              <w:pStyle w:val="TableParagraph"/>
              <w:ind w:left="210" w:right="147"/>
              <w:jc w:val="center"/>
              <w:rPr>
                <w:sz w:val="24"/>
              </w:rPr>
            </w:pPr>
            <w:r>
              <w:rPr>
                <w:sz w:val="24"/>
              </w:rPr>
              <w:t>29.4%</w:t>
            </w:r>
          </w:p>
        </w:tc>
      </w:tr>
      <w:tr w:rsidR="00594BC7">
        <w:trPr>
          <w:trHeight w:val="398"/>
        </w:trPr>
        <w:tc>
          <w:tcPr>
            <w:tcW w:w="3742" w:type="dxa"/>
          </w:tcPr>
          <w:p w:rsidR="00594BC7" w:rsidRDefault="00155135">
            <w:pPr>
              <w:pStyle w:val="TableParagraph"/>
              <w:spacing w:before="54"/>
              <w:ind w:left="107"/>
              <w:rPr>
                <w:sz w:val="24"/>
              </w:rPr>
            </w:pPr>
            <w:r>
              <w:rPr>
                <w:sz w:val="24"/>
              </w:rPr>
              <w:t>Armed Robbery</w:t>
            </w:r>
          </w:p>
        </w:tc>
        <w:tc>
          <w:tcPr>
            <w:tcW w:w="2036" w:type="dxa"/>
          </w:tcPr>
          <w:p w:rsidR="00594BC7" w:rsidRDefault="00155135">
            <w:pPr>
              <w:pStyle w:val="TableParagraph"/>
              <w:spacing w:before="54"/>
              <w:ind w:left="207" w:right="147"/>
              <w:jc w:val="center"/>
              <w:rPr>
                <w:sz w:val="24"/>
              </w:rPr>
            </w:pPr>
            <w:r>
              <w:rPr>
                <w:sz w:val="24"/>
              </w:rPr>
              <w:t>10</w:t>
            </w:r>
          </w:p>
        </w:tc>
        <w:tc>
          <w:tcPr>
            <w:tcW w:w="2036" w:type="dxa"/>
          </w:tcPr>
          <w:p w:rsidR="00594BC7" w:rsidRDefault="00155135">
            <w:pPr>
              <w:pStyle w:val="TableParagraph"/>
              <w:spacing w:before="54"/>
              <w:ind w:left="211" w:right="147"/>
              <w:jc w:val="center"/>
              <w:rPr>
                <w:sz w:val="24"/>
              </w:rPr>
            </w:pPr>
            <w:r>
              <w:rPr>
                <w:sz w:val="24"/>
              </w:rPr>
              <w:t>36</w:t>
            </w:r>
          </w:p>
        </w:tc>
        <w:tc>
          <w:tcPr>
            <w:tcW w:w="2036" w:type="dxa"/>
          </w:tcPr>
          <w:p w:rsidR="00594BC7" w:rsidRDefault="00155135">
            <w:pPr>
              <w:pStyle w:val="TableParagraph"/>
              <w:spacing w:before="54"/>
              <w:ind w:left="210" w:right="147"/>
              <w:jc w:val="center"/>
              <w:rPr>
                <w:sz w:val="24"/>
              </w:rPr>
            </w:pPr>
            <w:r>
              <w:rPr>
                <w:sz w:val="24"/>
              </w:rPr>
              <w:t>27.8%</w:t>
            </w:r>
          </w:p>
        </w:tc>
      </w:tr>
      <w:tr w:rsidR="00594BC7">
        <w:trPr>
          <w:trHeight w:val="395"/>
        </w:trPr>
        <w:tc>
          <w:tcPr>
            <w:tcW w:w="3742" w:type="dxa"/>
          </w:tcPr>
          <w:p w:rsidR="00594BC7" w:rsidRDefault="00155135">
            <w:pPr>
              <w:pStyle w:val="TableParagraph"/>
              <w:ind w:left="107"/>
              <w:rPr>
                <w:sz w:val="24"/>
              </w:rPr>
            </w:pPr>
            <w:r>
              <w:rPr>
                <w:sz w:val="24"/>
              </w:rPr>
              <w:t>ABDW</w:t>
            </w:r>
          </w:p>
        </w:tc>
        <w:tc>
          <w:tcPr>
            <w:tcW w:w="2036" w:type="dxa"/>
          </w:tcPr>
          <w:p w:rsidR="00594BC7" w:rsidRDefault="00155135">
            <w:pPr>
              <w:pStyle w:val="TableParagraph"/>
              <w:ind w:left="60"/>
              <w:jc w:val="center"/>
              <w:rPr>
                <w:sz w:val="24"/>
              </w:rPr>
            </w:pPr>
            <w:r>
              <w:rPr>
                <w:sz w:val="24"/>
              </w:rPr>
              <w:t>5</w:t>
            </w:r>
          </w:p>
        </w:tc>
        <w:tc>
          <w:tcPr>
            <w:tcW w:w="2036" w:type="dxa"/>
          </w:tcPr>
          <w:p w:rsidR="00594BC7" w:rsidRDefault="00155135">
            <w:pPr>
              <w:pStyle w:val="TableParagraph"/>
              <w:ind w:left="211" w:right="147"/>
              <w:jc w:val="center"/>
              <w:rPr>
                <w:sz w:val="24"/>
              </w:rPr>
            </w:pPr>
            <w:r>
              <w:rPr>
                <w:sz w:val="24"/>
              </w:rPr>
              <w:t>19</w:t>
            </w:r>
          </w:p>
        </w:tc>
        <w:tc>
          <w:tcPr>
            <w:tcW w:w="2036" w:type="dxa"/>
          </w:tcPr>
          <w:p w:rsidR="00594BC7" w:rsidRDefault="00155135">
            <w:pPr>
              <w:pStyle w:val="TableParagraph"/>
              <w:ind w:left="210" w:right="147"/>
              <w:jc w:val="center"/>
              <w:rPr>
                <w:sz w:val="24"/>
              </w:rPr>
            </w:pPr>
            <w:r>
              <w:rPr>
                <w:sz w:val="24"/>
              </w:rPr>
              <w:t>26.3%</w:t>
            </w:r>
          </w:p>
        </w:tc>
      </w:tr>
      <w:tr w:rsidR="00594BC7">
        <w:trPr>
          <w:trHeight w:val="395"/>
        </w:trPr>
        <w:tc>
          <w:tcPr>
            <w:tcW w:w="3742" w:type="dxa"/>
          </w:tcPr>
          <w:p w:rsidR="00594BC7" w:rsidRDefault="00155135">
            <w:pPr>
              <w:pStyle w:val="TableParagraph"/>
              <w:ind w:left="107"/>
              <w:rPr>
                <w:sz w:val="24"/>
              </w:rPr>
            </w:pPr>
            <w:r>
              <w:rPr>
                <w:sz w:val="24"/>
              </w:rPr>
              <w:t>Drug Possession</w:t>
            </w:r>
          </w:p>
        </w:tc>
        <w:tc>
          <w:tcPr>
            <w:tcW w:w="2036" w:type="dxa"/>
          </w:tcPr>
          <w:p w:rsidR="00594BC7" w:rsidRDefault="00155135">
            <w:pPr>
              <w:pStyle w:val="TableParagraph"/>
              <w:ind w:left="60"/>
              <w:jc w:val="center"/>
              <w:rPr>
                <w:sz w:val="24"/>
              </w:rPr>
            </w:pPr>
            <w:r>
              <w:rPr>
                <w:sz w:val="24"/>
              </w:rPr>
              <w:t>4</w:t>
            </w:r>
          </w:p>
        </w:tc>
        <w:tc>
          <w:tcPr>
            <w:tcW w:w="2036" w:type="dxa"/>
          </w:tcPr>
          <w:p w:rsidR="00594BC7" w:rsidRDefault="00155135">
            <w:pPr>
              <w:pStyle w:val="TableParagraph"/>
              <w:ind w:left="211" w:right="147"/>
              <w:jc w:val="center"/>
              <w:rPr>
                <w:sz w:val="24"/>
              </w:rPr>
            </w:pPr>
            <w:r>
              <w:rPr>
                <w:sz w:val="24"/>
              </w:rPr>
              <w:t>16</w:t>
            </w:r>
          </w:p>
        </w:tc>
        <w:tc>
          <w:tcPr>
            <w:tcW w:w="2036" w:type="dxa"/>
          </w:tcPr>
          <w:p w:rsidR="00594BC7" w:rsidRDefault="00155135">
            <w:pPr>
              <w:pStyle w:val="TableParagraph"/>
              <w:ind w:left="210" w:right="147"/>
              <w:jc w:val="center"/>
              <w:rPr>
                <w:sz w:val="24"/>
              </w:rPr>
            </w:pPr>
            <w:r>
              <w:rPr>
                <w:sz w:val="24"/>
              </w:rPr>
              <w:t>25.0%</w:t>
            </w:r>
          </w:p>
        </w:tc>
      </w:tr>
      <w:tr w:rsidR="00594BC7">
        <w:trPr>
          <w:trHeight w:val="395"/>
        </w:trPr>
        <w:tc>
          <w:tcPr>
            <w:tcW w:w="3742" w:type="dxa"/>
          </w:tcPr>
          <w:p w:rsidR="00594BC7" w:rsidRDefault="00155135">
            <w:pPr>
              <w:pStyle w:val="TableParagraph"/>
              <w:ind w:left="107"/>
              <w:rPr>
                <w:sz w:val="24"/>
              </w:rPr>
            </w:pPr>
            <w:r>
              <w:rPr>
                <w:sz w:val="24"/>
              </w:rPr>
              <w:t>Breaking and Entering</w:t>
            </w:r>
          </w:p>
        </w:tc>
        <w:tc>
          <w:tcPr>
            <w:tcW w:w="2036" w:type="dxa"/>
          </w:tcPr>
          <w:p w:rsidR="00594BC7" w:rsidRDefault="00155135">
            <w:pPr>
              <w:pStyle w:val="TableParagraph"/>
              <w:ind w:left="60"/>
              <w:jc w:val="center"/>
              <w:rPr>
                <w:sz w:val="24"/>
              </w:rPr>
            </w:pPr>
            <w:r>
              <w:rPr>
                <w:sz w:val="24"/>
              </w:rPr>
              <w:t>4</w:t>
            </w:r>
          </w:p>
        </w:tc>
        <w:tc>
          <w:tcPr>
            <w:tcW w:w="2036" w:type="dxa"/>
          </w:tcPr>
          <w:p w:rsidR="00594BC7" w:rsidRDefault="00155135">
            <w:pPr>
              <w:pStyle w:val="TableParagraph"/>
              <w:ind w:left="211" w:right="147"/>
              <w:jc w:val="center"/>
              <w:rPr>
                <w:sz w:val="24"/>
              </w:rPr>
            </w:pPr>
            <w:r>
              <w:rPr>
                <w:sz w:val="24"/>
              </w:rPr>
              <w:t>22</w:t>
            </w:r>
          </w:p>
        </w:tc>
        <w:tc>
          <w:tcPr>
            <w:tcW w:w="2036" w:type="dxa"/>
          </w:tcPr>
          <w:p w:rsidR="00594BC7" w:rsidRDefault="00155135">
            <w:pPr>
              <w:pStyle w:val="TableParagraph"/>
              <w:ind w:left="210" w:right="147"/>
              <w:jc w:val="center"/>
              <w:rPr>
                <w:sz w:val="24"/>
              </w:rPr>
            </w:pPr>
            <w:r>
              <w:rPr>
                <w:sz w:val="24"/>
              </w:rPr>
              <w:t>18.2%</w:t>
            </w:r>
          </w:p>
        </w:tc>
      </w:tr>
      <w:tr w:rsidR="00594BC7">
        <w:trPr>
          <w:trHeight w:val="395"/>
        </w:trPr>
        <w:tc>
          <w:tcPr>
            <w:tcW w:w="3742" w:type="dxa"/>
          </w:tcPr>
          <w:p w:rsidR="00594BC7" w:rsidRDefault="00155135">
            <w:pPr>
              <w:pStyle w:val="TableParagraph"/>
              <w:ind w:left="107"/>
              <w:rPr>
                <w:sz w:val="24"/>
              </w:rPr>
            </w:pPr>
            <w:r>
              <w:rPr>
                <w:sz w:val="24"/>
              </w:rPr>
              <w:t>Assault and Battery</w:t>
            </w:r>
          </w:p>
        </w:tc>
        <w:tc>
          <w:tcPr>
            <w:tcW w:w="2036" w:type="dxa"/>
          </w:tcPr>
          <w:p w:rsidR="00594BC7" w:rsidRDefault="00155135">
            <w:pPr>
              <w:pStyle w:val="TableParagraph"/>
              <w:ind w:left="207" w:right="147"/>
              <w:jc w:val="center"/>
              <w:rPr>
                <w:sz w:val="24"/>
              </w:rPr>
            </w:pPr>
            <w:r>
              <w:rPr>
                <w:sz w:val="24"/>
              </w:rPr>
              <w:t>13</w:t>
            </w:r>
          </w:p>
        </w:tc>
        <w:tc>
          <w:tcPr>
            <w:tcW w:w="2036" w:type="dxa"/>
          </w:tcPr>
          <w:p w:rsidR="00594BC7" w:rsidRDefault="00155135">
            <w:pPr>
              <w:pStyle w:val="TableParagraph"/>
              <w:ind w:left="211" w:right="147"/>
              <w:jc w:val="center"/>
              <w:rPr>
                <w:sz w:val="24"/>
              </w:rPr>
            </w:pPr>
            <w:r>
              <w:rPr>
                <w:sz w:val="24"/>
              </w:rPr>
              <w:t>78</w:t>
            </w:r>
          </w:p>
        </w:tc>
        <w:tc>
          <w:tcPr>
            <w:tcW w:w="2036" w:type="dxa"/>
          </w:tcPr>
          <w:p w:rsidR="00594BC7" w:rsidRDefault="00155135">
            <w:pPr>
              <w:pStyle w:val="TableParagraph"/>
              <w:ind w:left="210" w:right="147"/>
              <w:jc w:val="center"/>
              <w:rPr>
                <w:sz w:val="24"/>
              </w:rPr>
            </w:pPr>
            <w:r>
              <w:rPr>
                <w:sz w:val="24"/>
              </w:rPr>
              <w:t>16.7%</w:t>
            </w:r>
          </w:p>
        </w:tc>
      </w:tr>
      <w:tr w:rsidR="00594BC7">
        <w:trPr>
          <w:trHeight w:val="395"/>
        </w:trPr>
        <w:tc>
          <w:tcPr>
            <w:tcW w:w="3742" w:type="dxa"/>
          </w:tcPr>
          <w:p w:rsidR="00594BC7" w:rsidRDefault="00155135">
            <w:pPr>
              <w:pStyle w:val="TableParagraph"/>
              <w:ind w:left="107"/>
              <w:rPr>
                <w:sz w:val="24"/>
              </w:rPr>
            </w:pPr>
            <w:r>
              <w:rPr>
                <w:sz w:val="24"/>
              </w:rPr>
              <w:t>Carrying a Dangerous Weapon</w:t>
            </w:r>
          </w:p>
        </w:tc>
        <w:tc>
          <w:tcPr>
            <w:tcW w:w="2036" w:type="dxa"/>
          </w:tcPr>
          <w:p w:rsidR="00594BC7" w:rsidRDefault="00155135">
            <w:pPr>
              <w:pStyle w:val="TableParagraph"/>
              <w:ind w:left="60"/>
              <w:jc w:val="center"/>
              <w:rPr>
                <w:sz w:val="24"/>
              </w:rPr>
            </w:pPr>
            <w:r>
              <w:rPr>
                <w:sz w:val="24"/>
              </w:rPr>
              <w:t>2</w:t>
            </w:r>
          </w:p>
        </w:tc>
        <w:tc>
          <w:tcPr>
            <w:tcW w:w="2036" w:type="dxa"/>
          </w:tcPr>
          <w:p w:rsidR="00594BC7" w:rsidRDefault="00155135">
            <w:pPr>
              <w:pStyle w:val="TableParagraph"/>
              <w:ind w:left="211" w:right="147"/>
              <w:jc w:val="center"/>
              <w:rPr>
                <w:sz w:val="24"/>
              </w:rPr>
            </w:pPr>
            <w:r>
              <w:rPr>
                <w:sz w:val="24"/>
              </w:rPr>
              <w:t>13</w:t>
            </w:r>
          </w:p>
        </w:tc>
        <w:tc>
          <w:tcPr>
            <w:tcW w:w="2036" w:type="dxa"/>
          </w:tcPr>
          <w:p w:rsidR="00594BC7" w:rsidRDefault="00155135">
            <w:pPr>
              <w:pStyle w:val="TableParagraph"/>
              <w:ind w:left="210" w:right="147"/>
              <w:jc w:val="center"/>
              <w:rPr>
                <w:sz w:val="24"/>
              </w:rPr>
            </w:pPr>
            <w:r>
              <w:rPr>
                <w:sz w:val="24"/>
              </w:rPr>
              <w:t>15.4%</w:t>
            </w:r>
          </w:p>
        </w:tc>
      </w:tr>
    </w:tbl>
    <w:p w:rsidR="00594BC7" w:rsidRDefault="00594BC7">
      <w:pPr>
        <w:pStyle w:val="BodyText"/>
        <w:spacing w:before="1"/>
        <w:rPr>
          <w:b/>
          <w:sz w:val="34"/>
        </w:rPr>
      </w:pPr>
    </w:p>
    <w:p w:rsidR="00594BC7" w:rsidRDefault="00155135">
      <w:pPr>
        <w:pStyle w:val="Heading5"/>
      </w:pPr>
      <w:r>
        <w:t>Recidivism Rates for Former DYS Youth - Misdemeanors vs. Felonies</w:t>
      </w:r>
    </w:p>
    <w:p w:rsidR="00594BC7" w:rsidRDefault="00594BC7">
      <w:pPr>
        <w:pStyle w:val="BodyText"/>
        <w:spacing w:before="6"/>
        <w:rPr>
          <w:b/>
          <w:sz w:val="5"/>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0"/>
        <w:gridCol w:w="2462"/>
        <w:gridCol w:w="2462"/>
        <w:gridCol w:w="2462"/>
      </w:tblGrid>
      <w:tr w:rsidR="00594BC7">
        <w:trPr>
          <w:trHeight w:val="398"/>
        </w:trPr>
        <w:tc>
          <w:tcPr>
            <w:tcW w:w="2460" w:type="dxa"/>
            <w:shd w:val="clear" w:color="auto" w:fill="DADADA"/>
          </w:tcPr>
          <w:p w:rsidR="00594BC7" w:rsidRDefault="00155135">
            <w:pPr>
              <w:pStyle w:val="TableParagraph"/>
              <w:spacing w:before="59"/>
              <w:ind w:left="107"/>
              <w:rPr>
                <w:b/>
                <w:sz w:val="24"/>
              </w:rPr>
            </w:pPr>
            <w:r>
              <w:rPr>
                <w:b/>
                <w:sz w:val="24"/>
              </w:rPr>
              <w:t>DYS Offense</w:t>
            </w:r>
          </w:p>
        </w:tc>
        <w:tc>
          <w:tcPr>
            <w:tcW w:w="2462" w:type="dxa"/>
            <w:shd w:val="clear" w:color="auto" w:fill="DADADA"/>
          </w:tcPr>
          <w:p w:rsidR="00594BC7" w:rsidRDefault="00155135">
            <w:pPr>
              <w:pStyle w:val="TableParagraph"/>
              <w:spacing w:before="59"/>
              <w:ind w:left="219" w:right="151"/>
              <w:jc w:val="center"/>
              <w:rPr>
                <w:b/>
                <w:sz w:val="24"/>
              </w:rPr>
            </w:pPr>
            <w:r>
              <w:rPr>
                <w:b/>
                <w:sz w:val="24"/>
              </w:rPr>
              <w:t># Adjudicated</w:t>
            </w:r>
          </w:p>
        </w:tc>
        <w:tc>
          <w:tcPr>
            <w:tcW w:w="2462" w:type="dxa"/>
            <w:shd w:val="clear" w:color="auto" w:fill="DADADA"/>
          </w:tcPr>
          <w:p w:rsidR="00594BC7" w:rsidRDefault="00155135">
            <w:pPr>
              <w:pStyle w:val="TableParagraph"/>
              <w:spacing w:before="59"/>
              <w:ind w:left="219" w:right="145"/>
              <w:jc w:val="center"/>
              <w:rPr>
                <w:b/>
                <w:sz w:val="24"/>
              </w:rPr>
            </w:pPr>
            <w:r>
              <w:rPr>
                <w:b/>
                <w:sz w:val="24"/>
              </w:rPr>
              <w:t>Total in Sample</w:t>
            </w:r>
          </w:p>
        </w:tc>
        <w:tc>
          <w:tcPr>
            <w:tcW w:w="2462" w:type="dxa"/>
            <w:shd w:val="clear" w:color="auto" w:fill="DADADA"/>
          </w:tcPr>
          <w:p w:rsidR="00594BC7" w:rsidRDefault="00155135">
            <w:pPr>
              <w:pStyle w:val="TableParagraph"/>
              <w:spacing w:before="59"/>
              <w:ind w:left="219" w:right="145"/>
              <w:jc w:val="center"/>
              <w:rPr>
                <w:b/>
                <w:sz w:val="24"/>
              </w:rPr>
            </w:pPr>
            <w:r>
              <w:rPr>
                <w:b/>
                <w:sz w:val="24"/>
              </w:rPr>
              <w:t>Recidivism Rate</w:t>
            </w:r>
          </w:p>
        </w:tc>
      </w:tr>
      <w:tr w:rsidR="00594BC7">
        <w:trPr>
          <w:trHeight w:val="395"/>
        </w:trPr>
        <w:tc>
          <w:tcPr>
            <w:tcW w:w="2460" w:type="dxa"/>
          </w:tcPr>
          <w:p w:rsidR="00594BC7" w:rsidRDefault="00155135">
            <w:pPr>
              <w:pStyle w:val="TableParagraph"/>
              <w:ind w:left="107"/>
              <w:rPr>
                <w:sz w:val="24"/>
              </w:rPr>
            </w:pPr>
            <w:r>
              <w:rPr>
                <w:sz w:val="24"/>
              </w:rPr>
              <w:t>Misdemeanor</w:t>
            </w:r>
          </w:p>
        </w:tc>
        <w:tc>
          <w:tcPr>
            <w:tcW w:w="2462" w:type="dxa"/>
          </w:tcPr>
          <w:p w:rsidR="00594BC7" w:rsidRDefault="00155135">
            <w:pPr>
              <w:pStyle w:val="TableParagraph"/>
              <w:ind w:left="219" w:right="147"/>
              <w:jc w:val="center"/>
              <w:rPr>
                <w:sz w:val="24"/>
              </w:rPr>
            </w:pPr>
            <w:r>
              <w:rPr>
                <w:sz w:val="24"/>
              </w:rPr>
              <w:t>30</w:t>
            </w:r>
          </w:p>
        </w:tc>
        <w:tc>
          <w:tcPr>
            <w:tcW w:w="2462" w:type="dxa"/>
          </w:tcPr>
          <w:p w:rsidR="00594BC7" w:rsidRDefault="00155135">
            <w:pPr>
              <w:pStyle w:val="TableParagraph"/>
              <w:ind w:left="219" w:right="146"/>
              <w:jc w:val="center"/>
              <w:rPr>
                <w:sz w:val="24"/>
              </w:rPr>
            </w:pPr>
            <w:r>
              <w:rPr>
                <w:sz w:val="24"/>
              </w:rPr>
              <w:t>179</w:t>
            </w:r>
          </w:p>
        </w:tc>
        <w:tc>
          <w:tcPr>
            <w:tcW w:w="2462" w:type="dxa"/>
          </w:tcPr>
          <w:p w:rsidR="00594BC7" w:rsidRDefault="00155135">
            <w:pPr>
              <w:pStyle w:val="TableParagraph"/>
              <w:ind w:left="219" w:right="145"/>
              <w:jc w:val="center"/>
              <w:rPr>
                <w:sz w:val="24"/>
              </w:rPr>
            </w:pPr>
            <w:r>
              <w:rPr>
                <w:sz w:val="24"/>
              </w:rPr>
              <w:t>16.8%</w:t>
            </w:r>
          </w:p>
        </w:tc>
      </w:tr>
      <w:tr w:rsidR="00594BC7">
        <w:trPr>
          <w:trHeight w:val="395"/>
        </w:trPr>
        <w:tc>
          <w:tcPr>
            <w:tcW w:w="2460" w:type="dxa"/>
          </w:tcPr>
          <w:p w:rsidR="00594BC7" w:rsidRDefault="00155135">
            <w:pPr>
              <w:pStyle w:val="TableParagraph"/>
              <w:ind w:left="107"/>
              <w:rPr>
                <w:sz w:val="24"/>
              </w:rPr>
            </w:pPr>
            <w:r>
              <w:rPr>
                <w:sz w:val="24"/>
              </w:rPr>
              <w:t>Felony</w:t>
            </w:r>
          </w:p>
        </w:tc>
        <w:tc>
          <w:tcPr>
            <w:tcW w:w="2462" w:type="dxa"/>
          </w:tcPr>
          <w:p w:rsidR="00594BC7" w:rsidRDefault="00155135">
            <w:pPr>
              <w:pStyle w:val="TableParagraph"/>
              <w:ind w:left="219" w:right="147"/>
              <w:jc w:val="center"/>
              <w:rPr>
                <w:sz w:val="24"/>
              </w:rPr>
            </w:pPr>
            <w:r>
              <w:rPr>
                <w:sz w:val="24"/>
              </w:rPr>
              <w:t>60</w:t>
            </w:r>
          </w:p>
        </w:tc>
        <w:tc>
          <w:tcPr>
            <w:tcW w:w="2462" w:type="dxa"/>
          </w:tcPr>
          <w:p w:rsidR="00594BC7" w:rsidRDefault="00155135">
            <w:pPr>
              <w:pStyle w:val="TableParagraph"/>
              <w:ind w:left="219" w:right="146"/>
              <w:jc w:val="center"/>
              <w:rPr>
                <w:sz w:val="24"/>
              </w:rPr>
            </w:pPr>
            <w:r>
              <w:rPr>
                <w:sz w:val="24"/>
              </w:rPr>
              <w:t>222</w:t>
            </w:r>
          </w:p>
        </w:tc>
        <w:tc>
          <w:tcPr>
            <w:tcW w:w="2462" w:type="dxa"/>
          </w:tcPr>
          <w:p w:rsidR="00594BC7" w:rsidRDefault="00155135">
            <w:pPr>
              <w:pStyle w:val="TableParagraph"/>
              <w:ind w:left="219" w:right="145"/>
              <w:jc w:val="center"/>
              <w:rPr>
                <w:sz w:val="24"/>
              </w:rPr>
            </w:pPr>
            <w:r>
              <w:rPr>
                <w:sz w:val="24"/>
              </w:rPr>
              <w:t>27.0%</w:t>
            </w:r>
          </w:p>
        </w:tc>
      </w:tr>
    </w:tbl>
    <w:p w:rsidR="00594BC7" w:rsidRDefault="00594BC7">
      <w:pPr>
        <w:jc w:val="center"/>
        <w:rPr>
          <w:sz w:val="24"/>
        </w:rPr>
        <w:sectPr w:rsidR="00594BC7">
          <w:pgSz w:w="12240" w:h="15840"/>
          <w:pgMar w:top="13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spacing w:before="79"/>
        <w:ind w:left="2431"/>
        <w:rPr>
          <w:rFonts w:ascii="Cambria"/>
          <w:b/>
          <w:sz w:val="40"/>
        </w:rPr>
      </w:pPr>
      <w:bookmarkStart w:id="18" w:name="_bookmark11"/>
      <w:bookmarkStart w:id="19" w:name="The_DYS_Service_Continuum"/>
      <w:bookmarkStart w:id="20" w:name="_bookmark8"/>
      <w:bookmarkEnd w:id="18"/>
      <w:bookmarkEnd w:id="19"/>
      <w:bookmarkEnd w:id="20"/>
      <w:r>
        <w:rPr>
          <w:rFonts w:ascii="Cambria"/>
          <w:b/>
          <w:sz w:val="40"/>
        </w:rPr>
        <w:lastRenderedPageBreak/>
        <w:t>The DYS Service Continuum</w:t>
      </w:r>
    </w:p>
    <w:p w:rsidR="00594BC7" w:rsidRDefault="00155135">
      <w:pPr>
        <w:pStyle w:val="BodyText"/>
        <w:spacing w:before="232"/>
        <w:ind w:left="420" w:right="766"/>
        <w:jc w:val="both"/>
      </w:pPr>
      <w:r>
        <w:t>The Department of Youth Services employs a “continuum model” of services and supervision. This continuum includes residential programs, reception centers/foster care, and community- based sites. DYS divides its services into five geographic regions. While</w:t>
      </w:r>
      <w:r>
        <w:t xml:space="preserve"> each region has its own continuum of services and supervision in order to serve youth as close to their home communities and families, all DYS residential and community programs provide positive youth development opportunities for DYS youth.</w:t>
      </w:r>
    </w:p>
    <w:p w:rsidR="00594BC7" w:rsidRDefault="00594BC7">
      <w:pPr>
        <w:pStyle w:val="BodyText"/>
        <w:spacing w:before="1"/>
        <w:rPr>
          <w:sz w:val="33"/>
        </w:rPr>
      </w:pPr>
    </w:p>
    <w:p w:rsidR="00594BC7" w:rsidRDefault="00155135">
      <w:pPr>
        <w:pStyle w:val="Heading2"/>
        <w:spacing w:before="0"/>
      </w:pPr>
      <w:bookmarkStart w:id="21" w:name="DYS_Placement_Services"/>
      <w:bookmarkStart w:id="22" w:name="_bookmark9"/>
      <w:bookmarkEnd w:id="21"/>
      <w:bookmarkEnd w:id="22"/>
      <w:r>
        <w:rPr>
          <w:color w:val="1F497D"/>
        </w:rPr>
        <w:t>DYS Placemen</w:t>
      </w:r>
      <w:r>
        <w:rPr>
          <w:color w:val="1F497D"/>
        </w:rPr>
        <w:t>t Services</w:t>
      </w:r>
    </w:p>
    <w:p w:rsidR="00594BC7" w:rsidRDefault="00155135">
      <w:pPr>
        <w:pStyle w:val="BodyText"/>
        <w:spacing w:before="156"/>
        <w:ind w:left="419" w:right="767"/>
        <w:jc w:val="both"/>
      </w:pPr>
      <w:r>
        <w:t>In CY 2016, DYS operated 61 residential programs for youth, ranging from staff-secure programs to hardware-secure programs. Bed placement is determined by the youth’s status on the DYS continuum, which includes detention, assessment, commitment,</w:t>
      </w:r>
      <w:r>
        <w:t xml:space="preserve"> and revocation. There are separate programs for girls and boys. Each residential program has a capacity of 10 to 20 beds. Residential programming services include clinical intervention, education, structured recreation and, health services.</w:t>
      </w:r>
    </w:p>
    <w:p w:rsidR="00594BC7" w:rsidRDefault="00594BC7">
      <w:pPr>
        <w:pStyle w:val="BodyText"/>
        <w:rPr>
          <w:sz w:val="20"/>
        </w:rPr>
      </w:pPr>
    </w:p>
    <w:p w:rsidR="00594BC7" w:rsidRDefault="00594BC7">
      <w:pPr>
        <w:pStyle w:val="BodyText"/>
        <w:spacing w:before="9"/>
        <w:rPr>
          <w:sz w:val="10"/>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8"/>
        <w:gridCol w:w="2536"/>
        <w:gridCol w:w="1692"/>
        <w:gridCol w:w="1692"/>
        <w:gridCol w:w="1692"/>
      </w:tblGrid>
      <w:tr w:rsidR="00594BC7">
        <w:trPr>
          <w:trHeight w:val="395"/>
        </w:trPr>
        <w:tc>
          <w:tcPr>
            <w:tcW w:w="1588" w:type="dxa"/>
            <w:shd w:val="clear" w:color="auto" w:fill="DADADA"/>
          </w:tcPr>
          <w:p w:rsidR="00594BC7" w:rsidRDefault="00155135">
            <w:pPr>
              <w:pStyle w:val="TableParagraph"/>
              <w:ind w:left="223"/>
              <w:rPr>
                <w:sz w:val="24"/>
              </w:rPr>
            </w:pPr>
            <w:r>
              <w:rPr>
                <w:sz w:val="24"/>
              </w:rPr>
              <w:t>Gender</w:t>
            </w:r>
          </w:p>
        </w:tc>
        <w:tc>
          <w:tcPr>
            <w:tcW w:w="2536" w:type="dxa"/>
            <w:shd w:val="clear" w:color="auto" w:fill="DADADA"/>
          </w:tcPr>
          <w:p w:rsidR="00594BC7" w:rsidRDefault="00155135">
            <w:pPr>
              <w:pStyle w:val="TableParagraph"/>
              <w:ind w:left="219"/>
              <w:rPr>
                <w:sz w:val="24"/>
              </w:rPr>
            </w:pPr>
            <w:r>
              <w:rPr>
                <w:sz w:val="24"/>
              </w:rPr>
              <w:t>Secur</w:t>
            </w:r>
            <w:r>
              <w:rPr>
                <w:sz w:val="24"/>
              </w:rPr>
              <w:t>ity Level</w:t>
            </w:r>
          </w:p>
        </w:tc>
        <w:tc>
          <w:tcPr>
            <w:tcW w:w="1692" w:type="dxa"/>
            <w:shd w:val="clear" w:color="auto" w:fill="DADADA"/>
          </w:tcPr>
          <w:p w:rsidR="00594BC7" w:rsidRDefault="00155135">
            <w:pPr>
              <w:pStyle w:val="TableParagraph"/>
              <w:ind w:right="276"/>
              <w:jc w:val="right"/>
              <w:rPr>
                <w:sz w:val="24"/>
              </w:rPr>
            </w:pPr>
            <w:r>
              <w:rPr>
                <w:sz w:val="24"/>
              </w:rPr>
              <w:t>Provider</w:t>
            </w:r>
          </w:p>
        </w:tc>
        <w:tc>
          <w:tcPr>
            <w:tcW w:w="1692" w:type="dxa"/>
            <w:shd w:val="clear" w:color="auto" w:fill="DADADA"/>
          </w:tcPr>
          <w:p w:rsidR="00594BC7" w:rsidRDefault="00155135">
            <w:pPr>
              <w:pStyle w:val="TableParagraph"/>
              <w:ind w:right="278"/>
              <w:jc w:val="right"/>
              <w:rPr>
                <w:sz w:val="24"/>
              </w:rPr>
            </w:pPr>
            <w:r>
              <w:rPr>
                <w:sz w:val="24"/>
              </w:rPr>
              <w:t>State</w:t>
            </w:r>
          </w:p>
        </w:tc>
        <w:tc>
          <w:tcPr>
            <w:tcW w:w="1692" w:type="dxa"/>
            <w:shd w:val="clear" w:color="auto" w:fill="DADADA"/>
          </w:tcPr>
          <w:p w:rsidR="00594BC7" w:rsidRDefault="00155135">
            <w:pPr>
              <w:pStyle w:val="TableParagraph"/>
              <w:ind w:right="280"/>
              <w:jc w:val="right"/>
              <w:rPr>
                <w:sz w:val="24"/>
              </w:rPr>
            </w:pPr>
            <w:r>
              <w:rPr>
                <w:sz w:val="24"/>
              </w:rPr>
              <w:t>Total</w:t>
            </w:r>
          </w:p>
        </w:tc>
      </w:tr>
      <w:tr w:rsidR="00594BC7">
        <w:trPr>
          <w:trHeight w:val="395"/>
        </w:trPr>
        <w:tc>
          <w:tcPr>
            <w:tcW w:w="1588" w:type="dxa"/>
            <w:vMerge w:val="restart"/>
          </w:tcPr>
          <w:p w:rsidR="00594BC7" w:rsidRDefault="00155135">
            <w:pPr>
              <w:pStyle w:val="TableParagraph"/>
              <w:ind w:left="223"/>
              <w:rPr>
                <w:sz w:val="24"/>
              </w:rPr>
            </w:pPr>
            <w:r>
              <w:rPr>
                <w:sz w:val="24"/>
              </w:rPr>
              <w:t>Boys</w:t>
            </w:r>
          </w:p>
        </w:tc>
        <w:tc>
          <w:tcPr>
            <w:tcW w:w="2536" w:type="dxa"/>
          </w:tcPr>
          <w:p w:rsidR="00594BC7" w:rsidRDefault="00155135">
            <w:pPr>
              <w:pStyle w:val="TableParagraph"/>
              <w:ind w:left="219"/>
              <w:rPr>
                <w:sz w:val="24"/>
              </w:rPr>
            </w:pPr>
            <w:r>
              <w:rPr>
                <w:sz w:val="24"/>
              </w:rPr>
              <w:t>Hardware Secure</w:t>
            </w:r>
          </w:p>
        </w:tc>
        <w:tc>
          <w:tcPr>
            <w:tcW w:w="1692" w:type="dxa"/>
          </w:tcPr>
          <w:p w:rsidR="00594BC7" w:rsidRDefault="00155135">
            <w:pPr>
              <w:pStyle w:val="TableParagraph"/>
              <w:ind w:right="278"/>
              <w:jc w:val="right"/>
              <w:rPr>
                <w:sz w:val="24"/>
              </w:rPr>
            </w:pPr>
            <w:r>
              <w:rPr>
                <w:sz w:val="24"/>
              </w:rPr>
              <w:t>8</w:t>
            </w:r>
          </w:p>
        </w:tc>
        <w:tc>
          <w:tcPr>
            <w:tcW w:w="1692" w:type="dxa"/>
          </w:tcPr>
          <w:p w:rsidR="00594BC7" w:rsidRDefault="00155135">
            <w:pPr>
              <w:pStyle w:val="TableParagraph"/>
              <w:ind w:right="279"/>
              <w:jc w:val="right"/>
              <w:rPr>
                <w:sz w:val="24"/>
              </w:rPr>
            </w:pPr>
            <w:r>
              <w:rPr>
                <w:sz w:val="24"/>
              </w:rPr>
              <w:t>17</w:t>
            </w:r>
          </w:p>
        </w:tc>
        <w:tc>
          <w:tcPr>
            <w:tcW w:w="1692" w:type="dxa"/>
          </w:tcPr>
          <w:p w:rsidR="00594BC7" w:rsidRDefault="00155135">
            <w:pPr>
              <w:pStyle w:val="TableParagraph"/>
              <w:ind w:right="279"/>
              <w:jc w:val="right"/>
              <w:rPr>
                <w:sz w:val="24"/>
              </w:rPr>
            </w:pPr>
            <w:r>
              <w:rPr>
                <w:sz w:val="24"/>
              </w:rPr>
              <w:t>25</w:t>
            </w:r>
          </w:p>
        </w:tc>
      </w:tr>
      <w:tr w:rsidR="00594BC7">
        <w:trPr>
          <w:trHeight w:val="398"/>
        </w:trPr>
        <w:tc>
          <w:tcPr>
            <w:tcW w:w="1588" w:type="dxa"/>
            <w:vMerge/>
            <w:tcBorders>
              <w:top w:val="nil"/>
            </w:tcBorders>
          </w:tcPr>
          <w:p w:rsidR="00594BC7" w:rsidRDefault="00594BC7">
            <w:pPr>
              <w:rPr>
                <w:sz w:val="2"/>
                <w:szCs w:val="2"/>
              </w:rPr>
            </w:pPr>
          </w:p>
        </w:tc>
        <w:tc>
          <w:tcPr>
            <w:tcW w:w="2536" w:type="dxa"/>
          </w:tcPr>
          <w:p w:rsidR="00594BC7" w:rsidRDefault="00155135">
            <w:pPr>
              <w:pStyle w:val="TableParagraph"/>
              <w:spacing w:before="54"/>
              <w:ind w:left="219"/>
              <w:rPr>
                <w:sz w:val="24"/>
              </w:rPr>
            </w:pPr>
            <w:r>
              <w:rPr>
                <w:sz w:val="24"/>
              </w:rPr>
              <w:t>Staff Secure</w:t>
            </w:r>
          </w:p>
        </w:tc>
        <w:tc>
          <w:tcPr>
            <w:tcW w:w="1692" w:type="dxa"/>
          </w:tcPr>
          <w:p w:rsidR="00594BC7" w:rsidRDefault="00155135">
            <w:pPr>
              <w:pStyle w:val="TableParagraph"/>
              <w:spacing w:before="54"/>
              <w:ind w:right="278"/>
              <w:jc w:val="right"/>
              <w:rPr>
                <w:sz w:val="24"/>
              </w:rPr>
            </w:pPr>
            <w:r>
              <w:rPr>
                <w:sz w:val="24"/>
              </w:rPr>
              <w:t>28</w:t>
            </w:r>
          </w:p>
        </w:tc>
        <w:tc>
          <w:tcPr>
            <w:tcW w:w="1692" w:type="dxa"/>
          </w:tcPr>
          <w:p w:rsidR="00594BC7" w:rsidRDefault="00594BC7">
            <w:pPr>
              <w:pStyle w:val="TableParagraph"/>
              <w:spacing w:before="0"/>
              <w:rPr>
                <w:sz w:val="24"/>
              </w:rPr>
            </w:pPr>
          </w:p>
        </w:tc>
        <w:tc>
          <w:tcPr>
            <w:tcW w:w="1692" w:type="dxa"/>
          </w:tcPr>
          <w:p w:rsidR="00594BC7" w:rsidRDefault="00155135">
            <w:pPr>
              <w:pStyle w:val="TableParagraph"/>
              <w:spacing w:before="54"/>
              <w:ind w:right="279"/>
              <w:jc w:val="right"/>
              <w:rPr>
                <w:sz w:val="24"/>
              </w:rPr>
            </w:pPr>
            <w:r>
              <w:rPr>
                <w:sz w:val="24"/>
              </w:rPr>
              <w:t>28</w:t>
            </w:r>
          </w:p>
        </w:tc>
      </w:tr>
      <w:tr w:rsidR="00594BC7">
        <w:trPr>
          <w:trHeight w:val="395"/>
        </w:trPr>
        <w:tc>
          <w:tcPr>
            <w:tcW w:w="1588" w:type="dxa"/>
            <w:vMerge w:val="restart"/>
          </w:tcPr>
          <w:p w:rsidR="00594BC7" w:rsidRDefault="00155135">
            <w:pPr>
              <w:pStyle w:val="TableParagraph"/>
              <w:ind w:left="223"/>
              <w:rPr>
                <w:sz w:val="24"/>
              </w:rPr>
            </w:pPr>
            <w:r>
              <w:rPr>
                <w:sz w:val="24"/>
              </w:rPr>
              <w:t>Girls</w:t>
            </w:r>
          </w:p>
        </w:tc>
        <w:tc>
          <w:tcPr>
            <w:tcW w:w="2536" w:type="dxa"/>
          </w:tcPr>
          <w:p w:rsidR="00594BC7" w:rsidRDefault="00155135">
            <w:pPr>
              <w:pStyle w:val="TableParagraph"/>
              <w:ind w:left="219"/>
              <w:rPr>
                <w:sz w:val="24"/>
              </w:rPr>
            </w:pPr>
            <w:r>
              <w:rPr>
                <w:sz w:val="24"/>
              </w:rPr>
              <w:t>Hardware Secure</w:t>
            </w:r>
          </w:p>
        </w:tc>
        <w:tc>
          <w:tcPr>
            <w:tcW w:w="1692" w:type="dxa"/>
          </w:tcPr>
          <w:p w:rsidR="00594BC7" w:rsidRDefault="00155135">
            <w:pPr>
              <w:pStyle w:val="TableParagraph"/>
              <w:ind w:right="278"/>
              <w:jc w:val="right"/>
              <w:rPr>
                <w:sz w:val="24"/>
              </w:rPr>
            </w:pPr>
            <w:r>
              <w:rPr>
                <w:sz w:val="24"/>
              </w:rPr>
              <w:t>2</w:t>
            </w:r>
          </w:p>
        </w:tc>
        <w:tc>
          <w:tcPr>
            <w:tcW w:w="1692" w:type="dxa"/>
          </w:tcPr>
          <w:p w:rsidR="00594BC7" w:rsidRDefault="00155135">
            <w:pPr>
              <w:pStyle w:val="TableParagraph"/>
              <w:ind w:right="279"/>
              <w:jc w:val="right"/>
              <w:rPr>
                <w:sz w:val="24"/>
              </w:rPr>
            </w:pPr>
            <w:r>
              <w:rPr>
                <w:sz w:val="24"/>
              </w:rPr>
              <w:t>2</w:t>
            </w:r>
          </w:p>
        </w:tc>
        <w:tc>
          <w:tcPr>
            <w:tcW w:w="1692" w:type="dxa"/>
          </w:tcPr>
          <w:p w:rsidR="00594BC7" w:rsidRDefault="00155135">
            <w:pPr>
              <w:pStyle w:val="TableParagraph"/>
              <w:ind w:right="279"/>
              <w:jc w:val="right"/>
              <w:rPr>
                <w:sz w:val="24"/>
              </w:rPr>
            </w:pPr>
            <w:r>
              <w:rPr>
                <w:sz w:val="24"/>
              </w:rPr>
              <w:t>4</w:t>
            </w:r>
          </w:p>
        </w:tc>
      </w:tr>
      <w:tr w:rsidR="00594BC7">
        <w:trPr>
          <w:trHeight w:val="395"/>
        </w:trPr>
        <w:tc>
          <w:tcPr>
            <w:tcW w:w="1588" w:type="dxa"/>
            <w:vMerge/>
            <w:tcBorders>
              <w:top w:val="nil"/>
            </w:tcBorders>
          </w:tcPr>
          <w:p w:rsidR="00594BC7" w:rsidRDefault="00594BC7">
            <w:pPr>
              <w:rPr>
                <w:sz w:val="2"/>
                <w:szCs w:val="2"/>
              </w:rPr>
            </w:pPr>
          </w:p>
        </w:tc>
        <w:tc>
          <w:tcPr>
            <w:tcW w:w="2536" w:type="dxa"/>
          </w:tcPr>
          <w:p w:rsidR="00594BC7" w:rsidRDefault="00155135">
            <w:pPr>
              <w:pStyle w:val="TableParagraph"/>
              <w:ind w:left="219"/>
              <w:rPr>
                <w:sz w:val="24"/>
              </w:rPr>
            </w:pPr>
            <w:r>
              <w:rPr>
                <w:sz w:val="24"/>
              </w:rPr>
              <w:t>Staff Secure</w:t>
            </w:r>
          </w:p>
        </w:tc>
        <w:tc>
          <w:tcPr>
            <w:tcW w:w="1692" w:type="dxa"/>
          </w:tcPr>
          <w:p w:rsidR="00594BC7" w:rsidRDefault="00155135">
            <w:pPr>
              <w:pStyle w:val="TableParagraph"/>
              <w:ind w:right="278"/>
              <w:jc w:val="right"/>
              <w:rPr>
                <w:sz w:val="24"/>
              </w:rPr>
            </w:pPr>
            <w:r>
              <w:rPr>
                <w:sz w:val="24"/>
              </w:rPr>
              <w:t>4</w:t>
            </w:r>
          </w:p>
        </w:tc>
        <w:tc>
          <w:tcPr>
            <w:tcW w:w="1692" w:type="dxa"/>
          </w:tcPr>
          <w:p w:rsidR="00594BC7" w:rsidRDefault="00594BC7">
            <w:pPr>
              <w:pStyle w:val="TableParagraph"/>
              <w:spacing w:before="0"/>
              <w:rPr>
                <w:sz w:val="24"/>
              </w:rPr>
            </w:pPr>
          </w:p>
        </w:tc>
        <w:tc>
          <w:tcPr>
            <w:tcW w:w="1692" w:type="dxa"/>
          </w:tcPr>
          <w:p w:rsidR="00594BC7" w:rsidRDefault="00155135">
            <w:pPr>
              <w:pStyle w:val="TableParagraph"/>
              <w:ind w:right="279"/>
              <w:jc w:val="right"/>
              <w:rPr>
                <w:sz w:val="24"/>
              </w:rPr>
            </w:pPr>
            <w:r>
              <w:rPr>
                <w:sz w:val="24"/>
              </w:rPr>
              <w:t>4</w:t>
            </w:r>
          </w:p>
        </w:tc>
      </w:tr>
      <w:tr w:rsidR="00594BC7">
        <w:trPr>
          <w:trHeight w:val="395"/>
        </w:trPr>
        <w:tc>
          <w:tcPr>
            <w:tcW w:w="4124" w:type="dxa"/>
            <w:gridSpan w:val="2"/>
          </w:tcPr>
          <w:p w:rsidR="00594BC7" w:rsidRDefault="00155135">
            <w:pPr>
              <w:pStyle w:val="TableParagraph"/>
              <w:ind w:left="223"/>
              <w:rPr>
                <w:sz w:val="24"/>
              </w:rPr>
            </w:pPr>
            <w:r>
              <w:rPr>
                <w:sz w:val="24"/>
              </w:rPr>
              <w:t>Total</w:t>
            </w:r>
          </w:p>
        </w:tc>
        <w:tc>
          <w:tcPr>
            <w:tcW w:w="1692" w:type="dxa"/>
          </w:tcPr>
          <w:p w:rsidR="00594BC7" w:rsidRDefault="00155135">
            <w:pPr>
              <w:pStyle w:val="TableParagraph"/>
              <w:ind w:right="278"/>
              <w:jc w:val="right"/>
              <w:rPr>
                <w:sz w:val="24"/>
              </w:rPr>
            </w:pPr>
            <w:r>
              <w:rPr>
                <w:sz w:val="24"/>
              </w:rPr>
              <w:t>42</w:t>
            </w:r>
          </w:p>
        </w:tc>
        <w:tc>
          <w:tcPr>
            <w:tcW w:w="1692" w:type="dxa"/>
          </w:tcPr>
          <w:p w:rsidR="00594BC7" w:rsidRDefault="00155135">
            <w:pPr>
              <w:pStyle w:val="TableParagraph"/>
              <w:ind w:right="279"/>
              <w:jc w:val="right"/>
              <w:rPr>
                <w:sz w:val="24"/>
              </w:rPr>
            </w:pPr>
            <w:r>
              <w:rPr>
                <w:sz w:val="24"/>
              </w:rPr>
              <w:t>19</w:t>
            </w:r>
          </w:p>
        </w:tc>
        <w:tc>
          <w:tcPr>
            <w:tcW w:w="1692" w:type="dxa"/>
          </w:tcPr>
          <w:p w:rsidR="00594BC7" w:rsidRDefault="00155135">
            <w:pPr>
              <w:pStyle w:val="TableParagraph"/>
              <w:ind w:right="279"/>
              <w:jc w:val="right"/>
              <w:rPr>
                <w:sz w:val="24"/>
              </w:rPr>
            </w:pPr>
            <w:r>
              <w:rPr>
                <w:sz w:val="24"/>
              </w:rPr>
              <w:t>61</w:t>
            </w:r>
          </w:p>
        </w:tc>
      </w:tr>
    </w:tbl>
    <w:p w:rsidR="00594BC7" w:rsidRDefault="00155135">
      <w:pPr>
        <w:ind w:right="1038"/>
        <w:jc w:val="right"/>
        <w:rPr>
          <w:i/>
          <w:sz w:val="20"/>
        </w:rPr>
      </w:pPr>
      <w:r>
        <w:rPr>
          <w:i/>
          <w:sz w:val="20"/>
        </w:rPr>
        <w:t>As of December 31, 2016</w:t>
      </w:r>
    </w:p>
    <w:p w:rsidR="00594BC7" w:rsidRDefault="00594BC7">
      <w:pPr>
        <w:pStyle w:val="BodyText"/>
        <w:rPr>
          <w:i/>
          <w:sz w:val="20"/>
        </w:rPr>
      </w:pPr>
    </w:p>
    <w:p w:rsidR="00594BC7" w:rsidRDefault="00594BC7">
      <w:pPr>
        <w:pStyle w:val="BodyText"/>
        <w:spacing w:before="9"/>
        <w:rPr>
          <w:i/>
          <w:sz w:val="18"/>
        </w:rPr>
      </w:pPr>
    </w:p>
    <w:p w:rsidR="00594BC7" w:rsidRDefault="00155135">
      <w:pPr>
        <w:spacing w:before="99"/>
        <w:ind w:left="420"/>
        <w:rPr>
          <w:rFonts w:ascii="Cambria"/>
          <w:b/>
          <w:i/>
          <w:sz w:val="32"/>
        </w:rPr>
      </w:pPr>
      <w:bookmarkStart w:id="23" w:name="DYS_Community_Services"/>
      <w:bookmarkStart w:id="24" w:name="_bookmark10"/>
      <w:bookmarkEnd w:id="23"/>
      <w:bookmarkEnd w:id="24"/>
      <w:r>
        <w:rPr>
          <w:rFonts w:ascii="Cambria"/>
          <w:b/>
          <w:i/>
          <w:color w:val="1F497D"/>
          <w:sz w:val="32"/>
        </w:rPr>
        <w:t>DYS Community Services</w:t>
      </w:r>
    </w:p>
    <w:p w:rsidR="00594BC7" w:rsidRDefault="00155135">
      <w:pPr>
        <w:pStyle w:val="BodyText"/>
        <w:spacing w:before="156"/>
        <w:ind w:left="419" w:right="774"/>
        <w:jc w:val="both"/>
      </w:pPr>
      <w:r>
        <w:t>The Community Services Network is part of the DYS service continuum that recognizes and complements work completed by youth in the residential phase through the support of families, and the collaboration with communities and locally based provider agencies</w:t>
      </w:r>
      <w:r>
        <w:t xml:space="preserve"> to access and develop resources. Through 22 district offices that are strategically located across Massachusetts, DYS has caseworkers who provide supervision and support to committed youth living in their home communities. The caseworkers work with youth </w:t>
      </w:r>
      <w:r>
        <w:t>by connecting them with education and vocational services, job readiness training, employment, behavioral health, medical services, mentoring, and arts related</w:t>
      </w:r>
      <w:r>
        <w:rPr>
          <w:spacing w:val="-4"/>
        </w:rPr>
        <w:t xml:space="preserve"> </w:t>
      </w:r>
      <w:r>
        <w:t>services.</w:t>
      </w:r>
    </w:p>
    <w:p w:rsidR="00594BC7" w:rsidRDefault="00155135">
      <w:pPr>
        <w:pStyle w:val="BodyText"/>
        <w:spacing w:before="118"/>
        <w:ind w:left="419" w:right="774"/>
        <w:jc w:val="both"/>
      </w:pPr>
      <w:r>
        <w:t xml:space="preserve">The Community Re-entry Initiative provides supports for the successful transition and </w:t>
      </w:r>
      <w:r>
        <w:t>re- entry of youth through mentoring, arts and cultural programming, GED/Hi-Set and adult basic education services, and workforce development opportunities that foster career readiness and employment.</w:t>
      </w:r>
    </w:p>
    <w:p w:rsidR="00594BC7" w:rsidRDefault="00594BC7">
      <w:pPr>
        <w:jc w:val="both"/>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2"/>
      </w:pPr>
      <w:bookmarkStart w:id="25" w:name="Education"/>
      <w:bookmarkEnd w:id="25"/>
      <w:r>
        <w:rPr>
          <w:color w:val="1F497D"/>
        </w:rPr>
        <w:lastRenderedPageBreak/>
        <w:t>Educa</w:t>
      </w:r>
      <w:r>
        <w:rPr>
          <w:color w:val="1F497D"/>
        </w:rPr>
        <w:t>tion</w:t>
      </w:r>
    </w:p>
    <w:p w:rsidR="00594BC7" w:rsidRDefault="00155135">
      <w:pPr>
        <w:pStyle w:val="BodyText"/>
        <w:spacing w:before="156"/>
        <w:ind w:left="420" w:right="595"/>
      </w:pPr>
      <w:r>
        <w:t>The DYS educational model provides students with multiple pathways to academic and vocational growth, including opportunities for youth to pursue and obtain a high school equivalency diploma (formerly the GED, now Hi-SET), earn credits towards a high-</w:t>
      </w:r>
      <w:r>
        <w:t>school diploma, achieve success in MCAS, and gain 21st century skills and knowledge. Youth in residential programs attend 5.5 hours of classes, 5 days a week. Classes are offered all but 2 weeks in a calendar year.</w:t>
      </w:r>
    </w:p>
    <w:p w:rsidR="00594BC7" w:rsidRDefault="00155135">
      <w:pPr>
        <w:pStyle w:val="BodyText"/>
        <w:spacing w:before="120"/>
        <w:ind w:left="419" w:right="771"/>
        <w:jc w:val="both"/>
      </w:pPr>
      <w:r>
        <w:rPr>
          <w:b/>
          <w:u w:val="thick"/>
        </w:rPr>
        <w:t>HIGH SCHOOL DIPLOMAS and GED/HI-SET DATA</w:t>
      </w:r>
      <w:r>
        <w:t>:</w:t>
      </w:r>
      <w:r>
        <w:t xml:space="preserve"> Below are the High School Diploma and Hi-SET/GED attainment data from the past four (4) years. While the overall population of youth in DYS has declined over the past several years, our youth continue to attain success in this indicator at rates higher th</w:t>
      </w:r>
      <w:r>
        <w:t>an the rest of the state. Contributing to this positive result is DYS’ collaboration with the Department of Elementary and Secondary Education in setting up three Hi-SET testing sites for youth in secure residential treatment who are unable to test at a co</w:t>
      </w:r>
      <w:r>
        <w:t>mmunity based Hi-SET testing</w:t>
      </w:r>
      <w:r>
        <w:rPr>
          <w:spacing w:val="-12"/>
        </w:rPr>
        <w:t xml:space="preserve"> </w:t>
      </w:r>
      <w:r>
        <w:t>site.</w:t>
      </w:r>
    </w:p>
    <w:p w:rsidR="00594BC7" w:rsidRDefault="00594BC7">
      <w:pPr>
        <w:pStyle w:val="BodyText"/>
        <w:rPr>
          <w:sz w:val="38"/>
        </w:rPr>
      </w:pPr>
    </w:p>
    <w:p w:rsidR="00594BC7" w:rsidRDefault="00155135">
      <w:pPr>
        <w:pStyle w:val="Heading5"/>
      </w:pPr>
      <w:r>
        <w:t>DYS Hi-Set and High School Diploma Attainment Data Years 2012-2016</w:t>
      </w:r>
    </w:p>
    <w:p w:rsidR="00594BC7" w:rsidRDefault="00594BC7">
      <w:pPr>
        <w:pStyle w:val="BodyText"/>
        <w:spacing w:before="3"/>
        <w:rPr>
          <w:b/>
          <w:sz w:val="5"/>
        </w:rPr>
      </w:pPr>
    </w:p>
    <w:tbl>
      <w:tblPr>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23"/>
        <w:gridCol w:w="3228"/>
        <w:gridCol w:w="3696"/>
      </w:tblGrid>
      <w:tr w:rsidR="00594BC7">
        <w:trPr>
          <w:trHeight w:val="388"/>
        </w:trPr>
        <w:tc>
          <w:tcPr>
            <w:tcW w:w="2923" w:type="dxa"/>
            <w:shd w:val="clear" w:color="auto" w:fill="DADADA"/>
          </w:tcPr>
          <w:p w:rsidR="00594BC7" w:rsidRDefault="00155135">
            <w:pPr>
              <w:pStyle w:val="TableParagraph"/>
              <w:spacing w:before="56"/>
              <w:ind w:left="162"/>
              <w:rPr>
                <w:rFonts w:ascii="Calibri"/>
                <w:b/>
              </w:rPr>
            </w:pPr>
            <w:r>
              <w:rPr>
                <w:rFonts w:ascii="Calibri"/>
                <w:b/>
              </w:rPr>
              <w:t>School Year:</w:t>
            </w:r>
          </w:p>
        </w:tc>
        <w:tc>
          <w:tcPr>
            <w:tcW w:w="3228" w:type="dxa"/>
            <w:shd w:val="clear" w:color="auto" w:fill="DADADA"/>
          </w:tcPr>
          <w:p w:rsidR="00594BC7" w:rsidRDefault="00155135">
            <w:pPr>
              <w:pStyle w:val="TableParagraph"/>
              <w:spacing w:before="56"/>
              <w:ind w:left="626" w:right="512"/>
              <w:jc w:val="center"/>
              <w:rPr>
                <w:rFonts w:ascii="Calibri"/>
                <w:b/>
              </w:rPr>
            </w:pPr>
            <w:r>
              <w:rPr>
                <w:rFonts w:ascii="Calibri"/>
                <w:b/>
              </w:rPr>
              <w:t>High School Diplomas:</w:t>
            </w:r>
          </w:p>
        </w:tc>
        <w:tc>
          <w:tcPr>
            <w:tcW w:w="3696" w:type="dxa"/>
            <w:shd w:val="clear" w:color="auto" w:fill="DADADA"/>
          </w:tcPr>
          <w:p w:rsidR="00594BC7" w:rsidRDefault="00155135">
            <w:pPr>
              <w:pStyle w:val="TableParagraph"/>
              <w:spacing w:before="56"/>
              <w:ind w:left="1014" w:right="1538"/>
              <w:jc w:val="center"/>
              <w:rPr>
                <w:rFonts w:ascii="Calibri"/>
                <w:b/>
              </w:rPr>
            </w:pPr>
            <w:r>
              <w:rPr>
                <w:rFonts w:ascii="Calibri"/>
                <w:b/>
              </w:rPr>
              <w:t>Hi-Set/GED:</w:t>
            </w:r>
          </w:p>
        </w:tc>
      </w:tr>
      <w:tr w:rsidR="00594BC7">
        <w:trPr>
          <w:trHeight w:val="419"/>
        </w:trPr>
        <w:tc>
          <w:tcPr>
            <w:tcW w:w="2923" w:type="dxa"/>
            <w:tcBorders>
              <w:left w:val="single" w:sz="8" w:space="0" w:color="000000"/>
              <w:bottom w:val="single" w:sz="8" w:space="0" w:color="000000"/>
              <w:right w:val="single" w:sz="8" w:space="0" w:color="000000"/>
            </w:tcBorders>
          </w:tcPr>
          <w:p w:rsidR="00594BC7" w:rsidRDefault="00155135">
            <w:pPr>
              <w:pStyle w:val="TableParagraph"/>
              <w:spacing w:before="90"/>
              <w:ind w:left="107"/>
              <w:rPr>
                <w:rFonts w:ascii="Calibri"/>
                <w:b/>
              </w:rPr>
            </w:pPr>
            <w:r>
              <w:rPr>
                <w:rFonts w:ascii="Calibri"/>
                <w:b/>
              </w:rPr>
              <w:t>2015-2016</w:t>
            </w:r>
          </w:p>
        </w:tc>
        <w:tc>
          <w:tcPr>
            <w:tcW w:w="3228" w:type="dxa"/>
            <w:tcBorders>
              <w:left w:val="single" w:sz="8" w:space="0" w:color="000000"/>
              <w:bottom w:val="single" w:sz="8" w:space="0" w:color="000000"/>
              <w:right w:val="single" w:sz="8" w:space="0" w:color="000000"/>
            </w:tcBorders>
          </w:tcPr>
          <w:p w:rsidR="00594BC7" w:rsidRDefault="00155135">
            <w:pPr>
              <w:pStyle w:val="TableParagraph"/>
              <w:spacing w:before="90"/>
              <w:ind w:left="1529" w:right="1416"/>
              <w:jc w:val="center"/>
              <w:rPr>
                <w:rFonts w:ascii="Calibri"/>
              </w:rPr>
            </w:pPr>
            <w:r>
              <w:rPr>
                <w:rFonts w:ascii="Calibri"/>
              </w:rPr>
              <w:t>74</w:t>
            </w:r>
          </w:p>
        </w:tc>
        <w:tc>
          <w:tcPr>
            <w:tcW w:w="3696" w:type="dxa"/>
            <w:tcBorders>
              <w:left w:val="single" w:sz="8" w:space="0" w:color="000000"/>
              <w:bottom w:val="single" w:sz="8" w:space="0" w:color="000000"/>
              <w:right w:val="single" w:sz="8" w:space="0" w:color="000000"/>
            </w:tcBorders>
          </w:tcPr>
          <w:p w:rsidR="00594BC7" w:rsidRDefault="00155135">
            <w:pPr>
              <w:pStyle w:val="TableParagraph"/>
              <w:spacing w:before="90"/>
              <w:ind w:left="1449" w:right="1964"/>
              <w:jc w:val="center"/>
              <w:rPr>
                <w:rFonts w:ascii="Calibri"/>
              </w:rPr>
            </w:pPr>
            <w:r>
              <w:rPr>
                <w:rFonts w:ascii="Calibri"/>
              </w:rPr>
              <w:t>86</w:t>
            </w:r>
          </w:p>
        </w:tc>
      </w:tr>
      <w:tr w:rsidR="00594BC7">
        <w:trPr>
          <w:trHeight w:val="421"/>
        </w:trPr>
        <w:tc>
          <w:tcPr>
            <w:tcW w:w="2923" w:type="dxa"/>
            <w:tcBorders>
              <w:top w:val="single" w:sz="8" w:space="0" w:color="000000"/>
              <w:left w:val="single" w:sz="8" w:space="0" w:color="000000"/>
              <w:bottom w:val="single" w:sz="8" w:space="0" w:color="000000"/>
              <w:right w:val="single" w:sz="8" w:space="0" w:color="000000"/>
            </w:tcBorders>
          </w:tcPr>
          <w:p w:rsidR="00594BC7" w:rsidRDefault="00155135">
            <w:pPr>
              <w:pStyle w:val="TableParagraph"/>
              <w:spacing w:before="92"/>
              <w:ind w:left="107"/>
              <w:rPr>
                <w:rFonts w:ascii="Calibri"/>
                <w:b/>
              </w:rPr>
            </w:pPr>
            <w:r>
              <w:rPr>
                <w:rFonts w:ascii="Calibri"/>
                <w:b/>
              </w:rPr>
              <w:t>2014-2015</w:t>
            </w:r>
          </w:p>
        </w:tc>
        <w:tc>
          <w:tcPr>
            <w:tcW w:w="3228" w:type="dxa"/>
            <w:tcBorders>
              <w:top w:val="single" w:sz="8" w:space="0" w:color="000000"/>
              <w:left w:val="single" w:sz="8" w:space="0" w:color="000000"/>
              <w:bottom w:val="single" w:sz="8" w:space="0" w:color="000000"/>
              <w:right w:val="single" w:sz="8" w:space="0" w:color="000000"/>
            </w:tcBorders>
          </w:tcPr>
          <w:p w:rsidR="00594BC7" w:rsidRDefault="00155135">
            <w:pPr>
              <w:pStyle w:val="TableParagraph"/>
              <w:spacing w:before="92"/>
              <w:ind w:left="1529" w:right="1416"/>
              <w:jc w:val="center"/>
              <w:rPr>
                <w:rFonts w:ascii="Calibri"/>
              </w:rPr>
            </w:pPr>
            <w:r>
              <w:rPr>
                <w:rFonts w:ascii="Calibri"/>
              </w:rPr>
              <w:t>73</w:t>
            </w:r>
          </w:p>
        </w:tc>
        <w:tc>
          <w:tcPr>
            <w:tcW w:w="3696" w:type="dxa"/>
            <w:tcBorders>
              <w:top w:val="single" w:sz="8" w:space="0" w:color="000000"/>
              <w:left w:val="single" w:sz="8" w:space="0" w:color="000000"/>
              <w:bottom w:val="single" w:sz="8" w:space="0" w:color="000000"/>
              <w:right w:val="single" w:sz="8" w:space="0" w:color="000000"/>
            </w:tcBorders>
          </w:tcPr>
          <w:p w:rsidR="00594BC7" w:rsidRDefault="00155135">
            <w:pPr>
              <w:pStyle w:val="TableParagraph"/>
              <w:spacing w:before="92"/>
              <w:ind w:left="1449" w:right="1964"/>
              <w:jc w:val="center"/>
              <w:rPr>
                <w:rFonts w:ascii="Calibri"/>
              </w:rPr>
            </w:pPr>
            <w:r>
              <w:rPr>
                <w:rFonts w:ascii="Calibri"/>
              </w:rPr>
              <w:t>72</w:t>
            </w:r>
          </w:p>
        </w:tc>
      </w:tr>
      <w:tr w:rsidR="00594BC7">
        <w:trPr>
          <w:trHeight w:val="419"/>
        </w:trPr>
        <w:tc>
          <w:tcPr>
            <w:tcW w:w="2923" w:type="dxa"/>
            <w:tcBorders>
              <w:top w:val="single" w:sz="8" w:space="0" w:color="000000"/>
              <w:left w:val="single" w:sz="8" w:space="0" w:color="000000"/>
              <w:bottom w:val="single" w:sz="8" w:space="0" w:color="000000"/>
              <w:right w:val="single" w:sz="8" w:space="0" w:color="000000"/>
            </w:tcBorders>
          </w:tcPr>
          <w:p w:rsidR="00594BC7" w:rsidRDefault="00155135">
            <w:pPr>
              <w:pStyle w:val="TableParagraph"/>
              <w:spacing w:before="90"/>
              <w:ind w:left="107"/>
              <w:rPr>
                <w:rFonts w:ascii="Calibri"/>
                <w:b/>
              </w:rPr>
            </w:pPr>
            <w:r>
              <w:rPr>
                <w:rFonts w:ascii="Calibri"/>
                <w:b/>
              </w:rPr>
              <w:t>2013-2014</w:t>
            </w:r>
          </w:p>
        </w:tc>
        <w:tc>
          <w:tcPr>
            <w:tcW w:w="3228" w:type="dxa"/>
            <w:tcBorders>
              <w:top w:val="single" w:sz="8" w:space="0" w:color="000000"/>
              <w:left w:val="single" w:sz="8" w:space="0" w:color="000000"/>
              <w:bottom w:val="single" w:sz="8" w:space="0" w:color="000000"/>
              <w:right w:val="single" w:sz="8" w:space="0" w:color="000000"/>
            </w:tcBorders>
          </w:tcPr>
          <w:p w:rsidR="00594BC7" w:rsidRDefault="00155135">
            <w:pPr>
              <w:pStyle w:val="TableParagraph"/>
              <w:spacing w:before="90"/>
              <w:ind w:left="1529" w:right="1416"/>
              <w:jc w:val="center"/>
              <w:rPr>
                <w:rFonts w:ascii="Calibri"/>
              </w:rPr>
            </w:pPr>
            <w:r>
              <w:rPr>
                <w:rFonts w:ascii="Calibri"/>
              </w:rPr>
              <w:t>69</w:t>
            </w:r>
          </w:p>
        </w:tc>
        <w:tc>
          <w:tcPr>
            <w:tcW w:w="3696" w:type="dxa"/>
            <w:tcBorders>
              <w:top w:val="single" w:sz="8" w:space="0" w:color="000000"/>
              <w:left w:val="single" w:sz="8" w:space="0" w:color="000000"/>
              <w:bottom w:val="single" w:sz="8" w:space="0" w:color="000000"/>
              <w:right w:val="single" w:sz="8" w:space="0" w:color="000000"/>
            </w:tcBorders>
          </w:tcPr>
          <w:p w:rsidR="00594BC7" w:rsidRDefault="00155135">
            <w:pPr>
              <w:pStyle w:val="TableParagraph"/>
              <w:spacing w:before="90"/>
              <w:ind w:left="1449" w:right="1964"/>
              <w:jc w:val="center"/>
              <w:rPr>
                <w:rFonts w:ascii="Calibri"/>
              </w:rPr>
            </w:pPr>
            <w:r>
              <w:rPr>
                <w:rFonts w:ascii="Calibri"/>
              </w:rPr>
              <w:t>73</w:t>
            </w:r>
          </w:p>
        </w:tc>
      </w:tr>
      <w:tr w:rsidR="00594BC7">
        <w:trPr>
          <w:trHeight w:val="421"/>
        </w:trPr>
        <w:tc>
          <w:tcPr>
            <w:tcW w:w="2923" w:type="dxa"/>
            <w:tcBorders>
              <w:top w:val="single" w:sz="8" w:space="0" w:color="000000"/>
              <w:left w:val="single" w:sz="8" w:space="0" w:color="000000"/>
              <w:bottom w:val="single" w:sz="8" w:space="0" w:color="000000"/>
              <w:right w:val="single" w:sz="8" w:space="0" w:color="000000"/>
            </w:tcBorders>
          </w:tcPr>
          <w:p w:rsidR="00594BC7" w:rsidRDefault="00155135">
            <w:pPr>
              <w:pStyle w:val="TableParagraph"/>
              <w:spacing w:before="90"/>
              <w:ind w:left="107"/>
              <w:rPr>
                <w:rFonts w:ascii="Calibri"/>
                <w:b/>
              </w:rPr>
            </w:pPr>
            <w:r>
              <w:rPr>
                <w:rFonts w:ascii="Calibri"/>
                <w:b/>
              </w:rPr>
              <w:t>2012-2013</w:t>
            </w:r>
          </w:p>
        </w:tc>
        <w:tc>
          <w:tcPr>
            <w:tcW w:w="3228" w:type="dxa"/>
            <w:tcBorders>
              <w:top w:val="single" w:sz="8" w:space="0" w:color="000000"/>
              <w:left w:val="single" w:sz="8" w:space="0" w:color="000000"/>
              <w:bottom w:val="single" w:sz="8" w:space="0" w:color="000000"/>
              <w:right w:val="single" w:sz="8" w:space="0" w:color="000000"/>
            </w:tcBorders>
          </w:tcPr>
          <w:p w:rsidR="00594BC7" w:rsidRDefault="00155135">
            <w:pPr>
              <w:pStyle w:val="TableParagraph"/>
              <w:spacing w:before="90"/>
              <w:ind w:left="1529" w:right="1416"/>
              <w:jc w:val="center"/>
              <w:rPr>
                <w:rFonts w:ascii="Calibri"/>
              </w:rPr>
            </w:pPr>
            <w:r>
              <w:rPr>
                <w:rFonts w:ascii="Calibri"/>
              </w:rPr>
              <w:t>63</w:t>
            </w:r>
          </w:p>
        </w:tc>
        <w:tc>
          <w:tcPr>
            <w:tcW w:w="3696" w:type="dxa"/>
            <w:tcBorders>
              <w:top w:val="single" w:sz="8" w:space="0" w:color="000000"/>
              <w:left w:val="single" w:sz="8" w:space="0" w:color="000000"/>
              <w:bottom w:val="single" w:sz="8" w:space="0" w:color="000000"/>
              <w:right w:val="single" w:sz="8" w:space="0" w:color="000000"/>
            </w:tcBorders>
          </w:tcPr>
          <w:p w:rsidR="00594BC7" w:rsidRDefault="00155135">
            <w:pPr>
              <w:pStyle w:val="TableParagraph"/>
              <w:spacing w:before="90"/>
              <w:ind w:left="1449" w:right="1964"/>
              <w:jc w:val="center"/>
              <w:rPr>
                <w:rFonts w:ascii="Calibri"/>
              </w:rPr>
            </w:pPr>
            <w:r>
              <w:rPr>
                <w:rFonts w:ascii="Calibri"/>
              </w:rPr>
              <w:t>80</w:t>
            </w:r>
          </w:p>
        </w:tc>
      </w:tr>
    </w:tbl>
    <w:p w:rsidR="00594BC7" w:rsidRDefault="00594BC7">
      <w:pPr>
        <w:pStyle w:val="BodyText"/>
        <w:spacing w:before="11"/>
        <w:rPr>
          <w:b/>
          <w:sz w:val="23"/>
        </w:rPr>
      </w:pPr>
    </w:p>
    <w:p w:rsidR="00594BC7" w:rsidRDefault="00155135">
      <w:pPr>
        <w:pStyle w:val="Heading5"/>
      </w:pPr>
      <w:r>
        <w:t>Hi Set Pass Rate 2015 - 2016</w:t>
      </w:r>
    </w:p>
    <w:p w:rsidR="00594BC7" w:rsidRDefault="00594BC7">
      <w:pPr>
        <w:pStyle w:val="BodyText"/>
        <w:spacing w:before="9" w:after="1"/>
        <w:rPr>
          <w:b/>
          <w:sz w:val="8"/>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0"/>
        <w:gridCol w:w="2462"/>
        <w:gridCol w:w="2462"/>
        <w:gridCol w:w="2462"/>
      </w:tblGrid>
      <w:tr w:rsidR="00594BC7">
        <w:trPr>
          <w:trHeight w:val="388"/>
        </w:trPr>
        <w:tc>
          <w:tcPr>
            <w:tcW w:w="2460" w:type="dxa"/>
            <w:shd w:val="clear" w:color="auto" w:fill="DADADA"/>
          </w:tcPr>
          <w:p w:rsidR="00594BC7" w:rsidRDefault="00594BC7">
            <w:pPr>
              <w:pStyle w:val="TableParagraph"/>
              <w:spacing w:before="0"/>
            </w:pPr>
          </w:p>
        </w:tc>
        <w:tc>
          <w:tcPr>
            <w:tcW w:w="2462" w:type="dxa"/>
            <w:shd w:val="clear" w:color="auto" w:fill="DADADA"/>
          </w:tcPr>
          <w:p w:rsidR="00594BC7" w:rsidRDefault="00155135">
            <w:pPr>
              <w:pStyle w:val="TableParagraph"/>
              <w:spacing w:before="56"/>
              <w:ind w:left="219" w:right="756"/>
              <w:jc w:val="center"/>
              <w:rPr>
                <w:rFonts w:ascii="Calibri"/>
                <w:b/>
              </w:rPr>
            </w:pPr>
            <w:r>
              <w:rPr>
                <w:rFonts w:ascii="Calibri"/>
                <w:b/>
              </w:rPr>
              <w:t>Test Completed</w:t>
            </w:r>
          </w:p>
        </w:tc>
        <w:tc>
          <w:tcPr>
            <w:tcW w:w="2462" w:type="dxa"/>
            <w:shd w:val="clear" w:color="auto" w:fill="DADADA"/>
          </w:tcPr>
          <w:p w:rsidR="00594BC7" w:rsidRDefault="00155135">
            <w:pPr>
              <w:pStyle w:val="TableParagraph"/>
              <w:spacing w:before="56"/>
              <w:ind w:left="756"/>
              <w:rPr>
                <w:rFonts w:ascii="Calibri"/>
                <w:b/>
              </w:rPr>
            </w:pPr>
            <w:r>
              <w:rPr>
                <w:rFonts w:ascii="Calibri"/>
                <w:b/>
              </w:rPr>
              <w:t>Pass</w:t>
            </w:r>
          </w:p>
        </w:tc>
        <w:tc>
          <w:tcPr>
            <w:tcW w:w="2462" w:type="dxa"/>
            <w:shd w:val="clear" w:color="auto" w:fill="DADADA"/>
          </w:tcPr>
          <w:p w:rsidR="00594BC7" w:rsidRDefault="00155135">
            <w:pPr>
              <w:pStyle w:val="TableParagraph"/>
              <w:spacing w:before="56"/>
              <w:ind w:left="219" w:right="751"/>
              <w:jc w:val="center"/>
              <w:rPr>
                <w:rFonts w:ascii="Calibri"/>
                <w:b/>
              </w:rPr>
            </w:pPr>
            <w:r>
              <w:rPr>
                <w:rFonts w:ascii="Calibri"/>
                <w:b/>
              </w:rPr>
              <w:t>Pass Rate</w:t>
            </w:r>
          </w:p>
        </w:tc>
      </w:tr>
      <w:tr w:rsidR="00594BC7">
        <w:trPr>
          <w:trHeight w:val="419"/>
        </w:trPr>
        <w:tc>
          <w:tcPr>
            <w:tcW w:w="2460" w:type="dxa"/>
          </w:tcPr>
          <w:p w:rsidR="00594BC7" w:rsidRDefault="00155135">
            <w:pPr>
              <w:pStyle w:val="TableParagraph"/>
              <w:spacing w:before="90"/>
              <w:ind w:left="107"/>
              <w:rPr>
                <w:rFonts w:ascii="Calibri"/>
                <w:b/>
              </w:rPr>
            </w:pPr>
            <w:r>
              <w:rPr>
                <w:rFonts w:ascii="Calibri"/>
                <w:b/>
              </w:rPr>
              <w:t>DYS</w:t>
            </w:r>
          </w:p>
        </w:tc>
        <w:tc>
          <w:tcPr>
            <w:tcW w:w="2462" w:type="dxa"/>
          </w:tcPr>
          <w:p w:rsidR="00594BC7" w:rsidRDefault="00155135">
            <w:pPr>
              <w:pStyle w:val="TableParagraph"/>
              <w:spacing w:before="90"/>
              <w:ind w:left="219" w:right="751"/>
              <w:jc w:val="center"/>
              <w:rPr>
                <w:rFonts w:ascii="Calibri"/>
              </w:rPr>
            </w:pPr>
            <w:r>
              <w:rPr>
                <w:rFonts w:ascii="Calibri"/>
              </w:rPr>
              <w:t>175</w:t>
            </w:r>
          </w:p>
        </w:tc>
        <w:tc>
          <w:tcPr>
            <w:tcW w:w="2462" w:type="dxa"/>
          </w:tcPr>
          <w:p w:rsidR="00594BC7" w:rsidRDefault="00155135">
            <w:pPr>
              <w:pStyle w:val="TableParagraph"/>
              <w:spacing w:before="90"/>
              <w:ind w:left="794"/>
              <w:rPr>
                <w:rFonts w:ascii="Calibri"/>
              </w:rPr>
            </w:pPr>
            <w:r>
              <w:rPr>
                <w:rFonts w:ascii="Calibri"/>
              </w:rPr>
              <w:t>134</w:t>
            </w:r>
          </w:p>
        </w:tc>
        <w:tc>
          <w:tcPr>
            <w:tcW w:w="2462" w:type="dxa"/>
          </w:tcPr>
          <w:p w:rsidR="00594BC7" w:rsidRDefault="00155135">
            <w:pPr>
              <w:pStyle w:val="TableParagraph"/>
              <w:spacing w:before="90"/>
              <w:ind w:left="219" w:right="747"/>
              <w:jc w:val="center"/>
              <w:rPr>
                <w:rFonts w:ascii="Calibri"/>
              </w:rPr>
            </w:pPr>
            <w:r>
              <w:rPr>
                <w:rFonts w:ascii="Calibri"/>
              </w:rPr>
              <w:t>76%</w:t>
            </w:r>
          </w:p>
        </w:tc>
      </w:tr>
      <w:tr w:rsidR="00594BC7">
        <w:trPr>
          <w:trHeight w:val="419"/>
        </w:trPr>
        <w:tc>
          <w:tcPr>
            <w:tcW w:w="2460" w:type="dxa"/>
          </w:tcPr>
          <w:p w:rsidR="00594BC7" w:rsidRDefault="00155135">
            <w:pPr>
              <w:pStyle w:val="TableParagraph"/>
              <w:spacing w:before="90"/>
              <w:ind w:left="107"/>
              <w:rPr>
                <w:rFonts w:ascii="Calibri"/>
                <w:b/>
              </w:rPr>
            </w:pPr>
            <w:r>
              <w:rPr>
                <w:rFonts w:ascii="Calibri"/>
                <w:b/>
              </w:rPr>
              <w:t>Massachusetts</w:t>
            </w:r>
          </w:p>
        </w:tc>
        <w:tc>
          <w:tcPr>
            <w:tcW w:w="2462" w:type="dxa"/>
          </w:tcPr>
          <w:p w:rsidR="00594BC7" w:rsidRDefault="00155135">
            <w:pPr>
              <w:pStyle w:val="TableParagraph"/>
              <w:spacing w:before="90"/>
              <w:ind w:left="219" w:right="749"/>
              <w:jc w:val="center"/>
              <w:rPr>
                <w:rFonts w:ascii="Calibri"/>
              </w:rPr>
            </w:pPr>
            <w:r>
              <w:rPr>
                <w:rFonts w:ascii="Calibri"/>
              </w:rPr>
              <w:t>5,058</w:t>
            </w:r>
          </w:p>
        </w:tc>
        <w:tc>
          <w:tcPr>
            <w:tcW w:w="2462" w:type="dxa"/>
          </w:tcPr>
          <w:p w:rsidR="00594BC7" w:rsidRDefault="00155135">
            <w:pPr>
              <w:pStyle w:val="TableParagraph"/>
              <w:spacing w:before="90"/>
              <w:ind w:left="710"/>
              <w:rPr>
                <w:rFonts w:ascii="Calibri"/>
              </w:rPr>
            </w:pPr>
            <w:r>
              <w:rPr>
                <w:rFonts w:ascii="Calibri"/>
              </w:rPr>
              <w:t>3.580</w:t>
            </w:r>
          </w:p>
        </w:tc>
        <w:tc>
          <w:tcPr>
            <w:tcW w:w="2462" w:type="dxa"/>
          </w:tcPr>
          <w:p w:rsidR="00594BC7" w:rsidRDefault="00155135">
            <w:pPr>
              <w:pStyle w:val="TableParagraph"/>
              <w:spacing w:before="90"/>
              <w:ind w:left="219" w:right="747"/>
              <w:jc w:val="center"/>
              <w:rPr>
                <w:rFonts w:ascii="Calibri"/>
              </w:rPr>
            </w:pPr>
            <w:r>
              <w:rPr>
                <w:rFonts w:ascii="Calibri"/>
              </w:rPr>
              <w:t>71%</w:t>
            </w:r>
          </w:p>
        </w:tc>
      </w:tr>
      <w:tr w:rsidR="00594BC7">
        <w:trPr>
          <w:trHeight w:val="421"/>
        </w:trPr>
        <w:tc>
          <w:tcPr>
            <w:tcW w:w="2460" w:type="dxa"/>
          </w:tcPr>
          <w:p w:rsidR="00594BC7" w:rsidRDefault="00155135">
            <w:pPr>
              <w:pStyle w:val="TableParagraph"/>
              <w:spacing w:before="90"/>
              <w:ind w:left="107"/>
              <w:rPr>
                <w:rFonts w:ascii="Calibri"/>
                <w:b/>
              </w:rPr>
            </w:pPr>
            <w:r>
              <w:rPr>
                <w:rFonts w:ascii="Calibri"/>
                <w:b/>
              </w:rPr>
              <w:t>All Hi-Set States</w:t>
            </w:r>
          </w:p>
        </w:tc>
        <w:tc>
          <w:tcPr>
            <w:tcW w:w="2462" w:type="dxa"/>
          </w:tcPr>
          <w:p w:rsidR="00594BC7" w:rsidRDefault="00155135">
            <w:pPr>
              <w:pStyle w:val="TableParagraph"/>
              <w:spacing w:before="90"/>
              <w:ind w:left="219" w:right="751"/>
              <w:jc w:val="center"/>
              <w:rPr>
                <w:rFonts w:ascii="Calibri"/>
              </w:rPr>
            </w:pPr>
            <w:r>
              <w:rPr>
                <w:rFonts w:ascii="Calibri"/>
              </w:rPr>
              <w:t>47.775</w:t>
            </w:r>
          </w:p>
        </w:tc>
        <w:tc>
          <w:tcPr>
            <w:tcW w:w="2462" w:type="dxa"/>
          </w:tcPr>
          <w:p w:rsidR="00594BC7" w:rsidRDefault="00155135">
            <w:pPr>
              <w:pStyle w:val="TableParagraph"/>
              <w:spacing w:before="90"/>
              <w:ind w:left="655"/>
              <w:rPr>
                <w:rFonts w:ascii="Calibri"/>
              </w:rPr>
            </w:pPr>
            <w:r>
              <w:rPr>
                <w:rFonts w:ascii="Calibri"/>
              </w:rPr>
              <w:t>35.684</w:t>
            </w:r>
          </w:p>
        </w:tc>
        <w:tc>
          <w:tcPr>
            <w:tcW w:w="2462" w:type="dxa"/>
          </w:tcPr>
          <w:p w:rsidR="00594BC7" w:rsidRDefault="00155135">
            <w:pPr>
              <w:pStyle w:val="TableParagraph"/>
              <w:spacing w:before="90"/>
              <w:ind w:left="219" w:right="747"/>
              <w:jc w:val="center"/>
              <w:rPr>
                <w:rFonts w:ascii="Calibri"/>
              </w:rPr>
            </w:pPr>
            <w:r>
              <w:rPr>
                <w:rFonts w:ascii="Calibri"/>
              </w:rPr>
              <w:t>75%</w:t>
            </w:r>
          </w:p>
        </w:tc>
      </w:tr>
    </w:tbl>
    <w:p w:rsidR="00594BC7" w:rsidRDefault="00594BC7">
      <w:pPr>
        <w:pStyle w:val="BodyText"/>
        <w:spacing w:before="5"/>
        <w:rPr>
          <w:b/>
          <w:sz w:val="27"/>
        </w:rPr>
      </w:pPr>
    </w:p>
    <w:p w:rsidR="00594BC7" w:rsidRDefault="00155135">
      <w:pPr>
        <w:pStyle w:val="Heading5"/>
      </w:pPr>
      <w:r>
        <w:t>Hi-Set Average Scores by Subject 2015-2016</w:t>
      </w:r>
    </w:p>
    <w:p w:rsidR="00594BC7" w:rsidRDefault="00594BC7">
      <w:pPr>
        <w:pStyle w:val="BodyText"/>
        <w:spacing w:before="10"/>
        <w:rPr>
          <w:b/>
          <w:sz w:val="8"/>
        </w:rPr>
      </w:pP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7"/>
        <w:gridCol w:w="1407"/>
        <w:gridCol w:w="1522"/>
        <w:gridCol w:w="1546"/>
        <w:gridCol w:w="1589"/>
        <w:gridCol w:w="1548"/>
      </w:tblGrid>
      <w:tr w:rsidR="00594BC7">
        <w:trPr>
          <w:trHeight w:val="388"/>
        </w:trPr>
        <w:tc>
          <w:tcPr>
            <w:tcW w:w="2237" w:type="dxa"/>
            <w:shd w:val="clear" w:color="auto" w:fill="DADADA"/>
          </w:tcPr>
          <w:p w:rsidR="00594BC7" w:rsidRDefault="00594BC7">
            <w:pPr>
              <w:pStyle w:val="TableParagraph"/>
              <w:spacing w:before="0"/>
            </w:pPr>
          </w:p>
        </w:tc>
        <w:tc>
          <w:tcPr>
            <w:tcW w:w="1407" w:type="dxa"/>
            <w:shd w:val="clear" w:color="auto" w:fill="DADADA"/>
          </w:tcPr>
          <w:p w:rsidR="00594BC7" w:rsidRDefault="00155135">
            <w:pPr>
              <w:pStyle w:val="TableParagraph"/>
              <w:spacing w:before="56"/>
              <w:ind w:left="458"/>
              <w:rPr>
                <w:rFonts w:ascii="Calibri"/>
              </w:rPr>
            </w:pPr>
            <w:r>
              <w:rPr>
                <w:rFonts w:ascii="Calibri"/>
              </w:rPr>
              <w:t>Math</w:t>
            </w:r>
          </w:p>
        </w:tc>
        <w:tc>
          <w:tcPr>
            <w:tcW w:w="1522" w:type="dxa"/>
            <w:shd w:val="clear" w:color="auto" w:fill="DADADA"/>
          </w:tcPr>
          <w:p w:rsidR="00594BC7" w:rsidRDefault="00155135">
            <w:pPr>
              <w:pStyle w:val="TableParagraph"/>
              <w:spacing w:before="56"/>
              <w:ind w:left="126" w:right="126"/>
              <w:jc w:val="center"/>
              <w:rPr>
                <w:rFonts w:ascii="Calibri"/>
              </w:rPr>
            </w:pPr>
            <w:r>
              <w:rPr>
                <w:rFonts w:ascii="Calibri"/>
              </w:rPr>
              <w:t>Social Studies</w:t>
            </w:r>
          </w:p>
        </w:tc>
        <w:tc>
          <w:tcPr>
            <w:tcW w:w="1546" w:type="dxa"/>
            <w:shd w:val="clear" w:color="auto" w:fill="DADADA"/>
          </w:tcPr>
          <w:p w:rsidR="00594BC7" w:rsidRDefault="00155135">
            <w:pPr>
              <w:pStyle w:val="TableParagraph"/>
              <w:spacing w:before="56"/>
              <w:ind w:left="411" w:right="411"/>
              <w:jc w:val="center"/>
              <w:rPr>
                <w:rFonts w:ascii="Calibri"/>
              </w:rPr>
            </w:pPr>
            <w:r>
              <w:rPr>
                <w:rFonts w:ascii="Calibri"/>
              </w:rPr>
              <w:t>Science</w:t>
            </w:r>
          </w:p>
        </w:tc>
        <w:tc>
          <w:tcPr>
            <w:tcW w:w="1589" w:type="dxa"/>
            <w:shd w:val="clear" w:color="auto" w:fill="DADADA"/>
          </w:tcPr>
          <w:p w:rsidR="00594BC7" w:rsidRDefault="00155135">
            <w:pPr>
              <w:pStyle w:val="TableParagraph"/>
              <w:spacing w:before="56"/>
              <w:ind w:left="219" w:right="222"/>
              <w:jc w:val="center"/>
              <w:rPr>
                <w:rFonts w:ascii="Calibri"/>
              </w:rPr>
            </w:pPr>
            <w:r>
              <w:rPr>
                <w:rFonts w:ascii="Calibri"/>
              </w:rPr>
              <w:t>ELA Reading</w:t>
            </w:r>
          </w:p>
        </w:tc>
        <w:tc>
          <w:tcPr>
            <w:tcW w:w="1548" w:type="dxa"/>
            <w:shd w:val="clear" w:color="auto" w:fill="DADADA"/>
          </w:tcPr>
          <w:p w:rsidR="00594BC7" w:rsidRDefault="00155135">
            <w:pPr>
              <w:pStyle w:val="TableParagraph"/>
              <w:spacing w:before="56"/>
              <w:ind w:left="224" w:right="229"/>
              <w:jc w:val="center"/>
              <w:rPr>
                <w:rFonts w:ascii="Calibri"/>
              </w:rPr>
            </w:pPr>
            <w:r>
              <w:rPr>
                <w:rFonts w:ascii="Calibri"/>
              </w:rPr>
              <w:t>ELA Writing</w:t>
            </w:r>
          </w:p>
        </w:tc>
      </w:tr>
      <w:tr w:rsidR="00594BC7">
        <w:trPr>
          <w:trHeight w:val="388"/>
        </w:trPr>
        <w:tc>
          <w:tcPr>
            <w:tcW w:w="2237" w:type="dxa"/>
          </w:tcPr>
          <w:p w:rsidR="00594BC7" w:rsidRDefault="00155135">
            <w:pPr>
              <w:pStyle w:val="TableParagraph"/>
              <w:spacing w:before="56"/>
              <w:ind w:left="107"/>
              <w:rPr>
                <w:rFonts w:ascii="Calibri"/>
                <w:b/>
              </w:rPr>
            </w:pPr>
            <w:r>
              <w:rPr>
                <w:rFonts w:ascii="Calibri"/>
                <w:b/>
              </w:rPr>
              <w:t>DYS</w:t>
            </w:r>
          </w:p>
        </w:tc>
        <w:tc>
          <w:tcPr>
            <w:tcW w:w="1407" w:type="dxa"/>
          </w:tcPr>
          <w:p w:rsidR="00594BC7" w:rsidRDefault="00155135">
            <w:pPr>
              <w:pStyle w:val="TableParagraph"/>
              <w:spacing w:before="56"/>
              <w:ind w:left="503"/>
              <w:rPr>
                <w:rFonts w:ascii="Calibri"/>
              </w:rPr>
            </w:pPr>
            <w:r>
              <w:rPr>
                <w:rFonts w:ascii="Calibri"/>
              </w:rPr>
              <w:t>10.9</w:t>
            </w:r>
          </w:p>
        </w:tc>
        <w:tc>
          <w:tcPr>
            <w:tcW w:w="1522" w:type="dxa"/>
          </w:tcPr>
          <w:p w:rsidR="00594BC7" w:rsidRDefault="00155135">
            <w:pPr>
              <w:pStyle w:val="TableParagraph"/>
              <w:spacing w:before="56"/>
              <w:ind w:left="126" w:right="124"/>
              <w:jc w:val="center"/>
              <w:rPr>
                <w:rFonts w:ascii="Calibri"/>
              </w:rPr>
            </w:pPr>
            <w:r>
              <w:rPr>
                <w:rFonts w:ascii="Calibri"/>
              </w:rPr>
              <w:t>11.5</w:t>
            </w:r>
          </w:p>
        </w:tc>
        <w:tc>
          <w:tcPr>
            <w:tcW w:w="1546" w:type="dxa"/>
          </w:tcPr>
          <w:p w:rsidR="00594BC7" w:rsidRDefault="00155135">
            <w:pPr>
              <w:pStyle w:val="TableParagraph"/>
              <w:spacing w:before="56"/>
              <w:ind w:left="411" w:right="410"/>
              <w:jc w:val="center"/>
              <w:rPr>
                <w:rFonts w:ascii="Calibri"/>
              </w:rPr>
            </w:pPr>
            <w:r>
              <w:rPr>
                <w:rFonts w:ascii="Calibri"/>
              </w:rPr>
              <w:t>11.1</w:t>
            </w:r>
          </w:p>
        </w:tc>
        <w:tc>
          <w:tcPr>
            <w:tcW w:w="1589" w:type="dxa"/>
          </w:tcPr>
          <w:p w:rsidR="00594BC7" w:rsidRDefault="00155135">
            <w:pPr>
              <w:pStyle w:val="TableParagraph"/>
              <w:spacing w:before="56"/>
              <w:ind w:left="219" w:right="220"/>
              <w:jc w:val="center"/>
              <w:rPr>
                <w:rFonts w:ascii="Calibri"/>
              </w:rPr>
            </w:pPr>
            <w:r>
              <w:rPr>
                <w:rFonts w:ascii="Calibri"/>
              </w:rPr>
              <w:t>11.35</w:t>
            </w:r>
          </w:p>
        </w:tc>
        <w:tc>
          <w:tcPr>
            <w:tcW w:w="1548" w:type="dxa"/>
          </w:tcPr>
          <w:p w:rsidR="00594BC7" w:rsidRDefault="00155135">
            <w:pPr>
              <w:pStyle w:val="TableParagraph"/>
              <w:spacing w:before="56"/>
              <w:ind w:left="224" w:right="228"/>
              <w:jc w:val="center"/>
              <w:rPr>
                <w:rFonts w:ascii="Calibri"/>
              </w:rPr>
            </w:pPr>
            <w:r>
              <w:rPr>
                <w:rFonts w:ascii="Calibri"/>
              </w:rPr>
              <w:t>11.04</w:t>
            </w:r>
          </w:p>
        </w:tc>
      </w:tr>
      <w:tr w:rsidR="00594BC7">
        <w:trPr>
          <w:trHeight w:val="388"/>
        </w:trPr>
        <w:tc>
          <w:tcPr>
            <w:tcW w:w="2237" w:type="dxa"/>
          </w:tcPr>
          <w:p w:rsidR="00594BC7" w:rsidRDefault="00155135">
            <w:pPr>
              <w:pStyle w:val="TableParagraph"/>
              <w:spacing w:before="56"/>
              <w:ind w:left="107"/>
              <w:rPr>
                <w:rFonts w:ascii="Calibri"/>
                <w:b/>
              </w:rPr>
            </w:pPr>
            <w:r>
              <w:rPr>
                <w:rFonts w:ascii="Calibri"/>
                <w:b/>
              </w:rPr>
              <w:t>Massachusetts</w:t>
            </w:r>
          </w:p>
        </w:tc>
        <w:tc>
          <w:tcPr>
            <w:tcW w:w="1407" w:type="dxa"/>
          </w:tcPr>
          <w:p w:rsidR="00594BC7" w:rsidRDefault="00155135">
            <w:pPr>
              <w:pStyle w:val="TableParagraph"/>
              <w:spacing w:before="56"/>
              <w:ind w:left="539" w:right="539"/>
              <w:jc w:val="center"/>
              <w:rPr>
                <w:rFonts w:ascii="Calibri"/>
              </w:rPr>
            </w:pPr>
            <w:r>
              <w:rPr>
                <w:rFonts w:ascii="Calibri"/>
              </w:rPr>
              <w:t>8.6</w:t>
            </w:r>
          </w:p>
        </w:tc>
        <w:tc>
          <w:tcPr>
            <w:tcW w:w="1522" w:type="dxa"/>
          </w:tcPr>
          <w:p w:rsidR="00594BC7" w:rsidRDefault="00155135">
            <w:pPr>
              <w:pStyle w:val="TableParagraph"/>
              <w:spacing w:before="56"/>
              <w:ind w:left="126" w:right="124"/>
              <w:jc w:val="center"/>
              <w:rPr>
                <w:rFonts w:ascii="Calibri"/>
              </w:rPr>
            </w:pPr>
            <w:r>
              <w:rPr>
                <w:rFonts w:ascii="Calibri"/>
              </w:rPr>
              <w:t>10.9</w:t>
            </w:r>
          </w:p>
        </w:tc>
        <w:tc>
          <w:tcPr>
            <w:tcW w:w="1546" w:type="dxa"/>
          </w:tcPr>
          <w:p w:rsidR="00594BC7" w:rsidRDefault="00155135">
            <w:pPr>
              <w:pStyle w:val="TableParagraph"/>
              <w:spacing w:before="56"/>
              <w:ind w:left="411" w:right="409"/>
              <w:jc w:val="center"/>
              <w:rPr>
                <w:rFonts w:ascii="Calibri"/>
              </w:rPr>
            </w:pPr>
            <w:r>
              <w:rPr>
                <w:rFonts w:ascii="Calibri"/>
              </w:rPr>
              <w:t>11</w:t>
            </w:r>
          </w:p>
        </w:tc>
        <w:tc>
          <w:tcPr>
            <w:tcW w:w="1589" w:type="dxa"/>
          </w:tcPr>
          <w:p w:rsidR="00594BC7" w:rsidRDefault="00155135">
            <w:pPr>
              <w:pStyle w:val="TableParagraph"/>
              <w:spacing w:before="56"/>
              <w:ind w:left="219" w:right="220"/>
              <w:jc w:val="center"/>
              <w:rPr>
                <w:rFonts w:ascii="Calibri"/>
              </w:rPr>
            </w:pPr>
            <w:r>
              <w:rPr>
                <w:rFonts w:ascii="Calibri"/>
              </w:rPr>
              <w:t>11.2</w:t>
            </w:r>
          </w:p>
        </w:tc>
        <w:tc>
          <w:tcPr>
            <w:tcW w:w="1548" w:type="dxa"/>
          </w:tcPr>
          <w:p w:rsidR="00594BC7" w:rsidRDefault="00155135">
            <w:pPr>
              <w:pStyle w:val="TableParagraph"/>
              <w:spacing w:before="56"/>
              <w:ind w:left="224" w:right="228"/>
              <w:jc w:val="center"/>
              <w:rPr>
                <w:rFonts w:ascii="Calibri"/>
              </w:rPr>
            </w:pPr>
            <w:r>
              <w:rPr>
                <w:rFonts w:ascii="Calibri"/>
              </w:rPr>
              <w:t>11.7</w:t>
            </w:r>
          </w:p>
        </w:tc>
      </w:tr>
      <w:tr w:rsidR="00594BC7">
        <w:trPr>
          <w:trHeight w:val="388"/>
        </w:trPr>
        <w:tc>
          <w:tcPr>
            <w:tcW w:w="2237" w:type="dxa"/>
          </w:tcPr>
          <w:p w:rsidR="00594BC7" w:rsidRDefault="00155135">
            <w:pPr>
              <w:pStyle w:val="TableParagraph"/>
              <w:spacing w:before="56"/>
              <w:ind w:left="107"/>
              <w:rPr>
                <w:rFonts w:ascii="Calibri"/>
                <w:b/>
              </w:rPr>
            </w:pPr>
            <w:r>
              <w:rPr>
                <w:rFonts w:ascii="Calibri"/>
                <w:b/>
              </w:rPr>
              <w:t>All Hi-Set States</w:t>
            </w:r>
          </w:p>
        </w:tc>
        <w:tc>
          <w:tcPr>
            <w:tcW w:w="1407" w:type="dxa"/>
          </w:tcPr>
          <w:p w:rsidR="00594BC7" w:rsidRDefault="00155135">
            <w:pPr>
              <w:pStyle w:val="TableParagraph"/>
              <w:spacing w:before="56"/>
              <w:ind w:left="539" w:right="539"/>
              <w:jc w:val="center"/>
              <w:rPr>
                <w:rFonts w:ascii="Calibri"/>
              </w:rPr>
            </w:pPr>
            <w:r>
              <w:rPr>
                <w:rFonts w:ascii="Calibri"/>
              </w:rPr>
              <w:t>8.9</w:t>
            </w:r>
          </w:p>
        </w:tc>
        <w:tc>
          <w:tcPr>
            <w:tcW w:w="1522" w:type="dxa"/>
          </w:tcPr>
          <w:p w:rsidR="00594BC7" w:rsidRDefault="00155135">
            <w:pPr>
              <w:pStyle w:val="TableParagraph"/>
              <w:spacing w:before="56"/>
              <w:ind w:left="126" w:right="124"/>
              <w:jc w:val="center"/>
              <w:rPr>
                <w:rFonts w:ascii="Calibri"/>
              </w:rPr>
            </w:pPr>
            <w:r>
              <w:rPr>
                <w:rFonts w:ascii="Calibri"/>
              </w:rPr>
              <w:t>11.3</w:t>
            </w:r>
          </w:p>
        </w:tc>
        <w:tc>
          <w:tcPr>
            <w:tcW w:w="1546" w:type="dxa"/>
          </w:tcPr>
          <w:p w:rsidR="00594BC7" w:rsidRDefault="00155135">
            <w:pPr>
              <w:pStyle w:val="TableParagraph"/>
              <w:spacing w:before="56"/>
              <w:ind w:left="411" w:right="410"/>
              <w:jc w:val="center"/>
              <w:rPr>
                <w:rFonts w:ascii="Calibri"/>
              </w:rPr>
            </w:pPr>
            <w:r>
              <w:rPr>
                <w:rFonts w:ascii="Calibri"/>
              </w:rPr>
              <w:t>12.4</w:t>
            </w:r>
          </w:p>
        </w:tc>
        <w:tc>
          <w:tcPr>
            <w:tcW w:w="1589" w:type="dxa"/>
          </w:tcPr>
          <w:p w:rsidR="00594BC7" w:rsidRDefault="00155135">
            <w:pPr>
              <w:pStyle w:val="TableParagraph"/>
              <w:spacing w:before="56"/>
              <w:ind w:left="219" w:right="220"/>
              <w:jc w:val="center"/>
              <w:rPr>
                <w:rFonts w:ascii="Calibri"/>
              </w:rPr>
            </w:pPr>
            <w:r>
              <w:rPr>
                <w:rFonts w:ascii="Calibri"/>
              </w:rPr>
              <w:t>11.6</w:t>
            </w:r>
          </w:p>
        </w:tc>
        <w:tc>
          <w:tcPr>
            <w:tcW w:w="1548" w:type="dxa"/>
          </w:tcPr>
          <w:p w:rsidR="00594BC7" w:rsidRDefault="00155135">
            <w:pPr>
              <w:pStyle w:val="TableParagraph"/>
              <w:spacing w:before="56"/>
              <w:ind w:left="224" w:right="227"/>
              <w:jc w:val="center"/>
              <w:rPr>
                <w:rFonts w:ascii="Calibri"/>
              </w:rPr>
            </w:pPr>
            <w:r>
              <w:rPr>
                <w:rFonts w:ascii="Calibri"/>
              </w:rPr>
              <w:t>12</w:t>
            </w:r>
          </w:p>
        </w:tc>
      </w:tr>
    </w:tbl>
    <w:p w:rsidR="00594BC7" w:rsidRDefault="00594BC7">
      <w:pPr>
        <w:jc w:val="center"/>
        <w:rPr>
          <w:rFonts w:ascii="Calibri"/>
        </w:rPr>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2"/>
        <w:jc w:val="both"/>
      </w:pPr>
      <w:bookmarkStart w:id="26" w:name="_bookmark13"/>
      <w:bookmarkStart w:id="27" w:name="MCAS_Performance_Outcomes_(2015-2016)"/>
      <w:bookmarkStart w:id="28" w:name="_bookmark12"/>
      <w:bookmarkEnd w:id="26"/>
      <w:bookmarkEnd w:id="27"/>
      <w:bookmarkEnd w:id="28"/>
      <w:r>
        <w:rPr>
          <w:color w:val="1F497D"/>
        </w:rPr>
        <w:lastRenderedPageBreak/>
        <w:t>MCAS Performance Outcomes (2015-2016)</w:t>
      </w:r>
    </w:p>
    <w:p w:rsidR="00594BC7" w:rsidRDefault="00155135">
      <w:pPr>
        <w:pStyle w:val="Heading5"/>
        <w:spacing w:before="163"/>
        <w:jc w:val="both"/>
      </w:pPr>
      <w:r>
        <w:t>Student Academic Performance 2016 Results (General and Special Education)</w:t>
      </w:r>
    </w:p>
    <w:p w:rsidR="00594BC7" w:rsidRDefault="00594BC7">
      <w:pPr>
        <w:pStyle w:val="BodyText"/>
        <w:rPr>
          <w:b/>
          <w:sz w:val="26"/>
        </w:rPr>
      </w:pPr>
    </w:p>
    <w:p w:rsidR="00594BC7" w:rsidRDefault="00155135">
      <w:pPr>
        <w:spacing w:before="216" w:after="4"/>
        <w:ind w:left="420"/>
        <w:jc w:val="both"/>
        <w:rPr>
          <w:rFonts w:ascii="Arial" w:hAnsi="Arial"/>
          <w:b/>
          <w:sz w:val="23"/>
        </w:rPr>
      </w:pPr>
      <w:r>
        <w:rPr>
          <w:rFonts w:ascii="Arial" w:hAnsi="Arial"/>
          <w:b/>
          <w:sz w:val="23"/>
        </w:rPr>
        <w:t>2016 Student Academic Performance Overview – Mathematics</w:t>
      </w:r>
    </w:p>
    <w:tbl>
      <w:tblPr>
        <w:tblW w:w="0" w:type="auto"/>
        <w:tblInd w:w="3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28"/>
        <w:gridCol w:w="8119"/>
      </w:tblGrid>
      <w:tr w:rsidR="00594BC7">
        <w:trPr>
          <w:trHeight w:val="1207"/>
        </w:trPr>
        <w:tc>
          <w:tcPr>
            <w:tcW w:w="1728" w:type="dxa"/>
          </w:tcPr>
          <w:p w:rsidR="00594BC7" w:rsidRDefault="00155135">
            <w:pPr>
              <w:pStyle w:val="TableParagraph"/>
              <w:spacing w:before="0"/>
              <w:ind w:left="107" w:right="97"/>
              <w:rPr>
                <w:b/>
                <w:sz w:val="21"/>
              </w:rPr>
            </w:pPr>
            <w:r>
              <w:rPr>
                <w:b/>
                <w:sz w:val="21"/>
              </w:rPr>
              <w:t>Results: General Education</w:t>
            </w:r>
          </w:p>
        </w:tc>
        <w:tc>
          <w:tcPr>
            <w:tcW w:w="8119" w:type="dxa"/>
          </w:tcPr>
          <w:p w:rsidR="00594BC7" w:rsidRDefault="00155135">
            <w:pPr>
              <w:pStyle w:val="TableParagraph"/>
              <w:spacing w:before="0"/>
              <w:ind w:left="107" w:right="714"/>
              <w:rPr>
                <w:sz w:val="21"/>
              </w:rPr>
            </w:pPr>
            <w:r>
              <w:rPr>
                <w:sz w:val="21"/>
              </w:rPr>
              <w:t>27 general education students took the 10th grade MCAS in Mathematics in the spring of 2016. 92.6% of these youth passed, including those who scored in the Needs Improvemen</w:t>
            </w:r>
            <w:r>
              <w:rPr>
                <w:sz w:val="21"/>
              </w:rPr>
              <w:t>t, Proficient, and Advanced categories. This reflects an 18.4 percentage point increase over the 2015 results for 31 students.</w:t>
            </w:r>
          </w:p>
        </w:tc>
      </w:tr>
      <w:tr w:rsidR="00594BC7">
        <w:trPr>
          <w:trHeight w:val="1233"/>
        </w:trPr>
        <w:tc>
          <w:tcPr>
            <w:tcW w:w="1728" w:type="dxa"/>
          </w:tcPr>
          <w:p w:rsidR="00594BC7" w:rsidRDefault="00155135">
            <w:pPr>
              <w:pStyle w:val="TableParagraph"/>
              <w:spacing w:before="0"/>
              <w:ind w:left="107" w:right="38"/>
              <w:rPr>
                <w:b/>
                <w:sz w:val="21"/>
              </w:rPr>
            </w:pPr>
            <w:r>
              <w:rPr>
                <w:b/>
                <w:sz w:val="21"/>
              </w:rPr>
              <w:t>Results: Students with</w:t>
            </w:r>
          </w:p>
          <w:p w:rsidR="00594BC7" w:rsidRDefault="00155135">
            <w:pPr>
              <w:pStyle w:val="TableParagraph"/>
              <w:spacing w:before="0" w:line="241" w:lineRule="exact"/>
              <w:ind w:left="107"/>
              <w:rPr>
                <w:b/>
                <w:sz w:val="21"/>
              </w:rPr>
            </w:pPr>
            <w:r>
              <w:rPr>
                <w:b/>
                <w:sz w:val="21"/>
              </w:rPr>
              <w:t>Disabilities</w:t>
            </w:r>
          </w:p>
        </w:tc>
        <w:tc>
          <w:tcPr>
            <w:tcW w:w="8119" w:type="dxa"/>
          </w:tcPr>
          <w:p w:rsidR="00594BC7" w:rsidRDefault="00155135">
            <w:pPr>
              <w:pStyle w:val="TableParagraph"/>
              <w:spacing w:before="0"/>
              <w:ind w:left="107" w:right="637"/>
              <w:rPr>
                <w:sz w:val="21"/>
              </w:rPr>
            </w:pPr>
            <w:r>
              <w:rPr>
                <w:sz w:val="21"/>
              </w:rPr>
              <w:t>55 students with disabilities took the 10th grade MCAS in Mathematics in the spring of 2016. 58.2% of these youth passed, including those who scored in the Needs Improvement, Proficient, and Advanced categories. This reflects a 6.3 percentage point increas</w:t>
            </w:r>
            <w:r>
              <w:rPr>
                <w:sz w:val="21"/>
              </w:rPr>
              <w:t>e over the 2015 results for 54 students.</w:t>
            </w:r>
          </w:p>
        </w:tc>
      </w:tr>
    </w:tbl>
    <w:p w:rsidR="00594BC7" w:rsidRDefault="00594BC7">
      <w:pPr>
        <w:pStyle w:val="BodyText"/>
        <w:spacing w:before="7"/>
        <w:rPr>
          <w:rFonts w:ascii="Arial"/>
          <w:b/>
        </w:rPr>
      </w:pPr>
    </w:p>
    <w:p w:rsidR="00594BC7" w:rsidRDefault="00155135">
      <w:pPr>
        <w:spacing w:after="5"/>
        <w:ind w:left="420"/>
        <w:jc w:val="both"/>
        <w:rPr>
          <w:rFonts w:ascii="Arial" w:hAnsi="Arial"/>
          <w:b/>
          <w:sz w:val="23"/>
        </w:rPr>
      </w:pPr>
      <w:r>
        <w:rPr>
          <w:rFonts w:ascii="Arial" w:hAnsi="Arial"/>
          <w:b/>
          <w:sz w:val="23"/>
        </w:rPr>
        <w:t>2016 Student Academic Performance Overview – English Language Arts</w:t>
      </w:r>
    </w:p>
    <w:tbl>
      <w:tblPr>
        <w:tblW w:w="0" w:type="auto"/>
        <w:tblInd w:w="3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704"/>
        <w:gridCol w:w="8143"/>
      </w:tblGrid>
      <w:tr w:rsidR="00594BC7">
        <w:trPr>
          <w:trHeight w:val="1254"/>
        </w:trPr>
        <w:tc>
          <w:tcPr>
            <w:tcW w:w="1704" w:type="dxa"/>
          </w:tcPr>
          <w:p w:rsidR="00594BC7" w:rsidRDefault="00155135">
            <w:pPr>
              <w:pStyle w:val="TableParagraph"/>
              <w:spacing w:before="7"/>
              <w:ind w:left="107" w:right="63"/>
              <w:rPr>
                <w:b/>
                <w:sz w:val="21"/>
              </w:rPr>
            </w:pPr>
            <w:r>
              <w:rPr>
                <w:b/>
                <w:sz w:val="21"/>
              </w:rPr>
              <w:t>Results: General Education</w:t>
            </w:r>
          </w:p>
        </w:tc>
        <w:tc>
          <w:tcPr>
            <w:tcW w:w="8143" w:type="dxa"/>
          </w:tcPr>
          <w:p w:rsidR="00594BC7" w:rsidRDefault="00155135">
            <w:pPr>
              <w:pStyle w:val="TableParagraph"/>
              <w:spacing w:before="3"/>
              <w:ind w:left="107" w:right="629"/>
              <w:jc w:val="both"/>
              <w:rPr>
                <w:sz w:val="21"/>
              </w:rPr>
            </w:pPr>
            <w:r>
              <w:rPr>
                <w:sz w:val="21"/>
              </w:rPr>
              <w:t>36 general education students took the 10th grade MCAS in English Language Arts in the spring of 2016. 100% of these youth passed, including those who scored in the Needs Improvement, Proficient, and Advanced categories. This reflects a 3.6 percentage poin</w:t>
            </w:r>
            <w:r>
              <w:rPr>
                <w:sz w:val="21"/>
              </w:rPr>
              <w:t>t increase over the 2015 results for 31</w:t>
            </w:r>
            <w:r>
              <w:rPr>
                <w:spacing w:val="-8"/>
                <w:sz w:val="21"/>
              </w:rPr>
              <w:t xml:space="preserve"> </w:t>
            </w:r>
            <w:r>
              <w:rPr>
                <w:sz w:val="21"/>
              </w:rPr>
              <w:t>students.</w:t>
            </w:r>
          </w:p>
        </w:tc>
      </w:tr>
      <w:tr w:rsidR="00594BC7">
        <w:trPr>
          <w:trHeight w:val="1254"/>
        </w:trPr>
        <w:tc>
          <w:tcPr>
            <w:tcW w:w="1704" w:type="dxa"/>
          </w:tcPr>
          <w:p w:rsidR="00594BC7" w:rsidRDefault="00155135">
            <w:pPr>
              <w:pStyle w:val="TableParagraph"/>
              <w:spacing w:before="5"/>
              <w:ind w:left="107" w:right="330"/>
              <w:rPr>
                <w:b/>
                <w:sz w:val="21"/>
              </w:rPr>
            </w:pPr>
            <w:r>
              <w:rPr>
                <w:b/>
                <w:sz w:val="21"/>
              </w:rPr>
              <w:t>Results: Students with Disabilities</w:t>
            </w:r>
          </w:p>
        </w:tc>
        <w:tc>
          <w:tcPr>
            <w:tcW w:w="8143" w:type="dxa"/>
          </w:tcPr>
          <w:p w:rsidR="00594BC7" w:rsidRDefault="00155135">
            <w:pPr>
              <w:pStyle w:val="TableParagraph"/>
              <w:spacing w:before="0"/>
              <w:ind w:left="107" w:right="629"/>
              <w:jc w:val="both"/>
              <w:rPr>
                <w:sz w:val="21"/>
              </w:rPr>
            </w:pPr>
            <w:r>
              <w:rPr>
                <w:sz w:val="21"/>
              </w:rPr>
              <w:t>42 students with disabilities took the 10th grade MCAS in English Language Arts in the spring of 2016. 90.5% of these youth passed, including those who scored in the Needs Improvement, Proficient, and Advanced categories. This is a non-significant change r</w:t>
            </w:r>
            <w:r>
              <w:rPr>
                <w:sz w:val="21"/>
              </w:rPr>
              <w:t>elative to the 2015 results for 54</w:t>
            </w:r>
            <w:r>
              <w:rPr>
                <w:spacing w:val="-7"/>
                <w:sz w:val="21"/>
              </w:rPr>
              <w:t xml:space="preserve"> </w:t>
            </w:r>
            <w:r>
              <w:rPr>
                <w:sz w:val="21"/>
              </w:rPr>
              <w:t>students.</w:t>
            </w:r>
          </w:p>
        </w:tc>
      </w:tr>
    </w:tbl>
    <w:p w:rsidR="00594BC7" w:rsidRDefault="00594BC7">
      <w:pPr>
        <w:pStyle w:val="BodyText"/>
        <w:spacing w:before="2"/>
        <w:rPr>
          <w:rFonts w:ascii="Arial"/>
          <w:b/>
        </w:rPr>
      </w:pPr>
    </w:p>
    <w:p w:rsidR="00594BC7" w:rsidRDefault="00155135">
      <w:pPr>
        <w:spacing w:after="5"/>
        <w:ind w:left="420"/>
        <w:jc w:val="both"/>
        <w:rPr>
          <w:rFonts w:ascii="Arial"/>
          <w:b/>
          <w:sz w:val="23"/>
        </w:rPr>
      </w:pPr>
      <w:r>
        <w:rPr>
          <w:rFonts w:ascii="Arial"/>
          <w:b/>
          <w:sz w:val="23"/>
        </w:rPr>
        <w:t>2016 Student Academic Performance Overview -Science</w:t>
      </w:r>
    </w:p>
    <w:tbl>
      <w:tblPr>
        <w:tblW w:w="0" w:type="auto"/>
        <w:tblInd w:w="3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28"/>
        <w:gridCol w:w="8119"/>
      </w:tblGrid>
      <w:tr w:rsidR="00594BC7">
        <w:trPr>
          <w:trHeight w:val="1449"/>
        </w:trPr>
        <w:tc>
          <w:tcPr>
            <w:tcW w:w="1728" w:type="dxa"/>
          </w:tcPr>
          <w:p w:rsidR="00594BC7" w:rsidRDefault="00155135">
            <w:pPr>
              <w:pStyle w:val="TableParagraph"/>
              <w:spacing w:before="0"/>
              <w:ind w:left="107" w:right="97"/>
              <w:rPr>
                <w:b/>
                <w:sz w:val="21"/>
              </w:rPr>
            </w:pPr>
            <w:r>
              <w:rPr>
                <w:b/>
                <w:sz w:val="21"/>
              </w:rPr>
              <w:t>Results: General Education</w:t>
            </w:r>
          </w:p>
        </w:tc>
        <w:tc>
          <w:tcPr>
            <w:tcW w:w="8119" w:type="dxa"/>
          </w:tcPr>
          <w:p w:rsidR="00594BC7" w:rsidRDefault="00155135">
            <w:pPr>
              <w:pStyle w:val="TableParagraph"/>
              <w:spacing w:before="0"/>
              <w:ind w:left="107" w:right="976"/>
              <w:rPr>
                <w:sz w:val="21"/>
              </w:rPr>
            </w:pPr>
            <w:r>
              <w:rPr>
                <w:sz w:val="21"/>
              </w:rPr>
              <w:t>25 general education students took a High School End of Course MCAS exam in Science (Biology, Chemistry, or Physics) in the spring</w:t>
            </w:r>
            <w:r>
              <w:rPr>
                <w:sz w:val="21"/>
              </w:rPr>
              <w:t xml:space="preserve"> of 2016. 56% of these youth passed, including those who scored in the Needs Improvement, Proficient, and Advanced categories. This reflects a 5.8 percentage point decrease from the 2015 results for 34 students.</w:t>
            </w:r>
          </w:p>
        </w:tc>
      </w:tr>
      <w:tr w:rsidR="00594BC7">
        <w:trPr>
          <w:trHeight w:val="1446"/>
        </w:trPr>
        <w:tc>
          <w:tcPr>
            <w:tcW w:w="1728" w:type="dxa"/>
          </w:tcPr>
          <w:p w:rsidR="00594BC7" w:rsidRDefault="00155135">
            <w:pPr>
              <w:pStyle w:val="TableParagraph"/>
              <w:spacing w:before="0"/>
              <w:ind w:left="107" w:right="38"/>
              <w:rPr>
                <w:b/>
                <w:sz w:val="21"/>
              </w:rPr>
            </w:pPr>
            <w:r>
              <w:rPr>
                <w:b/>
                <w:sz w:val="21"/>
              </w:rPr>
              <w:t>Results: Students with</w:t>
            </w:r>
          </w:p>
          <w:p w:rsidR="00594BC7" w:rsidRDefault="00155135">
            <w:pPr>
              <w:pStyle w:val="TableParagraph"/>
              <w:spacing w:before="0" w:line="241" w:lineRule="exact"/>
              <w:ind w:left="107"/>
              <w:rPr>
                <w:b/>
                <w:sz w:val="21"/>
              </w:rPr>
            </w:pPr>
            <w:r>
              <w:rPr>
                <w:b/>
                <w:sz w:val="21"/>
              </w:rPr>
              <w:t>Disabilities</w:t>
            </w:r>
          </w:p>
        </w:tc>
        <w:tc>
          <w:tcPr>
            <w:tcW w:w="8119" w:type="dxa"/>
          </w:tcPr>
          <w:p w:rsidR="00594BC7" w:rsidRDefault="00155135">
            <w:pPr>
              <w:pStyle w:val="TableParagraph"/>
              <w:spacing w:before="0"/>
              <w:ind w:left="107" w:right="626"/>
              <w:rPr>
                <w:sz w:val="21"/>
              </w:rPr>
            </w:pPr>
            <w:r>
              <w:rPr>
                <w:sz w:val="21"/>
              </w:rPr>
              <w:t>69 students with disabilities took a High School End of Course MCAS exam in Science (Biology, Chemistry, or Physics) in the spring of 2016. 29% of these youth passed, including those who scored in the Needs Improvement, Proficient, and Advanced categories.</w:t>
            </w:r>
            <w:r>
              <w:rPr>
                <w:sz w:val="21"/>
              </w:rPr>
              <w:t xml:space="preserve"> This reflects a 3.9 percentage point decrease from the 2015 results for 70 students.</w:t>
            </w:r>
          </w:p>
        </w:tc>
      </w:tr>
    </w:tbl>
    <w:p w:rsidR="00594BC7" w:rsidRDefault="00594BC7">
      <w:pPr>
        <w:pStyle w:val="BodyText"/>
        <w:spacing w:before="3"/>
        <w:rPr>
          <w:rFonts w:ascii="Arial"/>
          <w:b/>
        </w:rPr>
      </w:pPr>
    </w:p>
    <w:p w:rsidR="00594BC7" w:rsidRDefault="00155135">
      <w:pPr>
        <w:pStyle w:val="Heading5"/>
        <w:spacing w:before="1"/>
        <w:jc w:val="both"/>
      </w:pPr>
      <w:r>
        <w:t>Post-Secondary Enrollment</w:t>
      </w:r>
    </w:p>
    <w:p w:rsidR="00594BC7" w:rsidRDefault="00155135">
      <w:pPr>
        <w:pStyle w:val="BodyText"/>
        <w:spacing w:before="2"/>
        <w:ind w:left="420" w:right="764"/>
        <w:jc w:val="both"/>
      </w:pPr>
      <w:r>
        <w:t xml:space="preserve">During the 2015-2016 academic </w:t>
      </w:r>
      <w:proofErr w:type="gramStart"/>
      <w:r>
        <w:t>year</w:t>
      </w:r>
      <w:proofErr w:type="gramEnd"/>
      <w:r>
        <w:t xml:space="preserve">, forty-two (42) students enrolled in post-secondary courses. This figure is a reflection of DYS’ efforts to partner with institutions throughout the Commonwealth that are dedicated to providing access to higher education </w:t>
      </w:r>
      <w:r>
        <w:t>and certifications for youth who are involved in the juvenile justice system and are interested in advancing their academic and/or vocational qualifications.</w:t>
      </w:r>
    </w:p>
    <w:p w:rsidR="00594BC7" w:rsidRDefault="00594BC7">
      <w:pPr>
        <w:jc w:val="both"/>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2"/>
      </w:pPr>
      <w:bookmarkStart w:id="29" w:name="Career_Readiness"/>
      <w:bookmarkEnd w:id="29"/>
      <w:r>
        <w:rPr>
          <w:color w:val="1F497D"/>
        </w:rPr>
        <w:lastRenderedPageBreak/>
        <w:t>Career Readiness</w:t>
      </w:r>
    </w:p>
    <w:p w:rsidR="00594BC7" w:rsidRDefault="00155135">
      <w:pPr>
        <w:pStyle w:val="Heading5"/>
        <w:spacing w:before="160" w:line="274" w:lineRule="exact"/>
      </w:pPr>
      <w:r>
        <w:t>The Bridging the Opportunity Ga</w:t>
      </w:r>
      <w:r>
        <w:t>p (BOG) Initiative</w:t>
      </w:r>
    </w:p>
    <w:p w:rsidR="00594BC7" w:rsidRDefault="00155135">
      <w:pPr>
        <w:pStyle w:val="BodyText"/>
        <w:ind w:left="419" w:right="774"/>
        <w:jc w:val="both"/>
      </w:pPr>
      <w:r>
        <w:t>BOG is a combination employability and re-entry program that provides career readiness, work-based learning opportunities and connections to employment. The BOG initiative is based on a positive youth development model that is asset- bas</w:t>
      </w:r>
      <w:r>
        <w:t>ed, culturally responsive, and delivered by personnel with experience in operating youth employability programs. Programming is interactive and engaging to youth, and is delivered in a way that addresses a variety of learning styles. Human services agencie</w:t>
      </w:r>
      <w:r>
        <w:t>s, community and faith-</w:t>
      </w:r>
      <w:proofErr w:type="gramStart"/>
      <w:r>
        <w:t>based  organizations</w:t>
      </w:r>
      <w:proofErr w:type="gramEnd"/>
      <w:r>
        <w:t>, workforce investment boards, career centers, and vocational technical high schools across the state participate in the BOG initiative. These organizations work with Commonwealth Corporation staff to build and ex</w:t>
      </w:r>
      <w:r>
        <w:t>pand program services and resources that result in access to a variety of employment and educational opportunities for DYS</w:t>
      </w:r>
      <w:r>
        <w:rPr>
          <w:spacing w:val="-24"/>
        </w:rPr>
        <w:t xml:space="preserve"> </w:t>
      </w:r>
      <w:r>
        <w:t>youth.</w:t>
      </w:r>
    </w:p>
    <w:p w:rsidR="00594BC7" w:rsidRDefault="00155135">
      <w:pPr>
        <w:pStyle w:val="BodyText"/>
        <w:spacing w:before="118"/>
        <w:ind w:left="419" w:right="776"/>
        <w:jc w:val="both"/>
      </w:pPr>
      <w:r>
        <w:t>During fiscal year 2016, a total of 370 youth were enrolled in BOG programming. Summer enrollment totaled 134 youth and 236 yo</w:t>
      </w:r>
      <w:r>
        <w:t>uth were enrolled during the year round programming. A breakdown of the enrollments is</w:t>
      </w:r>
      <w:r>
        <w:rPr>
          <w:spacing w:val="-1"/>
        </w:rPr>
        <w:t xml:space="preserve"> </w:t>
      </w:r>
      <w:r>
        <w:t>below:</w:t>
      </w:r>
    </w:p>
    <w:p w:rsidR="00594BC7" w:rsidRDefault="00594BC7">
      <w:pPr>
        <w:pStyle w:val="BodyText"/>
        <w:spacing w:before="11"/>
        <w:rPr>
          <w:sz w:val="35"/>
        </w:rPr>
      </w:pPr>
    </w:p>
    <w:p w:rsidR="00594BC7" w:rsidRDefault="00155135">
      <w:pPr>
        <w:pStyle w:val="Heading5"/>
        <w:ind w:left="419"/>
      </w:pPr>
      <w:r>
        <w:t>Year-Round BOG</w:t>
      </w:r>
    </w:p>
    <w:p w:rsidR="00594BC7" w:rsidRDefault="00155135">
      <w:pPr>
        <w:pStyle w:val="BodyText"/>
        <w:spacing w:before="5"/>
        <w:ind w:left="419" w:right="595"/>
      </w:pPr>
      <w:r>
        <w:t>Below is a breakdown of enrollments by program option for summer and year-round programming.</w:t>
      </w:r>
    </w:p>
    <w:p w:rsidR="00594BC7" w:rsidRDefault="00594BC7">
      <w:pPr>
        <w:pStyle w:val="BodyText"/>
        <w:spacing w:before="5"/>
        <w:rPr>
          <w:sz w:val="25"/>
        </w:rPr>
      </w:pPr>
    </w:p>
    <w:p w:rsidR="00594BC7" w:rsidRDefault="00155135">
      <w:pPr>
        <w:pStyle w:val="Heading5"/>
        <w:spacing w:after="4"/>
        <w:ind w:left="419"/>
      </w:pPr>
      <w:r>
        <w:t>BOG Year Round FY 2016</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2"/>
        <w:gridCol w:w="3192"/>
        <w:gridCol w:w="3192"/>
      </w:tblGrid>
      <w:tr w:rsidR="00594BC7">
        <w:trPr>
          <w:trHeight w:val="388"/>
        </w:trPr>
        <w:tc>
          <w:tcPr>
            <w:tcW w:w="3192" w:type="dxa"/>
            <w:shd w:val="clear" w:color="auto" w:fill="DADADA"/>
          </w:tcPr>
          <w:p w:rsidR="00594BC7" w:rsidRDefault="00155135">
            <w:pPr>
              <w:pStyle w:val="TableParagraph"/>
              <w:spacing w:before="56"/>
              <w:ind w:left="326" w:right="861"/>
              <w:jc w:val="center"/>
              <w:rPr>
                <w:rFonts w:ascii="Calibri"/>
                <w:b/>
              </w:rPr>
            </w:pPr>
            <w:r>
              <w:rPr>
                <w:rFonts w:ascii="Calibri"/>
                <w:b/>
              </w:rPr>
              <w:t>BOG Program Option</w:t>
            </w:r>
          </w:p>
        </w:tc>
        <w:tc>
          <w:tcPr>
            <w:tcW w:w="3192" w:type="dxa"/>
            <w:shd w:val="clear" w:color="auto" w:fill="DADADA"/>
          </w:tcPr>
          <w:p w:rsidR="00594BC7" w:rsidRDefault="00155135">
            <w:pPr>
              <w:pStyle w:val="TableParagraph"/>
              <w:spacing w:before="56"/>
              <w:ind w:left="326" w:right="861"/>
              <w:jc w:val="center"/>
              <w:rPr>
                <w:rFonts w:ascii="Calibri"/>
                <w:b/>
              </w:rPr>
            </w:pPr>
            <w:r>
              <w:rPr>
                <w:rFonts w:ascii="Calibri"/>
                <w:b/>
              </w:rPr>
              <w:t>Youth Enrollments</w:t>
            </w:r>
          </w:p>
        </w:tc>
        <w:tc>
          <w:tcPr>
            <w:tcW w:w="3192" w:type="dxa"/>
            <w:shd w:val="clear" w:color="auto" w:fill="DADADA"/>
          </w:tcPr>
          <w:p w:rsidR="00594BC7" w:rsidRDefault="00155135">
            <w:pPr>
              <w:pStyle w:val="TableParagraph"/>
              <w:spacing w:before="56"/>
              <w:ind w:left="326" w:right="858"/>
              <w:jc w:val="center"/>
              <w:rPr>
                <w:rFonts w:ascii="Calibri"/>
                <w:b/>
              </w:rPr>
            </w:pPr>
            <w:r>
              <w:rPr>
                <w:rFonts w:ascii="Calibri"/>
                <w:b/>
              </w:rPr>
              <w:t>Percentage</w:t>
            </w:r>
          </w:p>
        </w:tc>
      </w:tr>
      <w:tr w:rsidR="00594BC7">
        <w:trPr>
          <w:trHeight w:val="388"/>
        </w:trPr>
        <w:tc>
          <w:tcPr>
            <w:tcW w:w="3192" w:type="dxa"/>
          </w:tcPr>
          <w:p w:rsidR="00594BC7" w:rsidRDefault="00155135">
            <w:pPr>
              <w:pStyle w:val="TableParagraph"/>
              <w:spacing w:before="56"/>
              <w:ind w:left="326" w:right="861"/>
              <w:jc w:val="center"/>
              <w:rPr>
                <w:rFonts w:ascii="Calibri"/>
              </w:rPr>
            </w:pPr>
            <w:r>
              <w:rPr>
                <w:rFonts w:ascii="Calibri"/>
              </w:rPr>
              <w:t>Arts &amp; Cultural</w:t>
            </w:r>
          </w:p>
        </w:tc>
        <w:tc>
          <w:tcPr>
            <w:tcW w:w="3192" w:type="dxa"/>
          </w:tcPr>
          <w:p w:rsidR="00594BC7" w:rsidRDefault="00155135">
            <w:pPr>
              <w:pStyle w:val="TableParagraph"/>
              <w:spacing w:before="56"/>
              <w:ind w:left="326" w:right="861"/>
              <w:jc w:val="center"/>
              <w:rPr>
                <w:rFonts w:ascii="Calibri"/>
              </w:rPr>
            </w:pPr>
            <w:r>
              <w:rPr>
                <w:rFonts w:ascii="Calibri"/>
              </w:rPr>
              <w:t>31</w:t>
            </w:r>
          </w:p>
        </w:tc>
        <w:tc>
          <w:tcPr>
            <w:tcW w:w="3192" w:type="dxa"/>
          </w:tcPr>
          <w:p w:rsidR="00594BC7" w:rsidRDefault="00155135">
            <w:pPr>
              <w:pStyle w:val="TableParagraph"/>
              <w:spacing w:before="56"/>
              <w:ind w:left="326" w:right="861"/>
              <w:jc w:val="center"/>
              <w:rPr>
                <w:rFonts w:ascii="Calibri"/>
              </w:rPr>
            </w:pPr>
            <w:r>
              <w:rPr>
                <w:rFonts w:ascii="Calibri"/>
              </w:rPr>
              <w:t>13%</w:t>
            </w:r>
          </w:p>
        </w:tc>
      </w:tr>
      <w:tr w:rsidR="00594BC7">
        <w:trPr>
          <w:trHeight w:val="388"/>
        </w:trPr>
        <w:tc>
          <w:tcPr>
            <w:tcW w:w="3192" w:type="dxa"/>
          </w:tcPr>
          <w:p w:rsidR="00594BC7" w:rsidRDefault="00155135">
            <w:pPr>
              <w:pStyle w:val="TableParagraph"/>
              <w:spacing w:before="56"/>
              <w:ind w:left="324" w:right="862"/>
              <w:jc w:val="center"/>
              <w:rPr>
                <w:rFonts w:ascii="Calibri"/>
              </w:rPr>
            </w:pPr>
            <w:r>
              <w:rPr>
                <w:rFonts w:ascii="Calibri"/>
              </w:rPr>
              <w:t>Hi-Set</w:t>
            </w:r>
          </w:p>
        </w:tc>
        <w:tc>
          <w:tcPr>
            <w:tcW w:w="3192" w:type="dxa"/>
          </w:tcPr>
          <w:p w:rsidR="00594BC7" w:rsidRDefault="00155135">
            <w:pPr>
              <w:pStyle w:val="TableParagraph"/>
              <w:spacing w:before="56"/>
              <w:ind w:left="326" w:right="861"/>
              <w:jc w:val="center"/>
              <w:rPr>
                <w:rFonts w:ascii="Calibri"/>
              </w:rPr>
            </w:pPr>
            <w:r>
              <w:rPr>
                <w:rFonts w:ascii="Calibri"/>
              </w:rPr>
              <w:t>31</w:t>
            </w:r>
          </w:p>
        </w:tc>
        <w:tc>
          <w:tcPr>
            <w:tcW w:w="3192" w:type="dxa"/>
          </w:tcPr>
          <w:p w:rsidR="00594BC7" w:rsidRDefault="00155135">
            <w:pPr>
              <w:pStyle w:val="TableParagraph"/>
              <w:spacing w:before="56"/>
              <w:ind w:left="326" w:right="861"/>
              <w:jc w:val="center"/>
              <w:rPr>
                <w:rFonts w:ascii="Calibri"/>
              </w:rPr>
            </w:pPr>
            <w:r>
              <w:rPr>
                <w:rFonts w:ascii="Calibri"/>
              </w:rPr>
              <w:t>13%</w:t>
            </w:r>
          </w:p>
        </w:tc>
      </w:tr>
      <w:tr w:rsidR="00594BC7">
        <w:trPr>
          <w:trHeight w:val="388"/>
        </w:trPr>
        <w:tc>
          <w:tcPr>
            <w:tcW w:w="3192" w:type="dxa"/>
          </w:tcPr>
          <w:p w:rsidR="00594BC7" w:rsidRDefault="00155135">
            <w:pPr>
              <w:pStyle w:val="TableParagraph"/>
              <w:spacing w:before="56"/>
              <w:ind w:left="326" w:right="859"/>
              <w:jc w:val="center"/>
              <w:rPr>
                <w:rFonts w:ascii="Calibri"/>
              </w:rPr>
            </w:pPr>
            <w:r>
              <w:rPr>
                <w:rFonts w:ascii="Calibri"/>
              </w:rPr>
              <w:t>Vocational</w:t>
            </w:r>
          </w:p>
        </w:tc>
        <w:tc>
          <w:tcPr>
            <w:tcW w:w="3192" w:type="dxa"/>
          </w:tcPr>
          <w:p w:rsidR="00594BC7" w:rsidRDefault="00155135">
            <w:pPr>
              <w:pStyle w:val="TableParagraph"/>
              <w:spacing w:before="56"/>
              <w:ind w:left="326" w:right="861"/>
              <w:jc w:val="center"/>
              <w:rPr>
                <w:rFonts w:ascii="Calibri"/>
              </w:rPr>
            </w:pPr>
            <w:r>
              <w:rPr>
                <w:rFonts w:ascii="Calibri"/>
              </w:rPr>
              <w:t>21</w:t>
            </w:r>
          </w:p>
        </w:tc>
        <w:tc>
          <w:tcPr>
            <w:tcW w:w="3192" w:type="dxa"/>
          </w:tcPr>
          <w:p w:rsidR="00594BC7" w:rsidRDefault="00155135">
            <w:pPr>
              <w:pStyle w:val="TableParagraph"/>
              <w:spacing w:before="56"/>
              <w:ind w:left="326" w:right="861"/>
              <w:jc w:val="center"/>
              <w:rPr>
                <w:rFonts w:ascii="Calibri"/>
              </w:rPr>
            </w:pPr>
            <w:r>
              <w:rPr>
                <w:rFonts w:ascii="Calibri"/>
              </w:rPr>
              <w:t>09%</w:t>
            </w:r>
          </w:p>
        </w:tc>
      </w:tr>
      <w:tr w:rsidR="00594BC7">
        <w:trPr>
          <w:trHeight w:val="388"/>
        </w:trPr>
        <w:tc>
          <w:tcPr>
            <w:tcW w:w="3192" w:type="dxa"/>
          </w:tcPr>
          <w:p w:rsidR="00594BC7" w:rsidRDefault="00155135">
            <w:pPr>
              <w:pStyle w:val="TableParagraph"/>
              <w:spacing w:before="56"/>
              <w:ind w:left="326" w:right="858"/>
              <w:jc w:val="center"/>
              <w:rPr>
                <w:rFonts w:ascii="Calibri"/>
              </w:rPr>
            </w:pPr>
            <w:r>
              <w:rPr>
                <w:rFonts w:ascii="Calibri"/>
              </w:rPr>
              <w:t>Work-Based Learning</w:t>
            </w:r>
          </w:p>
        </w:tc>
        <w:tc>
          <w:tcPr>
            <w:tcW w:w="3192" w:type="dxa"/>
          </w:tcPr>
          <w:p w:rsidR="00594BC7" w:rsidRDefault="00155135">
            <w:pPr>
              <w:pStyle w:val="TableParagraph"/>
              <w:spacing w:before="56"/>
              <w:ind w:left="324" w:right="862"/>
              <w:jc w:val="center"/>
              <w:rPr>
                <w:rFonts w:ascii="Calibri"/>
              </w:rPr>
            </w:pPr>
            <w:r>
              <w:rPr>
                <w:rFonts w:ascii="Calibri"/>
              </w:rPr>
              <w:t>153</w:t>
            </w:r>
          </w:p>
        </w:tc>
        <w:tc>
          <w:tcPr>
            <w:tcW w:w="3192" w:type="dxa"/>
          </w:tcPr>
          <w:p w:rsidR="00594BC7" w:rsidRDefault="00155135">
            <w:pPr>
              <w:pStyle w:val="TableParagraph"/>
              <w:spacing w:before="56"/>
              <w:ind w:left="326" w:right="861"/>
              <w:jc w:val="center"/>
              <w:rPr>
                <w:rFonts w:ascii="Calibri"/>
              </w:rPr>
            </w:pPr>
            <w:r>
              <w:rPr>
                <w:rFonts w:ascii="Calibri"/>
              </w:rPr>
              <w:t>65%</w:t>
            </w:r>
          </w:p>
        </w:tc>
      </w:tr>
    </w:tbl>
    <w:p w:rsidR="00594BC7" w:rsidRDefault="00594BC7">
      <w:pPr>
        <w:pStyle w:val="BodyText"/>
        <w:spacing w:before="3"/>
        <w:rPr>
          <w:b/>
        </w:rPr>
      </w:pPr>
    </w:p>
    <w:p w:rsidR="00594BC7" w:rsidRDefault="00155135">
      <w:pPr>
        <w:pStyle w:val="BodyText"/>
        <w:spacing w:before="1"/>
        <w:ind w:left="419" w:right="863"/>
      </w:pPr>
      <w:r>
        <w:t>Overall 53% of goals set in FY16 year-round programing were successfully completed. Orientation training has the highest completion rate at 70%. The subsidized employment goal was successfully completed by 64% of youth.</w:t>
      </w:r>
    </w:p>
    <w:p w:rsidR="00594BC7" w:rsidRDefault="00594BC7">
      <w:pPr>
        <w:pStyle w:val="BodyText"/>
        <w:spacing w:before="4"/>
      </w:pPr>
    </w:p>
    <w:p w:rsidR="00594BC7" w:rsidRDefault="00155135">
      <w:pPr>
        <w:pStyle w:val="Heading5"/>
        <w:spacing w:before="1" w:after="3"/>
        <w:ind w:left="419"/>
      </w:pPr>
      <w:r>
        <w:t>BOG Summer FY 2016</w:t>
      </w:r>
    </w:p>
    <w:tbl>
      <w:tblPr>
        <w:tblW w:w="0" w:type="auto"/>
        <w:tblInd w:w="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2"/>
        <w:gridCol w:w="3192"/>
        <w:gridCol w:w="3192"/>
      </w:tblGrid>
      <w:tr w:rsidR="00594BC7">
        <w:trPr>
          <w:trHeight w:val="388"/>
        </w:trPr>
        <w:tc>
          <w:tcPr>
            <w:tcW w:w="3192" w:type="dxa"/>
            <w:shd w:val="clear" w:color="auto" w:fill="DADADA"/>
          </w:tcPr>
          <w:p w:rsidR="00594BC7" w:rsidRDefault="00155135">
            <w:pPr>
              <w:pStyle w:val="TableParagraph"/>
              <w:spacing w:before="56"/>
              <w:ind w:left="326" w:right="861"/>
              <w:jc w:val="center"/>
              <w:rPr>
                <w:rFonts w:ascii="Calibri"/>
                <w:b/>
              </w:rPr>
            </w:pPr>
            <w:r>
              <w:rPr>
                <w:rFonts w:ascii="Calibri"/>
                <w:b/>
              </w:rPr>
              <w:t>BOG Program Opti</w:t>
            </w:r>
            <w:r>
              <w:rPr>
                <w:rFonts w:ascii="Calibri"/>
                <w:b/>
              </w:rPr>
              <w:t>on</w:t>
            </w:r>
          </w:p>
        </w:tc>
        <w:tc>
          <w:tcPr>
            <w:tcW w:w="3192" w:type="dxa"/>
            <w:shd w:val="clear" w:color="auto" w:fill="DADADA"/>
          </w:tcPr>
          <w:p w:rsidR="00594BC7" w:rsidRDefault="00155135">
            <w:pPr>
              <w:pStyle w:val="TableParagraph"/>
              <w:spacing w:before="56"/>
              <w:ind w:left="326" w:right="861"/>
              <w:jc w:val="center"/>
              <w:rPr>
                <w:rFonts w:ascii="Calibri"/>
                <w:b/>
              </w:rPr>
            </w:pPr>
            <w:r>
              <w:rPr>
                <w:rFonts w:ascii="Calibri"/>
                <w:b/>
              </w:rPr>
              <w:t>Youth Enrollments</w:t>
            </w:r>
          </w:p>
        </w:tc>
        <w:tc>
          <w:tcPr>
            <w:tcW w:w="3192" w:type="dxa"/>
            <w:shd w:val="clear" w:color="auto" w:fill="DADADA"/>
          </w:tcPr>
          <w:p w:rsidR="00594BC7" w:rsidRDefault="00155135">
            <w:pPr>
              <w:pStyle w:val="TableParagraph"/>
              <w:spacing w:before="56"/>
              <w:ind w:left="326" w:right="858"/>
              <w:jc w:val="center"/>
              <w:rPr>
                <w:rFonts w:ascii="Calibri"/>
                <w:b/>
              </w:rPr>
            </w:pPr>
            <w:r>
              <w:rPr>
                <w:rFonts w:ascii="Calibri"/>
                <w:b/>
              </w:rPr>
              <w:t>Percentage</w:t>
            </w:r>
          </w:p>
        </w:tc>
      </w:tr>
      <w:tr w:rsidR="00594BC7">
        <w:trPr>
          <w:trHeight w:val="388"/>
        </w:trPr>
        <w:tc>
          <w:tcPr>
            <w:tcW w:w="3192" w:type="dxa"/>
          </w:tcPr>
          <w:p w:rsidR="00594BC7" w:rsidRDefault="00155135">
            <w:pPr>
              <w:pStyle w:val="TableParagraph"/>
              <w:spacing w:before="56"/>
              <w:ind w:left="326" w:right="860"/>
              <w:jc w:val="center"/>
              <w:rPr>
                <w:rFonts w:ascii="Calibri"/>
                <w:b/>
              </w:rPr>
            </w:pPr>
            <w:r>
              <w:rPr>
                <w:rFonts w:ascii="Calibri"/>
                <w:b/>
              </w:rPr>
              <w:t>Arts &amp; Cultural</w:t>
            </w:r>
          </w:p>
        </w:tc>
        <w:tc>
          <w:tcPr>
            <w:tcW w:w="3192" w:type="dxa"/>
          </w:tcPr>
          <w:p w:rsidR="00594BC7" w:rsidRDefault="00155135">
            <w:pPr>
              <w:pStyle w:val="TableParagraph"/>
              <w:spacing w:before="56"/>
              <w:ind w:left="326" w:right="861"/>
              <w:jc w:val="center"/>
              <w:rPr>
                <w:rFonts w:ascii="Calibri"/>
                <w:b/>
              </w:rPr>
            </w:pPr>
            <w:r>
              <w:rPr>
                <w:rFonts w:ascii="Calibri"/>
                <w:b/>
              </w:rPr>
              <w:t>25</w:t>
            </w:r>
          </w:p>
        </w:tc>
        <w:tc>
          <w:tcPr>
            <w:tcW w:w="3192" w:type="dxa"/>
          </w:tcPr>
          <w:p w:rsidR="00594BC7" w:rsidRDefault="00155135">
            <w:pPr>
              <w:pStyle w:val="TableParagraph"/>
              <w:spacing w:before="56"/>
              <w:ind w:left="326" w:right="858"/>
              <w:jc w:val="center"/>
              <w:rPr>
                <w:rFonts w:ascii="Calibri"/>
                <w:b/>
              </w:rPr>
            </w:pPr>
            <w:r>
              <w:rPr>
                <w:rFonts w:ascii="Calibri"/>
                <w:b/>
              </w:rPr>
              <w:t>19%</w:t>
            </w:r>
          </w:p>
        </w:tc>
      </w:tr>
      <w:tr w:rsidR="00594BC7">
        <w:trPr>
          <w:trHeight w:val="388"/>
        </w:trPr>
        <w:tc>
          <w:tcPr>
            <w:tcW w:w="3192" w:type="dxa"/>
          </w:tcPr>
          <w:p w:rsidR="00594BC7" w:rsidRDefault="00155135">
            <w:pPr>
              <w:pStyle w:val="TableParagraph"/>
              <w:spacing w:before="56"/>
              <w:ind w:left="326" w:right="862"/>
              <w:jc w:val="center"/>
              <w:rPr>
                <w:rFonts w:ascii="Calibri"/>
                <w:b/>
              </w:rPr>
            </w:pPr>
            <w:r>
              <w:rPr>
                <w:rFonts w:ascii="Calibri"/>
                <w:b/>
              </w:rPr>
              <w:t>Hi-Set</w:t>
            </w:r>
          </w:p>
        </w:tc>
        <w:tc>
          <w:tcPr>
            <w:tcW w:w="3192" w:type="dxa"/>
          </w:tcPr>
          <w:p w:rsidR="00594BC7" w:rsidRDefault="00155135">
            <w:pPr>
              <w:pStyle w:val="TableParagraph"/>
              <w:spacing w:before="56"/>
              <w:ind w:left="326" w:right="861"/>
              <w:jc w:val="center"/>
              <w:rPr>
                <w:rFonts w:ascii="Calibri"/>
                <w:b/>
              </w:rPr>
            </w:pPr>
            <w:r>
              <w:rPr>
                <w:rFonts w:ascii="Calibri"/>
                <w:b/>
              </w:rPr>
              <w:t>20</w:t>
            </w:r>
          </w:p>
        </w:tc>
        <w:tc>
          <w:tcPr>
            <w:tcW w:w="3192" w:type="dxa"/>
          </w:tcPr>
          <w:p w:rsidR="00594BC7" w:rsidRDefault="00155135">
            <w:pPr>
              <w:pStyle w:val="TableParagraph"/>
              <w:spacing w:before="56"/>
              <w:ind w:left="326" w:right="858"/>
              <w:jc w:val="center"/>
              <w:rPr>
                <w:rFonts w:ascii="Calibri"/>
                <w:b/>
              </w:rPr>
            </w:pPr>
            <w:r>
              <w:rPr>
                <w:rFonts w:ascii="Calibri"/>
                <w:b/>
              </w:rPr>
              <w:t>15%</w:t>
            </w:r>
          </w:p>
        </w:tc>
      </w:tr>
      <w:tr w:rsidR="00594BC7">
        <w:trPr>
          <w:trHeight w:val="388"/>
        </w:trPr>
        <w:tc>
          <w:tcPr>
            <w:tcW w:w="3192" w:type="dxa"/>
          </w:tcPr>
          <w:p w:rsidR="00594BC7" w:rsidRDefault="00155135">
            <w:pPr>
              <w:pStyle w:val="TableParagraph"/>
              <w:spacing w:before="56"/>
              <w:ind w:left="326" w:right="862"/>
              <w:jc w:val="center"/>
              <w:rPr>
                <w:rFonts w:ascii="Calibri"/>
                <w:b/>
              </w:rPr>
            </w:pPr>
            <w:r>
              <w:rPr>
                <w:rFonts w:ascii="Calibri"/>
                <w:b/>
              </w:rPr>
              <w:t>Vocational</w:t>
            </w:r>
          </w:p>
        </w:tc>
        <w:tc>
          <w:tcPr>
            <w:tcW w:w="3192" w:type="dxa"/>
          </w:tcPr>
          <w:p w:rsidR="00594BC7" w:rsidRDefault="00155135">
            <w:pPr>
              <w:pStyle w:val="TableParagraph"/>
              <w:spacing w:before="56"/>
              <w:ind w:left="326" w:right="861"/>
              <w:jc w:val="center"/>
              <w:rPr>
                <w:rFonts w:ascii="Calibri"/>
                <w:b/>
              </w:rPr>
            </w:pPr>
            <w:r>
              <w:rPr>
                <w:rFonts w:ascii="Calibri"/>
                <w:b/>
              </w:rPr>
              <w:t>18</w:t>
            </w:r>
          </w:p>
        </w:tc>
        <w:tc>
          <w:tcPr>
            <w:tcW w:w="3192" w:type="dxa"/>
          </w:tcPr>
          <w:p w:rsidR="00594BC7" w:rsidRDefault="00155135">
            <w:pPr>
              <w:pStyle w:val="TableParagraph"/>
              <w:spacing w:before="56"/>
              <w:ind w:left="326" w:right="858"/>
              <w:jc w:val="center"/>
              <w:rPr>
                <w:rFonts w:ascii="Calibri"/>
                <w:b/>
              </w:rPr>
            </w:pPr>
            <w:r>
              <w:rPr>
                <w:rFonts w:ascii="Calibri"/>
                <w:b/>
              </w:rPr>
              <w:t>13%</w:t>
            </w:r>
          </w:p>
        </w:tc>
      </w:tr>
      <w:tr w:rsidR="00594BC7">
        <w:trPr>
          <w:trHeight w:val="388"/>
        </w:trPr>
        <w:tc>
          <w:tcPr>
            <w:tcW w:w="3192" w:type="dxa"/>
          </w:tcPr>
          <w:p w:rsidR="00594BC7" w:rsidRDefault="00155135">
            <w:pPr>
              <w:pStyle w:val="TableParagraph"/>
              <w:spacing w:before="56"/>
              <w:ind w:left="326" w:right="862"/>
              <w:jc w:val="center"/>
              <w:rPr>
                <w:rFonts w:ascii="Calibri"/>
                <w:b/>
              </w:rPr>
            </w:pPr>
            <w:r>
              <w:rPr>
                <w:rFonts w:ascii="Calibri"/>
                <w:b/>
              </w:rPr>
              <w:t>Work-Based Learning</w:t>
            </w:r>
          </w:p>
        </w:tc>
        <w:tc>
          <w:tcPr>
            <w:tcW w:w="3192" w:type="dxa"/>
          </w:tcPr>
          <w:p w:rsidR="00594BC7" w:rsidRDefault="00155135">
            <w:pPr>
              <w:pStyle w:val="TableParagraph"/>
              <w:spacing w:before="56"/>
              <w:ind w:left="326" w:right="861"/>
              <w:jc w:val="center"/>
              <w:rPr>
                <w:rFonts w:ascii="Calibri"/>
                <w:b/>
              </w:rPr>
            </w:pPr>
            <w:r>
              <w:rPr>
                <w:rFonts w:ascii="Calibri"/>
                <w:b/>
              </w:rPr>
              <w:t>71</w:t>
            </w:r>
          </w:p>
        </w:tc>
        <w:tc>
          <w:tcPr>
            <w:tcW w:w="3192" w:type="dxa"/>
          </w:tcPr>
          <w:p w:rsidR="00594BC7" w:rsidRDefault="00155135">
            <w:pPr>
              <w:pStyle w:val="TableParagraph"/>
              <w:spacing w:before="56"/>
              <w:ind w:left="326" w:right="857"/>
              <w:jc w:val="center"/>
              <w:rPr>
                <w:rFonts w:ascii="Calibri"/>
                <w:b/>
              </w:rPr>
            </w:pPr>
            <w:r>
              <w:rPr>
                <w:rFonts w:ascii="Calibri"/>
                <w:b/>
              </w:rPr>
              <w:t>53%</w:t>
            </w:r>
          </w:p>
        </w:tc>
      </w:tr>
    </w:tbl>
    <w:p w:rsidR="00594BC7" w:rsidRDefault="00594BC7">
      <w:pPr>
        <w:pStyle w:val="BodyText"/>
        <w:spacing w:before="4"/>
        <w:rPr>
          <w:b/>
          <w:sz w:val="25"/>
        </w:rPr>
      </w:pPr>
    </w:p>
    <w:p w:rsidR="00594BC7" w:rsidRDefault="00155135">
      <w:pPr>
        <w:pStyle w:val="BodyText"/>
        <w:ind w:left="420" w:right="882"/>
      </w:pPr>
      <w:r>
        <w:t>Overall 65% of goals set in FY16 summer programing were successfully completed. We also found that youth were most successful at completing arts and cultural activities (92%), orientation training (88%), career readiness training (66%) and subsidized emplo</w:t>
      </w:r>
      <w:r>
        <w:t>yment (51%).</w:t>
      </w:r>
    </w:p>
    <w:p w:rsidR="00594BC7" w:rsidRDefault="00594BC7">
      <w:pPr>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1"/>
        <w:ind w:left="2596"/>
      </w:pPr>
      <w:bookmarkStart w:id="30" w:name="CY_2016_DYS_HIGHLIGHTS"/>
      <w:bookmarkStart w:id="31" w:name="_bookmark14"/>
      <w:bookmarkEnd w:id="30"/>
      <w:bookmarkEnd w:id="31"/>
      <w:r>
        <w:lastRenderedPageBreak/>
        <w:t>CY 2016 DYS HIGHLIGHTS</w:t>
      </w:r>
    </w:p>
    <w:p w:rsidR="00594BC7" w:rsidRDefault="00155135">
      <w:pPr>
        <w:pStyle w:val="Heading2"/>
        <w:spacing w:before="236"/>
      </w:pPr>
      <w:bookmarkStart w:id="32" w:name="4th_Annual_Youth_Art_Showcase_—_Voicing_"/>
      <w:bookmarkStart w:id="33" w:name="_bookmark15"/>
      <w:bookmarkEnd w:id="32"/>
      <w:bookmarkEnd w:id="33"/>
      <w:r>
        <w:rPr>
          <w:color w:val="1F497D"/>
        </w:rPr>
        <w:t>4</w:t>
      </w:r>
      <w:proofErr w:type="spellStart"/>
      <w:r>
        <w:rPr>
          <w:color w:val="1F497D"/>
          <w:position w:val="8"/>
          <w:sz w:val="21"/>
        </w:rPr>
        <w:t>th</w:t>
      </w:r>
      <w:proofErr w:type="spellEnd"/>
      <w:r>
        <w:rPr>
          <w:color w:val="1F497D"/>
          <w:position w:val="8"/>
          <w:sz w:val="21"/>
        </w:rPr>
        <w:t xml:space="preserve"> </w:t>
      </w:r>
      <w:r>
        <w:rPr>
          <w:color w:val="1F497D"/>
        </w:rPr>
        <w:t>Annual Youth Art Showcase — Voicing What Matters!</w:t>
      </w:r>
    </w:p>
    <w:p w:rsidR="00594BC7" w:rsidRDefault="00155135">
      <w:pPr>
        <w:pStyle w:val="BodyText"/>
        <w:spacing w:before="156"/>
        <w:ind w:left="4507" w:right="764"/>
        <w:jc w:val="both"/>
      </w:pPr>
      <w:r>
        <w:rPr>
          <w:noProof/>
          <w:lang w:bidi="ar-SA"/>
        </w:rPr>
        <w:drawing>
          <wp:anchor distT="0" distB="0" distL="0" distR="0" simplePos="0" relativeHeight="251645952" behindDoc="0" locked="0" layoutInCell="1" allowOverlap="1">
            <wp:simplePos x="0" y="0"/>
            <wp:positionH relativeFrom="page">
              <wp:posOffset>913764</wp:posOffset>
            </wp:positionH>
            <wp:positionV relativeFrom="paragraph">
              <wp:posOffset>156823</wp:posOffset>
            </wp:positionV>
            <wp:extent cx="2481578" cy="2232022"/>
            <wp:effectExtent l="0" t="0" r="0" b="0"/>
            <wp:wrapNone/>
            <wp:docPr id="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8.png"/>
                    <pic:cNvPicPr/>
                  </pic:nvPicPr>
                  <pic:blipFill>
                    <a:blip r:embed="rId31" cstate="print"/>
                    <a:stretch>
                      <a:fillRect/>
                    </a:stretch>
                  </pic:blipFill>
                  <pic:spPr>
                    <a:xfrm>
                      <a:off x="0" y="0"/>
                      <a:ext cx="2481578" cy="2232022"/>
                    </a:xfrm>
                    <a:prstGeom prst="rect">
                      <a:avLst/>
                    </a:prstGeom>
                  </pic:spPr>
                </pic:pic>
              </a:graphicData>
            </a:graphic>
          </wp:anchor>
        </w:drawing>
      </w:r>
      <w:r>
        <w:t xml:space="preserve">On June 16th, the Department held its 4th Annual “Share Your Art, Share Your Voice!” Statewide Youth Showcase at Emerson College’s Paramount Center in the Boston theatre district. The showcase featured an art sale entirely composed of art by youth artists </w:t>
      </w:r>
      <w:r>
        <w:t>who received the proceeds of the sale of their art. The arts provide a channel for the emotions and expression of the youths, but it was also a source of pride for those that care for them.</w:t>
      </w:r>
    </w:p>
    <w:p w:rsidR="00594BC7" w:rsidRDefault="00155135">
      <w:pPr>
        <w:pStyle w:val="BodyText"/>
        <w:spacing w:before="185"/>
        <w:ind w:left="4507" w:right="767"/>
        <w:jc w:val="both"/>
      </w:pPr>
      <w:r>
        <w:t xml:space="preserve">The DYS Showcase was the culmination of months of preparation and </w:t>
      </w:r>
      <w:r>
        <w:t>rehearsal by youth; their art teachers; artists in residence; participating program staff, clinicians, teachers, and management;</w:t>
      </w:r>
    </w:p>
    <w:p w:rsidR="00594BC7" w:rsidRDefault="00155135">
      <w:pPr>
        <w:pStyle w:val="BodyText"/>
        <w:ind w:left="420" w:right="768"/>
        <w:jc w:val="both"/>
      </w:pPr>
      <w:proofErr w:type="gramStart"/>
      <w:r>
        <w:t>community</w:t>
      </w:r>
      <w:proofErr w:type="gramEnd"/>
      <w:r>
        <w:t xml:space="preserve"> programs, and DYS community staff and caseworkers. The Department’s executive staff shared the stage with many youth </w:t>
      </w:r>
      <w:r>
        <w:t>performers and a guest speaker from the Lewis Brown Peace Institute.</w:t>
      </w:r>
    </w:p>
    <w:p w:rsidR="00594BC7" w:rsidRDefault="00594BC7">
      <w:pPr>
        <w:pStyle w:val="BodyText"/>
      </w:pPr>
    </w:p>
    <w:p w:rsidR="00594BC7" w:rsidRDefault="00155135">
      <w:pPr>
        <w:pStyle w:val="BodyText"/>
        <w:ind w:left="420"/>
      </w:pPr>
      <w:r>
        <w:t>Highlights from the 4th Annual Statewide DYS Showcase include:</w:t>
      </w:r>
    </w:p>
    <w:p w:rsidR="00594BC7" w:rsidRDefault="00155135">
      <w:pPr>
        <w:pStyle w:val="ListParagraph"/>
        <w:numPr>
          <w:ilvl w:val="0"/>
          <w:numId w:val="3"/>
        </w:numPr>
        <w:tabs>
          <w:tab w:val="left" w:pos="779"/>
          <w:tab w:val="left" w:pos="780"/>
        </w:tabs>
        <w:spacing w:before="2" w:line="293" w:lineRule="exact"/>
        <w:ind w:hanging="360"/>
        <w:rPr>
          <w:sz w:val="24"/>
        </w:rPr>
      </w:pPr>
      <w:r>
        <w:rPr>
          <w:sz w:val="24"/>
        </w:rPr>
        <w:t>130 youth visual artists</w:t>
      </w:r>
      <w:r>
        <w:rPr>
          <w:spacing w:val="1"/>
          <w:sz w:val="24"/>
        </w:rPr>
        <w:t xml:space="preserve"> </w:t>
      </w:r>
      <w:r>
        <w:rPr>
          <w:sz w:val="24"/>
        </w:rPr>
        <w:t>participated</w:t>
      </w:r>
    </w:p>
    <w:p w:rsidR="00594BC7" w:rsidRDefault="00155135">
      <w:pPr>
        <w:pStyle w:val="ListParagraph"/>
        <w:numPr>
          <w:ilvl w:val="0"/>
          <w:numId w:val="3"/>
        </w:numPr>
        <w:tabs>
          <w:tab w:val="left" w:pos="779"/>
          <w:tab w:val="left" w:pos="780"/>
        </w:tabs>
        <w:spacing w:before="0" w:line="293" w:lineRule="exact"/>
        <w:ind w:hanging="360"/>
        <w:rPr>
          <w:sz w:val="24"/>
        </w:rPr>
      </w:pPr>
      <w:r>
        <w:rPr>
          <w:sz w:val="24"/>
        </w:rPr>
        <w:t>17 youth performed on the main stage at Emerson’s Paramount</w:t>
      </w:r>
      <w:r>
        <w:rPr>
          <w:spacing w:val="-3"/>
          <w:sz w:val="24"/>
        </w:rPr>
        <w:t xml:space="preserve"> </w:t>
      </w:r>
      <w:r>
        <w:rPr>
          <w:sz w:val="24"/>
        </w:rPr>
        <w:t>Theater</w:t>
      </w:r>
    </w:p>
    <w:p w:rsidR="00594BC7" w:rsidRDefault="00155135">
      <w:pPr>
        <w:pStyle w:val="ListParagraph"/>
        <w:numPr>
          <w:ilvl w:val="0"/>
          <w:numId w:val="3"/>
        </w:numPr>
        <w:tabs>
          <w:tab w:val="left" w:pos="779"/>
          <w:tab w:val="left" w:pos="780"/>
        </w:tabs>
        <w:spacing w:before="2" w:line="237" w:lineRule="auto"/>
        <w:ind w:right="769" w:hanging="360"/>
        <w:rPr>
          <w:sz w:val="24"/>
        </w:rPr>
      </w:pPr>
      <w:r>
        <w:rPr>
          <w:sz w:val="24"/>
        </w:rPr>
        <w:t>266 pieces displayed, including 2D paintings, drawings, and prints; 3D sculptures, and wearable</w:t>
      </w:r>
      <w:r>
        <w:rPr>
          <w:spacing w:val="-2"/>
          <w:sz w:val="24"/>
        </w:rPr>
        <w:t xml:space="preserve"> </w:t>
      </w:r>
      <w:r>
        <w:rPr>
          <w:sz w:val="24"/>
        </w:rPr>
        <w:t>arts</w:t>
      </w:r>
    </w:p>
    <w:p w:rsidR="00594BC7" w:rsidRDefault="00155135">
      <w:pPr>
        <w:pStyle w:val="ListParagraph"/>
        <w:numPr>
          <w:ilvl w:val="0"/>
          <w:numId w:val="3"/>
        </w:numPr>
        <w:tabs>
          <w:tab w:val="left" w:pos="779"/>
          <w:tab w:val="left" w:pos="780"/>
        </w:tabs>
        <w:spacing w:before="2"/>
        <w:ind w:hanging="360"/>
        <w:rPr>
          <w:sz w:val="24"/>
        </w:rPr>
      </w:pPr>
      <w:r>
        <w:rPr>
          <w:sz w:val="24"/>
        </w:rPr>
        <w:t>3 DYS residential programs created table displays with their youth</w:t>
      </w:r>
      <w:r>
        <w:rPr>
          <w:spacing w:val="-4"/>
          <w:sz w:val="24"/>
        </w:rPr>
        <w:t xml:space="preserve"> </w:t>
      </w:r>
      <w:r>
        <w:rPr>
          <w:sz w:val="24"/>
        </w:rPr>
        <w:t>participants</w:t>
      </w:r>
    </w:p>
    <w:p w:rsidR="00594BC7" w:rsidRDefault="00155135">
      <w:pPr>
        <w:pStyle w:val="ListParagraph"/>
        <w:numPr>
          <w:ilvl w:val="0"/>
          <w:numId w:val="3"/>
        </w:numPr>
        <w:tabs>
          <w:tab w:val="left" w:pos="779"/>
          <w:tab w:val="left" w:pos="780"/>
        </w:tabs>
        <w:spacing w:before="3" w:line="237" w:lineRule="auto"/>
        <w:ind w:right="769" w:hanging="360"/>
        <w:rPr>
          <w:sz w:val="24"/>
        </w:rPr>
      </w:pPr>
      <w:r>
        <w:rPr>
          <w:sz w:val="24"/>
        </w:rPr>
        <w:t>5 Bridging the Opportunity Gap (BOG) programs participated in field trips o</w:t>
      </w:r>
      <w:r>
        <w:rPr>
          <w:sz w:val="24"/>
        </w:rPr>
        <w:t>r developed table displays, some including items for</w:t>
      </w:r>
      <w:r>
        <w:rPr>
          <w:spacing w:val="-7"/>
          <w:sz w:val="24"/>
        </w:rPr>
        <w:t xml:space="preserve"> </w:t>
      </w:r>
      <w:r>
        <w:rPr>
          <w:sz w:val="24"/>
        </w:rPr>
        <w:t>sale</w:t>
      </w:r>
    </w:p>
    <w:p w:rsidR="00594BC7" w:rsidRDefault="00155135">
      <w:pPr>
        <w:pStyle w:val="ListParagraph"/>
        <w:numPr>
          <w:ilvl w:val="0"/>
          <w:numId w:val="3"/>
        </w:numPr>
        <w:tabs>
          <w:tab w:val="left" w:pos="780"/>
        </w:tabs>
        <w:spacing w:before="5" w:line="237" w:lineRule="auto"/>
        <w:ind w:right="768" w:hanging="360"/>
        <w:jc w:val="both"/>
        <w:rPr>
          <w:sz w:val="24"/>
        </w:rPr>
      </w:pPr>
      <w:r>
        <w:rPr>
          <w:sz w:val="24"/>
        </w:rPr>
        <w:t>DYS residential programs and BOG programs collectively sold 154 items connected to their programming, including youth-grown plants, youth-decorated planters, and a youth- operated pop-up book</w:t>
      </w:r>
      <w:r>
        <w:rPr>
          <w:spacing w:val="-1"/>
          <w:sz w:val="24"/>
        </w:rPr>
        <w:t xml:space="preserve"> </w:t>
      </w:r>
      <w:r>
        <w:rPr>
          <w:sz w:val="24"/>
        </w:rPr>
        <w:t>store</w:t>
      </w:r>
    </w:p>
    <w:p w:rsidR="00594BC7" w:rsidRDefault="00155135">
      <w:pPr>
        <w:pStyle w:val="ListParagraph"/>
        <w:numPr>
          <w:ilvl w:val="0"/>
          <w:numId w:val="3"/>
        </w:numPr>
        <w:tabs>
          <w:tab w:val="left" w:pos="780"/>
        </w:tabs>
        <w:spacing w:before="7" w:line="237" w:lineRule="auto"/>
        <w:ind w:right="769" w:hanging="360"/>
        <w:jc w:val="both"/>
        <w:rPr>
          <w:sz w:val="24"/>
        </w:rPr>
      </w:pPr>
      <w:r>
        <w:rPr>
          <w:sz w:val="24"/>
        </w:rPr>
        <w:t>Over 200 statewide attendees, including youth supporters, case workers, teachers, legislators, clinicians, program directors, provider partners, community organizations, families, and direct care staff attendees from the DYS</w:t>
      </w:r>
    </w:p>
    <w:p w:rsidR="00594BC7" w:rsidRDefault="00155135">
      <w:pPr>
        <w:pStyle w:val="ListParagraph"/>
        <w:numPr>
          <w:ilvl w:val="0"/>
          <w:numId w:val="3"/>
        </w:numPr>
        <w:tabs>
          <w:tab w:val="left" w:pos="779"/>
          <w:tab w:val="left" w:pos="780"/>
        </w:tabs>
        <w:spacing w:before="5" w:line="292" w:lineRule="exact"/>
        <w:ind w:hanging="360"/>
        <w:rPr>
          <w:sz w:val="24"/>
        </w:rPr>
      </w:pPr>
      <w:r>
        <w:rPr>
          <w:sz w:val="24"/>
        </w:rPr>
        <w:t>Over 100 youth attendees from residential programs and the community</w:t>
      </w:r>
      <w:r>
        <w:rPr>
          <w:spacing w:val="-8"/>
          <w:sz w:val="24"/>
        </w:rPr>
        <w:t xml:space="preserve"> </w:t>
      </w:r>
      <w:r>
        <w:rPr>
          <w:sz w:val="24"/>
        </w:rPr>
        <w:t>including:</w:t>
      </w:r>
    </w:p>
    <w:p w:rsidR="00594BC7" w:rsidRDefault="00155135">
      <w:pPr>
        <w:pStyle w:val="ListParagraph"/>
        <w:numPr>
          <w:ilvl w:val="1"/>
          <w:numId w:val="3"/>
        </w:numPr>
        <w:tabs>
          <w:tab w:val="left" w:pos="1500"/>
        </w:tabs>
        <w:spacing w:before="0" w:line="295" w:lineRule="exact"/>
        <w:rPr>
          <w:rFonts w:ascii="Courier New" w:hAnsi="Courier New"/>
          <w:sz w:val="24"/>
        </w:rPr>
      </w:pPr>
      <w:r>
        <w:rPr>
          <w:sz w:val="24"/>
        </w:rPr>
        <w:t>13 residential programs in attendance with</w:t>
      </w:r>
      <w:r>
        <w:rPr>
          <w:spacing w:val="-1"/>
          <w:sz w:val="24"/>
        </w:rPr>
        <w:t xml:space="preserve"> </w:t>
      </w:r>
      <w:r>
        <w:rPr>
          <w:sz w:val="24"/>
        </w:rPr>
        <w:t>youth</w:t>
      </w:r>
    </w:p>
    <w:p w:rsidR="00594BC7" w:rsidRDefault="00155135">
      <w:pPr>
        <w:pStyle w:val="ListParagraph"/>
        <w:numPr>
          <w:ilvl w:val="1"/>
          <w:numId w:val="3"/>
        </w:numPr>
        <w:tabs>
          <w:tab w:val="left" w:pos="1500"/>
        </w:tabs>
        <w:spacing w:before="52"/>
        <w:rPr>
          <w:rFonts w:ascii="Courier New" w:hAnsi="Courier New"/>
          <w:sz w:val="28"/>
        </w:rPr>
      </w:pPr>
      <w:bookmarkStart w:id="34" w:name="_bookmark16"/>
      <w:bookmarkEnd w:id="34"/>
      <w:r>
        <w:rPr>
          <w:sz w:val="24"/>
        </w:rPr>
        <w:t>10 District Offices in attendance with</w:t>
      </w:r>
      <w:r>
        <w:rPr>
          <w:spacing w:val="1"/>
          <w:sz w:val="24"/>
        </w:rPr>
        <w:t xml:space="preserve"> </w:t>
      </w:r>
      <w:r>
        <w:rPr>
          <w:sz w:val="24"/>
        </w:rPr>
        <w:t>youth</w:t>
      </w:r>
    </w:p>
    <w:p w:rsidR="00594BC7" w:rsidRDefault="00594BC7">
      <w:pPr>
        <w:rPr>
          <w:rFonts w:ascii="Courier New" w:hAnsi="Courier New"/>
          <w:sz w:val="28"/>
        </w:rPr>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2"/>
      </w:pPr>
      <w:bookmarkStart w:id="35" w:name="JDAI"/>
      <w:bookmarkEnd w:id="35"/>
      <w:r>
        <w:rPr>
          <w:color w:val="1F497D"/>
        </w:rPr>
        <w:lastRenderedPageBreak/>
        <w:t>JDAI</w:t>
      </w:r>
    </w:p>
    <w:p w:rsidR="00594BC7" w:rsidRDefault="00155135">
      <w:pPr>
        <w:pStyle w:val="BodyText"/>
        <w:spacing w:before="156"/>
        <w:ind w:left="420" w:right="765"/>
        <w:jc w:val="both"/>
      </w:pPr>
      <w:r>
        <w:t>The Juvenile Detention Alte</w:t>
      </w:r>
      <w:r>
        <w:t>rnatives Initiative is a national systems-reform initiative working to improve the detention component of the juvenile justice system. A public safety partnership led by DYS, it focuses on reducing the unnecessary and potentially harmful use of secure dete</w:t>
      </w:r>
      <w:r>
        <w:t>ntion for low-risk juveniles. JDAI ensures that “the right youth, is in the right place, for the right reasons” through strategies that engage public, private, community and family partners.</w:t>
      </w:r>
    </w:p>
    <w:p w:rsidR="00594BC7" w:rsidRDefault="00594BC7">
      <w:pPr>
        <w:pStyle w:val="BodyText"/>
        <w:spacing w:before="3"/>
        <w:rPr>
          <w:sz w:val="36"/>
        </w:rPr>
      </w:pPr>
    </w:p>
    <w:p w:rsidR="00594BC7" w:rsidRDefault="00155135">
      <w:pPr>
        <w:pStyle w:val="BodyText"/>
        <w:ind w:left="419" w:right="765"/>
        <w:jc w:val="both"/>
      </w:pPr>
      <w:r>
        <w:t>The 8</w:t>
      </w:r>
      <w:r>
        <w:rPr>
          <w:vertAlign w:val="superscript"/>
        </w:rPr>
        <w:t>th</w:t>
      </w:r>
      <w:r>
        <w:t xml:space="preserve"> Annual JDAI conference held in October focused on </w:t>
      </w:r>
      <w:r>
        <w:rPr>
          <w:i/>
        </w:rPr>
        <w:t xml:space="preserve">Building Bridges </w:t>
      </w:r>
      <w:proofErr w:type="gramStart"/>
      <w:r>
        <w:rPr>
          <w:i/>
        </w:rPr>
        <w:t>Towards</w:t>
      </w:r>
      <w:proofErr w:type="gramEnd"/>
      <w:r>
        <w:rPr>
          <w:i/>
        </w:rPr>
        <w:t xml:space="preserve"> Equity in Juvenile Justice</w:t>
      </w:r>
      <w:r>
        <w:t>. Attendees were engaged in learning about new strategies, hearing from youth impacted by the juvenile justice system, and discovering new ways to increase equity and collaborate with colleagues. Bethany J</w:t>
      </w:r>
      <w:r>
        <w:t>ohnson-</w:t>
      </w:r>
      <w:proofErr w:type="spellStart"/>
      <w:r>
        <w:t>Javois</w:t>
      </w:r>
      <w:proofErr w:type="spellEnd"/>
      <w:r>
        <w:t xml:space="preserve">, appointed by Missouri Governor Nixon to serve as the Managing Director of the Ferguson Commission, was the keynote speaker. The conference also premiered the JDAI Massachusetts produced training video, </w:t>
      </w:r>
      <w:r>
        <w:rPr>
          <w:i/>
        </w:rPr>
        <w:t>Seeing RED</w:t>
      </w:r>
      <w:r>
        <w:t>, filmed and directed by JDAI</w:t>
      </w:r>
      <w:r>
        <w:t xml:space="preserve"> partners. </w:t>
      </w:r>
      <w:r>
        <w:rPr>
          <w:i/>
        </w:rPr>
        <w:t xml:space="preserve">Seeing RED </w:t>
      </w:r>
      <w:r>
        <w:t>was created to educate audience members about the inequities that exist in our system and the solutions we can work on together.</w:t>
      </w:r>
    </w:p>
    <w:p w:rsidR="00594BC7" w:rsidRDefault="00594BC7">
      <w:pPr>
        <w:pStyle w:val="BodyText"/>
        <w:spacing w:before="7"/>
        <w:rPr>
          <w:sz w:val="36"/>
        </w:rPr>
      </w:pPr>
    </w:p>
    <w:p w:rsidR="00594BC7" w:rsidRDefault="00155135">
      <w:pPr>
        <w:pStyle w:val="BodyText"/>
        <w:ind w:left="419" w:right="763"/>
        <w:jc w:val="both"/>
      </w:pPr>
      <w:r>
        <w:t>In the summer of 2016, JDAI Massachusetts, through the Department of Youth Services, received $894,960 f</w:t>
      </w:r>
      <w:r>
        <w:t>rom the Boston-based Lookout Foundation Inc. to increase staffing and expand the initiative's work in the Commonwealth. The Lookout Foundation provides grants designed to "improve the lives of underserved and struggling teenagers of all backgrounds by supp</w:t>
      </w:r>
      <w:r>
        <w:t>orting holistic systems of progressive education, social justice, wellness, and self-reliance to ensure a safe and healthy passage into adulthood." JDAI Massachusetts will be using the funding to support county level implementation of JDAI and improve outc</w:t>
      </w:r>
      <w:r>
        <w:t>omes for JDAI sites. Over the next 3 years, the funding will also provide for the expansion of JDAI to more counties in the</w:t>
      </w:r>
      <w:r>
        <w:rPr>
          <w:spacing w:val="-2"/>
        </w:rPr>
        <w:t xml:space="preserve"> </w:t>
      </w:r>
      <w:r>
        <w:t>Commonwealth.</w:t>
      </w:r>
    </w:p>
    <w:p w:rsidR="00594BC7" w:rsidRDefault="00594BC7">
      <w:pPr>
        <w:pStyle w:val="BodyText"/>
        <w:spacing w:before="8"/>
        <w:rPr>
          <w:sz w:val="32"/>
        </w:rPr>
      </w:pPr>
    </w:p>
    <w:p w:rsidR="00594BC7" w:rsidRDefault="00155135">
      <w:pPr>
        <w:pStyle w:val="Heading2"/>
        <w:spacing w:before="0"/>
      </w:pPr>
      <w:bookmarkStart w:id="36" w:name="PREA"/>
      <w:bookmarkStart w:id="37" w:name="_bookmark17"/>
      <w:bookmarkEnd w:id="36"/>
      <w:bookmarkEnd w:id="37"/>
      <w:r>
        <w:rPr>
          <w:color w:val="1F497D"/>
        </w:rPr>
        <w:t>PREA</w:t>
      </w:r>
    </w:p>
    <w:p w:rsidR="00594BC7" w:rsidRDefault="00155135">
      <w:pPr>
        <w:pStyle w:val="BodyText"/>
        <w:spacing w:before="156"/>
        <w:ind w:left="420" w:right="769"/>
        <w:jc w:val="both"/>
      </w:pPr>
      <w:r>
        <w:rPr>
          <w:b/>
        </w:rPr>
        <w:t xml:space="preserve">PREA AUDIT: </w:t>
      </w:r>
      <w:r>
        <w:t>For the third consecutive year, the Department of Youth Services achieved the top rating of complian</w:t>
      </w:r>
      <w:r>
        <w:t>ce in the 2016 PREA (Prison Rape Elimination Act) audit. The 2016 audit concluded the last round of the three-year cycle of PREA audits of the DYS state- and provider-operated residential programs.</w:t>
      </w:r>
    </w:p>
    <w:p w:rsidR="00594BC7" w:rsidRDefault="00594BC7">
      <w:pPr>
        <w:pStyle w:val="BodyText"/>
        <w:spacing w:before="8"/>
        <w:rPr>
          <w:sz w:val="35"/>
        </w:rPr>
      </w:pPr>
    </w:p>
    <w:p w:rsidR="00594BC7" w:rsidRDefault="00155135">
      <w:pPr>
        <w:pStyle w:val="BodyText"/>
        <w:ind w:left="420"/>
      </w:pPr>
      <w:r>
        <w:t>The PREA auditor noted in his report letter that:</w:t>
      </w:r>
    </w:p>
    <w:p w:rsidR="00594BC7" w:rsidRDefault="00155135">
      <w:pPr>
        <w:spacing w:before="120"/>
        <w:ind w:left="1140" w:right="766"/>
        <w:jc w:val="both"/>
        <w:rPr>
          <w:i/>
          <w:sz w:val="24"/>
        </w:rPr>
      </w:pPr>
      <w:r>
        <w:rPr>
          <w:i/>
          <w:sz w:val="24"/>
        </w:rPr>
        <w:t>Department of Youth Services' commitment to the implementation of the PREA standards and PREA compliance across the full spectrum of service providers (state operated programs and contract vendor providers) is second to none. Massachusetts has created a se</w:t>
      </w:r>
      <w:r>
        <w:rPr>
          <w:i/>
          <w:sz w:val="24"/>
        </w:rPr>
        <w:t>amless and coordinated implementation of the PREA standards across its ENTIRE juvenile justice system [continuum].</w:t>
      </w:r>
    </w:p>
    <w:p w:rsidR="00594BC7" w:rsidRDefault="00155135">
      <w:pPr>
        <w:spacing w:before="120"/>
        <w:ind w:left="1140" w:right="766"/>
        <w:jc w:val="both"/>
        <w:rPr>
          <w:i/>
          <w:sz w:val="24"/>
        </w:rPr>
      </w:pPr>
      <w:r>
        <w:rPr>
          <w:i/>
          <w:sz w:val="24"/>
        </w:rPr>
        <w:t>“I do not believe there is any other state that can claim the entire juvenile justice system (intake, detention, residential treatment, after</w:t>
      </w:r>
      <w:r>
        <w:rPr>
          <w:i/>
          <w:sz w:val="24"/>
        </w:rPr>
        <w:t>care and privately operated programs) in their state is in full compliance with PREA. In my professional opinion,</w:t>
      </w:r>
    </w:p>
    <w:p w:rsidR="00594BC7" w:rsidRDefault="00594BC7">
      <w:pPr>
        <w:jc w:val="both"/>
        <w:rPr>
          <w:sz w:val="24"/>
        </w:rPr>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spacing w:before="72"/>
        <w:ind w:left="1140" w:right="1023"/>
        <w:rPr>
          <w:i/>
          <w:sz w:val="24"/>
        </w:rPr>
      </w:pPr>
      <w:proofErr w:type="gramStart"/>
      <w:r>
        <w:rPr>
          <w:i/>
          <w:sz w:val="24"/>
        </w:rPr>
        <w:lastRenderedPageBreak/>
        <w:t>youth</w:t>
      </w:r>
      <w:proofErr w:type="gramEnd"/>
      <w:r>
        <w:rPr>
          <w:i/>
          <w:sz w:val="24"/>
        </w:rPr>
        <w:t xml:space="preserve"> involved in the Massachusetts juvenile justice system are some of the safest youth in </w:t>
      </w:r>
      <w:r>
        <w:rPr>
          <w:i/>
          <w:sz w:val="24"/>
        </w:rPr>
        <w:t>the country in terms of protection from sexual</w:t>
      </w:r>
      <w:r>
        <w:rPr>
          <w:i/>
          <w:spacing w:val="-6"/>
          <w:sz w:val="24"/>
        </w:rPr>
        <w:t xml:space="preserve"> </w:t>
      </w:r>
      <w:r>
        <w:rPr>
          <w:i/>
          <w:sz w:val="24"/>
        </w:rPr>
        <w:t>violence.</w:t>
      </w:r>
    </w:p>
    <w:p w:rsidR="00594BC7" w:rsidRDefault="00594BC7">
      <w:pPr>
        <w:pStyle w:val="BodyText"/>
        <w:rPr>
          <w:i/>
          <w:sz w:val="26"/>
        </w:rPr>
      </w:pPr>
    </w:p>
    <w:p w:rsidR="00594BC7" w:rsidRDefault="00155135">
      <w:pPr>
        <w:pStyle w:val="BodyText"/>
        <w:spacing w:before="164"/>
        <w:ind w:left="420" w:right="767"/>
        <w:jc w:val="both"/>
      </w:pPr>
      <w:r>
        <w:t>Passed in 2012, PREA requires states to come into compliance with a comprehensive set of standards focused on ensuring protection from sexual assault for all individuals confined in correctional set</w:t>
      </w:r>
      <w:r>
        <w:t>tings. This legislation applies to youth confined in both staff secure and hardware secure residential programs.</w:t>
      </w:r>
    </w:p>
    <w:p w:rsidR="00594BC7" w:rsidRDefault="00594BC7">
      <w:pPr>
        <w:pStyle w:val="BodyText"/>
        <w:spacing w:before="8"/>
        <w:rPr>
          <w:sz w:val="35"/>
        </w:rPr>
      </w:pPr>
    </w:p>
    <w:p w:rsidR="00594BC7" w:rsidRDefault="00155135">
      <w:pPr>
        <w:pStyle w:val="BodyText"/>
        <w:ind w:left="420" w:right="768"/>
        <w:jc w:val="both"/>
      </w:pPr>
      <w:r>
        <w:rPr>
          <w:b/>
        </w:rPr>
        <w:t xml:space="preserve">The DYS PREA Working Group </w:t>
      </w:r>
      <w:r>
        <w:t>received the 2016 Governor’s Carballo Award for Excellence in Public Service for achieving the highest level of PRE</w:t>
      </w:r>
      <w:r>
        <w:t>A compliance and the resulting enhancement of youth and program safety. The award was presented by Governor Baker at a State House ceremony held on October 21, 2016. Key accomplishments of the PREA Working Group include:</w:t>
      </w:r>
    </w:p>
    <w:p w:rsidR="00594BC7" w:rsidRDefault="00155135">
      <w:pPr>
        <w:pStyle w:val="ListParagraph"/>
        <w:numPr>
          <w:ilvl w:val="0"/>
          <w:numId w:val="3"/>
        </w:numPr>
        <w:tabs>
          <w:tab w:val="left" w:pos="779"/>
          <w:tab w:val="left" w:pos="780"/>
        </w:tabs>
        <w:spacing w:before="69"/>
        <w:ind w:hanging="360"/>
        <w:rPr>
          <w:sz w:val="24"/>
        </w:rPr>
      </w:pPr>
      <w:r>
        <w:rPr>
          <w:sz w:val="24"/>
        </w:rPr>
        <w:t>Creation of a grievance process for</w:t>
      </w:r>
      <w:r>
        <w:rPr>
          <w:sz w:val="24"/>
        </w:rPr>
        <w:t xml:space="preserve"> all youth and</w:t>
      </w:r>
      <w:r>
        <w:rPr>
          <w:spacing w:val="1"/>
          <w:sz w:val="24"/>
        </w:rPr>
        <w:t xml:space="preserve"> </w:t>
      </w:r>
      <w:r>
        <w:rPr>
          <w:sz w:val="24"/>
        </w:rPr>
        <w:t>staff.</w:t>
      </w:r>
    </w:p>
    <w:p w:rsidR="00594BC7" w:rsidRDefault="00155135">
      <w:pPr>
        <w:pStyle w:val="ListParagraph"/>
        <w:numPr>
          <w:ilvl w:val="0"/>
          <w:numId w:val="3"/>
        </w:numPr>
        <w:tabs>
          <w:tab w:val="left" w:pos="779"/>
          <w:tab w:val="left" w:pos="780"/>
        </w:tabs>
        <w:spacing w:before="66"/>
        <w:ind w:hanging="360"/>
        <w:rPr>
          <w:sz w:val="24"/>
        </w:rPr>
      </w:pPr>
      <w:r>
        <w:rPr>
          <w:sz w:val="24"/>
        </w:rPr>
        <w:t>Development and revision of DYS policies to align with the PREA</w:t>
      </w:r>
      <w:r>
        <w:rPr>
          <w:spacing w:val="-6"/>
          <w:sz w:val="24"/>
        </w:rPr>
        <w:t xml:space="preserve"> </w:t>
      </w:r>
      <w:r>
        <w:rPr>
          <w:sz w:val="24"/>
        </w:rPr>
        <w:t>standards.</w:t>
      </w:r>
    </w:p>
    <w:p w:rsidR="00594BC7" w:rsidRDefault="00155135">
      <w:pPr>
        <w:pStyle w:val="ListParagraph"/>
        <w:numPr>
          <w:ilvl w:val="0"/>
          <w:numId w:val="3"/>
        </w:numPr>
        <w:tabs>
          <w:tab w:val="left" w:pos="779"/>
          <w:tab w:val="left" w:pos="780"/>
        </w:tabs>
        <w:spacing w:before="69" w:line="237" w:lineRule="auto"/>
        <w:ind w:right="881" w:hanging="360"/>
        <w:rPr>
          <w:sz w:val="24"/>
        </w:rPr>
      </w:pPr>
      <w:r>
        <w:rPr>
          <w:sz w:val="24"/>
        </w:rPr>
        <w:t>Creation of a statewide standard for youth education related to PREA information and</w:t>
      </w:r>
      <w:r>
        <w:rPr>
          <w:spacing w:val="-19"/>
          <w:sz w:val="24"/>
        </w:rPr>
        <w:t xml:space="preserve"> </w:t>
      </w:r>
      <w:r>
        <w:rPr>
          <w:sz w:val="24"/>
        </w:rPr>
        <w:t>the intake process for all residential</w:t>
      </w:r>
      <w:r>
        <w:rPr>
          <w:spacing w:val="-1"/>
          <w:sz w:val="24"/>
        </w:rPr>
        <w:t xml:space="preserve"> </w:t>
      </w:r>
      <w:r>
        <w:rPr>
          <w:sz w:val="24"/>
        </w:rPr>
        <w:t>programs.</w:t>
      </w:r>
    </w:p>
    <w:p w:rsidR="00594BC7" w:rsidRDefault="00155135">
      <w:pPr>
        <w:pStyle w:val="ListParagraph"/>
        <w:numPr>
          <w:ilvl w:val="0"/>
          <w:numId w:val="3"/>
        </w:numPr>
        <w:tabs>
          <w:tab w:val="left" w:pos="779"/>
          <w:tab w:val="left" w:pos="780"/>
        </w:tabs>
        <w:spacing w:before="71" w:line="237" w:lineRule="auto"/>
        <w:ind w:right="1253" w:hanging="360"/>
        <w:rPr>
          <w:sz w:val="24"/>
        </w:rPr>
      </w:pPr>
      <w:r>
        <w:rPr>
          <w:sz w:val="24"/>
        </w:rPr>
        <w:t>Completion of 62 PREA audits, with 100% compliance for all, two months before</w:t>
      </w:r>
      <w:r>
        <w:rPr>
          <w:spacing w:val="-18"/>
          <w:sz w:val="24"/>
        </w:rPr>
        <w:t xml:space="preserve"> </w:t>
      </w:r>
      <w:r>
        <w:rPr>
          <w:sz w:val="24"/>
        </w:rPr>
        <w:t>the Department of Justice</w:t>
      </w:r>
      <w:r>
        <w:rPr>
          <w:spacing w:val="-3"/>
          <w:sz w:val="24"/>
        </w:rPr>
        <w:t xml:space="preserve"> </w:t>
      </w:r>
      <w:r>
        <w:rPr>
          <w:sz w:val="24"/>
        </w:rPr>
        <w:t>deadline.</w:t>
      </w:r>
    </w:p>
    <w:p w:rsidR="00594BC7" w:rsidRDefault="00594BC7">
      <w:pPr>
        <w:pStyle w:val="BodyText"/>
        <w:spacing w:before="11"/>
        <w:rPr>
          <w:sz w:val="32"/>
        </w:rPr>
      </w:pPr>
    </w:p>
    <w:p w:rsidR="00594BC7" w:rsidRDefault="00155135">
      <w:pPr>
        <w:pStyle w:val="Heading2"/>
        <w:spacing w:before="0"/>
      </w:pPr>
      <w:bookmarkStart w:id="38" w:name="OJJDP_Second_Chance_Grant"/>
      <w:bookmarkStart w:id="39" w:name="_bookmark18"/>
      <w:bookmarkEnd w:id="38"/>
      <w:bookmarkEnd w:id="39"/>
      <w:r>
        <w:rPr>
          <w:color w:val="1F497D"/>
        </w:rPr>
        <w:t>OJJDP Second Chance Grant</w:t>
      </w:r>
    </w:p>
    <w:p w:rsidR="00594BC7" w:rsidRDefault="00155135">
      <w:pPr>
        <w:pStyle w:val="Heading5"/>
        <w:spacing w:before="161"/>
        <w:ind w:right="770"/>
        <w:jc w:val="both"/>
      </w:pPr>
      <w:r>
        <w:t>Second Chance Act Smart on Juvenile Justice: Community Supervision Implementation Grant</w:t>
      </w:r>
    </w:p>
    <w:p w:rsidR="00594BC7" w:rsidRDefault="00155135">
      <w:pPr>
        <w:pStyle w:val="BodyText"/>
        <w:spacing w:before="62"/>
        <w:ind w:left="419" w:right="764"/>
        <w:jc w:val="both"/>
      </w:pPr>
      <w:r>
        <w:t>DYS was awarded $413,598 over two years by the U.S. Department of Justice’s Office of Juvenile Justice and Delinquency Prevention (OJJDP). This award supports implementation of DYS’ Community Supervision Reform Strategic Plan, which is explicitly focused o</w:t>
      </w:r>
      <w:r>
        <w:t>n reducing recidivism by employing adaptable, evidence-based practices to reduce unnecessary incarceration and revocation; address racial and ethnic disparities; improve family engagement and inclusion; and increase educational and employment opportunities</w:t>
      </w:r>
      <w:r>
        <w:t xml:space="preserve"> for DYS- committed</w:t>
      </w:r>
      <w:r>
        <w:rPr>
          <w:spacing w:val="1"/>
        </w:rPr>
        <w:t xml:space="preserve"> </w:t>
      </w:r>
      <w:r>
        <w:t>youth.</w:t>
      </w:r>
    </w:p>
    <w:p w:rsidR="00594BC7" w:rsidRDefault="00155135">
      <w:pPr>
        <w:pStyle w:val="BodyText"/>
        <w:spacing w:before="67"/>
        <w:ind w:left="419" w:right="768"/>
        <w:jc w:val="both"/>
      </w:pPr>
      <w:r>
        <w:t>As part of its implementation efforts, DYS is partnering with Probation to develop a structured system of graduated incentives and sanctions designed to reduce bias. The grant also funds a Parent-Partner Advocate position that se</w:t>
      </w:r>
      <w:r>
        <w:t>rves as the voice for families, and as an active participant in family-focused work groups and activities designed to support DYS- involved</w:t>
      </w:r>
      <w:r>
        <w:rPr>
          <w:spacing w:val="-1"/>
        </w:rPr>
        <w:t xml:space="preserve"> </w:t>
      </w:r>
      <w:r>
        <w:t>families.</w:t>
      </w:r>
    </w:p>
    <w:p w:rsidR="00594BC7" w:rsidRDefault="00594BC7">
      <w:pPr>
        <w:jc w:val="both"/>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1"/>
      </w:pPr>
      <w:bookmarkStart w:id="40" w:name="_bookmark22"/>
      <w:bookmarkStart w:id="41" w:name="DYS_Staff,_Infrastructure_&amp;_Finance"/>
      <w:bookmarkStart w:id="42" w:name="_bookmark19"/>
      <w:bookmarkEnd w:id="40"/>
      <w:bookmarkEnd w:id="41"/>
      <w:bookmarkEnd w:id="42"/>
      <w:r>
        <w:lastRenderedPageBreak/>
        <w:t>DYS Staff, Infrastructure &amp; Finance</w:t>
      </w:r>
    </w:p>
    <w:p w:rsidR="00594BC7" w:rsidRDefault="00155135">
      <w:pPr>
        <w:pStyle w:val="Heading2"/>
        <w:spacing w:before="236"/>
      </w:pPr>
      <w:bookmarkStart w:id="43" w:name="The_DYS_Workforce_at_a_Glance"/>
      <w:bookmarkStart w:id="44" w:name="_bookmark20"/>
      <w:bookmarkEnd w:id="43"/>
      <w:bookmarkEnd w:id="44"/>
      <w:r>
        <w:rPr>
          <w:color w:val="1F497D"/>
        </w:rPr>
        <w:t>The DYS Workforce at</w:t>
      </w:r>
      <w:r>
        <w:rPr>
          <w:color w:val="1F497D"/>
        </w:rPr>
        <w:t xml:space="preserve"> a Glance</w:t>
      </w:r>
    </w:p>
    <w:p w:rsidR="00594BC7" w:rsidRDefault="00155135">
      <w:pPr>
        <w:pStyle w:val="BodyText"/>
        <w:spacing w:before="156"/>
        <w:ind w:left="420" w:right="767"/>
        <w:jc w:val="both"/>
      </w:pPr>
      <w:r>
        <w:t>As of December 31, 2016, DYS had 831 employees: 27.5% were female, 46.5% were persons of color; and 4.0% were veterans. Below is the breakdown of DYS staff by job categories used in the Commonwealth’s affirmative action</w:t>
      </w:r>
      <w:r>
        <w:rPr>
          <w:spacing w:val="-14"/>
        </w:rPr>
        <w:t xml:space="preserve"> </w:t>
      </w:r>
      <w:proofErr w:type="gramStart"/>
      <w:r>
        <w:t>reporting.</w:t>
      </w:r>
      <w:proofErr w:type="gramEnd"/>
    </w:p>
    <w:p w:rsidR="00594BC7" w:rsidRDefault="00594BC7">
      <w:pPr>
        <w:pStyle w:val="BodyText"/>
        <w:spacing w:before="10"/>
      </w:pPr>
    </w:p>
    <w:tbl>
      <w:tblPr>
        <w:tblW w:w="0" w:type="auto"/>
        <w:tblInd w:w="29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83"/>
        <w:gridCol w:w="725"/>
      </w:tblGrid>
      <w:tr w:rsidR="00594BC7">
        <w:trPr>
          <w:trHeight w:val="395"/>
        </w:trPr>
        <w:tc>
          <w:tcPr>
            <w:tcW w:w="3883" w:type="dxa"/>
          </w:tcPr>
          <w:p w:rsidR="00594BC7" w:rsidRDefault="00155135">
            <w:pPr>
              <w:pStyle w:val="TableParagraph"/>
              <w:spacing w:before="54"/>
              <w:ind w:left="107"/>
              <w:rPr>
                <w:sz w:val="24"/>
              </w:rPr>
            </w:pPr>
            <w:r>
              <w:rPr>
                <w:sz w:val="24"/>
              </w:rPr>
              <w:t>Officials/Admi</w:t>
            </w:r>
            <w:r>
              <w:rPr>
                <w:sz w:val="24"/>
              </w:rPr>
              <w:t>nistrators</w:t>
            </w:r>
          </w:p>
        </w:tc>
        <w:tc>
          <w:tcPr>
            <w:tcW w:w="725" w:type="dxa"/>
          </w:tcPr>
          <w:p w:rsidR="00594BC7" w:rsidRDefault="00155135">
            <w:pPr>
              <w:pStyle w:val="TableParagraph"/>
              <w:spacing w:before="54"/>
              <w:ind w:right="93"/>
              <w:jc w:val="right"/>
              <w:rPr>
                <w:sz w:val="24"/>
              </w:rPr>
            </w:pPr>
            <w:r>
              <w:rPr>
                <w:sz w:val="24"/>
              </w:rPr>
              <w:t>50</w:t>
            </w:r>
          </w:p>
        </w:tc>
      </w:tr>
      <w:tr w:rsidR="00594BC7">
        <w:trPr>
          <w:trHeight w:val="397"/>
        </w:trPr>
        <w:tc>
          <w:tcPr>
            <w:tcW w:w="3883" w:type="dxa"/>
          </w:tcPr>
          <w:p w:rsidR="00594BC7" w:rsidRDefault="00155135">
            <w:pPr>
              <w:pStyle w:val="TableParagraph"/>
              <w:spacing w:before="54"/>
              <w:ind w:left="107"/>
              <w:rPr>
                <w:sz w:val="24"/>
              </w:rPr>
            </w:pPr>
            <w:r>
              <w:rPr>
                <w:sz w:val="24"/>
              </w:rPr>
              <w:t>Professional</w:t>
            </w:r>
          </w:p>
        </w:tc>
        <w:tc>
          <w:tcPr>
            <w:tcW w:w="725" w:type="dxa"/>
          </w:tcPr>
          <w:p w:rsidR="00594BC7" w:rsidRDefault="00155135">
            <w:pPr>
              <w:pStyle w:val="TableParagraph"/>
              <w:spacing w:before="54"/>
              <w:ind w:right="93"/>
              <w:jc w:val="right"/>
              <w:rPr>
                <w:sz w:val="24"/>
              </w:rPr>
            </w:pPr>
            <w:r>
              <w:rPr>
                <w:sz w:val="24"/>
              </w:rPr>
              <w:t>255</w:t>
            </w:r>
          </w:p>
        </w:tc>
      </w:tr>
      <w:tr w:rsidR="00594BC7">
        <w:trPr>
          <w:trHeight w:val="395"/>
        </w:trPr>
        <w:tc>
          <w:tcPr>
            <w:tcW w:w="3883" w:type="dxa"/>
          </w:tcPr>
          <w:p w:rsidR="00594BC7" w:rsidRDefault="00155135">
            <w:pPr>
              <w:pStyle w:val="TableParagraph"/>
              <w:ind w:left="107"/>
              <w:rPr>
                <w:sz w:val="24"/>
              </w:rPr>
            </w:pPr>
            <w:r>
              <w:rPr>
                <w:sz w:val="24"/>
              </w:rPr>
              <w:t>Technician</w:t>
            </w:r>
          </w:p>
        </w:tc>
        <w:tc>
          <w:tcPr>
            <w:tcW w:w="725" w:type="dxa"/>
          </w:tcPr>
          <w:p w:rsidR="00594BC7" w:rsidRDefault="00155135">
            <w:pPr>
              <w:pStyle w:val="TableParagraph"/>
              <w:ind w:right="93"/>
              <w:jc w:val="right"/>
              <w:rPr>
                <w:sz w:val="24"/>
              </w:rPr>
            </w:pPr>
            <w:r>
              <w:rPr>
                <w:sz w:val="24"/>
              </w:rPr>
              <w:t>12</w:t>
            </w:r>
          </w:p>
        </w:tc>
      </w:tr>
      <w:tr w:rsidR="00594BC7">
        <w:trPr>
          <w:trHeight w:val="395"/>
        </w:trPr>
        <w:tc>
          <w:tcPr>
            <w:tcW w:w="3883" w:type="dxa"/>
          </w:tcPr>
          <w:p w:rsidR="00594BC7" w:rsidRDefault="00155135">
            <w:pPr>
              <w:pStyle w:val="TableParagraph"/>
              <w:ind w:left="107"/>
              <w:rPr>
                <w:sz w:val="24"/>
              </w:rPr>
            </w:pPr>
            <w:r>
              <w:rPr>
                <w:sz w:val="24"/>
              </w:rPr>
              <w:t>Protective Service - Sworn</w:t>
            </w:r>
          </w:p>
        </w:tc>
        <w:tc>
          <w:tcPr>
            <w:tcW w:w="725" w:type="dxa"/>
          </w:tcPr>
          <w:p w:rsidR="00594BC7" w:rsidRDefault="00155135">
            <w:pPr>
              <w:pStyle w:val="TableParagraph"/>
              <w:ind w:right="93"/>
              <w:jc w:val="right"/>
              <w:rPr>
                <w:sz w:val="24"/>
              </w:rPr>
            </w:pPr>
            <w:r>
              <w:rPr>
                <w:sz w:val="24"/>
              </w:rPr>
              <w:t>48</w:t>
            </w:r>
          </w:p>
        </w:tc>
      </w:tr>
      <w:tr w:rsidR="00594BC7">
        <w:trPr>
          <w:trHeight w:val="397"/>
        </w:trPr>
        <w:tc>
          <w:tcPr>
            <w:tcW w:w="3883" w:type="dxa"/>
          </w:tcPr>
          <w:p w:rsidR="00594BC7" w:rsidRDefault="00155135">
            <w:pPr>
              <w:pStyle w:val="TableParagraph"/>
              <w:spacing w:before="54"/>
              <w:ind w:left="107"/>
              <w:rPr>
                <w:sz w:val="24"/>
              </w:rPr>
            </w:pPr>
            <w:r>
              <w:rPr>
                <w:sz w:val="24"/>
              </w:rPr>
              <w:t>Protective Services - Non-sworn</w:t>
            </w:r>
          </w:p>
        </w:tc>
        <w:tc>
          <w:tcPr>
            <w:tcW w:w="725" w:type="dxa"/>
          </w:tcPr>
          <w:p w:rsidR="00594BC7" w:rsidRDefault="00155135">
            <w:pPr>
              <w:pStyle w:val="TableParagraph"/>
              <w:spacing w:before="54"/>
              <w:ind w:right="93"/>
              <w:jc w:val="right"/>
              <w:rPr>
                <w:sz w:val="24"/>
              </w:rPr>
            </w:pPr>
            <w:r>
              <w:rPr>
                <w:sz w:val="24"/>
              </w:rPr>
              <w:t>377</w:t>
            </w:r>
          </w:p>
        </w:tc>
      </w:tr>
      <w:tr w:rsidR="00594BC7">
        <w:trPr>
          <w:trHeight w:val="395"/>
        </w:trPr>
        <w:tc>
          <w:tcPr>
            <w:tcW w:w="3883" w:type="dxa"/>
          </w:tcPr>
          <w:p w:rsidR="00594BC7" w:rsidRDefault="00155135">
            <w:pPr>
              <w:pStyle w:val="TableParagraph"/>
              <w:ind w:left="107"/>
              <w:rPr>
                <w:sz w:val="24"/>
              </w:rPr>
            </w:pPr>
            <w:r>
              <w:rPr>
                <w:sz w:val="24"/>
              </w:rPr>
              <w:t>Office/Clerical</w:t>
            </w:r>
          </w:p>
        </w:tc>
        <w:tc>
          <w:tcPr>
            <w:tcW w:w="725" w:type="dxa"/>
          </w:tcPr>
          <w:p w:rsidR="00594BC7" w:rsidRDefault="00155135">
            <w:pPr>
              <w:pStyle w:val="TableParagraph"/>
              <w:ind w:right="93"/>
              <w:jc w:val="right"/>
              <w:rPr>
                <w:sz w:val="24"/>
              </w:rPr>
            </w:pPr>
            <w:r>
              <w:rPr>
                <w:sz w:val="24"/>
              </w:rPr>
              <w:t>47</w:t>
            </w:r>
          </w:p>
        </w:tc>
      </w:tr>
      <w:tr w:rsidR="00594BC7">
        <w:trPr>
          <w:trHeight w:val="395"/>
        </w:trPr>
        <w:tc>
          <w:tcPr>
            <w:tcW w:w="3883" w:type="dxa"/>
          </w:tcPr>
          <w:p w:rsidR="00594BC7" w:rsidRDefault="00155135">
            <w:pPr>
              <w:pStyle w:val="TableParagraph"/>
              <w:ind w:left="107"/>
              <w:rPr>
                <w:sz w:val="24"/>
              </w:rPr>
            </w:pPr>
            <w:r>
              <w:rPr>
                <w:sz w:val="24"/>
              </w:rPr>
              <w:t>Skilled Craft</w:t>
            </w:r>
          </w:p>
        </w:tc>
        <w:tc>
          <w:tcPr>
            <w:tcW w:w="725" w:type="dxa"/>
          </w:tcPr>
          <w:p w:rsidR="00594BC7" w:rsidRDefault="00155135">
            <w:pPr>
              <w:pStyle w:val="TableParagraph"/>
              <w:ind w:right="93"/>
              <w:jc w:val="right"/>
              <w:rPr>
                <w:sz w:val="24"/>
              </w:rPr>
            </w:pPr>
            <w:r>
              <w:rPr>
                <w:sz w:val="24"/>
              </w:rPr>
              <w:t>33</w:t>
            </w:r>
          </w:p>
        </w:tc>
      </w:tr>
      <w:tr w:rsidR="00594BC7">
        <w:trPr>
          <w:trHeight w:val="397"/>
        </w:trPr>
        <w:tc>
          <w:tcPr>
            <w:tcW w:w="3883" w:type="dxa"/>
          </w:tcPr>
          <w:p w:rsidR="00594BC7" w:rsidRDefault="00155135">
            <w:pPr>
              <w:pStyle w:val="TableParagraph"/>
              <w:spacing w:before="54"/>
              <w:ind w:left="107"/>
              <w:rPr>
                <w:sz w:val="24"/>
              </w:rPr>
            </w:pPr>
            <w:r>
              <w:rPr>
                <w:sz w:val="24"/>
              </w:rPr>
              <w:t>Service Maintenance</w:t>
            </w:r>
          </w:p>
        </w:tc>
        <w:tc>
          <w:tcPr>
            <w:tcW w:w="725" w:type="dxa"/>
          </w:tcPr>
          <w:p w:rsidR="00594BC7" w:rsidRDefault="00155135">
            <w:pPr>
              <w:pStyle w:val="TableParagraph"/>
              <w:spacing w:before="54"/>
              <w:ind w:right="93"/>
              <w:jc w:val="right"/>
              <w:rPr>
                <w:sz w:val="24"/>
              </w:rPr>
            </w:pPr>
            <w:r>
              <w:rPr>
                <w:sz w:val="24"/>
              </w:rPr>
              <w:t>9</w:t>
            </w:r>
          </w:p>
        </w:tc>
      </w:tr>
      <w:tr w:rsidR="00594BC7">
        <w:trPr>
          <w:trHeight w:val="395"/>
        </w:trPr>
        <w:tc>
          <w:tcPr>
            <w:tcW w:w="3883" w:type="dxa"/>
          </w:tcPr>
          <w:p w:rsidR="00594BC7" w:rsidRDefault="00155135">
            <w:pPr>
              <w:pStyle w:val="TableParagraph"/>
              <w:spacing w:before="56"/>
              <w:ind w:left="107"/>
              <w:rPr>
                <w:b/>
                <w:sz w:val="24"/>
              </w:rPr>
            </w:pPr>
            <w:r>
              <w:rPr>
                <w:b/>
                <w:sz w:val="24"/>
              </w:rPr>
              <w:t>Total Number of Employees</w:t>
            </w:r>
          </w:p>
        </w:tc>
        <w:tc>
          <w:tcPr>
            <w:tcW w:w="725" w:type="dxa"/>
          </w:tcPr>
          <w:p w:rsidR="00594BC7" w:rsidRDefault="00155135">
            <w:pPr>
              <w:pStyle w:val="TableParagraph"/>
              <w:spacing w:before="56"/>
              <w:ind w:right="93"/>
              <w:jc w:val="right"/>
              <w:rPr>
                <w:b/>
                <w:sz w:val="24"/>
              </w:rPr>
            </w:pPr>
            <w:r>
              <w:rPr>
                <w:b/>
                <w:sz w:val="24"/>
              </w:rPr>
              <w:t>831</w:t>
            </w:r>
          </w:p>
        </w:tc>
      </w:tr>
    </w:tbl>
    <w:p w:rsidR="00594BC7" w:rsidRDefault="00594BC7">
      <w:pPr>
        <w:pStyle w:val="BodyText"/>
        <w:spacing w:before="4"/>
        <w:rPr>
          <w:sz w:val="32"/>
        </w:rPr>
      </w:pPr>
    </w:p>
    <w:p w:rsidR="00594BC7" w:rsidRDefault="00155135">
      <w:pPr>
        <w:pStyle w:val="Heading2"/>
        <w:spacing w:before="0"/>
      </w:pPr>
      <w:bookmarkStart w:id="45" w:name="Training_and_Staff_Development"/>
      <w:bookmarkStart w:id="46" w:name="_bookmark21"/>
      <w:bookmarkEnd w:id="45"/>
      <w:bookmarkEnd w:id="46"/>
      <w:r>
        <w:rPr>
          <w:color w:val="1F497D"/>
        </w:rPr>
        <w:t>Training and Staff Development</w:t>
      </w:r>
    </w:p>
    <w:p w:rsidR="00594BC7" w:rsidRDefault="00155135">
      <w:pPr>
        <w:pStyle w:val="Heading3"/>
        <w:spacing w:before="162" w:line="319" w:lineRule="exact"/>
      </w:pPr>
      <w:r>
        <w:t>Training Academy</w:t>
      </w:r>
    </w:p>
    <w:p w:rsidR="00594BC7" w:rsidRDefault="00155135">
      <w:pPr>
        <w:pStyle w:val="BodyText"/>
        <w:ind w:left="419" w:right="767"/>
        <w:jc w:val="both"/>
      </w:pPr>
      <w:r>
        <w:t>In 2016, the F. Robert Brown Training Center provided Basic Training to over 650 state and provider staff. Basic training is a 3-week course essential to the on-boarding of new employees. Basic training consists of 23 classroom modules, 6 e-Learnings, and</w:t>
      </w:r>
      <w:r>
        <w:t xml:space="preserve"> an on-the-job training component. In addition, the Training Academy facilitated and supported more than 100 Annual Review trainings, where over 2,000 state and provider staff </w:t>
      </w:r>
      <w:proofErr w:type="gramStart"/>
      <w:r>
        <w:t>were</w:t>
      </w:r>
      <w:proofErr w:type="gramEnd"/>
      <w:r>
        <w:t xml:space="preserve"> trained. The Annual Review consisted of two full day’s training for veteran</w:t>
      </w:r>
      <w:r>
        <w:t xml:space="preserve"> staff that covered the DYS Strategic Plan, De-escalation, Adolescent Brain Development, PYD, PREA, Safety &amp; Searches, Suicide Prevention, Use of Force, Programming, Situational Awareness, Report Writing, DYS Restraint Technique, and Defensive &amp; Disengagem</w:t>
      </w:r>
      <w:r>
        <w:t>ent Techniques.</w:t>
      </w:r>
    </w:p>
    <w:p w:rsidR="00594BC7" w:rsidRDefault="00594BC7">
      <w:pPr>
        <w:pStyle w:val="BodyText"/>
        <w:spacing w:before="6"/>
        <w:rPr>
          <w:sz w:val="29"/>
        </w:rPr>
      </w:pPr>
    </w:p>
    <w:p w:rsidR="00594BC7" w:rsidRDefault="00155135">
      <w:pPr>
        <w:pStyle w:val="Heading3"/>
        <w:spacing w:before="0" w:line="319" w:lineRule="exact"/>
      </w:pPr>
      <w:r>
        <w:t>Casework Conference in 2016</w:t>
      </w:r>
    </w:p>
    <w:p w:rsidR="00594BC7" w:rsidRDefault="00155135">
      <w:pPr>
        <w:pStyle w:val="BodyText"/>
        <w:ind w:left="420" w:right="768"/>
        <w:jc w:val="both"/>
      </w:pPr>
      <w:r>
        <w:t>The 8th Annual Community Services Professional Development day was attended by close to 200 community staff. The day’s sessions focused on family engagement, with parents sharing their perspectives and experienc</w:t>
      </w:r>
      <w:r>
        <w:t>es regarding DYS staff support while their children were in DYS care. The day's presentations included information on uncovering housing resources for DYS youth, youth performances, youth speakers, and DYS parents. The keynote presentation on “Unmasking Tr</w:t>
      </w:r>
      <w:r>
        <w:t>auma Strategies for Working with Troubled Youth” was given by Dr. Kenneth Harding, Professor of Family Therapy at Drexel University.</w:t>
      </w:r>
    </w:p>
    <w:p w:rsidR="00594BC7" w:rsidRDefault="00594BC7">
      <w:pPr>
        <w:jc w:val="both"/>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2"/>
      </w:pPr>
      <w:bookmarkStart w:id="47" w:name="DYS_Capital_Projects"/>
      <w:bookmarkEnd w:id="47"/>
      <w:r>
        <w:rPr>
          <w:color w:val="1F497D"/>
        </w:rPr>
        <w:lastRenderedPageBreak/>
        <w:t>DYS Capital Projects</w:t>
      </w:r>
    </w:p>
    <w:p w:rsidR="00594BC7" w:rsidRDefault="00155135">
      <w:pPr>
        <w:pStyle w:val="BodyText"/>
        <w:spacing w:before="156"/>
        <w:ind w:left="419" w:right="762"/>
        <w:jc w:val="both"/>
      </w:pPr>
      <w:r>
        <w:t xml:space="preserve">In 2016, the DYS facilities housing hardware secure </w:t>
      </w:r>
      <w:r>
        <w:t xml:space="preserve">programs were the Judge John Connelly Youth Service Center in Roslindale, the Metro Youth Service Center in Dorchester, the Northeast Youth Service Center in Middleton, the Goss Building in Taunton, the Zara Cisco </w:t>
      </w:r>
      <w:proofErr w:type="spellStart"/>
      <w:r>
        <w:t>Brough</w:t>
      </w:r>
      <w:proofErr w:type="spellEnd"/>
      <w:r>
        <w:t xml:space="preserve">, Sharp and Allen Hall buildings in </w:t>
      </w:r>
      <w:r>
        <w:t>Westborough, the Leahy Center in Worcester, the Western Youth Service Center in Springfield and the Westfield Youth Service Center in Westfield. Capital projects totaling $1.7 million completed in CY 2016 included upgrade and replacement of surveillance ca</w:t>
      </w:r>
      <w:r>
        <w:t xml:space="preserve">mera systems, replacement of water boilers at Zara Cisco </w:t>
      </w:r>
      <w:proofErr w:type="spellStart"/>
      <w:r>
        <w:t>Brough</w:t>
      </w:r>
      <w:proofErr w:type="spellEnd"/>
      <w:r>
        <w:t>, second floor renovation at the Springfield facility and installation of new lighting, air conditioning, and ventilation system at the Metro Youth Service Center.</w:t>
      </w:r>
    </w:p>
    <w:p w:rsidR="00594BC7" w:rsidRDefault="00594BC7">
      <w:pPr>
        <w:pStyle w:val="BodyText"/>
        <w:spacing w:before="2"/>
        <w:rPr>
          <w:sz w:val="27"/>
        </w:rPr>
      </w:pPr>
    </w:p>
    <w:p w:rsidR="00594BC7" w:rsidRDefault="00155135">
      <w:pPr>
        <w:pStyle w:val="Heading3"/>
      </w:pPr>
      <w:r>
        <w:t>The Northeast Youth Service Center</w:t>
      </w:r>
    </w:p>
    <w:p w:rsidR="00594BC7" w:rsidRDefault="00155135">
      <w:pPr>
        <w:pStyle w:val="BodyText"/>
        <w:spacing w:before="54"/>
        <w:ind w:left="5788" w:right="765"/>
        <w:jc w:val="both"/>
      </w:pPr>
      <w:r>
        <w:rPr>
          <w:noProof/>
          <w:lang w:bidi="ar-SA"/>
        </w:rPr>
        <w:drawing>
          <wp:anchor distT="0" distB="0" distL="0" distR="0" simplePos="0" relativeHeight="251646976" behindDoc="0" locked="0" layoutInCell="1" allowOverlap="1">
            <wp:simplePos x="0" y="0"/>
            <wp:positionH relativeFrom="page">
              <wp:posOffset>913764</wp:posOffset>
            </wp:positionH>
            <wp:positionV relativeFrom="paragraph">
              <wp:posOffset>58587</wp:posOffset>
            </wp:positionV>
            <wp:extent cx="3290886" cy="1755138"/>
            <wp:effectExtent l="0" t="0" r="0" b="0"/>
            <wp:wrapNone/>
            <wp:docPr id="7"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9.jpeg"/>
                    <pic:cNvPicPr/>
                  </pic:nvPicPr>
                  <pic:blipFill>
                    <a:blip r:embed="rId32" cstate="print"/>
                    <a:stretch>
                      <a:fillRect/>
                    </a:stretch>
                  </pic:blipFill>
                  <pic:spPr>
                    <a:xfrm>
                      <a:off x="0" y="0"/>
                      <a:ext cx="3290886" cy="1755138"/>
                    </a:xfrm>
                    <a:prstGeom prst="rect">
                      <a:avLst/>
                    </a:prstGeom>
                  </pic:spPr>
                </pic:pic>
              </a:graphicData>
            </a:graphic>
          </wp:anchor>
        </w:drawing>
      </w:r>
      <w:r>
        <w:t xml:space="preserve">In 2016, the Department opened a newly constructed, 70,000-square-foot facility in Middleton. The Northeast Youth Service Center, a two-story residential facility on 39 acres, houses three programs—detention, treatment, </w:t>
      </w:r>
      <w:r>
        <w:t xml:space="preserve">and revocation—each with </w:t>
      </w:r>
      <w:r>
        <w:rPr>
          <w:spacing w:val="-4"/>
        </w:rPr>
        <w:t xml:space="preserve">the </w:t>
      </w:r>
      <w:r>
        <w:t>capacity to serve 15 youth at a time. Each wing has 15 bedrooms, a dayroom, and dedicated teaching and clinical spaces. The facility</w:t>
      </w:r>
      <w:r>
        <w:rPr>
          <w:spacing w:val="39"/>
        </w:rPr>
        <w:t xml:space="preserve"> </w:t>
      </w:r>
      <w:r>
        <w:t>also</w:t>
      </w:r>
    </w:p>
    <w:p w:rsidR="00594BC7" w:rsidRDefault="00155135">
      <w:pPr>
        <w:pStyle w:val="BodyText"/>
        <w:ind w:left="419" w:right="765"/>
        <w:jc w:val="both"/>
      </w:pPr>
      <w:r>
        <w:t>includes a gym, an exercise yard, visitation rooms, library services, food services, heal</w:t>
      </w:r>
      <w:r>
        <w:t>th services, and classrooms—including specialized classrooms for art, music, and vocational education—as well as regional administrative offices, and staff and building support. Visitors enter through the courtyard and have access to a waiting area and sec</w:t>
      </w:r>
      <w:r>
        <w:t xml:space="preserve">ure visitation room. The building is sited to maximize solar exposure and utilizes high-performance shading through roof and window overhangs. The interior rooms receive sun approximately 80% of the day, and the kitchen facilities are designed to minimize </w:t>
      </w:r>
      <w:r>
        <w:t>water usage and use special ventilation controls for fan energy efficiency and conditioned air savings.</w:t>
      </w:r>
    </w:p>
    <w:p w:rsidR="00594BC7" w:rsidRDefault="00594BC7">
      <w:pPr>
        <w:jc w:val="both"/>
        <w:sectPr w:rsidR="00594BC7">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pPr>
    </w:p>
    <w:p w:rsidR="00594BC7" w:rsidRDefault="00155135">
      <w:pPr>
        <w:pStyle w:val="Heading2"/>
      </w:pPr>
      <w:bookmarkStart w:id="48" w:name="DYS_Fiscal_Year_2016_Budget_at_a_Glance"/>
      <w:bookmarkStart w:id="49" w:name="_bookmark23"/>
      <w:bookmarkEnd w:id="48"/>
      <w:bookmarkEnd w:id="49"/>
      <w:r>
        <w:rPr>
          <w:color w:val="1F497D"/>
        </w:rPr>
        <w:lastRenderedPageBreak/>
        <w:t>DYS Fiscal Year 2016 Budget at a Glance</w:t>
      </w:r>
    </w:p>
    <w:p w:rsidR="00594BC7" w:rsidRDefault="00155135">
      <w:pPr>
        <w:pStyle w:val="BodyText"/>
        <w:spacing w:before="156"/>
        <w:ind w:left="419" w:right="766"/>
        <w:jc w:val="both"/>
      </w:pPr>
      <w:r>
        <w:t xml:space="preserve">The DYS Fiscal Year 2016 appropriation of $177.2 million that </w:t>
      </w:r>
      <w:r>
        <w:t>funded the six categories listed below enabled DYS to continue evidence-based programming, comprehensive staff training, and the reallocation/reconfiguration of programs to better serve the changing demographics and profiles of the youth coming to</w:t>
      </w:r>
      <w:r>
        <w:rPr>
          <w:spacing w:val="-1"/>
        </w:rPr>
        <w:t xml:space="preserve"> </w:t>
      </w:r>
      <w:r>
        <w:t>DYS.</w:t>
      </w:r>
    </w:p>
    <w:p w:rsidR="00594BC7" w:rsidRDefault="00594BC7">
      <w:pPr>
        <w:pStyle w:val="BodyText"/>
        <w:rPr>
          <w:sz w:val="20"/>
        </w:rPr>
      </w:pPr>
    </w:p>
    <w:p w:rsidR="00594BC7" w:rsidRDefault="00594BC7">
      <w:pPr>
        <w:pStyle w:val="BodyText"/>
        <w:rPr>
          <w:sz w:val="20"/>
        </w:rPr>
      </w:pPr>
    </w:p>
    <w:p w:rsidR="00594BC7" w:rsidRDefault="00594BC7">
      <w:pPr>
        <w:pStyle w:val="BodyText"/>
        <w:spacing w:before="4"/>
        <w:rPr>
          <w:sz w:val="10"/>
        </w:rPr>
      </w:pPr>
    </w:p>
    <w:tbl>
      <w:tblPr>
        <w:tblW w:w="0" w:type="auto"/>
        <w:tblInd w:w="2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4"/>
        <w:gridCol w:w="2588"/>
      </w:tblGrid>
      <w:tr w:rsidR="00594BC7">
        <w:trPr>
          <w:trHeight w:val="561"/>
        </w:trPr>
        <w:tc>
          <w:tcPr>
            <w:tcW w:w="2974" w:type="dxa"/>
          </w:tcPr>
          <w:p w:rsidR="00594BC7" w:rsidRDefault="00594BC7">
            <w:pPr>
              <w:pStyle w:val="TableParagraph"/>
              <w:spacing w:before="6"/>
              <w:rPr>
                <w:sz w:val="24"/>
              </w:rPr>
            </w:pPr>
          </w:p>
          <w:p w:rsidR="00594BC7" w:rsidRDefault="00155135">
            <w:pPr>
              <w:pStyle w:val="TableParagraph"/>
              <w:spacing w:before="0" w:line="259" w:lineRule="exact"/>
              <w:ind w:left="165"/>
              <w:rPr>
                <w:b/>
                <w:sz w:val="24"/>
              </w:rPr>
            </w:pPr>
            <w:r>
              <w:rPr>
                <w:b/>
                <w:sz w:val="24"/>
              </w:rPr>
              <w:t>ACCOUNTS</w:t>
            </w:r>
          </w:p>
        </w:tc>
        <w:tc>
          <w:tcPr>
            <w:tcW w:w="2588" w:type="dxa"/>
          </w:tcPr>
          <w:p w:rsidR="00594BC7" w:rsidRDefault="00594BC7">
            <w:pPr>
              <w:pStyle w:val="TableParagraph"/>
              <w:spacing w:before="6"/>
              <w:rPr>
                <w:sz w:val="24"/>
              </w:rPr>
            </w:pPr>
          </w:p>
          <w:p w:rsidR="00594BC7" w:rsidRDefault="00155135">
            <w:pPr>
              <w:pStyle w:val="TableParagraph"/>
              <w:spacing w:before="0" w:line="259" w:lineRule="exact"/>
              <w:ind w:right="532"/>
              <w:jc w:val="right"/>
              <w:rPr>
                <w:b/>
                <w:sz w:val="24"/>
              </w:rPr>
            </w:pPr>
            <w:r>
              <w:rPr>
                <w:b/>
                <w:sz w:val="24"/>
              </w:rPr>
              <w:t>TOTAL</w:t>
            </w:r>
          </w:p>
        </w:tc>
      </w:tr>
      <w:tr w:rsidR="00594BC7">
        <w:trPr>
          <w:trHeight w:val="563"/>
        </w:trPr>
        <w:tc>
          <w:tcPr>
            <w:tcW w:w="2974" w:type="dxa"/>
          </w:tcPr>
          <w:p w:rsidR="00594BC7" w:rsidRDefault="00594BC7">
            <w:pPr>
              <w:pStyle w:val="TableParagraph"/>
              <w:spacing w:before="8"/>
              <w:rPr>
                <w:sz w:val="24"/>
              </w:rPr>
            </w:pPr>
          </w:p>
          <w:p w:rsidR="00594BC7" w:rsidRDefault="00155135">
            <w:pPr>
              <w:pStyle w:val="TableParagraph"/>
              <w:spacing w:before="0" w:line="259" w:lineRule="exact"/>
              <w:ind w:left="165"/>
              <w:rPr>
                <w:b/>
                <w:sz w:val="24"/>
              </w:rPr>
            </w:pPr>
            <w:r>
              <w:rPr>
                <w:b/>
                <w:sz w:val="24"/>
              </w:rPr>
              <w:t>Administration</w:t>
            </w:r>
          </w:p>
        </w:tc>
        <w:tc>
          <w:tcPr>
            <w:tcW w:w="2588" w:type="dxa"/>
          </w:tcPr>
          <w:p w:rsidR="00594BC7" w:rsidRDefault="00594BC7">
            <w:pPr>
              <w:pStyle w:val="TableParagraph"/>
              <w:spacing w:before="10"/>
              <w:rPr>
                <w:sz w:val="23"/>
              </w:rPr>
            </w:pPr>
          </w:p>
          <w:p w:rsidR="00594BC7" w:rsidRDefault="00155135">
            <w:pPr>
              <w:pStyle w:val="TableParagraph"/>
              <w:spacing w:before="0" w:line="269" w:lineRule="exact"/>
              <w:ind w:right="537"/>
              <w:jc w:val="right"/>
              <w:rPr>
                <w:b/>
                <w:sz w:val="24"/>
              </w:rPr>
            </w:pPr>
            <w:r>
              <w:rPr>
                <w:b/>
                <w:w w:val="90"/>
                <w:sz w:val="24"/>
              </w:rPr>
              <w:t>$4,434,660</w:t>
            </w:r>
          </w:p>
        </w:tc>
      </w:tr>
      <w:tr w:rsidR="00594BC7">
        <w:trPr>
          <w:trHeight w:val="563"/>
        </w:trPr>
        <w:tc>
          <w:tcPr>
            <w:tcW w:w="2974" w:type="dxa"/>
          </w:tcPr>
          <w:p w:rsidR="00594BC7" w:rsidRDefault="00594BC7">
            <w:pPr>
              <w:pStyle w:val="TableParagraph"/>
              <w:spacing w:before="8"/>
              <w:rPr>
                <w:sz w:val="24"/>
              </w:rPr>
            </w:pPr>
          </w:p>
          <w:p w:rsidR="00594BC7" w:rsidRDefault="00155135">
            <w:pPr>
              <w:pStyle w:val="TableParagraph"/>
              <w:spacing w:before="0" w:line="259" w:lineRule="exact"/>
              <w:ind w:left="165"/>
              <w:rPr>
                <w:b/>
                <w:sz w:val="24"/>
              </w:rPr>
            </w:pPr>
            <w:r>
              <w:rPr>
                <w:b/>
                <w:sz w:val="24"/>
              </w:rPr>
              <w:t>Community Services</w:t>
            </w:r>
          </w:p>
        </w:tc>
        <w:tc>
          <w:tcPr>
            <w:tcW w:w="2588" w:type="dxa"/>
          </w:tcPr>
          <w:p w:rsidR="00594BC7" w:rsidRDefault="00594BC7">
            <w:pPr>
              <w:pStyle w:val="TableParagraph"/>
              <w:spacing w:before="8"/>
              <w:rPr>
                <w:sz w:val="23"/>
              </w:rPr>
            </w:pPr>
          </w:p>
          <w:p w:rsidR="00594BC7" w:rsidRDefault="00155135">
            <w:pPr>
              <w:pStyle w:val="TableParagraph"/>
              <w:spacing w:before="0" w:line="271" w:lineRule="exact"/>
              <w:ind w:right="536"/>
              <w:jc w:val="right"/>
              <w:rPr>
                <w:b/>
                <w:sz w:val="24"/>
              </w:rPr>
            </w:pPr>
            <w:r>
              <w:rPr>
                <w:b/>
                <w:w w:val="90"/>
                <w:sz w:val="24"/>
              </w:rPr>
              <w:t>$23,286,86</w:t>
            </w:r>
          </w:p>
        </w:tc>
      </w:tr>
      <w:tr w:rsidR="00594BC7">
        <w:trPr>
          <w:trHeight w:val="563"/>
        </w:trPr>
        <w:tc>
          <w:tcPr>
            <w:tcW w:w="2974" w:type="dxa"/>
          </w:tcPr>
          <w:p w:rsidR="00594BC7" w:rsidRDefault="00594BC7">
            <w:pPr>
              <w:pStyle w:val="TableParagraph"/>
              <w:spacing w:before="8"/>
              <w:rPr>
                <w:sz w:val="24"/>
              </w:rPr>
            </w:pPr>
          </w:p>
          <w:p w:rsidR="00594BC7" w:rsidRDefault="00155135">
            <w:pPr>
              <w:pStyle w:val="TableParagraph"/>
              <w:spacing w:before="0" w:line="259" w:lineRule="exact"/>
              <w:ind w:left="165"/>
              <w:rPr>
                <w:b/>
                <w:sz w:val="24"/>
              </w:rPr>
            </w:pPr>
            <w:r>
              <w:rPr>
                <w:b/>
                <w:sz w:val="24"/>
              </w:rPr>
              <w:t>Pre-Trial Detention</w:t>
            </w:r>
          </w:p>
        </w:tc>
        <w:tc>
          <w:tcPr>
            <w:tcW w:w="2588" w:type="dxa"/>
          </w:tcPr>
          <w:p w:rsidR="00594BC7" w:rsidRDefault="00594BC7">
            <w:pPr>
              <w:pStyle w:val="TableParagraph"/>
              <w:spacing w:before="8"/>
              <w:rPr>
                <w:sz w:val="23"/>
              </w:rPr>
            </w:pPr>
          </w:p>
          <w:p w:rsidR="00594BC7" w:rsidRDefault="00155135">
            <w:pPr>
              <w:pStyle w:val="TableParagraph"/>
              <w:spacing w:before="0" w:line="271" w:lineRule="exact"/>
              <w:ind w:right="538"/>
              <w:jc w:val="right"/>
              <w:rPr>
                <w:b/>
                <w:sz w:val="24"/>
              </w:rPr>
            </w:pPr>
            <w:r>
              <w:rPr>
                <w:b/>
                <w:w w:val="90"/>
                <w:sz w:val="24"/>
              </w:rPr>
              <w:t>$27,187,833</w:t>
            </w:r>
          </w:p>
        </w:tc>
      </w:tr>
      <w:tr w:rsidR="00594BC7">
        <w:trPr>
          <w:trHeight w:val="561"/>
        </w:trPr>
        <w:tc>
          <w:tcPr>
            <w:tcW w:w="2974" w:type="dxa"/>
          </w:tcPr>
          <w:p w:rsidR="00594BC7" w:rsidRDefault="00594BC7">
            <w:pPr>
              <w:pStyle w:val="TableParagraph"/>
              <w:spacing w:before="6"/>
              <w:rPr>
                <w:sz w:val="24"/>
              </w:rPr>
            </w:pPr>
          </w:p>
          <w:p w:rsidR="00594BC7" w:rsidRDefault="00155135">
            <w:pPr>
              <w:pStyle w:val="TableParagraph"/>
              <w:spacing w:before="0" w:line="259" w:lineRule="exact"/>
              <w:ind w:left="165"/>
              <w:rPr>
                <w:b/>
                <w:sz w:val="24"/>
              </w:rPr>
            </w:pPr>
            <w:r>
              <w:rPr>
                <w:b/>
                <w:sz w:val="24"/>
              </w:rPr>
              <w:t>Residential Services</w:t>
            </w:r>
          </w:p>
        </w:tc>
        <w:tc>
          <w:tcPr>
            <w:tcW w:w="2588" w:type="dxa"/>
          </w:tcPr>
          <w:p w:rsidR="00594BC7" w:rsidRDefault="00594BC7">
            <w:pPr>
              <w:pStyle w:val="TableParagraph"/>
              <w:spacing w:before="8"/>
              <w:rPr>
                <w:sz w:val="23"/>
              </w:rPr>
            </w:pPr>
          </w:p>
          <w:p w:rsidR="00594BC7" w:rsidRDefault="00155135">
            <w:pPr>
              <w:pStyle w:val="TableParagraph"/>
              <w:spacing w:before="0" w:line="269" w:lineRule="exact"/>
              <w:ind w:right="537"/>
              <w:jc w:val="right"/>
              <w:rPr>
                <w:b/>
                <w:sz w:val="24"/>
              </w:rPr>
            </w:pPr>
            <w:r>
              <w:rPr>
                <w:b/>
                <w:w w:val="90"/>
                <w:sz w:val="24"/>
              </w:rPr>
              <w:t>$117,000,000</w:t>
            </w:r>
          </w:p>
        </w:tc>
      </w:tr>
      <w:tr w:rsidR="00594BC7">
        <w:trPr>
          <w:trHeight w:val="563"/>
        </w:trPr>
        <w:tc>
          <w:tcPr>
            <w:tcW w:w="2974" w:type="dxa"/>
          </w:tcPr>
          <w:p w:rsidR="00594BC7" w:rsidRDefault="00594BC7">
            <w:pPr>
              <w:pStyle w:val="TableParagraph"/>
              <w:spacing w:before="8"/>
              <w:rPr>
                <w:sz w:val="24"/>
              </w:rPr>
            </w:pPr>
          </w:p>
          <w:p w:rsidR="00594BC7" w:rsidRDefault="00155135">
            <w:pPr>
              <w:pStyle w:val="TableParagraph"/>
              <w:spacing w:before="0" w:line="259" w:lineRule="exact"/>
              <w:ind w:left="165"/>
              <w:rPr>
                <w:b/>
                <w:sz w:val="24"/>
              </w:rPr>
            </w:pPr>
            <w:r>
              <w:rPr>
                <w:b/>
                <w:sz w:val="24"/>
              </w:rPr>
              <w:t>Teachers’ Salaries</w:t>
            </w:r>
          </w:p>
        </w:tc>
        <w:tc>
          <w:tcPr>
            <w:tcW w:w="2588" w:type="dxa"/>
          </w:tcPr>
          <w:p w:rsidR="00594BC7" w:rsidRDefault="00594BC7">
            <w:pPr>
              <w:pStyle w:val="TableParagraph"/>
              <w:spacing w:before="8"/>
              <w:rPr>
                <w:sz w:val="23"/>
              </w:rPr>
            </w:pPr>
          </w:p>
          <w:p w:rsidR="00594BC7" w:rsidRDefault="00155135">
            <w:pPr>
              <w:pStyle w:val="TableParagraph"/>
              <w:spacing w:before="0" w:line="271" w:lineRule="exact"/>
              <w:ind w:right="537"/>
              <w:jc w:val="right"/>
              <w:rPr>
                <w:b/>
                <w:sz w:val="24"/>
              </w:rPr>
            </w:pPr>
            <w:r>
              <w:rPr>
                <w:b/>
                <w:w w:val="90"/>
                <w:sz w:val="24"/>
              </w:rPr>
              <w:t>$3,154,187</w:t>
            </w:r>
          </w:p>
        </w:tc>
      </w:tr>
      <w:tr w:rsidR="00594BC7">
        <w:trPr>
          <w:trHeight w:val="563"/>
        </w:trPr>
        <w:tc>
          <w:tcPr>
            <w:tcW w:w="2974" w:type="dxa"/>
          </w:tcPr>
          <w:p w:rsidR="00594BC7" w:rsidRDefault="00594BC7">
            <w:pPr>
              <w:pStyle w:val="TableParagraph"/>
              <w:spacing w:before="8"/>
              <w:rPr>
                <w:sz w:val="24"/>
              </w:rPr>
            </w:pPr>
          </w:p>
          <w:p w:rsidR="00594BC7" w:rsidRDefault="00155135">
            <w:pPr>
              <w:pStyle w:val="TableParagraph"/>
              <w:spacing w:before="0" w:line="259" w:lineRule="exact"/>
              <w:ind w:left="165"/>
              <w:rPr>
                <w:b/>
                <w:sz w:val="24"/>
              </w:rPr>
            </w:pPr>
            <w:r>
              <w:rPr>
                <w:b/>
                <w:sz w:val="24"/>
              </w:rPr>
              <w:t>Alternative Lock-Up</w:t>
            </w:r>
          </w:p>
        </w:tc>
        <w:tc>
          <w:tcPr>
            <w:tcW w:w="2588" w:type="dxa"/>
          </w:tcPr>
          <w:p w:rsidR="00594BC7" w:rsidRDefault="00594BC7">
            <w:pPr>
              <w:pStyle w:val="TableParagraph"/>
              <w:spacing w:before="8"/>
              <w:rPr>
                <w:sz w:val="23"/>
              </w:rPr>
            </w:pPr>
          </w:p>
          <w:p w:rsidR="00594BC7" w:rsidRDefault="00155135">
            <w:pPr>
              <w:pStyle w:val="TableParagraph"/>
              <w:spacing w:before="0" w:line="271" w:lineRule="exact"/>
              <w:ind w:right="537"/>
              <w:jc w:val="right"/>
              <w:rPr>
                <w:b/>
                <w:sz w:val="24"/>
              </w:rPr>
            </w:pPr>
            <w:r>
              <w:rPr>
                <w:b/>
                <w:w w:val="90"/>
                <w:sz w:val="24"/>
              </w:rPr>
              <w:t>$2,102,363</w:t>
            </w:r>
          </w:p>
        </w:tc>
      </w:tr>
      <w:tr w:rsidR="00594BC7">
        <w:trPr>
          <w:trHeight w:val="561"/>
        </w:trPr>
        <w:tc>
          <w:tcPr>
            <w:tcW w:w="2974" w:type="dxa"/>
          </w:tcPr>
          <w:p w:rsidR="00594BC7" w:rsidRDefault="00594BC7">
            <w:pPr>
              <w:pStyle w:val="TableParagraph"/>
              <w:spacing w:before="6"/>
              <w:rPr>
                <w:sz w:val="24"/>
              </w:rPr>
            </w:pPr>
          </w:p>
          <w:p w:rsidR="00594BC7" w:rsidRDefault="00155135">
            <w:pPr>
              <w:pStyle w:val="TableParagraph"/>
              <w:spacing w:before="0" w:line="259" w:lineRule="exact"/>
              <w:ind w:left="165"/>
              <w:rPr>
                <w:b/>
                <w:sz w:val="24"/>
              </w:rPr>
            </w:pPr>
            <w:r>
              <w:rPr>
                <w:b/>
                <w:sz w:val="24"/>
              </w:rPr>
              <w:t>TOTAL</w:t>
            </w:r>
          </w:p>
        </w:tc>
        <w:tc>
          <w:tcPr>
            <w:tcW w:w="2588" w:type="dxa"/>
          </w:tcPr>
          <w:p w:rsidR="00594BC7" w:rsidRDefault="00594BC7">
            <w:pPr>
              <w:pStyle w:val="TableParagraph"/>
              <w:spacing w:before="8"/>
              <w:rPr>
                <w:sz w:val="23"/>
              </w:rPr>
            </w:pPr>
          </w:p>
          <w:p w:rsidR="00594BC7" w:rsidRDefault="00155135">
            <w:pPr>
              <w:pStyle w:val="TableParagraph"/>
              <w:spacing w:before="0" w:line="269" w:lineRule="exact"/>
              <w:ind w:right="534"/>
              <w:jc w:val="right"/>
              <w:rPr>
                <w:b/>
                <w:sz w:val="24"/>
              </w:rPr>
            </w:pPr>
            <w:r>
              <w:rPr>
                <w:b/>
                <w:sz w:val="24"/>
              </w:rPr>
              <w:t>$177,165,639</w:t>
            </w:r>
          </w:p>
        </w:tc>
      </w:tr>
    </w:tbl>
    <w:p w:rsidR="00000000" w:rsidRDefault="00155135"/>
    <w:sectPr w:rsidR="00000000">
      <w:pgSz w:w="12240" w:h="15840"/>
      <w:pgMar w:top="940" w:right="940" w:bottom="1260" w:left="1020" w:header="0" w:footer="1019"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155135">
      <w:r>
        <w:separator/>
      </w:r>
    </w:p>
  </w:endnote>
  <w:endnote w:type="continuationSeparator" w:id="0">
    <w:p w:rsidR="00000000" w:rsidRDefault="00155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4BC7" w:rsidRDefault="00155135">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4.7pt;margin-top:727.5pt;width:16pt;height:15.3pt;z-index:-251658752;mso-position-horizontal-relative:page;mso-position-vertical-relative:page" filled="f" stroked="f">
          <v:textbox inset="0,0,0,0">
            <w:txbxContent>
              <w:p w:rsidR="00594BC7" w:rsidRDefault="00155135">
                <w:pPr>
                  <w:pStyle w:val="BodyText"/>
                  <w:spacing w:before="10"/>
                  <w:ind w:left="40"/>
                </w:pPr>
                <w:r>
                  <w:fldChar w:fldCharType="begin"/>
                </w:r>
                <w:r>
                  <w:instrText xml:space="preserve"> PAGE </w:instrText>
                </w:r>
                <w:r>
                  <w:fldChar w:fldCharType="separate"/>
                </w:r>
                <w:r>
                  <w:rPr>
                    <w:noProof/>
                  </w:rPr>
                  <w:t>8</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155135">
      <w:r>
        <w:separator/>
      </w:r>
    </w:p>
  </w:footnote>
  <w:footnote w:type="continuationSeparator" w:id="0">
    <w:p w:rsidR="00000000" w:rsidRDefault="001551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54AFD"/>
    <w:multiLevelType w:val="hybridMultilevel"/>
    <w:tmpl w:val="034CDC72"/>
    <w:lvl w:ilvl="0" w:tplc="BE10256E">
      <w:numFmt w:val="bullet"/>
      <w:lvlText w:val=""/>
      <w:lvlJc w:val="left"/>
      <w:pPr>
        <w:ind w:left="1140" w:hanging="360"/>
      </w:pPr>
      <w:rPr>
        <w:rFonts w:hint="default"/>
        <w:w w:val="100"/>
        <w:lang w:val="en-US" w:eastAsia="en-US" w:bidi="en-US"/>
      </w:rPr>
    </w:lvl>
    <w:lvl w:ilvl="1" w:tplc="481E333C">
      <w:numFmt w:val="bullet"/>
      <w:lvlText w:val="o"/>
      <w:lvlJc w:val="left"/>
      <w:pPr>
        <w:ind w:left="1860" w:hanging="361"/>
      </w:pPr>
      <w:rPr>
        <w:rFonts w:ascii="Courier New" w:eastAsia="Courier New" w:hAnsi="Courier New" w:cs="Courier New" w:hint="default"/>
        <w:w w:val="100"/>
        <w:sz w:val="22"/>
        <w:szCs w:val="22"/>
        <w:lang w:val="en-US" w:eastAsia="en-US" w:bidi="en-US"/>
      </w:rPr>
    </w:lvl>
    <w:lvl w:ilvl="2" w:tplc="ECECBF28">
      <w:numFmt w:val="bullet"/>
      <w:lvlText w:val="•"/>
      <w:lvlJc w:val="left"/>
      <w:pPr>
        <w:ind w:left="2795" w:hanging="361"/>
      </w:pPr>
      <w:rPr>
        <w:rFonts w:hint="default"/>
        <w:lang w:val="en-US" w:eastAsia="en-US" w:bidi="en-US"/>
      </w:rPr>
    </w:lvl>
    <w:lvl w:ilvl="3" w:tplc="18F244F4">
      <w:numFmt w:val="bullet"/>
      <w:lvlText w:val="•"/>
      <w:lvlJc w:val="left"/>
      <w:pPr>
        <w:ind w:left="3731" w:hanging="361"/>
      </w:pPr>
      <w:rPr>
        <w:rFonts w:hint="default"/>
        <w:lang w:val="en-US" w:eastAsia="en-US" w:bidi="en-US"/>
      </w:rPr>
    </w:lvl>
    <w:lvl w:ilvl="4" w:tplc="DB943F56">
      <w:numFmt w:val="bullet"/>
      <w:lvlText w:val="•"/>
      <w:lvlJc w:val="left"/>
      <w:pPr>
        <w:ind w:left="4666" w:hanging="361"/>
      </w:pPr>
      <w:rPr>
        <w:rFonts w:hint="default"/>
        <w:lang w:val="en-US" w:eastAsia="en-US" w:bidi="en-US"/>
      </w:rPr>
    </w:lvl>
    <w:lvl w:ilvl="5" w:tplc="3090626C">
      <w:numFmt w:val="bullet"/>
      <w:lvlText w:val="•"/>
      <w:lvlJc w:val="left"/>
      <w:pPr>
        <w:ind w:left="5602" w:hanging="361"/>
      </w:pPr>
      <w:rPr>
        <w:rFonts w:hint="default"/>
        <w:lang w:val="en-US" w:eastAsia="en-US" w:bidi="en-US"/>
      </w:rPr>
    </w:lvl>
    <w:lvl w:ilvl="6" w:tplc="58563114">
      <w:numFmt w:val="bullet"/>
      <w:lvlText w:val="•"/>
      <w:lvlJc w:val="left"/>
      <w:pPr>
        <w:ind w:left="6537" w:hanging="361"/>
      </w:pPr>
      <w:rPr>
        <w:rFonts w:hint="default"/>
        <w:lang w:val="en-US" w:eastAsia="en-US" w:bidi="en-US"/>
      </w:rPr>
    </w:lvl>
    <w:lvl w:ilvl="7" w:tplc="578AD1FE">
      <w:numFmt w:val="bullet"/>
      <w:lvlText w:val="•"/>
      <w:lvlJc w:val="left"/>
      <w:pPr>
        <w:ind w:left="7473" w:hanging="361"/>
      </w:pPr>
      <w:rPr>
        <w:rFonts w:hint="default"/>
        <w:lang w:val="en-US" w:eastAsia="en-US" w:bidi="en-US"/>
      </w:rPr>
    </w:lvl>
    <w:lvl w:ilvl="8" w:tplc="A2A0450E">
      <w:numFmt w:val="bullet"/>
      <w:lvlText w:val="•"/>
      <w:lvlJc w:val="left"/>
      <w:pPr>
        <w:ind w:left="8408" w:hanging="361"/>
      </w:pPr>
      <w:rPr>
        <w:rFonts w:hint="default"/>
        <w:lang w:val="en-US" w:eastAsia="en-US" w:bidi="en-US"/>
      </w:rPr>
    </w:lvl>
  </w:abstractNum>
  <w:abstractNum w:abstractNumId="1">
    <w:nsid w:val="29C066C4"/>
    <w:multiLevelType w:val="hybridMultilevel"/>
    <w:tmpl w:val="9022D390"/>
    <w:lvl w:ilvl="0" w:tplc="D5CC95A4">
      <w:numFmt w:val="bullet"/>
      <w:lvlText w:val=""/>
      <w:lvlJc w:val="left"/>
      <w:pPr>
        <w:ind w:left="1140" w:hanging="360"/>
      </w:pPr>
      <w:rPr>
        <w:rFonts w:ascii="Symbol" w:eastAsia="Symbol" w:hAnsi="Symbol" w:cs="Symbol" w:hint="default"/>
        <w:w w:val="100"/>
        <w:sz w:val="24"/>
        <w:szCs w:val="24"/>
        <w:lang w:val="en-US" w:eastAsia="en-US" w:bidi="en-US"/>
      </w:rPr>
    </w:lvl>
    <w:lvl w:ilvl="1" w:tplc="52FE7452">
      <w:numFmt w:val="bullet"/>
      <w:lvlText w:val="•"/>
      <w:lvlJc w:val="left"/>
      <w:pPr>
        <w:ind w:left="2054" w:hanging="360"/>
      </w:pPr>
      <w:rPr>
        <w:rFonts w:hint="default"/>
        <w:lang w:val="en-US" w:eastAsia="en-US" w:bidi="en-US"/>
      </w:rPr>
    </w:lvl>
    <w:lvl w:ilvl="2" w:tplc="E7040C9E">
      <w:numFmt w:val="bullet"/>
      <w:lvlText w:val="•"/>
      <w:lvlJc w:val="left"/>
      <w:pPr>
        <w:ind w:left="2968" w:hanging="360"/>
      </w:pPr>
      <w:rPr>
        <w:rFonts w:hint="default"/>
        <w:lang w:val="en-US" w:eastAsia="en-US" w:bidi="en-US"/>
      </w:rPr>
    </w:lvl>
    <w:lvl w:ilvl="3" w:tplc="7A30F7E4">
      <w:numFmt w:val="bullet"/>
      <w:lvlText w:val="•"/>
      <w:lvlJc w:val="left"/>
      <w:pPr>
        <w:ind w:left="3882" w:hanging="360"/>
      </w:pPr>
      <w:rPr>
        <w:rFonts w:hint="default"/>
        <w:lang w:val="en-US" w:eastAsia="en-US" w:bidi="en-US"/>
      </w:rPr>
    </w:lvl>
    <w:lvl w:ilvl="4" w:tplc="6B341C48">
      <w:numFmt w:val="bullet"/>
      <w:lvlText w:val="•"/>
      <w:lvlJc w:val="left"/>
      <w:pPr>
        <w:ind w:left="4796" w:hanging="360"/>
      </w:pPr>
      <w:rPr>
        <w:rFonts w:hint="default"/>
        <w:lang w:val="en-US" w:eastAsia="en-US" w:bidi="en-US"/>
      </w:rPr>
    </w:lvl>
    <w:lvl w:ilvl="5" w:tplc="6C1C1140">
      <w:numFmt w:val="bullet"/>
      <w:lvlText w:val="•"/>
      <w:lvlJc w:val="left"/>
      <w:pPr>
        <w:ind w:left="5710" w:hanging="360"/>
      </w:pPr>
      <w:rPr>
        <w:rFonts w:hint="default"/>
        <w:lang w:val="en-US" w:eastAsia="en-US" w:bidi="en-US"/>
      </w:rPr>
    </w:lvl>
    <w:lvl w:ilvl="6" w:tplc="4546EC52">
      <w:numFmt w:val="bullet"/>
      <w:lvlText w:val="•"/>
      <w:lvlJc w:val="left"/>
      <w:pPr>
        <w:ind w:left="6624" w:hanging="360"/>
      </w:pPr>
      <w:rPr>
        <w:rFonts w:hint="default"/>
        <w:lang w:val="en-US" w:eastAsia="en-US" w:bidi="en-US"/>
      </w:rPr>
    </w:lvl>
    <w:lvl w:ilvl="7" w:tplc="B29EC308">
      <w:numFmt w:val="bullet"/>
      <w:lvlText w:val="•"/>
      <w:lvlJc w:val="left"/>
      <w:pPr>
        <w:ind w:left="7538" w:hanging="360"/>
      </w:pPr>
      <w:rPr>
        <w:rFonts w:hint="default"/>
        <w:lang w:val="en-US" w:eastAsia="en-US" w:bidi="en-US"/>
      </w:rPr>
    </w:lvl>
    <w:lvl w:ilvl="8" w:tplc="A640582E">
      <w:numFmt w:val="bullet"/>
      <w:lvlText w:val="•"/>
      <w:lvlJc w:val="left"/>
      <w:pPr>
        <w:ind w:left="8452" w:hanging="360"/>
      </w:pPr>
      <w:rPr>
        <w:rFonts w:hint="default"/>
        <w:lang w:val="en-US" w:eastAsia="en-US" w:bidi="en-US"/>
      </w:rPr>
    </w:lvl>
  </w:abstractNum>
  <w:abstractNum w:abstractNumId="2">
    <w:nsid w:val="3E230A64"/>
    <w:multiLevelType w:val="hybridMultilevel"/>
    <w:tmpl w:val="ABAC605E"/>
    <w:lvl w:ilvl="0" w:tplc="7456734E">
      <w:numFmt w:val="bullet"/>
      <w:lvlText w:val=""/>
      <w:lvlJc w:val="left"/>
      <w:pPr>
        <w:ind w:left="780" w:hanging="452"/>
      </w:pPr>
      <w:rPr>
        <w:rFonts w:ascii="Symbol" w:eastAsia="Symbol" w:hAnsi="Symbol" w:cs="Symbol" w:hint="default"/>
        <w:w w:val="100"/>
        <w:sz w:val="24"/>
        <w:szCs w:val="24"/>
        <w:lang w:val="en-US" w:eastAsia="en-US" w:bidi="en-US"/>
      </w:rPr>
    </w:lvl>
    <w:lvl w:ilvl="1" w:tplc="04E886F8">
      <w:numFmt w:val="bullet"/>
      <w:lvlText w:val="o"/>
      <w:lvlJc w:val="left"/>
      <w:pPr>
        <w:ind w:left="1500" w:hanging="360"/>
      </w:pPr>
      <w:rPr>
        <w:rFonts w:hint="default"/>
        <w:w w:val="99"/>
        <w:lang w:val="en-US" w:eastAsia="en-US" w:bidi="en-US"/>
      </w:rPr>
    </w:lvl>
    <w:lvl w:ilvl="2" w:tplc="5FFCC4CE">
      <w:numFmt w:val="bullet"/>
      <w:lvlText w:val="•"/>
      <w:lvlJc w:val="left"/>
      <w:pPr>
        <w:ind w:left="1500" w:hanging="360"/>
      </w:pPr>
      <w:rPr>
        <w:rFonts w:hint="default"/>
        <w:lang w:val="en-US" w:eastAsia="en-US" w:bidi="en-US"/>
      </w:rPr>
    </w:lvl>
    <w:lvl w:ilvl="3" w:tplc="C652F41A">
      <w:numFmt w:val="bullet"/>
      <w:lvlText w:val="•"/>
      <w:lvlJc w:val="left"/>
      <w:pPr>
        <w:ind w:left="2597" w:hanging="360"/>
      </w:pPr>
      <w:rPr>
        <w:rFonts w:hint="default"/>
        <w:lang w:val="en-US" w:eastAsia="en-US" w:bidi="en-US"/>
      </w:rPr>
    </w:lvl>
    <w:lvl w:ilvl="4" w:tplc="09F410C4">
      <w:numFmt w:val="bullet"/>
      <w:lvlText w:val="•"/>
      <w:lvlJc w:val="left"/>
      <w:pPr>
        <w:ind w:left="3695" w:hanging="360"/>
      </w:pPr>
      <w:rPr>
        <w:rFonts w:hint="default"/>
        <w:lang w:val="en-US" w:eastAsia="en-US" w:bidi="en-US"/>
      </w:rPr>
    </w:lvl>
    <w:lvl w:ilvl="5" w:tplc="9E884B06">
      <w:numFmt w:val="bullet"/>
      <w:lvlText w:val="•"/>
      <w:lvlJc w:val="left"/>
      <w:pPr>
        <w:ind w:left="4792" w:hanging="360"/>
      </w:pPr>
      <w:rPr>
        <w:rFonts w:hint="default"/>
        <w:lang w:val="en-US" w:eastAsia="en-US" w:bidi="en-US"/>
      </w:rPr>
    </w:lvl>
    <w:lvl w:ilvl="6" w:tplc="AE00ECB4">
      <w:numFmt w:val="bullet"/>
      <w:lvlText w:val="•"/>
      <w:lvlJc w:val="left"/>
      <w:pPr>
        <w:ind w:left="5890" w:hanging="360"/>
      </w:pPr>
      <w:rPr>
        <w:rFonts w:hint="default"/>
        <w:lang w:val="en-US" w:eastAsia="en-US" w:bidi="en-US"/>
      </w:rPr>
    </w:lvl>
    <w:lvl w:ilvl="7" w:tplc="723CE886">
      <w:numFmt w:val="bullet"/>
      <w:lvlText w:val="•"/>
      <w:lvlJc w:val="left"/>
      <w:pPr>
        <w:ind w:left="6987" w:hanging="360"/>
      </w:pPr>
      <w:rPr>
        <w:rFonts w:hint="default"/>
        <w:lang w:val="en-US" w:eastAsia="en-US" w:bidi="en-US"/>
      </w:rPr>
    </w:lvl>
    <w:lvl w:ilvl="8" w:tplc="F7ECA58C">
      <w:numFmt w:val="bullet"/>
      <w:lvlText w:val="•"/>
      <w:lvlJc w:val="left"/>
      <w:pPr>
        <w:ind w:left="8085" w:hanging="360"/>
      </w:pPr>
      <w:rPr>
        <w:rFonts w:hint="default"/>
        <w:lang w:val="en-US" w:eastAsia="en-US" w:bidi="en-U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594BC7"/>
    <w:rsid w:val="00155135"/>
    <w:rsid w:val="00594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79"/>
      <w:ind w:left="1795"/>
      <w:outlineLvl w:val="0"/>
    </w:pPr>
    <w:rPr>
      <w:rFonts w:ascii="Cambria" w:eastAsia="Cambria" w:hAnsi="Cambria" w:cs="Cambria"/>
      <w:b/>
      <w:bCs/>
      <w:sz w:val="40"/>
      <w:szCs w:val="40"/>
    </w:rPr>
  </w:style>
  <w:style w:type="paragraph" w:styleId="Heading2">
    <w:name w:val="heading 2"/>
    <w:basedOn w:val="Normal"/>
    <w:uiPriority w:val="1"/>
    <w:qFormat/>
    <w:pPr>
      <w:spacing w:before="76"/>
      <w:ind w:left="420"/>
      <w:outlineLvl w:val="1"/>
    </w:pPr>
    <w:rPr>
      <w:rFonts w:ascii="Cambria" w:eastAsia="Cambria" w:hAnsi="Cambria" w:cs="Cambria"/>
      <w:b/>
      <w:bCs/>
      <w:i/>
      <w:sz w:val="32"/>
      <w:szCs w:val="32"/>
    </w:rPr>
  </w:style>
  <w:style w:type="paragraph" w:styleId="Heading3">
    <w:name w:val="heading 3"/>
    <w:basedOn w:val="Normal"/>
    <w:uiPriority w:val="1"/>
    <w:qFormat/>
    <w:pPr>
      <w:spacing w:before="89"/>
      <w:ind w:left="420"/>
      <w:outlineLvl w:val="2"/>
    </w:pPr>
    <w:rPr>
      <w:b/>
      <w:bCs/>
      <w:sz w:val="28"/>
      <w:szCs w:val="28"/>
    </w:rPr>
  </w:style>
  <w:style w:type="paragraph" w:styleId="Heading4">
    <w:name w:val="heading 4"/>
    <w:basedOn w:val="Normal"/>
    <w:uiPriority w:val="1"/>
    <w:qFormat/>
    <w:pPr>
      <w:ind w:left="109"/>
      <w:outlineLvl w:val="3"/>
    </w:pPr>
    <w:rPr>
      <w:rFonts w:ascii="Book Antiqua" w:eastAsia="Book Antiqua" w:hAnsi="Book Antiqua" w:cs="Book Antiqua"/>
      <w:b/>
      <w:bCs/>
      <w:i/>
      <w:sz w:val="26"/>
      <w:szCs w:val="26"/>
    </w:rPr>
  </w:style>
  <w:style w:type="paragraph" w:styleId="Heading5">
    <w:name w:val="heading 5"/>
    <w:basedOn w:val="Normal"/>
    <w:uiPriority w:val="1"/>
    <w:qFormat/>
    <w:pPr>
      <w:ind w:left="420"/>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9"/>
      <w:ind w:left="420"/>
    </w:pPr>
    <w:rPr>
      <w:sz w:val="24"/>
      <w:szCs w:val="24"/>
    </w:rPr>
  </w:style>
  <w:style w:type="paragraph" w:styleId="TOC2">
    <w:name w:val="toc 2"/>
    <w:basedOn w:val="Normal"/>
    <w:uiPriority w:val="1"/>
    <w:qFormat/>
    <w:pPr>
      <w:spacing w:before="161"/>
      <w:ind w:left="78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40"/>
      <w:ind w:left="780" w:hanging="360"/>
    </w:pPr>
  </w:style>
  <w:style w:type="paragraph" w:customStyle="1" w:styleId="TableParagraph">
    <w:name w:val="Table Paragraph"/>
    <w:basedOn w:val="Normal"/>
    <w:uiPriority w:val="1"/>
    <w:qFormat/>
    <w:pPr>
      <w:spacing w:before="51"/>
    </w:pPr>
  </w:style>
  <w:style w:type="paragraph" w:styleId="BalloonText">
    <w:name w:val="Balloon Text"/>
    <w:basedOn w:val="Normal"/>
    <w:link w:val="BalloonTextChar"/>
    <w:uiPriority w:val="99"/>
    <w:semiHidden/>
    <w:unhideWhenUsed/>
    <w:rsid w:val="00155135"/>
    <w:rPr>
      <w:rFonts w:ascii="Tahoma" w:hAnsi="Tahoma" w:cs="Tahoma"/>
      <w:sz w:val="16"/>
      <w:szCs w:val="16"/>
    </w:rPr>
  </w:style>
  <w:style w:type="character" w:customStyle="1" w:styleId="BalloonTextChar">
    <w:name w:val="Balloon Text Char"/>
    <w:basedOn w:val="DefaultParagraphFont"/>
    <w:link w:val="BalloonText"/>
    <w:uiPriority w:val="99"/>
    <w:semiHidden/>
    <w:rsid w:val="00155135"/>
    <w:rPr>
      <w:rFonts w:ascii="Tahoma" w:eastAsia="Times New Roman" w:hAnsi="Tahoma" w:cs="Tahoma"/>
      <w:sz w:val="16"/>
      <w:szCs w:val="16"/>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microsoft.com/office/2007/relationships/stylesWithEffects" Target="stylesWithEffect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hyperlink" Target="http://www.mass.gov/" TargetMode="External"/><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46C47712.dotm</Template>
  <TotalTime>1</TotalTime>
  <Pages>32</Pages>
  <Words>5777</Words>
  <Characters>32933</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Microsoft Word - Updated DYS Annual Report 2014 1.25.16.docx</vt:lpstr>
    </vt:vector>
  </TitlesOfParts>
  <Company>EOHHS</Company>
  <LinksUpToDate>false</LinksUpToDate>
  <CharactersWithSpaces>38633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Updated DYS Annual Report 2014 1.25.16.docx</dc:title>
  <dc:creator>lsimms</dc:creator>
  <cp:lastModifiedBy>EOHHS</cp:lastModifiedBy>
  <cp:revision>2</cp:revision>
  <dcterms:created xsi:type="dcterms:W3CDTF">2019-03-26T13:56:00Z</dcterms:created>
  <dcterms:modified xsi:type="dcterms:W3CDTF">2019-03-26T13:56:00Z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2018-02-01T00:00:00Z</vt:filetime>
  </property>
  <property fmtid="{D5CDD505-2E9C-101B-9397-08002B2CF9AE}" pid="3" name="Creator">
    <vt:lpwstr>Acrobat PDFMaker 15 for Word</vt:lpwstr>
  </property>
  <property fmtid="{D5CDD505-2E9C-101B-9397-08002B2CF9AE}" pid="4" name="LastSaved">
    <vt:filetime>2019-03-13T00:00:00Z</vt:filetime>
  </property>
</Properties>
</file>