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37061" w14:textId="127DE381" w:rsidR="00F51771" w:rsidRPr="00F51771" w:rsidRDefault="00F51771" w:rsidP="00F51771">
      <w:pPr>
        <w:rPr>
          <w:rFonts w:ascii="Whitney Semibold" w:eastAsia="Avenir" w:hAnsi="Whitney Semibold" w:cs="Avenir"/>
          <w:b/>
          <w:bCs/>
          <w:color w:val="01416B"/>
          <w:sz w:val="36"/>
          <w:szCs w:val="36"/>
        </w:rPr>
      </w:pPr>
      <w:r w:rsidRPr="00F51771">
        <w:rPr>
          <w:rFonts w:ascii="Whitney Semibold" w:eastAsia="Avenir" w:hAnsi="Whitney Semibold" w:cs="Avenir"/>
          <w:b/>
          <w:bCs/>
          <w:noProof/>
          <w:color w:val="01416B"/>
          <w:sz w:val="36"/>
          <w:szCs w:val="36"/>
        </w:rPr>
        <w:drawing>
          <wp:anchor distT="0" distB="0" distL="114300" distR="114300" simplePos="0" relativeHeight="251658240" behindDoc="0" locked="0" layoutInCell="1" allowOverlap="1" wp14:anchorId="3CB41B84" wp14:editId="431D14B7">
            <wp:simplePos x="0" y="0"/>
            <wp:positionH relativeFrom="column">
              <wp:posOffset>0</wp:posOffset>
            </wp:positionH>
            <wp:positionV relativeFrom="paragraph">
              <wp:posOffset>0</wp:posOffset>
            </wp:positionV>
            <wp:extent cx="1784985" cy="71623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4985" cy="716232"/>
                    </a:xfrm>
                    <a:prstGeom prst="rect">
                      <a:avLst/>
                    </a:prstGeom>
                  </pic:spPr>
                </pic:pic>
              </a:graphicData>
            </a:graphic>
            <wp14:sizeRelH relativeFrom="page">
              <wp14:pctWidth>0</wp14:pctWidth>
            </wp14:sizeRelH>
            <wp14:sizeRelV relativeFrom="page">
              <wp14:pctHeight>0</wp14:pctHeight>
            </wp14:sizeRelV>
          </wp:anchor>
        </w:drawing>
      </w:r>
      <w:r w:rsidRPr="00F51771">
        <w:rPr>
          <w:rFonts w:ascii="Whitney Semibold" w:eastAsia="Avenir" w:hAnsi="Whitney Semibold" w:cs="Avenir"/>
          <w:b/>
          <w:bCs/>
          <w:color w:val="01416B"/>
          <w:sz w:val="36"/>
          <w:szCs w:val="36"/>
        </w:rPr>
        <w:t>Analysis of the Massachusetts Department of Youth Services’ YES Initiative</w:t>
      </w:r>
    </w:p>
    <w:p w14:paraId="43037AD9" w14:textId="77777777" w:rsidR="00F51771" w:rsidRDefault="00F51771" w:rsidP="00F51771">
      <w:pPr>
        <w:rPr>
          <w:rFonts w:ascii="Whitney Bold" w:eastAsia="Avenir" w:hAnsi="Whitney Bold" w:cs="Avenir"/>
          <w:b/>
          <w:bCs/>
          <w:color w:val="CC0000"/>
          <w:sz w:val="32"/>
          <w:szCs w:val="32"/>
        </w:rPr>
      </w:pPr>
    </w:p>
    <w:p w14:paraId="00000001" w14:textId="6C65C775" w:rsidR="00AA6ACE" w:rsidRPr="00F51771" w:rsidRDefault="00487B09" w:rsidP="00F51771">
      <w:pPr>
        <w:jc w:val="center"/>
        <w:rPr>
          <w:rFonts w:ascii="Whitney Bold" w:eastAsia="Avenir" w:hAnsi="Whitney Bold" w:cs="Avenir"/>
          <w:color w:val="CC0000"/>
          <w:sz w:val="28"/>
          <w:szCs w:val="28"/>
        </w:rPr>
      </w:pPr>
      <w:r w:rsidRPr="00F51771">
        <w:rPr>
          <w:rFonts w:ascii="Whitney Bold" w:eastAsia="Avenir" w:hAnsi="Whitney Bold" w:cs="Avenir"/>
          <w:color w:val="CC0000"/>
          <w:sz w:val="28"/>
          <w:szCs w:val="28"/>
        </w:rPr>
        <w:t>EXECUTIVE SUMMARY</w:t>
      </w:r>
    </w:p>
    <w:p w14:paraId="00000002" w14:textId="77777777" w:rsidR="00AA6ACE" w:rsidRPr="00487B09" w:rsidRDefault="00AA6ACE">
      <w:pPr>
        <w:rPr>
          <w:rFonts w:ascii="Whitney Book" w:eastAsia="Avenir" w:hAnsi="Whitney Book" w:cs="Avenir"/>
        </w:rPr>
      </w:pPr>
    </w:p>
    <w:p w14:paraId="0A4A4AE6" w14:textId="77777777" w:rsidR="00E55636" w:rsidRPr="00487B09" w:rsidRDefault="00E55636" w:rsidP="00E55636">
      <w:pPr>
        <w:rPr>
          <w:rFonts w:ascii="Whitney Semibold" w:eastAsia="Avenir" w:hAnsi="Whitney Semibold" w:cs="Avenir"/>
          <w:b/>
          <w:bCs/>
          <w:color w:val="01416B"/>
          <w:sz w:val="28"/>
          <w:szCs w:val="28"/>
        </w:rPr>
      </w:pPr>
      <w:r w:rsidRPr="00487B09">
        <w:rPr>
          <w:rFonts w:ascii="Whitney Semibold" w:eastAsia="Avenir" w:hAnsi="Whitney Semibold" w:cs="Avenir"/>
          <w:b/>
          <w:bCs/>
          <w:color w:val="01416B"/>
          <w:sz w:val="28"/>
          <w:szCs w:val="28"/>
        </w:rPr>
        <w:t>Overview</w:t>
      </w:r>
    </w:p>
    <w:p w14:paraId="5F28230F" w14:textId="77777777" w:rsidR="00E55636" w:rsidRPr="00487B09" w:rsidRDefault="00E55636" w:rsidP="00E55636">
      <w:pPr>
        <w:rPr>
          <w:rFonts w:ascii="Whitney Book" w:eastAsia="Avenir" w:hAnsi="Whitney Book" w:cs="Avenir"/>
        </w:rPr>
      </w:pPr>
    </w:p>
    <w:p w14:paraId="21D5D78F" w14:textId="77777777" w:rsidR="00E55636" w:rsidRPr="00487B09" w:rsidRDefault="00E55636" w:rsidP="00E55636">
      <w:pPr>
        <w:rPr>
          <w:rFonts w:ascii="Whitney Book" w:eastAsia="Avenir" w:hAnsi="Whitney Book" w:cs="Avenir"/>
        </w:rPr>
      </w:pPr>
      <w:r w:rsidRPr="00487B09">
        <w:rPr>
          <w:rFonts w:ascii="Whitney Book" w:eastAsia="Avenir" w:hAnsi="Whitney Book" w:cs="Avenir"/>
        </w:rPr>
        <w:t>CERES Institute for Children &amp; Youth at Boston University (CERES) has been examining the Massachusetts Department of Youth Service</w:t>
      </w:r>
      <w:r>
        <w:rPr>
          <w:rFonts w:ascii="Whitney Book" w:eastAsia="Avenir" w:hAnsi="Whitney Book" w:cs="Avenir"/>
        </w:rPr>
        <w:t>s’</w:t>
      </w:r>
      <w:r w:rsidRPr="00487B09">
        <w:rPr>
          <w:rFonts w:ascii="Whitney Book" w:eastAsia="Avenir" w:hAnsi="Whitney Book" w:cs="Avenir"/>
        </w:rPr>
        <w:t xml:space="preserve"> (DYS) Youth Engaged in Services </w:t>
      </w:r>
      <w:r>
        <w:rPr>
          <w:rFonts w:ascii="Whitney Book" w:eastAsia="Avenir" w:hAnsi="Whitney Book" w:cs="Avenir"/>
        </w:rPr>
        <w:t>I</w:t>
      </w:r>
      <w:r w:rsidRPr="00487B09">
        <w:rPr>
          <w:rFonts w:ascii="Whitney Book" w:eastAsia="Avenir" w:hAnsi="Whitney Book" w:cs="Avenir"/>
        </w:rPr>
        <w:t>nitiative (YES). This study provides initial qualitative and quantitative insights into</w:t>
      </w:r>
      <w:r>
        <w:rPr>
          <w:rFonts w:ascii="Whitney Book" w:eastAsia="Avenir" w:hAnsi="Whitney Book" w:cs="Avenir"/>
        </w:rPr>
        <w:t xml:space="preserve"> the</w:t>
      </w:r>
      <w:r w:rsidRPr="00487B09">
        <w:rPr>
          <w:rFonts w:ascii="Whitney Book" w:eastAsia="Avenir" w:hAnsi="Whitney Book" w:cs="Avenir"/>
        </w:rPr>
        <w:t xml:space="preserve"> YES</w:t>
      </w:r>
      <w:r>
        <w:rPr>
          <w:rFonts w:ascii="Whitney Book" w:eastAsia="Avenir" w:hAnsi="Whitney Book" w:cs="Avenir"/>
        </w:rPr>
        <w:t xml:space="preserve"> Initiative’s</w:t>
      </w:r>
      <w:r w:rsidRPr="00487B09">
        <w:rPr>
          <w:rFonts w:ascii="Whitney Book" w:eastAsia="Avenir" w:hAnsi="Whitney Book" w:cs="Avenir"/>
        </w:rPr>
        <w:t xml:space="preserve"> implementation and impact on recidivism. The CERES team has also developed a set of implications for ways to strengthen the initiative and supporting data.</w:t>
      </w:r>
    </w:p>
    <w:p w14:paraId="23BB4C03" w14:textId="77777777" w:rsidR="00E55636" w:rsidRPr="00487B09" w:rsidRDefault="00E55636" w:rsidP="00E55636">
      <w:pPr>
        <w:rPr>
          <w:rFonts w:ascii="Whitney Semibold" w:eastAsia="Avenir" w:hAnsi="Whitney Semibold" w:cs="Avenir"/>
          <w:b/>
          <w:bCs/>
          <w:color w:val="CC0000"/>
          <w:sz w:val="32"/>
          <w:szCs w:val="32"/>
        </w:rPr>
      </w:pPr>
    </w:p>
    <w:p w14:paraId="635FD85E" w14:textId="77777777" w:rsidR="00E55636" w:rsidRPr="00487B09" w:rsidRDefault="00E55636" w:rsidP="00E55636">
      <w:pPr>
        <w:rPr>
          <w:rFonts w:ascii="Whitney Semibold" w:eastAsia="Avenir" w:hAnsi="Whitney Semibold" w:cs="Avenir"/>
          <w:b/>
          <w:bCs/>
          <w:color w:val="01416B"/>
          <w:sz w:val="28"/>
          <w:szCs w:val="28"/>
        </w:rPr>
      </w:pPr>
      <w:r w:rsidRPr="00487B09">
        <w:rPr>
          <w:rFonts w:ascii="Whitney Semibold" w:eastAsia="Avenir" w:hAnsi="Whitney Semibold" w:cs="Avenir"/>
          <w:b/>
          <w:bCs/>
          <w:color w:val="01416B"/>
          <w:sz w:val="28"/>
          <w:szCs w:val="28"/>
        </w:rPr>
        <w:t>Study Design</w:t>
      </w:r>
    </w:p>
    <w:p w14:paraId="6EFC80B6" w14:textId="77777777" w:rsidR="00E55636" w:rsidRPr="00487B09" w:rsidRDefault="00E55636" w:rsidP="00E55636">
      <w:pPr>
        <w:rPr>
          <w:rFonts w:ascii="Whitney Book" w:eastAsia="Avenir" w:hAnsi="Whitney Book" w:cs="Avenir"/>
        </w:rPr>
      </w:pPr>
    </w:p>
    <w:p w14:paraId="67E2BBE7" w14:textId="77777777" w:rsidR="00E55636" w:rsidRPr="00487B09" w:rsidRDefault="00E55636" w:rsidP="00E55636">
      <w:pPr>
        <w:rPr>
          <w:rFonts w:ascii="Whitney Book" w:eastAsia="Avenir" w:hAnsi="Whitney Book" w:cs="Avenir"/>
        </w:rPr>
      </w:pPr>
      <w:r w:rsidRPr="00487B09">
        <w:rPr>
          <w:rFonts w:ascii="Whitney Book" w:eastAsia="Avenir" w:hAnsi="Whitney Book" w:cs="Avenir"/>
        </w:rPr>
        <w:t>The evaluation was guided by three primary questions:</w:t>
      </w:r>
    </w:p>
    <w:p w14:paraId="004F7B71" w14:textId="77777777" w:rsidR="00E55636" w:rsidRPr="00487B09" w:rsidRDefault="00E55636" w:rsidP="00E55636">
      <w:pPr>
        <w:ind w:left="720"/>
        <w:rPr>
          <w:rFonts w:ascii="Whitney Book" w:eastAsia="Avenir" w:hAnsi="Whitney Book" w:cs="Avenir"/>
        </w:rPr>
      </w:pPr>
    </w:p>
    <w:p w14:paraId="043F4E75" w14:textId="77777777" w:rsidR="00E55636" w:rsidRPr="00487B09" w:rsidRDefault="00E55636" w:rsidP="00E55636">
      <w:pPr>
        <w:numPr>
          <w:ilvl w:val="0"/>
          <w:numId w:val="1"/>
        </w:numPr>
        <w:ind w:left="360"/>
        <w:rPr>
          <w:rFonts w:ascii="Whitney Book" w:eastAsia="Avenir" w:hAnsi="Whitney Book" w:cs="Avenir"/>
        </w:rPr>
      </w:pPr>
      <w:r w:rsidRPr="00487B09">
        <w:rPr>
          <w:rFonts w:ascii="Whitney Book" w:eastAsia="Avenir" w:hAnsi="Whitney Book" w:cs="Avenir"/>
        </w:rPr>
        <w:t xml:space="preserve">What are the characteristics of the young people who engage with YES?  </w:t>
      </w:r>
    </w:p>
    <w:p w14:paraId="0BB19F06" w14:textId="77777777" w:rsidR="00E55636" w:rsidRPr="00487B09" w:rsidRDefault="00E55636" w:rsidP="00E55636">
      <w:pPr>
        <w:ind w:left="360"/>
        <w:rPr>
          <w:rFonts w:ascii="Whitney Book" w:eastAsia="Avenir" w:hAnsi="Whitney Book" w:cs="Avenir"/>
        </w:rPr>
      </w:pPr>
    </w:p>
    <w:p w14:paraId="382E53BA" w14:textId="3AB94DDF" w:rsidR="00E55636" w:rsidRPr="00487B09" w:rsidRDefault="00E55636" w:rsidP="00E55636">
      <w:pPr>
        <w:numPr>
          <w:ilvl w:val="0"/>
          <w:numId w:val="1"/>
        </w:numPr>
        <w:ind w:left="360"/>
        <w:rPr>
          <w:rFonts w:ascii="Whitney Book" w:eastAsia="Avenir" w:hAnsi="Whitney Book" w:cs="Avenir"/>
        </w:rPr>
      </w:pPr>
      <w:r w:rsidRPr="00487B09">
        <w:rPr>
          <w:rFonts w:ascii="Whitney Book" w:eastAsia="Avenir" w:hAnsi="Whitney Book" w:cs="Avenir"/>
        </w:rPr>
        <w:t xml:space="preserve">What role do relationships with </w:t>
      </w:r>
      <w:r w:rsidR="00B47DD5">
        <w:rPr>
          <w:rFonts w:ascii="Whitney Book" w:eastAsia="Avenir" w:hAnsi="Whitney Book" w:cs="Avenir"/>
        </w:rPr>
        <w:t>caseworkers</w:t>
      </w:r>
      <w:r w:rsidRPr="00487B09">
        <w:rPr>
          <w:rFonts w:ascii="Whitney Book" w:eastAsia="Avenir" w:hAnsi="Whitney Book" w:cs="Avenir"/>
        </w:rPr>
        <w:t xml:space="preserve"> play in a young person’s decisions to engage with YES? </w:t>
      </w:r>
    </w:p>
    <w:p w14:paraId="644ED01C" w14:textId="77777777" w:rsidR="00E55636" w:rsidRPr="00487B09" w:rsidRDefault="00E55636" w:rsidP="00E55636">
      <w:pPr>
        <w:ind w:left="360"/>
        <w:rPr>
          <w:rFonts w:ascii="Whitney Book" w:eastAsia="Avenir" w:hAnsi="Whitney Book" w:cs="Avenir"/>
        </w:rPr>
      </w:pPr>
    </w:p>
    <w:p w14:paraId="3E92B9E8" w14:textId="77777777" w:rsidR="00E55636" w:rsidRPr="00487B09" w:rsidRDefault="00E55636" w:rsidP="00E55636">
      <w:pPr>
        <w:numPr>
          <w:ilvl w:val="0"/>
          <w:numId w:val="1"/>
        </w:numPr>
        <w:ind w:left="360"/>
        <w:rPr>
          <w:rFonts w:ascii="Whitney Book" w:eastAsia="Avenir" w:hAnsi="Whitney Book" w:cs="Avenir"/>
        </w:rPr>
      </w:pPr>
      <w:r w:rsidRPr="00487B09">
        <w:rPr>
          <w:rFonts w:ascii="Whitney Book" w:eastAsia="Avenir" w:hAnsi="Whitney Book" w:cs="Avenir"/>
        </w:rPr>
        <w:t xml:space="preserve">What are the outcomes of young people who engage with YES and why do they attain those outcomes? </w:t>
      </w:r>
    </w:p>
    <w:p w14:paraId="1DF2DD2A" w14:textId="77777777" w:rsidR="00E55636" w:rsidRPr="00487B09" w:rsidRDefault="00E55636" w:rsidP="00E55636">
      <w:pPr>
        <w:rPr>
          <w:rFonts w:ascii="Whitney Book" w:eastAsia="Avenir" w:hAnsi="Whitney Book" w:cs="Avenir"/>
        </w:rPr>
      </w:pPr>
    </w:p>
    <w:p w14:paraId="091B4C9C" w14:textId="77777777" w:rsidR="00E55636" w:rsidRPr="00487B09" w:rsidRDefault="00E55636" w:rsidP="00E55636">
      <w:pPr>
        <w:rPr>
          <w:rFonts w:ascii="Whitney Book" w:eastAsia="Avenir" w:hAnsi="Whitney Book" w:cs="Avenir"/>
        </w:rPr>
      </w:pPr>
      <w:r w:rsidRPr="00487B09">
        <w:rPr>
          <w:rFonts w:ascii="Whitney Book" w:eastAsia="Avenir" w:hAnsi="Whitney Book" w:cs="Avenir"/>
        </w:rPr>
        <w:t xml:space="preserve">This mixed-methods study used the following strategies for the project: </w:t>
      </w:r>
    </w:p>
    <w:p w14:paraId="7756A08F" w14:textId="77777777" w:rsidR="00E55636" w:rsidRPr="00487B09" w:rsidRDefault="00E55636" w:rsidP="00E55636">
      <w:pPr>
        <w:rPr>
          <w:rFonts w:ascii="Whitney Book" w:eastAsia="Avenir" w:hAnsi="Whitney Book" w:cs="Avenir"/>
        </w:rPr>
      </w:pPr>
    </w:p>
    <w:p w14:paraId="515A8E60" w14:textId="77777777" w:rsidR="00E55636" w:rsidRPr="00487B09" w:rsidRDefault="00E55636" w:rsidP="00E55636">
      <w:pPr>
        <w:numPr>
          <w:ilvl w:val="0"/>
          <w:numId w:val="5"/>
        </w:numPr>
        <w:rPr>
          <w:rFonts w:ascii="Whitney Book" w:eastAsia="Avenir" w:hAnsi="Whitney Book" w:cs="Avenir"/>
        </w:rPr>
      </w:pPr>
      <w:r w:rsidRPr="00487B09">
        <w:rPr>
          <w:rFonts w:ascii="Whitney Book" w:eastAsia="Avenir" w:hAnsi="Whitney Book" w:cs="Avenir"/>
        </w:rPr>
        <w:t>Quantitative data analysis of data from JJEMS for 1,627 youth discharged from DYS between 2015 and 2019.</w:t>
      </w:r>
    </w:p>
    <w:p w14:paraId="1A14DF9B" w14:textId="77777777" w:rsidR="00E55636" w:rsidRPr="00487B09" w:rsidRDefault="00E55636" w:rsidP="00E55636">
      <w:pPr>
        <w:ind w:left="720"/>
        <w:rPr>
          <w:rFonts w:ascii="Whitney Book" w:eastAsia="Avenir" w:hAnsi="Whitney Book" w:cs="Avenir"/>
        </w:rPr>
      </w:pPr>
    </w:p>
    <w:p w14:paraId="2DD2F1E9" w14:textId="66DBCEEC" w:rsidR="00E55636" w:rsidRPr="00487B09" w:rsidRDefault="00E55636" w:rsidP="00E55636">
      <w:pPr>
        <w:numPr>
          <w:ilvl w:val="0"/>
          <w:numId w:val="5"/>
        </w:numPr>
        <w:rPr>
          <w:rFonts w:ascii="Whitney Book" w:eastAsia="Avenir" w:hAnsi="Whitney Book" w:cs="Avenir"/>
        </w:rPr>
      </w:pPr>
      <w:r w:rsidRPr="00487B09">
        <w:rPr>
          <w:rFonts w:ascii="Whitney Book" w:eastAsia="Avenir" w:hAnsi="Whitney Book" w:cs="Avenir"/>
        </w:rPr>
        <w:t xml:space="preserve">Qualitative interviews with 17 DYS </w:t>
      </w:r>
      <w:r w:rsidR="00B47DD5">
        <w:rPr>
          <w:rFonts w:ascii="Whitney Book" w:eastAsia="Avenir" w:hAnsi="Whitney Book" w:cs="Avenir"/>
        </w:rPr>
        <w:t>caseworkers.</w:t>
      </w:r>
    </w:p>
    <w:p w14:paraId="10973EC1" w14:textId="77777777" w:rsidR="00E55636" w:rsidRPr="00487B09" w:rsidRDefault="00E55636" w:rsidP="00E55636">
      <w:pPr>
        <w:ind w:left="720"/>
        <w:rPr>
          <w:rFonts w:ascii="Whitney Book" w:eastAsia="Avenir" w:hAnsi="Whitney Book" w:cs="Avenir"/>
        </w:rPr>
      </w:pPr>
    </w:p>
    <w:p w14:paraId="154F340E" w14:textId="5B2F3893" w:rsidR="00E55636" w:rsidRPr="00487B09" w:rsidRDefault="00E55636" w:rsidP="00E55636">
      <w:pPr>
        <w:numPr>
          <w:ilvl w:val="0"/>
          <w:numId w:val="5"/>
        </w:numPr>
        <w:rPr>
          <w:rFonts w:ascii="Whitney Book" w:eastAsia="Avenir" w:hAnsi="Whitney Book" w:cs="Avenir"/>
        </w:rPr>
      </w:pPr>
      <w:r w:rsidRPr="00487B09">
        <w:rPr>
          <w:rFonts w:ascii="Whitney Book" w:eastAsia="Avenir" w:hAnsi="Whitney Book" w:cs="Avenir"/>
        </w:rPr>
        <w:t xml:space="preserve">Supplementary machine learning analysis of approximately 200,000 case notes from </w:t>
      </w:r>
      <w:r w:rsidR="00B47DD5">
        <w:rPr>
          <w:rFonts w:ascii="Whitney Book" w:eastAsia="Avenir" w:hAnsi="Whitney Book" w:cs="Avenir"/>
        </w:rPr>
        <w:t>caseworkers</w:t>
      </w:r>
      <w:r w:rsidRPr="00487B09">
        <w:rPr>
          <w:rFonts w:ascii="Whitney Book" w:eastAsia="Avenir" w:hAnsi="Whitney Book" w:cs="Avenir"/>
        </w:rPr>
        <w:t xml:space="preserve"> who work with those 1,627 youth.</w:t>
      </w:r>
    </w:p>
    <w:p w14:paraId="1A8CAA92" w14:textId="77777777" w:rsidR="00E55636" w:rsidRPr="00487B09" w:rsidRDefault="00E55636" w:rsidP="00E55636">
      <w:pPr>
        <w:rPr>
          <w:rFonts w:ascii="Whitney Semibold" w:eastAsia="Avenir" w:hAnsi="Whitney Semibold" w:cs="Avenir"/>
          <w:b/>
          <w:bCs/>
          <w:color w:val="01416B"/>
          <w:sz w:val="28"/>
          <w:szCs w:val="28"/>
        </w:rPr>
      </w:pPr>
    </w:p>
    <w:p w14:paraId="21786055" w14:textId="77777777" w:rsidR="00E55636" w:rsidRPr="00487B09" w:rsidRDefault="00E55636" w:rsidP="00E55636">
      <w:pPr>
        <w:rPr>
          <w:rFonts w:ascii="Whitney Semibold" w:eastAsia="Avenir" w:hAnsi="Whitney Semibold" w:cs="Avenir"/>
          <w:b/>
          <w:bCs/>
          <w:color w:val="01416B"/>
          <w:sz w:val="28"/>
          <w:szCs w:val="28"/>
        </w:rPr>
      </w:pPr>
      <w:r w:rsidRPr="00487B09">
        <w:rPr>
          <w:rFonts w:ascii="Whitney Semibold" w:eastAsia="Avenir" w:hAnsi="Whitney Semibold" w:cs="Avenir"/>
          <w:b/>
          <w:bCs/>
          <w:color w:val="01416B"/>
          <w:sz w:val="28"/>
          <w:szCs w:val="28"/>
        </w:rPr>
        <w:t xml:space="preserve">Summary of Findings </w:t>
      </w:r>
    </w:p>
    <w:p w14:paraId="221466AF" w14:textId="77777777" w:rsidR="00E55636" w:rsidRPr="00487B09" w:rsidRDefault="00E55636" w:rsidP="00E55636">
      <w:pPr>
        <w:rPr>
          <w:rFonts w:ascii="Whitney Book" w:eastAsia="Avenir" w:hAnsi="Whitney Book" w:cs="Avenir"/>
        </w:rPr>
      </w:pPr>
    </w:p>
    <w:p w14:paraId="03B41E32" w14:textId="77777777" w:rsidR="00E55636" w:rsidRPr="00487B09" w:rsidRDefault="00E55636" w:rsidP="00E55636">
      <w:pPr>
        <w:rPr>
          <w:rFonts w:ascii="Whitney Book" w:eastAsia="Avenir" w:hAnsi="Whitney Book" w:cs="Avenir"/>
        </w:rPr>
      </w:pPr>
      <w:proofErr w:type="gramStart"/>
      <w:r w:rsidRPr="00487B09">
        <w:rPr>
          <w:rFonts w:ascii="Whitney Book" w:eastAsia="Avenir" w:hAnsi="Whitney Book" w:cs="Avenir"/>
          <w:b/>
          <w:bCs/>
          <w:color w:val="CC0000"/>
        </w:rPr>
        <w:t>YES</w:t>
      </w:r>
      <w:proofErr w:type="gramEnd"/>
      <w:r w:rsidRPr="00487B09">
        <w:rPr>
          <w:rFonts w:ascii="Whitney Book" w:eastAsia="Avenir" w:hAnsi="Whitney Book" w:cs="Avenir"/>
          <w:b/>
          <w:bCs/>
          <w:color w:val="CC0000"/>
        </w:rPr>
        <w:t xml:space="preserve"> engagement appears to reach a broad array of youth.</w:t>
      </w:r>
      <w:r w:rsidRPr="00487B09">
        <w:rPr>
          <w:rFonts w:ascii="Whitney Book" w:eastAsia="Avenir" w:hAnsi="Whitney Book" w:cs="Avenir"/>
        </w:rPr>
        <w:t xml:space="preserve"> Our analysis of JJEMS of a large number of characteristics of youth showed only a few meaningful relationships between background characteristics and the probability that the youth would sign up for YES. We interpret this finding to mean that all youth, regardless of demographics or risk level, are equally likely to sign up for YES. However, we do find it notable that females </w:t>
      </w:r>
      <w:r w:rsidRPr="00487B09">
        <w:rPr>
          <w:rFonts w:ascii="Whitney Book" w:eastAsia="Avenir" w:hAnsi="Whitney Book" w:cs="Avenir"/>
        </w:rPr>
        <w:lastRenderedPageBreak/>
        <w:t>and Black youth were significantly more likely to sign-up for YES and youth from the Southeast region were significantly less likely to sign up for YES.</w:t>
      </w:r>
    </w:p>
    <w:p w14:paraId="2FF716BE" w14:textId="77777777" w:rsidR="00E55636" w:rsidRPr="00487B09" w:rsidRDefault="00E55636" w:rsidP="00E55636">
      <w:pPr>
        <w:rPr>
          <w:rFonts w:ascii="Whitney Book" w:eastAsia="Avenir" w:hAnsi="Whitney Book" w:cs="Avenir"/>
        </w:rPr>
      </w:pPr>
    </w:p>
    <w:p w14:paraId="353041CE" w14:textId="45AFFF7B" w:rsidR="00E55636" w:rsidRPr="00487B09" w:rsidRDefault="00E55636" w:rsidP="00E55636">
      <w:pPr>
        <w:rPr>
          <w:rFonts w:ascii="Whitney Book" w:eastAsia="Avenir" w:hAnsi="Whitney Book" w:cs="Avenir"/>
        </w:rPr>
      </w:pPr>
      <w:r w:rsidRPr="00487B09">
        <w:rPr>
          <w:rFonts w:ascii="Whitney Book" w:eastAsia="Avenir" w:hAnsi="Whitney Book" w:cs="Avenir"/>
          <w:b/>
          <w:bCs/>
          <w:color w:val="CC0000"/>
        </w:rPr>
        <w:t xml:space="preserve">Relationships with </w:t>
      </w:r>
      <w:r w:rsidR="00470939">
        <w:rPr>
          <w:rFonts w:ascii="Whitney Book" w:eastAsia="Avenir" w:hAnsi="Whitney Book" w:cs="Avenir"/>
          <w:b/>
          <w:bCs/>
          <w:color w:val="CC0000"/>
        </w:rPr>
        <w:t>caseworkers</w:t>
      </w:r>
      <w:r w:rsidRPr="00487B09">
        <w:rPr>
          <w:rFonts w:ascii="Whitney Book" w:eastAsia="Avenir" w:hAnsi="Whitney Book" w:cs="Avenir"/>
          <w:b/>
          <w:bCs/>
          <w:color w:val="CC0000"/>
        </w:rPr>
        <w:t xml:space="preserve"> appear to matter.</w:t>
      </w:r>
      <w:r w:rsidRPr="00487B09">
        <w:rPr>
          <w:rFonts w:ascii="Whitney Book" w:eastAsia="Avenir" w:hAnsi="Whitney Book" w:cs="Avenir"/>
          <w:color w:val="CC0000"/>
        </w:rPr>
        <w:t xml:space="preserve"> </w:t>
      </w:r>
      <w:r w:rsidRPr="00487B09">
        <w:rPr>
          <w:rFonts w:ascii="Whitney Book" w:eastAsia="Avenir" w:hAnsi="Whitney Book" w:cs="Avenir"/>
        </w:rPr>
        <w:t xml:space="preserve">From the interviews, case notes, and analysis of quantitative data, we see the potential for a change in the relationship dynamic for the </w:t>
      </w:r>
      <w:r w:rsidR="00470939">
        <w:rPr>
          <w:rFonts w:ascii="Whitney Book" w:eastAsia="Avenir" w:hAnsi="Whitney Book" w:cs="Avenir"/>
        </w:rPr>
        <w:t>caseworkers</w:t>
      </w:r>
      <w:r w:rsidRPr="00487B09">
        <w:rPr>
          <w:rFonts w:ascii="Whitney Book" w:eastAsia="Avenir" w:hAnsi="Whitney Book" w:cs="Avenir"/>
        </w:rPr>
        <w:t xml:space="preserve"> from “referee” to “coach” as a way to engage youth in YES. </w:t>
      </w:r>
      <w:r w:rsidR="00470939">
        <w:rPr>
          <w:rFonts w:ascii="Whitney Book" w:eastAsia="Avenir" w:hAnsi="Whitney Book" w:cs="Avenir"/>
        </w:rPr>
        <w:t>Caseworkers</w:t>
      </w:r>
      <w:r w:rsidRPr="00487B09">
        <w:rPr>
          <w:rFonts w:ascii="Whitney Book" w:eastAsia="Avenir" w:hAnsi="Whitney Book" w:cs="Avenir"/>
        </w:rPr>
        <w:t xml:space="preserve"> described a shift in power from being a youth’s supervisor to being a youth’s supporter, with the youth appreciating this shift. In addition, these relationships did not start at the time of youth transitioning out of DYS; rather, </w:t>
      </w:r>
      <w:r w:rsidR="00470939">
        <w:rPr>
          <w:rFonts w:ascii="Whitney Book" w:eastAsia="Avenir" w:hAnsi="Whitney Book" w:cs="Avenir"/>
        </w:rPr>
        <w:t>caseworkers</w:t>
      </w:r>
      <w:r w:rsidRPr="00487B09">
        <w:rPr>
          <w:rFonts w:ascii="Whitney Book" w:eastAsia="Avenir" w:hAnsi="Whitney Book" w:cs="Avenir"/>
        </w:rPr>
        <w:t xml:space="preserve"> built relationships with youth throughout the youth’s engagement with DYS.</w:t>
      </w:r>
    </w:p>
    <w:p w14:paraId="175939F4" w14:textId="77777777" w:rsidR="00E55636" w:rsidRPr="00487B09" w:rsidRDefault="00E55636" w:rsidP="00E55636">
      <w:pPr>
        <w:rPr>
          <w:rFonts w:ascii="Whitney Book" w:eastAsia="Avenir" w:hAnsi="Whitney Book" w:cs="Avenir"/>
        </w:rPr>
      </w:pPr>
    </w:p>
    <w:p w14:paraId="55110F5E" w14:textId="77777777" w:rsidR="00E55636" w:rsidRPr="00487B09" w:rsidRDefault="00E55636" w:rsidP="00E55636">
      <w:pPr>
        <w:rPr>
          <w:rFonts w:ascii="Whitney Book" w:eastAsia="Avenir" w:hAnsi="Whitney Book" w:cs="Avenir"/>
        </w:rPr>
      </w:pPr>
      <w:r w:rsidRPr="00487B09">
        <w:rPr>
          <w:rFonts w:ascii="Whitney Book" w:eastAsia="Avenir" w:hAnsi="Whitney Book" w:cs="Avenir"/>
          <w:b/>
          <w:bCs/>
          <w:color w:val="CC0000"/>
        </w:rPr>
        <w:t>YES engagement relates to lower recidivism rates.</w:t>
      </w:r>
      <w:r w:rsidRPr="00487B09">
        <w:rPr>
          <w:rFonts w:ascii="Whitney Book" w:eastAsia="Avenir" w:hAnsi="Whitney Book" w:cs="Avenir"/>
          <w:color w:val="CC0000"/>
        </w:rPr>
        <w:t xml:space="preserve"> </w:t>
      </w:r>
      <w:r w:rsidRPr="00487B09">
        <w:rPr>
          <w:rFonts w:ascii="Whitney Book" w:eastAsia="Avenir" w:hAnsi="Whitney Book" w:cs="Avenir"/>
        </w:rPr>
        <w:t xml:space="preserve">When looking at the recidivism rates for 2015-2018 discharge year, we find that rates for YES youth are marginally significantly lower than non-YES youth when we account for a multitude of other factors. Importantly, we note that recidivism rates for YES youth in </w:t>
      </w:r>
      <w:r>
        <w:rPr>
          <w:rFonts w:ascii="Whitney Book" w:eastAsia="Avenir" w:hAnsi="Whitney Book" w:cs="Avenir"/>
        </w:rPr>
        <w:t xml:space="preserve">the </w:t>
      </w:r>
      <w:r w:rsidRPr="00487B09">
        <w:rPr>
          <w:rFonts w:ascii="Whitney Book" w:eastAsia="Avenir" w:hAnsi="Whitney Book" w:cs="Avenir"/>
        </w:rPr>
        <w:t>2017 discharge year are markedly higher than</w:t>
      </w:r>
      <w:r>
        <w:rPr>
          <w:rFonts w:ascii="Whitney Book" w:eastAsia="Avenir" w:hAnsi="Whitney Book" w:cs="Avenir"/>
        </w:rPr>
        <w:t xml:space="preserve"> </w:t>
      </w:r>
      <w:r w:rsidRPr="00487B09">
        <w:rPr>
          <w:rFonts w:ascii="Whitney Book" w:eastAsia="Avenir" w:hAnsi="Whitney Book" w:cs="Avenir"/>
        </w:rPr>
        <w:t>previous years and 2018</w:t>
      </w:r>
      <w:r>
        <w:rPr>
          <w:rFonts w:ascii="Whitney Book" w:eastAsia="Avenir" w:hAnsi="Whitney Book" w:cs="Avenir"/>
        </w:rPr>
        <w:t>;</w:t>
      </w:r>
      <w:r w:rsidRPr="00487B09">
        <w:rPr>
          <w:rFonts w:ascii="Whitney Book" w:eastAsia="Avenir" w:hAnsi="Whitney Book" w:cs="Avenir"/>
        </w:rPr>
        <w:t xml:space="preserve"> 2017 rates are the reason why the estimated impact of YES is not more robust.</w:t>
      </w:r>
    </w:p>
    <w:p w14:paraId="0A877F2A" w14:textId="77777777" w:rsidR="00E55636" w:rsidRPr="00487B09" w:rsidRDefault="00E55636" w:rsidP="00E55636">
      <w:pPr>
        <w:rPr>
          <w:rFonts w:ascii="Whitney Book" w:eastAsia="Avenir" w:hAnsi="Whitney Book" w:cs="Avenir"/>
        </w:rPr>
      </w:pPr>
    </w:p>
    <w:p w14:paraId="0B2624F6" w14:textId="77777777" w:rsidR="00E55636" w:rsidRPr="00487B09" w:rsidRDefault="00E55636" w:rsidP="00E55636">
      <w:pPr>
        <w:rPr>
          <w:rFonts w:ascii="Whitney Book" w:eastAsia="Avenir" w:hAnsi="Whitney Book" w:cs="Avenir"/>
        </w:rPr>
      </w:pPr>
      <w:r w:rsidRPr="00487B09">
        <w:rPr>
          <w:rFonts w:ascii="Whitney Book" w:eastAsia="Avenir" w:hAnsi="Whitney Book" w:cs="Avenir"/>
          <w:b/>
          <w:bCs/>
          <w:color w:val="CC0000"/>
        </w:rPr>
        <w:t>Educational attainment of YES youth may increase the benefits on recidivism.</w:t>
      </w:r>
      <w:r w:rsidRPr="00487B09">
        <w:rPr>
          <w:rFonts w:ascii="Whitney Book" w:eastAsia="Avenir" w:hAnsi="Whitney Book" w:cs="Avenir"/>
          <w:color w:val="CC0000"/>
        </w:rPr>
        <w:t xml:space="preserve"> </w:t>
      </w:r>
      <w:r w:rsidRPr="00487B09">
        <w:rPr>
          <w:rFonts w:ascii="Whitney Book" w:eastAsia="Avenir" w:hAnsi="Whitney Book" w:cs="Avenir"/>
        </w:rPr>
        <w:t>We find that attaining a high school credential while engaged with YES is a particularly robust predictor of lower recidivism and that youth who terminate YES at an older age were also less likely to recidivate.</w:t>
      </w:r>
    </w:p>
    <w:p w14:paraId="51649568" w14:textId="77777777" w:rsidR="00E55636" w:rsidRDefault="00E55636" w:rsidP="00E55636">
      <w:pPr>
        <w:rPr>
          <w:rFonts w:ascii="Whitney Book" w:eastAsia="Avenir" w:hAnsi="Whitney Book" w:cs="Avenir"/>
          <w:color w:val="01416B"/>
        </w:rPr>
      </w:pPr>
    </w:p>
    <w:p w14:paraId="1AC49EC9" w14:textId="77777777" w:rsidR="00E55636" w:rsidRPr="00487B09" w:rsidRDefault="00E55636" w:rsidP="00E55636">
      <w:pPr>
        <w:rPr>
          <w:rFonts w:ascii="Whitney Semibold" w:eastAsia="Avenir" w:hAnsi="Whitney Semibold" w:cs="Avenir"/>
          <w:b/>
          <w:bCs/>
          <w:color w:val="01416B"/>
          <w:sz w:val="28"/>
          <w:szCs w:val="28"/>
        </w:rPr>
      </w:pPr>
      <w:r w:rsidRPr="00487B09">
        <w:rPr>
          <w:rFonts w:ascii="Whitney Semibold" w:eastAsia="Avenir" w:hAnsi="Whitney Semibold" w:cs="Avenir"/>
          <w:b/>
          <w:bCs/>
          <w:color w:val="01416B"/>
          <w:sz w:val="28"/>
          <w:szCs w:val="28"/>
        </w:rPr>
        <w:t xml:space="preserve">Recommendations Based on Findings </w:t>
      </w:r>
    </w:p>
    <w:p w14:paraId="040C3CFF" w14:textId="77777777" w:rsidR="00E55636" w:rsidRPr="00487B09" w:rsidRDefault="00E55636" w:rsidP="00E55636">
      <w:pPr>
        <w:rPr>
          <w:rFonts w:ascii="Whitney Book" w:eastAsia="Avenir" w:hAnsi="Whitney Book" w:cs="Avenir"/>
        </w:rPr>
      </w:pPr>
    </w:p>
    <w:p w14:paraId="648CAA0C" w14:textId="77777777" w:rsidR="00E55636" w:rsidRPr="00487B09" w:rsidRDefault="00E55636" w:rsidP="00E55636">
      <w:pPr>
        <w:rPr>
          <w:rFonts w:ascii="Whitney Book" w:eastAsia="Avenir" w:hAnsi="Whitney Book" w:cs="Avenir"/>
        </w:rPr>
      </w:pPr>
      <w:r w:rsidRPr="00487B09">
        <w:rPr>
          <w:rFonts w:ascii="Whitney Book" w:eastAsia="Avenir" w:hAnsi="Whitney Book" w:cs="Avenir"/>
        </w:rPr>
        <w:t>Based on the current set of results from this project, we suggest:</w:t>
      </w:r>
    </w:p>
    <w:p w14:paraId="03647D08" w14:textId="77777777" w:rsidR="00E55636" w:rsidRPr="00487B09" w:rsidRDefault="00E55636" w:rsidP="00E55636">
      <w:pPr>
        <w:rPr>
          <w:rFonts w:ascii="Whitney Book" w:eastAsia="Avenir" w:hAnsi="Whitney Book" w:cs="Avenir"/>
        </w:rPr>
      </w:pPr>
    </w:p>
    <w:p w14:paraId="411D5A3F" w14:textId="77777777" w:rsidR="00E55636" w:rsidRPr="00487B09" w:rsidRDefault="00E55636" w:rsidP="00E55636">
      <w:pPr>
        <w:numPr>
          <w:ilvl w:val="0"/>
          <w:numId w:val="4"/>
        </w:numPr>
        <w:rPr>
          <w:rFonts w:ascii="Whitney Book" w:eastAsia="Avenir" w:hAnsi="Whitney Book" w:cs="Avenir"/>
        </w:rPr>
      </w:pPr>
      <w:r w:rsidRPr="00487B09">
        <w:rPr>
          <w:rFonts w:ascii="Whitney Book" w:eastAsia="Avenir" w:hAnsi="Whitney Book" w:cs="Avenir"/>
        </w:rPr>
        <w:t xml:space="preserve">Keep doing YES. Initial data suggest it is “working," especially when combined with strong educational experiences. </w:t>
      </w:r>
    </w:p>
    <w:p w14:paraId="1E1C0186" w14:textId="77777777" w:rsidR="00E55636" w:rsidRPr="00487B09" w:rsidRDefault="00E55636" w:rsidP="00E55636">
      <w:pPr>
        <w:ind w:left="720"/>
        <w:rPr>
          <w:rFonts w:ascii="Whitney Book" w:eastAsia="Avenir" w:hAnsi="Whitney Book" w:cs="Avenir"/>
        </w:rPr>
      </w:pPr>
    </w:p>
    <w:p w14:paraId="337334F7" w14:textId="77777777" w:rsidR="00E55636" w:rsidRPr="00487B09" w:rsidRDefault="00E55636" w:rsidP="00E55636">
      <w:pPr>
        <w:numPr>
          <w:ilvl w:val="0"/>
          <w:numId w:val="4"/>
        </w:numPr>
        <w:rPr>
          <w:rFonts w:ascii="Whitney Book" w:eastAsia="Avenir" w:hAnsi="Whitney Book" w:cs="Avenir"/>
        </w:rPr>
      </w:pPr>
      <w:r w:rsidRPr="00487B09">
        <w:rPr>
          <w:rFonts w:ascii="Whitney Book" w:eastAsia="Avenir" w:hAnsi="Whitney Book" w:cs="Avenir"/>
        </w:rPr>
        <w:t>Make resources for YES youth more aligned and obvious across regions so that youth throughout the state are receiving an equal opportunity to engage with YES.</w:t>
      </w:r>
    </w:p>
    <w:p w14:paraId="65C3C5EA" w14:textId="77777777" w:rsidR="00E55636" w:rsidRPr="00487B09" w:rsidRDefault="00E55636" w:rsidP="00E55636">
      <w:pPr>
        <w:ind w:left="720"/>
        <w:rPr>
          <w:rFonts w:ascii="Whitney Book" w:eastAsia="Avenir" w:hAnsi="Whitney Book" w:cs="Avenir"/>
        </w:rPr>
      </w:pPr>
    </w:p>
    <w:p w14:paraId="228C8836" w14:textId="77777777" w:rsidR="00E55636" w:rsidRPr="00487B09" w:rsidRDefault="00E55636" w:rsidP="00E55636">
      <w:pPr>
        <w:numPr>
          <w:ilvl w:val="0"/>
          <w:numId w:val="4"/>
        </w:numPr>
        <w:rPr>
          <w:rFonts w:ascii="Whitney Book" w:eastAsia="Avenir" w:hAnsi="Whitney Book" w:cs="Avenir"/>
        </w:rPr>
      </w:pPr>
      <w:r w:rsidRPr="00487B09">
        <w:rPr>
          <w:rFonts w:ascii="Whitney Book" w:eastAsia="Avenir" w:hAnsi="Whitney Book" w:cs="Avenir"/>
        </w:rPr>
        <w:t xml:space="preserve">Analyze longer term impacts on educational and workforce outcomes through partnership with DESE. </w:t>
      </w:r>
    </w:p>
    <w:p w14:paraId="0452502B" w14:textId="77777777" w:rsidR="00E55636" w:rsidRPr="00487B09" w:rsidRDefault="00E55636" w:rsidP="00E55636">
      <w:pPr>
        <w:ind w:left="720"/>
        <w:rPr>
          <w:rFonts w:ascii="Whitney Book" w:eastAsia="Avenir" w:hAnsi="Whitney Book" w:cs="Avenir"/>
        </w:rPr>
      </w:pPr>
    </w:p>
    <w:p w14:paraId="64DA3F36" w14:textId="7F2BC219" w:rsidR="00E55636" w:rsidRPr="00487B09" w:rsidRDefault="00E55636" w:rsidP="00E55636">
      <w:pPr>
        <w:numPr>
          <w:ilvl w:val="0"/>
          <w:numId w:val="4"/>
        </w:numPr>
        <w:rPr>
          <w:rFonts w:ascii="Whitney Book" w:eastAsia="Avenir" w:hAnsi="Whitney Book" w:cs="Avenir"/>
        </w:rPr>
      </w:pPr>
      <w:r w:rsidRPr="00487B09">
        <w:rPr>
          <w:rFonts w:ascii="Whitney Book" w:eastAsia="Avenir" w:hAnsi="Whitney Book" w:cs="Avenir"/>
        </w:rPr>
        <w:t xml:space="preserve">Dive deeper into </w:t>
      </w:r>
      <w:r w:rsidR="00470939">
        <w:rPr>
          <w:rFonts w:ascii="Whitney Book" w:eastAsia="Avenir" w:hAnsi="Whitney Book" w:cs="Avenir"/>
        </w:rPr>
        <w:t>caseworker</w:t>
      </w:r>
      <w:r w:rsidRPr="00487B09">
        <w:rPr>
          <w:rFonts w:ascii="Whitney Book" w:eastAsia="Avenir" w:hAnsi="Whitney Book" w:cs="Avenir"/>
        </w:rPr>
        <w:t>-youth relationships prior to and during YES and into youth’s YES experiences (e.g., supports youth are receiving while with YES).</w:t>
      </w:r>
    </w:p>
    <w:p w14:paraId="23B7E04C" w14:textId="77777777" w:rsidR="00E55636" w:rsidRPr="00487B09" w:rsidRDefault="00E55636" w:rsidP="00E55636">
      <w:pPr>
        <w:ind w:left="720"/>
        <w:rPr>
          <w:rFonts w:ascii="Whitney Book" w:eastAsia="Avenir" w:hAnsi="Whitney Book" w:cs="Avenir"/>
        </w:rPr>
      </w:pPr>
    </w:p>
    <w:p w14:paraId="602489BE" w14:textId="77777777" w:rsidR="00E55636" w:rsidRPr="00487B09" w:rsidRDefault="00E55636" w:rsidP="00E55636">
      <w:pPr>
        <w:numPr>
          <w:ilvl w:val="0"/>
          <w:numId w:val="4"/>
        </w:numPr>
        <w:rPr>
          <w:rFonts w:ascii="Whitney Book" w:eastAsia="Avenir" w:hAnsi="Whitney Book" w:cs="Avenir"/>
        </w:rPr>
      </w:pPr>
      <w:r w:rsidRPr="00487B09">
        <w:rPr>
          <w:rFonts w:ascii="Whitney Book" w:eastAsia="Avenir" w:hAnsi="Whitney Book" w:cs="Avenir"/>
        </w:rPr>
        <w:t>Collect and analyze youth perspectives to understand more fully the richness of their experiences in order to strengthen supports for them.</w:t>
      </w:r>
    </w:p>
    <w:p w14:paraId="74C51876" w14:textId="77777777" w:rsidR="00E55636" w:rsidRPr="00487B09" w:rsidRDefault="00E55636" w:rsidP="00E55636">
      <w:pPr>
        <w:ind w:left="720"/>
        <w:rPr>
          <w:rFonts w:ascii="Whitney Book" w:eastAsia="Avenir" w:hAnsi="Whitney Book" w:cs="Avenir"/>
        </w:rPr>
      </w:pPr>
    </w:p>
    <w:p w14:paraId="00000030" w14:textId="351F97BE" w:rsidR="00AA6ACE" w:rsidRPr="004C059B" w:rsidRDefault="00E55636" w:rsidP="00E55636">
      <w:pPr>
        <w:numPr>
          <w:ilvl w:val="0"/>
          <w:numId w:val="4"/>
        </w:numPr>
        <w:rPr>
          <w:rFonts w:ascii="Whitney Book" w:eastAsia="Avenir" w:hAnsi="Whitney Book" w:cs="Avenir"/>
        </w:rPr>
      </w:pPr>
      <w:r w:rsidRPr="00487B09">
        <w:rPr>
          <w:rFonts w:ascii="Whitney Book" w:eastAsia="Avenir" w:hAnsi="Whitney Book" w:cs="Avenir"/>
        </w:rPr>
        <w:t xml:space="preserve">Develop a PYD mindset survey for </w:t>
      </w:r>
      <w:r w:rsidR="00470939">
        <w:rPr>
          <w:rFonts w:ascii="Whitney Book" w:eastAsia="Avenir" w:hAnsi="Whitney Book" w:cs="Avenir"/>
        </w:rPr>
        <w:t>caseworkers</w:t>
      </w:r>
      <w:r w:rsidRPr="00487B09">
        <w:rPr>
          <w:rFonts w:ascii="Whitney Book" w:eastAsia="Avenir" w:hAnsi="Whitney Book" w:cs="Avenir"/>
        </w:rPr>
        <w:t xml:space="preserve"> and other adults within DYS as a way to understand the current status of how DYS adults are oriented toward youth and enable a more precise professional development strategy.</w:t>
      </w:r>
    </w:p>
    <w:sectPr w:rsidR="00AA6ACE" w:rsidRPr="004C059B" w:rsidSect="00F51771">
      <w:footerReference w:type="default" r:id="rId11"/>
      <w:pgSz w:w="12240" w:h="1584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98862" w14:textId="77777777" w:rsidR="00E17470" w:rsidRDefault="00E17470">
      <w:pPr>
        <w:spacing w:line="240" w:lineRule="auto"/>
      </w:pPr>
      <w:r>
        <w:separator/>
      </w:r>
    </w:p>
  </w:endnote>
  <w:endnote w:type="continuationSeparator" w:id="0">
    <w:p w14:paraId="48B1BEE9" w14:textId="77777777" w:rsidR="00E17470" w:rsidRDefault="00E174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hitney Semibold">
    <w:altName w:val="Calibri"/>
    <w:panose1 w:val="00000000000000000000"/>
    <w:charset w:val="00"/>
    <w:family w:val="auto"/>
    <w:notTrueType/>
    <w:pitch w:val="variable"/>
    <w:sig w:usb0="A000007F" w:usb1="4000004A" w:usb2="00000000" w:usb3="00000000" w:csb0="0000000B" w:csb1="00000000"/>
  </w:font>
  <w:font w:name="Avenir">
    <w:altName w:val="Avenir"/>
    <w:charset w:val="4D"/>
    <w:family w:val="swiss"/>
    <w:pitch w:val="variable"/>
    <w:sig w:usb0="800000AF" w:usb1="5000204A" w:usb2="00000000" w:usb3="00000000" w:csb0="0000009B" w:csb1="00000000"/>
  </w:font>
  <w:font w:name="Whitney Bold">
    <w:altName w:val="Calibri"/>
    <w:panose1 w:val="00000000000000000000"/>
    <w:charset w:val="00"/>
    <w:family w:val="auto"/>
    <w:notTrueType/>
    <w:pitch w:val="variable"/>
    <w:sig w:usb0="A000007F" w:usb1="4000004A" w:usb2="00000000" w:usb3="00000000" w:csb0="0000000B" w:csb1="00000000"/>
  </w:font>
  <w:font w:name="Whitney Book">
    <w:altName w:val="Calibri"/>
    <w:panose1 w:val="00000000000000000000"/>
    <w:charset w:val="00"/>
    <w:family w:val="auto"/>
    <w:notTrueType/>
    <w:pitch w:val="variable"/>
    <w:sig w:usb0="A000007F" w:usb1="4000004A" w:usb2="00000000" w:usb3="00000000" w:csb0="0000000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3B708" w14:textId="2FAADBF4" w:rsidR="00F51771" w:rsidRDefault="00F51771">
    <w:pPr>
      <w:pStyle w:val="Footer"/>
    </w:pPr>
    <w:r>
      <w:rPr>
        <w:rFonts w:ascii="Whitney Book" w:eastAsia="Avenir" w:hAnsi="Whitney Book" w:cs="Avenir"/>
        <w:noProof/>
      </w:rPr>
      <w:drawing>
        <wp:inline distT="0" distB="0" distL="0" distR="0" wp14:anchorId="48C4F223" wp14:editId="54B8C61F">
          <wp:extent cx="6400800" cy="393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6400800" cy="3937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F524" w14:textId="77777777" w:rsidR="00E17470" w:rsidRDefault="00E17470">
      <w:pPr>
        <w:spacing w:line="240" w:lineRule="auto"/>
      </w:pPr>
      <w:r>
        <w:separator/>
      </w:r>
    </w:p>
  </w:footnote>
  <w:footnote w:type="continuationSeparator" w:id="0">
    <w:p w14:paraId="2C1872C5" w14:textId="77777777" w:rsidR="00E17470" w:rsidRDefault="00E174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B41C3"/>
    <w:multiLevelType w:val="multilevel"/>
    <w:tmpl w:val="0A5CB6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7B70199"/>
    <w:multiLevelType w:val="multilevel"/>
    <w:tmpl w:val="F87C5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5115CE"/>
    <w:multiLevelType w:val="multilevel"/>
    <w:tmpl w:val="43767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FB2FD8"/>
    <w:multiLevelType w:val="multilevel"/>
    <w:tmpl w:val="493AAB14"/>
    <w:lvl w:ilvl="0">
      <w:start w:val="1"/>
      <w:numFmt w:val="bullet"/>
      <w:lvlText w:val=""/>
      <w:lvlJc w:val="left"/>
      <w:pPr>
        <w:ind w:left="720" w:hanging="360"/>
      </w:pPr>
      <w:rPr>
        <w:rFonts w:ascii="Symbol" w:hAnsi="Symbol" w:hint="default"/>
        <w:color w:val="01416B"/>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0C684B"/>
    <w:multiLevelType w:val="hybridMultilevel"/>
    <w:tmpl w:val="ADE6DA7C"/>
    <w:lvl w:ilvl="0" w:tplc="3FA033A6">
      <w:start w:val="1"/>
      <w:numFmt w:val="bullet"/>
      <w:lvlText w:val=""/>
      <w:lvlJc w:val="left"/>
      <w:pPr>
        <w:ind w:left="720" w:hanging="360"/>
      </w:pPr>
      <w:rPr>
        <w:rFonts w:ascii="Symbol" w:hAnsi="Symbol" w:hint="default"/>
        <w:color w:val="01416B"/>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2627874">
    <w:abstractNumId w:val="0"/>
  </w:num>
  <w:num w:numId="2" w16cid:durableId="364451285">
    <w:abstractNumId w:val="1"/>
  </w:num>
  <w:num w:numId="3" w16cid:durableId="1229655668">
    <w:abstractNumId w:val="2"/>
  </w:num>
  <w:num w:numId="4" w16cid:durableId="1704013552">
    <w:abstractNumId w:val="3"/>
  </w:num>
  <w:num w:numId="5" w16cid:durableId="1401750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ACE"/>
    <w:rsid w:val="000916BD"/>
    <w:rsid w:val="002E6AA6"/>
    <w:rsid w:val="00432405"/>
    <w:rsid w:val="00470939"/>
    <w:rsid w:val="00487B09"/>
    <w:rsid w:val="004C059B"/>
    <w:rsid w:val="004F3A05"/>
    <w:rsid w:val="00701162"/>
    <w:rsid w:val="00AA6ACE"/>
    <w:rsid w:val="00AF246C"/>
    <w:rsid w:val="00B47DD5"/>
    <w:rsid w:val="00C50626"/>
    <w:rsid w:val="00D73252"/>
    <w:rsid w:val="00E17470"/>
    <w:rsid w:val="00E55636"/>
    <w:rsid w:val="00EF0156"/>
    <w:rsid w:val="00F51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87B09"/>
    <w:pPr>
      <w:ind w:left="720"/>
      <w:contextualSpacing/>
    </w:pPr>
  </w:style>
  <w:style w:type="paragraph" w:styleId="Header">
    <w:name w:val="header"/>
    <w:basedOn w:val="Normal"/>
    <w:link w:val="HeaderChar"/>
    <w:uiPriority w:val="99"/>
    <w:unhideWhenUsed/>
    <w:rsid w:val="00F51771"/>
    <w:pPr>
      <w:tabs>
        <w:tab w:val="center" w:pos="4680"/>
        <w:tab w:val="right" w:pos="9360"/>
      </w:tabs>
      <w:spacing w:line="240" w:lineRule="auto"/>
    </w:pPr>
  </w:style>
  <w:style w:type="character" w:customStyle="1" w:styleId="HeaderChar">
    <w:name w:val="Header Char"/>
    <w:basedOn w:val="DefaultParagraphFont"/>
    <w:link w:val="Header"/>
    <w:uiPriority w:val="99"/>
    <w:rsid w:val="00F51771"/>
  </w:style>
  <w:style w:type="paragraph" w:styleId="Footer">
    <w:name w:val="footer"/>
    <w:basedOn w:val="Normal"/>
    <w:link w:val="FooterChar"/>
    <w:uiPriority w:val="99"/>
    <w:unhideWhenUsed/>
    <w:rsid w:val="00F51771"/>
    <w:pPr>
      <w:tabs>
        <w:tab w:val="center" w:pos="4680"/>
        <w:tab w:val="right" w:pos="9360"/>
      </w:tabs>
      <w:spacing w:line="240" w:lineRule="auto"/>
    </w:pPr>
  </w:style>
  <w:style w:type="character" w:customStyle="1" w:styleId="FooterChar">
    <w:name w:val="Footer Char"/>
    <w:basedOn w:val="DefaultParagraphFont"/>
    <w:link w:val="Footer"/>
    <w:uiPriority w:val="99"/>
    <w:rsid w:val="00F51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1615CA80577F4A9C5E161ECFC0F02A" ma:contentTypeVersion="12" ma:contentTypeDescription="Create a new document." ma:contentTypeScope="" ma:versionID="31cfbc38b92a4e41b7ccd5e7cb2f9370">
  <xsd:schema xmlns:xsd="http://www.w3.org/2001/XMLSchema" xmlns:xs="http://www.w3.org/2001/XMLSchema" xmlns:p="http://schemas.microsoft.com/office/2006/metadata/properties" xmlns:ns2="09ccb1f6-87ee-42f1-be12-75669006ba51" xmlns:ns3="8ee44880-71a5-4639-b271-fd69eefb06cb" targetNamespace="http://schemas.microsoft.com/office/2006/metadata/properties" ma:root="true" ma:fieldsID="32d0c1cea46e85319d7fa14d919e43cd" ns2:_="" ns3:_="">
    <xsd:import namespace="09ccb1f6-87ee-42f1-be12-75669006ba51"/>
    <xsd:import namespace="8ee44880-71a5-4639-b271-fd69eefb06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ccb1f6-87ee-42f1-be12-75669006ba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44880-71a5-4639-b271-fd69eefb06c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3489E2-EFD0-4F62-9110-36A84FE3237A}">
  <ds:schemaRefs>
    <ds:schemaRef ds:uri="http://schemas.microsoft.com/sharepoint/v3/contenttype/forms"/>
  </ds:schemaRefs>
</ds:datastoreItem>
</file>

<file path=customXml/itemProps2.xml><?xml version="1.0" encoding="utf-8"?>
<ds:datastoreItem xmlns:ds="http://schemas.openxmlformats.org/officeDocument/2006/customXml" ds:itemID="{D7BA9DE9-942B-4BD4-A587-813D81E10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ccb1f6-87ee-42f1-be12-75669006ba51"/>
    <ds:schemaRef ds:uri="8ee44880-71a5-4639-b271-fd69eefb0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078D6A-1E27-4369-BD0A-A1D3C4CCD2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FINAL DYS 2 pager</Template>
  <TotalTime>7</TotalTime>
  <Pages>2</Pages>
  <Words>625</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Laverriere, Kathryn (DYS)</cp:lastModifiedBy>
  <cp:revision>2</cp:revision>
  <cp:lastPrinted>2021-06-30T13:16:00Z</cp:lastPrinted>
  <dcterms:created xsi:type="dcterms:W3CDTF">2023-03-16T16:03:00Z</dcterms:created>
  <dcterms:modified xsi:type="dcterms:W3CDTF">2023-03-16T16:03:00Z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0x010100141615CA80577F4A9C5E161ECFC0F02A</vt:lpwstr>
  </property>
</Properties>
</file>