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BC" w:rsidRDefault="00661349">
      <w:r>
        <w:tab/>
      </w:r>
    </w:p>
    <w:p w:rsidR="005A4BBC" w:rsidRDefault="005A4BBC"/>
    <w:p w:rsidR="005A4BBC" w:rsidRDefault="005A4BBC"/>
    <w:p w:rsidR="005A4BBC" w:rsidRDefault="005A4BBC"/>
    <w:p w:rsidR="005A4BBC" w:rsidRDefault="005A4BBC"/>
    <w:p w:rsidR="005A4BBC" w:rsidRDefault="005A4BBC"/>
    <w:p w:rsidR="005A4BBC" w:rsidRDefault="005A4BBC"/>
    <w:p w:rsidR="005A4BBC" w:rsidRDefault="005A4BBC">
      <w:pPr>
        <w:rPr>
          <w:sz w:val="40"/>
        </w:rPr>
      </w:pPr>
    </w:p>
    <w:p w:rsidR="005A4BBC" w:rsidRPr="00197A4B" w:rsidRDefault="005A4BBC">
      <w:pPr>
        <w:pStyle w:val="BodyText2"/>
        <w:rPr>
          <w:rFonts w:ascii="Bookman Old Style" w:hAnsi="Bookman Old Style"/>
          <w:sz w:val="34"/>
          <w:szCs w:val="34"/>
        </w:rPr>
      </w:pPr>
      <w:r w:rsidRPr="00197A4B">
        <w:rPr>
          <w:rFonts w:ascii="Bookman Old Style" w:hAnsi="Bookman Old Style"/>
          <w:sz w:val="34"/>
          <w:szCs w:val="34"/>
        </w:rPr>
        <w:t>Massachusetts Department of Youth Services</w:t>
      </w:r>
    </w:p>
    <w:p w:rsidR="005A4BBC" w:rsidRPr="00197A4B" w:rsidRDefault="005A4BBC">
      <w:pPr>
        <w:pStyle w:val="BodyText2"/>
        <w:rPr>
          <w:rFonts w:ascii="Bookman Old Style" w:hAnsi="Bookman Old Style"/>
          <w:sz w:val="16"/>
        </w:rPr>
      </w:pPr>
    </w:p>
    <w:p w:rsidR="005A4BBC" w:rsidRPr="00197A4B" w:rsidRDefault="005A4BBC">
      <w:pPr>
        <w:pStyle w:val="Heading4"/>
        <w:rPr>
          <w:rFonts w:ascii="Bookman Old Style" w:hAnsi="Bookman Old Style"/>
          <w:sz w:val="56"/>
          <w:szCs w:val="56"/>
        </w:rPr>
      </w:pPr>
      <w:r w:rsidRPr="00197A4B">
        <w:rPr>
          <w:rFonts w:ascii="Bookman Old Style" w:hAnsi="Bookman Old Style"/>
          <w:sz w:val="56"/>
          <w:szCs w:val="56"/>
        </w:rPr>
        <w:t>Juvenile Recidivism Report</w:t>
      </w:r>
    </w:p>
    <w:p w:rsidR="005A4BBC" w:rsidRPr="00197A4B" w:rsidRDefault="008C5418">
      <w:pPr>
        <w:jc w:val="center"/>
        <w:rPr>
          <w:rFonts w:ascii="Bookman Old Style" w:hAnsi="Bookman Old Style"/>
          <w:b/>
          <w:sz w:val="32"/>
          <w:szCs w:val="32"/>
        </w:rPr>
      </w:pPr>
      <w:r w:rsidRPr="00197A4B">
        <w:rPr>
          <w:rFonts w:ascii="Bookman Old Style" w:hAnsi="Bookman Old Style"/>
          <w:b/>
          <w:sz w:val="32"/>
          <w:szCs w:val="32"/>
        </w:rPr>
        <w:t>Fo</w:t>
      </w:r>
      <w:r w:rsidR="00595153">
        <w:rPr>
          <w:rFonts w:ascii="Bookman Old Style" w:hAnsi="Bookman Old Style"/>
          <w:b/>
          <w:sz w:val="32"/>
          <w:szCs w:val="32"/>
        </w:rPr>
        <w:t xml:space="preserve">r </w:t>
      </w:r>
      <w:r w:rsidR="00CD0556">
        <w:rPr>
          <w:rFonts w:ascii="Bookman Old Style" w:hAnsi="Bookman Old Style"/>
          <w:b/>
          <w:sz w:val="32"/>
          <w:szCs w:val="32"/>
        </w:rPr>
        <w:t xml:space="preserve">Youth </w:t>
      </w:r>
      <w:r w:rsidR="00537CF0">
        <w:rPr>
          <w:rFonts w:ascii="Bookman Old Style" w:hAnsi="Bookman Old Style"/>
          <w:b/>
          <w:sz w:val="32"/>
          <w:szCs w:val="32"/>
        </w:rPr>
        <w:t>Discharged During 2014</w:t>
      </w:r>
    </w:p>
    <w:p w:rsidR="008C5418" w:rsidRPr="00197A4B" w:rsidRDefault="008C5418">
      <w:pPr>
        <w:jc w:val="center"/>
        <w:rPr>
          <w:rFonts w:ascii="Bookman Old Style" w:hAnsi="Bookman Old Style"/>
          <w:b/>
          <w:sz w:val="28"/>
          <w:szCs w:val="28"/>
        </w:rPr>
      </w:pPr>
    </w:p>
    <w:p w:rsidR="005A4BBC" w:rsidRPr="00197A4B" w:rsidRDefault="006960EE" w:rsidP="005F7A5F">
      <w:pPr>
        <w:pStyle w:val="Heading3"/>
        <w:rPr>
          <w:rFonts w:ascii="Bookman Old Style" w:hAnsi="Bookman Old Style"/>
          <w:b/>
          <w:sz w:val="32"/>
          <w:szCs w:val="32"/>
        </w:rPr>
      </w:pPr>
      <w:r>
        <w:rPr>
          <w:rFonts w:ascii="Bookman Old Style" w:hAnsi="Bookman Old Style"/>
          <w:b/>
          <w:sz w:val="32"/>
          <w:szCs w:val="32"/>
        </w:rPr>
        <w:t>November 19</w:t>
      </w:r>
      <w:bookmarkStart w:id="0" w:name="_GoBack"/>
      <w:bookmarkEnd w:id="0"/>
      <w:r w:rsidR="00777B69">
        <w:rPr>
          <w:rFonts w:ascii="Bookman Old Style" w:hAnsi="Bookman Old Style"/>
          <w:b/>
          <w:sz w:val="32"/>
          <w:szCs w:val="32"/>
        </w:rPr>
        <w:t>, 201</w:t>
      </w:r>
      <w:r w:rsidR="00537CF0">
        <w:rPr>
          <w:rFonts w:ascii="Bookman Old Style" w:hAnsi="Bookman Old Style"/>
          <w:b/>
          <w:sz w:val="32"/>
          <w:szCs w:val="32"/>
        </w:rPr>
        <w:t>8</w:t>
      </w:r>
    </w:p>
    <w:p w:rsidR="005A4BBC" w:rsidRDefault="005A4BBC"/>
    <w:p w:rsidR="005A4BBC" w:rsidRDefault="005A4BBC"/>
    <w:p w:rsidR="005A4BBC" w:rsidRDefault="005A4BBC"/>
    <w:p w:rsidR="005A4BBC" w:rsidRDefault="00217E28" w:rsidP="00217E28">
      <w:pPr>
        <w:jc w:val="center"/>
      </w:pPr>
      <w:r>
        <w:rPr>
          <w:noProof/>
        </w:rPr>
        <w:drawing>
          <wp:inline distT="0" distB="0" distL="0" distR="0">
            <wp:extent cx="2257425" cy="2257425"/>
            <wp:effectExtent l="0" t="0" r="9525" b="9525"/>
            <wp:docPr id="6" name="Picture 6" descr="F:\DYS Seal\SEAL_v2008-07_doc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YS Seal\SEAL_v2008-07_doc 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a:ln>
                      <a:noFill/>
                    </a:ln>
                  </pic:spPr>
                </pic:pic>
              </a:graphicData>
            </a:graphic>
          </wp:inline>
        </w:drawing>
      </w:r>
    </w:p>
    <w:p w:rsidR="005A4BBC" w:rsidRDefault="005A4BBC"/>
    <w:p w:rsidR="005A4BBC" w:rsidRDefault="005A4BBC"/>
    <w:p w:rsidR="005A4BBC" w:rsidRDefault="005A4BBC"/>
    <w:p w:rsidR="001F4ACD" w:rsidRDefault="001F4ACD" w:rsidP="001D07DE">
      <w:pPr>
        <w:jc w:val="center"/>
        <w:rPr>
          <w:b/>
        </w:rPr>
      </w:pPr>
    </w:p>
    <w:p w:rsidR="001F4ACD" w:rsidRDefault="001F4ACD" w:rsidP="001F4ACD">
      <w:pPr>
        <w:spacing w:line="360" w:lineRule="auto"/>
        <w:jc w:val="center"/>
        <w:rPr>
          <w:b/>
        </w:rPr>
      </w:pPr>
      <w:r>
        <w:rPr>
          <w:b/>
        </w:rPr>
        <w:t>Charles Baker, Governor</w:t>
      </w:r>
    </w:p>
    <w:p w:rsidR="001F4ACD" w:rsidRDefault="001F4ACD" w:rsidP="001F4ACD">
      <w:pPr>
        <w:spacing w:line="360" w:lineRule="auto"/>
        <w:jc w:val="center"/>
        <w:rPr>
          <w:b/>
        </w:rPr>
      </w:pPr>
      <w:r>
        <w:rPr>
          <w:b/>
        </w:rPr>
        <w:t>Mary Lou Sudders, Secretary, Executive Office of Health &amp; Human Services</w:t>
      </w:r>
    </w:p>
    <w:p w:rsidR="00036786" w:rsidRPr="00036786" w:rsidRDefault="00661BBC" w:rsidP="001F4ACD">
      <w:pPr>
        <w:spacing w:line="360" w:lineRule="auto"/>
        <w:jc w:val="center"/>
        <w:rPr>
          <w:b/>
        </w:rPr>
      </w:pPr>
      <w:r>
        <w:rPr>
          <w:b/>
        </w:rPr>
        <w:t>Peter J. Forbes</w:t>
      </w:r>
      <w:r w:rsidR="001F4ACD">
        <w:rPr>
          <w:b/>
        </w:rPr>
        <w:t xml:space="preserve">, </w:t>
      </w:r>
      <w:r w:rsidR="00036786" w:rsidRPr="00036786">
        <w:rPr>
          <w:b/>
        </w:rPr>
        <w:t>Commissioner</w:t>
      </w:r>
    </w:p>
    <w:p w:rsidR="005A4BBC" w:rsidRDefault="005A4BBC"/>
    <w:p w:rsidR="005A4BBC" w:rsidRDefault="005A4BBC"/>
    <w:p w:rsidR="005A4BBC" w:rsidRDefault="005A4BBC"/>
    <w:p w:rsidR="00EC3061" w:rsidRDefault="00EC3061"/>
    <w:p w:rsidR="00434F25" w:rsidRDefault="00434F25"/>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Pr="009250C6" w:rsidRDefault="00036786" w:rsidP="00036786">
      <w:pPr>
        <w:pStyle w:val="BodyText2"/>
        <w:jc w:val="left"/>
        <w:rPr>
          <w:sz w:val="24"/>
        </w:rPr>
      </w:pPr>
      <w:r w:rsidRPr="009250C6">
        <w:rPr>
          <w:sz w:val="24"/>
        </w:rPr>
        <w:t>Massachusetts Department of Youth Services</w:t>
      </w:r>
    </w:p>
    <w:p w:rsidR="00036786" w:rsidRPr="009250C6" w:rsidRDefault="00537CF0" w:rsidP="00036786">
      <w:pPr>
        <w:pStyle w:val="Heading4"/>
        <w:jc w:val="left"/>
        <w:rPr>
          <w:rFonts w:ascii="Arial Black" w:hAnsi="Arial Black"/>
          <w:sz w:val="24"/>
        </w:rPr>
      </w:pPr>
      <w:r>
        <w:rPr>
          <w:rFonts w:ascii="Arial Black" w:hAnsi="Arial Black"/>
          <w:sz w:val="24"/>
        </w:rPr>
        <w:t>2018</w:t>
      </w:r>
      <w:r w:rsidR="00036786" w:rsidRPr="009250C6">
        <w:rPr>
          <w:rFonts w:ascii="Arial Black" w:hAnsi="Arial Black"/>
          <w:sz w:val="24"/>
        </w:rPr>
        <w:t xml:space="preserve"> Juvenile Recidivism Report</w:t>
      </w:r>
    </w:p>
    <w:p w:rsidR="00036786" w:rsidRDefault="00036786" w:rsidP="00036786"/>
    <w:p w:rsidR="00036786" w:rsidRDefault="00036786" w:rsidP="00036786"/>
    <w:p w:rsidR="00036786" w:rsidRDefault="00036786" w:rsidP="00036786"/>
    <w:p w:rsidR="00036786" w:rsidRDefault="00036786" w:rsidP="00036786"/>
    <w:p w:rsidR="00036786" w:rsidRDefault="00036786" w:rsidP="00036786">
      <w:r>
        <w:t>Project Staff</w:t>
      </w:r>
    </w:p>
    <w:p w:rsidR="00036786" w:rsidRDefault="00036786" w:rsidP="00036786"/>
    <w:p w:rsidR="00595153" w:rsidRDefault="00595153" w:rsidP="00595153">
      <w:r>
        <w:t>David Chandler, Research Director</w:t>
      </w:r>
    </w:p>
    <w:p w:rsidR="00036786" w:rsidRDefault="00036786" w:rsidP="00036786">
      <w:r>
        <w:t>Robert Tansi, Research Analyst</w:t>
      </w:r>
    </w:p>
    <w:p w:rsidR="00A34925" w:rsidRDefault="00A34925" w:rsidP="00036786"/>
    <w:p w:rsidR="00595153" w:rsidRDefault="00595153" w:rsidP="00036786"/>
    <w:p w:rsidR="009A287E" w:rsidRDefault="009A287E" w:rsidP="00036786"/>
    <w:p w:rsidR="00036786" w:rsidRDefault="00036786" w:rsidP="00036786"/>
    <w:p w:rsidR="00036786" w:rsidRDefault="00036786" w:rsidP="00036786"/>
    <w:p w:rsidR="00036786" w:rsidRDefault="00036786" w:rsidP="00036786"/>
    <w:p w:rsidR="00036786" w:rsidRDefault="00036786" w:rsidP="00036786"/>
    <w:p w:rsidR="00036786" w:rsidRDefault="00036786" w:rsidP="00036786"/>
    <w:p w:rsidR="00036786" w:rsidRDefault="00036786" w:rsidP="00036786">
      <w:pPr>
        <w:rPr>
          <w:bCs/>
        </w:rPr>
      </w:pPr>
      <w:r w:rsidRPr="00036786">
        <w:rPr>
          <w:bCs/>
        </w:rPr>
        <w:t>Department of Youth Services</w:t>
      </w:r>
    </w:p>
    <w:p w:rsidR="00036786" w:rsidRPr="00036786" w:rsidRDefault="00036786" w:rsidP="00036786">
      <w:pPr>
        <w:rPr>
          <w:bCs/>
        </w:rPr>
      </w:pPr>
      <w:r>
        <w:rPr>
          <w:bCs/>
        </w:rPr>
        <w:t>Central Office</w:t>
      </w:r>
    </w:p>
    <w:p w:rsidR="00036786" w:rsidRPr="00036786" w:rsidRDefault="00C57B52" w:rsidP="00036786">
      <w:pPr>
        <w:rPr>
          <w:bCs/>
        </w:rPr>
      </w:pPr>
      <w:r>
        <w:rPr>
          <w:bCs/>
        </w:rPr>
        <w:t>600 Washington Street, 4</w:t>
      </w:r>
      <w:r w:rsidRPr="00C57B52">
        <w:rPr>
          <w:bCs/>
          <w:vertAlign w:val="superscript"/>
        </w:rPr>
        <w:t>th</w:t>
      </w:r>
      <w:r>
        <w:rPr>
          <w:bCs/>
        </w:rPr>
        <w:t xml:space="preserve"> Floor</w:t>
      </w:r>
    </w:p>
    <w:p w:rsidR="00036786" w:rsidRPr="00036786" w:rsidRDefault="00036786" w:rsidP="00036786">
      <w:pPr>
        <w:rPr>
          <w:bCs/>
        </w:rPr>
      </w:pPr>
      <w:r w:rsidRPr="00036786">
        <w:rPr>
          <w:bCs/>
        </w:rPr>
        <w:t>Boston, MA</w:t>
      </w:r>
      <w:r w:rsidR="00C57B52">
        <w:rPr>
          <w:bCs/>
        </w:rPr>
        <w:t xml:space="preserve">  02111</w:t>
      </w:r>
    </w:p>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036786" w:rsidRDefault="00036786"/>
    <w:p w:rsidR="005A4BBC" w:rsidRDefault="005A4BBC">
      <w:pPr>
        <w:pStyle w:val="Heading3"/>
        <w:rPr>
          <w:b/>
          <w:bCs/>
        </w:rPr>
      </w:pPr>
      <w:r>
        <w:rPr>
          <w:b/>
          <w:bCs/>
        </w:rPr>
        <w:t>Executive Summary</w:t>
      </w:r>
    </w:p>
    <w:p w:rsidR="005A4BBC" w:rsidRPr="0001354D" w:rsidRDefault="005A4BBC">
      <w:pPr>
        <w:jc w:val="center"/>
        <w:rPr>
          <w:sz w:val="28"/>
          <w:szCs w:val="28"/>
        </w:rPr>
      </w:pPr>
    </w:p>
    <w:p w:rsidR="005A4BBC" w:rsidRDefault="00F94759">
      <w:pPr>
        <w:spacing w:line="360" w:lineRule="auto"/>
      </w:pPr>
      <w:r>
        <w:t>This study tracked</w:t>
      </w:r>
      <w:r w:rsidR="00CD0556">
        <w:t xml:space="preserve"> the criminal histories of </w:t>
      </w:r>
      <w:r w:rsidR="00537CF0">
        <w:t>409</w:t>
      </w:r>
      <w:r w:rsidR="00CD0556">
        <w:t xml:space="preserve"> </w:t>
      </w:r>
      <w:r w:rsidR="0011242C">
        <w:t>youth</w:t>
      </w:r>
      <w:r w:rsidR="006465DF">
        <w:t>, formerly</w:t>
      </w:r>
      <w:r w:rsidR="00902D6B">
        <w:t xml:space="preserve"> committed to </w:t>
      </w:r>
      <w:r w:rsidR="003613CF">
        <w:t>the Massachusetts Department of Youth Services</w:t>
      </w:r>
      <w:r w:rsidR="005B3E1D">
        <w:t>’</w:t>
      </w:r>
      <w:r w:rsidR="003613CF">
        <w:t xml:space="preserve"> (</w:t>
      </w:r>
      <w:r w:rsidR="00902D6B">
        <w:t>DYS</w:t>
      </w:r>
      <w:r w:rsidR="003613CF">
        <w:t>)</w:t>
      </w:r>
      <w:r w:rsidR="00902D6B">
        <w:t xml:space="preserve"> custody</w:t>
      </w:r>
      <w:r w:rsidR="006465DF">
        <w:t xml:space="preserve"> and</w:t>
      </w:r>
      <w:r w:rsidR="00CD0556">
        <w:t xml:space="preserve"> discharge</w:t>
      </w:r>
      <w:r w:rsidR="006465DF">
        <w:t>d</w:t>
      </w:r>
      <w:r w:rsidR="00CD0556">
        <w:t xml:space="preserve"> </w:t>
      </w:r>
      <w:r w:rsidR="003613CF">
        <w:t xml:space="preserve">from the agency </w:t>
      </w:r>
      <w:r w:rsidR="006465DF">
        <w:t>during</w:t>
      </w:r>
      <w:r w:rsidR="00537CF0">
        <w:t xml:space="preserve"> 2014</w:t>
      </w:r>
      <w:r w:rsidR="003613CF">
        <w:t>.</w:t>
      </w:r>
      <w:r w:rsidR="00902D6B">
        <w:t xml:space="preserve">  </w:t>
      </w:r>
      <w:r w:rsidR="00CD0556">
        <w:t>The information on their arrests, convictions and incarcerations post discharge was</w:t>
      </w:r>
      <w:r w:rsidR="005A4BBC">
        <w:t xml:space="preserve"> evaluated to find</w:t>
      </w:r>
      <w:r w:rsidR="008409F5">
        <w:t xml:space="preserve"> the rate of recidivism for the entire cohort, as well as the recidivism rates for selected segments of that cohort</w:t>
      </w:r>
      <w:r w:rsidR="005A4BBC">
        <w:t>.</w:t>
      </w:r>
    </w:p>
    <w:p w:rsidR="005A4BBC" w:rsidRPr="0001354D" w:rsidRDefault="005A4BBC" w:rsidP="00D31D33">
      <w:pPr>
        <w:rPr>
          <w:sz w:val="20"/>
          <w:szCs w:val="20"/>
        </w:rPr>
      </w:pPr>
    </w:p>
    <w:p w:rsidR="005A4BBC" w:rsidRDefault="00E2099E">
      <w:pPr>
        <w:spacing w:line="360" w:lineRule="auto"/>
      </w:pPr>
      <w:r>
        <w:t>Of the</w:t>
      </w:r>
      <w:r w:rsidR="00595153">
        <w:t xml:space="preserve"> </w:t>
      </w:r>
      <w:r w:rsidR="00537CF0">
        <w:t>409</w:t>
      </w:r>
      <w:r w:rsidR="005A4BBC">
        <w:t xml:space="preserve"> </w:t>
      </w:r>
      <w:r w:rsidR="00876A70">
        <w:t>s</w:t>
      </w:r>
      <w:r w:rsidR="005635FB">
        <w:t>ubjects</w:t>
      </w:r>
      <w:r w:rsidR="00723CC4">
        <w:t>,</w:t>
      </w:r>
      <w:r w:rsidR="009A4A6C">
        <w:t xml:space="preserve"> 26</w:t>
      </w:r>
      <w:r w:rsidR="0001354D">
        <w:t>% were convicted</w:t>
      </w:r>
      <w:r w:rsidR="00661349">
        <w:t xml:space="preserve"> </w:t>
      </w:r>
      <w:r w:rsidR="005A4BBC">
        <w:t>within one year of discharge fr</w:t>
      </w:r>
      <w:r w:rsidR="00876A70">
        <w:t>om DYS.  This compa</w:t>
      </w:r>
      <w:r w:rsidR="00E20A93">
        <w:t xml:space="preserve">res with </w:t>
      </w:r>
      <w:r w:rsidR="00960E1D">
        <w:t xml:space="preserve">a </w:t>
      </w:r>
      <w:r w:rsidR="00537CF0">
        <w:t xml:space="preserve">26% rate for the 2013 discharges; a </w:t>
      </w:r>
      <w:r w:rsidR="009A4A6C">
        <w:t>22% rate for the 2012</w:t>
      </w:r>
      <w:r w:rsidR="00C82FC3">
        <w:t xml:space="preserve"> discharges; </w:t>
      </w:r>
      <w:r w:rsidR="00537CF0">
        <w:t xml:space="preserve">and </w:t>
      </w:r>
      <w:r w:rsidR="00C82FC3">
        <w:t xml:space="preserve">a </w:t>
      </w:r>
      <w:r w:rsidR="009A4A6C">
        <w:t>22</w:t>
      </w:r>
      <w:r>
        <w:t xml:space="preserve">% rate for the </w:t>
      </w:r>
      <w:r w:rsidR="009A4A6C">
        <w:t>2011</w:t>
      </w:r>
      <w:r w:rsidR="00096736">
        <w:t xml:space="preserve"> discharges</w:t>
      </w:r>
      <w:r w:rsidR="006F1586">
        <w:t>.</w:t>
      </w:r>
      <w:r w:rsidR="004471AA">
        <w:t xml:space="preserve">  </w:t>
      </w:r>
      <w:r w:rsidR="00BF573B">
        <w:t>Youth</w:t>
      </w:r>
      <w:r w:rsidR="00CD0556">
        <w:t xml:space="preserve"> at high risk for </w:t>
      </w:r>
      <w:r w:rsidR="004471AA">
        <w:t>conviction</w:t>
      </w:r>
      <w:r w:rsidR="001B4A1C">
        <w:t xml:space="preserve"> as adults</w:t>
      </w:r>
      <w:r w:rsidR="004471AA">
        <w:t xml:space="preserve"> tend</w:t>
      </w:r>
      <w:r w:rsidR="009A287E">
        <w:t>ed to be males who</w:t>
      </w:r>
      <w:r w:rsidR="00394104">
        <w:t xml:space="preserve"> </w:t>
      </w:r>
      <w:r w:rsidR="004471AA">
        <w:t>had be</w:t>
      </w:r>
      <w:r w:rsidR="00E91E9D">
        <w:t>en comm</w:t>
      </w:r>
      <w:r w:rsidR="009A287E">
        <w:t>itted to</w:t>
      </w:r>
      <w:r w:rsidR="009A4A6C">
        <w:t xml:space="preserve"> DYS</w:t>
      </w:r>
      <w:r w:rsidR="00CD0556">
        <w:t xml:space="preserve"> </w:t>
      </w:r>
      <w:r w:rsidR="00315889">
        <w:t xml:space="preserve">custody </w:t>
      </w:r>
      <w:r w:rsidR="00CD0556">
        <w:t xml:space="preserve">for </w:t>
      </w:r>
      <w:r w:rsidR="009A4A6C">
        <w:t>violent</w:t>
      </w:r>
      <w:r w:rsidR="00E91E9D">
        <w:t xml:space="preserve"> </w:t>
      </w:r>
      <w:r w:rsidR="00394104">
        <w:t>offenses</w:t>
      </w:r>
      <w:r w:rsidR="004471AA">
        <w:t>.</w:t>
      </w:r>
    </w:p>
    <w:tbl>
      <w:tblPr>
        <w:tblStyle w:val="TableGrid"/>
        <w:tblpPr w:leftFromText="180" w:rightFromText="180" w:vertAnchor="text" w:horzAnchor="margin" w:tblpXSpec="center" w:tblpY="120"/>
        <w:tblW w:w="0" w:type="auto"/>
        <w:tblLook w:val="01E0" w:firstRow="1" w:lastRow="1" w:firstColumn="1" w:lastColumn="1" w:noHBand="0" w:noVBand="0"/>
      </w:tblPr>
      <w:tblGrid>
        <w:gridCol w:w="1728"/>
        <w:gridCol w:w="1980"/>
      </w:tblGrid>
      <w:tr w:rsidR="001D07DE" w:rsidTr="0001354D">
        <w:trPr>
          <w:trHeight w:hRule="exact" w:val="288"/>
        </w:trPr>
        <w:tc>
          <w:tcPr>
            <w:tcW w:w="1728" w:type="dxa"/>
          </w:tcPr>
          <w:p w:rsidR="001D07DE" w:rsidRPr="001D07DE" w:rsidRDefault="001D07DE" w:rsidP="001D07DE">
            <w:pPr>
              <w:spacing w:line="360" w:lineRule="auto"/>
              <w:rPr>
                <w:b/>
                <w:sz w:val="20"/>
                <w:szCs w:val="20"/>
              </w:rPr>
            </w:pPr>
          </w:p>
        </w:tc>
        <w:tc>
          <w:tcPr>
            <w:tcW w:w="1980" w:type="dxa"/>
          </w:tcPr>
          <w:p w:rsidR="001D07DE" w:rsidRPr="001D07DE" w:rsidRDefault="001D07DE" w:rsidP="001D07DE">
            <w:pPr>
              <w:spacing w:line="360" w:lineRule="auto"/>
              <w:jc w:val="center"/>
              <w:rPr>
                <w:b/>
                <w:sz w:val="20"/>
                <w:szCs w:val="20"/>
              </w:rPr>
            </w:pPr>
            <w:r w:rsidRPr="001D07DE">
              <w:rPr>
                <w:b/>
                <w:sz w:val="20"/>
                <w:szCs w:val="20"/>
              </w:rPr>
              <w:t>One-Year</w:t>
            </w:r>
          </w:p>
        </w:tc>
      </w:tr>
      <w:tr w:rsidR="001D07DE" w:rsidTr="0001354D">
        <w:trPr>
          <w:trHeight w:hRule="exact" w:val="288"/>
        </w:trPr>
        <w:tc>
          <w:tcPr>
            <w:tcW w:w="1728" w:type="dxa"/>
          </w:tcPr>
          <w:p w:rsidR="001D07DE" w:rsidRPr="001D07DE" w:rsidRDefault="001D07DE" w:rsidP="001D07DE">
            <w:pPr>
              <w:spacing w:line="360" w:lineRule="auto"/>
              <w:rPr>
                <w:b/>
                <w:sz w:val="20"/>
                <w:szCs w:val="20"/>
              </w:rPr>
            </w:pPr>
            <w:r w:rsidRPr="001D07DE">
              <w:rPr>
                <w:b/>
                <w:sz w:val="20"/>
                <w:szCs w:val="20"/>
              </w:rPr>
              <w:t>Gender</w:t>
            </w:r>
          </w:p>
        </w:tc>
        <w:tc>
          <w:tcPr>
            <w:tcW w:w="1980" w:type="dxa"/>
          </w:tcPr>
          <w:p w:rsidR="001D07DE" w:rsidRPr="001D07DE" w:rsidRDefault="001D07DE" w:rsidP="001D07DE">
            <w:pPr>
              <w:spacing w:line="360" w:lineRule="auto"/>
              <w:jc w:val="center"/>
              <w:rPr>
                <w:b/>
                <w:sz w:val="20"/>
                <w:szCs w:val="20"/>
              </w:rPr>
            </w:pPr>
            <w:r w:rsidRPr="001D07DE">
              <w:rPr>
                <w:b/>
                <w:sz w:val="20"/>
                <w:szCs w:val="20"/>
              </w:rPr>
              <w:t>Reconviction Rate</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Males</w:t>
            </w:r>
          </w:p>
        </w:tc>
        <w:tc>
          <w:tcPr>
            <w:tcW w:w="1980" w:type="dxa"/>
          </w:tcPr>
          <w:p w:rsidR="001D07DE" w:rsidRPr="001D07DE" w:rsidRDefault="00720C7F" w:rsidP="001D07DE">
            <w:pPr>
              <w:spacing w:line="360" w:lineRule="auto"/>
              <w:jc w:val="center"/>
              <w:rPr>
                <w:sz w:val="20"/>
                <w:szCs w:val="20"/>
              </w:rPr>
            </w:pPr>
            <w:r>
              <w:rPr>
                <w:sz w:val="20"/>
                <w:szCs w:val="20"/>
              </w:rPr>
              <w:t>29</w:t>
            </w:r>
            <w:r w:rsidR="001D07DE" w:rsidRPr="001D07DE">
              <w:rPr>
                <w:sz w:val="20"/>
                <w:szCs w:val="20"/>
              </w:rPr>
              <w:t>%</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Females</w:t>
            </w:r>
          </w:p>
          <w:p w:rsidR="001D07DE" w:rsidRPr="001D07DE" w:rsidRDefault="001D07DE" w:rsidP="001D07DE">
            <w:pPr>
              <w:spacing w:line="360" w:lineRule="auto"/>
              <w:rPr>
                <w:sz w:val="20"/>
                <w:szCs w:val="20"/>
              </w:rPr>
            </w:pPr>
          </w:p>
        </w:tc>
        <w:tc>
          <w:tcPr>
            <w:tcW w:w="1980" w:type="dxa"/>
          </w:tcPr>
          <w:p w:rsidR="001D07DE" w:rsidRPr="001D07DE" w:rsidRDefault="00720C7F" w:rsidP="001D07DE">
            <w:pPr>
              <w:spacing w:line="360" w:lineRule="auto"/>
              <w:jc w:val="center"/>
              <w:rPr>
                <w:sz w:val="20"/>
                <w:szCs w:val="20"/>
              </w:rPr>
            </w:pPr>
            <w:r>
              <w:rPr>
                <w:sz w:val="20"/>
                <w:szCs w:val="20"/>
              </w:rPr>
              <w:t>8</w:t>
            </w:r>
            <w:r w:rsidR="001D07DE" w:rsidRPr="001D07DE">
              <w:rPr>
                <w:sz w:val="20"/>
                <w:szCs w:val="20"/>
              </w:rPr>
              <w:t>%</w:t>
            </w:r>
          </w:p>
        </w:tc>
      </w:tr>
      <w:tr w:rsidR="001D07DE" w:rsidTr="0001354D">
        <w:trPr>
          <w:trHeight w:hRule="exact" w:val="294"/>
        </w:trPr>
        <w:tc>
          <w:tcPr>
            <w:tcW w:w="1728" w:type="dxa"/>
          </w:tcPr>
          <w:p w:rsidR="001D07DE" w:rsidRPr="001D07DE" w:rsidRDefault="001D07DE" w:rsidP="001D07DE">
            <w:pPr>
              <w:spacing w:line="360" w:lineRule="auto"/>
              <w:rPr>
                <w:sz w:val="20"/>
                <w:szCs w:val="20"/>
              </w:rPr>
            </w:pPr>
          </w:p>
        </w:tc>
        <w:tc>
          <w:tcPr>
            <w:tcW w:w="1980" w:type="dxa"/>
          </w:tcPr>
          <w:p w:rsidR="001D07DE" w:rsidRPr="001D07DE" w:rsidRDefault="001D07DE" w:rsidP="001D07DE">
            <w:pPr>
              <w:spacing w:line="360" w:lineRule="auto"/>
              <w:jc w:val="center"/>
              <w:rPr>
                <w:sz w:val="20"/>
                <w:szCs w:val="20"/>
              </w:rPr>
            </w:pPr>
          </w:p>
        </w:tc>
      </w:tr>
      <w:tr w:rsidR="001D07DE" w:rsidTr="0001354D">
        <w:trPr>
          <w:trHeight w:hRule="exact" w:val="288"/>
        </w:trPr>
        <w:tc>
          <w:tcPr>
            <w:tcW w:w="1728" w:type="dxa"/>
          </w:tcPr>
          <w:p w:rsidR="001D07DE" w:rsidRPr="001D07DE" w:rsidRDefault="001D07DE" w:rsidP="001D07DE">
            <w:pPr>
              <w:spacing w:line="360" w:lineRule="auto"/>
              <w:rPr>
                <w:b/>
                <w:sz w:val="20"/>
                <w:szCs w:val="20"/>
              </w:rPr>
            </w:pPr>
            <w:r w:rsidRPr="001D07DE">
              <w:rPr>
                <w:b/>
                <w:sz w:val="20"/>
                <w:szCs w:val="20"/>
              </w:rPr>
              <w:t>Ethnicity</w:t>
            </w:r>
          </w:p>
        </w:tc>
        <w:tc>
          <w:tcPr>
            <w:tcW w:w="1980" w:type="dxa"/>
          </w:tcPr>
          <w:p w:rsidR="001D07DE" w:rsidRPr="001D07DE" w:rsidRDefault="001D07DE" w:rsidP="001D07DE">
            <w:pPr>
              <w:spacing w:line="360" w:lineRule="auto"/>
              <w:jc w:val="center"/>
              <w:rPr>
                <w:sz w:val="20"/>
                <w:szCs w:val="20"/>
              </w:rPr>
            </w:pP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Caucasian</w:t>
            </w:r>
          </w:p>
        </w:tc>
        <w:tc>
          <w:tcPr>
            <w:tcW w:w="1980" w:type="dxa"/>
          </w:tcPr>
          <w:p w:rsidR="001D07DE" w:rsidRPr="001D07DE" w:rsidRDefault="00720C7F" w:rsidP="001D07DE">
            <w:pPr>
              <w:spacing w:line="360" w:lineRule="auto"/>
              <w:jc w:val="center"/>
              <w:rPr>
                <w:sz w:val="20"/>
                <w:szCs w:val="20"/>
              </w:rPr>
            </w:pPr>
            <w:r>
              <w:rPr>
                <w:sz w:val="20"/>
                <w:szCs w:val="20"/>
              </w:rPr>
              <w:t>22</w:t>
            </w:r>
            <w:r w:rsidR="001D07DE" w:rsidRPr="001D07DE">
              <w:rPr>
                <w:sz w:val="20"/>
                <w:szCs w:val="20"/>
              </w:rPr>
              <w:t>%</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Afr. American</w:t>
            </w:r>
          </w:p>
        </w:tc>
        <w:tc>
          <w:tcPr>
            <w:tcW w:w="1980" w:type="dxa"/>
          </w:tcPr>
          <w:p w:rsidR="001D07DE" w:rsidRPr="001D07DE" w:rsidRDefault="00720C7F" w:rsidP="001D07DE">
            <w:pPr>
              <w:spacing w:line="360" w:lineRule="auto"/>
              <w:jc w:val="center"/>
              <w:rPr>
                <w:sz w:val="20"/>
                <w:szCs w:val="20"/>
              </w:rPr>
            </w:pPr>
            <w:r>
              <w:rPr>
                <w:sz w:val="20"/>
                <w:szCs w:val="20"/>
              </w:rPr>
              <w:t>26</w:t>
            </w:r>
            <w:r w:rsidR="001D07DE" w:rsidRPr="001D07DE">
              <w:rPr>
                <w:sz w:val="20"/>
                <w:szCs w:val="20"/>
              </w:rPr>
              <w:t>%</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Hispanic</w:t>
            </w:r>
          </w:p>
        </w:tc>
        <w:tc>
          <w:tcPr>
            <w:tcW w:w="1980" w:type="dxa"/>
          </w:tcPr>
          <w:p w:rsidR="001D07DE" w:rsidRPr="001D07DE" w:rsidRDefault="00720C7F" w:rsidP="001D07DE">
            <w:pPr>
              <w:spacing w:line="360" w:lineRule="auto"/>
              <w:jc w:val="center"/>
              <w:rPr>
                <w:sz w:val="20"/>
                <w:szCs w:val="20"/>
              </w:rPr>
            </w:pPr>
            <w:r>
              <w:rPr>
                <w:sz w:val="20"/>
                <w:szCs w:val="20"/>
              </w:rPr>
              <w:t>30</w:t>
            </w:r>
            <w:r w:rsidR="001D07DE" w:rsidRPr="001D07DE">
              <w:rPr>
                <w:sz w:val="20"/>
                <w:szCs w:val="20"/>
              </w:rPr>
              <w:t>%</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Other</w:t>
            </w:r>
          </w:p>
        </w:tc>
        <w:tc>
          <w:tcPr>
            <w:tcW w:w="1980" w:type="dxa"/>
          </w:tcPr>
          <w:p w:rsidR="001D07DE" w:rsidRPr="001D07DE" w:rsidRDefault="00720C7F" w:rsidP="001D07DE">
            <w:pPr>
              <w:spacing w:line="360" w:lineRule="auto"/>
              <w:jc w:val="center"/>
              <w:rPr>
                <w:sz w:val="20"/>
                <w:szCs w:val="20"/>
              </w:rPr>
            </w:pPr>
            <w:r>
              <w:rPr>
                <w:sz w:val="20"/>
                <w:szCs w:val="20"/>
              </w:rPr>
              <w:t>23</w:t>
            </w:r>
            <w:r w:rsidR="001D07DE" w:rsidRPr="001D07DE">
              <w:rPr>
                <w:sz w:val="20"/>
                <w:szCs w:val="20"/>
              </w:rPr>
              <w:t>%</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p>
        </w:tc>
        <w:tc>
          <w:tcPr>
            <w:tcW w:w="1980" w:type="dxa"/>
          </w:tcPr>
          <w:p w:rsidR="001D07DE" w:rsidRPr="001D07DE" w:rsidRDefault="001D07DE" w:rsidP="001D07DE">
            <w:pPr>
              <w:spacing w:line="360" w:lineRule="auto"/>
              <w:jc w:val="center"/>
              <w:rPr>
                <w:sz w:val="20"/>
                <w:szCs w:val="20"/>
              </w:rPr>
            </w:pPr>
          </w:p>
        </w:tc>
      </w:tr>
      <w:tr w:rsidR="001D07DE" w:rsidTr="0001354D">
        <w:trPr>
          <w:trHeight w:hRule="exact" w:val="511"/>
        </w:trPr>
        <w:tc>
          <w:tcPr>
            <w:tcW w:w="1728" w:type="dxa"/>
          </w:tcPr>
          <w:p w:rsidR="001D07DE" w:rsidRPr="001D07DE" w:rsidRDefault="001D07DE" w:rsidP="001D07DE">
            <w:pPr>
              <w:rPr>
                <w:b/>
                <w:sz w:val="20"/>
                <w:szCs w:val="20"/>
              </w:rPr>
            </w:pPr>
            <w:r w:rsidRPr="001D07DE">
              <w:rPr>
                <w:b/>
                <w:sz w:val="20"/>
                <w:szCs w:val="20"/>
              </w:rPr>
              <w:t>DYS Committing</w:t>
            </w:r>
          </w:p>
          <w:p w:rsidR="001D07DE" w:rsidRPr="001D07DE" w:rsidRDefault="001D07DE" w:rsidP="001D07DE">
            <w:pPr>
              <w:rPr>
                <w:b/>
                <w:sz w:val="20"/>
                <w:szCs w:val="20"/>
              </w:rPr>
            </w:pPr>
            <w:r w:rsidRPr="001D07DE">
              <w:rPr>
                <w:b/>
                <w:sz w:val="20"/>
                <w:szCs w:val="20"/>
              </w:rPr>
              <w:t>Offense Type</w:t>
            </w:r>
          </w:p>
        </w:tc>
        <w:tc>
          <w:tcPr>
            <w:tcW w:w="1980" w:type="dxa"/>
          </w:tcPr>
          <w:p w:rsidR="001D07DE" w:rsidRPr="001D07DE" w:rsidRDefault="001D07DE" w:rsidP="001D07DE">
            <w:pPr>
              <w:spacing w:line="360" w:lineRule="auto"/>
              <w:jc w:val="center"/>
              <w:rPr>
                <w:sz w:val="20"/>
                <w:szCs w:val="20"/>
              </w:rPr>
            </w:pPr>
          </w:p>
        </w:tc>
      </w:tr>
      <w:tr w:rsidR="001D07DE" w:rsidTr="0001354D">
        <w:trPr>
          <w:trHeight w:hRule="exact" w:val="288"/>
        </w:trPr>
        <w:tc>
          <w:tcPr>
            <w:tcW w:w="1728" w:type="dxa"/>
          </w:tcPr>
          <w:p w:rsidR="001D07DE" w:rsidRPr="001D07DE" w:rsidRDefault="004733AC" w:rsidP="001D07DE">
            <w:pPr>
              <w:spacing w:line="360" w:lineRule="auto"/>
              <w:rPr>
                <w:sz w:val="20"/>
                <w:szCs w:val="20"/>
              </w:rPr>
            </w:pPr>
            <w:r>
              <w:rPr>
                <w:sz w:val="20"/>
                <w:szCs w:val="20"/>
              </w:rPr>
              <w:t>Motor Vehicle</w:t>
            </w:r>
          </w:p>
        </w:tc>
        <w:tc>
          <w:tcPr>
            <w:tcW w:w="1980" w:type="dxa"/>
          </w:tcPr>
          <w:p w:rsidR="001D07DE" w:rsidRPr="001D07DE" w:rsidRDefault="004733AC" w:rsidP="001D07DE">
            <w:pPr>
              <w:spacing w:line="360" w:lineRule="auto"/>
              <w:jc w:val="center"/>
              <w:rPr>
                <w:sz w:val="20"/>
                <w:szCs w:val="20"/>
              </w:rPr>
            </w:pPr>
            <w:r>
              <w:rPr>
                <w:sz w:val="20"/>
                <w:szCs w:val="20"/>
              </w:rPr>
              <w:t>42</w:t>
            </w:r>
            <w:r w:rsidR="001D07DE" w:rsidRPr="001D07DE">
              <w:rPr>
                <w:sz w:val="20"/>
                <w:szCs w:val="20"/>
              </w:rPr>
              <w:t>%</w:t>
            </w:r>
          </w:p>
        </w:tc>
      </w:tr>
      <w:tr w:rsidR="001D07DE" w:rsidTr="0001354D">
        <w:trPr>
          <w:trHeight w:hRule="exact" w:val="288"/>
        </w:trPr>
        <w:tc>
          <w:tcPr>
            <w:tcW w:w="1728" w:type="dxa"/>
          </w:tcPr>
          <w:p w:rsidR="001D07DE" w:rsidRPr="001D07DE" w:rsidRDefault="004733AC" w:rsidP="001D07DE">
            <w:pPr>
              <w:spacing w:line="360" w:lineRule="auto"/>
              <w:rPr>
                <w:sz w:val="20"/>
                <w:szCs w:val="20"/>
              </w:rPr>
            </w:pPr>
            <w:r>
              <w:rPr>
                <w:sz w:val="20"/>
                <w:szCs w:val="20"/>
              </w:rPr>
              <w:t>Person</w:t>
            </w:r>
          </w:p>
        </w:tc>
        <w:tc>
          <w:tcPr>
            <w:tcW w:w="1980" w:type="dxa"/>
          </w:tcPr>
          <w:p w:rsidR="001D07DE" w:rsidRPr="001D07DE" w:rsidRDefault="004733AC" w:rsidP="001D07DE">
            <w:pPr>
              <w:spacing w:line="360" w:lineRule="auto"/>
              <w:jc w:val="center"/>
              <w:rPr>
                <w:sz w:val="20"/>
                <w:szCs w:val="20"/>
              </w:rPr>
            </w:pPr>
            <w:r>
              <w:rPr>
                <w:sz w:val="20"/>
                <w:szCs w:val="20"/>
              </w:rPr>
              <w:t>29</w:t>
            </w:r>
            <w:r w:rsidR="001D07DE" w:rsidRPr="001D07DE">
              <w:rPr>
                <w:sz w:val="20"/>
                <w:szCs w:val="20"/>
              </w:rPr>
              <w:t>%</w:t>
            </w:r>
          </w:p>
        </w:tc>
      </w:tr>
      <w:tr w:rsidR="001D07DE" w:rsidTr="0001354D">
        <w:trPr>
          <w:trHeight w:hRule="exact" w:val="288"/>
        </w:trPr>
        <w:tc>
          <w:tcPr>
            <w:tcW w:w="1728" w:type="dxa"/>
          </w:tcPr>
          <w:p w:rsidR="001D07DE" w:rsidRPr="001D07DE" w:rsidRDefault="004733AC" w:rsidP="001D07DE">
            <w:pPr>
              <w:spacing w:line="360" w:lineRule="auto"/>
              <w:rPr>
                <w:sz w:val="20"/>
                <w:szCs w:val="20"/>
              </w:rPr>
            </w:pPr>
            <w:r>
              <w:rPr>
                <w:sz w:val="20"/>
                <w:szCs w:val="20"/>
              </w:rPr>
              <w:t>Property</w:t>
            </w:r>
          </w:p>
        </w:tc>
        <w:tc>
          <w:tcPr>
            <w:tcW w:w="1980" w:type="dxa"/>
          </w:tcPr>
          <w:p w:rsidR="001D07DE" w:rsidRPr="001D07DE" w:rsidRDefault="00595153" w:rsidP="001D07DE">
            <w:pPr>
              <w:spacing w:line="360" w:lineRule="auto"/>
              <w:jc w:val="center"/>
              <w:rPr>
                <w:sz w:val="20"/>
                <w:szCs w:val="20"/>
              </w:rPr>
            </w:pPr>
            <w:r>
              <w:rPr>
                <w:sz w:val="20"/>
                <w:szCs w:val="20"/>
              </w:rPr>
              <w:t>2</w:t>
            </w:r>
            <w:r w:rsidR="004733AC">
              <w:rPr>
                <w:sz w:val="20"/>
                <w:szCs w:val="20"/>
              </w:rPr>
              <w:t>5</w:t>
            </w:r>
            <w:r w:rsidR="001D07DE" w:rsidRPr="001D07DE">
              <w:rPr>
                <w:sz w:val="20"/>
                <w:szCs w:val="20"/>
              </w:rPr>
              <w:t>%</w:t>
            </w:r>
          </w:p>
        </w:tc>
      </w:tr>
      <w:tr w:rsidR="001D07DE" w:rsidTr="0001354D">
        <w:trPr>
          <w:trHeight w:hRule="exact" w:val="288"/>
        </w:trPr>
        <w:tc>
          <w:tcPr>
            <w:tcW w:w="1728" w:type="dxa"/>
          </w:tcPr>
          <w:p w:rsidR="001D07DE" w:rsidRPr="001D07DE" w:rsidRDefault="004733AC" w:rsidP="001D07DE">
            <w:pPr>
              <w:spacing w:line="360" w:lineRule="auto"/>
              <w:rPr>
                <w:sz w:val="20"/>
                <w:szCs w:val="20"/>
              </w:rPr>
            </w:pPr>
            <w:r>
              <w:rPr>
                <w:sz w:val="20"/>
                <w:szCs w:val="20"/>
              </w:rPr>
              <w:t>Public Order</w:t>
            </w:r>
          </w:p>
        </w:tc>
        <w:tc>
          <w:tcPr>
            <w:tcW w:w="1980" w:type="dxa"/>
          </w:tcPr>
          <w:p w:rsidR="001D07DE" w:rsidRPr="001D07DE" w:rsidRDefault="00DC1C75" w:rsidP="001D07DE">
            <w:pPr>
              <w:spacing w:line="360" w:lineRule="auto"/>
              <w:jc w:val="center"/>
              <w:rPr>
                <w:sz w:val="20"/>
                <w:szCs w:val="20"/>
              </w:rPr>
            </w:pPr>
            <w:r>
              <w:rPr>
                <w:sz w:val="20"/>
                <w:szCs w:val="20"/>
              </w:rPr>
              <w:t>20</w:t>
            </w:r>
            <w:r w:rsidR="001D07DE" w:rsidRPr="001D07DE">
              <w:rPr>
                <w:sz w:val="20"/>
                <w:szCs w:val="20"/>
              </w:rPr>
              <w:t>%</w:t>
            </w:r>
          </w:p>
        </w:tc>
      </w:tr>
      <w:tr w:rsidR="001D07DE" w:rsidTr="0001354D">
        <w:trPr>
          <w:trHeight w:hRule="exact" w:val="288"/>
        </w:trPr>
        <w:tc>
          <w:tcPr>
            <w:tcW w:w="1728" w:type="dxa"/>
          </w:tcPr>
          <w:p w:rsidR="001D07DE" w:rsidRPr="001D07DE" w:rsidRDefault="004733AC" w:rsidP="001D07DE">
            <w:pPr>
              <w:spacing w:line="360" w:lineRule="auto"/>
              <w:rPr>
                <w:sz w:val="20"/>
                <w:szCs w:val="20"/>
              </w:rPr>
            </w:pPr>
            <w:r>
              <w:rPr>
                <w:sz w:val="20"/>
                <w:szCs w:val="20"/>
              </w:rPr>
              <w:t>Weapons</w:t>
            </w:r>
          </w:p>
        </w:tc>
        <w:tc>
          <w:tcPr>
            <w:tcW w:w="1980" w:type="dxa"/>
          </w:tcPr>
          <w:p w:rsidR="001D07DE" w:rsidRPr="001D07DE" w:rsidRDefault="004733AC" w:rsidP="001D07DE">
            <w:pPr>
              <w:spacing w:line="360" w:lineRule="auto"/>
              <w:jc w:val="center"/>
              <w:rPr>
                <w:sz w:val="20"/>
                <w:szCs w:val="20"/>
              </w:rPr>
            </w:pPr>
            <w:r>
              <w:rPr>
                <w:sz w:val="20"/>
                <w:szCs w:val="20"/>
              </w:rPr>
              <w:t>19</w:t>
            </w:r>
            <w:r w:rsidR="001D07DE" w:rsidRPr="001D07DE">
              <w:rPr>
                <w:sz w:val="20"/>
                <w:szCs w:val="20"/>
              </w:rPr>
              <w:t>%</w:t>
            </w:r>
          </w:p>
        </w:tc>
      </w:tr>
      <w:tr w:rsidR="001D07DE" w:rsidTr="0001354D">
        <w:trPr>
          <w:trHeight w:hRule="exact" w:val="288"/>
        </w:trPr>
        <w:tc>
          <w:tcPr>
            <w:tcW w:w="1728" w:type="dxa"/>
          </w:tcPr>
          <w:p w:rsidR="001D07DE" w:rsidRPr="001D07DE" w:rsidRDefault="004733AC" w:rsidP="001D07DE">
            <w:pPr>
              <w:spacing w:line="360" w:lineRule="auto"/>
              <w:rPr>
                <w:sz w:val="20"/>
                <w:szCs w:val="20"/>
              </w:rPr>
            </w:pPr>
            <w:r>
              <w:rPr>
                <w:sz w:val="20"/>
                <w:szCs w:val="20"/>
              </w:rPr>
              <w:t>Drugs</w:t>
            </w:r>
          </w:p>
        </w:tc>
        <w:tc>
          <w:tcPr>
            <w:tcW w:w="1980" w:type="dxa"/>
          </w:tcPr>
          <w:p w:rsidR="001D07DE" w:rsidRPr="001D07DE" w:rsidRDefault="004733AC" w:rsidP="001D07DE">
            <w:pPr>
              <w:spacing w:line="360" w:lineRule="auto"/>
              <w:jc w:val="center"/>
              <w:rPr>
                <w:sz w:val="20"/>
                <w:szCs w:val="20"/>
              </w:rPr>
            </w:pPr>
            <w:r>
              <w:rPr>
                <w:sz w:val="20"/>
                <w:szCs w:val="20"/>
              </w:rPr>
              <w:t xml:space="preserve"> 6</w:t>
            </w:r>
            <w:r w:rsidR="001D07DE" w:rsidRPr="001D07DE">
              <w:rPr>
                <w:sz w:val="20"/>
                <w:szCs w:val="20"/>
              </w:rPr>
              <w:t>%</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p>
        </w:tc>
        <w:tc>
          <w:tcPr>
            <w:tcW w:w="1980" w:type="dxa"/>
          </w:tcPr>
          <w:p w:rsidR="001D07DE" w:rsidRPr="001D07DE" w:rsidRDefault="001D07DE" w:rsidP="001D07DE">
            <w:pPr>
              <w:spacing w:line="360" w:lineRule="auto"/>
              <w:jc w:val="center"/>
              <w:rPr>
                <w:sz w:val="20"/>
                <w:szCs w:val="20"/>
              </w:rPr>
            </w:pPr>
          </w:p>
        </w:tc>
      </w:tr>
      <w:tr w:rsidR="001D07DE" w:rsidTr="0001354D">
        <w:trPr>
          <w:trHeight w:hRule="exact" w:val="288"/>
        </w:trPr>
        <w:tc>
          <w:tcPr>
            <w:tcW w:w="1728" w:type="dxa"/>
          </w:tcPr>
          <w:p w:rsidR="001D07DE" w:rsidRPr="001D07DE" w:rsidRDefault="001D07DE" w:rsidP="001D07DE">
            <w:pPr>
              <w:spacing w:line="360" w:lineRule="auto"/>
              <w:rPr>
                <w:b/>
                <w:sz w:val="20"/>
                <w:szCs w:val="20"/>
              </w:rPr>
            </w:pPr>
            <w:r w:rsidRPr="001D07DE">
              <w:rPr>
                <w:b/>
                <w:sz w:val="20"/>
                <w:szCs w:val="20"/>
              </w:rPr>
              <w:t>Grid Level</w:t>
            </w:r>
            <w:r w:rsidR="008A524C">
              <w:rPr>
                <w:b/>
                <w:sz w:val="20"/>
                <w:szCs w:val="20"/>
              </w:rPr>
              <w:t xml:space="preserve"> </w:t>
            </w:r>
            <w:r w:rsidR="008A524C" w:rsidRPr="008A524C">
              <w:rPr>
                <w:b/>
                <w:sz w:val="18"/>
                <w:szCs w:val="18"/>
                <w:vertAlign w:val="superscript"/>
              </w:rPr>
              <w:t>1</w:t>
            </w:r>
          </w:p>
        </w:tc>
        <w:tc>
          <w:tcPr>
            <w:tcW w:w="1980" w:type="dxa"/>
          </w:tcPr>
          <w:p w:rsidR="001D07DE" w:rsidRPr="001D07DE" w:rsidRDefault="001D07DE" w:rsidP="001D07DE">
            <w:pPr>
              <w:spacing w:line="360" w:lineRule="auto"/>
              <w:jc w:val="center"/>
              <w:rPr>
                <w:sz w:val="20"/>
                <w:szCs w:val="20"/>
              </w:rPr>
            </w:pP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&lt;= Grid 2</w:t>
            </w:r>
          </w:p>
        </w:tc>
        <w:tc>
          <w:tcPr>
            <w:tcW w:w="1980" w:type="dxa"/>
          </w:tcPr>
          <w:p w:rsidR="001D07DE" w:rsidRPr="001D07DE" w:rsidRDefault="004733AC" w:rsidP="001D07DE">
            <w:pPr>
              <w:spacing w:line="360" w:lineRule="auto"/>
              <w:jc w:val="center"/>
              <w:rPr>
                <w:sz w:val="20"/>
                <w:szCs w:val="20"/>
              </w:rPr>
            </w:pPr>
            <w:r>
              <w:rPr>
                <w:sz w:val="20"/>
                <w:szCs w:val="20"/>
              </w:rPr>
              <w:t>25</w:t>
            </w:r>
            <w:r w:rsidR="001D07DE" w:rsidRPr="001D07DE">
              <w:rPr>
                <w:sz w:val="20"/>
                <w:szCs w:val="20"/>
              </w:rPr>
              <w:t>%</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Grid 3</w:t>
            </w:r>
          </w:p>
        </w:tc>
        <w:tc>
          <w:tcPr>
            <w:tcW w:w="1980" w:type="dxa"/>
          </w:tcPr>
          <w:p w:rsidR="001D07DE" w:rsidRPr="001D07DE" w:rsidRDefault="004733AC" w:rsidP="001D07DE">
            <w:pPr>
              <w:spacing w:line="360" w:lineRule="auto"/>
              <w:jc w:val="center"/>
              <w:rPr>
                <w:sz w:val="20"/>
                <w:szCs w:val="20"/>
              </w:rPr>
            </w:pPr>
            <w:r>
              <w:rPr>
                <w:sz w:val="20"/>
                <w:szCs w:val="20"/>
              </w:rPr>
              <w:t>24</w:t>
            </w:r>
            <w:r w:rsidR="001D07DE" w:rsidRPr="001D07DE">
              <w:rPr>
                <w:sz w:val="20"/>
                <w:szCs w:val="20"/>
              </w:rPr>
              <w:t>%</w:t>
            </w:r>
          </w:p>
        </w:tc>
      </w:tr>
      <w:tr w:rsidR="001D07DE" w:rsidTr="0001354D">
        <w:trPr>
          <w:trHeight w:hRule="exact" w:val="288"/>
        </w:trPr>
        <w:tc>
          <w:tcPr>
            <w:tcW w:w="1728" w:type="dxa"/>
          </w:tcPr>
          <w:p w:rsidR="001D07DE" w:rsidRPr="001D07DE" w:rsidRDefault="001D07DE" w:rsidP="001D07DE">
            <w:pPr>
              <w:spacing w:line="360" w:lineRule="auto"/>
              <w:rPr>
                <w:sz w:val="20"/>
                <w:szCs w:val="20"/>
              </w:rPr>
            </w:pPr>
            <w:r w:rsidRPr="001D07DE">
              <w:rPr>
                <w:sz w:val="20"/>
                <w:szCs w:val="20"/>
              </w:rPr>
              <w:t>Grid 4</w:t>
            </w:r>
          </w:p>
        </w:tc>
        <w:tc>
          <w:tcPr>
            <w:tcW w:w="1980" w:type="dxa"/>
          </w:tcPr>
          <w:p w:rsidR="001D07DE" w:rsidRPr="001D07DE" w:rsidRDefault="004733AC" w:rsidP="001D07DE">
            <w:pPr>
              <w:spacing w:line="360" w:lineRule="auto"/>
              <w:jc w:val="center"/>
              <w:rPr>
                <w:sz w:val="20"/>
                <w:szCs w:val="20"/>
              </w:rPr>
            </w:pPr>
            <w:r>
              <w:rPr>
                <w:sz w:val="20"/>
                <w:szCs w:val="20"/>
              </w:rPr>
              <w:t>28</w:t>
            </w:r>
            <w:r w:rsidR="001D07DE" w:rsidRPr="001D07DE">
              <w:rPr>
                <w:sz w:val="20"/>
                <w:szCs w:val="20"/>
              </w:rPr>
              <w:t>%</w:t>
            </w:r>
          </w:p>
        </w:tc>
      </w:tr>
      <w:tr w:rsidR="001D07DE" w:rsidTr="0001354D">
        <w:trPr>
          <w:trHeight w:hRule="exact" w:val="245"/>
        </w:trPr>
        <w:tc>
          <w:tcPr>
            <w:tcW w:w="1728" w:type="dxa"/>
          </w:tcPr>
          <w:p w:rsidR="001D07DE" w:rsidRPr="001D07DE" w:rsidRDefault="001D07DE" w:rsidP="001D07DE">
            <w:pPr>
              <w:spacing w:line="360" w:lineRule="auto"/>
              <w:rPr>
                <w:sz w:val="20"/>
                <w:szCs w:val="20"/>
              </w:rPr>
            </w:pPr>
            <w:r w:rsidRPr="001D07DE">
              <w:rPr>
                <w:sz w:val="20"/>
                <w:szCs w:val="20"/>
              </w:rPr>
              <w:t>&gt;= Grid 5</w:t>
            </w:r>
          </w:p>
        </w:tc>
        <w:tc>
          <w:tcPr>
            <w:tcW w:w="1980" w:type="dxa"/>
          </w:tcPr>
          <w:p w:rsidR="001D07DE" w:rsidRPr="001D07DE" w:rsidRDefault="004733AC" w:rsidP="001D07DE">
            <w:pPr>
              <w:spacing w:line="360" w:lineRule="auto"/>
              <w:jc w:val="center"/>
              <w:rPr>
                <w:sz w:val="20"/>
                <w:szCs w:val="20"/>
              </w:rPr>
            </w:pPr>
            <w:r>
              <w:rPr>
                <w:sz w:val="20"/>
                <w:szCs w:val="20"/>
              </w:rPr>
              <w:t>4</w:t>
            </w:r>
            <w:r w:rsidR="00720C7F">
              <w:rPr>
                <w:sz w:val="20"/>
                <w:szCs w:val="20"/>
              </w:rPr>
              <w:t>3</w:t>
            </w:r>
            <w:r w:rsidR="001D07DE" w:rsidRPr="001D07DE">
              <w:rPr>
                <w:sz w:val="20"/>
                <w:szCs w:val="20"/>
              </w:rPr>
              <w:t>%</w:t>
            </w:r>
          </w:p>
        </w:tc>
      </w:tr>
    </w:tbl>
    <w:p w:rsidR="00D31D33" w:rsidRDefault="00D31D33">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5E72C7" w:rsidRDefault="005E72C7">
      <w:pPr>
        <w:spacing w:line="360" w:lineRule="auto"/>
      </w:pPr>
    </w:p>
    <w:p w:rsidR="00960E1D" w:rsidRDefault="005E72C7">
      <w:pPr>
        <w:rPr>
          <w:b/>
        </w:rPr>
      </w:pPr>
      <w:r>
        <w:rPr>
          <w:b/>
        </w:rPr>
        <w:tab/>
      </w:r>
      <w:r>
        <w:rPr>
          <w:b/>
        </w:rPr>
        <w:tab/>
      </w:r>
    </w:p>
    <w:p w:rsidR="001D07DE" w:rsidRDefault="001D07DE">
      <w:pPr>
        <w:rPr>
          <w:b/>
        </w:rPr>
      </w:pPr>
    </w:p>
    <w:p w:rsidR="00062A28" w:rsidRDefault="00062A28">
      <w:pPr>
        <w:rPr>
          <w:sz w:val="16"/>
          <w:szCs w:val="16"/>
          <w:vertAlign w:val="superscript"/>
        </w:rPr>
      </w:pPr>
    </w:p>
    <w:p w:rsidR="001D07DE" w:rsidRPr="008A524C" w:rsidRDefault="001D07DE">
      <w:pPr>
        <w:rPr>
          <w:sz w:val="16"/>
          <w:szCs w:val="16"/>
        </w:rPr>
      </w:pPr>
      <w:r w:rsidRPr="008A524C">
        <w:rPr>
          <w:sz w:val="16"/>
          <w:szCs w:val="16"/>
          <w:vertAlign w:val="superscript"/>
        </w:rPr>
        <w:t>1</w:t>
      </w:r>
      <w:r w:rsidR="008A524C" w:rsidRPr="008A524C">
        <w:rPr>
          <w:sz w:val="16"/>
          <w:szCs w:val="16"/>
        </w:rPr>
        <w:t>See page 9</w:t>
      </w:r>
      <w:r w:rsidRPr="008A524C">
        <w:rPr>
          <w:sz w:val="16"/>
          <w:szCs w:val="16"/>
        </w:rPr>
        <w:t>, Table 5 for DYS Offenses and Grids</w:t>
      </w:r>
    </w:p>
    <w:p w:rsidR="00C07F56" w:rsidRDefault="00C07F56">
      <w:pPr>
        <w:pStyle w:val="Heading2"/>
        <w:spacing w:line="360" w:lineRule="auto"/>
        <w:rPr>
          <w:bCs/>
        </w:rPr>
      </w:pPr>
    </w:p>
    <w:p w:rsidR="00621F8F" w:rsidRPr="00317A95" w:rsidRDefault="00621F8F">
      <w:pPr>
        <w:pStyle w:val="Heading2"/>
        <w:spacing w:line="360" w:lineRule="auto"/>
        <w:rPr>
          <w:b/>
          <w:bCs/>
          <w:sz w:val="28"/>
          <w:szCs w:val="28"/>
        </w:rPr>
      </w:pPr>
      <w:r w:rsidRPr="00317A95">
        <w:rPr>
          <w:b/>
          <w:bCs/>
          <w:sz w:val="28"/>
          <w:szCs w:val="28"/>
        </w:rPr>
        <w:t>Key Findings:</w:t>
      </w:r>
    </w:p>
    <w:p w:rsidR="00621F8F" w:rsidRDefault="00621F8F" w:rsidP="00621F8F"/>
    <w:p w:rsidR="00621F8F" w:rsidRDefault="006E0F95" w:rsidP="00317A95">
      <w:pPr>
        <w:numPr>
          <w:ilvl w:val="0"/>
          <w:numId w:val="19"/>
        </w:numPr>
      </w:pPr>
      <w:r>
        <w:t>In the current study, t</w:t>
      </w:r>
      <w:r w:rsidR="00621F8F">
        <w:t xml:space="preserve">he one-year </w:t>
      </w:r>
      <w:r w:rsidR="0096583D">
        <w:t>re</w:t>
      </w:r>
      <w:r w:rsidR="00394104">
        <w:t>conviction rate was</w:t>
      </w:r>
      <w:r w:rsidR="00720C7F">
        <w:t xml:space="preserve"> the same</w:t>
      </w:r>
      <w:r w:rsidR="00A96781">
        <w:t xml:space="preserve"> f</w:t>
      </w:r>
      <w:r w:rsidR="004A29B2">
        <w:t xml:space="preserve">or the </w:t>
      </w:r>
      <w:r w:rsidR="00720C7F">
        <w:t>2014</w:t>
      </w:r>
      <w:r w:rsidR="006C7948">
        <w:t xml:space="preserve"> cohort compared to the </w:t>
      </w:r>
      <w:r w:rsidR="00720C7F">
        <w:t>2013</w:t>
      </w:r>
      <w:r w:rsidR="00A96781">
        <w:t xml:space="preserve"> cohort</w:t>
      </w:r>
      <w:r w:rsidR="00720C7F">
        <w:t xml:space="preserve"> (26</w:t>
      </w:r>
      <w:r w:rsidR="000A4B7A">
        <w:t>%)</w:t>
      </w:r>
      <w:r w:rsidR="00621F8F">
        <w:t>.</w:t>
      </w:r>
    </w:p>
    <w:p w:rsidR="00FF6C89" w:rsidRDefault="00FF6C89" w:rsidP="00FF6C89">
      <w:pPr>
        <w:ind w:left="360"/>
      </w:pPr>
    </w:p>
    <w:p w:rsidR="00FF6C89" w:rsidRDefault="00FF6C89" w:rsidP="00317A95">
      <w:pPr>
        <w:numPr>
          <w:ilvl w:val="0"/>
          <w:numId w:val="19"/>
        </w:numPr>
      </w:pPr>
      <w:r>
        <w:t xml:space="preserve">Of the </w:t>
      </w:r>
      <w:r w:rsidR="001F4ACD">
        <w:t>youth</w:t>
      </w:r>
      <w:r w:rsidR="00F558EF">
        <w:t xml:space="preserve"> who were </w:t>
      </w:r>
      <w:r>
        <w:t xml:space="preserve">convicted </w:t>
      </w:r>
      <w:r w:rsidR="00F558EF">
        <w:t xml:space="preserve">as adults </w:t>
      </w:r>
      <w:r w:rsidR="00661349">
        <w:t xml:space="preserve">for </w:t>
      </w:r>
      <w:r w:rsidR="005C5EB8">
        <w:t xml:space="preserve">committing a </w:t>
      </w:r>
      <w:r w:rsidR="000649AA">
        <w:t xml:space="preserve">criminal </w:t>
      </w:r>
      <w:r w:rsidR="00E266E7">
        <w:t>offense</w:t>
      </w:r>
      <w:r w:rsidR="00661349">
        <w:t xml:space="preserve"> </w:t>
      </w:r>
      <w:r w:rsidR="004A29B2">
        <w:t xml:space="preserve">within one year of </w:t>
      </w:r>
      <w:r w:rsidR="00E266E7">
        <w:t>DYS discharge</w:t>
      </w:r>
      <w:r w:rsidR="00720C7F">
        <w:t>, 63</w:t>
      </w:r>
      <w:r w:rsidR="00F558EF">
        <w:t xml:space="preserve">% were </w:t>
      </w:r>
      <w:r>
        <w:t xml:space="preserve">convicted </w:t>
      </w:r>
      <w:r w:rsidR="00661349">
        <w:t>with</w:t>
      </w:r>
      <w:r w:rsidR="00E266E7">
        <w:t xml:space="preserve">in the first 6 </w:t>
      </w:r>
      <w:r>
        <w:t>months</w:t>
      </w:r>
      <w:r w:rsidR="000649AA">
        <w:t>.</w:t>
      </w:r>
    </w:p>
    <w:p w:rsidR="00FF6C89" w:rsidRDefault="00FF6C89" w:rsidP="00FF6C89"/>
    <w:p w:rsidR="00FF6C89" w:rsidRDefault="006E0F95" w:rsidP="00317A95">
      <w:pPr>
        <w:numPr>
          <w:ilvl w:val="0"/>
          <w:numId w:val="19"/>
        </w:numPr>
      </w:pPr>
      <w:r>
        <w:t>T</w:t>
      </w:r>
      <w:r w:rsidR="00FF6C89">
        <w:t xml:space="preserve">he recidivism rate for </w:t>
      </w:r>
      <w:r w:rsidR="00720C7F">
        <w:t>males was 29</w:t>
      </w:r>
      <w:r w:rsidR="00E2099E">
        <w:t xml:space="preserve">% while the rate for </w:t>
      </w:r>
      <w:r w:rsidR="002F10E1">
        <w:t>females was</w:t>
      </w:r>
      <w:r w:rsidR="00720C7F">
        <w:t xml:space="preserve"> 8</w:t>
      </w:r>
      <w:r w:rsidR="00E2099E">
        <w:t>%</w:t>
      </w:r>
      <w:r>
        <w:t>.</w:t>
      </w:r>
    </w:p>
    <w:p w:rsidR="0096583D" w:rsidRDefault="0096583D" w:rsidP="0096583D">
      <w:pPr>
        <w:pStyle w:val="ListParagraph"/>
      </w:pPr>
    </w:p>
    <w:p w:rsidR="0096583D" w:rsidRDefault="00E266E7" w:rsidP="00317A95">
      <w:pPr>
        <w:numPr>
          <w:ilvl w:val="0"/>
          <w:numId w:val="19"/>
        </w:numPr>
      </w:pPr>
      <w:r>
        <w:t xml:space="preserve">Youth whose first arrest was </w:t>
      </w:r>
      <w:r w:rsidRPr="00E266E7">
        <w:rPr>
          <w:u w:val="single"/>
        </w:rPr>
        <w:t>under</w:t>
      </w:r>
      <w:r>
        <w:t xml:space="preserve"> age 15 had a recidivism rate of 29% while those whose first arrest was</w:t>
      </w:r>
      <w:r w:rsidR="002F10E1">
        <w:t xml:space="preserve"> 15 and older had a rate of</w:t>
      </w:r>
      <w:r>
        <w:t xml:space="preserve"> 20%.</w:t>
      </w:r>
    </w:p>
    <w:p w:rsidR="00A71074" w:rsidRDefault="00A71074" w:rsidP="00A71074">
      <w:pPr>
        <w:pStyle w:val="ListParagraph"/>
      </w:pPr>
    </w:p>
    <w:p w:rsidR="00A71074" w:rsidRDefault="00A71074" w:rsidP="00317A95">
      <w:pPr>
        <w:numPr>
          <w:ilvl w:val="0"/>
          <w:numId w:val="19"/>
        </w:numPr>
      </w:pPr>
      <w:r>
        <w:t>Youth with more than 14 pre-discharge arraignments had a recidivism rate of 37%.  Those with 8-14 arraignments had a rate of 24%, while those with fewer than 8</w:t>
      </w:r>
      <w:r w:rsidR="002F10E1">
        <w:t xml:space="preserve"> arraignments had a rate of</w:t>
      </w:r>
      <w:r>
        <w:t xml:space="preserve"> 18%.</w:t>
      </w:r>
    </w:p>
    <w:p w:rsidR="00E266E7" w:rsidRDefault="00E266E7" w:rsidP="00E266E7">
      <w:pPr>
        <w:pStyle w:val="ListParagraph"/>
      </w:pPr>
    </w:p>
    <w:p w:rsidR="00E266E7" w:rsidRDefault="00E266E7" w:rsidP="00317A95">
      <w:pPr>
        <w:numPr>
          <w:ilvl w:val="0"/>
          <w:numId w:val="19"/>
        </w:numPr>
      </w:pPr>
      <w:r>
        <w:t>Youth who opted for YES services following DYS discharge had a recidivism rate of 24% while youth not opting for those services had a rate of 27%.</w:t>
      </w:r>
    </w:p>
    <w:p w:rsidR="00195F30" w:rsidRDefault="00195F30" w:rsidP="00195F30">
      <w:pPr>
        <w:pStyle w:val="ListParagraph"/>
      </w:pPr>
    </w:p>
    <w:p w:rsidR="00195F30" w:rsidRDefault="00195F30" w:rsidP="00317A95">
      <w:pPr>
        <w:numPr>
          <w:ilvl w:val="0"/>
          <w:numId w:val="19"/>
        </w:numPr>
      </w:pPr>
      <w:r>
        <w:t xml:space="preserve">Youth scoring in </w:t>
      </w:r>
      <w:r w:rsidR="00250FF0">
        <w:t xml:space="preserve">the </w:t>
      </w:r>
      <w:r>
        <w:t>low range of the YLS/CMI risk assessment had a recidivism rate of 20% while youth scoring in the higher ranges had a rate of 28%.</w:t>
      </w:r>
    </w:p>
    <w:p w:rsidR="002667F5" w:rsidRDefault="002667F5" w:rsidP="002667F5">
      <w:pPr>
        <w:pStyle w:val="ListParagraph"/>
      </w:pPr>
    </w:p>
    <w:p w:rsidR="002667F5" w:rsidRDefault="002667F5" w:rsidP="00317A95">
      <w:pPr>
        <w:numPr>
          <w:ilvl w:val="0"/>
          <w:numId w:val="19"/>
        </w:numPr>
      </w:pPr>
      <w:r>
        <w:t>Youth scoring in the high range on the ‘Accepting Responsibility’ scale in the Clinical Attitude Battery (CA</w:t>
      </w:r>
      <w:r w:rsidR="002F10E1">
        <w:t>B) had a recidivism rate of</w:t>
      </w:r>
      <w:r>
        <w:t xml:space="preserve"> 19%.  Those scoring in the lower ranges had a rate of 30%.</w:t>
      </w:r>
    </w:p>
    <w:p w:rsidR="002667F5" w:rsidRDefault="002667F5" w:rsidP="002667F5">
      <w:pPr>
        <w:pStyle w:val="ListParagraph"/>
      </w:pPr>
    </w:p>
    <w:p w:rsidR="002667F5" w:rsidRDefault="002667F5" w:rsidP="00317A95">
      <w:pPr>
        <w:numPr>
          <w:ilvl w:val="0"/>
          <w:numId w:val="19"/>
        </w:numPr>
      </w:pPr>
      <w:r>
        <w:t>Youth who were in the substance abuse treatment track had a recidivism rate of 28% while those who were in the prevention track had a rate of 19%.</w:t>
      </w:r>
    </w:p>
    <w:p w:rsidR="00E266E7" w:rsidRDefault="00E266E7" w:rsidP="00E266E7">
      <w:pPr>
        <w:pStyle w:val="ListParagraph"/>
      </w:pPr>
    </w:p>
    <w:p w:rsidR="004733AC" w:rsidRDefault="00E266E7" w:rsidP="00317A95">
      <w:pPr>
        <w:numPr>
          <w:ilvl w:val="0"/>
          <w:numId w:val="19"/>
        </w:numPr>
      </w:pPr>
      <w:r>
        <w:t xml:space="preserve">Youthful Offenders discharged at age 21 had a recidivism rate of 33% while </w:t>
      </w:r>
    </w:p>
    <w:p w:rsidR="00E266E7" w:rsidRDefault="004733AC" w:rsidP="004733AC">
      <w:pPr>
        <w:ind w:left="360"/>
      </w:pPr>
      <w:r>
        <w:t xml:space="preserve">       </w:t>
      </w:r>
      <w:proofErr w:type="gramStart"/>
      <w:r w:rsidR="00E266E7">
        <w:t>non-Youthful</w:t>
      </w:r>
      <w:proofErr w:type="gramEnd"/>
      <w:r w:rsidR="00E266E7">
        <w:t xml:space="preserve"> Offenders had a rate of 25%.</w:t>
      </w:r>
    </w:p>
    <w:p w:rsidR="00E266E7" w:rsidRDefault="00E266E7" w:rsidP="00E266E7">
      <w:pPr>
        <w:pStyle w:val="ListParagraph"/>
      </w:pPr>
    </w:p>
    <w:p w:rsidR="00A71074" w:rsidRDefault="00A71074" w:rsidP="00317A95">
      <w:pPr>
        <w:numPr>
          <w:ilvl w:val="0"/>
          <w:numId w:val="19"/>
        </w:numPr>
      </w:pPr>
      <w:r>
        <w:t>Youth earning a high school diploma or HI-SET prior to DYS discharge had a recidivism rate of 24%.  Youth without a diploma or HI-SET had a rate of 26%.</w:t>
      </w:r>
    </w:p>
    <w:p w:rsidR="00FF6C89" w:rsidRDefault="00FF6C89" w:rsidP="00FF6C89"/>
    <w:p w:rsidR="00FF6C89" w:rsidRDefault="002667F5" w:rsidP="00317A95">
      <w:pPr>
        <w:numPr>
          <w:ilvl w:val="0"/>
          <w:numId w:val="19"/>
        </w:numPr>
      </w:pPr>
      <w:r>
        <w:t>Youth whose DYS</w:t>
      </w:r>
      <w:r w:rsidR="00B36FE6">
        <w:t xml:space="preserve"> committing offense were felonies had a recidivism rate of 29% while those committed on misdemeanors had a rate of 22%.</w:t>
      </w:r>
    </w:p>
    <w:p w:rsidR="007C4B5C" w:rsidRDefault="007C4B5C" w:rsidP="00D85AB1"/>
    <w:p w:rsidR="00BF7EBD" w:rsidRDefault="00BF7EBD" w:rsidP="00BF7EBD"/>
    <w:p w:rsidR="003970B9" w:rsidRDefault="003970B9" w:rsidP="00621F8F"/>
    <w:p w:rsidR="001800D1" w:rsidRDefault="001800D1" w:rsidP="00621F8F"/>
    <w:p w:rsidR="00A96781" w:rsidRDefault="00A96781" w:rsidP="00621F8F"/>
    <w:p w:rsidR="00B36FE6" w:rsidRDefault="00B36FE6" w:rsidP="00621F8F">
      <w:pPr>
        <w:rPr>
          <w:b/>
          <w:color w:val="FF0000"/>
          <w:u w:val="single"/>
        </w:rPr>
      </w:pPr>
    </w:p>
    <w:p w:rsidR="00170F96" w:rsidRPr="00F07337" w:rsidRDefault="00170F96" w:rsidP="00621F8F">
      <w:pPr>
        <w:rPr>
          <w:b/>
        </w:rPr>
      </w:pPr>
      <w:r w:rsidRPr="00F07337">
        <w:rPr>
          <w:b/>
          <w:u w:val="single"/>
        </w:rPr>
        <w:lastRenderedPageBreak/>
        <w:t xml:space="preserve">Table </w:t>
      </w:r>
      <w:proofErr w:type="gramStart"/>
      <w:r w:rsidR="00334E1E" w:rsidRPr="00F07337">
        <w:rPr>
          <w:b/>
          <w:u w:val="single"/>
        </w:rPr>
        <w:t>1</w:t>
      </w:r>
      <w:r w:rsidR="00BF10AA" w:rsidRPr="00F07337">
        <w:rPr>
          <w:b/>
        </w:rPr>
        <w:t xml:space="preserve"> </w:t>
      </w:r>
      <w:r w:rsidR="002F10E1">
        <w:rPr>
          <w:b/>
        </w:rPr>
        <w:t xml:space="preserve"> </w:t>
      </w:r>
      <w:r w:rsidR="00BF10AA" w:rsidRPr="002F10E1">
        <w:rPr>
          <w:b/>
          <w:sz w:val="22"/>
          <w:szCs w:val="22"/>
        </w:rPr>
        <w:t>Recidivism</w:t>
      </w:r>
      <w:proofErr w:type="gramEnd"/>
      <w:r w:rsidR="00BF10AA" w:rsidRPr="002F10E1">
        <w:rPr>
          <w:b/>
          <w:sz w:val="22"/>
          <w:szCs w:val="22"/>
        </w:rPr>
        <w:t xml:space="preserve"> Rates f</w:t>
      </w:r>
      <w:r w:rsidRPr="002F10E1">
        <w:rPr>
          <w:b/>
          <w:sz w:val="22"/>
          <w:szCs w:val="22"/>
        </w:rPr>
        <w:t xml:space="preserve">or </w:t>
      </w:r>
      <w:r w:rsidR="00A9089E" w:rsidRPr="002F10E1">
        <w:rPr>
          <w:b/>
          <w:sz w:val="22"/>
          <w:szCs w:val="22"/>
        </w:rPr>
        <w:t xml:space="preserve">DYS </w:t>
      </w:r>
      <w:r w:rsidR="00AA7EF9" w:rsidRPr="002F10E1">
        <w:rPr>
          <w:b/>
          <w:sz w:val="22"/>
          <w:szCs w:val="22"/>
        </w:rPr>
        <w:t>Youth</w:t>
      </w:r>
      <w:r w:rsidRPr="002F10E1">
        <w:rPr>
          <w:b/>
          <w:sz w:val="22"/>
          <w:szCs w:val="22"/>
        </w:rPr>
        <w:t xml:space="preserve"> </w:t>
      </w:r>
      <w:r w:rsidR="002F10E1" w:rsidRPr="002F10E1">
        <w:rPr>
          <w:b/>
          <w:sz w:val="22"/>
          <w:szCs w:val="22"/>
        </w:rPr>
        <w:t xml:space="preserve">Discharged in 2014 </w:t>
      </w:r>
      <w:r w:rsidRPr="002F10E1">
        <w:rPr>
          <w:b/>
          <w:sz w:val="22"/>
          <w:szCs w:val="22"/>
        </w:rPr>
        <w:t>with Selected DYS Offenses</w:t>
      </w:r>
    </w:p>
    <w:p w:rsidR="00C035DF" w:rsidRPr="00F07337" w:rsidRDefault="00C035DF" w:rsidP="00621F8F"/>
    <w:p w:rsidR="00C035DF" w:rsidRPr="00F07337" w:rsidRDefault="00C035DF" w:rsidP="00621F8F">
      <w:pPr>
        <w:rPr>
          <w:u w:val="single"/>
        </w:rPr>
      </w:pP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p>
    <w:p w:rsidR="001D07DE" w:rsidRPr="00F07337" w:rsidRDefault="00C035DF" w:rsidP="00621F8F">
      <w:pPr>
        <w:rPr>
          <w:b/>
        </w:rPr>
      </w:pPr>
      <w:r w:rsidRPr="00F07337">
        <w:rPr>
          <w:b/>
        </w:rPr>
        <w:t>DYS Offense</w:t>
      </w:r>
      <w:r w:rsidRPr="00F07337">
        <w:rPr>
          <w:b/>
        </w:rPr>
        <w:tab/>
      </w:r>
      <w:r w:rsidRPr="00F07337">
        <w:rPr>
          <w:b/>
        </w:rPr>
        <w:tab/>
      </w:r>
      <w:r w:rsidRPr="00F07337">
        <w:rPr>
          <w:b/>
        </w:rPr>
        <w:tab/>
        <w:t xml:space="preserve">   </w:t>
      </w:r>
      <w:r w:rsidR="0019238E" w:rsidRPr="00F07337">
        <w:rPr>
          <w:b/>
        </w:rPr>
        <w:t xml:space="preserve">  </w:t>
      </w:r>
      <w:r w:rsidR="00284C59" w:rsidRPr="00F07337">
        <w:rPr>
          <w:b/>
        </w:rPr>
        <w:t xml:space="preserve">   </w:t>
      </w:r>
      <w:r w:rsidRPr="00F07337">
        <w:rPr>
          <w:b/>
        </w:rPr>
        <w:t xml:space="preserve"># </w:t>
      </w:r>
      <w:r w:rsidR="00345185">
        <w:rPr>
          <w:b/>
        </w:rPr>
        <w:t>Committed</w:t>
      </w:r>
      <w:r w:rsidRPr="00F07337">
        <w:rPr>
          <w:b/>
        </w:rPr>
        <w:t xml:space="preserve">    </w:t>
      </w:r>
      <w:r w:rsidR="00284C59" w:rsidRPr="00F07337">
        <w:rPr>
          <w:b/>
        </w:rPr>
        <w:t xml:space="preserve"> </w:t>
      </w:r>
      <w:r w:rsidR="00345185">
        <w:rPr>
          <w:b/>
        </w:rPr>
        <w:t xml:space="preserve"> </w:t>
      </w:r>
      <w:r w:rsidR="00284C59" w:rsidRPr="00F07337">
        <w:rPr>
          <w:b/>
        </w:rPr>
        <w:t>Total</w:t>
      </w:r>
      <w:r w:rsidR="00D47E9F" w:rsidRPr="00F07337">
        <w:rPr>
          <w:b/>
        </w:rPr>
        <w:t xml:space="preserve"> in</w:t>
      </w:r>
      <w:r w:rsidR="00284C59" w:rsidRPr="00F07337">
        <w:rPr>
          <w:b/>
        </w:rPr>
        <w:t xml:space="preserve">    </w:t>
      </w:r>
      <w:r w:rsidR="00073909" w:rsidRPr="00F07337">
        <w:rPr>
          <w:b/>
        </w:rPr>
        <w:t xml:space="preserve">     </w:t>
      </w:r>
      <w:r w:rsidRPr="00F07337">
        <w:rPr>
          <w:b/>
        </w:rPr>
        <w:t>Recidivism Rate</w:t>
      </w:r>
    </w:p>
    <w:p w:rsidR="00C035DF" w:rsidRPr="00F07337" w:rsidRDefault="00D47E9F" w:rsidP="00621F8F">
      <w:pPr>
        <w:rPr>
          <w:b/>
        </w:rPr>
      </w:pPr>
      <w:r w:rsidRPr="00F07337">
        <w:rPr>
          <w:b/>
        </w:rPr>
        <w:t xml:space="preserve">                                                                                   </w:t>
      </w:r>
      <w:r w:rsidR="00E646A3" w:rsidRPr="00F07337">
        <w:rPr>
          <w:b/>
        </w:rPr>
        <w:t xml:space="preserve">  </w:t>
      </w:r>
      <w:r w:rsidRPr="00F07337">
        <w:rPr>
          <w:b/>
        </w:rPr>
        <w:t>Sample</w:t>
      </w:r>
      <w:r w:rsidR="00C035DF" w:rsidRPr="00F07337">
        <w:rPr>
          <w:b/>
        </w:rPr>
        <w:t xml:space="preserve">    </w:t>
      </w:r>
    </w:p>
    <w:p w:rsidR="00284C59" w:rsidRPr="00F07337" w:rsidRDefault="00284C59" w:rsidP="00621F8F">
      <w:pPr>
        <w:rPr>
          <w:b/>
          <w:sz w:val="6"/>
          <w:szCs w:val="6"/>
          <w:u w:val="single"/>
        </w:rPr>
      </w:pP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p>
    <w:tbl>
      <w:tblPr>
        <w:tblW w:w="8100" w:type="dxa"/>
        <w:tblInd w:w="108" w:type="dxa"/>
        <w:tblLook w:val="0000" w:firstRow="0" w:lastRow="0" w:firstColumn="0" w:lastColumn="0" w:noHBand="0" w:noVBand="0"/>
      </w:tblPr>
      <w:tblGrid>
        <w:gridCol w:w="3240"/>
        <w:gridCol w:w="1595"/>
        <w:gridCol w:w="967"/>
        <w:gridCol w:w="2298"/>
      </w:tblGrid>
      <w:tr w:rsidR="00F94759" w:rsidRPr="00F07337" w:rsidTr="00170F96">
        <w:trPr>
          <w:trHeight w:val="255"/>
        </w:trPr>
        <w:tc>
          <w:tcPr>
            <w:tcW w:w="3240" w:type="dxa"/>
            <w:tcBorders>
              <w:top w:val="nil"/>
              <w:left w:val="nil"/>
              <w:bottom w:val="nil"/>
              <w:right w:val="nil"/>
            </w:tcBorders>
            <w:shd w:val="clear" w:color="auto" w:fill="auto"/>
            <w:noWrap/>
            <w:vAlign w:val="bottom"/>
          </w:tcPr>
          <w:p w:rsidR="00170F96" w:rsidRPr="00F07337" w:rsidRDefault="00170F96">
            <w:pPr>
              <w:rPr>
                <w:rFonts w:ascii="Arial" w:hAnsi="Arial" w:cs="Arial"/>
                <w:sz w:val="20"/>
                <w:szCs w:val="20"/>
              </w:rPr>
            </w:pPr>
          </w:p>
        </w:tc>
        <w:tc>
          <w:tcPr>
            <w:tcW w:w="1595" w:type="dxa"/>
            <w:tcBorders>
              <w:top w:val="nil"/>
              <w:left w:val="nil"/>
              <w:bottom w:val="nil"/>
              <w:right w:val="nil"/>
            </w:tcBorders>
            <w:shd w:val="clear" w:color="auto" w:fill="auto"/>
            <w:noWrap/>
            <w:vAlign w:val="bottom"/>
          </w:tcPr>
          <w:p w:rsidR="00170F96" w:rsidRPr="00F07337" w:rsidRDefault="00170F96">
            <w:pPr>
              <w:jc w:val="center"/>
              <w:rPr>
                <w:rFonts w:ascii="Arial" w:hAnsi="Arial" w:cs="Arial"/>
                <w:sz w:val="22"/>
                <w:szCs w:val="22"/>
              </w:rPr>
            </w:pPr>
          </w:p>
        </w:tc>
        <w:tc>
          <w:tcPr>
            <w:tcW w:w="967" w:type="dxa"/>
            <w:tcBorders>
              <w:top w:val="nil"/>
              <w:left w:val="nil"/>
              <w:bottom w:val="nil"/>
              <w:right w:val="nil"/>
            </w:tcBorders>
            <w:shd w:val="clear" w:color="auto" w:fill="auto"/>
            <w:noWrap/>
            <w:vAlign w:val="bottom"/>
          </w:tcPr>
          <w:p w:rsidR="00170F96" w:rsidRPr="00F07337" w:rsidRDefault="00170F96" w:rsidP="00073909">
            <w:pPr>
              <w:jc w:val="center"/>
              <w:rPr>
                <w:rFonts w:ascii="Arial" w:hAnsi="Arial" w:cs="Arial"/>
                <w:sz w:val="22"/>
                <w:szCs w:val="22"/>
              </w:rPr>
            </w:pPr>
          </w:p>
        </w:tc>
        <w:tc>
          <w:tcPr>
            <w:tcW w:w="2298" w:type="dxa"/>
            <w:tcBorders>
              <w:top w:val="nil"/>
              <w:left w:val="nil"/>
              <w:bottom w:val="nil"/>
              <w:right w:val="nil"/>
            </w:tcBorders>
            <w:shd w:val="clear" w:color="auto" w:fill="auto"/>
            <w:noWrap/>
            <w:vAlign w:val="bottom"/>
          </w:tcPr>
          <w:p w:rsidR="00170F96" w:rsidRPr="00F07337" w:rsidRDefault="00170F96" w:rsidP="00073909">
            <w:pPr>
              <w:jc w:val="center"/>
              <w:rPr>
                <w:rFonts w:ascii="Arial" w:hAnsi="Arial" w:cs="Arial"/>
                <w:sz w:val="22"/>
                <w:szCs w:val="22"/>
              </w:rPr>
            </w:pPr>
          </w:p>
        </w:tc>
      </w:tr>
      <w:tr w:rsidR="00F94759" w:rsidRPr="00F07337" w:rsidTr="00170F96">
        <w:trPr>
          <w:trHeight w:val="255"/>
        </w:trPr>
        <w:tc>
          <w:tcPr>
            <w:tcW w:w="3240" w:type="dxa"/>
            <w:tcBorders>
              <w:top w:val="nil"/>
              <w:left w:val="nil"/>
              <w:bottom w:val="nil"/>
              <w:right w:val="nil"/>
            </w:tcBorders>
            <w:shd w:val="clear" w:color="auto" w:fill="auto"/>
            <w:noWrap/>
            <w:vAlign w:val="bottom"/>
          </w:tcPr>
          <w:p w:rsidR="00B83EEF" w:rsidRPr="00F07337" w:rsidRDefault="00317A95" w:rsidP="00516138">
            <w:pPr>
              <w:rPr>
                <w:rFonts w:ascii="Arial" w:hAnsi="Arial" w:cs="Arial"/>
                <w:sz w:val="20"/>
                <w:szCs w:val="20"/>
              </w:rPr>
            </w:pPr>
            <w:r w:rsidRPr="00F07337">
              <w:rPr>
                <w:rFonts w:ascii="Arial" w:hAnsi="Arial" w:cs="Arial"/>
                <w:sz w:val="20"/>
                <w:szCs w:val="20"/>
              </w:rPr>
              <w:t>Robbery</w:t>
            </w:r>
          </w:p>
        </w:tc>
        <w:tc>
          <w:tcPr>
            <w:tcW w:w="1595" w:type="dxa"/>
            <w:tcBorders>
              <w:top w:val="nil"/>
              <w:left w:val="nil"/>
              <w:bottom w:val="nil"/>
              <w:right w:val="nil"/>
            </w:tcBorders>
            <w:shd w:val="clear" w:color="auto" w:fill="auto"/>
            <w:noWrap/>
            <w:vAlign w:val="bottom"/>
          </w:tcPr>
          <w:p w:rsidR="00B83EEF" w:rsidRPr="00F07337" w:rsidRDefault="00FB079F" w:rsidP="00516138">
            <w:pPr>
              <w:jc w:val="center"/>
              <w:rPr>
                <w:rFonts w:ascii="Arial" w:hAnsi="Arial" w:cs="Arial"/>
                <w:sz w:val="22"/>
                <w:szCs w:val="22"/>
              </w:rPr>
            </w:pPr>
            <w:r w:rsidRPr="00F07337">
              <w:rPr>
                <w:rFonts w:ascii="Arial" w:hAnsi="Arial" w:cs="Arial"/>
                <w:sz w:val="22"/>
                <w:szCs w:val="22"/>
              </w:rPr>
              <w:t>1</w:t>
            </w:r>
            <w:r w:rsidR="00317A95" w:rsidRPr="00F07337">
              <w:rPr>
                <w:rFonts w:ascii="Arial" w:hAnsi="Arial" w:cs="Arial"/>
                <w:sz w:val="22"/>
                <w:szCs w:val="22"/>
              </w:rPr>
              <w:t>3</w:t>
            </w:r>
          </w:p>
        </w:tc>
        <w:tc>
          <w:tcPr>
            <w:tcW w:w="967" w:type="dxa"/>
            <w:tcBorders>
              <w:top w:val="nil"/>
              <w:left w:val="nil"/>
              <w:bottom w:val="nil"/>
              <w:right w:val="nil"/>
            </w:tcBorders>
            <w:shd w:val="clear" w:color="auto" w:fill="auto"/>
            <w:noWrap/>
            <w:vAlign w:val="bottom"/>
          </w:tcPr>
          <w:p w:rsidR="00B83EEF" w:rsidRPr="00F07337" w:rsidRDefault="00317A95" w:rsidP="00516138">
            <w:pPr>
              <w:jc w:val="center"/>
              <w:rPr>
                <w:rFonts w:ascii="Arial" w:hAnsi="Arial" w:cs="Arial"/>
                <w:sz w:val="22"/>
                <w:szCs w:val="22"/>
              </w:rPr>
            </w:pPr>
            <w:r w:rsidRPr="00F07337">
              <w:rPr>
                <w:rFonts w:ascii="Arial" w:hAnsi="Arial" w:cs="Arial"/>
                <w:sz w:val="22"/>
                <w:szCs w:val="22"/>
              </w:rPr>
              <w:t>30</w:t>
            </w:r>
          </w:p>
        </w:tc>
        <w:tc>
          <w:tcPr>
            <w:tcW w:w="2298" w:type="dxa"/>
            <w:tcBorders>
              <w:top w:val="nil"/>
              <w:left w:val="nil"/>
              <w:bottom w:val="nil"/>
              <w:right w:val="nil"/>
            </w:tcBorders>
            <w:shd w:val="clear" w:color="auto" w:fill="auto"/>
            <w:noWrap/>
            <w:vAlign w:val="bottom"/>
          </w:tcPr>
          <w:p w:rsidR="00B83EEF" w:rsidRPr="00F07337" w:rsidRDefault="009A4A6C" w:rsidP="00516138">
            <w:pPr>
              <w:jc w:val="center"/>
              <w:rPr>
                <w:rFonts w:ascii="Arial" w:hAnsi="Arial" w:cs="Arial"/>
                <w:sz w:val="22"/>
                <w:szCs w:val="22"/>
              </w:rPr>
            </w:pPr>
            <w:r w:rsidRPr="00F07337">
              <w:rPr>
                <w:rFonts w:ascii="Arial" w:hAnsi="Arial" w:cs="Arial"/>
                <w:sz w:val="22"/>
                <w:szCs w:val="22"/>
              </w:rPr>
              <w:t>43</w:t>
            </w:r>
            <w:r w:rsidR="00B83EEF" w:rsidRPr="00F07337">
              <w:rPr>
                <w:rFonts w:ascii="Arial" w:hAnsi="Arial" w:cs="Arial"/>
                <w:sz w:val="22"/>
                <w:szCs w:val="22"/>
              </w:rPr>
              <w:t>%</w:t>
            </w:r>
          </w:p>
        </w:tc>
      </w:tr>
      <w:tr w:rsidR="00F94759" w:rsidRPr="00F07337" w:rsidTr="00170F96">
        <w:trPr>
          <w:trHeight w:val="255"/>
        </w:trPr>
        <w:tc>
          <w:tcPr>
            <w:tcW w:w="3240" w:type="dxa"/>
            <w:tcBorders>
              <w:top w:val="nil"/>
              <w:left w:val="nil"/>
              <w:bottom w:val="nil"/>
              <w:right w:val="nil"/>
            </w:tcBorders>
            <w:shd w:val="clear" w:color="auto" w:fill="auto"/>
            <w:noWrap/>
            <w:vAlign w:val="bottom"/>
          </w:tcPr>
          <w:p w:rsidR="00B83EEF" w:rsidRPr="00F07337" w:rsidRDefault="00317A95" w:rsidP="00516138">
            <w:pPr>
              <w:rPr>
                <w:rFonts w:ascii="Arial" w:hAnsi="Arial" w:cs="Arial"/>
                <w:sz w:val="20"/>
                <w:szCs w:val="20"/>
              </w:rPr>
            </w:pPr>
            <w:r w:rsidRPr="00F07337">
              <w:rPr>
                <w:rFonts w:ascii="Arial" w:hAnsi="Arial" w:cs="Arial"/>
                <w:sz w:val="20"/>
                <w:szCs w:val="20"/>
              </w:rPr>
              <w:t>Larceny</w:t>
            </w:r>
          </w:p>
        </w:tc>
        <w:tc>
          <w:tcPr>
            <w:tcW w:w="1595" w:type="dxa"/>
            <w:tcBorders>
              <w:top w:val="nil"/>
              <w:left w:val="nil"/>
              <w:bottom w:val="nil"/>
              <w:right w:val="nil"/>
            </w:tcBorders>
            <w:shd w:val="clear" w:color="auto" w:fill="auto"/>
            <w:noWrap/>
            <w:vAlign w:val="bottom"/>
          </w:tcPr>
          <w:p w:rsidR="00B83EEF" w:rsidRPr="00F07337" w:rsidRDefault="00317A95" w:rsidP="00516138">
            <w:pPr>
              <w:jc w:val="center"/>
              <w:rPr>
                <w:rFonts w:ascii="Arial" w:hAnsi="Arial" w:cs="Arial"/>
                <w:sz w:val="22"/>
                <w:szCs w:val="22"/>
              </w:rPr>
            </w:pPr>
            <w:r w:rsidRPr="00F07337">
              <w:rPr>
                <w:rFonts w:ascii="Arial" w:hAnsi="Arial" w:cs="Arial"/>
                <w:sz w:val="22"/>
                <w:szCs w:val="22"/>
              </w:rPr>
              <w:t>1</w:t>
            </w:r>
            <w:r w:rsidR="009A4A6C" w:rsidRPr="00F07337">
              <w:rPr>
                <w:rFonts w:ascii="Arial" w:hAnsi="Arial" w:cs="Arial"/>
                <w:sz w:val="22"/>
                <w:szCs w:val="22"/>
              </w:rPr>
              <w:t>3</w:t>
            </w:r>
          </w:p>
        </w:tc>
        <w:tc>
          <w:tcPr>
            <w:tcW w:w="967" w:type="dxa"/>
            <w:tcBorders>
              <w:top w:val="nil"/>
              <w:left w:val="nil"/>
              <w:bottom w:val="nil"/>
              <w:right w:val="nil"/>
            </w:tcBorders>
            <w:shd w:val="clear" w:color="auto" w:fill="auto"/>
            <w:noWrap/>
            <w:vAlign w:val="bottom"/>
          </w:tcPr>
          <w:p w:rsidR="00B83EEF" w:rsidRPr="00F07337" w:rsidRDefault="00317A95" w:rsidP="00516138">
            <w:pPr>
              <w:jc w:val="center"/>
              <w:rPr>
                <w:rFonts w:ascii="Arial" w:hAnsi="Arial" w:cs="Arial"/>
                <w:sz w:val="22"/>
                <w:szCs w:val="22"/>
              </w:rPr>
            </w:pPr>
            <w:r w:rsidRPr="00F07337">
              <w:rPr>
                <w:rFonts w:ascii="Arial" w:hAnsi="Arial" w:cs="Arial"/>
                <w:sz w:val="22"/>
                <w:szCs w:val="22"/>
              </w:rPr>
              <w:t>45</w:t>
            </w:r>
          </w:p>
        </w:tc>
        <w:tc>
          <w:tcPr>
            <w:tcW w:w="2298" w:type="dxa"/>
            <w:tcBorders>
              <w:top w:val="nil"/>
              <w:left w:val="nil"/>
              <w:bottom w:val="nil"/>
              <w:right w:val="nil"/>
            </w:tcBorders>
            <w:shd w:val="clear" w:color="auto" w:fill="auto"/>
            <w:noWrap/>
            <w:vAlign w:val="bottom"/>
          </w:tcPr>
          <w:p w:rsidR="00B83EEF" w:rsidRPr="00F07337" w:rsidRDefault="00317A95" w:rsidP="00516138">
            <w:pPr>
              <w:jc w:val="center"/>
              <w:rPr>
                <w:rFonts w:ascii="Arial" w:hAnsi="Arial" w:cs="Arial"/>
                <w:sz w:val="22"/>
                <w:szCs w:val="22"/>
              </w:rPr>
            </w:pPr>
            <w:r w:rsidRPr="00F07337">
              <w:rPr>
                <w:rFonts w:ascii="Arial" w:hAnsi="Arial" w:cs="Arial"/>
                <w:sz w:val="22"/>
                <w:szCs w:val="22"/>
              </w:rPr>
              <w:t>29</w:t>
            </w:r>
            <w:r w:rsidR="00B83EEF" w:rsidRPr="00F07337">
              <w:rPr>
                <w:rFonts w:ascii="Arial" w:hAnsi="Arial" w:cs="Arial"/>
                <w:sz w:val="22"/>
                <w:szCs w:val="22"/>
              </w:rPr>
              <w:t>%</w:t>
            </w:r>
          </w:p>
        </w:tc>
      </w:tr>
      <w:tr w:rsidR="00F94759" w:rsidRPr="00F07337" w:rsidTr="00170F96">
        <w:trPr>
          <w:trHeight w:val="255"/>
        </w:trPr>
        <w:tc>
          <w:tcPr>
            <w:tcW w:w="3240" w:type="dxa"/>
            <w:tcBorders>
              <w:top w:val="nil"/>
              <w:left w:val="nil"/>
              <w:bottom w:val="nil"/>
              <w:right w:val="nil"/>
            </w:tcBorders>
            <w:shd w:val="clear" w:color="auto" w:fill="auto"/>
            <w:noWrap/>
            <w:vAlign w:val="bottom"/>
          </w:tcPr>
          <w:p w:rsidR="00B83EEF" w:rsidRPr="00F07337" w:rsidRDefault="00317A95" w:rsidP="00516138">
            <w:pPr>
              <w:rPr>
                <w:rFonts w:ascii="Arial" w:hAnsi="Arial" w:cs="Arial"/>
                <w:sz w:val="20"/>
                <w:szCs w:val="20"/>
              </w:rPr>
            </w:pPr>
            <w:r w:rsidRPr="00F07337">
              <w:rPr>
                <w:rFonts w:ascii="Arial" w:hAnsi="Arial" w:cs="Arial"/>
                <w:sz w:val="20"/>
                <w:szCs w:val="20"/>
              </w:rPr>
              <w:t>Assault</w:t>
            </w:r>
          </w:p>
        </w:tc>
        <w:tc>
          <w:tcPr>
            <w:tcW w:w="1595" w:type="dxa"/>
            <w:tcBorders>
              <w:top w:val="nil"/>
              <w:left w:val="nil"/>
              <w:bottom w:val="nil"/>
              <w:right w:val="nil"/>
            </w:tcBorders>
            <w:shd w:val="clear" w:color="auto" w:fill="auto"/>
            <w:noWrap/>
            <w:vAlign w:val="bottom"/>
          </w:tcPr>
          <w:p w:rsidR="00B83EEF" w:rsidRPr="00F07337" w:rsidRDefault="00317A95" w:rsidP="00516138">
            <w:pPr>
              <w:jc w:val="center"/>
              <w:rPr>
                <w:rFonts w:ascii="Arial" w:hAnsi="Arial" w:cs="Arial"/>
                <w:sz w:val="22"/>
                <w:szCs w:val="22"/>
              </w:rPr>
            </w:pPr>
            <w:r w:rsidRPr="00F07337">
              <w:rPr>
                <w:rFonts w:ascii="Arial" w:hAnsi="Arial" w:cs="Arial"/>
                <w:sz w:val="22"/>
                <w:szCs w:val="22"/>
              </w:rPr>
              <w:t>41</w:t>
            </w:r>
          </w:p>
        </w:tc>
        <w:tc>
          <w:tcPr>
            <w:tcW w:w="967" w:type="dxa"/>
            <w:tcBorders>
              <w:top w:val="nil"/>
              <w:left w:val="nil"/>
              <w:bottom w:val="nil"/>
              <w:right w:val="nil"/>
            </w:tcBorders>
            <w:shd w:val="clear" w:color="auto" w:fill="auto"/>
            <w:noWrap/>
            <w:vAlign w:val="bottom"/>
          </w:tcPr>
          <w:p w:rsidR="00B83EEF" w:rsidRPr="00F07337" w:rsidRDefault="00317A95" w:rsidP="00317A95">
            <w:pPr>
              <w:rPr>
                <w:rFonts w:ascii="Arial" w:hAnsi="Arial" w:cs="Arial"/>
                <w:sz w:val="22"/>
                <w:szCs w:val="22"/>
              </w:rPr>
            </w:pPr>
            <w:r w:rsidRPr="00F07337">
              <w:rPr>
                <w:rFonts w:ascii="Arial" w:hAnsi="Arial" w:cs="Arial"/>
                <w:sz w:val="22"/>
                <w:szCs w:val="22"/>
              </w:rPr>
              <w:t xml:space="preserve">   153</w:t>
            </w:r>
          </w:p>
        </w:tc>
        <w:tc>
          <w:tcPr>
            <w:tcW w:w="2298" w:type="dxa"/>
            <w:tcBorders>
              <w:top w:val="nil"/>
              <w:left w:val="nil"/>
              <w:bottom w:val="nil"/>
              <w:right w:val="nil"/>
            </w:tcBorders>
            <w:shd w:val="clear" w:color="auto" w:fill="auto"/>
            <w:noWrap/>
            <w:vAlign w:val="bottom"/>
          </w:tcPr>
          <w:p w:rsidR="00B83EEF" w:rsidRPr="00F07337" w:rsidRDefault="00317A95" w:rsidP="00516138">
            <w:pPr>
              <w:jc w:val="center"/>
              <w:rPr>
                <w:rFonts w:ascii="Arial" w:hAnsi="Arial" w:cs="Arial"/>
                <w:sz w:val="22"/>
                <w:szCs w:val="22"/>
              </w:rPr>
            </w:pPr>
            <w:r w:rsidRPr="00F07337">
              <w:rPr>
                <w:rFonts w:ascii="Arial" w:hAnsi="Arial" w:cs="Arial"/>
                <w:sz w:val="22"/>
                <w:szCs w:val="22"/>
              </w:rPr>
              <w:t>27</w:t>
            </w:r>
            <w:r w:rsidR="00B83EEF" w:rsidRPr="00F07337">
              <w:rPr>
                <w:rFonts w:ascii="Arial" w:hAnsi="Arial" w:cs="Arial"/>
                <w:sz w:val="22"/>
                <w:szCs w:val="22"/>
              </w:rPr>
              <w:t>%</w:t>
            </w:r>
          </w:p>
        </w:tc>
      </w:tr>
      <w:tr w:rsidR="00F94759" w:rsidRPr="00F07337" w:rsidTr="00170F96">
        <w:trPr>
          <w:trHeight w:val="255"/>
        </w:trPr>
        <w:tc>
          <w:tcPr>
            <w:tcW w:w="3240" w:type="dxa"/>
            <w:tcBorders>
              <w:top w:val="nil"/>
              <w:left w:val="nil"/>
              <w:bottom w:val="nil"/>
              <w:right w:val="nil"/>
            </w:tcBorders>
            <w:shd w:val="clear" w:color="auto" w:fill="auto"/>
            <w:noWrap/>
            <w:vAlign w:val="bottom"/>
          </w:tcPr>
          <w:p w:rsidR="00B83EEF" w:rsidRPr="00F07337" w:rsidRDefault="00317A95" w:rsidP="00516138">
            <w:pPr>
              <w:rPr>
                <w:rFonts w:ascii="Arial" w:hAnsi="Arial" w:cs="Arial"/>
                <w:sz w:val="20"/>
                <w:szCs w:val="20"/>
              </w:rPr>
            </w:pPr>
            <w:r w:rsidRPr="00F07337">
              <w:rPr>
                <w:rFonts w:ascii="Arial" w:hAnsi="Arial" w:cs="Arial"/>
                <w:sz w:val="20"/>
                <w:szCs w:val="20"/>
              </w:rPr>
              <w:t>Destruction of Property</w:t>
            </w:r>
          </w:p>
        </w:tc>
        <w:tc>
          <w:tcPr>
            <w:tcW w:w="1595" w:type="dxa"/>
            <w:tcBorders>
              <w:top w:val="nil"/>
              <w:left w:val="nil"/>
              <w:bottom w:val="nil"/>
              <w:right w:val="nil"/>
            </w:tcBorders>
            <w:shd w:val="clear" w:color="auto" w:fill="auto"/>
            <w:noWrap/>
            <w:vAlign w:val="bottom"/>
          </w:tcPr>
          <w:p w:rsidR="00B83EEF" w:rsidRPr="00F07337" w:rsidRDefault="00317A95" w:rsidP="00516138">
            <w:pPr>
              <w:jc w:val="center"/>
              <w:rPr>
                <w:rFonts w:ascii="Arial" w:hAnsi="Arial" w:cs="Arial"/>
                <w:sz w:val="22"/>
                <w:szCs w:val="22"/>
              </w:rPr>
            </w:pPr>
            <w:r w:rsidRPr="00F07337">
              <w:rPr>
                <w:rFonts w:ascii="Arial" w:hAnsi="Arial" w:cs="Arial"/>
                <w:sz w:val="22"/>
                <w:szCs w:val="22"/>
              </w:rPr>
              <w:t>4</w:t>
            </w:r>
          </w:p>
        </w:tc>
        <w:tc>
          <w:tcPr>
            <w:tcW w:w="967" w:type="dxa"/>
            <w:tcBorders>
              <w:top w:val="nil"/>
              <w:left w:val="nil"/>
              <w:bottom w:val="nil"/>
              <w:right w:val="nil"/>
            </w:tcBorders>
            <w:shd w:val="clear" w:color="auto" w:fill="auto"/>
            <w:noWrap/>
            <w:vAlign w:val="bottom"/>
          </w:tcPr>
          <w:p w:rsidR="00B83EEF" w:rsidRPr="00F07337" w:rsidRDefault="00317A95" w:rsidP="00516138">
            <w:pPr>
              <w:jc w:val="center"/>
              <w:rPr>
                <w:rFonts w:ascii="Arial" w:hAnsi="Arial" w:cs="Arial"/>
                <w:sz w:val="22"/>
                <w:szCs w:val="22"/>
              </w:rPr>
            </w:pPr>
            <w:r w:rsidRPr="00F07337">
              <w:rPr>
                <w:rFonts w:ascii="Arial" w:hAnsi="Arial" w:cs="Arial"/>
                <w:sz w:val="22"/>
                <w:szCs w:val="22"/>
              </w:rPr>
              <w:t>17</w:t>
            </w:r>
          </w:p>
        </w:tc>
        <w:tc>
          <w:tcPr>
            <w:tcW w:w="2298" w:type="dxa"/>
            <w:tcBorders>
              <w:top w:val="nil"/>
              <w:left w:val="nil"/>
              <w:bottom w:val="nil"/>
              <w:right w:val="nil"/>
            </w:tcBorders>
            <w:shd w:val="clear" w:color="auto" w:fill="auto"/>
            <w:noWrap/>
            <w:vAlign w:val="bottom"/>
          </w:tcPr>
          <w:p w:rsidR="00B83EEF" w:rsidRPr="00F07337" w:rsidRDefault="00317A95" w:rsidP="00516138">
            <w:pPr>
              <w:jc w:val="center"/>
              <w:rPr>
                <w:rFonts w:ascii="Arial" w:hAnsi="Arial" w:cs="Arial"/>
                <w:sz w:val="22"/>
                <w:szCs w:val="22"/>
              </w:rPr>
            </w:pPr>
            <w:r w:rsidRPr="00F07337">
              <w:rPr>
                <w:rFonts w:ascii="Arial" w:hAnsi="Arial" w:cs="Arial"/>
                <w:sz w:val="22"/>
                <w:szCs w:val="22"/>
              </w:rPr>
              <w:t>24</w:t>
            </w:r>
            <w:r w:rsidR="00B83EEF" w:rsidRPr="00F07337">
              <w:rPr>
                <w:rFonts w:ascii="Arial" w:hAnsi="Arial" w:cs="Arial"/>
                <w:sz w:val="22"/>
                <w:szCs w:val="22"/>
              </w:rPr>
              <w:t>%</w:t>
            </w:r>
          </w:p>
        </w:tc>
      </w:tr>
      <w:tr w:rsidR="00F94759" w:rsidRPr="00F07337" w:rsidTr="00170F96">
        <w:trPr>
          <w:trHeight w:val="255"/>
        </w:trPr>
        <w:tc>
          <w:tcPr>
            <w:tcW w:w="3240" w:type="dxa"/>
            <w:tcBorders>
              <w:top w:val="nil"/>
              <w:left w:val="nil"/>
              <w:bottom w:val="nil"/>
              <w:right w:val="nil"/>
            </w:tcBorders>
            <w:shd w:val="clear" w:color="auto" w:fill="auto"/>
            <w:noWrap/>
            <w:vAlign w:val="bottom"/>
          </w:tcPr>
          <w:p w:rsidR="00B83EEF" w:rsidRPr="00F07337" w:rsidRDefault="009A4A6C" w:rsidP="00516138">
            <w:pPr>
              <w:rPr>
                <w:rFonts w:ascii="Arial" w:hAnsi="Arial" w:cs="Arial"/>
                <w:sz w:val="20"/>
                <w:szCs w:val="20"/>
              </w:rPr>
            </w:pPr>
            <w:r w:rsidRPr="00F07337">
              <w:rPr>
                <w:rFonts w:ascii="Arial" w:hAnsi="Arial" w:cs="Arial"/>
                <w:sz w:val="20"/>
                <w:szCs w:val="20"/>
              </w:rPr>
              <w:t>Breaking and Entering</w:t>
            </w:r>
          </w:p>
        </w:tc>
        <w:tc>
          <w:tcPr>
            <w:tcW w:w="1595" w:type="dxa"/>
            <w:tcBorders>
              <w:top w:val="nil"/>
              <w:left w:val="nil"/>
              <w:bottom w:val="nil"/>
              <w:right w:val="nil"/>
            </w:tcBorders>
            <w:shd w:val="clear" w:color="auto" w:fill="auto"/>
            <w:noWrap/>
            <w:vAlign w:val="bottom"/>
          </w:tcPr>
          <w:p w:rsidR="00B83EEF" w:rsidRPr="00F07337" w:rsidRDefault="009A4A6C" w:rsidP="00516138">
            <w:pPr>
              <w:jc w:val="center"/>
              <w:rPr>
                <w:rFonts w:ascii="Arial" w:hAnsi="Arial" w:cs="Arial"/>
                <w:sz w:val="22"/>
                <w:szCs w:val="22"/>
              </w:rPr>
            </w:pPr>
            <w:r w:rsidRPr="00F07337">
              <w:rPr>
                <w:rFonts w:ascii="Arial" w:hAnsi="Arial" w:cs="Arial"/>
                <w:sz w:val="22"/>
                <w:szCs w:val="22"/>
              </w:rPr>
              <w:t>6</w:t>
            </w:r>
          </w:p>
        </w:tc>
        <w:tc>
          <w:tcPr>
            <w:tcW w:w="967" w:type="dxa"/>
            <w:tcBorders>
              <w:top w:val="nil"/>
              <w:left w:val="nil"/>
              <w:bottom w:val="nil"/>
              <w:right w:val="nil"/>
            </w:tcBorders>
            <w:shd w:val="clear" w:color="auto" w:fill="auto"/>
            <w:noWrap/>
            <w:vAlign w:val="bottom"/>
          </w:tcPr>
          <w:p w:rsidR="00B83EEF" w:rsidRPr="00F07337" w:rsidRDefault="00F07337" w:rsidP="00516138">
            <w:pPr>
              <w:jc w:val="center"/>
              <w:rPr>
                <w:rFonts w:ascii="Arial" w:hAnsi="Arial" w:cs="Arial"/>
                <w:sz w:val="22"/>
                <w:szCs w:val="22"/>
              </w:rPr>
            </w:pPr>
            <w:r w:rsidRPr="00F07337">
              <w:rPr>
                <w:rFonts w:ascii="Arial" w:hAnsi="Arial" w:cs="Arial"/>
                <w:sz w:val="22"/>
                <w:szCs w:val="22"/>
              </w:rPr>
              <w:t>28</w:t>
            </w:r>
          </w:p>
        </w:tc>
        <w:tc>
          <w:tcPr>
            <w:tcW w:w="2298" w:type="dxa"/>
            <w:tcBorders>
              <w:top w:val="nil"/>
              <w:left w:val="nil"/>
              <w:bottom w:val="nil"/>
              <w:right w:val="nil"/>
            </w:tcBorders>
            <w:shd w:val="clear" w:color="auto" w:fill="auto"/>
            <w:noWrap/>
            <w:vAlign w:val="bottom"/>
          </w:tcPr>
          <w:p w:rsidR="00B83EEF" w:rsidRPr="00F07337" w:rsidRDefault="00F07337" w:rsidP="00516138">
            <w:pPr>
              <w:jc w:val="center"/>
              <w:rPr>
                <w:rFonts w:ascii="Arial" w:hAnsi="Arial" w:cs="Arial"/>
                <w:sz w:val="22"/>
                <w:szCs w:val="22"/>
              </w:rPr>
            </w:pPr>
            <w:r w:rsidRPr="00F07337">
              <w:rPr>
                <w:rFonts w:ascii="Arial" w:hAnsi="Arial" w:cs="Arial"/>
                <w:sz w:val="22"/>
                <w:szCs w:val="22"/>
              </w:rPr>
              <w:t>21</w:t>
            </w:r>
            <w:r w:rsidR="00B83EEF" w:rsidRPr="00F07337">
              <w:rPr>
                <w:rFonts w:ascii="Arial" w:hAnsi="Arial" w:cs="Arial"/>
                <w:sz w:val="22"/>
                <w:szCs w:val="22"/>
              </w:rPr>
              <w:t>%</w:t>
            </w:r>
          </w:p>
        </w:tc>
      </w:tr>
      <w:tr w:rsidR="00A62884" w:rsidRPr="00F07337" w:rsidTr="00170F96">
        <w:trPr>
          <w:trHeight w:val="255"/>
        </w:trPr>
        <w:tc>
          <w:tcPr>
            <w:tcW w:w="3240" w:type="dxa"/>
            <w:tcBorders>
              <w:top w:val="nil"/>
              <w:left w:val="nil"/>
              <w:bottom w:val="nil"/>
              <w:right w:val="nil"/>
            </w:tcBorders>
            <w:shd w:val="clear" w:color="auto" w:fill="auto"/>
            <w:noWrap/>
            <w:vAlign w:val="bottom"/>
          </w:tcPr>
          <w:p w:rsidR="00A62884" w:rsidRPr="00F07337" w:rsidRDefault="00F07337" w:rsidP="00516138">
            <w:pPr>
              <w:rPr>
                <w:rFonts w:ascii="Arial" w:hAnsi="Arial" w:cs="Arial"/>
                <w:sz w:val="20"/>
                <w:szCs w:val="20"/>
              </w:rPr>
            </w:pPr>
            <w:r w:rsidRPr="00F07337">
              <w:rPr>
                <w:rFonts w:ascii="Arial" w:hAnsi="Arial" w:cs="Arial"/>
                <w:sz w:val="20"/>
                <w:szCs w:val="20"/>
              </w:rPr>
              <w:t>Possession of a Firearm</w:t>
            </w:r>
          </w:p>
        </w:tc>
        <w:tc>
          <w:tcPr>
            <w:tcW w:w="1595" w:type="dxa"/>
            <w:tcBorders>
              <w:top w:val="nil"/>
              <w:left w:val="nil"/>
              <w:bottom w:val="nil"/>
              <w:right w:val="nil"/>
            </w:tcBorders>
            <w:shd w:val="clear" w:color="auto" w:fill="auto"/>
            <w:noWrap/>
            <w:vAlign w:val="bottom"/>
          </w:tcPr>
          <w:p w:rsidR="00A62884" w:rsidRPr="00F07337" w:rsidRDefault="009A4A6C" w:rsidP="00516138">
            <w:pPr>
              <w:jc w:val="center"/>
              <w:rPr>
                <w:rFonts w:ascii="Arial" w:hAnsi="Arial" w:cs="Arial"/>
                <w:sz w:val="22"/>
                <w:szCs w:val="22"/>
              </w:rPr>
            </w:pPr>
            <w:r w:rsidRPr="00F07337">
              <w:rPr>
                <w:rFonts w:ascii="Arial" w:hAnsi="Arial" w:cs="Arial"/>
                <w:sz w:val="22"/>
                <w:szCs w:val="22"/>
              </w:rPr>
              <w:t>5</w:t>
            </w:r>
          </w:p>
        </w:tc>
        <w:tc>
          <w:tcPr>
            <w:tcW w:w="967" w:type="dxa"/>
            <w:tcBorders>
              <w:top w:val="nil"/>
              <w:left w:val="nil"/>
              <w:bottom w:val="nil"/>
              <w:right w:val="nil"/>
            </w:tcBorders>
            <w:shd w:val="clear" w:color="auto" w:fill="auto"/>
            <w:noWrap/>
            <w:vAlign w:val="bottom"/>
          </w:tcPr>
          <w:p w:rsidR="00A62884" w:rsidRPr="00F07337" w:rsidRDefault="00F07337" w:rsidP="00516138">
            <w:pPr>
              <w:jc w:val="center"/>
              <w:rPr>
                <w:rFonts w:ascii="Arial" w:hAnsi="Arial" w:cs="Arial"/>
                <w:sz w:val="22"/>
                <w:szCs w:val="22"/>
              </w:rPr>
            </w:pPr>
            <w:r w:rsidRPr="00F07337">
              <w:rPr>
                <w:rFonts w:ascii="Arial" w:hAnsi="Arial" w:cs="Arial"/>
                <w:sz w:val="22"/>
                <w:szCs w:val="22"/>
              </w:rPr>
              <w:t>26</w:t>
            </w:r>
          </w:p>
        </w:tc>
        <w:tc>
          <w:tcPr>
            <w:tcW w:w="2298" w:type="dxa"/>
            <w:tcBorders>
              <w:top w:val="nil"/>
              <w:left w:val="nil"/>
              <w:bottom w:val="nil"/>
              <w:right w:val="nil"/>
            </w:tcBorders>
            <w:shd w:val="clear" w:color="auto" w:fill="auto"/>
            <w:noWrap/>
            <w:vAlign w:val="bottom"/>
          </w:tcPr>
          <w:p w:rsidR="00A62884" w:rsidRPr="00F07337" w:rsidRDefault="00F07337" w:rsidP="00516138">
            <w:pPr>
              <w:jc w:val="center"/>
              <w:rPr>
                <w:rFonts w:ascii="Arial" w:hAnsi="Arial" w:cs="Arial"/>
                <w:sz w:val="22"/>
                <w:szCs w:val="22"/>
              </w:rPr>
            </w:pPr>
            <w:r w:rsidRPr="00F07337">
              <w:rPr>
                <w:rFonts w:ascii="Arial" w:hAnsi="Arial" w:cs="Arial"/>
                <w:sz w:val="22"/>
                <w:szCs w:val="22"/>
              </w:rPr>
              <w:t>19</w:t>
            </w:r>
            <w:r w:rsidR="00A62884" w:rsidRPr="00F07337">
              <w:rPr>
                <w:rFonts w:ascii="Arial" w:hAnsi="Arial" w:cs="Arial"/>
                <w:sz w:val="22"/>
                <w:szCs w:val="22"/>
              </w:rPr>
              <w:t>%</w:t>
            </w:r>
          </w:p>
        </w:tc>
      </w:tr>
    </w:tbl>
    <w:p w:rsidR="00154951" w:rsidRPr="00F07337" w:rsidRDefault="00154951" w:rsidP="00154951"/>
    <w:p w:rsidR="00AF7EFC" w:rsidRPr="00F94759" w:rsidRDefault="00AF7EFC" w:rsidP="00154951">
      <w:pPr>
        <w:rPr>
          <w:color w:val="FF0000"/>
        </w:rPr>
      </w:pPr>
    </w:p>
    <w:p w:rsidR="0019238E" w:rsidRPr="00F94759" w:rsidRDefault="0019238E" w:rsidP="0019238E">
      <w:pPr>
        <w:rPr>
          <w:color w:val="FF0000"/>
        </w:rPr>
      </w:pPr>
    </w:p>
    <w:p w:rsidR="00EC204D" w:rsidRPr="00F94759" w:rsidRDefault="00EC204D" w:rsidP="0019238E">
      <w:pPr>
        <w:rPr>
          <w:color w:val="FF0000"/>
        </w:rPr>
      </w:pPr>
    </w:p>
    <w:p w:rsidR="0019238E" w:rsidRPr="002F10E1" w:rsidRDefault="0019238E" w:rsidP="0019238E">
      <w:pPr>
        <w:rPr>
          <w:b/>
          <w:sz w:val="22"/>
          <w:szCs w:val="22"/>
        </w:rPr>
      </w:pPr>
      <w:r w:rsidRPr="00350F88">
        <w:rPr>
          <w:b/>
          <w:u w:val="single"/>
        </w:rPr>
        <w:t xml:space="preserve">Table </w:t>
      </w:r>
      <w:proofErr w:type="gramStart"/>
      <w:r w:rsidR="00334E1E" w:rsidRPr="00350F88">
        <w:rPr>
          <w:b/>
          <w:u w:val="single"/>
        </w:rPr>
        <w:t>2</w:t>
      </w:r>
      <w:r w:rsidRPr="00350F88">
        <w:rPr>
          <w:b/>
        </w:rPr>
        <w:t xml:space="preserve"> </w:t>
      </w:r>
      <w:r w:rsidR="002F10E1">
        <w:rPr>
          <w:b/>
        </w:rPr>
        <w:t xml:space="preserve"> </w:t>
      </w:r>
      <w:r w:rsidR="002F10E1" w:rsidRPr="002F10E1">
        <w:rPr>
          <w:b/>
          <w:sz w:val="22"/>
          <w:szCs w:val="22"/>
        </w:rPr>
        <w:t>Recidivism</w:t>
      </w:r>
      <w:proofErr w:type="gramEnd"/>
      <w:r w:rsidR="002F10E1" w:rsidRPr="002F10E1">
        <w:rPr>
          <w:b/>
          <w:sz w:val="22"/>
          <w:szCs w:val="22"/>
        </w:rPr>
        <w:t xml:space="preserve"> Rates for DYS Youth Discharged in 2014 </w:t>
      </w:r>
      <w:r w:rsidR="00B12950" w:rsidRPr="00350F88">
        <w:rPr>
          <w:b/>
        </w:rPr>
        <w:t>-</w:t>
      </w:r>
      <w:r w:rsidRPr="00350F88">
        <w:rPr>
          <w:b/>
        </w:rPr>
        <w:t xml:space="preserve"> </w:t>
      </w:r>
      <w:r w:rsidRPr="002F10E1">
        <w:rPr>
          <w:b/>
          <w:sz w:val="22"/>
          <w:szCs w:val="22"/>
        </w:rPr>
        <w:t>Misdemeanors vs. Felonies</w:t>
      </w:r>
    </w:p>
    <w:p w:rsidR="008E7B24" w:rsidRPr="00350F88" w:rsidRDefault="008E7B24" w:rsidP="0019238E">
      <w:pPr>
        <w:rPr>
          <w:b/>
        </w:rPr>
      </w:pPr>
    </w:p>
    <w:p w:rsidR="008E7B24" w:rsidRPr="00350F88" w:rsidRDefault="008E7B24" w:rsidP="008E7B24">
      <w:pPr>
        <w:rPr>
          <w:u w:val="single"/>
        </w:rPr>
      </w:pPr>
      <w:r w:rsidRPr="00350F88">
        <w:rPr>
          <w:u w:val="single"/>
        </w:rPr>
        <w:tab/>
      </w:r>
      <w:r w:rsidRPr="00350F88">
        <w:rPr>
          <w:u w:val="single"/>
        </w:rPr>
        <w:tab/>
      </w:r>
      <w:r w:rsidRPr="00350F88">
        <w:rPr>
          <w:u w:val="single"/>
        </w:rPr>
        <w:tab/>
      </w:r>
      <w:r w:rsidRPr="00350F88">
        <w:rPr>
          <w:u w:val="single"/>
        </w:rPr>
        <w:tab/>
      </w:r>
      <w:r w:rsidRPr="00350F88">
        <w:rPr>
          <w:u w:val="single"/>
        </w:rPr>
        <w:tab/>
      </w:r>
      <w:r w:rsidRPr="00350F88">
        <w:rPr>
          <w:u w:val="single"/>
        </w:rPr>
        <w:tab/>
      </w:r>
      <w:r w:rsidRPr="00350F88">
        <w:rPr>
          <w:u w:val="single"/>
        </w:rPr>
        <w:tab/>
      </w:r>
      <w:r w:rsidRPr="00350F88">
        <w:rPr>
          <w:u w:val="single"/>
        </w:rPr>
        <w:tab/>
      </w:r>
      <w:r w:rsidRPr="00350F88">
        <w:rPr>
          <w:u w:val="single"/>
        </w:rPr>
        <w:tab/>
      </w:r>
    </w:p>
    <w:p w:rsidR="008E7B24" w:rsidRPr="00350F88" w:rsidRDefault="008E7B24" w:rsidP="008E7B24">
      <w:pPr>
        <w:rPr>
          <w:b/>
        </w:rPr>
      </w:pPr>
      <w:r w:rsidRPr="00350F88">
        <w:rPr>
          <w:b/>
        </w:rPr>
        <w:t>DYS Offense</w:t>
      </w:r>
      <w:r w:rsidRPr="00350F88">
        <w:rPr>
          <w:b/>
        </w:rPr>
        <w:tab/>
        <w:t xml:space="preserve">              # </w:t>
      </w:r>
      <w:r w:rsidR="00345185">
        <w:rPr>
          <w:b/>
        </w:rPr>
        <w:t xml:space="preserve">Committed   </w:t>
      </w:r>
      <w:r w:rsidRPr="00350F88">
        <w:rPr>
          <w:b/>
        </w:rPr>
        <w:t>Total</w:t>
      </w:r>
      <w:r w:rsidR="00D47E9F" w:rsidRPr="00350F88">
        <w:rPr>
          <w:b/>
        </w:rPr>
        <w:t xml:space="preserve"> in    </w:t>
      </w:r>
      <w:r w:rsidR="00345185">
        <w:rPr>
          <w:b/>
        </w:rPr>
        <w:t xml:space="preserve"> </w:t>
      </w:r>
      <w:r w:rsidRPr="00350F88">
        <w:rPr>
          <w:b/>
        </w:rPr>
        <w:t>Recidivism Rate</w:t>
      </w:r>
    </w:p>
    <w:p w:rsidR="00D47E9F" w:rsidRPr="00350F88" w:rsidRDefault="00D47E9F" w:rsidP="008E7B24">
      <w:pPr>
        <w:rPr>
          <w:b/>
        </w:rPr>
      </w:pPr>
      <w:r w:rsidRPr="00350F88">
        <w:rPr>
          <w:b/>
        </w:rPr>
        <w:t xml:space="preserve">                                                              </w:t>
      </w:r>
      <w:r w:rsidR="00345185">
        <w:rPr>
          <w:b/>
        </w:rPr>
        <w:t xml:space="preserve">  </w:t>
      </w:r>
      <w:r w:rsidRPr="00350F88">
        <w:rPr>
          <w:b/>
        </w:rPr>
        <w:t>Sample</w:t>
      </w:r>
    </w:p>
    <w:p w:rsidR="007B6653" w:rsidRPr="00350F88" w:rsidRDefault="007B6653" w:rsidP="008E7B24">
      <w:pPr>
        <w:rPr>
          <w:b/>
          <w:sz w:val="6"/>
          <w:szCs w:val="6"/>
          <w:u w:val="single"/>
        </w:rPr>
      </w:pP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p>
    <w:tbl>
      <w:tblPr>
        <w:tblW w:w="7897" w:type="dxa"/>
        <w:tblInd w:w="108" w:type="dxa"/>
        <w:tblLook w:val="0000" w:firstRow="0" w:lastRow="0" w:firstColumn="0" w:lastColumn="0" w:noHBand="0" w:noVBand="0"/>
      </w:tblPr>
      <w:tblGrid>
        <w:gridCol w:w="1800"/>
        <w:gridCol w:w="1980"/>
        <w:gridCol w:w="584"/>
        <w:gridCol w:w="3533"/>
      </w:tblGrid>
      <w:tr w:rsidR="00350F88" w:rsidRPr="00350F88" w:rsidTr="007B6653">
        <w:trPr>
          <w:trHeight w:val="255"/>
        </w:trPr>
        <w:tc>
          <w:tcPr>
            <w:tcW w:w="1800" w:type="dxa"/>
            <w:tcBorders>
              <w:top w:val="nil"/>
              <w:left w:val="nil"/>
              <w:bottom w:val="nil"/>
              <w:right w:val="nil"/>
            </w:tcBorders>
            <w:shd w:val="clear" w:color="auto" w:fill="auto"/>
            <w:noWrap/>
            <w:vAlign w:val="bottom"/>
          </w:tcPr>
          <w:p w:rsidR="008E7B24" w:rsidRPr="00350F88" w:rsidRDefault="008E7B24">
            <w:pPr>
              <w:rPr>
                <w:rFonts w:ascii="Arial" w:hAnsi="Arial" w:cs="Arial"/>
                <w:sz w:val="22"/>
                <w:szCs w:val="22"/>
              </w:rPr>
            </w:pPr>
            <w:r w:rsidRPr="00350F88">
              <w:rPr>
                <w:rFonts w:ascii="Arial" w:hAnsi="Arial" w:cs="Arial"/>
                <w:sz w:val="22"/>
                <w:szCs w:val="22"/>
              </w:rPr>
              <w:t>Misdemeanor</w:t>
            </w:r>
          </w:p>
        </w:tc>
        <w:tc>
          <w:tcPr>
            <w:tcW w:w="1980" w:type="dxa"/>
            <w:tcBorders>
              <w:top w:val="nil"/>
              <w:left w:val="nil"/>
              <w:bottom w:val="nil"/>
              <w:right w:val="nil"/>
            </w:tcBorders>
            <w:shd w:val="clear" w:color="auto" w:fill="auto"/>
            <w:noWrap/>
            <w:vAlign w:val="bottom"/>
          </w:tcPr>
          <w:p w:rsidR="008E7B24" w:rsidRPr="00350F88" w:rsidRDefault="008E7B24">
            <w:pPr>
              <w:jc w:val="center"/>
              <w:rPr>
                <w:rFonts w:ascii="Arial" w:hAnsi="Arial" w:cs="Arial"/>
                <w:sz w:val="22"/>
                <w:szCs w:val="22"/>
              </w:rPr>
            </w:pPr>
            <w:r w:rsidRPr="00350F88">
              <w:rPr>
                <w:rFonts w:ascii="Arial" w:hAnsi="Arial" w:cs="Arial"/>
                <w:sz w:val="22"/>
                <w:szCs w:val="22"/>
              </w:rPr>
              <w:t xml:space="preserve">      </w:t>
            </w:r>
            <w:r w:rsidR="00350F88" w:rsidRPr="00350F88">
              <w:rPr>
                <w:rFonts w:ascii="Arial" w:hAnsi="Arial" w:cs="Arial"/>
                <w:sz w:val="22"/>
                <w:szCs w:val="22"/>
              </w:rPr>
              <w:t>40</w:t>
            </w:r>
          </w:p>
        </w:tc>
        <w:tc>
          <w:tcPr>
            <w:tcW w:w="584" w:type="dxa"/>
            <w:tcBorders>
              <w:top w:val="nil"/>
              <w:left w:val="nil"/>
              <w:bottom w:val="nil"/>
              <w:right w:val="nil"/>
            </w:tcBorders>
            <w:shd w:val="clear" w:color="auto" w:fill="auto"/>
            <w:noWrap/>
            <w:vAlign w:val="bottom"/>
          </w:tcPr>
          <w:p w:rsidR="008E7B24" w:rsidRPr="00350F88" w:rsidRDefault="008E7B24">
            <w:pPr>
              <w:jc w:val="center"/>
              <w:rPr>
                <w:rFonts w:ascii="Arial" w:hAnsi="Arial" w:cs="Arial"/>
                <w:sz w:val="22"/>
                <w:szCs w:val="22"/>
              </w:rPr>
            </w:pPr>
            <w:r w:rsidRPr="00350F88">
              <w:rPr>
                <w:rFonts w:ascii="Arial" w:hAnsi="Arial" w:cs="Arial"/>
                <w:sz w:val="22"/>
                <w:szCs w:val="22"/>
              </w:rPr>
              <w:t xml:space="preserve">        </w:t>
            </w:r>
            <w:r w:rsidR="00E646A3" w:rsidRPr="00350F88">
              <w:rPr>
                <w:rFonts w:ascii="Arial" w:hAnsi="Arial" w:cs="Arial"/>
                <w:sz w:val="22"/>
                <w:szCs w:val="22"/>
              </w:rPr>
              <w:t xml:space="preserve"> </w:t>
            </w:r>
            <w:r w:rsidR="006543F3" w:rsidRPr="00350F88">
              <w:rPr>
                <w:rFonts w:ascii="Arial" w:hAnsi="Arial" w:cs="Arial"/>
                <w:sz w:val="22"/>
                <w:szCs w:val="22"/>
              </w:rPr>
              <w:t>1</w:t>
            </w:r>
            <w:r w:rsidR="00350F88" w:rsidRPr="00350F88">
              <w:rPr>
                <w:rFonts w:ascii="Arial" w:hAnsi="Arial" w:cs="Arial"/>
                <w:sz w:val="22"/>
                <w:szCs w:val="22"/>
              </w:rPr>
              <w:t>44</w:t>
            </w:r>
          </w:p>
        </w:tc>
        <w:tc>
          <w:tcPr>
            <w:tcW w:w="3533" w:type="dxa"/>
            <w:tcBorders>
              <w:top w:val="nil"/>
              <w:left w:val="nil"/>
              <w:bottom w:val="nil"/>
              <w:right w:val="nil"/>
            </w:tcBorders>
            <w:shd w:val="clear" w:color="auto" w:fill="auto"/>
            <w:noWrap/>
            <w:vAlign w:val="bottom"/>
          </w:tcPr>
          <w:p w:rsidR="008E7B24" w:rsidRPr="00350F88" w:rsidRDefault="008E7B24" w:rsidP="008E7B24">
            <w:pPr>
              <w:rPr>
                <w:rFonts w:ascii="Arial" w:hAnsi="Arial" w:cs="Arial"/>
                <w:sz w:val="22"/>
                <w:szCs w:val="22"/>
              </w:rPr>
            </w:pPr>
            <w:r w:rsidRPr="00350F88">
              <w:rPr>
                <w:rFonts w:ascii="Arial" w:hAnsi="Arial" w:cs="Arial"/>
                <w:sz w:val="22"/>
                <w:szCs w:val="22"/>
              </w:rPr>
              <w:t xml:space="preserve">         </w:t>
            </w:r>
            <w:r w:rsidR="00350F88" w:rsidRPr="00350F88">
              <w:rPr>
                <w:rFonts w:ascii="Arial" w:hAnsi="Arial" w:cs="Arial"/>
                <w:sz w:val="22"/>
                <w:szCs w:val="22"/>
              </w:rPr>
              <w:t xml:space="preserve">   22</w:t>
            </w:r>
            <w:r w:rsidRPr="00350F88">
              <w:rPr>
                <w:rFonts w:ascii="Arial" w:hAnsi="Arial" w:cs="Arial"/>
                <w:sz w:val="22"/>
                <w:szCs w:val="22"/>
              </w:rPr>
              <w:t>%</w:t>
            </w:r>
          </w:p>
        </w:tc>
      </w:tr>
      <w:tr w:rsidR="00350F88" w:rsidRPr="00350F88" w:rsidTr="007B6653">
        <w:trPr>
          <w:trHeight w:val="255"/>
        </w:trPr>
        <w:tc>
          <w:tcPr>
            <w:tcW w:w="1800" w:type="dxa"/>
            <w:tcBorders>
              <w:top w:val="nil"/>
              <w:left w:val="nil"/>
              <w:bottom w:val="nil"/>
              <w:right w:val="nil"/>
            </w:tcBorders>
            <w:shd w:val="clear" w:color="auto" w:fill="auto"/>
            <w:noWrap/>
            <w:vAlign w:val="bottom"/>
          </w:tcPr>
          <w:p w:rsidR="008E7B24" w:rsidRPr="00350F88" w:rsidRDefault="008E7B24">
            <w:pPr>
              <w:rPr>
                <w:rFonts w:ascii="Arial" w:hAnsi="Arial" w:cs="Arial"/>
                <w:sz w:val="22"/>
                <w:szCs w:val="22"/>
              </w:rPr>
            </w:pPr>
            <w:r w:rsidRPr="00350F88">
              <w:rPr>
                <w:rFonts w:ascii="Arial" w:hAnsi="Arial" w:cs="Arial"/>
                <w:sz w:val="22"/>
                <w:szCs w:val="22"/>
              </w:rPr>
              <w:t>Felony</w:t>
            </w:r>
          </w:p>
        </w:tc>
        <w:tc>
          <w:tcPr>
            <w:tcW w:w="1980" w:type="dxa"/>
            <w:tcBorders>
              <w:top w:val="nil"/>
              <w:left w:val="nil"/>
              <w:bottom w:val="nil"/>
              <w:right w:val="nil"/>
            </w:tcBorders>
            <w:shd w:val="clear" w:color="auto" w:fill="auto"/>
            <w:noWrap/>
            <w:vAlign w:val="bottom"/>
          </w:tcPr>
          <w:p w:rsidR="008E7B24" w:rsidRPr="00350F88" w:rsidRDefault="008E7B24">
            <w:pPr>
              <w:jc w:val="center"/>
              <w:rPr>
                <w:rFonts w:ascii="Arial" w:hAnsi="Arial" w:cs="Arial"/>
                <w:sz w:val="22"/>
                <w:szCs w:val="22"/>
              </w:rPr>
            </w:pPr>
            <w:r w:rsidRPr="00350F88">
              <w:rPr>
                <w:rFonts w:ascii="Arial" w:hAnsi="Arial" w:cs="Arial"/>
                <w:sz w:val="22"/>
                <w:szCs w:val="22"/>
              </w:rPr>
              <w:t xml:space="preserve">      </w:t>
            </w:r>
            <w:r w:rsidR="00350F88" w:rsidRPr="00350F88">
              <w:rPr>
                <w:rFonts w:ascii="Arial" w:hAnsi="Arial" w:cs="Arial"/>
                <w:sz w:val="22"/>
                <w:szCs w:val="22"/>
              </w:rPr>
              <w:t>66</w:t>
            </w:r>
          </w:p>
        </w:tc>
        <w:tc>
          <w:tcPr>
            <w:tcW w:w="584" w:type="dxa"/>
            <w:tcBorders>
              <w:top w:val="nil"/>
              <w:left w:val="nil"/>
              <w:bottom w:val="nil"/>
              <w:right w:val="nil"/>
            </w:tcBorders>
            <w:shd w:val="clear" w:color="auto" w:fill="auto"/>
            <w:noWrap/>
            <w:vAlign w:val="bottom"/>
          </w:tcPr>
          <w:p w:rsidR="008E7B24" w:rsidRPr="00350F88" w:rsidRDefault="008E7B24">
            <w:pPr>
              <w:jc w:val="center"/>
              <w:rPr>
                <w:rFonts w:ascii="Arial" w:hAnsi="Arial" w:cs="Arial"/>
                <w:sz w:val="22"/>
                <w:szCs w:val="22"/>
              </w:rPr>
            </w:pPr>
            <w:r w:rsidRPr="00350F88">
              <w:rPr>
                <w:rFonts w:ascii="Arial" w:hAnsi="Arial" w:cs="Arial"/>
                <w:sz w:val="22"/>
                <w:szCs w:val="22"/>
              </w:rPr>
              <w:t xml:space="preserve">     </w:t>
            </w:r>
            <w:r w:rsidR="00350F88" w:rsidRPr="00350F88">
              <w:rPr>
                <w:rFonts w:ascii="Arial" w:hAnsi="Arial" w:cs="Arial"/>
                <w:sz w:val="22"/>
                <w:szCs w:val="22"/>
              </w:rPr>
              <w:t>159</w:t>
            </w:r>
          </w:p>
        </w:tc>
        <w:tc>
          <w:tcPr>
            <w:tcW w:w="3533" w:type="dxa"/>
            <w:tcBorders>
              <w:top w:val="nil"/>
              <w:left w:val="nil"/>
              <w:bottom w:val="nil"/>
              <w:right w:val="nil"/>
            </w:tcBorders>
            <w:shd w:val="clear" w:color="auto" w:fill="auto"/>
            <w:noWrap/>
            <w:vAlign w:val="bottom"/>
          </w:tcPr>
          <w:p w:rsidR="008E7B24" w:rsidRPr="00350F88" w:rsidRDefault="008E7B24" w:rsidP="008E7B24">
            <w:pPr>
              <w:rPr>
                <w:rFonts w:ascii="Arial" w:hAnsi="Arial" w:cs="Arial"/>
                <w:sz w:val="22"/>
                <w:szCs w:val="22"/>
              </w:rPr>
            </w:pPr>
            <w:r w:rsidRPr="00350F88">
              <w:rPr>
                <w:rFonts w:ascii="Arial" w:hAnsi="Arial" w:cs="Arial"/>
                <w:sz w:val="22"/>
                <w:szCs w:val="22"/>
              </w:rPr>
              <w:t xml:space="preserve">         </w:t>
            </w:r>
            <w:r w:rsidR="00350F88" w:rsidRPr="00350F88">
              <w:rPr>
                <w:rFonts w:ascii="Arial" w:hAnsi="Arial" w:cs="Arial"/>
                <w:sz w:val="22"/>
                <w:szCs w:val="22"/>
              </w:rPr>
              <w:t xml:space="preserve">   29</w:t>
            </w:r>
            <w:r w:rsidRPr="00350F88">
              <w:rPr>
                <w:rFonts w:ascii="Arial" w:hAnsi="Arial" w:cs="Arial"/>
                <w:sz w:val="22"/>
                <w:szCs w:val="22"/>
              </w:rPr>
              <w:t>%</w:t>
            </w:r>
          </w:p>
        </w:tc>
      </w:tr>
    </w:tbl>
    <w:p w:rsidR="008E7B24" w:rsidRDefault="008E7B24" w:rsidP="0019238E"/>
    <w:p w:rsidR="00154951" w:rsidRDefault="00154951" w:rsidP="0019238E"/>
    <w:p w:rsidR="00154951" w:rsidRDefault="00154951" w:rsidP="0019238E"/>
    <w:p w:rsidR="00154951" w:rsidRDefault="00154951" w:rsidP="0019238E"/>
    <w:p w:rsidR="00154951" w:rsidRDefault="00154951" w:rsidP="0019238E"/>
    <w:p w:rsidR="00154951" w:rsidRDefault="00154951" w:rsidP="00154951">
      <w:pPr>
        <w:rPr>
          <w:b/>
        </w:rPr>
      </w:pPr>
      <w:r w:rsidRPr="00C035DF">
        <w:rPr>
          <w:b/>
          <w:u w:val="single"/>
        </w:rPr>
        <w:t xml:space="preserve">Table </w:t>
      </w:r>
      <w:proofErr w:type="gramStart"/>
      <w:r>
        <w:rPr>
          <w:b/>
          <w:u w:val="single"/>
        </w:rPr>
        <w:t>3</w:t>
      </w:r>
      <w:r w:rsidRPr="00C035DF">
        <w:rPr>
          <w:b/>
        </w:rPr>
        <w:t xml:space="preserve"> </w:t>
      </w:r>
      <w:r w:rsidR="002F10E1">
        <w:rPr>
          <w:b/>
        </w:rPr>
        <w:t xml:space="preserve"> </w:t>
      </w:r>
      <w:r w:rsidR="002F10E1" w:rsidRPr="002F10E1">
        <w:rPr>
          <w:b/>
          <w:sz w:val="22"/>
          <w:szCs w:val="22"/>
        </w:rPr>
        <w:t>Recidivism</w:t>
      </w:r>
      <w:proofErr w:type="gramEnd"/>
      <w:r w:rsidR="002F10E1" w:rsidRPr="002F10E1">
        <w:rPr>
          <w:b/>
          <w:sz w:val="22"/>
          <w:szCs w:val="22"/>
        </w:rPr>
        <w:t xml:space="preserve"> Rates for DYS Youth Discharged in 2014 </w:t>
      </w:r>
      <w:r w:rsidR="00A67AC1" w:rsidRPr="002F10E1">
        <w:rPr>
          <w:b/>
          <w:sz w:val="22"/>
          <w:szCs w:val="22"/>
        </w:rPr>
        <w:t>From Six</w:t>
      </w:r>
      <w:r w:rsidRPr="002F10E1">
        <w:rPr>
          <w:b/>
          <w:sz w:val="22"/>
          <w:szCs w:val="22"/>
        </w:rPr>
        <w:t xml:space="preserve"> Major Cities</w:t>
      </w:r>
    </w:p>
    <w:p w:rsidR="00154951" w:rsidRPr="0019238E" w:rsidRDefault="00154951" w:rsidP="0019238E"/>
    <w:p w:rsidR="00154951" w:rsidRPr="00946893" w:rsidRDefault="00154951" w:rsidP="00154951">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46893">
        <w:rPr>
          <w:u w:val="single"/>
        </w:rPr>
        <w:t xml:space="preserve">   </w:t>
      </w:r>
      <w:r>
        <w:rPr>
          <w:u w:val="single"/>
        </w:rPr>
        <w:tab/>
      </w:r>
      <w:r w:rsidR="00946893">
        <w:rPr>
          <w:u w:val="single"/>
        </w:rPr>
        <w:tab/>
      </w:r>
      <w:r w:rsidR="00946893" w:rsidRPr="00946893">
        <w:t xml:space="preserve">  </w:t>
      </w:r>
    </w:p>
    <w:p w:rsidR="00154951" w:rsidRDefault="006543F3" w:rsidP="007B6653">
      <w:pPr>
        <w:pStyle w:val="Heading2"/>
        <w:rPr>
          <w:b/>
          <w:u w:val="none"/>
        </w:rPr>
      </w:pPr>
      <w:r>
        <w:rPr>
          <w:b/>
          <w:u w:val="none"/>
        </w:rPr>
        <w:t>Youth</w:t>
      </w:r>
      <w:r w:rsidR="00154951" w:rsidRPr="007B6653">
        <w:rPr>
          <w:b/>
          <w:u w:val="none"/>
        </w:rPr>
        <w:t xml:space="preserve"> Hometown   </w:t>
      </w:r>
      <w:r w:rsidR="00C550AA">
        <w:rPr>
          <w:b/>
          <w:u w:val="none"/>
        </w:rPr>
        <w:t xml:space="preserve">  </w:t>
      </w:r>
      <w:r w:rsidR="00154951" w:rsidRPr="007B6653">
        <w:rPr>
          <w:b/>
          <w:u w:val="none"/>
        </w:rPr>
        <w:t xml:space="preserve"># </w:t>
      </w:r>
      <w:r w:rsidR="00345185" w:rsidRPr="00345185">
        <w:rPr>
          <w:b/>
          <w:u w:val="none"/>
        </w:rPr>
        <w:t>Committed</w:t>
      </w:r>
      <w:r w:rsidR="00C550AA">
        <w:rPr>
          <w:b/>
          <w:u w:val="none"/>
        </w:rPr>
        <w:t xml:space="preserve">  </w:t>
      </w:r>
      <w:r w:rsidR="00946893">
        <w:rPr>
          <w:b/>
          <w:u w:val="none"/>
        </w:rPr>
        <w:t xml:space="preserve">  </w:t>
      </w:r>
      <w:r w:rsidR="00154951" w:rsidRPr="007B6653">
        <w:rPr>
          <w:b/>
          <w:u w:val="none"/>
        </w:rPr>
        <w:t>Total</w:t>
      </w:r>
      <w:r w:rsidR="00F91E2A">
        <w:rPr>
          <w:b/>
          <w:u w:val="none"/>
        </w:rPr>
        <w:t xml:space="preserve"> in</w:t>
      </w:r>
      <w:r w:rsidR="00154951" w:rsidRPr="007B6653">
        <w:rPr>
          <w:b/>
          <w:u w:val="none"/>
        </w:rPr>
        <w:t xml:space="preserve">     </w:t>
      </w:r>
      <w:r w:rsidR="00C550AA">
        <w:rPr>
          <w:b/>
          <w:u w:val="none"/>
        </w:rPr>
        <w:t xml:space="preserve">  </w:t>
      </w:r>
      <w:r>
        <w:rPr>
          <w:b/>
          <w:u w:val="none"/>
        </w:rPr>
        <w:t xml:space="preserve"> </w:t>
      </w:r>
      <w:r w:rsidR="00345185">
        <w:rPr>
          <w:b/>
          <w:u w:val="none"/>
        </w:rPr>
        <w:t xml:space="preserve"> </w:t>
      </w:r>
      <w:r w:rsidR="00154951" w:rsidRPr="007B6653">
        <w:rPr>
          <w:b/>
          <w:u w:val="none"/>
        </w:rPr>
        <w:t>Recidivism Rate</w:t>
      </w:r>
    </w:p>
    <w:p w:rsidR="00F91E2A" w:rsidRPr="00F91E2A" w:rsidRDefault="00F91E2A" w:rsidP="00F91E2A">
      <w:pPr>
        <w:rPr>
          <w:b/>
        </w:rPr>
      </w:pPr>
      <w:r>
        <w:t xml:space="preserve">                                                            </w:t>
      </w:r>
      <w:r>
        <w:rPr>
          <w:b/>
        </w:rPr>
        <w:t xml:space="preserve">  </w:t>
      </w:r>
      <w:r w:rsidRPr="00F91E2A">
        <w:rPr>
          <w:b/>
        </w:rPr>
        <w:t>Sample</w:t>
      </w:r>
    </w:p>
    <w:p w:rsidR="007B6653" w:rsidRPr="007B6653" w:rsidRDefault="007B6653" w:rsidP="007B6653">
      <w:pPr>
        <w:rPr>
          <w:sz w:val="6"/>
          <w:szCs w:val="6"/>
          <w:u w:val="single"/>
        </w:rPr>
      </w:pP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00946893">
        <w:rPr>
          <w:sz w:val="6"/>
          <w:szCs w:val="6"/>
          <w:u w:val="single"/>
        </w:rPr>
        <w:tab/>
      </w:r>
    </w:p>
    <w:tbl>
      <w:tblPr>
        <w:tblW w:w="7403" w:type="dxa"/>
        <w:tblInd w:w="108" w:type="dxa"/>
        <w:tblLook w:val="0000" w:firstRow="0" w:lastRow="0" w:firstColumn="0" w:lastColumn="0" w:noHBand="0" w:noVBand="0"/>
      </w:tblPr>
      <w:tblGrid>
        <w:gridCol w:w="1980"/>
        <w:gridCol w:w="1354"/>
        <w:gridCol w:w="1166"/>
        <w:gridCol w:w="2903"/>
      </w:tblGrid>
      <w:tr w:rsidR="00D34EB8" w:rsidTr="00946893">
        <w:trPr>
          <w:trHeight w:val="255"/>
        </w:trPr>
        <w:tc>
          <w:tcPr>
            <w:tcW w:w="1980" w:type="dxa"/>
            <w:tcBorders>
              <w:top w:val="nil"/>
              <w:left w:val="nil"/>
              <w:bottom w:val="nil"/>
              <w:right w:val="nil"/>
            </w:tcBorders>
            <w:shd w:val="clear" w:color="auto" w:fill="auto"/>
            <w:noWrap/>
            <w:vAlign w:val="bottom"/>
          </w:tcPr>
          <w:p w:rsidR="00D34EB8" w:rsidRPr="000D3C80" w:rsidRDefault="00223E17" w:rsidP="00516138">
            <w:pPr>
              <w:rPr>
                <w:rFonts w:ascii="Arial" w:hAnsi="Arial" w:cs="Arial"/>
                <w:sz w:val="22"/>
                <w:szCs w:val="22"/>
              </w:rPr>
            </w:pPr>
            <w:r>
              <w:rPr>
                <w:rFonts w:ascii="Arial" w:hAnsi="Arial" w:cs="Arial"/>
                <w:sz w:val="22"/>
                <w:szCs w:val="22"/>
              </w:rPr>
              <w:t>Lawrence</w:t>
            </w:r>
          </w:p>
        </w:tc>
        <w:tc>
          <w:tcPr>
            <w:tcW w:w="1354" w:type="dxa"/>
            <w:tcBorders>
              <w:top w:val="nil"/>
              <w:left w:val="nil"/>
              <w:bottom w:val="nil"/>
              <w:right w:val="nil"/>
            </w:tcBorders>
            <w:shd w:val="clear" w:color="auto" w:fill="auto"/>
            <w:noWrap/>
            <w:vAlign w:val="bottom"/>
          </w:tcPr>
          <w:p w:rsidR="00D34EB8" w:rsidRPr="000D3C80" w:rsidRDefault="00223E17" w:rsidP="00516138">
            <w:pPr>
              <w:jc w:val="center"/>
              <w:rPr>
                <w:rFonts w:ascii="Arial" w:hAnsi="Arial" w:cs="Arial"/>
                <w:sz w:val="22"/>
                <w:szCs w:val="22"/>
              </w:rPr>
            </w:pPr>
            <w:r>
              <w:rPr>
                <w:rFonts w:ascii="Arial" w:hAnsi="Arial" w:cs="Arial"/>
                <w:sz w:val="22"/>
                <w:szCs w:val="22"/>
              </w:rPr>
              <w:t>10</w:t>
            </w:r>
          </w:p>
        </w:tc>
        <w:tc>
          <w:tcPr>
            <w:tcW w:w="1166" w:type="dxa"/>
            <w:tcBorders>
              <w:top w:val="nil"/>
              <w:left w:val="nil"/>
              <w:bottom w:val="nil"/>
              <w:right w:val="nil"/>
            </w:tcBorders>
            <w:shd w:val="clear" w:color="auto" w:fill="auto"/>
            <w:noWrap/>
            <w:vAlign w:val="bottom"/>
          </w:tcPr>
          <w:p w:rsidR="00D34EB8" w:rsidRPr="000D3C80" w:rsidRDefault="00D34EB8" w:rsidP="00516138">
            <w:pPr>
              <w:jc w:val="center"/>
              <w:rPr>
                <w:rFonts w:ascii="Arial" w:hAnsi="Arial" w:cs="Arial"/>
                <w:sz w:val="22"/>
                <w:szCs w:val="22"/>
              </w:rPr>
            </w:pPr>
            <w:r>
              <w:rPr>
                <w:rFonts w:ascii="Arial" w:hAnsi="Arial" w:cs="Arial"/>
                <w:sz w:val="22"/>
                <w:szCs w:val="22"/>
              </w:rPr>
              <w:t xml:space="preserve">     </w:t>
            </w:r>
            <w:r w:rsidR="006543F3">
              <w:rPr>
                <w:rFonts w:ascii="Arial" w:hAnsi="Arial" w:cs="Arial"/>
                <w:sz w:val="22"/>
                <w:szCs w:val="22"/>
              </w:rPr>
              <w:t>20</w:t>
            </w:r>
          </w:p>
        </w:tc>
        <w:tc>
          <w:tcPr>
            <w:tcW w:w="2903" w:type="dxa"/>
            <w:tcBorders>
              <w:top w:val="nil"/>
              <w:left w:val="nil"/>
              <w:bottom w:val="nil"/>
              <w:right w:val="nil"/>
            </w:tcBorders>
            <w:shd w:val="clear" w:color="auto" w:fill="auto"/>
            <w:noWrap/>
            <w:vAlign w:val="bottom"/>
          </w:tcPr>
          <w:p w:rsidR="00D34EB8" w:rsidRPr="000D3C80" w:rsidRDefault="00223E17" w:rsidP="006543F3">
            <w:pPr>
              <w:rPr>
                <w:rFonts w:ascii="Arial" w:hAnsi="Arial" w:cs="Arial"/>
                <w:sz w:val="22"/>
                <w:szCs w:val="22"/>
              </w:rPr>
            </w:pPr>
            <w:r>
              <w:rPr>
                <w:rFonts w:ascii="Arial" w:hAnsi="Arial" w:cs="Arial"/>
                <w:sz w:val="22"/>
                <w:szCs w:val="22"/>
              </w:rPr>
              <w:t xml:space="preserve">              50</w:t>
            </w:r>
            <w:r w:rsidR="00D34EB8">
              <w:rPr>
                <w:rFonts w:ascii="Arial" w:hAnsi="Arial" w:cs="Arial"/>
                <w:sz w:val="22"/>
                <w:szCs w:val="22"/>
              </w:rPr>
              <w:t>%</w:t>
            </w:r>
          </w:p>
        </w:tc>
      </w:tr>
      <w:tr w:rsidR="006543F3" w:rsidTr="00946893">
        <w:trPr>
          <w:trHeight w:val="255"/>
        </w:trPr>
        <w:tc>
          <w:tcPr>
            <w:tcW w:w="1980" w:type="dxa"/>
            <w:tcBorders>
              <w:top w:val="nil"/>
              <w:left w:val="nil"/>
              <w:bottom w:val="nil"/>
              <w:right w:val="nil"/>
            </w:tcBorders>
            <w:shd w:val="clear" w:color="auto" w:fill="auto"/>
            <w:noWrap/>
            <w:vAlign w:val="bottom"/>
          </w:tcPr>
          <w:p w:rsidR="006543F3" w:rsidRDefault="00223E17" w:rsidP="00516138">
            <w:pPr>
              <w:rPr>
                <w:rFonts w:ascii="Arial" w:hAnsi="Arial" w:cs="Arial"/>
                <w:sz w:val="22"/>
                <w:szCs w:val="22"/>
              </w:rPr>
            </w:pPr>
            <w:r>
              <w:rPr>
                <w:rFonts w:ascii="Arial" w:hAnsi="Arial" w:cs="Arial"/>
                <w:sz w:val="22"/>
                <w:szCs w:val="22"/>
              </w:rPr>
              <w:t>Lynn</w:t>
            </w:r>
          </w:p>
        </w:tc>
        <w:tc>
          <w:tcPr>
            <w:tcW w:w="1354" w:type="dxa"/>
            <w:tcBorders>
              <w:top w:val="nil"/>
              <w:left w:val="nil"/>
              <w:bottom w:val="nil"/>
              <w:right w:val="nil"/>
            </w:tcBorders>
            <w:shd w:val="clear" w:color="auto" w:fill="auto"/>
            <w:noWrap/>
            <w:vAlign w:val="bottom"/>
          </w:tcPr>
          <w:p w:rsidR="006543F3" w:rsidRDefault="00223E17" w:rsidP="00516138">
            <w:pPr>
              <w:jc w:val="center"/>
              <w:rPr>
                <w:rFonts w:ascii="Arial" w:hAnsi="Arial" w:cs="Arial"/>
                <w:sz w:val="22"/>
                <w:szCs w:val="22"/>
              </w:rPr>
            </w:pPr>
            <w:r>
              <w:rPr>
                <w:rFonts w:ascii="Arial" w:hAnsi="Arial" w:cs="Arial"/>
                <w:sz w:val="22"/>
                <w:szCs w:val="22"/>
              </w:rPr>
              <w:t>7</w:t>
            </w:r>
          </w:p>
        </w:tc>
        <w:tc>
          <w:tcPr>
            <w:tcW w:w="1166" w:type="dxa"/>
            <w:tcBorders>
              <w:top w:val="nil"/>
              <w:left w:val="nil"/>
              <w:bottom w:val="nil"/>
              <w:right w:val="nil"/>
            </w:tcBorders>
            <w:shd w:val="clear" w:color="auto" w:fill="auto"/>
            <w:noWrap/>
            <w:vAlign w:val="bottom"/>
          </w:tcPr>
          <w:p w:rsidR="006543F3" w:rsidRDefault="006543F3" w:rsidP="00516138">
            <w:pPr>
              <w:jc w:val="center"/>
              <w:rPr>
                <w:rFonts w:ascii="Arial" w:hAnsi="Arial" w:cs="Arial"/>
                <w:sz w:val="22"/>
                <w:szCs w:val="22"/>
              </w:rPr>
            </w:pPr>
            <w:r>
              <w:rPr>
                <w:rFonts w:ascii="Arial" w:hAnsi="Arial" w:cs="Arial"/>
                <w:sz w:val="22"/>
                <w:szCs w:val="22"/>
              </w:rPr>
              <w:t xml:space="preserve">     </w:t>
            </w:r>
            <w:r w:rsidR="00223E17">
              <w:rPr>
                <w:rFonts w:ascii="Arial" w:hAnsi="Arial" w:cs="Arial"/>
                <w:sz w:val="22"/>
                <w:szCs w:val="22"/>
              </w:rPr>
              <w:t>18</w:t>
            </w:r>
          </w:p>
        </w:tc>
        <w:tc>
          <w:tcPr>
            <w:tcW w:w="2903" w:type="dxa"/>
            <w:tcBorders>
              <w:top w:val="nil"/>
              <w:left w:val="nil"/>
              <w:bottom w:val="nil"/>
              <w:right w:val="nil"/>
            </w:tcBorders>
            <w:shd w:val="clear" w:color="auto" w:fill="auto"/>
            <w:noWrap/>
            <w:vAlign w:val="bottom"/>
          </w:tcPr>
          <w:p w:rsidR="006543F3" w:rsidRDefault="00223E17" w:rsidP="006543F3">
            <w:pPr>
              <w:rPr>
                <w:rFonts w:ascii="Arial" w:hAnsi="Arial" w:cs="Arial"/>
                <w:sz w:val="22"/>
                <w:szCs w:val="22"/>
              </w:rPr>
            </w:pPr>
            <w:r>
              <w:rPr>
                <w:rFonts w:ascii="Arial" w:hAnsi="Arial" w:cs="Arial"/>
                <w:sz w:val="22"/>
                <w:szCs w:val="22"/>
              </w:rPr>
              <w:t xml:space="preserve">              3</w:t>
            </w:r>
            <w:r w:rsidR="006543F3">
              <w:rPr>
                <w:rFonts w:ascii="Arial" w:hAnsi="Arial" w:cs="Arial"/>
                <w:sz w:val="22"/>
                <w:szCs w:val="22"/>
              </w:rPr>
              <w:t>9%</w:t>
            </w:r>
          </w:p>
        </w:tc>
      </w:tr>
      <w:tr w:rsidR="00D34EB8" w:rsidTr="00946893">
        <w:trPr>
          <w:trHeight w:val="255"/>
        </w:trPr>
        <w:tc>
          <w:tcPr>
            <w:tcW w:w="1980" w:type="dxa"/>
            <w:tcBorders>
              <w:top w:val="nil"/>
              <w:left w:val="nil"/>
              <w:bottom w:val="nil"/>
              <w:right w:val="nil"/>
            </w:tcBorders>
            <w:shd w:val="clear" w:color="auto" w:fill="auto"/>
            <w:noWrap/>
            <w:vAlign w:val="bottom"/>
          </w:tcPr>
          <w:p w:rsidR="00D34EB8" w:rsidRPr="000D3C80" w:rsidRDefault="00581785" w:rsidP="00516138">
            <w:pPr>
              <w:rPr>
                <w:rFonts w:ascii="Arial" w:hAnsi="Arial" w:cs="Arial"/>
                <w:sz w:val="22"/>
                <w:szCs w:val="22"/>
              </w:rPr>
            </w:pPr>
            <w:r>
              <w:rPr>
                <w:rFonts w:ascii="Arial" w:hAnsi="Arial" w:cs="Arial"/>
                <w:sz w:val="22"/>
                <w:szCs w:val="22"/>
              </w:rPr>
              <w:t>Boston</w:t>
            </w:r>
          </w:p>
        </w:tc>
        <w:tc>
          <w:tcPr>
            <w:tcW w:w="1354" w:type="dxa"/>
            <w:tcBorders>
              <w:top w:val="nil"/>
              <w:left w:val="nil"/>
              <w:bottom w:val="nil"/>
              <w:right w:val="nil"/>
            </w:tcBorders>
            <w:shd w:val="clear" w:color="auto" w:fill="auto"/>
            <w:noWrap/>
            <w:vAlign w:val="bottom"/>
          </w:tcPr>
          <w:p w:rsidR="00D34EB8" w:rsidRPr="000D3C80" w:rsidRDefault="00223E17" w:rsidP="00516138">
            <w:pPr>
              <w:jc w:val="center"/>
              <w:rPr>
                <w:rFonts w:ascii="Arial" w:hAnsi="Arial" w:cs="Arial"/>
                <w:sz w:val="22"/>
                <w:szCs w:val="22"/>
              </w:rPr>
            </w:pPr>
            <w:r>
              <w:rPr>
                <w:rFonts w:ascii="Arial" w:hAnsi="Arial" w:cs="Arial"/>
                <w:sz w:val="22"/>
                <w:szCs w:val="22"/>
              </w:rPr>
              <w:t>19</w:t>
            </w:r>
          </w:p>
        </w:tc>
        <w:tc>
          <w:tcPr>
            <w:tcW w:w="1166" w:type="dxa"/>
            <w:tcBorders>
              <w:top w:val="nil"/>
              <w:left w:val="nil"/>
              <w:bottom w:val="nil"/>
              <w:right w:val="nil"/>
            </w:tcBorders>
            <w:shd w:val="clear" w:color="auto" w:fill="auto"/>
            <w:noWrap/>
            <w:vAlign w:val="bottom"/>
          </w:tcPr>
          <w:p w:rsidR="00D34EB8" w:rsidRPr="000D3C80" w:rsidRDefault="00D34EB8" w:rsidP="00516138">
            <w:pPr>
              <w:jc w:val="center"/>
              <w:rPr>
                <w:rFonts w:ascii="Arial" w:hAnsi="Arial" w:cs="Arial"/>
                <w:sz w:val="22"/>
                <w:szCs w:val="22"/>
              </w:rPr>
            </w:pPr>
            <w:r>
              <w:rPr>
                <w:rFonts w:ascii="Arial" w:hAnsi="Arial" w:cs="Arial"/>
                <w:sz w:val="22"/>
                <w:szCs w:val="22"/>
              </w:rPr>
              <w:t xml:space="preserve">     </w:t>
            </w:r>
            <w:r w:rsidR="00223E17">
              <w:rPr>
                <w:rFonts w:ascii="Arial" w:hAnsi="Arial" w:cs="Arial"/>
                <w:sz w:val="22"/>
                <w:szCs w:val="22"/>
              </w:rPr>
              <w:t>58</w:t>
            </w:r>
          </w:p>
        </w:tc>
        <w:tc>
          <w:tcPr>
            <w:tcW w:w="2903" w:type="dxa"/>
            <w:tcBorders>
              <w:top w:val="nil"/>
              <w:left w:val="nil"/>
              <w:bottom w:val="nil"/>
              <w:right w:val="nil"/>
            </w:tcBorders>
            <w:shd w:val="clear" w:color="auto" w:fill="auto"/>
            <w:noWrap/>
            <w:vAlign w:val="bottom"/>
          </w:tcPr>
          <w:p w:rsidR="00D34EB8" w:rsidRPr="000D3C80" w:rsidRDefault="00223E17" w:rsidP="006543F3">
            <w:pPr>
              <w:rPr>
                <w:rFonts w:ascii="Arial" w:hAnsi="Arial" w:cs="Arial"/>
                <w:sz w:val="22"/>
                <w:szCs w:val="22"/>
              </w:rPr>
            </w:pPr>
            <w:r>
              <w:rPr>
                <w:rFonts w:ascii="Arial" w:hAnsi="Arial" w:cs="Arial"/>
                <w:sz w:val="22"/>
                <w:szCs w:val="22"/>
              </w:rPr>
              <w:t xml:space="preserve">              33</w:t>
            </w:r>
            <w:r w:rsidR="00D34EB8">
              <w:rPr>
                <w:rFonts w:ascii="Arial" w:hAnsi="Arial" w:cs="Arial"/>
                <w:sz w:val="22"/>
                <w:szCs w:val="22"/>
              </w:rPr>
              <w:t>%</w:t>
            </w:r>
          </w:p>
        </w:tc>
      </w:tr>
      <w:tr w:rsidR="00D34EB8" w:rsidTr="00946893">
        <w:trPr>
          <w:trHeight w:val="255"/>
        </w:trPr>
        <w:tc>
          <w:tcPr>
            <w:tcW w:w="1980" w:type="dxa"/>
            <w:tcBorders>
              <w:top w:val="nil"/>
              <w:left w:val="nil"/>
              <w:bottom w:val="nil"/>
              <w:right w:val="nil"/>
            </w:tcBorders>
            <w:shd w:val="clear" w:color="auto" w:fill="auto"/>
            <w:noWrap/>
            <w:vAlign w:val="bottom"/>
          </w:tcPr>
          <w:p w:rsidR="00D34EB8" w:rsidRPr="000D3C80" w:rsidRDefault="00223E17" w:rsidP="008355BE">
            <w:pPr>
              <w:rPr>
                <w:rFonts w:ascii="Arial" w:hAnsi="Arial" w:cs="Arial"/>
                <w:sz w:val="22"/>
                <w:szCs w:val="22"/>
              </w:rPr>
            </w:pPr>
            <w:r>
              <w:rPr>
                <w:rFonts w:ascii="Arial" w:hAnsi="Arial" w:cs="Arial"/>
                <w:sz w:val="22"/>
                <w:szCs w:val="22"/>
              </w:rPr>
              <w:t>Worcester</w:t>
            </w:r>
          </w:p>
        </w:tc>
        <w:tc>
          <w:tcPr>
            <w:tcW w:w="1354" w:type="dxa"/>
            <w:tcBorders>
              <w:top w:val="nil"/>
              <w:left w:val="nil"/>
              <w:bottom w:val="nil"/>
              <w:right w:val="nil"/>
            </w:tcBorders>
            <w:shd w:val="clear" w:color="auto" w:fill="auto"/>
            <w:noWrap/>
            <w:vAlign w:val="bottom"/>
          </w:tcPr>
          <w:p w:rsidR="00D34EB8" w:rsidRPr="000D3C80" w:rsidRDefault="00223E17" w:rsidP="008355BE">
            <w:pPr>
              <w:jc w:val="center"/>
              <w:rPr>
                <w:rFonts w:ascii="Arial" w:hAnsi="Arial" w:cs="Arial"/>
                <w:sz w:val="22"/>
                <w:szCs w:val="22"/>
              </w:rPr>
            </w:pPr>
            <w:r>
              <w:rPr>
                <w:rFonts w:ascii="Arial" w:hAnsi="Arial" w:cs="Arial"/>
                <w:sz w:val="22"/>
                <w:szCs w:val="22"/>
              </w:rPr>
              <w:t>11</w:t>
            </w:r>
          </w:p>
        </w:tc>
        <w:tc>
          <w:tcPr>
            <w:tcW w:w="1166" w:type="dxa"/>
            <w:tcBorders>
              <w:top w:val="nil"/>
              <w:left w:val="nil"/>
              <w:bottom w:val="nil"/>
              <w:right w:val="nil"/>
            </w:tcBorders>
            <w:shd w:val="clear" w:color="auto" w:fill="auto"/>
            <w:noWrap/>
            <w:vAlign w:val="bottom"/>
          </w:tcPr>
          <w:p w:rsidR="00D34EB8" w:rsidRPr="000D3C80" w:rsidRDefault="00D34EB8" w:rsidP="008355BE">
            <w:pPr>
              <w:jc w:val="center"/>
              <w:rPr>
                <w:rFonts w:ascii="Arial" w:hAnsi="Arial" w:cs="Arial"/>
                <w:sz w:val="22"/>
                <w:szCs w:val="22"/>
              </w:rPr>
            </w:pPr>
            <w:r>
              <w:rPr>
                <w:rFonts w:ascii="Arial" w:hAnsi="Arial" w:cs="Arial"/>
                <w:sz w:val="22"/>
                <w:szCs w:val="22"/>
              </w:rPr>
              <w:t xml:space="preserve">     </w:t>
            </w:r>
            <w:r w:rsidR="00223E17">
              <w:rPr>
                <w:rFonts w:ascii="Arial" w:hAnsi="Arial" w:cs="Arial"/>
                <w:sz w:val="22"/>
                <w:szCs w:val="22"/>
              </w:rPr>
              <w:t>36</w:t>
            </w:r>
          </w:p>
        </w:tc>
        <w:tc>
          <w:tcPr>
            <w:tcW w:w="2903" w:type="dxa"/>
            <w:tcBorders>
              <w:top w:val="nil"/>
              <w:left w:val="nil"/>
              <w:bottom w:val="nil"/>
              <w:right w:val="nil"/>
            </w:tcBorders>
            <w:shd w:val="clear" w:color="auto" w:fill="auto"/>
            <w:noWrap/>
            <w:vAlign w:val="bottom"/>
          </w:tcPr>
          <w:p w:rsidR="00D34EB8" w:rsidRPr="000D3C80" w:rsidRDefault="00223E17" w:rsidP="006543F3">
            <w:pPr>
              <w:rPr>
                <w:rFonts w:ascii="Arial" w:hAnsi="Arial" w:cs="Arial"/>
                <w:sz w:val="22"/>
                <w:szCs w:val="22"/>
              </w:rPr>
            </w:pPr>
            <w:r>
              <w:rPr>
                <w:rFonts w:ascii="Arial" w:hAnsi="Arial" w:cs="Arial"/>
                <w:sz w:val="22"/>
                <w:szCs w:val="22"/>
              </w:rPr>
              <w:t xml:space="preserve">              31</w:t>
            </w:r>
            <w:r w:rsidR="00D34EB8">
              <w:rPr>
                <w:rFonts w:ascii="Arial" w:hAnsi="Arial" w:cs="Arial"/>
                <w:sz w:val="22"/>
                <w:szCs w:val="22"/>
              </w:rPr>
              <w:t>%</w:t>
            </w:r>
          </w:p>
        </w:tc>
      </w:tr>
      <w:tr w:rsidR="00D34EB8" w:rsidTr="00946893">
        <w:trPr>
          <w:trHeight w:val="255"/>
        </w:trPr>
        <w:tc>
          <w:tcPr>
            <w:tcW w:w="1980" w:type="dxa"/>
            <w:tcBorders>
              <w:top w:val="nil"/>
              <w:left w:val="nil"/>
              <w:bottom w:val="nil"/>
              <w:right w:val="nil"/>
            </w:tcBorders>
            <w:shd w:val="clear" w:color="auto" w:fill="auto"/>
            <w:noWrap/>
            <w:vAlign w:val="bottom"/>
          </w:tcPr>
          <w:p w:rsidR="00D34EB8" w:rsidRPr="000D3C80" w:rsidRDefault="00223E17" w:rsidP="008355BE">
            <w:pPr>
              <w:rPr>
                <w:rFonts w:ascii="Arial" w:hAnsi="Arial" w:cs="Arial"/>
                <w:sz w:val="22"/>
                <w:szCs w:val="22"/>
              </w:rPr>
            </w:pPr>
            <w:r>
              <w:rPr>
                <w:rFonts w:ascii="Arial" w:hAnsi="Arial" w:cs="Arial"/>
                <w:sz w:val="22"/>
                <w:szCs w:val="22"/>
              </w:rPr>
              <w:t>New Bedford</w:t>
            </w:r>
          </w:p>
        </w:tc>
        <w:tc>
          <w:tcPr>
            <w:tcW w:w="1354" w:type="dxa"/>
            <w:tcBorders>
              <w:top w:val="nil"/>
              <w:left w:val="nil"/>
              <w:bottom w:val="nil"/>
              <w:right w:val="nil"/>
            </w:tcBorders>
            <w:shd w:val="clear" w:color="auto" w:fill="auto"/>
            <w:noWrap/>
            <w:vAlign w:val="bottom"/>
          </w:tcPr>
          <w:p w:rsidR="00D34EB8" w:rsidRPr="000D3C80" w:rsidRDefault="00223E17" w:rsidP="008355BE">
            <w:pPr>
              <w:jc w:val="center"/>
              <w:rPr>
                <w:rFonts w:ascii="Arial" w:hAnsi="Arial" w:cs="Arial"/>
                <w:sz w:val="22"/>
                <w:szCs w:val="22"/>
              </w:rPr>
            </w:pPr>
            <w:r>
              <w:rPr>
                <w:rFonts w:ascii="Arial" w:hAnsi="Arial" w:cs="Arial"/>
                <w:sz w:val="22"/>
                <w:szCs w:val="22"/>
              </w:rPr>
              <w:t>3</w:t>
            </w:r>
          </w:p>
        </w:tc>
        <w:tc>
          <w:tcPr>
            <w:tcW w:w="1166" w:type="dxa"/>
            <w:tcBorders>
              <w:top w:val="nil"/>
              <w:left w:val="nil"/>
              <w:bottom w:val="nil"/>
              <w:right w:val="nil"/>
            </w:tcBorders>
            <w:shd w:val="clear" w:color="auto" w:fill="auto"/>
            <w:noWrap/>
            <w:vAlign w:val="bottom"/>
          </w:tcPr>
          <w:p w:rsidR="00D34EB8" w:rsidRPr="000D3C80" w:rsidRDefault="00D34EB8" w:rsidP="008355BE">
            <w:pPr>
              <w:jc w:val="center"/>
              <w:rPr>
                <w:rFonts w:ascii="Arial" w:hAnsi="Arial" w:cs="Arial"/>
                <w:sz w:val="22"/>
                <w:szCs w:val="22"/>
              </w:rPr>
            </w:pPr>
            <w:r>
              <w:rPr>
                <w:rFonts w:ascii="Arial" w:hAnsi="Arial" w:cs="Arial"/>
                <w:sz w:val="22"/>
                <w:szCs w:val="22"/>
              </w:rPr>
              <w:t xml:space="preserve">     </w:t>
            </w:r>
            <w:r w:rsidR="00223E17">
              <w:rPr>
                <w:rFonts w:ascii="Arial" w:hAnsi="Arial" w:cs="Arial"/>
                <w:sz w:val="22"/>
                <w:szCs w:val="22"/>
              </w:rPr>
              <w:t>13</w:t>
            </w:r>
          </w:p>
        </w:tc>
        <w:tc>
          <w:tcPr>
            <w:tcW w:w="2903" w:type="dxa"/>
            <w:tcBorders>
              <w:top w:val="nil"/>
              <w:left w:val="nil"/>
              <w:bottom w:val="nil"/>
              <w:right w:val="nil"/>
            </w:tcBorders>
            <w:shd w:val="clear" w:color="auto" w:fill="auto"/>
            <w:noWrap/>
            <w:vAlign w:val="bottom"/>
          </w:tcPr>
          <w:p w:rsidR="00D34EB8" w:rsidRPr="000D3C80" w:rsidRDefault="00223E17" w:rsidP="006543F3">
            <w:pPr>
              <w:rPr>
                <w:rFonts w:ascii="Arial" w:hAnsi="Arial" w:cs="Arial"/>
                <w:sz w:val="22"/>
                <w:szCs w:val="22"/>
              </w:rPr>
            </w:pPr>
            <w:r>
              <w:rPr>
                <w:rFonts w:ascii="Arial" w:hAnsi="Arial" w:cs="Arial"/>
                <w:sz w:val="22"/>
                <w:szCs w:val="22"/>
              </w:rPr>
              <w:t xml:space="preserve">              23</w:t>
            </w:r>
            <w:r w:rsidR="00D34EB8">
              <w:rPr>
                <w:rFonts w:ascii="Arial" w:hAnsi="Arial" w:cs="Arial"/>
                <w:sz w:val="22"/>
                <w:szCs w:val="22"/>
              </w:rPr>
              <w:t>%</w:t>
            </w:r>
          </w:p>
        </w:tc>
      </w:tr>
      <w:tr w:rsidR="00D34EB8" w:rsidTr="00946893">
        <w:trPr>
          <w:trHeight w:val="255"/>
        </w:trPr>
        <w:tc>
          <w:tcPr>
            <w:tcW w:w="1980" w:type="dxa"/>
            <w:tcBorders>
              <w:top w:val="nil"/>
              <w:left w:val="nil"/>
              <w:bottom w:val="nil"/>
              <w:right w:val="nil"/>
            </w:tcBorders>
            <w:shd w:val="clear" w:color="auto" w:fill="auto"/>
            <w:noWrap/>
            <w:vAlign w:val="bottom"/>
          </w:tcPr>
          <w:p w:rsidR="00D34EB8" w:rsidRPr="000D3C80" w:rsidRDefault="006543F3" w:rsidP="00516138">
            <w:pPr>
              <w:rPr>
                <w:rFonts w:ascii="Arial" w:hAnsi="Arial" w:cs="Arial"/>
                <w:sz w:val="22"/>
                <w:szCs w:val="22"/>
              </w:rPr>
            </w:pPr>
            <w:r>
              <w:rPr>
                <w:rFonts w:ascii="Arial" w:hAnsi="Arial" w:cs="Arial"/>
                <w:sz w:val="22"/>
                <w:szCs w:val="22"/>
              </w:rPr>
              <w:t>Brockton</w:t>
            </w:r>
          </w:p>
        </w:tc>
        <w:tc>
          <w:tcPr>
            <w:tcW w:w="1354" w:type="dxa"/>
            <w:tcBorders>
              <w:top w:val="nil"/>
              <w:left w:val="nil"/>
              <w:bottom w:val="nil"/>
              <w:right w:val="nil"/>
            </w:tcBorders>
            <w:shd w:val="clear" w:color="auto" w:fill="auto"/>
            <w:noWrap/>
            <w:vAlign w:val="bottom"/>
          </w:tcPr>
          <w:p w:rsidR="00D34EB8" w:rsidRPr="000D3C80" w:rsidRDefault="00223E17" w:rsidP="00516138">
            <w:pPr>
              <w:jc w:val="center"/>
              <w:rPr>
                <w:rFonts w:ascii="Arial" w:hAnsi="Arial" w:cs="Arial"/>
                <w:sz w:val="22"/>
                <w:szCs w:val="22"/>
              </w:rPr>
            </w:pPr>
            <w:r>
              <w:rPr>
                <w:rFonts w:ascii="Arial" w:hAnsi="Arial" w:cs="Arial"/>
                <w:sz w:val="22"/>
                <w:szCs w:val="22"/>
              </w:rPr>
              <w:t>3</w:t>
            </w:r>
          </w:p>
        </w:tc>
        <w:tc>
          <w:tcPr>
            <w:tcW w:w="1166" w:type="dxa"/>
            <w:tcBorders>
              <w:top w:val="nil"/>
              <w:left w:val="nil"/>
              <w:bottom w:val="nil"/>
              <w:right w:val="nil"/>
            </w:tcBorders>
            <w:shd w:val="clear" w:color="auto" w:fill="auto"/>
            <w:noWrap/>
            <w:vAlign w:val="bottom"/>
          </w:tcPr>
          <w:p w:rsidR="00D34EB8" w:rsidRPr="000D3C80" w:rsidRDefault="00D34EB8" w:rsidP="00516138">
            <w:pPr>
              <w:jc w:val="center"/>
              <w:rPr>
                <w:rFonts w:ascii="Arial" w:hAnsi="Arial" w:cs="Arial"/>
                <w:sz w:val="22"/>
                <w:szCs w:val="22"/>
              </w:rPr>
            </w:pPr>
            <w:r>
              <w:rPr>
                <w:rFonts w:ascii="Arial" w:hAnsi="Arial" w:cs="Arial"/>
                <w:sz w:val="22"/>
                <w:szCs w:val="22"/>
              </w:rPr>
              <w:t xml:space="preserve">     </w:t>
            </w:r>
            <w:r w:rsidR="006543F3">
              <w:rPr>
                <w:rFonts w:ascii="Arial" w:hAnsi="Arial" w:cs="Arial"/>
                <w:sz w:val="22"/>
                <w:szCs w:val="22"/>
              </w:rPr>
              <w:t>1</w:t>
            </w:r>
            <w:r w:rsidR="00223E17">
              <w:rPr>
                <w:rFonts w:ascii="Arial" w:hAnsi="Arial" w:cs="Arial"/>
                <w:sz w:val="22"/>
                <w:szCs w:val="22"/>
              </w:rPr>
              <w:t>4</w:t>
            </w:r>
          </w:p>
        </w:tc>
        <w:tc>
          <w:tcPr>
            <w:tcW w:w="2903" w:type="dxa"/>
            <w:tcBorders>
              <w:top w:val="nil"/>
              <w:left w:val="nil"/>
              <w:bottom w:val="nil"/>
              <w:right w:val="nil"/>
            </w:tcBorders>
            <w:shd w:val="clear" w:color="auto" w:fill="auto"/>
            <w:noWrap/>
            <w:vAlign w:val="bottom"/>
          </w:tcPr>
          <w:p w:rsidR="00D34EB8" w:rsidRPr="000D3C80" w:rsidRDefault="00223E17" w:rsidP="006543F3">
            <w:pPr>
              <w:rPr>
                <w:rFonts w:ascii="Arial" w:hAnsi="Arial" w:cs="Arial"/>
                <w:sz w:val="22"/>
                <w:szCs w:val="22"/>
              </w:rPr>
            </w:pPr>
            <w:r>
              <w:rPr>
                <w:rFonts w:ascii="Arial" w:hAnsi="Arial" w:cs="Arial"/>
                <w:sz w:val="22"/>
                <w:szCs w:val="22"/>
              </w:rPr>
              <w:t xml:space="preserve">              21</w:t>
            </w:r>
            <w:r w:rsidR="00D34EB8">
              <w:rPr>
                <w:rFonts w:ascii="Arial" w:hAnsi="Arial" w:cs="Arial"/>
                <w:sz w:val="22"/>
                <w:szCs w:val="22"/>
              </w:rPr>
              <w:t>%</w:t>
            </w:r>
          </w:p>
        </w:tc>
      </w:tr>
    </w:tbl>
    <w:p w:rsidR="00621F8F" w:rsidRDefault="00621F8F">
      <w:pPr>
        <w:pStyle w:val="Heading2"/>
        <w:spacing w:line="360" w:lineRule="auto"/>
        <w:rPr>
          <w:b/>
          <w:bCs/>
          <w:u w:val="none"/>
        </w:rPr>
      </w:pPr>
    </w:p>
    <w:p w:rsidR="00154951" w:rsidRDefault="00154951" w:rsidP="00154951"/>
    <w:p w:rsidR="002B49FB" w:rsidRDefault="002B49FB" w:rsidP="00154951"/>
    <w:p w:rsidR="002B49FB" w:rsidRDefault="002B49FB" w:rsidP="00154951"/>
    <w:p w:rsidR="002B49FB" w:rsidRDefault="002B49FB" w:rsidP="00154951"/>
    <w:p w:rsidR="005A4BBC" w:rsidRDefault="005A4BBC">
      <w:pPr>
        <w:pStyle w:val="Heading2"/>
        <w:spacing w:line="360" w:lineRule="auto"/>
        <w:rPr>
          <w:b/>
          <w:bCs/>
          <w:u w:val="none"/>
        </w:rPr>
      </w:pPr>
      <w:r>
        <w:rPr>
          <w:b/>
          <w:bCs/>
          <w:u w:val="none"/>
        </w:rPr>
        <w:lastRenderedPageBreak/>
        <w:t>Introduction</w:t>
      </w:r>
    </w:p>
    <w:p w:rsidR="00427D62" w:rsidRDefault="00625EEC" w:rsidP="00427D62">
      <w:pPr>
        <w:tabs>
          <w:tab w:val="right" w:pos="8640"/>
        </w:tabs>
        <w:spacing w:line="360" w:lineRule="auto"/>
      </w:pPr>
      <w:r w:rsidRPr="00FB48A5">
        <w:t xml:space="preserve">The Department of Youth Services </w:t>
      </w:r>
      <w:r>
        <w:t xml:space="preserve">(DYS) </w:t>
      </w:r>
      <w:r w:rsidRPr="00FB48A5">
        <w:t>is the juvenile justice agency of the Commonwealth of Massachusetts</w:t>
      </w:r>
      <w:r w:rsidR="000E47DF">
        <w:t xml:space="preserve">.  </w:t>
      </w:r>
      <w:r w:rsidR="00427D62">
        <w:t>The Department’s mission is to</w:t>
      </w:r>
      <w:r w:rsidR="001800D1">
        <w:t xml:space="preserve"> promote</w:t>
      </w:r>
      <w:r w:rsidR="00427D62" w:rsidRPr="00427D62">
        <w:t xml:space="preserve"> positive change in the youth in our c</w:t>
      </w:r>
      <w:r w:rsidR="001800D1">
        <w:t>are and custody and</w:t>
      </w:r>
      <w:r w:rsidR="00427D62" w:rsidRPr="00427D62">
        <w:t xml:space="preserve"> to make communities safer by improving the lif</w:t>
      </w:r>
      <w:r w:rsidR="00343AE2">
        <w:t>e outcomes for the youth we serve</w:t>
      </w:r>
      <w:r w:rsidR="00427D62" w:rsidRPr="00427D62">
        <w:t xml:space="preserve">. </w:t>
      </w:r>
      <w:r w:rsidR="001800D1">
        <w:t xml:space="preserve"> DYS invests</w:t>
      </w:r>
      <w:r w:rsidR="00427D62" w:rsidRPr="00427D62">
        <w:t xml:space="preserve"> in highly qualified staff and a service continuum that engages youth, families and communities in strategies that support positive youth development.</w:t>
      </w:r>
    </w:p>
    <w:p w:rsidR="00427D62" w:rsidRPr="00427D62" w:rsidRDefault="00427D62" w:rsidP="00427D62">
      <w:pPr>
        <w:tabs>
          <w:tab w:val="right" w:pos="8640"/>
        </w:tabs>
        <w:spacing w:line="360" w:lineRule="auto"/>
        <w:rPr>
          <w:sz w:val="16"/>
          <w:szCs w:val="16"/>
        </w:rPr>
      </w:pPr>
    </w:p>
    <w:p w:rsidR="00625EEC" w:rsidRPr="00427D62" w:rsidRDefault="00625EEC" w:rsidP="00427D62">
      <w:pPr>
        <w:pStyle w:val="BodyTextIndent"/>
        <w:spacing w:line="360" w:lineRule="auto"/>
        <w:ind w:left="0"/>
        <w:rPr>
          <w:sz w:val="24"/>
          <w:szCs w:val="24"/>
          <w:u w:val="single"/>
        </w:rPr>
      </w:pPr>
      <w:r w:rsidRPr="00427D62">
        <w:rPr>
          <w:sz w:val="24"/>
          <w:szCs w:val="24"/>
          <w:u w:val="single"/>
        </w:rPr>
        <w:t xml:space="preserve">Total Programs: </w:t>
      </w:r>
    </w:p>
    <w:p w:rsidR="00625EEC" w:rsidRPr="00934D6E" w:rsidRDefault="008B03CE" w:rsidP="00625EEC">
      <w:pPr>
        <w:tabs>
          <w:tab w:val="left" w:pos="540"/>
        </w:tabs>
        <w:spacing w:line="360" w:lineRule="auto"/>
      </w:pPr>
      <w:r>
        <w:t>As of January 1, 2</w:t>
      </w:r>
      <w:r w:rsidR="00223E17">
        <w:t>018</w:t>
      </w:r>
      <w:r w:rsidR="00BB6603">
        <w:t xml:space="preserve">, </w:t>
      </w:r>
      <w:r w:rsidR="00223E17">
        <w:t>DYS operated</w:t>
      </w:r>
      <w:r w:rsidR="003B6971" w:rsidRPr="00934D6E">
        <w:t xml:space="preserve"> 8</w:t>
      </w:r>
      <w:r w:rsidR="00223E17">
        <w:t>0</w:t>
      </w:r>
      <w:r w:rsidR="003B6971" w:rsidRPr="00934D6E">
        <w:t xml:space="preserve"> </w:t>
      </w:r>
      <w:r w:rsidR="00625EEC" w:rsidRPr="00934D6E">
        <w:t>programs including:</w:t>
      </w:r>
    </w:p>
    <w:p w:rsidR="00625EEC" w:rsidRPr="00934D6E" w:rsidRDefault="00223E17" w:rsidP="00625EEC">
      <w:pPr>
        <w:numPr>
          <w:ilvl w:val="0"/>
          <w:numId w:val="14"/>
        </w:numPr>
        <w:tabs>
          <w:tab w:val="left" w:pos="540"/>
        </w:tabs>
        <w:spacing w:line="360" w:lineRule="auto"/>
      </w:pPr>
      <w:r>
        <w:t>57</w:t>
      </w:r>
      <w:r w:rsidR="00625EEC" w:rsidRPr="00934D6E">
        <w:t xml:space="preserve"> </w:t>
      </w:r>
      <w:r w:rsidR="008C5418" w:rsidRPr="00934D6E">
        <w:t xml:space="preserve">residential </w:t>
      </w:r>
      <w:r w:rsidR="002F10E1">
        <w:t>programs that include foster care,  staff secure group homes, and</w:t>
      </w:r>
      <w:r w:rsidR="00625EEC" w:rsidRPr="00934D6E">
        <w:t xml:space="preserve"> highly secure locked units, and </w:t>
      </w:r>
    </w:p>
    <w:p w:rsidR="00625EEC" w:rsidRPr="00934D6E" w:rsidRDefault="00934D6E" w:rsidP="00625EEC">
      <w:pPr>
        <w:numPr>
          <w:ilvl w:val="0"/>
          <w:numId w:val="14"/>
        </w:numPr>
        <w:spacing w:line="360" w:lineRule="auto"/>
      </w:pPr>
      <w:r w:rsidRPr="00934D6E">
        <w:t>23</w:t>
      </w:r>
      <w:r w:rsidR="008C5418" w:rsidRPr="00934D6E">
        <w:t xml:space="preserve"> community</w:t>
      </w:r>
      <w:r w:rsidR="007D1633" w:rsidRPr="00934D6E">
        <w:t>-based</w:t>
      </w:r>
      <w:r w:rsidR="008C5418" w:rsidRPr="00934D6E">
        <w:t xml:space="preserve"> </w:t>
      </w:r>
      <w:r w:rsidR="007D1633" w:rsidRPr="00934D6E">
        <w:t>district and satellite offices</w:t>
      </w:r>
      <w:r w:rsidR="00343AE2" w:rsidRPr="00934D6E">
        <w:t xml:space="preserve"> to serve</w:t>
      </w:r>
      <w:r w:rsidR="00625EEC" w:rsidRPr="00934D6E">
        <w:t xml:space="preserve"> youth who live in the community (residing with a parent, gua</w:t>
      </w:r>
      <w:r w:rsidR="00055154" w:rsidRPr="00934D6E">
        <w:t>rdian, foster parent or</w:t>
      </w:r>
      <w:r w:rsidR="00625EEC" w:rsidRPr="00934D6E">
        <w:t xml:space="preserve"> in an independent living program).</w:t>
      </w:r>
    </w:p>
    <w:p w:rsidR="00625EEC" w:rsidRPr="003D256F" w:rsidRDefault="00625EEC" w:rsidP="00625EEC">
      <w:pPr>
        <w:tabs>
          <w:tab w:val="left" w:pos="540"/>
        </w:tabs>
        <w:spacing w:line="360" w:lineRule="auto"/>
        <w:rPr>
          <w:b/>
        </w:rPr>
      </w:pPr>
    </w:p>
    <w:p w:rsidR="00625EEC" w:rsidRPr="00625EEC" w:rsidRDefault="00625EEC" w:rsidP="00625EEC">
      <w:pPr>
        <w:tabs>
          <w:tab w:val="left" w:pos="540"/>
        </w:tabs>
        <w:spacing w:line="360" w:lineRule="auto"/>
        <w:rPr>
          <w:u w:val="single"/>
        </w:rPr>
      </w:pPr>
      <w:r w:rsidRPr="00625EEC">
        <w:rPr>
          <w:u w:val="single"/>
        </w:rPr>
        <w:t xml:space="preserve">Total DYS Population: </w:t>
      </w:r>
    </w:p>
    <w:p w:rsidR="00625EEC" w:rsidRPr="003D256F" w:rsidRDefault="00E646A3" w:rsidP="00625EEC">
      <w:pPr>
        <w:numPr>
          <w:ilvl w:val="0"/>
          <w:numId w:val="15"/>
        </w:numPr>
        <w:tabs>
          <w:tab w:val="left" w:pos="540"/>
        </w:tabs>
        <w:spacing w:line="360" w:lineRule="auto"/>
      </w:pPr>
      <w:r>
        <w:t>On</w:t>
      </w:r>
      <w:r w:rsidR="00223E17">
        <w:t xml:space="preserve"> January 1, 2018</w:t>
      </w:r>
      <w:r>
        <w:t>,</w:t>
      </w:r>
      <w:r w:rsidR="00F54105">
        <w:t xml:space="preserve"> </w:t>
      </w:r>
      <w:r>
        <w:t xml:space="preserve">DYS served </w:t>
      </w:r>
      <w:r w:rsidR="00223E17">
        <w:t>593</w:t>
      </w:r>
      <w:r w:rsidR="00625EEC" w:rsidRPr="003D256F">
        <w:t xml:space="preserve"> youth </w:t>
      </w:r>
      <w:r w:rsidR="008B03CE">
        <w:t xml:space="preserve">who were </w:t>
      </w:r>
      <w:r>
        <w:t>adjudicated as delinquent</w:t>
      </w:r>
      <w:r w:rsidR="00625EEC" w:rsidRPr="003D256F">
        <w:t>.</w:t>
      </w:r>
    </w:p>
    <w:p w:rsidR="00625EEC" w:rsidRPr="003D256F" w:rsidRDefault="00223E17" w:rsidP="00625EEC">
      <w:pPr>
        <w:numPr>
          <w:ilvl w:val="0"/>
          <w:numId w:val="15"/>
        </w:numPr>
        <w:tabs>
          <w:tab w:val="left" w:pos="540"/>
        </w:tabs>
        <w:spacing w:line="360" w:lineRule="auto"/>
      </w:pPr>
      <w:r>
        <w:t>391</w:t>
      </w:r>
      <w:r w:rsidR="00625EEC" w:rsidRPr="003D256F">
        <w:t xml:space="preserve"> of these youth were adjudicated delinquent and were committed to DYS custody until age 18.</w:t>
      </w:r>
    </w:p>
    <w:p w:rsidR="00625EEC" w:rsidRPr="003D256F" w:rsidRDefault="00223E17" w:rsidP="00625EEC">
      <w:pPr>
        <w:numPr>
          <w:ilvl w:val="0"/>
          <w:numId w:val="15"/>
        </w:numPr>
        <w:tabs>
          <w:tab w:val="left" w:pos="540"/>
        </w:tabs>
        <w:spacing w:line="360" w:lineRule="auto"/>
      </w:pPr>
      <w:r>
        <w:t>202</w:t>
      </w:r>
      <w:r w:rsidR="00625EEC" w:rsidRPr="003D256F">
        <w:t xml:space="preserve"> of these youth were adj</w:t>
      </w:r>
      <w:r w:rsidR="00345185">
        <w:t>udicated delinquent and were</w:t>
      </w:r>
      <w:r w:rsidR="00625EEC" w:rsidRPr="003D256F">
        <w:t xml:space="preserve"> committed </w:t>
      </w:r>
      <w:r w:rsidR="0071526A">
        <w:t xml:space="preserve">to DYS custody </w:t>
      </w:r>
      <w:r w:rsidR="00625EEC" w:rsidRPr="003D256F">
        <w:t xml:space="preserve">as youthful offenders until </w:t>
      </w:r>
      <w:r w:rsidR="00E646A3">
        <w:t xml:space="preserve">age </w:t>
      </w:r>
      <w:r w:rsidR="00625EEC" w:rsidRPr="003D256F">
        <w:t>21</w:t>
      </w:r>
      <w:r w:rsidR="00E646A3">
        <w:t>.</w:t>
      </w:r>
    </w:p>
    <w:p w:rsidR="00625EEC" w:rsidRPr="003D256F" w:rsidRDefault="00343AE2" w:rsidP="00625EEC">
      <w:pPr>
        <w:numPr>
          <w:ilvl w:val="0"/>
          <w:numId w:val="15"/>
        </w:numPr>
        <w:tabs>
          <w:tab w:val="left" w:pos="540"/>
        </w:tabs>
        <w:spacing w:line="360" w:lineRule="auto"/>
      </w:pPr>
      <w:r>
        <w:t>As a result of court orders</w:t>
      </w:r>
      <w:r w:rsidR="00F54105">
        <w:t>, approximately 15</w:t>
      </w:r>
      <w:r w:rsidR="0031264E">
        <w:t>0</w:t>
      </w:r>
      <w:r w:rsidR="00625EEC" w:rsidRPr="003D256F">
        <w:t xml:space="preserve"> youth on any given day are </w:t>
      </w:r>
      <w:r w:rsidR="00345185">
        <w:t>detained and in</w:t>
      </w:r>
      <w:r w:rsidR="00E646A3">
        <w:t xml:space="preserve"> DYS’ care while aw</w:t>
      </w:r>
      <w:r w:rsidR="00625EEC" w:rsidRPr="003D256F">
        <w:t>a</w:t>
      </w:r>
      <w:r w:rsidR="00F37822">
        <w:t xml:space="preserve">iting their </w:t>
      </w:r>
      <w:r w:rsidR="00194278">
        <w:t xml:space="preserve">next </w:t>
      </w:r>
      <w:r w:rsidR="00F37822">
        <w:t>court appearance</w:t>
      </w:r>
      <w:r w:rsidR="00625EEC" w:rsidRPr="003D256F">
        <w:t xml:space="preserve">. </w:t>
      </w:r>
    </w:p>
    <w:p w:rsidR="00625EEC" w:rsidRPr="003D256F" w:rsidRDefault="00625EEC" w:rsidP="00625EEC">
      <w:pPr>
        <w:tabs>
          <w:tab w:val="left" w:pos="540"/>
        </w:tabs>
        <w:spacing w:line="360" w:lineRule="auto"/>
      </w:pPr>
    </w:p>
    <w:p w:rsidR="00625EEC" w:rsidRPr="00583876" w:rsidRDefault="005635FB" w:rsidP="00625EEC">
      <w:pPr>
        <w:tabs>
          <w:tab w:val="left" w:pos="540"/>
        </w:tabs>
        <w:spacing w:line="360" w:lineRule="auto"/>
        <w:rPr>
          <w:u w:val="single"/>
        </w:rPr>
      </w:pPr>
      <w:r w:rsidRPr="00583876">
        <w:rPr>
          <w:u w:val="single"/>
        </w:rPr>
        <w:t>Juvenile C</w:t>
      </w:r>
      <w:r w:rsidR="00625EEC" w:rsidRPr="00583876">
        <w:rPr>
          <w:u w:val="single"/>
        </w:rPr>
        <w:t>rime in Massachusetts:</w:t>
      </w:r>
    </w:p>
    <w:p w:rsidR="00625EEC" w:rsidRPr="00583876" w:rsidRDefault="008C5418" w:rsidP="00625EEC">
      <w:pPr>
        <w:numPr>
          <w:ilvl w:val="0"/>
          <w:numId w:val="16"/>
        </w:numPr>
        <w:tabs>
          <w:tab w:val="left" w:pos="540"/>
        </w:tabs>
        <w:spacing w:line="360" w:lineRule="auto"/>
      </w:pPr>
      <w:r w:rsidRPr="00583876">
        <w:t xml:space="preserve">In </w:t>
      </w:r>
      <w:r w:rsidR="002F10E1">
        <w:t>FY 2018</w:t>
      </w:r>
      <w:r w:rsidRPr="00583876">
        <w:t xml:space="preserve">, </w:t>
      </w:r>
      <w:r w:rsidR="00625EEC" w:rsidRPr="00583876">
        <w:t>Massachusetts</w:t>
      </w:r>
      <w:r w:rsidR="002B49FB" w:rsidRPr="00583876">
        <w:t xml:space="preserve"> had </w:t>
      </w:r>
      <w:r w:rsidR="002F10E1">
        <w:t>7,864</w:t>
      </w:r>
      <w:r w:rsidR="00625EEC" w:rsidRPr="00583876">
        <w:t xml:space="preserve"> juveniles</w:t>
      </w:r>
      <w:r w:rsidR="00EE18FB" w:rsidRPr="00583876">
        <w:t xml:space="preserve"> arraigned on delinquency</w:t>
      </w:r>
      <w:r w:rsidR="00625EEC" w:rsidRPr="00583876">
        <w:t xml:space="preserve"> charges.</w:t>
      </w:r>
    </w:p>
    <w:p w:rsidR="00625EEC" w:rsidRPr="00583876" w:rsidRDefault="00EE18FB" w:rsidP="00625EEC">
      <w:pPr>
        <w:numPr>
          <w:ilvl w:val="0"/>
          <w:numId w:val="16"/>
        </w:numPr>
        <w:tabs>
          <w:tab w:val="left" w:pos="540"/>
        </w:tabs>
        <w:spacing w:line="360" w:lineRule="auto"/>
      </w:pPr>
      <w:r w:rsidRPr="00583876">
        <w:t xml:space="preserve">Of these youth, </w:t>
      </w:r>
      <w:r w:rsidR="009A4A6C" w:rsidRPr="00583876">
        <w:t>1</w:t>
      </w:r>
      <w:r w:rsidR="00E646A3" w:rsidRPr="00583876">
        <w:t>,</w:t>
      </w:r>
      <w:r w:rsidR="002F10E1">
        <w:t>257</w:t>
      </w:r>
      <w:r w:rsidRPr="00583876">
        <w:t xml:space="preserve"> were</w:t>
      </w:r>
      <w:r w:rsidR="00625EEC" w:rsidRPr="00583876">
        <w:t xml:space="preserve"> </w:t>
      </w:r>
      <w:r w:rsidRPr="00583876">
        <w:t>detained</w:t>
      </w:r>
      <w:r w:rsidR="00625EEC" w:rsidRPr="00583876">
        <w:t xml:space="preserve"> </w:t>
      </w:r>
      <w:r w:rsidR="005C5EB8" w:rsidRPr="00583876">
        <w:t xml:space="preserve">and </w:t>
      </w:r>
      <w:r w:rsidR="0071526A" w:rsidRPr="00583876">
        <w:t>committed to DYS’ care</w:t>
      </w:r>
      <w:r w:rsidR="00625EEC" w:rsidRPr="00583876">
        <w:t xml:space="preserve"> while they </w:t>
      </w:r>
      <w:r w:rsidR="00BD3BCE" w:rsidRPr="00583876">
        <w:t>await</w:t>
      </w:r>
      <w:r w:rsidRPr="00583876">
        <w:t>ed</w:t>
      </w:r>
      <w:r w:rsidR="00BD3BCE" w:rsidRPr="00583876">
        <w:t xml:space="preserve"> their court appearance</w:t>
      </w:r>
      <w:r w:rsidR="00625EEC" w:rsidRPr="00583876">
        <w:t>.</w:t>
      </w:r>
    </w:p>
    <w:p w:rsidR="00625EEC" w:rsidRPr="00583876" w:rsidRDefault="002F10E1" w:rsidP="00625EEC">
      <w:pPr>
        <w:numPr>
          <w:ilvl w:val="0"/>
          <w:numId w:val="16"/>
        </w:numPr>
        <w:tabs>
          <w:tab w:val="left" w:pos="540"/>
        </w:tabs>
        <w:spacing w:line="360" w:lineRule="auto"/>
      </w:pPr>
      <w:r>
        <w:t>234</w:t>
      </w:r>
      <w:r w:rsidR="00625EEC" w:rsidRPr="00583876">
        <w:t xml:space="preserve"> </w:t>
      </w:r>
      <w:r w:rsidR="00EE18FB" w:rsidRPr="00583876">
        <w:t xml:space="preserve">of these </w:t>
      </w:r>
      <w:r w:rsidR="00625EEC" w:rsidRPr="00583876">
        <w:t>youths were commi</w:t>
      </w:r>
      <w:r w:rsidR="00BA3190" w:rsidRPr="00583876">
        <w:t xml:space="preserve">tted </w:t>
      </w:r>
      <w:r w:rsidR="00414685" w:rsidRPr="00583876">
        <w:t>to DYS</w:t>
      </w:r>
      <w:r w:rsidR="0071526A" w:rsidRPr="00583876">
        <w:t>’ custody</w:t>
      </w:r>
      <w:r w:rsidR="005C5EB8" w:rsidRPr="00583876">
        <w:t xml:space="preserve"> which represents </w:t>
      </w:r>
      <w:r w:rsidR="00414685" w:rsidRPr="00583876">
        <w:t xml:space="preserve">approximately </w:t>
      </w:r>
      <w:r>
        <w:t>3</w:t>
      </w:r>
      <w:r w:rsidR="00EE18FB" w:rsidRPr="00583876">
        <w:t>%</w:t>
      </w:r>
      <w:r w:rsidR="00625EEC" w:rsidRPr="00583876">
        <w:t xml:space="preserve"> of all juveniles arraigned.</w:t>
      </w:r>
    </w:p>
    <w:p w:rsidR="005C5EB8" w:rsidRDefault="005C5EB8">
      <w:pPr>
        <w:spacing w:line="360" w:lineRule="auto"/>
      </w:pPr>
    </w:p>
    <w:p w:rsidR="005A4BBC" w:rsidRDefault="000F32C6">
      <w:pPr>
        <w:spacing w:line="360" w:lineRule="auto"/>
      </w:pPr>
      <w:r>
        <w:t xml:space="preserve">Recidivism is generally the most common measure used </w:t>
      </w:r>
      <w:r w:rsidR="00F10AC3">
        <w:t>to determine</w:t>
      </w:r>
      <w:r w:rsidR="00C23E9F">
        <w:t xml:space="preserve"> the effectiveness of interventions with juvenile offenders.  </w:t>
      </w:r>
      <w:r w:rsidR="002019E1">
        <w:t>This report</w:t>
      </w:r>
      <w:r w:rsidR="005A4BBC">
        <w:t xml:space="preserve"> detail</w:t>
      </w:r>
      <w:r w:rsidR="002019E1">
        <w:t>s</w:t>
      </w:r>
      <w:r w:rsidR="005A4BBC">
        <w:t xml:space="preserve"> recidivism data for a </w:t>
      </w:r>
      <w:r w:rsidR="0072616A">
        <w:t>sample of former DYS youth</w:t>
      </w:r>
      <w:r>
        <w:t xml:space="preserve"> </w:t>
      </w:r>
      <w:r w:rsidR="005A4BBC">
        <w:t>who were</w:t>
      </w:r>
      <w:r w:rsidR="00410CC0">
        <w:t xml:space="preserve"> discharged </w:t>
      </w:r>
      <w:r w:rsidR="005175DB">
        <w:t xml:space="preserve">from the agency </w:t>
      </w:r>
      <w:r w:rsidR="001464C0">
        <w:t>during calendar</w:t>
      </w:r>
      <w:r w:rsidR="001A6C84">
        <w:t xml:space="preserve"> year 2014</w:t>
      </w:r>
      <w:r w:rsidR="005A4BBC">
        <w:t xml:space="preserve">. </w:t>
      </w:r>
      <w:r w:rsidR="00C23E9F">
        <w:t xml:space="preserve"> </w:t>
      </w:r>
      <w:r w:rsidR="008B03CE">
        <w:rPr>
          <w:u w:val="single"/>
        </w:rPr>
        <w:t xml:space="preserve">For </w:t>
      </w:r>
      <w:r w:rsidR="005A4BBC" w:rsidRPr="00766227">
        <w:rPr>
          <w:u w:val="single"/>
        </w:rPr>
        <w:t xml:space="preserve">purposes of this report, recidivism is defined as a conviction in the adult system </w:t>
      </w:r>
      <w:r w:rsidR="00D16E4A" w:rsidRPr="00766227">
        <w:rPr>
          <w:u w:val="single"/>
        </w:rPr>
        <w:t xml:space="preserve">for an offense committed </w:t>
      </w:r>
      <w:r w:rsidR="005A4BBC" w:rsidRPr="00766227">
        <w:rPr>
          <w:u w:val="single"/>
        </w:rPr>
        <w:t>within one year of discharge from DYS</w:t>
      </w:r>
      <w:r w:rsidR="00D16E4A">
        <w:t>.</w:t>
      </w:r>
      <w:r w:rsidR="005A4BBC">
        <w:t xml:space="preserve"> </w:t>
      </w:r>
    </w:p>
    <w:p w:rsidR="0048201B" w:rsidRDefault="0048201B">
      <w:pPr>
        <w:spacing w:line="360" w:lineRule="auto"/>
      </w:pPr>
    </w:p>
    <w:p w:rsidR="009F530E" w:rsidRDefault="009F530E">
      <w:pPr>
        <w:spacing w:line="360" w:lineRule="auto"/>
      </w:pPr>
      <w:r>
        <w:t>Prior research has found associations between juvenile recidivism and various factors related</w:t>
      </w:r>
      <w:r w:rsidR="000164DD">
        <w:t xml:space="preserve"> to age, </w:t>
      </w:r>
      <w:r w:rsidR="00F571D8">
        <w:t xml:space="preserve">socioeconomic status, </w:t>
      </w:r>
      <w:r w:rsidR="000164DD">
        <w:t>educational history, peers, family dynamics, and substance use.  The following have</w:t>
      </w:r>
      <w:r w:rsidR="00351C45">
        <w:t xml:space="preserve"> been identified (</w:t>
      </w:r>
      <w:proofErr w:type="spellStart"/>
      <w:r w:rsidR="00351C45">
        <w:t>Cottle</w:t>
      </w:r>
      <w:proofErr w:type="spellEnd"/>
      <w:r w:rsidR="00351C45">
        <w:t xml:space="preserve"> et al., 2001</w:t>
      </w:r>
      <w:r w:rsidR="00723CC4">
        <w:t xml:space="preserve">; </w:t>
      </w:r>
      <w:proofErr w:type="spellStart"/>
      <w:r w:rsidR="00351C45">
        <w:t>Wiebush</w:t>
      </w:r>
      <w:proofErr w:type="spellEnd"/>
      <w:r w:rsidR="00351C45">
        <w:t xml:space="preserve"> </w:t>
      </w:r>
      <w:r w:rsidR="000164DD">
        <w:t>et al., 1995) as primary risk factors for juveniles:</w:t>
      </w:r>
    </w:p>
    <w:p w:rsidR="000164DD" w:rsidRDefault="000164DD">
      <w:pPr>
        <w:spacing w:line="360" w:lineRule="auto"/>
      </w:pPr>
    </w:p>
    <w:p w:rsidR="000164DD" w:rsidRDefault="000164DD" w:rsidP="002D14AF">
      <w:pPr>
        <w:numPr>
          <w:ilvl w:val="0"/>
          <w:numId w:val="3"/>
        </w:numPr>
        <w:spacing w:line="360" w:lineRule="auto"/>
      </w:pPr>
      <w:r>
        <w:t>Age of onset of criminality (usually age at first referral, first arrest, or first adjudication)</w:t>
      </w:r>
    </w:p>
    <w:p w:rsidR="000164DD" w:rsidRDefault="000164DD" w:rsidP="002D14AF">
      <w:pPr>
        <w:numPr>
          <w:ilvl w:val="0"/>
          <w:numId w:val="3"/>
        </w:numPr>
        <w:spacing w:line="360" w:lineRule="auto"/>
      </w:pPr>
      <w:r>
        <w:t>Numbe</w:t>
      </w:r>
      <w:r w:rsidR="00EE18FB">
        <w:t>r of prior arrests / adjudications</w:t>
      </w:r>
    </w:p>
    <w:p w:rsidR="000164DD" w:rsidRDefault="000164DD" w:rsidP="002D14AF">
      <w:pPr>
        <w:numPr>
          <w:ilvl w:val="0"/>
          <w:numId w:val="3"/>
        </w:numPr>
        <w:spacing w:line="360" w:lineRule="auto"/>
      </w:pPr>
      <w:r>
        <w:t>Prior Assaults</w:t>
      </w:r>
    </w:p>
    <w:p w:rsidR="000164DD" w:rsidRDefault="000164DD" w:rsidP="002D14AF">
      <w:pPr>
        <w:numPr>
          <w:ilvl w:val="0"/>
          <w:numId w:val="3"/>
        </w:numPr>
        <w:spacing w:line="360" w:lineRule="auto"/>
      </w:pPr>
      <w:r>
        <w:t>Prior out-of-home placements</w:t>
      </w:r>
    </w:p>
    <w:p w:rsidR="00644269" w:rsidRDefault="00CF49D7" w:rsidP="002D14AF">
      <w:pPr>
        <w:numPr>
          <w:ilvl w:val="0"/>
          <w:numId w:val="3"/>
        </w:numPr>
        <w:spacing w:line="360" w:lineRule="auto"/>
      </w:pPr>
      <w:r>
        <w:t>Poverty</w:t>
      </w:r>
    </w:p>
    <w:p w:rsidR="00CF49D7" w:rsidRDefault="00CF49D7" w:rsidP="002D14AF">
      <w:pPr>
        <w:numPr>
          <w:ilvl w:val="0"/>
          <w:numId w:val="3"/>
        </w:numPr>
        <w:spacing w:line="360" w:lineRule="auto"/>
      </w:pPr>
      <w:r>
        <w:t>Unemployment</w:t>
      </w:r>
    </w:p>
    <w:p w:rsidR="000164DD" w:rsidRDefault="000164DD" w:rsidP="002D14AF">
      <w:pPr>
        <w:numPr>
          <w:ilvl w:val="0"/>
          <w:numId w:val="3"/>
        </w:numPr>
        <w:spacing w:line="360" w:lineRule="auto"/>
      </w:pPr>
      <w:r>
        <w:t>Drug / alcohol abuse</w:t>
      </w:r>
    </w:p>
    <w:p w:rsidR="000164DD" w:rsidRDefault="000164DD" w:rsidP="002D14AF">
      <w:pPr>
        <w:numPr>
          <w:ilvl w:val="0"/>
          <w:numId w:val="3"/>
        </w:numPr>
        <w:spacing w:line="360" w:lineRule="auto"/>
      </w:pPr>
      <w:r>
        <w:t xml:space="preserve">School problems (including </w:t>
      </w:r>
      <w:r w:rsidR="00292F55">
        <w:t>poor achievement, misbehavior in school, and truancy</w:t>
      </w:r>
      <w:r>
        <w:t>)</w:t>
      </w:r>
    </w:p>
    <w:p w:rsidR="000164DD" w:rsidRDefault="00644269" w:rsidP="002D14AF">
      <w:pPr>
        <w:numPr>
          <w:ilvl w:val="0"/>
          <w:numId w:val="3"/>
        </w:numPr>
        <w:spacing w:line="360" w:lineRule="auto"/>
      </w:pPr>
      <w:r>
        <w:t>Association with delinquent peers</w:t>
      </w:r>
    </w:p>
    <w:p w:rsidR="000164DD" w:rsidRDefault="000164DD" w:rsidP="002D14AF">
      <w:pPr>
        <w:numPr>
          <w:ilvl w:val="0"/>
          <w:numId w:val="3"/>
        </w:numPr>
        <w:spacing w:line="360" w:lineRule="auto"/>
      </w:pPr>
      <w:r>
        <w:t xml:space="preserve">Family problems (including problems with parental control and </w:t>
      </w:r>
      <w:r w:rsidR="009566D2">
        <w:t xml:space="preserve">poor </w:t>
      </w:r>
      <w:r>
        <w:t>relationships with family members)</w:t>
      </w:r>
    </w:p>
    <w:p w:rsidR="006E0F95" w:rsidRDefault="001A6C84" w:rsidP="002D14AF">
      <w:pPr>
        <w:numPr>
          <w:ilvl w:val="0"/>
          <w:numId w:val="3"/>
        </w:numPr>
        <w:spacing w:line="360" w:lineRule="auto"/>
      </w:pPr>
      <w:r>
        <w:t>Mental health diagnoses, especially depression and conduct disorder</w:t>
      </w:r>
    </w:p>
    <w:p w:rsidR="002D14AF" w:rsidRDefault="002D14AF">
      <w:pPr>
        <w:spacing w:line="360" w:lineRule="auto"/>
      </w:pPr>
    </w:p>
    <w:p w:rsidR="00D9496B" w:rsidRPr="002A598D" w:rsidRDefault="00343AE2" w:rsidP="00D9496B">
      <w:pPr>
        <w:spacing w:line="360" w:lineRule="auto"/>
      </w:pPr>
      <w:r>
        <w:t>T</w:t>
      </w:r>
      <w:r w:rsidR="00AA40D8">
        <w:t>reatment</w:t>
      </w:r>
      <w:r w:rsidR="00B63C0E">
        <w:t xml:space="preserve"> for</w:t>
      </w:r>
      <w:r w:rsidR="00D16E4A">
        <w:t xml:space="preserve"> </w:t>
      </w:r>
      <w:r w:rsidR="00AA40D8">
        <w:t xml:space="preserve">the </w:t>
      </w:r>
      <w:r w:rsidR="00D16E4A">
        <w:t xml:space="preserve">typical </w:t>
      </w:r>
      <w:r w:rsidR="00AA40D8">
        <w:t xml:space="preserve">youth </w:t>
      </w:r>
      <w:r w:rsidR="00B63C0E">
        <w:t xml:space="preserve">committed </w:t>
      </w:r>
      <w:r w:rsidR="00AA40D8">
        <w:t xml:space="preserve">to </w:t>
      </w:r>
      <w:r w:rsidR="0071526A">
        <w:t xml:space="preserve">DYS custody </w:t>
      </w:r>
      <w:r w:rsidR="00B63C0E">
        <w:t>has been shown to be cost-effective in terms of reduced recidivism</w:t>
      </w:r>
      <w:r w:rsidR="00594092">
        <w:t>.  Efforts have been made to estimate th</w:t>
      </w:r>
      <w:r w:rsidR="000C6DB0">
        <w:t>e costs to the community of a criminally-involved youth</w:t>
      </w:r>
      <w:r w:rsidR="00594092">
        <w:t>.  R</w:t>
      </w:r>
      <w:r w:rsidR="00B63C0E">
        <w:t xml:space="preserve">esearch has shown that, </w:t>
      </w:r>
      <w:r w:rsidR="00D9496B" w:rsidRPr="002A598D">
        <w:t>“</w:t>
      </w:r>
      <w:r w:rsidR="00594092">
        <w:t xml:space="preserve">Discounted to present value at age 14, </w:t>
      </w:r>
      <w:r w:rsidR="000C6DB0">
        <w:t xml:space="preserve">[estimated] </w:t>
      </w:r>
      <w:r w:rsidR="00594092">
        <w:t>costs total $3.2-$5.8 million.  T</w:t>
      </w:r>
      <w:r w:rsidR="000C6DB0">
        <w:t xml:space="preserve">he bulk of these costs </w:t>
      </w:r>
      <w:r w:rsidR="000C6DB0">
        <w:lastRenderedPageBreak/>
        <w:t>($2.7</w:t>
      </w:r>
      <w:r w:rsidR="00594092">
        <w:t>-$4.8 million) are due to crimes, while an additional $390,000 to $580,000 is estimated to be the value of lost productivity due to dropping out of high school.  The cost of a heavy drug abuser is estimated to range between $480,000 and $1.1 million, although $700,000 of that amount is the cost of crime committed by heavy drug abusers (and hence already included in the crime cost estimates).</w:t>
      </w:r>
      <w:r w:rsidR="00D9496B" w:rsidRPr="002A598D">
        <w:t>” </w:t>
      </w:r>
      <w:r w:rsidR="00B63C0E">
        <w:t>(Cohen</w:t>
      </w:r>
      <w:r w:rsidR="00594092">
        <w:t xml:space="preserve"> &amp; </w:t>
      </w:r>
      <w:proofErr w:type="spellStart"/>
      <w:r w:rsidR="00594092">
        <w:t>Piquero</w:t>
      </w:r>
      <w:proofErr w:type="spellEnd"/>
      <w:r w:rsidR="00B63C0E">
        <w:t>,</w:t>
      </w:r>
      <w:r w:rsidR="00643ECF">
        <w:t xml:space="preserve"> </w:t>
      </w:r>
      <w:r w:rsidR="00594092">
        <w:t>2009</w:t>
      </w:r>
      <w:r w:rsidR="00B63C0E">
        <w:t>).</w:t>
      </w:r>
    </w:p>
    <w:p w:rsidR="005A4BBC" w:rsidRDefault="005A4BBC">
      <w:pPr>
        <w:spacing w:line="360" w:lineRule="auto"/>
      </w:pPr>
    </w:p>
    <w:p w:rsidR="005A4BBC" w:rsidRDefault="00351C45">
      <w:pPr>
        <w:spacing w:line="360" w:lineRule="auto"/>
      </w:pPr>
      <w:r>
        <w:rPr>
          <w:noProof/>
        </w:rPr>
        <w:drawing>
          <wp:inline distT="0" distB="0" distL="0" distR="0" wp14:anchorId="61832080" wp14:editId="67F98799">
            <wp:extent cx="5486400" cy="3100754"/>
            <wp:effectExtent l="0" t="0" r="0"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1354D" w:rsidRPr="008D040D" w:rsidRDefault="0001354D">
      <w:pPr>
        <w:spacing w:line="360" w:lineRule="auto"/>
      </w:pPr>
    </w:p>
    <w:p w:rsidR="00881304" w:rsidRDefault="00351C45">
      <w:pPr>
        <w:pStyle w:val="Heading2"/>
        <w:rPr>
          <w:b/>
          <w:bCs/>
          <w:u w:val="none"/>
        </w:rPr>
      </w:pPr>
      <w:r>
        <w:rPr>
          <w:noProof/>
        </w:rPr>
        <w:drawing>
          <wp:inline distT="0" distB="0" distL="0" distR="0" wp14:anchorId="6DD396D5" wp14:editId="1028FDB2">
            <wp:extent cx="5486400" cy="2559148"/>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541F2" w:rsidRPr="00E541F2" w:rsidRDefault="00E541F2" w:rsidP="00E541F2"/>
    <w:p w:rsidR="007E4F24" w:rsidRDefault="007E4F24" w:rsidP="007E4F24"/>
    <w:p w:rsidR="007A17A4" w:rsidRDefault="007A17A4">
      <w:pPr>
        <w:pStyle w:val="Heading2"/>
        <w:rPr>
          <w:b/>
          <w:bCs/>
          <w:u w:val="none"/>
        </w:rPr>
      </w:pPr>
    </w:p>
    <w:p w:rsidR="005A4BBC" w:rsidRDefault="005A4BBC">
      <w:pPr>
        <w:pStyle w:val="Heading2"/>
        <w:rPr>
          <w:b/>
          <w:bCs/>
          <w:u w:val="none"/>
        </w:rPr>
      </w:pPr>
      <w:r>
        <w:rPr>
          <w:b/>
          <w:bCs/>
          <w:u w:val="none"/>
        </w:rPr>
        <w:t>Method and Subjects</w:t>
      </w:r>
    </w:p>
    <w:p w:rsidR="005A4BBC" w:rsidRDefault="005A4BBC"/>
    <w:p w:rsidR="005A4BBC" w:rsidRDefault="009A4A6C">
      <w:pPr>
        <w:spacing w:line="360" w:lineRule="auto"/>
      </w:pPr>
      <w:r>
        <w:t>The</w:t>
      </w:r>
      <w:r w:rsidR="007C404F">
        <w:t xml:space="preserve"> sample </w:t>
      </w:r>
      <w:r>
        <w:t xml:space="preserve">for the study consisted of </w:t>
      </w:r>
      <w:r w:rsidR="00537CF0">
        <w:t>409</w:t>
      </w:r>
      <w:r w:rsidR="005A4BBC">
        <w:t xml:space="preserve"> DY</w:t>
      </w:r>
      <w:r w:rsidR="00C05C8D">
        <w:t xml:space="preserve">S </w:t>
      </w:r>
      <w:r w:rsidR="0071526A">
        <w:t xml:space="preserve">youth </w:t>
      </w:r>
      <w:r w:rsidR="0048201B">
        <w:t xml:space="preserve">discharged during </w:t>
      </w:r>
      <w:r w:rsidR="009566D2">
        <w:t xml:space="preserve">the year </w:t>
      </w:r>
      <w:r w:rsidR="001A6C84">
        <w:t>2014</w:t>
      </w:r>
      <w:r w:rsidR="00DA3A62">
        <w:t xml:space="preserve"> (Table 4</w:t>
      </w:r>
      <w:r w:rsidR="005A4BBC">
        <w:t xml:space="preserve">).  </w:t>
      </w:r>
      <w:r w:rsidR="005A4BBC">
        <w:rPr>
          <w:i/>
          <w:iCs/>
        </w:rPr>
        <w:t xml:space="preserve">A detailed demographic breakdown of the sample can be found in Appendix </w:t>
      </w:r>
      <w:r w:rsidR="001B0662">
        <w:rPr>
          <w:i/>
          <w:iCs/>
        </w:rPr>
        <w:t>C</w:t>
      </w:r>
      <w:r w:rsidR="001A6C84">
        <w:t>.</w:t>
      </w:r>
      <w:r w:rsidR="00904681">
        <w:t xml:space="preserve">  The 2014 discharge group was studied because the</w:t>
      </w:r>
      <w:r w:rsidR="00B65ECC">
        <w:t xml:space="preserve"> offense histories of all the</w:t>
      </w:r>
      <w:r w:rsidR="00904681">
        <w:t xml:space="preserve"> youth </w:t>
      </w:r>
      <w:r w:rsidR="00B65ECC">
        <w:t xml:space="preserve">in the sample </w:t>
      </w:r>
      <w:r w:rsidR="00904681">
        <w:t>need</w:t>
      </w:r>
      <w:r w:rsidR="00B65ECC">
        <w:t>ed</w:t>
      </w:r>
      <w:r w:rsidR="00904681">
        <w:t xml:space="preserve"> to be tracked for two </w:t>
      </w:r>
      <w:r w:rsidR="00B65ECC">
        <w:t>years following DYS discharge.  An additional year wa</w:t>
      </w:r>
      <w:r w:rsidR="00904681">
        <w:t>s required for all the court cases to be closed</w:t>
      </w:r>
      <w:r w:rsidR="00B65ECC">
        <w:t xml:space="preserve"> before the study could begin.</w:t>
      </w:r>
      <w:r w:rsidR="001A6C84">
        <w:t xml:space="preserve">   84</w:t>
      </w:r>
      <w:r w:rsidR="00A61C45">
        <w:t>%</w:t>
      </w:r>
      <w:r w:rsidR="005A4BBC">
        <w:t xml:space="preserve"> </w:t>
      </w:r>
      <w:r w:rsidR="0031264E">
        <w:t xml:space="preserve">of the </w:t>
      </w:r>
      <w:proofErr w:type="gramStart"/>
      <w:r w:rsidR="0031264E">
        <w:t>sample</w:t>
      </w:r>
      <w:r w:rsidR="009D488B">
        <w:t xml:space="preserve"> were</w:t>
      </w:r>
      <w:proofErr w:type="gramEnd"/>
      <w:r w:rsidR="0031264E">
        <w:t xml:space="preserve"> male; </w:t>
      </w:r>
      <w:r w:rsidR="001A6C84">
        <w:t>34% were Caucasian; 27</w:t>
      </w:r>
      <w:r w:rsidR="002930B0">
        <w:t>% African American</w:t>
      </w:r>
      <w:r w:rsidR="001A6C84">
        <w:t>; and 33</w:t>
      </w:r>
      <w:r w:rsidR="002930B0">
        <w:t>% Hispanic</w:t>
      </w:r>
      <w:r w:rsidR="00625663">
        <w:t xml:space="preserve">.  </w:t>
      </w:r>
      <w:r w:rsidR="001A6C84">
        <w:t>57</w:t>
      </w:r>
      <w:r w:rsidR="00625663">
        <w:t xml:space="preserve">% of the sample </w:t>
      </w:r>
      <w:r w:rsidR="0071526A">
        <w:t xml:space="preserve">had been classified as </w:t>
      </w:r>
      <w:r w:rsidR="00625663">
        <w:t>DYS grid level 3 and abov</w:t>
      </w:r>
      <w:r w:rsidR="001A6C84">
        <w:t>e.  The remaining 43</w:t>
      </w:r>
      <w:r w:rsidR="00CE1590">
        <w:t xml:space="preserve">% were </w:t>
      </w:r>
      <w:r w:rsidR="0071526A">
        <w:t xml:space="preserve">classified </w:t>
      </w:r>
      <w:r w:rsidR="00625663">
        <w:t>grid levels 1 or 2</w:t>
      </w:r>
      <w:r w:rsidR="00D57510">
        <w:t xml:space="preserve"> (Table 5)</w:t>
      </w:r>
      <w:r w:rsidR="002930B0">
        <w:t xml:space="preserve">.  </w:t>
      </w:r>
      <w:r w:rsidR="004C0FCB">
        <w:t>Excluded from the study were youth</w:t>
      </w:r>
      <w:r w:rsidR="008C5511">
        <w:t xml:space="preserve"> </w:t>
      </w:r>
      <w:r w:rsidR="00521C19">
        <w:t xml:space="preserve">for whom a criminal </w:t>
      </w:r>
      <w:r w:rsidR="00632806">
        <w:t>h</w:t>
      </w:r>
      <w:r w:rsidR="002930B0">
        <w:t>istory was incomplete or could not be located</w:t>
      </w:r>
      <w:r w:rsidR="008C5511">
        <w:t xml:space="preserve">.  </w:t>
      </w:r>
      <w:r w:rsidR="004A7FB4">
        <w:t>The subjects’ criminal histories were</w:t>
      </w:r>
      <w:r w:rsidR="005A4BBC">
        <w:t xml:space="preserve"> checked using the </w:t>
      </w:r>
      <w:r w:rsidR="00EB32D8">
        <w:t xml:space="preserve">Commonwealth’s </w:t>
      </w:r>
      <w:r w:rsidR="005A4BBC">
        <w:t xml:space="preserve">Criminal Offenders Record Information (CORI). </w:t>
      </w:r>
      <w:r w:rsidR="0023443A">
        <w:t xml:space="preserve"> All data was then entered for analysis in</w:t>
      </w:r>
      <w:r w:rsidR="002930B0">
        <w:t>to MS Excel</w:t>
      </w:r>
      <w:r w:rsidR="005A4BBC">
        <w:t>.</w:t>
      </w:r>
      <w:r w:rsidR="007C4B5C">
        <w:t xml:space="preserve">  Using client information gathered from the </w:t>
      </w:r>
      <w:r w:rsidR="002B2AF0">
        <w:t xml:space="preserve">Department’s </w:t>
      </w:r>
      <w:r w:rsidR="0088738D">
        <w:t>Juvenile Justice Enterprise Management System (JJEMS</w:t>
      </w:r>
      <w:r w:rsidR="007C4B5C">
        <w:t>), it was possible to calculate recidivism rates with respect</w:t>
      </w:r>
      <w:r w:rsidR="00EE18FB">
        <w:t xml:space="preserve"> to gender, grid level, DYS region</w:t>
      </w:r>
      <w:r w:rsidR="007C4B5C">
        <w:t xml:space="preserve">, </w:t>
      </w:r>
      <w:r w:rsidR="001A6C84">
        <w:t>hometown</w:t>
      </w:r>
      <w:r w:rsidR="00F571D8">
        <w:t xml:space="preserve">, </w:t>
      </w:r>
      <w:proofErr w:type="gramStart"/>
      <w:r w:rsidR="007C4B5C">
        <w:t>county</w:t>
      </w:r>
      <w:proofErr w:type="gramEnd"/>
      <w:r w:rsidR="007C4B5C">
        <w:t>, age at first commitment</w:t>
      </w:r>
      <w:r w:rsidR="0071526A">
        <w:t xml:space="preserve"> to DYS custody</w:t>
      </w:r>
      <w:r w:rsidR="001A6C84">
        <w:t>, offense type, and assessment scores.</w:t>
      </w:r>
    </w:p>
    <w:p w:rsidR="00383768" w:rsidRDefault="00383768">
      <w:pPr>
        <w:spacing w:line="360" w:lineRule="auto"/>
      </w:pPr>
    </w:p>
    <w:p w:rsidR="005A4BBC" w:rsidRDefault="005A4BBC"/>
    <w:p w:rsidR="005A4BBC" w:rsidRDefault="005A4BBC">
      <w:pPr>
        <w:rPr>
          <w:b/>
          <w:bCs/>
          <w:sz w:val="22"/>
        </w:rPr>
      </w:pPr>
      <w:r>
        <w:rPr>
          <w:b/>
          <w:bCs/>
          <w:sz w:val="22"/>
          <w:u w:val="single"/>
        </w:rPr>
        <w:t xml:space="preserve">Table </w:t>
      </w:r>
      <w:r w:rsidR="00DA3A62">
        <w:rPr>
          <w:b/>
          <w:bCs/>
          <w:sz w:val="22"/>
          <w:u w:val="single"/>
        </w:rPr>
        <w:t>4</w:t>
      </w:r>
      <w:r>
        <w:rPr>
          <w:b/>
          <w:bCs/>
          <w:sz w:val="22"/>
        </w:rPr>
        <w:t xml:space="preserve">   Characteristics of the Sample</w:t>
      </w:r>
    </w:p>
    <w:p w:rsidR="005A4BBC" w:rsidRDefault="005A4BBC">
      <w:pPr>
        <w:rPr>
          <w:sz w:val="22"/>
        </w:rPr>
      </w:pPr>
    </w:p>
    <w:p w:rsidR="005A4BBC" w:rsidRDefault="005A4BBC">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5A4BBC" w:rsidRPr="007B6653" w:rsidRDefault="005A4BBC">
      <w:pPr>
        <w:rPr>
          <w:b/>
          <w:sz w:val="20"/>
          <w:szCs w:val="20"/>
          <w:u w:val="single"/>
        </w:rPr>
      </w:pPr>
      <w:r>
        <w:rPr>
          <w:sz w:val="22"/>
        </w:rPr>
        <w:tab/>
      </w:r>
      <w:r>
        <w:rPr>
          <w:sz w:val="22"/>
        </w:rPr>
        <w:tab/>
      </w:r>
      <w:r>
        <w:rPr>
          <w:sz w:val="22"/>
        </w:rPr>
        <w:tab/>
      </w:r>
      <w:r>
        <w:rPr>
          <w:sz w:val="22"/>
        </w:rPr>
        <w:tab/>
      </w:r>
      <w:r w:rsidRPr="007B6653">
        <w:rPr>
          <w:b/>
          <w:sz w:val="22"/>
        </w:rPr>
        <w:t xml:space="preserve"> </w:t>
      </w:r>
      <w:r w:rsidR="00DF38ED">
        <w:rPr>
          <w:b/>
          <w:sz w:val="22"/>
        </w:rPr>
        <w:t xml:space="preserve"> </w:t>
      </w:r>
      <w:r w:rsidRPr="007B6653">
        <w:rPr>
          <w:b/>
          <w:sz w:val="20"/>
          <w:szCs w:val="20"/>
        </w:rPr>
        <w:t>N</w:t>
      </w:r>
      <w:r w:rsidRPr="007B6653">
        <w:rPr>
          <w:b/>
          <w:sz w:val="20"/>
          <w:szCs w:val="20"/>
        </w:rPr>
        <w:tab/>
        <w:t>Minimum</w:t>
      </w:r>
      <w:r w:rsidRPr="007B6653">
        <w:rPr>
          <w:b/>
          <w:sz w:val="20"/>
          <w:szCs w:val="20"/>
        </w:rPr>
        <w:tab/>
        <w:t>Maximum        Mean</w:t>
      </w:r>
      <w:r w:rsidRPr="007B6653">
        <w:rPr>
          <w:b/>
          <w:sz w:val="20"/>
          <w:szCs w:val="20"/>
        </w:rPr>
        <w:tab/>
        <w:t xml:space="preserve">  Std. Deviation</w:t>
      </w:r>
    </w:p>
    <w:p w:rsidR="005A4BBC" w:rsidRDefault="005A4BBC">
      <w:pPr>
        <w:rPr>
          <w:sz w:val="8"/>
          <w:u w:val="single"/>
        </w:rPr>
      </w:pPr>
      <w:r>
        <w:rPr>
          <w:sz w:val="4"/>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p>
    <w:p w:rsidR="005A4BBC" w:rsidRDefault="005A4BBC">
      <w:pPr>
        <w:rPr>
          <w:sz w:val="22"/>
        </w:rPr>
      </w:pPr>
      <w:r>
        <w:rPr>
          <w:sz w:val="22"/>
        </w:rPr>
        <w:tab/>
      </w:r>
      <w:r>
        <w:rPr>
          <w:sz w:val="22"/>
        </w:rPr>
        <w:tab/>
      </w:r>
      <w:r>
        <w:rPr>
          <w:sz w:val="22"/>
        </w:rPr>
        <w:tab/>
      </w:r>
    </w:p>
    <w:p w:rsidR="00DA5C58" w:rsidRPr="002930B0" w:rsidRDefault="00DA5C58" w:rsidP="00DA5C58">
      <w:pPr>
        <w:rPr>
          <w:rFonts w:ascii="Arial" w:hAnsi="Arial" w:cs="Arial"/>
          <w:sz w:val="20"/>
          <w:szCs w:val="20"/>
        </w:rPr>
      </w:pPr>
      <w:r w:rsidRPr="002930B0">
        <w:rPr>
          <w:rFonts w:ascii="Arial" w:hAnsi="Arial" w:cs="Arial"/>
          <w:sz w:val="20"/>
          <w:szCs w:val="20"/>
        </w:rPr>
        <w:t xml:space="preserve">Age at First Arrest          </w:t>
      </w:r>
      <w:r w:rsidRPr="002930B0">
        <w:rPr>
          <w:rFonts w:ascii="Arial" w:hAnsi="Arial" w:cs="Arial"/>
          <w:sz w:val="20"/>
          <w:szCs w:val="20"/>
        </w:rPr>
        <w:tab/>
      </w:r>
      <w:r w:rsidR="00537CF0">
        <w:rPr>
          <w:rFonts w:ascii="Arial" w:hAnsi="Arial" w:cs="Arial"/>
          <w:sz w:val="20"/>
          <w:szCs w:val="20"/>
        </w:rPr>
        <w:t>409</w:t>
      </w:r>
      <w:r w:rsidRPr="002930B0">
        <w:rPr>
          <w:rFonts w:ascii="Arial" w:hAnsi="Arial" w:cs="Arial"/>
          <w:sz w:val="20"/>
          <w:szCs w:val="20"/>
        </w:rPr>
        <w:tab/>
        <w:t xml:space="preserve">      </w:t>
      </w:r>
      <w:r w:rsidR="002930B0">
        <w:rPr>
          <w:rFonts w:ascii="Arial" w:hAnsi="Arial" w:cs="Arial"/>
          <w:sz w:val="20"/>
          <w:szCs w:val="20"/>
        </w:rPr>
        <w:t xml:space="preserve"> 8</w:t>
      </w:r>
      <w:r w:rsidRPr="002930B0">
        <w:rPr>
          <w:rFonts w:ascii="Arial" w:hAnsi="Arial" w:cs="Arial"/>
          <w:sz w:val="20"/>
          <w:szCs w:val="20"/>
        </w:rPr>
        <w:tab/>
      </w:r>
      <w:r w:rsidRPr="002930B0">
        <w:rPr>
          <w:rFonts w:ascii="Arial" w:hAnsi="Arial" w:cs="Arial"/>
          <w:sz w:val="20"/>
          <w:szCs w:val="20"/>
        </w:rPr>
        <w:tab/>
        <w:t xml:space="preserve">      17</w:t>
      </w:r>
      <w:r w:rsidRPr="002930B0">
        <w:rPr>
          <w:rFonts w:ascii="Arial" w:hAnsi="Arial" w:cs="Arial"/>
          <w:sz w:val="20"/>
          <w:szCs w:val="20"/>
        </w:rPr>
        <w:tab/>
        <w:t xml:space="preserve">             </w:t>
      </w:r>
      <w:r w:rsidR="001A6C84">
        <w:rPr>
          <w:rFonts w:ascii="Arial" w:hAnsi="Arial" w:cs="Arial"/>
          <w:sz w:val="20"/>
          <w:szCs w:val="20"/>
        </w:rPr>
        <w:t>13.8</w:t>
      </w:r>
      <w:r w:rsidRPr="002930B0">
        <w:rPr>
          <w:rFonts w:ascii="Arial" w:hAnsi="Arial" w:cs="Arial"/>
          <w:sz w:val="20"/>
          <w:szCs w:val="20"/>
        </w:rPr>
        <w:tab/>
        <w:t xml:space="preserve">         </w:t>
      </w:r>
      <w:r w:rsidR="001A6C84">
        <w:rPr>
          <w:rFonts w:ascii="Arial" w:hAnsi="Arial" w:cs="Arial"/>
          <w:sz w:val="20"/>
          <w:szCs w:val="20"/>
        </w:rPr>
        <w:t>1.7</w:t>
      </w:r>
    </w:p>
    <w:p w:rsidR="00DA5C58" w:rsidRPr="002930B0" w:rsidRDefault="00DA5C58">
      <w:pPr>
        <w:rPr>
          <w:rFonts w:ascii="Arial" w:hAnsi="Arial" w:cs="Arial"/>
          <w:sz w:val="20"/>
          <w:szCs w:val="20"/>
        </w:rPr>
      </w:pPr>
    </w:p>
    <w:p w:rsidR="0005537C" w:rsidRDefault="0005537C">
      <w:pPr>
        <w:rPr>
          <w:rFonts w:ascii="Arial" w:hAnsi="Arial" w:cs="Arial"/>
          <w:sz w:val="20"/>
          <w:szCs w:val="20"/>
        </w:rPr>
      </w:pPr>
      <w:r>
        <w:rPr>
          <w:rFonts w:ascii="Arial" w:hAnsi="Arial" w:cs="Arial"/>
          <w:sz w:val="20"/>
          <w:szCs w:val="20"/>
        </w:rPr>
        <w:t xml:space="preserve">Age at </w:t>
      </w:r>
      <w:r w:rsidR="00F0217A" w:rsidRPr="002930B0">
        <w:rPr>
          <w:rFonts w:ascii="Arial" w:hAnsi="Arial" w:cs="Arial"/>
          <w:sz w:val="20"/>
          <w:szCs w:val="20"/>
        </w:rPr>
        <w:t>Commitment</w:t>
      </w:r>
      <w:r>
        <w:rPr>
          <w:rFonts w:ascii="Arial" w:hAnsi="Arial" w:cs="Arial"/>
          <w:sz w:val="20"/>
          <w:szCs w:val="20"/>
        </w:rPr>
        <w:t xml:space="preserve"> to DYS </w:t>
      </w:r>
    </w:p>
    <w:p w:rsidR="005A4BBC" w:rsidRPr="002930B0" w:rsidRDefault="0005537C">
      <w:pPr>
        <w:rPr>
          <w:rFonts w:ascii="Arial" w:hAnsi="Arial" w:cs="Arial"/>
          <w:sz w:val="20"/>
          <w:szCs w:val="20"/>
        </w:rPr>
      </w:pPr>
      <w:r>
        <w:rPr>
          <w:rFonts w:ascii="Arial" w:hAnsi="Arial" w:cs="Arial"/>
          <w:sz w:val="20"/>
          <w:szCs w:val="20"/>
        </w:rPr>
        <w:t>Custody</w:t>
      </w:r>
      <w:r>
        <w:rPr>
          <w:rFonts w:ascii="Arial" w:hAnsi="Arial" w:cs="Arial"/>
          <w:sz w:val="20"/>
          <w:szCs w:val="20"/>
        </w:rPr>
        <w:tab/>
      </w:r>
      <w:r>
        <w:rPr>
          <w:rFonts w:ascii="Arial" w:hAnsi="Arial" w:cs="Arial"/>
          <w:sz w:val="20"/>
          <w:szCs w:val="20"/>
        </w:rPr>
        <w:tab/>
      </w:r>
      <w:r w:rsidR="00F0217A" w:rsidRPr="002930B0">
        <w:rPr>
          <w:rFonts w:ascii="Arial" w:hAnsi="Arial" w:cs="Arial"/>
          <w:sz w:val="20"/>
          <w:szCs w:val="20"/>
        </w:rPr>
        <w:tab/>
      </w:r>
      <w:r w:rsidR="00537CF0">
        <w:rPr>
          <w:rFonts w:ascii="Arial" w:hAnsi="Arial" w:cs="Arial"/>
          <w:sz w:val="20"/>
          <w:szCs w:val="20"/>
        </w:rPr>
        <w:t>409</w:t>
      </w:r>
      <w:r w:rsidR="003763F4" w:rsidRPr="002930B0">
        <w:rPr>
          <w:rFonts w:ascii="Arial" w:hAnsi="Arial" w:cs="Arial"/>
          <w:sz w:val="20"/>
          <w:szCs w:val="20"/>
        </w:rPr>
        <w:tab/>
        <w:t xml:space="preserve">    </w:t>
      </w:r>
      <w:r w:rsidR="005A4BBC" w:rsidRPr="002930B0">
        <w:rPr>
          <w:rFonts w:ascii="Arial" w:hAnsi="Arial" w:cs="Arial"/>
          <w:sz w:val="20"/>
          <w:szCs w:val="20"/>
        </w:rPr>
        <w:t xml:space="preserve"> </w:t>
      </w:r>
      <w:r w:rsidR="00F0217A" w:rsidRPr="002930B0">
        <w:rPr>
          <w:rFonts w:ascii="Arial" w:hAnsi="Arial" w:cs="Arial"/>
          <w:sz w:val="20"/>
          <w:szCs w:val="20"/>
        </w:rPr>
        <w:t xml:space="preserve"> </w:t>
      </w:r>
      <w:r w:rsidR="001A6C84">
        <w:rPr>
          <w:rFonts w:ascii="Arial" w:hAnsi="Arial" w:cs="Arial"/>
          <w:sz w:val="20"/>
          <w:szCs w:val="20"/>
        </w:rPr>
        <w:t>12</w:t>
      </w:r>
      <w:r w:rsidR="00F0217A" w:rsidRPr="002930B0">
        <w:rPr>
          <w:rFonts w:ascii="Arial" w:hAnsi="Arial" w:cs="Arial"/>
          <w:sz w:val="20"/>
          <w:szCs w:val="20"/>
        </w:rPr>
        <w:t xml:space="preserve">     </w:t>
      </w:r>
      <w:r w:rsidR="003763F4" w:rsidRPr="002930B0">
        <w:rPr>
          <w:rFonts w:ascii="Arial" w:hAnsi="Arial" w:cs="Arial"/>
          <w:sz w:val="20"/>
          <w:szCs w:val="20"/>
        </w:rPr>
        <w:tab/>
        <w:t xml:space="preserve">     </w:t>
      </w:r>
      <w:r w:rsidR="006C0F91" w:rsidRPr="002930B0">
        <w:rPr>
          <w:rFonts w:ascii="Arial" w:hAnsi="Arial" w:cs="Arial"/>
          <w:sz w:val="20"/>
          <w:szCs w:val="20"/>
        </w:rPr>
        <w:t xml:space="preserve"> </w:t>
      </w:r>
      <w:r w:rsidR="002930B0">
        <w:rPr>
          <w:rFonts w:ascii="Arial" w:hAnsi="Arial" w:cs="Arial"/>
          <w:sz w:val="20"/>
          <w:szCs w:val="20"/>
        </w:rPr>
        <w:t>18</w:t>
      </w:r>
      <w:r w:rsidR="00DF38ED" w:rsidRPr="002930B0">
        <w:rPr>
          <w:rFonts w:ascii="Arial" w:hAnsi="Arial" w:cs="Arial"/>
          <w:sz w:val="20"/>
          <w:szCs w:val="20"/>
        </w:rPr>
        <w:tab/>
        <w:t xml:space="preserve">           </w:t>
      </w:r>
      <w:r w:rsidR="001A6C84">
        <w:rPr>
          <w:rFonts w:ascii="Arial" w:hAnsi="Arial" w:cs="Arial"/>
          <w:sz w:val="20"/>
          <w:szCs w:val="20"/>
        </w:rPr>
        <w:t xml:space="preserve">  16.3</w:t>
      </w:r>
      <w:r w:rsidR="0088738D" w:rsidRPr="002930B0">
        <w:rPr>
          <w:rFonts w:ascii="Arial" w:hAnsi="Arial" w:cs="Arial"/>
          <w:sz w:val="20"/>
          <w:szCs w:val="20"/>
        </w:rPr>
        <w:tab/>
        <w:t xml:space="preserve">         </w:t>
      </w:r>
      <w:r w:rsidR="001A6C84">
        <w:rPr>
          <w:rFonts w:ascii="Arial" w:hAnsi="Arial" w:cs="Arial"/>
          <w:sz w:val="20"/>
          <w:szCs w:val="20"/>
        </w:rPr>
        <w:t>1.2</w:t>
      </w:r>
    </w:p>
    <w:p w:rsidR="005A4BBC" w:rsidRPr="002930B0" w:rsidRDefault="005A4BBC">
      <w:pPr>
        <w:rPr>
          <w:rFonts w:ascii="Arial" w:hAnsi="Arial" w:cs="Arial"/>
          <w:sz w:val="20"/>
          <w:szCs w:val="20"/>
        </w:rPr>
      </w:pPr>
    </w:p>
    <w:p w:rsidR="005A4BBC" w:rsidRPr="002930B0" w:rsidRDefault="00D47E9F">
      <w:pPr>
        <w:rPr>
          <w:rFonts w:ascii="Arial" w:hAnsi="Arial" w:cs="Arial"/>
          <w:sz w:val="20"/>
          <w:szCs w:val="20"/>
        </w:rPr>
      </w:pPr>
      <w:r w:rsidRPr="002930B0">
        <w:rPr>
          <w:rFonts w:ascii="Arial" w:hAnsi="Arial" w:cs="Arial"/>
          <w:sz w:val="20"/>
          <w:szCs w:val="20"/>
        </w:rPr>
        <w:t>Length of Stay</w:t>
      </w:r>
      <w:r w:rsidR="0006592F" w:rsidRPr="002930B0">
        <w:rPr>
          <w:rFonts w:ascii="Arial" w:hAnsi="Arial" w:cs="Arial"/>
          <w:sz w:val="20"/>
          <w:szCs w:val="20"/>
        </w:rPr>
        <w:t xml:space="preserve"> in DYS</w:t>
      </w:r>
      <w:r w:rsidR="00DA5C58" w:rsidRPr="002930B0">
        <w:rPr>
          <w:rFonts w:ascii="Arial" w:hAnsi="Arial" w:cs="Arial"/>
          <w:sz w:val="20"/>
          <w:szCs w:val="20"/>
        </w:rPr>
        <w:t xml:space="preserve"> (Y</w:t>
      </w:r>
      <w:r w:rsidRPr="002930B0">
        <w:rPr>
          <w:rFonts w:ascii="Arial" w:hAnsi="Arial" w:cs="Arial"/>
          <w:sz w:val="20"/>
          <w:szCs w:val="20"/>
        </w:rPr>
        <w:t>rs</w:t>
      </w:r>
      <w:r w:rsidR="00DA5C58" w:rsidRPr="002930B0">
        <w:rPr>
          <w:rFonts w:ascii="Arial" w:hAnsi="Arial" w:cs="Arial"/>
          <w:sz w:val="20"/>
          <w:szCs w:val="20"/>
        </w:rPr>
        <w:t>.</w:t>
      </w:r>
      <w:r w:rsidR="00B12950" w:rsidRPr="002930B0">
        <w:rPr>
          <w:rFonts w:ascii="Arial" w:hAnsi="Arial" w:cs="Arial"/>
          <w:sz w:val="20"/>
          <w:szCs w:val="20"/>
        </w:rPr>
        <w:t>)</w:t>
      </w:r>
      <w:r w:rsidR="002930B0">
        <w:rPr>
          <w:rFonts w:ascii="Arial" w:hAnsi="Arial" w:cs="Arial"/>
          <w:sz w:val="20"/>
          <w:szCs w:val="20"/>
        </w:rPr>
        <w:tab/>
      </w:r>
      <w:r w:rsidR="00537CF0">
        <w:rPr>
          <w:rFonts w:ascii="Arial" w:hAnsi="Arial" w:cs="Arial"/>
          <w:sz w:val="20"/>
          <w:szCs w:val="20"/>
        </w:rPr>
        <w:t>409</w:t>
      </w:r>
      <w:r w:rsidR="00C966E0" w:rsidRPr="002930B0">
        <w:rPr>
          <w:rFonts w:ascii="Arial" w:hAnsi="Arial" w:cs="Arial"/>
          <w:sz w:val="20"/>
          <w:szCs w:val="20"/>
        </w:rPr>
        <w:tab/>
        <w:t xml:space="preserve">      0.1</w:t>
      </w:r>
      <w:r w:rsidR="00C966E0" w:rsidRPr="002930B0">
        <w:rPr>
          <w:rFonts w:ascii="Arial" w:hAnsi="Arial" w:cs="Arial"/>
          <w:sz w:val="20"/>
          <w:szCs w:val="20"/>
        </w:rPr>
        <w:tab/>
      </w:r>
      <w:r w:rsidR="00C966E0" w:rsidRPr="002930B0">
        <w:rPr>
          <w:rFonts w:ascii="Arial" w:hAnsi="Arial" w:cs="Arial"/>
          <w:sz w:val="20"/>
          <w:szCs w:val="20"/>
        </w:rPr>
        <w:tab/>
        <w:t xml:space="preserve">     </w:t>
      </w:r>
      <w:r w:rsidR="0088738D" w:rsidRPr="002930B0">
        <w:rPr>
          <w:rFonts w:ascii="Arial" w:hAnsi="Arial" w:cs="Arial"/>
          <w:sz w:val="20"/>
          <w:szCs w:val="20"/>
        </w:rPr>
        <w:t xml:space="preserve"> </w:t>
      </w:r>
      <w:r w:rsidR="001A6C84">
        <w:rPr>
          <w:rFonts w:ascii="Arial" w:hAnsi="Arial" w:cs="Arial"/>
          <w:sz w:val="20"/>
          <w:szCs w:val="20"/>
        </w:rPr>
        <w:t>8.3</w:t>
      </w:r>
      <w:r w:rsidR="002930B0">
        <w:rPr>
          <w:rFonts w:ascii="Arial" w:hAnsi="Arial" w:cs="Arial"/>
          <w:sz w:val="20"/>
          <w:szCs w:val="20"/>
        </w:rPr>
        <w:tab/>
      </w:r>
      <w:r w:rsidR="002930B0">
        <w:rPr>
          <w:rFonts w:ascii="Arial" w:hAnsi="Arial" w:cs="Arial"/>
          <w:sz w:val="20"/>
          <w:szCs w:val="20"/>
        </w:rPr>
        <w:tab/>
      </w:r>
      <w:r w:rsidR="00E34C5B">
        <w:rPr>
          <w:rFonts w:ascii="Arial" w:hAnsi="Arial" w:cs="Arial"/>
          <w:sz w:val="20"/>
          <w:szCs w:val="20"/>
        </w:rPr>
        <w:t xml:space="preserve"> </w:t>
      </w:r>
      <w:r w:rsidR="001A6C84">
        <w:rPr>
          <w:rFonts w:ascii="Arial" w:hAnsi="Arial" w:cs="Arial"/>
          <w:sz w:val="20"/>
          <w:szCs w:val="20"/>
        </w:rPr>
        <w:t>2.1</w:t>
      </w:r>
      <w:r w:rsidR="006B1BC9" w:rsidRPr="002930B0">
        <w:rPr>
          <w:rFonts w:ascii="Arial" w:hAnsi="Arial" w:cs="Arial"/>
          <w:sz w:val="20"/>
          <w:szCs w:val="20"/>
        </w:rPr>
        <w:tab/>
        <w:t xml:space="preserve">         1.</w:t>
      </w:r>
      <w:r w:rsidR="002930B0">
        <w:rPr>
          <w:rFonts w:ascii="Arial" w:hAnsi="Arial" w:cs="Arial"/>
          <w:sz w:val="20"/>
          <w:szCs w:val="20"/>
        </w:rPr>
        <w:t>5</w:t>
      </w:r>
    </w:p>
    <w:p w:rsidR="005A4BBC" w:rsidRPr="00B12950" w:rsidRDefault="005A4BBC">
      <w:pPr>
        <w:rPr>
          <w:rFonts w:ascii="Arial" w:hAnsi="Arial" w:cs="Arial"/>
          <w:sz w:val="20"/>
          <w:szCs w:val="20"/>
        </w:rPr>
      </w:pPr>
      <w:r w:rsidRPr="00B12950">
        <w:rPr>
          <w:rFonts w:ascii="Arial" w:hAnsi="Arial" w:cs="Arial"/>
          <w:sz w:val="20"/>
          <w:szCs w:val="20"/>
        </w:rPr>
        <w:tab/>
      </w:r>
      <w:r w:rsidRPr="00B12950">
        <w:rPr>
          <w:rFonts w:ascii="Arial" w:hAnsi="Arial" w:cs="Arial"/>
          <w:sz w:val="20"/>
          <w:szCs w:val="20"/>
        </w:rPr>
        <w:tab/>
      </w:r>
      <w:r w:rsidRPr="00B12950">
        <w:rPr>
          <w:rFonts w:ascii="Arial" w:hAnsi="Arial" w:cs="Arial"/>
          <w:sz w:val="20"/>
          <w:szCs w:val="20"/>
        </w:rPr>
        <w:tab/>
      </w:r>
    </w:p>
    <w:p w:rsidR="00284C59" w:rsidRPr="00D9496B" w:rsidRDefault="005A4BBC" w:rsidP="00D9496B">
      <w:pPr>
        <w:spacing w:line="360" w:lineRule="auto"/>
        <w:rPr>
          <w:b/>
          <w:bCs/>
          <w:sz w:val="4"/>
          <w:u w:val="single"/>
        </w:rPr>
      </w:pP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p>
    <w:p w:rsidR="00383768" w:rsidRDefault="00383768" w:rsidP="00D57510">
      <w:pPr>
        <w:rPr>
          <w:b/>
          <w:bCs/>
        </w:rPr>
      </w:pPr>
    </w:p>
    <w:p w:rsidR="00383768" w:rsidRDefault="00383768" w:rsidP="00D57510">
      <w:pPr>
        <w:rPr>
          <w:b/>
          <w:bCs/>
        </w:rPr>
      </w:pPr>
    </w:p>
    <w:p w:rsidR="00383768" w:rsidRDefault="00383768" w:rsidP="00D57510">
      <w:pPr>
        <w:rPr>
          <w:b/>
          <w:bCs/>
        </w:rPr>
      </w:pPr>
    </w:p>
    <w:p w:rsidR="00383768" w:rsidRDefault="00383768" w:rsidP="00D57510">
      <w:pPr>
        <w:rPr>
          <w:b/>
          <w:bCs/>
        </w:rPr>
      </w:pPr>
    </w:p>
    <w:p w:rsidR="00383768" w:rsidRDefault="00383768" w:rsidP="00D57510">
      <w:pPr>
        <w:rPr>
          <w:b/>
          <w:bCs/>
        </w:rPr>
      </w:pPr>
    </w:p>
    <w:p w:rsidR="00383768" w:rsidRDefault="00383768" w:rsidP="00D57510">
      <w:pPr>
        <w:rPr>
          <w:b/>
          <w:bCs/>
        </w:rPr>
      </w:pPr>
    </w:p>
    <w:p w:rsidR="00383768" w:rsidRDefault="00383768" w:rsidP="00D57510">
      <w:pPr>
        <w:rPr>
          <w:b/>
          <w:bCs/>
        </w:rPr>
      </w:pPr>
    </w:p>
    <w:p w:rsidR="00383768" w:rsidRDefault="00383768" w:rsidP="00D57510">
      <w:pPr>
        <w:rPr>
          <w:b/>
          <w:bCs/>
        </w:rPr>
      </w:pPr>
    </w:p>
    <w:p w:rsidR="00383768" w:rsidRDefault="00383768" w:rsidP="00D57510">
      <w:pPr>
        <w:rPr>
          <w:b/>
          <w:bCs/>
        </w:rPr>
      </w:pPr>
    </w:p>
    <w:p w:rsidR="00D57510" w:rsidRDefault="00D57510" w:rsidP="00D57510">
      <w:pPr>
        <w:rPr>
          <w:b/>
          <w:bCs/>
          <w:sz w:val="22"/>
        </w:rPr>
      </w:pPr>
      <w:r>
        <w:rPr>
          <w:b/>
          <w:bCs/>
          <w:sz w:val="22"/>
          <w:u w:val="single"/>
        </w:rPr>
        <w:t>Table 5</w:t>
      </w:r>
      <w:r>
        <w:rPr>
          <w:b/>
          <w:bCs/>
          <w:sz w:val="22"/>
        </w:rPr>
        <w:t xml:space="preserve">   </w:t>
      </w:r>
      <w:r w:rsidR="00AD12E6">
        <w:rPr>
          <w:b/>
          <w:bCs/>
          <w:sz w:val="22"/>
        </w:rPr>
        <w:t xml:space="preserve">Selected </w:t>
      </w:r>
      <w:r>
        <w:rPr>
          <w:b/>
          <w:bCs/>
          <w:sz w:val="22"/>
        </w:rPr>
        <w:t>DYS Offenses and Grids</w:t>
      </w:r>
    </w:p>
    <w:p w:rsidR="00D57510" w:rsidRDefault="00D57510" w:rsidP="00D57510">
      <w:pPr>
        <w:rPr>
          <w:sz w:val="22"/>
        </w:rPr>
      </w:pPr>
    </w:p>
    <w:p w:rsidR="00D57510" w:rsidRDefault="00D57510" w:rsidP="00D57510">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D57510" w:rsidRPr="00EC075C" w:rsidRDefault="00EC075C" w:rsidP="00EB32D8">
      <w:pPr>
        <w:ind w:left="1440" w:firstLine="720"/>
        <w:rPr>
          <w:b/>
          <w:sz w:val="20"/>
          <w:szCs w:val="20"/>
        </w:rPr>
      </w:pPr>
      <w:r w:rsidRPr="00EC075C">
        <w:rPr>
          <w:b/>
          <w:sz w:val="20"/>
          <w:szCs w:val="20"/>
        </w:rPr>
        <w:t>Offense</w:t>
      </w:r>
      <w:r w:rsidRPr="00EC075C">
        <w:rPr>
          <w:b/>
          <w:sz w:val="20"/>
          <w:szCs w:val="20"/>
        </w:rPr>
        <w:tab/>
        <w:t xml:space="preserve">                     </w:t>
      </w:r>
      <w:r>
        <w:rPr>
          <w:b/>
          <w:sz w:val="20"/>
          <w:szCs w:val="20"/>
        </w:rPr>
        <w:t xml:space="preserve">                      </w:t>
      </w:r>
      <w:r w:rsidR="00EB32D8">
        <w:rPr>
          <w:b/>
          <w:sz w:val="20"/>
          <w:szCs w:val="20"/>
        </w:rPr>
        <w:t xml:space="preserve">  </w:t>
      </w:r>
      <w:r w:rsidRPr="00EC075C">
        <w:rPr>
          <w:b/>
          <w:sz w:val="20"/>
          <w:szCs w:val="20"/>
        </w:rPr>
        <w:t>Grid</w:t>
      </w:r>
    </w:p>
    <w:p w:rsidR="00D57510" w:rsidRDefault="00D57510" w:rsidP="00D57510">
      <w:pPr>
        <w:rPr>
          <w:sz w:val="8"/>
          <w:u w:val="single"/>
        </w:rPr>
      </w:pPr>
      <w:r>
        <w:rPr>
          <w:sz w:val="4"/>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p>
    <w:p w:rsidR="00D57510" w:rsidRDefault="00D57510" w:rsidP="00D57510">
      <w:pPr>
        <w:rPr>
          <w:sz w:val="22"/>
        </w:rPr>
      </w:pPr>
      <w:r>
        <w:rPr>
          <w:sz w:val="22"/>
        </w:rPr>
        <w:tab/>
      </w:r>
      <w:r>
        <w:rPr>
          <w:sz w:val="22"/>
        </w:rPr>
        <w:tab/>
      </w:r>
      <w:r>
        <w:rPr>
          <w:sz w:val="22"/>
        </w:rPr>
        <w:tab/>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 xml:space="preserve">Disturbing the Peace   </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1</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Petty Larceny</w:t>
      </w:r>
      <w:r w:rsidRPr="002930B0">
        <w:rPr>
          <w:rFonts w:ascii="Arial" w:hAnsi="Arial" w:cs="Arial"/>
          <w:sz w:val="20"/>
          <w:szCs w:val="20"/>
        </w:rPr>
        <w:tab/>
        <w:t xml:space="preserve">    </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1</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Possession of Marijuana</w:t>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1</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Distributing Marijuana</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2</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Possession of Cocaine</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2</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P</w:t>
      </w:r>
      <w:r w:rsidR="00EB32D8" w:rsidRPr="002930B0">
        <w:rPr>
          <w:rFonts w:ascii="Arial" w:hAnsi="Arial" w:cs="Arial"/>
          <w:sz w:val="20"/>
          <w:szCs w:val="20"/>
        </w:rPr>
        <w:t>oss. of a Dangerous</w:t>
      </w:r>
      <w:r w:rsidRPr="002930B0">
        <w:rPr>
          <w:rFonts w:ascii="Arial" w:hAnsi="Arial" w:cs="Arial"/>
          <w:sz w:val="20"/>
          <w:szCs w:val="20"/>
        </w:rPr>
        <w:t xml:space="preserve"> Weapon</w:t>
      </w:r>
      <w:r w:rsidR="00EB32D8" w:rsidRPr="002930B0">
        <w:rPr>
          <w:rFonts w:ascii="Arial" w:hAnsi="Arial" w:cs="Arial"/>
          <w:sz w:val="20"/>
          <w:szCs w:val="20"/>
        </w:rPr>
        <w:tab/>
        <w:t xml:space="preserve">     </w:t>
      </w:r>
      <w:r w:rsidRPr="002930B0">
        <w:rPr>
          <w:rFonts w:ascii="Arial" w:hAnsi="Arial" w:cs="Arial"/>
          <w:sz w:val="20"/>
          <w:szCs w:val="20"/>
        </w:rPr>
        <w:t>2</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Receiving Stolen Property</w:t>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2</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B&amp;E (Felony)</w:t>
      </w:r>
      <w:r w:rsidRPr="002930B0">
        <w:rPr>
          <w:rFonts w:ascii="Arial" w:hAnsi="Arial" w:cs="Arial"/>
          <w:sz w:val="20"/>
          <w:szCs w:val="20"/>
        </w:rPr>
        <w:tab/>
      </w:r>
      <w:r w:rsidRPr="002930B0">
        <w:rPr>
          <w:rFonts w:ascii="Arial" w:hAnsi="Arial" w:cs="Arial"/>
          <w:sz w:val="20"/>
          <w:szCs w:val="20"/>
        </w:rPr>
        <w:tab/>
      </w:r>
      <w:r w:rsidR="00EB32D8" w:rsidRPr="002930B0">
        <w:rPr>
          <w:rFonts w:ascii="Arial" w:hAnsi="Arial" w:cs="Arial"/>
          <w:sz w:val="20"/>
          <w:szCs w:val="20"/>
        </w:rPr>
        <w:tab/>
        <w:t xml:space="preserve">     </w:t>
      </w:r>
      <w:r w:rsidRPr="002930B0">
        <w:rPr>
          <w:rFonts w:ascii="Arial" w:hAnsi="Arial" w:cs="Arial"/>
          <w:sz w:val="20"/>
          <w:szCs w:val="20"/>
        </w:rPr>
        <w:t>3</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Larceny (Felony)</w:t>
      </w:r>
      <w:r w:rsidRPr="002930B0">
        <w:rPr>
          <w:rFonts w:ascii="Arial" w:hAnsi="Arial" w:cs="Arial"/>
          <w:sz w:val="20"/>
          <w:szCs w:val="20"/>
        </w:rPr>
        <w:tab/>
      </w:r>
      <w:r w:rsidR="00EB32D8" w:rsidRPr="002930B0">
        <w:rPr>
          <w:rFonts w:ascii="Arial" w:hAnsi="Arial" w:cs="Arial"/>
          <w:sz w:val="20"/>
          <w:szCs w:val="20"/>
        </w:rPr>
        <w:tab/>
        <w:t xml:space="preserve">     </w:t>
      </w:r>
      <w:r w:rsidRPr="002930B0">
        <w:rPr>
          <w:rFonts w:ascii="Arial" w:hAnsi="Arial" w:cs="Arial"/>
          <w:sz w:val="20"/>
          <w:szCs w:val="20"/>
        </w:rPr>
        <w:t>3</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A&amp;B With a Dangerous Weapon</w:t>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4</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Armed Robbery</w:t>
      </w:r>
      <w:r w:rsidRPr="002930B0">
        <w:rPr>
          <w:rFonts w:ascii="Arial" w:hAnsi="Arial" w:cs="Arial"/>
          <w:sz w:val="20"/>
          <w:szCs w:val="20"/>
        </w:rPr>
        <w:tab/>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4</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Distributing Cocaine</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4</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Armed Assault &amp; Robbery</w:t>
      </w:r>
      <w:r w:rsidRPr="002930B0">
        <w:rPr>
          <w:rFonts w:ascii="Arial" w:hAnsi="Arial" w:cs="Arial"/>
          <w:sz w:val="20"/>
          <w:szCs w:val="20"/>
        </w:rPr>
        <w:tab/>
      </w:r>
      <w:r w:rsidR="00EB32D8" w:rsidRPr="002930B0">
        <w:rPr>
          <w:rFonts w:ascii="Arial" w:hAnsi="Arial" w:cs="Arial"/>
          <w:sz w:val="20"/>
          <w:szCs w:val="20"/>
        </w:rPr>
        <w:t xml:space="preserve">     </w:t>
      </w:r>
      <w:r w:rsidRPr="002930B0">
        <w:rPr>
          <w:rFonts w:ascii="Arial" w:hAnsi="Arial" w:cs="Arial"/>
          <w:sz w:val="20"/>
          <w:szCs w:val="20"/>
        </w:rPr>
        <w:t>5</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Attempted Murder</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5</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Rape</w:t>
      </w:r>
      <w:r w:rsidRPr="002930B0">
        <w:rPr>
          <w:rFonts w:ascii="Arial" w:hAnsi="Arial" w:cs="Arial"/>
          <w:sz w:val="20"/>
          <w:szCs w:val="20"/>
        </w:rPr>
        <w:tab/>
      </w:r>
      <w:r w:rsidRPr="002930B0">
        <w:rPr>
          <w:rFonts w:ascii="Arial" w:hAnsi="Arial" w:cs="Arial"/>
          <w:sz w:val="20"/>
          <w:szCs w:val="20"/>
        </w:rPr>
        <w:tab/>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5</w:t>
      </w:r>
    </w:p>
    <w:p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Home Invasion</w:t>
      </w:r>
      <w:r w:rsidRPr="002930B0">
        <w:rPr>
          <w:rFonts w:ascii="Arial" w:hAnsi="Arial" w:cs="Arial"/>
          <w:sz w:val="20"/>
          <w:szCs w:val="20"/>
        </w:rPr>
        <w:tab/>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6</w:t>
      </w:r>
    </w:p>
    <w:p w:rsidR="00EC075C" w:rsidRPr="002930B0" w:rsidRDefault="00EC075C" w:rsidP="00EB32D8">
      <w:pPr>
        <w:ind w:left="1440" w:firstLine="720"/>
        <w:rPr>
          <w:sz w:val="22"/>
        </w:rPr>
      </w:pPr>
      <w:r w:rsidRPr="002930B0">
        <w:rPr>
          <w:rFonts w:ascii="Arial" w:hAnsi="Arial" w:cs="Arial"/>
          <w:sz w:val="20"/>
          <w:szCs w:val="20"/>
        </w:rPr>
        <w:t>Murder in the 1</w:t>
      </w:r>
      <w:r w:rsidRPr="002930B0">
        <w:rPr>
          <w:rFonts w:ascii="Arial" w:hAnsi="Arial" w:cs="Arial"/>
          <w:sz w:val="20"/>
          <w:szCs w:val="20"/>
          <w:vertAlign w:val="superscript"/>
        </w:rPr>
        <w:t>st</w:t>
      </w:r>
      <w:r w:rsidRPr="002930B0">
        <w:rPr>
          <w:rFonts w:ascii="Arial" w:hAnsi="Arial" w:cs="Arial"/>
          <w:sz w:val="20"/>
          <w:szCs w:val="20"/>
        </w:rPr>
        <w:t xml:space="preserve"> Degree</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6</w:t>
      </w:r>
      <w:r w:rsidR="00D57510" w:rsidRPr="002930B0">
        <w:rPr>
          <w:sz w:val="22"/>
        </w:rPr>
        <w:tab/>
      </w:r>
      <w:r w:rsidR="00D57510" w:rsidRPr="002930B0">
        <w:rPr>
          <w:sz w:val="22"/>
        </w:rPr>
        <w:tab/>
      </w:r>
      <w:r w:rsidR="00D57510" w:rsidRPr="002930B0">
        <w:rPr>
          <w:sz w:val="22"/>
        </w:rPr>
        <w:tab/>
      </w:r>
    </w:p>
    <w:p w:rsidR="00DA035C" w:rsidRDefault="00DA035C" w:rsidP="00EC075C">
      <w:pPr>
        <w:rPr>
          <w:sz w:val="22"/>
        </w:rPr>
      </w:pPr>
    </w:p>
    <w:p w:rsidR="00D57510" w:rsidRPr="00EC075C" w:rsidRDefault="00D57510" w:rsidP="00EC075C">
      <w:pPr>
        <w:rPr>
          <w:sz w:val="20"/>
          <w:szCs w:val="20"/>
        </w:rPr>
      </w:pPr>
      <w:r>
        <w:rPr>
          <w:sz w:val="22"/>
        </w:rPr>
        <w:tab/>
      </w:r>
      <w:r>
        <w:rPr>
          <w:sz w:val="22"/>
        </w:rPr>
        <w:tab/>
      </w:r>
      <w:r>
        <w:rPr>
          <w:sz w:val="22"/>
        </w:rPr>
        <w:tab/>
      </w:r>
      <w:r>
        <w:rPr>
          <w:sz w:val="22"/>
        </w:rPr>
        <w:tab/>
      </w:r>
      <w:r>
        <w:rPr>
          <w:sz w:val="22"/>
        </w:rPr>
        <w:tab/>
      </w:r>
    </w:p>
    <w:p w:rsidR="00D57510" w:rsidRPr="00D9496B" w:rsidRDefault="00D57510" w:rsidP="00D57510">
      <w:pPr>
        <w:spacing w:line="360" w:lineRule="auto"/>
        <w:rPr>
          <w:b/>
          <w:bCs/>
          <w:sz w:val="4"/>
          <w:u w:val="single"/>
        </w:rPr>
      </w:pP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p>
    <w:p w:rsidR="00D47E9F" w:rsidRDefault="00D47E9F" w:rsidP="00284C59">
      <w:pPr>
        <w:pStyle w:val="Heading2"/>
        <w:rPr>
          <w:b/>
          <w:bCs/>
          <w:u w:val="none"/>
        </w:rPr>
      </w:pPr>
    </w:p>
    <w:p w:rsidR="00CE1590" w:rsidRDefault="00CE1590" w:rsidP="00284C59">
      <w:pPr>
        <w:pStyle w:val="Heading2"/>
        <w:rPr>
          <w:b/>
          <w:bCs/>
          <w:u w:val="none"/>
        </w:rPr>
      </w:pPr>
    </w:p>
    <w:p w:rsidR="00284C59" w:rsidRDefault="00284C59" w:rsidP="00284C59">
      <w:pPr>
        <w:pStyle w:val="Heading2"/>
        <w:rPr>
          <w:b/>
          <w:bCs/>
          <w:u w:val="none"/>
        </w:rPr>
      </w:pPr>
      <w:r>
        <w:rPr>
          <w:b/>
          <w:bCs/>
          <w:u w:val="none"/>
        </w:rPr>
        <w:t>Results</w:t>
      </w:r>
    </w:p>
    <w:p w:rsidR="00284C59" w:rsidRDefault="00284C59" w:rsidP="00284C59"/>
    <w:p w:rsidR="008B7A4D" w:rsidRPr="00EB32D8" w:rsidRDefault="00284C59">
      <w:pPr>
        <w:spacing w:line="360" w:lineRule="auto"/>
      </w:pPr>
      <w:r>
        <w:rPr>
          <w:b/>
          <w:bCs/>
        </w:rPr>
        <w:t>Overall Rates:</w:t>
      </w:r>
      <w:r w:rsidR="002930B0">
        <w:t xml:space="preserve">  Of the </w:t>
      </w:r>
      <w:r w:rsidR="00537CF0">
        <w:t>409</w:t>
      </w:r>
      <w:r w:rsidR="00383768">
        <w:t xml:space="preserve"> males and females in</w:t>
      </w:r>
      <w:r w:rsidR="002930B0">
        <w:t xml:space="preserve"> the study, 26</w:t>
      </w:r>
      <w:r w:rsidR="00DB3D5D">
        <w:t>% were convicted of an offense</w:t>
      </w:r>
      <w:r w:rsidR="002B2AF0">
        <w:t xml:space="preserve"> </w:t>
      </w:r>
      <w:r>
        <w:t xml:space="preserve">within one year of discharge from DYS.  </w:t>
      </w:r>
      <w:r w:rsidR="00D3178A">
        <w:t>This</w:t>
      </w:r>
      <w:r w:rsidR="001A6C84">
        <w:t xml:space="preserve"> compares with a 26</w:t>
      </w:r>
      <w:r w:rsidR="003273C8">
        <w:t>% ra</w:t>
      </w:r>
      <w:r w:rsidR="001A6C84">
        <w:t>te for the 2013</w:t>
      </w:r>
      <w:r w:rsidR="006C7948">
        <w:t xml:space="preserve"> discharg</w:t>
      </w:r>
      <w:r w:rsidR="002930B0">
        <w:t>es; a 22</w:t>
      </w:r>
      <w:r w:rsidR="003273C8">
        <w:t>% rate f</w:t>
      </w:r>
      <w:r w:rsidR="001A6C84">
        <w:t>or the 2012</w:t>
      </w:r>
      <w:r w:rsidR="00DA5C58">
        <w:t xml:space="preserve"> discharge</w:t>
      </w:r>
      <w:r w:rsidR="001A6C84">
        <w:t>s; and a 22</w:t>
      </w:r>
      <w:r w:rsidR="003273C8">
        <w:t>%</w:t>
      </w:r>
      <w:r w:rsidR="00DB3D5D">
        <w:t xml:space="preserve"> rate for the 2</w:t>
      </w:r>
      <w:r w:rsidR="001A6C84">
        <w:t>011</w:t>
      </w:r>
      <w:r w:rsidR="003273C8">
        <w:t xml:space="preserve"> discharges </w:t>
      </w:r>
      <w:r>
        <w:t>(Figure</w:t>
      </w:r>
      <w:r w:rsidR="007E118A">
        <w:t>s</w:t>
      </w:r>
      <w:r>
        <w:t xml:space="preserve"> 1</w:t>
      </w:r>
      <w:r w:rsidR="007E118A">
        <w:t xml:space="preserve"> and 2</w:t>
      </w:r>
      <w:r>
        <w:t xml:space="preserve">). </w:t>
      </w:r>
    </w:p>
    <w:p w:rsidR="008B7A4D" w:rsidRDefault="008B7A4D">
      <w:pPr>
        <w:spacing w:line="360" w:lineRule="auto"/>
        <w:rPr>
          <w:b/>
          <w:bCs/>
        </w:rPr>
      </w:pPr>
    </w:p>
    <w:p w:rsidR="003905CA" w:rsidRDefault="003905CA" w:rsidP="003905CA">
      <w:pPr>
        <w:rPr>
          <w:b/>
          <w:bCs/>
          <w:sz w:val="22"/>
        </w:rPr>
      </w:pPr>
      <w:r>
        <w:rPr>
          <w:b/>
          <w:bCs/>
          <w:sz w:val="22"/>
          <w:u w:val="single"/>
        </w:rPr>
        <w:t xml:space="preserve">Table </w:t>
      </w:r>
      <w:r w:rsidR="00EB32D8">
        <w:rPr>
          <w:b/>
          <w:bCs/>
          <w:sz w:val="22"/>
          <w:u w:val="single"/>
        </w:rPr>
        <w:t>6</w:t>
      </w:r>
      <w:r w:rsidR="00B869CF">
        <w:rPr>
          <w:b/>
          <w:bCs/>
          <w:sz w:val="22"/>
        </w:rPr>
        <w:t xml:space="preserve">   Rates of Arrests, Convictions, and Incarcerations</w:t>
      </w:r>
      <w:r w:rsidR="002930B0">
        <w:rPr>
          <w:b/>
          <w:bCs/>
          <w:sz w:val="22"/>
        </w:rPr>
        <w:t xml:space="preserve"> </w:t>
      </w:r>
      <w:proofErr w:type="gramStart"/>
      <w:r w:rsidR="002930B0">
        <w:rPr>
          <w:b/>
          <w:bCs/>
          <w:sz w:val="22"/>
        </w:rPr>
        <w:t>Within</w:t>
      </w:r>
      <w:proofErr w:type="gramEnd"/>
      <w:r w:rsidR="002930B0">
        <w:rPr>
          <w:b/>
          <w:bCs/>
          <w:sz w:val="22"/>
        </w:rPr>
        <w:t xml:space="preserve"> One Yea</w:t>
      </w:r>
      <w:r w:rsidR="00145C4E">
        <w:rPr>
          <w:b/>
          <w:bCs/>
          <w:sz w:val="22"/>
        </w:rPr>
        <w:t>r</w:t>
      </w:r>
    </w:p>
    <w:p w:rsidR="00145C4E" w:rsidRDefault="00145C4E" w:rsidP="003905CA">
      <w:pPr>
        <w:rPr>
          <w:b/>
          <w:bCs/>
          <w:sz w:val="22"/>
        </w:rPr>
      </w:pPr>
    </w:p>
    <w:p w:rsidR="00145C4E" w:rsidRPr="00145C4E" w:rsidRDefault="00145C4E" w:rsidP="003905CA">
      <w:pPr>
        <w:rPr>
          <w:b/>
          <w:bCs/>
          <w:sz w:val="22"/>
        </w:rPr>
      </w:pPr>
    </w:p>
    <w:p w:rsidR="00B869CF" w:rsidRPr="00053E49" w:rsidRDefault="00B869CF" w:rsidP="00145C4E">
      <w:pPr>
        <w:jc w:val="center"/>
        <w:rPr>
          <w:b/>
          <w:sz w:val="22"/>
        </w:rPr>
      </w:pPr>
    </w:p>
    <w:p w:rsidR="00B869CF" w:rsidRPr="00145C4E" w:rsidRDefault="00145C4E" w:rsidP="00145C4E">
      <w:pPr>
        <w:rPr>
          <w:b/>
          <w:sz w:val="22"/>
          <w:lang w:val="fr-FR"/>
        </w:rPr>
      </w:pPr>
      <w:r>
        <w:rPr>
          <w:b/>
          <w:sz w:val="22"/>
          <w:lang w:val="fr-FR"/>
        </w:rPr>
        <w:t xml:space="preserve">                                       </w:t>
      </w:r>
      <w:r w:rsidRPr="00145C4E">
        <w:rPr>
          <w:b/>
          <w:sz w:val="22"/>
          <w:u w:val="single"/>
          <w:lang w:val="fr-FR"/>
        </w:rPr>
        <w:t xml:space="preserve">                                 </w:t>
      </w:r>
      <w:r w:rsidR="003905CA" w:rsidRPr="00145C4E">
        <w:rPr>
          <w:b/>
          <w:sz w:val="22"/>
          <w:u w:val="single"/>
          <w:lang w:val="fr-FR"/>
        </w:rPr>
        <w:t>N</w:t>
      </w:r>
      <w:r w:rsidR="003905CA" w:rsidRPr="00145C4E">
        <w:rPr>
          <w:b/>
          <w:sz w:val="22"/>
          <w:u w:val="single"/>
          <w:lang w:val="fr-FR"/>
        </w:rPr>
        <w:tab/>
      </w:r>
      <w:r w:rsidR="00B869CF" w:rsidRPr="00145C4E">
        <w:rPr>
          <w:b/>
          <w:sz w:val="22"/>
          <w:u w:val="single"/>
          <w:lang w:val="fr-FR"/>
        </w:rPr>
        <w:t xml:space="preserve">    </w:t>
      </w:r>
      <w:r w:rsidR="00066D99" w:rsidRPr="00145C4E">
        <w:rPr>
          <w:b/>
          <w:sz w:val="22"/>
          <w:u w:val="single"/>
          <w:lang w:val="fr-FR"/>
        </w:rPr>
        <w:t xml:space="preserve">  </w:t>
      </w:r>
      <w:r w:rsidR="00B869CF" w:rsidRPr="00145C4E">
        <w:rPr>
          <w:b/>
          <w:sz w:val="22"/>
          <w:u w:val="single"/>
          <w:lang w:val="fr-FR"/>
        </w:rPr>
        <w:t xml:space="preserve"> </w:t>
      </w:r>
      <w:r w:rsidR="00EA4359">
        <w:rPr>
          <w:b/>
          <w:sz w:val="22"/>
          <w:u w:val="single"/>
          <w:lang w:val="fr-FR"/>
        </w:rPr>
        <w:t xml:space="preserve">   </w:t>
      </w:r>
      <w:r w:rsidR="00B869CF" w:rsidRPr="00145C4E">
        <w:rPr>
          <w:b/>
          <w:sz w:val="22"/>
          <w:u w:val="single"/>
          <w:lang w:val="fr-FR"/>
        </w:rPr>
        <w:t>%</w:t>
      </w:r>
    </w:p>
    <w:p w:rsidR="003905CA" w:rsidRPr="00145C4E" w:rsidRDefault="003905CA" w:rsidP="00145C4E">
      <w:pPr>
        <w:jc w:val="center"/>
        <w:rPr>
          <w:sz w:val="8"/>
          <w:u w:val="single"/>
          <w:lang w:val="fr-FR"/>
        </w:rPr>
      </w:pPr>
    </w:p>
    <w:p w:rsidR="00066D99" w:rsidRPr="002930B0" w:rsidRDefault="00066D99" w:rsidP="00145C4E">
      <w:pPr>
        <w:spacing w:line="480" w:lineRule="auto"/>
        <w:ind w:left="1440" w:firstLine="720"/>
        <w:rPr>
          <w:rFonts w:ascii="Arial" w:hAnsi="Arial" w:cs="Arial"/>
          <w:sz w:val="20"/>
          <w:szCs w:val="20"/>
        </w:rPr>
      </w:pPr>
      <w:r w:rsidRPr="002930B0">
        <w:rPr>
          <w:rFonts w:ascii="Arial" w:hAnsi="Arial" w:cs="Arial"/>
          <w:sz w:val="20"/>
          <w:szCs w:val="20"/>
        </w:rPr>
        <w:t xml:space="preserve">Arrests                   </w:t>
      </w:r>
      <w:r w:rsidR="002930B0">
        <w:rPr>
          <w:rFonts w:ascii="Arial" w:hAnsi="Arial" w:cs="Arial"/>
          <w:sz w:val="20"/>
          <w:szCs w:val="20"/>
        </w:rPr>
        <w:t xml:space="preserve"> </w:t>
      </w:r>
      <w:r w:rsidR="001A6C84">
        <w:rPr>
          <w:rFonts w:ascii="Arial" w:hAnsi="Arial" w:cs="Arial"/>
          <w:sz w:val="20"/>
          <w:szCs w:val="20"/>
        </w:rPr>
        <w:t>187</w:t>
      </w:r>
      <w:r w:rsidR="0088738D" w:rsidRPr="002930B0">
        <w:rPr>
          <w:rFonts w:ascii="Arial" w:hAnsi="Arial" w:cs="Arial"/>
          <w:sz w:val="20"/>
          <w:szCs w:val="20"/>
        </w:rPr>
        <w:t xml:space="preserve">       </w:t>
      </w:r>
      <w:r w:rsidR="002930B0">
        <w:rPr>
          <w:rFonts w:ascii="Arial" w:hAnsi="Arial" w:cs="Arial"/>
          <w:sz w:val="20"/>
          <w:szCs w:val="20"/>
        </w:rPr>
        <w:t xml:space="preserve">   </w:t>
      </w:r>
      <w:r w:rsidR="00EA4359">
        <w:rPr>
          <w:rFonts w:ascii="Arial" w:hAnsi="Arial" w:cs="Arial"/>
          <w:sz w:val="20"/>
          <w:szCs w:val="20"/>
        </w:rPr>
        <w:t xml:space="preserve"> </w:t>
      </w:r>
      <w:r w:rsidR="001A6C84">
        <w:rPr>
          <w:rFonts w:ascii="Arial" w:hAnsi="Arial" w:cs="Arial"/>
          <w:sz w:val="20"/>
          <w:szCs w:val="20"/>
        </w:rPr>
        <w:t>46</w:t>
      </w:r>
    </w:p>
    <w:p w:rsidR="00066D99" w:rsidRPr="002930B0" w:rsidRDefault="001A6C84" w:rsidP="00145C4E">
      <w:pPr>
        <w:spacing w:line="480" w:lineRule="auto"/>
        <w:ind w:left="1440" w:firstLine="720"/>
        <w:rPr>
          <w:rFonts w:ascii="Arial" w:hAnsi="Arial" w:cs="Arial"/>
          <w:sz w:val="20"/>
          <w:szCs w:val="20"/>
        </w:rPr>
      </w:pPr>
      <w:r>
        <w:rPr>
          <w:rFonts w:ascii="Arial" w:hAnsi="Arial" w:cs="Arial"/>
          <w:sz w:val="20"/>
          <w:szCs w:val="20"/>
        </w:rPr>
        <w:t>Convictions             106</w:t>
      </w:r>
      <w:r w:rsidR="0088738D" w:rsidRPr="002930B0">
        <w:rPr>
          <w:rFonts w:ascii="Arial" w:hAnsi="Arial" w:cs="Arial"/>
          <w:sz w:val="20"/>
          <w:szCs w:val="20"/>
        </w:rPr>
        <w:t xml:space="preserve">        </w:t>
      </w:r>
      <w:r>
        <w:rPr>
          <w:rFonts w:ascii="Arial" w:hAnsi="Arial" w:cs="Arial"/>
          <w:sz w:val="20"/>
          <w:szCs w:val="20"/>
        </w:rPr>
        <w:t xml:space="preserve">   </w:t>
      </w:r>
      <w:r w:rsidR="00A61C45">
        <w:rPr>
          <w:rFonts w:ascii="Arial" w:hAnsi="Arial" w:cs="Arial"/>
          <w:sz w:val="20"/>
          <w:szCs w:val="20"/>
        </w:rPr>
        <w:t>26</w:t>
      </w:r>
    </w:p>
    <w:p w:rsidR="003905CA" w:rsidRPr="00DB3D5D" w:rsidRDefault="00066D99" w:rsidP="00145C4E">
      <w:pPr>
        <w:spacing w:line="480" w:lineRule="auto"/>
        <w:ind w:left="1440" w:firstLine="720"/>
        <w:rPr>
          <w:sz w:val="22"/>
        </w:rPr>
      </w:pPr>
      <w:r w:rsidRPr="002930B0">
        <w:rPr>
          <w:rFonts w:ascii="Arial" w:hAnsi="Arial" w:cs="Arial"/>
          <w:sz w:val="20"/>
          <w:szCs w:val="20"/>
        </w:rPr>
        <w:t xml:space="preserve">Incarcerations          </w:t>
      </w:r>
      <w:r w:rsidR="001A6C84">
        <w:rPr>
          <w:rFonts w:ascii="Arial" w:hAnsi="Arial" w:cs="Arial"/>
          <w:sz w:val="20"/>
          <w:szCs w:val="20"/>
        </w:rPr>
        <w:t>84</w:t>
      </w:r>
      <w:r w:rsidR="0088738D" w:rsidRPr="002930B0">
        <w:rPr>
          <w:rFonts w:ascii="Arial" w:hAnsi="Arial" w:cs="Arial"/>
          <w:sz w:val="20"/>
          <w:szCs w:val="20"/>
        </w:rPr>
        <w:t xml:space="preserve">        </w:t>
      </w:r>
      <w:r w:rsidR="002930B0">
        <w:rPr>
          <w:rFonts w:ascii="Arial" w:hAnsi="Arial" w:cs="Arial"/>
          <w:sz w:val="20"/>
          <w:szCs w:val="20"/>
        </w:rPr>
        <w:t xml:space="preserve">   </w:t>
      </w:r>
      <w:r w:rsidR="00EA4359">
        <w:rPr>
          <w:rFonts w:ascii="Arial" w:hAnsi="Arial" w:cs="Arial"/>
          <w:sz w:val="20"/>
          <w:szCs w:val="20"/>
        </w:rPr>
        <w:t xml:space="preserve"> </w:t>
      </w:r>
      <w:r w:rsidR="00A61C45">
        <w:rPr>
          <w:rFonts w:ascii="Arial" w:hAnsi="Arial" w:cs="Arial"/>
          <w:sz w:val="20"/>
          <w:szCs w:val="20"/>
        </w:rPr>
        <w:t>2</w:t>
      </w:r>
      <w:r w:rsidR="001A6C84">
        <w:rPr>
          <w:rFonts w:ascii="Arial" w:hAnsi="Arial" w:cs="Arial"/>
          <w:sz w:val="20"/>
          <w:szCs w:val="20"/>
        </w:rPr>
        <w:t>1</w:t>
      </w:r>
    </w:p>
    <w:p w:rsidR="00DF38ED" w:rsidRPr="00DB3D5D" w:rsidRDefault="00DF38ED" w:rsidP="00145C4E">
      <w:pPr>
        <w:spacing w:line="360" w:lineRule="auto"/>
        <w:jc w:val="center"/>
        <w:rPr>
          <w:b/>
          <w:bCs/>
          <w:sz w:val="4"/>
          <w:u w:val="single"/>
        </w:rPr>
      </w:pPr>
    </w:p>
    <w:p w:rsidR="005A4BBC" w:rsidRDefault="005A4BBC">
      <w:pPr>
        <w:spacing w:line="360" w:lineRule="auto"/>
      </w:pPr>
      <w:r>
        <w:rPr>
          <w:b/>
          <w:bCs/>
        </w:rPr>
        <w:lastRenderedPageBreak/>
        <w:t>Gender:</w:t>
      </w:r>
      <w:r>
        <w:t xml:space="preserve">  </w:t>
      </w:r>
      <w:r w:rsidR="00834821">
        <w:t>M</w:t>
      </w:r>
      <w:r w:rsidR="00ED0F62">
        <w:t>ales re-</w:t>
      </w:r>
      <w:r>
        <w:t xml:space="preserve">offended at a </w:t>
      </w:r>
      <w:r w:rsidR="00C966E0">
        <w:t xml:space="preserve">much </w:t>
      </w:r>
      <w:r>
        <w:t>higher rate than female</w:t>
      </w:r>
      <w:r w:rsidR="00255C16">
        <w:t>s (29</w:t>
      </w:r>
      <w:r w:rsidR="008B7A4D">
        <w:t xml:space="preserve">% </w:t>
      </w:r>
      <w:r w:rsidR="00255C16">
        <w:t>and 8</w:t>
      </w:r>
      <w:r>
        <w:t>% respectively</w:t>
      </w:r>
      <w:r w:rsidR="00C966E0">
        <w:t>).</w:t>
      </w:r>
      <w:r w:rsidR="00CE1590">
        <w:t xml:space="preserve">  </w:t>
      </w:r>
      <w:r w:rsidR="00255C16">
        <w:t>For most of the 2004 - 2014</w:t>
      </w:r>
      <w:r w:rsidR="0088738D">
        <w:t xml:space="preserve"> discharge cohorts</w:t>
      </w:r>
      <w:r w:rsidR="00CE1590">
        <w:t>, t</w:t>
      </w:r>
      <w:r w:rsidR="00530B3D">
        <w:t xml:space="preserve">he </w:t>
      </w:r>
      <w:r w:rsidR="003448AD">
        <w:t>re-</w:t>
      </w:r>
      <w:r w:rsidR="00F13262">
        <w:t xml:space="preserve">conviction </w:t>
      </w:r>
      <w:r w:rsidR="00530B3D">
        <w:t xml:space="preserve">rate for females </w:t>
      </w:r>
      <w:r w:rsidR="001E4156">
        <w:t>was</w:t>
      </w:r>
      <w:r w:rsidR="0088738D">
        <w:t xml:space="preserve"> less than 10</w:t>
      </w:r>
      <w:r w:rsidR="006C7948">
        <w:t>%</w:t>
      </w:r>
      <w:r w:rsidR="0088738D">
        <w:t xml:space="preserve">. </w:t>
      </w:r>
      <w:r w:rsidR="00C966E0">
        <w:t>(</w:t>
      </w:r>
      <w:r w:rsidR="00677418">
        <w:t>Figure 3</w:t>
      </w:r>
      <w:r>
        <w:t>).</w:t>
      </w:r>
    </w:p>
    <w:p w:rsidR="005A4BBC" w:rsidRDefault="005A4BBC">
      <w:pPr>
        <w:spacing w:line="360" w:lineRule="auto"/>
        <w:rPr>
          <w:sz w:val="18"/>
        </w:rPr>
      </w:pPr>
    </w:p>
    <w:p w:rsidR="005A4BBC" w:rsidRPr="007E118A" w:rsidRDefault="00351C45">
      <w:pPr>
        <w:spacing w:line="360" w:lineRule="auto"/>
      </w:pPr>
      <w:r>
        <w:rPr>
          <w:noProof/>
        </w:rPr>
        <w:drawing>
          <wp:inline distT="0" distB="0" distL="0" distR="0" wp14:anchorId="094178BF" wp14:editId="5A3D5D68">
            <wp:extent cx="5486400" cy="2803574"/>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F587B" w:rsidRDefault="006F587B">
      <w:pPr>
        <w:spacing w:line="360" w:lineRule="auto"/>
        <w:rPr>
          <w:b/>
          <w:bCs/>
        </w:rPr>
      </w:pPr>
    </w:p>
    <w:p w:rsidR="005A4BBC" w:rsidRDefault="005A4BBC">
      <w:pPr>
        <w:spacing w:line="360" w:lineRule="auto"/>
      </w:pPr>
      <w:r>
        <w:rPr>
          <w:b/>
          <w:bCs/>
        </w:rPr>
        <w:t>Ethnicity:</w:t>
      </w:r>
      <w:r w:rsidR="00530B3D">
        <w:t xml:space="preserve">  </w:t>
      </w:r>
      <w:r w:rsidR="00255C16">
        <w:t>30% of the Hispanic</w:t>
      </w:r>
      <w:r w:rsidR="00145C4E">
        <w:t>s</w:t>
      </w:r>
      <w:r w:rsidR="00536E6D">
        <w:t xml:space="preserve">; </w:t>
      </w:r>
      <w:r w:rsidR="00255C16">
        <w:t>26% of the African Americans</w:t>
      </w:r>
      <w:r w:rsidR="00F2009A">
        <w:t xml:space="preserve">; and </w:t>
      </w:r>
      <w:r w:rsidR="00536E6D">
        <w:t>2</w:t>
      </w:r>
      <w:r w:rsidR="00255C16">
        <w:t>2% of the Caucasians</w:t>
      </w:r>
      <w:r w:rsidR="00536E6D">
        <w:t xml:space="preserve"> </w:t>
      </w:r>
      <w:r w:rsidR="00DB3D5D">
        <w:t xml:space="preserve">in the sample </w:t>
      </w:r>
      <w:r>
        <w:t xml:space="preserve">were reconvicted </w:t>
      </w:r>
      <w:r w:rsidR="002B2AF0">
        <w:t xml:space="preserve">for offenses committed </w:t>
      </w:r>
      <w:r>
        <w:t>within one year of discharge</w:t>
      </w:r>
      <w:r w:rsidR="00677418">
        <w:t xml:space="preserve"> (Figure 4</w:t>
      </w:r>
      <w:r w:rsidR="0047604C">
        <w:t>).</w:t>
      </w:r>
      <w:r w:rsidR="005A0648">
        <w:t xml:space="preserve">  </w:t>
      </w:r>
    </w:p>
    <w:p w:rsidR="00CE1590" w:rsidRDefault="00CE1590">
      <w:pPr>
        <w:spacing w:line="360" w:lineRule="auto"/>
      </w:pPr>
    </w:p>
    <w:p w:rsidR="005A4BBC" w:rsidRPr="007E118A" w:rsidRDefault="00351C45">
      <w:pPr>
        <w:spacing w:line="360" w:lineRule="auto"/>
      </w:pPr>
      <w:r>
        <w:rPr>
          <w:noProof/>
        </w:rPr>
        <w:drawing>
          <wp:inline distT="0" distB="0" distL="0" distR="0" wp14:anchorId="145223D8" wp14:editId="795C6B58">
            <wp:extent cx="5486400" cy="2803574"/>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A4BBC" w:rsidRDefault="001239EF">
      <w:pPr>
        <w:spacing w:line="360" w:lineRule="auto"/>
      </w:pPr>
      <w:r w:rsidRPr="0096583D">
        <w:rPr>
          <w:b/>
          <w:bCs/>
        </w:rPr>
        <w:lastRenderedPageBreak/>
        <w:t>Offense Type</w:t>
      </w:r>
      <w:r w:rsidR="005A4BBC" w:rsidRPr="0096583D">
        <w:rPr>
          <w:b/>
          <w:bCs/>
        </w:rPr>
        <w:t>:</w:t>
      </w:r>
      <w:r w:rsidRPr="0096583D">
        <w:t xml:space="preserve">  </w:t>
      </w:r>
      <w:r w:rsidR="00062A28" w:rsidRPr="0096583D">
        <w:t>With respect</w:t>
      </w:r>
      <w:r w:rsidR="00182089" w:rsidRPr="0096583D">
        <w:t xml:space="preserve"> to </w:t>
      </w:r>
      <w:r w:rsidR="00383768">
        <w:t>the most serious offenses of DYS committed youth discharged in 2014</w:t>
      </w:r>
      <w:r w:rsidR="006506D8" w:rsidRPr="0096583D">
        <w:t xml:space="preserve">, </w:t>
      </w:r>
      <w:r w:rsidR="0096583D" w:rsidRPr="0096583D">
        <w:t>42% of the motor vehicle</w:t>
      </w:r>
      <w:r w:rsidR="001A59C3" w:rsidRPr="0096583D">
        <w:t xml:space="preserve"> off</w:t>
      </w:r>
      <w:r w:rsidR="0096583D" w:rsidRPr="0096583D">
        <w:t>enders; 29% of the person offenders; 25% of the property offenders; 20</w:t>
      </w:r>
      <w:r w:rsidR="00AA4298" w:rsidRPr="0096583D">
        <w:t>% o</w:t>
      </w:r>
      <w:r w:rsidR="0096583D" w:rsidRPr="0096583D">
        <w:t>f the public order offenders; 19% of the weapons</w:t>
      </w:r>
      <w:r w:rsidR="001A59C3" w:rsidRPr="0096583D">
        <w:t xml:space="preserve"> offenders; </w:t>
      </w:r>
      <w:r w:rsidR="00841CC8" w:rsidRPr="0096583D">
        <w:t xml:space="preserve">and </w:t>
      </w:r>
      <w:r w:rsidR="0096583D" w:rsidRPr="0096583D">
        <w:t>6</w:t>
      </w:r>
      <w:r w:rsidR="00525191" w:rsidRPr="0096583D">
        <w:t xml:space="preserve">% of the </w:t>
      </w:r>
      <w:r w:rsidR="0096583D" w:rsidRPr="0096583D">
        <w:t>drug</w:t>
      </w:r>
      <w:r w:rsidR="00530B3D" w:rsidRPr="0096583D">
        <w:t xml:space="preserve"> </w:t>
      </w:r>
      <w:r w:rsidR="00841CC8" w:rsidRPr="0096583D">
        <w:t>offenders</w:t>
      </w:r>
      <w:r w:rsidR="0051122E" w:rsidRPr="0096583D">
        <w:t xml:space="preserve"> </w:t>
      </w:r>
      <w:r w:rsidR="00525191" w:rsidRPr="0096583D">
        <w:t xml:space="preserve">were reconvicted </w:t>
      </w:r>
      <w:r w:rsidR="002B2AF0" w:rsidRPr="0096583D">
        <w:t xml:space="preserve">for offenses committed </w:t>
      </w:r>
      <w:r w:rsidR="00525191" w:rsidRPr="0096583D">
        <w:t>within one year of discharge.</w:t>
      </w:r>
      <w:r w:rsidR="00525191">
        <w:t xml:space="preserve"> </w:t>
      </w:r>
      <w:r w:rsidR="00C7545B">
        <w:t xml:space="preserve"> </w:t>
      </w:r>
      <w:r w:rsidR="00D90CDC">
        <w:t>Hist</w:t>
      </w:r>
      <w:r w:rsidR="0096583D">
        <w:t>orically, property</w:t>
      </w:r>
      <w:r w:rsidR="00077C9C">
        <w:t xml:space="preserve"> </w:t>
      </w:r>
      <w:r w:rsidR="003E7D0E">
        <w:t>offenders have tended toward the higher recidivism rates</w:t>
      </w:r>
      <w:r w:rsidR="006F393A">
        <w:t xml:space="preserve">. </w:t>
      </w:r>
      <w:r w:rsidR="00677418">
        <w:t>(Figure 5</w:t>
      </w:r>
      <w:r w:rsidR="005A4BBC">
        <w:t>).</w:t>
      </w:r>
      <w:r w:rsidR="0032236A">
        <w:t xml:space="preserve">  </w:t>
      </w:r>
      <w:r w:rsidR="0032236A" w:rsidRPr="0032236A">
        <w:rPr>
          <w:i/>
        </w:rPr>
        <w:t>Refer to Appendix A for a detailed list of offenses and offense types.</w:t>
      </w:r>
    </w:p>
    <w:p w:rsidR="001239EF" w:rsidRDefault="001239EF" w:rsidP="00697AD1"/>
    <w:p w:rsidR="00537CEF" w:rsidRPr="007E118A" w:rsidRDefault="00350F88">
      <w:pPr>
        <w:spacing w:line="360" w:lineRule="auto"/>
      </w:pPr>
      <w:r>
        <w:rPr>
          <w:noProof/>
        </w:rPr>
        <w:drawing>
          <wp:inline distT="0" distB="0" distL="0" distR="0" wp14:anchorId="1DCFD578" wp14:editId="01C0ABA8">
            <wp:extent cx="5486400" cy="2995832"/>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37CEF" w:rsidRDefault="00537CEF" w:rsidP="00697AD1"/>
    <w:p w:rsidR="00EE5211" w:rsidRDefault="00EE5211">
      <w:pPr>
        <w:spacing w:line="360" w:lineRule="auto"/>
        <w:rPr>
          <w:b/>
        </w:rPr>
      </w:pPr>
    </w:p>
    <w:p w:rsidR="00383768" w:rsidRDefault="00383768">
      <w:pPr>
        <w:spacing w:line="360" w:lineRule="auto"/>
        <w:rPr>
          <w:b/>
        </w:rPr>
      </w:pPr>
    </w:p>
    <w:p w:rsidR="001239EF" w:rsidRDefault="001239EF">
      <w:pPr>
        <w:spacing w:line="360" w:lineRule="auto"/>
      </w:pPr>
      <w:r w:rsidRPr="0096583D">
        <w:rPr>
          <w:b/>
        </w:rPr>
        <w:t>Grid Levels:</w:t>
      </w:r>
      <w:r w:rsidRPr="0096583D">
        <w:t xml:space="preserve">  </w:t>
      </w:r>
      <w:r w:rsidR="00B37443" w:rsidRPr="0096583D">
        <w:t>The one-year re</w:t>
      </w:r>
      <w:r w:rsidR="00525191" w:rsidRPr="0096583D">
        <w:t>convicti</w:t>
      </w:r>
      <w:r w:rsidR="00C357FF" w:rsidRPr="0096583D">
        <w:t>on rates b</w:t>
      </w:r>
      <w:r w:rsidR="003E7D0E" w:rsidRPr="0096583D">
        <w:t xml:space="preserve">y grid level </w:t>
      </w:r>
      <w:r w:rsidR="0096583D" w:rsidRPr="0096583D">
        <w:t>for the 2014</w:t>
      </w:r>
      <w:r w:rsidR="00D90CDC" w:rsidRPr="0096583D">
        <w:t xml:space="preserve"> cohort </w:t>
      </w:r>
      <w:r w:rsidR="00AA4298" w:rsidRPr="0096583D">
        <w:t>were: 25</w:t>
      </w:r>
      <w:r w:rsidR="00525191" w:rsidRPr="0096583D">
        <w:t>%</w:t>
      </w:r>
      <w:r w:rsidR="00530B3D" w:rsidRPr="0096583D">
        <w:t xml:space="preserve"> for grid levels 2</w:t>
      </w:r>
      <w:r w:rsidR="00077C9C" w:rsidRPr="0096583D">
        <w:t xml:space="preserve"> and below; 2</w:t>
      </w:r>
      <w:r w:rsidR="0096583D" w:rsidRPr="0096583D">
        <w:t>4</w:t>
      </w:r>
      <w:r w:rsidR="00856C8D" w:rsidRPr="0096583D">
        <w:t xml:space="preserve">% for grid level </w:t>
      </w:r>
      <w:r w:rsidR="0096583D" w:rsidRPr="0096583D">
        <w:t>3; 28% for grid level 4; and 43</w:t>
      </w:r>
      <w:r w:rsidR="00525191" w:rsidRPr="0096583D">
        <w:t>% for grid levels 5 and</w:t>
      </w:r>
      <w:r w:rsidR="00EE18FB" w:rsidRPr="0096583D">
        <w:t xml:space="preserve"> above</w:t>
      </w:r>
      <w:r w:rsidR="00525191" w:rsidRPr="0096583D">
        <w:t xml:space="preserve"> </w:t>
      </w:r>
      <w:r w:rsidR="00677418" w:rsidRPr="0096583D">
        <w:t>(Figure 6</w:t>
      </w:r>
      <w:r w:rsidR="00840D20" w:rsidRPr="0096583D">
        <w:t>).</w:t>
      </w:r>
      <w:r w:rsidR="00D90CDC" w:rsidRPr="0096583D">
        <w:t xml:space="preserve">  </w:t>
      </w:r>
      <w:r w:rsidR="00383768">
        <w:t>T</w:t>
      </w:r>
      <w:r w:rsidR="00D90CDC" w:rsidRPr="0096583D">
        <w:t>he highest ra</w:t>
      </w:r>
      <w:r w:rsidR="00AA4298" w:rsidRPr="0096583D">
        <w:t>tes of recidivism have generally been</w:t>
      </w:r>
      <w:r w:rsidR="00D90CDC" w:rsidRPr="0096583D">
        <w:t xml:space="preserve"> by youth who have been committed to DYS for of</w:t>
      </w:r>
      <w:r w:rsidR="00077C9C" w:rsidRPr="0096583D">
        <w:t xml:space="preserve">fenses at </w:t>
      </w:r>
      <w:r w:rsidR="00343AE2" w:rsidRPr="0096583D">
        <w:t xml:space="preserve">the </w:t>
      </w:r>
      <w:r w:rsidR="00841CC8" w:rsidRPr="0096583D">
        <w:t>grid level 4</w:t>
      </w:r>
      <w:r w:rsidR="0096583D" w:rsidRPr="0096583D">
        <w:t xml:space="preserve"> and above</w:t>
      </w:r>
      <w:r w:rsidR="00D90CDC" w:rsidRPr="0096583D">
        <w:t>.</w:t>
      </w:r>
    </w:p>
    <w:p w:rsidR="00383768" w:rsidRPr="0096583D" w:rsidRDefault="00383768">
      <w:pPr>
        <w:spacing w:line="360" w:lineRule="auto"/>
      </w:pPr>
    </w:p>
    <w:p w:rsidR="00EE5211" w:rsidRDefault="00EE5211">
      <w:pPr>
        <w:spacing w:line="360" w:lineRule="auto"/>
      </w:pPr>
    </w:p>
    <w:p w:rsidR="00537CEF" w:rsidRPr="007E118A" w:rsidRDefault="00350F88">
      <w:pPr>
        <w:spacing w:line="360" w:lineRule="auto"/>
      </w:pPr>
      <w:r>
        <w:rPr>
          <w:noProof/>
        </w:rPr>
        <w:lastRenderedPageBreak/>
        <w:drawing>
          <wp:inline distT="0" distB="0" distL="0" distR="0" wp14:anchorId="3072DC81" wp14:editId="7238441F">
            <wp:extent cx="5486400" cy="3140026"/>
            <wp:effectExtent l="0" t="0" r="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E5211" w:rsidRDefault="00EE5211">
      <w:pPr>
        <w:spacing w:line="360" w:lineRule="auto"/>
        <w:rPr>
          <w:b/>
          <w:bCs/>
        </w:rPr>
      </w:pPr>
    </w:p>
    <w:p w:rsidR="00EE5211" w:rsidRDefault="00EE5211">
      <w:pPr>
        <w:spacing w:line="360" w:lineRule="auto"/>
        <w:rPr>
          <w:b/>
          <w:bCs/>
        </w:rPr>
      </w:pPr>
    </w:p>
    <w:p w:rsidR="005A4BBC" w:rsidRDefault="00A343CB">
      <w:pPr>
        <w:spacing w:line="360" w:lineRule="auto"/>
      </w:pPr>
      <w:r>
        <w:rPr>
          <w:b/>
          <w:bCs/>
        </w:rPr>
        <w:t>Age at First Arrest</w:t>
      </w:r>
      <w:r w:rsidR="005A4BBC">
        <w:rPr>
          <w:b/>
          <w:bCs/>
        </w:rPr>
        <w:t>:</w:t>
      </w:r>
      <w:r w:rsidR="005A4BBC">
        <w:t xml:space="preserve">  </w:t>
      </w:r>
      <w:r w:rsidR="00AA4298">
        <w:t xml:space="preserve">Youth </w:t>
      </w:r>
      <w:r w:rsidR="00383768">
        <w:t xml:space="preserve">in the 2014 cohort </w:t>
      </w:r>
      <w:r w:rsidR="00AA4298">
        <w:t xml:space="preserve">who were </w:t>
      </w:r>
      <w:r w:rsidR="00255C16">
        <w:t xml:space="preserve">younger than </w:t>
      </w:r>
      <w:r w:rsidR="00AA4298">
        <w:t>age 15</w:t>
      </w:r>
      <w:r w:rsidR="00D90CDC">
        <w:t xml:space="preserve"> at the ti</w:t>
      </w:r>
      <w:r w:rsidR="00255C16">
        <w:t>me of their first arrest had a higher</w:t>
      </w:r>
      <w:r w:rsidR="00D90CDC">
        <w:t xml:space="preserve"> reconviction rate </w:t>
      </w:r>
      <w:r w:rsidR="00255C16">
        <w:t>(29</w:t>
      </w:r>
      <w:r w:rsidR="00AA4298">
        <w:t xml:space="preserve">%) </w:t>
      </w:r>
      <w:r w:rsidR="00255C16">
        <w:t>than</w:t>
      </w:r>
      <w:r w:rsidR="005A4BBC">
        <w:t xml:space="preserve"> </w:t>
      </w:r>
      <w:r>
        <w:t xml:space="preserve">those </w:t>
      </w:r>
      <w:r w:rsidR="002F6CB8">
        <w:t xml:space="preserve">first </w:t>
      </w:r>
      <w:r>
        <w:t>arrested</w:t>
      </w:r>
      <w:r w:rsidR="007103D4">
        <w:t xml:space="preserve"> at</w:t>
      </w:r>
      <w:r w:rsidR="00255C16">
        <w:t xml:space="preserve"> age 15 and older</w:t>
      </w:r>
      <w:r w:rsidR="002F6631">
        <w:t xml:space="preserve"> </w:t>
      </w:r>
      <w:r w:rsidR="005A4BBC">
        <w:t>(</w:t>
      </w:r>
      <w:r w:rsidR="00255C16">
        <w:t xml:space="preserve">20%; see </w:t>
      </w:r>
      <w:r w:rsidR="005A4BBC">
        <w:t xml:space="preserve">Figure </w:t>
      </w:r>
      <w:r w:rsidR="00677418">
        <w:t>7</w:t>
      </w:r>
      <w:r w:rsidR="005A4BBC">
        <w:t>).</w:t>
      </w:r>
      <w:r w:rsidR="00F7076C">
        <w:t xml:space="preserve">  Previous research ha</w:t>
      </w:r>
      <w:r w:rsidR="00BA1FFE">
        <w:t>s often shown high recidivism rates for individuals who have a young age at first arrest.</w:t>
      </w:r>
    </w:p>
    <w:p w:rsidR="00805B31" w:rsidRDefault="00805B31">
      <w:pPr>
        <w:spacing w:line="360" w:lineRule="auto"/>
      </w:pPr>
    </w:p>
    <w:p w:rsidR="00E97EB9" w:rsidRPr="007E118A" w:rsidRDefault="00ED0E76">
      <w:pPr>
        <w:spacing w:line="360" w:lineRule="auto"/>
      </w:pPr>
      <w:r>
        <w:rPr>
          <w:noProof/>
        </w:rPr>
        <w:drawing>
          <wp:inline distT="0" distB="0" distL="0" distR="0" wp14:anchorId="1336D580" wp14:editId="335AD363">
            <wp:extent cx="5638800" cy="30670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05B31" w:rsidRDefault="00805B31">
      <w:pPr>
        <w:spacing w:line="360" w:lineRule="auto"/>
      </w:pPr>
    </w:p>
    <w:p w:rsidR="005A4BBC" w:rsidRDefault="005A4BBC">
      <w:pPr>
        <w:spacing w:line="360" w:lineRule="auto"/>
      </w:pPr>
      <w:r>
        <w:rPr>
          <w:b/>
          <w:bCs/>
        </w:rPr>
        <w:t>County:</w:t>
      </w:r>
      <w:r>
        <w:t xml:space="preserve">  The </w:t>
      </w:r>
      <w:r w:rsidR="00B37443">
        <w:t>re</w:t>
      </w:r>
      <w:r w:rsidR="00E656B7">
        <w:t>-</w:t>
      </w:r>
      <w:r w:rsidR="00B37443">
        <w:t>conviction</w:t>
      </w:r>
      <w:r>
        <w:t xml:space="preserve"> rates for</w:t>
      </w:r>
      <w:r w:rsidR="00AA7EF9">
        <w:t xml:space="preserve"> </w:t>
      </w:r>
      <w:r w:rsidR="00D847E5">
        <w:t>the 2014 cohort</w:t>
      </w:r>
      <w:r>
        <w:t xml:space="preserve"> from the major Massachusetts counties were</w:t>
      </w:r>
      <w:r w:rsidR="00481EF6">
        <w:t xml:space="preserve"> as foll</w:t>
      </w:r>
      <w:r w:rsidR="00255C16">
        <w:t>ows:  Essex County, 43%; Suffolk County, 31%; Worcester County, 31%;  Hampden County, 22</w:t>
      </w:r>
      <w:r w:rsidR="00481EF6">
        <w:t>%</w:t>
      </w:r>
      <w:r w:rsidR="0048668A">
        <w:t xml:space="preserve">; </w:t>
      </w:r>
      <w:r w:rsidR="00255C16">
        <w:t>and Bristol County, 21</w:t>
      </w:r>
      <w:r w:rsidR="009679BB">
        <w:t>%</w:t>
      </w:r>
      <w:r w:rsidR="008D47E8">
        <w:t xml:space="preserve"> </w:t>
      </w:r>
      <w:r w:rsidR="00F46355">
        <w:t>(Figu</w:t>
      </w:r>
      <w:r w:rsidR="00677418">
        <w:t>re 8</w:t>
      </w:r>
      <w:r>
        <w:t>).</w:t>
      </w:r>
      <w:r w:rsidR="00F674F2">
        <w:t xml:space="preserve">  </w:t>
      </w:r>
      <w:r w:rsidR="004E002D">
        <w:t xml:space="preserve">Historically, the highest rates of recidivism have been </w:t>
      </w:r>
      <w:r w:rsidR="006506D8">
        <w:t xml:space="preserve">for </w:t>
      </w:r>
      <w:r w:rsidR="004E002D">
        <w:t xml:space="preserve">youth living in Suffolk </w:t>
      </w:r>
      <w:r w:rsidR="003E1009">
        <w:t>County</w:t>
      </w:r>
      <w:r w:rsidR="004E002D">
        <w:t>.</w:t>
      </w:r>
    </w:p>
    <w:p w:rsidR="005A4BBC" w:rsidRDefault="005A4BBC">
      <w:pPr>
        <w:spacing w:line="360" w:lineRule="auto"/>
      </w:pPr>
    </w:p>
    <w:p w:rsidR="00BA5F5A" w:rsidRPr="007E118A" w:rsidRDefault="00351C45">
      <w:pPr>
        <w:spacing w:line="360" w:lineRule="auto"/>
      </w:pPr>
      <w:r>
        <w:rPr>
          <w:noProof/>
        </w:rPr>
        <w:drawing>
          <wp:inline distT="0" distB="0" distL="0" distR="0" wp14:anchorId="66CBDD31" wp14:editId="452D9D94">
            <wp:extent cx="5486400" cy="3013417"/>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F587B" w:rsidRDefault="006F587B">
      <w:pPr>
        <w:spacing w:line="360" w:lineRule="auto"/>
        <w:rPr>
          <w:b/>
          <w:bCs/>
        </w:rPr>
      </w:pPr>
    </w:p>
    <w:p w:rsidR="00807A87" w:rsidRPr="00D41E0D" w:rsidRDefault="00F1745C">
      <w:pPr>
        <w:spacing w:line="360" w:lineRule="auto"/>
        <w:rPr>
          <w:b/>
          <w:i/>
        </w:rPr>
      </w:pPr>
      <w:r>
        <w:rPr>
          <w:b/>
          <w:bCs/>
        </w:rPr>
        <w:t>DYS Region</w:t>
      </w:r>
      <w:r w:rsidR="005A4BBC">
        <w:rPr>
          <w:b/>
          <w:bCs/>
        </w:rPr>
        <w:t>:</w:t>
      </w:r>
      <w:r w:rsidR="005A4BBC">
        <w:t xml:space="preserve">  The </w:t>
      </w:r>
      <w:r w:rsidR="00B37443">
        <w:t>reconviction</w:t>
      </w:r>
      <w:r w:rsidR="00062A28">
        <w:t xml:space="preserve"> rates for the five</w:t>
      </w:r>
      <w:r>
        <w:t xml:space="preserve"> DYS regions</w:t>
      </w:r>
      <w:r w:rsidR="007F4FFD">
        <w:t xml:space="preserve"> were:  </w:t>
      </w:r>
      <w:r w:rsidR="00F609EB">
        <w:t>Northeast, 33</w:t>
      </w:r>
      <w:r w:rsidR="008D47E8">
        <w:t xml:space="preserve">%; </w:t>
      </w:r>
      <w:r w:rsidR="00F609EB">
        <w:t>Metro, 29%; Central, 29</w:t>
      </w:r>
      <w:r w:rsidR="005A6780">
        <w:t>%</w:t>
      </w:r>
      <w:r w:rsidR="009679BB">
        <w:t>;</w:t>
      </w:r>
      <w:r w:rsidR="00F609EB">
        <w:t xml:space="preserve"> Western, 22%; and Southeast, 20</w:t>
      </w:r>
      <w:proofErr w:type="gramStart"/>
      <w:r w:rsidR="009679BB">
        <w:t xml:space="preserve">% </w:t>
      </w:r>
      <w:r w:rsidR="008D47E8">
        <w:t xml:space="preserve"> </w:t>
      </w:r>
      <w:r w:rsidR="00677418">
        <w:t>(</w:t>
      </w:r>
      <w:proofErr w:type="gramEnd"/>
      <w:r w:rsidR="00677418">
        <w:t>Figure 9</w:t>
      </w:r>
      <w:r w:rsidR="005A4BBC">
        <w:t>).</w:t>
      </w:r>
      <w:r w:rsidR="004E002D">
        <w:t xml:space="preserve">  Compared t</w:t>
      </w:r>
      <w:r w:rsidR="007103D4">
        <w:t xml:space="preserve">o the previous year, </w:t>
      </w:r>
      <w:r w:rsidR="00F609EB">
        <w:t>the Southeast and Western</w:t>
      </w:r>
      <w:r w:rsidR="009679BB">
        <w:t xml:space="preserve"> Regions showed significant decreases in reconviction rates.</w:t>
      </w:r>
      <w:r w:rsidR="00D41E0D">
        <w:t xml:space="preserve">  </w:t>
      </w:r>
      <w:r w:rsidR="00D41E0D" w:rsidRPr="00D41E0D">
        <w:rPr>
          <w:i/>
        </w:rPr>
        <w:t>A breakdown of each DYS Region by County can be found in Appendix B.</w:t>
      </w:r>
    </w:p>
    <w:p w:rsidR="00805B31" w:rsidRDefault="00805B31">
      <w:pPr>
        <w:spacing w:line="360" w:lineRule="auto"/>
      </w:pPr>
    </w:p>
    <w:p w:rsidR="005A4BBC" w:rsidRPr="007E118A" w:rsidRDefault="00351C45">
      <w:pPr>
        <w:spacing w:line="360" w:lineRule="auto"/>
      </w:pPr>
      <w:r>
        <w:rPr>
          <w:noProof/>
        </w:rPr>
        <w:lastRenderedPageBreak/>
        <w:drawing>
          <wp:inline distT="0" distB="0" distL="0" distR="0" wp14:anchorId="41477831" wp14:editId="2594E70B">
            <wp:extent cx="5486400" cy="2882705"/>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C4EA2" w:rsidRDefault="00DC4EA2">
      <w:pPr>
        <w:spacing w:line="360" w:lineRule="auto"/>
      </w:pPr>
    </w:p>
    <w:p w:rsidR="00433B92" w:rsidRDefault="00433B92">
      <w:pPr>
        <w:spacing w:line="360" w:lineRule="auto"/>
      </w:pPr>
    </w:p>
    <w:p w:rsidR="006F587B" w:rsidRPr="007E118A" w:rsidRDefault="00351C45">
      <w:pPr>
        <w:spacing w:line="360" w:lineRule="auto"/>
      </w:pPr>
      <w:r>
        <w:rPr>
          <w:noProof/>
        </w:rPr>
        <w:drawing>
          <wp:inline distT="0" distB="0" distL="0" distR="0" wp14:anchorId="46CEAA2E" wp14:editId="45CBE4D3">
            <wp:extent cx="5486400" cy="2825262"/>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C4EA2" w:rsidRDefault="00DC4EA2">
      <w:pPr>
        <w:spacing w:line="360" w:lineRule="auto"/>
        <w:rPr>
          <w:b/>
          <w:bCs/>
          <w:u w:val="single"/>
        </w:rPr>
      </w:pPr>
    </w:p>
    <w:p w:rsidR="00DC4EA2" w:rsidRDefault="00DC4EA2">
      <w:pPr>
        <w:spacing w:line="360" w:lineRule="auto"/>
        <w:rPr>
          <w:b/>
          <w:bCs/>
          <w:u w:val="single"/>
        </w:rPr>
      </w:pPr>
    </w:p>
    <w:p w:rsidR="00DC4EA2" w:rsidRPr="007E118A" w:rsidRDefault="00351C45">
      <w:pPr>
        <w:spacing w:line="360" w:lineRule="auto"/>
        <w:rPr>
          <w:b/>
          <w:bCs/>
          <w:u w:val="single"/>
        </w:rPr>
      </w:pPr>
      <w:r>
        <w:rPr>
          <w:noProof/>
        </w:rPr>
        <w:lastRenderedPageBreak/>
        <w:drawing>
          <wp:inline distT="0" distB="0" distL="0" distR="0" wp14:anchorId="2D295BEF" wp14:editId="4C60C2BA">
            <wp:extent cx="5486400" cy="2882118"/>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C4EA2" w:rsidRDefault="00DC4EA2">
      <w:pPr>
        <w:spacing w:line="360" w:lineRule="auto"/>
        <w:rPr>
          <w:b/>
          <w:bCs/>
          <w:u w:val="single"/>
        </w:rPr>
      </w:pPr>
    </w:p>
    <w:p w:rsidR="00DC4EA2" w:rsidRDefault="00DC4EA2">
      <w:pPr>
        <w:spacing w:line="360" w:lineRule="auto"/>
        <w:rPr>
          <w:b/>
          <w:bCs/>
          <w:u w:val="single"/>
        </w:rPr>
      </w:pPr>
    </w:p>
    <w:p w:rsidR="00DC4EA2" w:rsidRDefault="00DC4EA2">
      <w:pPr>
        <w:spacing w:line="360" w:lineRule="auto"/>
        <w:rPr>
          <w:b/>
          <w:bCs/>
          <w:u w:val="single"/>
        </w:rPr>
      </w:pPr>
    </w:p>
    <w:p w:rsidR="00D07905" w:rsidRDefault="00D07905">
      <w:pPr>
        <w:spacing w:line="360" w:lineRule="auto"/>
        <w:rPr>
          <w:b/>
          <w:bCs/>
          <w:u w:val="single"/>
        </w:rPr>
      </w:pPr>
    </w:p>
    <w:p w:rsidR="00D07905" w:rsidRDefault="00D07905">
      <w:pPr>
        <w:spacing w:line="360" w:lineRule="auto"/>
        <w:rPr>
          <w:b/>
          <w:bCs/>
          <w:u w:val="single"/>
        </w:rPr>
      </w:pPr>
    </w:p>
    <w:p w:rsidR="00D07905" w:rsidRPr="007E118A" w:rsidRDefault="00351C45">
      <w:pPr>
        <w:spacing w:line="360" w:lineRule="auto"/>
        <w:rPr>
          <w:b/>
          <w:bCs/>
          <w:u w:val="single"/>
        </w:rPr>
      </w:pPr>
      <w:r>
        <w:rPr>
          <w:noProof/>
        </w:rPr>
        <w:drawing>
          <wp:inline distT="0" distB="0" distL="0" distR="0" wp14:anchorId="09C542F9" wp14:editId="7D5CDAC5">
            <wp:extent cx="5486400" cy="2886222"/>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07905" w:rsidRDefault="00D07905">
      <w:pPr>
        <w:spacing w:line="360" w:lineRule="auto"/>
        <w:rPr>
          <w:b/>
          <w:bCs/>
          <w:u w:val="single"/>
        </w:rPr>
      </w:pPr>
    </w:p>
    <w:p w:rsidR="007E118A" w:rsidRDefault="007E118A">
      <w:pPr>
        <w:spacing w:line="360" w:lineRule="auto"/>
        <w:rPr>
          <w:b/>
          <w:bCs/>
          <w:u w:val="single"/>
        </w:rPr>
      </w:pPr>
    </w:p>
    <w:p w:rsidR="00D07905" w:rsidRDefault="00D07905">
      <w:pPr>
        <w:spacing w:line="360" w:lineRule="auto"/>
        <w:rPr>
          <w:b/>
          <w:bCs/>
          <w:u w:val="single"/>
        </w:rPr>
      </w:pPr>
    </w:p>
    <w:p w:rsidR="00D07905" w:rsidRDefault="00D07905">
      <w:pPr>
        <w:spacing w:line="360" w:lineRule="auto"/>
        <w:rPr>
          <w:b/>
          <w:bCs/>
          <w:u w:val="single"/>
        </w:rPr>
      </w:pPr>
    </w:p>
    <w:p w:rsidR="00DC4EA2" w:rsidRPr="007E118A" w:rsidRDefault="00351C45">
      <w:pPr>
        <w:spacing w:line="360" w:lineRule="auto"/>
        <w:rPr>
          <w:b/>
          <w:bCs/>
          <w:u w:val="single"/>
        </w:rPr>
      </w:pPr>
      <w:r>
        <w:rPr>
          <w:noProof/>
        </w:rPr>
        <w:lastRenderedPageBreak/>
        <w:drawing>
          <wp:inline distT="0" distB="0" distL="0" distR="0" wp14:anchorId="68C0BBD3" wp14:editId="7D56E058">
            <wp:extent cx="5486400" cy="2792437"/>
            <wp:effectExtent l="0" t="0" r="0" b="825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C4EA2" w:rsidRDefault="00DC4EA2">
      <w:pPr>
        <w:spacing w:line="360" w:lineRule="auto"/>
        <w:rPr>
          <w:b/>
          <w:bCs/>
          <w:u w:val="single"/>
        </w:rPr>
      </w:pPr>
    </w:p>
    <w:p w:rsidR="00901EB1" w:rsidRDefault="00901EB1">
      <w:pPr>
        <w:spacing w:line="360" w:lineRule="auto"/>
        <w:rPr>
          <w:b/>
          <w:bCs/>
          <w:u w:val="single"/>
        </w:rPr>
      </w:pPr>
    </w:p>
    <w:p w:rsidR="00DC4EA2" w:rsidRPr="007E118A" w:rsidRDefault="00351C45">
      <w:pPr>
        <w:spacing w:line="360" w:lineRule="auto"/>
        <w:rPr>
          <w:b/>
          <w:bCs/>
          <w:u w:val="single"/>
        </w:rPr>
      </w:pPr>
      <w:r>
        <w:rPr>
          <w:noProof/>
        </w:rPr>
        <w:drawing>
          <wp:inline distT="0" distB="0" distL="0" distR="0" wp14:anchorId="45B1A3CC" wp14:editId="4889212B">
            <wp:extent cx="5486400" cy="2836985"/>
            <wp:effectExtent l="0" t="0" r="0" b="190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83091" w:rsidRDefault="00B83091">
      <w:pPr>
        <w:spacing w:line="360" w:lineRule="auto"/>
        <w:rPr>
          <w:b/>
          <w:bCs/>
          <w:u w:val="single"/>
        </w:rPr>
      </w:pPr>
    </w:p>
    <w:p w:rsidR="005A4BBC" w:rsidRDefault="005A4BBC">
      <w:pPr>
        <w:spacing w:line="360" w:lineRule="auto"/>
      </w:pPr>
      <w:r>
        <w:rPr>
          <w:b/>
          <w:bCs/>
          <w:u w:val="single"/>
        </w:rPr>
        <w:t xml:space="preserve">Length of Time </w:t>
      </w:r>
      <w:proofErr w:type="gramStart"/>
      <w:r>
        <w:rPr>
          <w:b/>
          <w:bCs/>
          <w:u w:val="single"/>
        </w:rPr>
        <w:t>Until</w:t>
      </w:r>
      <w:proofErr w:type="gramEnd"/>
      <w:r>
        <w:rPr>
          <w:b/>
          <w:bCs/>
          <w:u w:val="single"/>
        </w:rPr>
        <w:t xml:space="preserve"> First Adult Conviction:  </w:t>
      </w:r>
      <w:r>
        <w:t xml:space="preserve"> </w:t>
      </w:r>
      <w:r w:rsidR="00565833">
        <w:t xml:space="preserve">  Of t</w:t>
      </w:r>
      <w:r w:rsidR="00EB3A8E">
        <w:t xml:space="preserve">he </w:t>
      </w:r>
      <w:r w:rsidR="00537CF0">
        <w:t>409</w:t>
      </w:r>
      <w:r w:rsidR="00EB3A8E">
        <w:t xml:space="preserve"> </w:t>
      </w:r>
      <w:r w:rsidR="006506D8">
        <w:t xml:space="preserve">former DYS </w:t>
      </w:r>
      <w:r w:rsidR="0011242C">
        <w:t>youth</w:t>
      </w:r>
      <w:r w:rsidR="00A44B06">
        <w:t xml:space="preserve"> </w:t>
      </w:r>
      <w:r w:rsidR="00EB3A8E">
        <w:t xml:space="preserve">in the </w:t>
      </w:r>
      <w:r w:rsidR="00D847E5">
        <w:t>study</w:t>
      </w:r>
      <w:r w:rsidR="00F609EB">
        <w:t>, 16</w:t>
      </w:r>
      <w:r w:rsidR="003905CA">
        <w:t xml:space="preserve">% were </w:t>
      </w:r>
      <w:r w:rsidR="00B37443">
        <w:t>reconvicted</w:t>
      </w:r>
      <w:r w:rsidR="00E3781B">
        <w:t xml:space="preserve"> </w:t>
      </w:r>
      <w:r w:rsidR="002E5055">
        <w:t xml:space="preserve">of an offense committed </w:t>
      </w:r>
      <w:r w:rsidR="00E3781B">
        <w:t>within six months</w:t>
      </w:r>
      <w:r w:rsidR="00EB3A8E">
        <w:t>; 26</w:t>
      </w:r>
      <w:r w:rsidR="00243041">
        <w:t xml:space="preserve">% were </w:t>
      </w:r>
      <w:r w:rsidR="00B37443">
        <w:t>reconvicted</w:t>
      </w:r>
      <w:r w:rsidR="00243041">
        <w:t xml:space="preserve"> </w:t>
      </w:r>
      <w:r w:rsidR="002E5055">
        <w:t xml:space="preserve">of an offense committed </w:t>
      </w:r>
      <w:r w:rsidR="00243041">
        <w:t xml:space="preserve">within one year; </w:t>
      </w:r>
      <w:r w:rsidR="00F609EB">
        <w:t>and 38</w:t>
      </w:r>
      <w:r w:rsidR="003905CA">
        <w:t xml:space="preserve">% were </w:t>
      </w:r>
      <w:r w:rsidR="00B37443">
        <w:t>reconvicted</w:t>
      </w:r>
      <w:r w:rsidR="002E5055">
        <w:t xml:space="preserve"> </w:t>
      </w:r>
      <w:r w:rsidR="00677418">
        <w:t>within two years (Figure 15</w:t>
      </w:r>
      <w:r w:rsidR="003905CA">
        <w:t xml:space="preserve">).  </w:t>
      </w:r>
      <w:r w:rsidR="005464D6">
        <w:t xml:space="preserve">Research has consistently found that when discharged </w:t>
      </w:r>
      <w:r w:rsidR="006506D8">
        <w:t xml:space="preserve">youth </w:t>
      </w:r>
      <w:r w:rsidR="005464D6">
        <w:t xml:space="preserve">re-offend, they tend to do so within a short period of time.  </w:t>
      </w:r>
      <w:r>
        <w:t xml:space="preserve">Of the </w:t>
      </w:r>
      <w:r w:rsidR="006506D8">
        <w:t xml:space="preserve">former DYS </w:t>
      </w:r>
      <w:r w:rsidR="0011242C">
        <w:t>youth</w:t>
      </w:r>
      <w:r w:rsidR="00A44B06">
        <w:t xml:space="preserve"> </w:t>
      </w:r>
      <w:r>
        <w:t>who</w:t>
      </w:r>
      <w:r w:rsidR="00B83091">
        <w:t xml:space="preserve"> </w:t>
      </w:r>
      <w:r w:rsidR="00B83091">
        <w:lastRenderedPageBreak/>
        <w:t>re-offended</w:t>
      </w:r>
      <w:r w:rsidR="005A6780">
        <w:t xml:space="preserve"> w</w:t>
      </w:r>
      <w:r w:rsidR="00F609EB">
        <w:t>ithin one year, 63</w:t>
      </w:r>
      <w:r>
        <w:t>% committed their offense within six</w:t>
      </w:r>
      <w:r w:rsidR="006431AD">
        <w:t xml:space="preserve"> months of discharge</w:t>
      </w:r>
      <w:r>
        <w:t>.</w:t>
      </w:r>
    </w:p>
    <w:p w:rsidR="006674EF" w:rsidRPr="006674EF" w:rsidRDefault="006674EF" w:rsidP="006674EF"/>
    <w:p w:rsidR="00C70AC0" w:rsidRPr="007E118A" w:rsidRDefault="00351C45" w:rsidP="006A280E">
      <w:pPr>
        <w:pStyle w:val="Caption"/>
      </w:pPr>
      <w:r>
        <w:rPr>
          <w:noProof/>
        </w:rPr>
        <w:drawing>
          <wp:inline distT="0" distB="0" distL="0" distR="0" wp14:anchorId="3E3C63A0" wp14:editId="1CF084FF">
            <wp:extent cx="5486400" cy="3052689"/>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A5111" w:rsidRDefault="003A5111">
      <w:pPr>
        <w:spacing w:line="360" w:lineRule="auto"/>
        <w:rPr>
          <w:b/>
        </w:rPr>
      </w:pPr>
    </w:p>
    <w:p w:rsidR="009D488B" w:rsidRDefault="009D488B">
      <w:pPr>
        <w:spacing w:line="360" w:lineRule="auto"/>
        <w:rPr>
          <w:b/>
        </w:rPr>
      </w:pPr>
    </w:p>
    <w:p w:rsidR="009D488B" w:rsidRDefault="009D488B">
      <w:pPr>
        <w:spacing w:line="360" w:lineRule="auto"/>
        <w:rPr>
          <w:b/>
        </w:rPr>
      </w:pPr>
    </w:p>
    <w:p w:rsidR="009D488B" w:rsidRDefault="009D488B">
      <w:pPr>
        <w:spacing w:line="360" w:lineRule="auto"/>
        <w:rPr>
          <w:b/>
        </w:rPr>
      </w:pPr>
      <w:r>
        <w:rPr>
          <w:b/>
        </w:rPr>
        <w:t>Other Factors</w:t>
      </w:r>
    </w:p>
    <w:p w:rsidR="009D488B" w:rsidRDefault="009D488B">
      <w:pPr>
        <w:spacing w:line="360" w:lineRule="auto"/>
        <w:rPr>
          <w:b/>
        </w:rPr>
      </w:pPr>
    </w:p>
    <w:p w:rsidR="009D488B" w:rsidRDefault="009D488B" w:rsidP="009D488B">
      <w:pPr>
        <w:spacing w:line="360" w:lineRule="auto"/>
        <w:rPr>
          <w:u w:val="single"/>
        </w:rPr>
      </w:pPr>
      <w:r w:rsidRPr="009D488B">
        <w:rPr>
          <w:u w:val="single"/>
        </w:rPr>
        <w:t>Number of Arraignments</w:t>
      </w:r>
    </w:p>
    <w:p w:rsidR="00755BCB" w:rsidRPr="00755BCB" w:rsidRDefault="00755BCB" w:rsidP="009D488B">
      <w:pPr>
        <w:spacing w:line="360" w:lineRule="auto"/>
        <w:rPr>
          <w:sz w:val="16"/>
          <w:szCs w:val="16"/>
          <w:u w:val="single"/>
        </w:rPr>
      </w:pPr>
    </w:p>
    <w:p w:rsidR="009D488B" w:rsidRPr="009D488B" w:rsidRDefault="009D488B" w:rsidP="009D488B">
      <w:pPr>
        <w:spacing w:line="360" w:lineRule="auto"/>
      </w:pPr>
      <w:r w:rsidRPr="009D488B">
        <w:t>Youth with more than 14 pre-discharge arraignments had a recidivism rate of 37%.  Those with 8-14 arraignments had a rate of 24%, while those with fewer than 8 arraignments had a rate of only 18%.</w:t>
      </w:r>
    </w:p>
    <w:p w:rsidR="009D488B" w:rsidRPr="009D488B" w:rsidRDefault="009D488B" w:rsidP="009D488B">
      <w:pPr>
        <w:spacing w:line="360" w:lineRule="auto"/>
      </w:pPr>
    </w:p>
    <w:p w:rsidR="009D488B" w:rsidRDefault="00755BCB" w:rsidP="009D488B">
      <w:pPr>
        <w:spacing w:line="360" w:lineRule="auto"/>
      </w:pPr>
      <w:r w:rsidRPr="00755BCB">
        <w:rPr>
          <w:u w:val="single"/>
        </w:rPr>
        <w:t>Youth Engaged in Services (YES</w:t>
      </w:r>
      <w:r>
        <w:t>)</w:t>
      </w:r>
    </w:p>
    <w:p w:rsidR="00755BCB" w:rsidRPr="00755BCB" w:rsidRDefault="00755BCB" w:rsidP="009D488B">
      <w:pPr>
        <w:spacing w:line="360" w:lineRule="auto"/>
        <w:rPr>
          <w:sz w:val="16"/>
          <w:szCs w:val="16"/>
        </w:rPr>
      </w:pPr>
    </w:p>
    <w:p w:rsidR="009D488B" w:rsidRPr="009D488B" w:rsidRDefault="009D488B" w:rsidP="009D488B">
      <w:pPr>
        <w:spacing w:line="360" w:lineRule="auto"/>
      </w:pPr>
      <w:r w:rsidRPr="009D488B">
        <w:t>Youth who opted for YES services following DYS discharge had a recidivism rate of 24% while youth not opting for those services had a rate of 27%.</w:t>
      </w:r>
      <w:r w:rsidR="00D847E5">
        <w:t xml:space="preserve">  See the Methods section for an explanation of YES services.</w:t>
      </w:r>
    </w:p>
    <w:p w:rsidR="009D488B" w:rsidRPr="009D488B" w:rsidRDefault="009D488B" w:rsidP="009D488B">
      <w:pPr>
        <w:spacing w:line="360" w:lineRule="auto"/>
      </w:pPr>
    </w:p>
    <w:p w:rsidR="00755BCB" w:rsidRDefault="00755BCB" w:rsidP="009D488B">
      <w:pPr>
        <w:spacing w:line="360" w:lineRule="auto"/>
        <w:rPr>
          <w:u w:val="single"/>
        </w:rPr>
      </w:pPr>
      <w:r w:rsidRPr="00755BCB">
        <w:rPr>
          <w:u w:val="single"/>
        </w:rPr>
        <w:lastRenderedPageBreak/>
        <w:t>Risk Assessment</w:t>
      </w:r>
    </w:p>
    <w:p w:rsidR="00755BCB" w:rsidRPr="00755BCB" w:rsidRDefault="00755BCB" w:rsidP="009D488B">
      <w:pPr>
        <w:spacing w:line="360" w:lineRule="auto"/>
        <w:rPr>
          <w:sz w:val="16"/>
          <w:szCs w:val="16"/>
          <w:u w:val="single"/>
        </w:rPr>
      </w:pPr>
    </w:p>
    <w:p w:rsidR="009D488B" w:rsidRPr="009D488B" w:rsidRDefault="00D847E5" w:rsidP="009D488B">
      <w:pPr>
        <w:spacing w:line="360" w:lineRule="auto"/>
      </w:pPr>
      <w:r>
        <w:t xml:space="preserve">The YLS/CMI is a validated risk/needs assessment specifically designed for adolescents.  Key areas assessed include education, employment, substance abuse, peer relations, and family circumstances.  </w:t>
      </w:r>
      <w:proofErr w:type="gramStart"/>
      <w:r>
        <w:t>A</w:t>
      </w:r>
      <w:proofErr w:type="gramEnd"/>
      <w:r>
        <w:t xml:space="preserve"> YLS/CMI score in the low range indicates that the youth requires either low level services or no services to address the above areas.  </w:t>
      </w:r>
      <w:r w:rsidR="009D488B" w:rsidRPr="009D488B">
        <w:t xml:space="preserve">Youth scoring in </w:t>
      </w:r>
      <w:r w:rsidR="00250FF0">
        <w:t xml:space="preserve">the </w:t>
      </w:r>
      <w:r w:rsidR="009D488B" w:rsidRPr="009D488B">
        <w:t>low range of the YLS/CMI risk assessment had a recidivism rate of 20% while youth scoring in the higher ranges had a rate of 28%.</w:t>
      </w:r>
    </w:p>
    <w:p w:rsidR="009D488B" w:rsidRPr="00755BCB" w:rsidRDefault="009D488B" w:rsidP="009D488B">
      <w:pPr>
        <w:spacing w:line="360" w:lineRule="auto"/>
        <w:rPr>
          <w:sz w:val="16"/>
          <w:szCs w:val="16"/>
        </w:rPr>
      </w:pPr>
    </w:p>
    <w:p w:rsidR="009D488B" w:rsidRPr="00755BCB" w:rsidRDefault="00755BCB" w:rsidP="009D488B">
      <w:pPr>
        <w:spacing w:line="360" w:lineRule="auto"/>
        <w:rPr>
          <w:u w:val="single"/>
        </w:rPr>
      </w:pPr>
      <w:r w:rsidRPr="00755BCB">
        <w:rPr>
          <w:u w:val="single"/>
        </w:rPr>
        <w:t>Clinical Attitude Battery (CAB)</w:t>
      </w:r>
    </w:p>
    <w:p w:rsidR="00755BCB" w:rsidRPr="00755BCB" w:rsidRDefault="00755BCB" w:rsidP="009D488B">
      <w:pPr>
        <w:spacing w:line="360" w:lineRule="auto"/>
        <w:rPr>
          <w:sz w:val="16"/>
          <w:szCs w:val="16"/>
        </w:rPr>
      </w:pPr>
    </w:p>
    <w:p w:rsidR="009D488B" w:rsidRPr="009D488B" w:rsidRDefault="00D847E5" w:rsidP="009D488B">
      <w:pPr>
        <w:spacing w:line="360" w:lineRule="auto"/>
      </w:pPr>
      <w:r>
        <w:t>The DYS Clinical A</w:t>
      </w:r>
      <w:r w:rsidR="004477E2">
        <w:t>ttitude Battery is a</w:t>
      </w:r>
      <w:r>
        <w:t xml:space="preserve"> tool that assesses youth attitudes and behaviors, including trust, skills, emotional regulation, and accepting responsibility.  High scores </w:t>
      </w:r>
      <w:r w:rsidR="00670271">
        <w:t>in a particular scale indicate</w:t>
      </w:r>
      <w:r w:rsidR="004477E2">
        <w:t xml:space="preserve"> that a youth is competent in that area.  </w:t>
      </w:r>
      <w:r w:rsidR="009D488B" w:rsidRPr="009D488B">
        <w:t>Youth scoring in the high range on the ‘Accepting Responsibility’ scale in the Clinical Attitude Battery (CAB) had a recidivism rate of only 19%.  Those scoring in the lower ranges had a rate of 30%.</w:t>
      </w:r>
    </w:p>
    <w:p w:rsidR="009D488B" w:rsidRPr="009D488B" w:rsidRDefault="009D488B" w:rsidP="009D488B">
      <w:pPr>
        <w:spacing w:line="360" w:lineRule="auto"/>
      </w:pPr>
    </w:p>
    <w:p w:rsidR="009D488B" w:rsidRPr="00755BCB" w:rsidRDefault="00755BCB" w:rsidP="009D488B">
      <w:pPr>
        <w:spacing w:line="360" w:lineRule="auto"/>
        <w:rPr>
          <w:u w:val="single"/>
        </w:rPr>
      </w:pPr>
      <w:r w:rsidRPr="00755BCB">
        <w:rPr>
          <w:u w:val="single"/>
        </w:rPr>
        <w:t>Substance Abuse</w:t>
      </w:r>
    </w:p>
    <w:p w:rsidR="00755BCB" w:rsidRPr="00755BCB" w:rsidRDefault="00755BCB" w:rsidP="009D488B">
      <w:pPr>
        <w:spacing w:line="360" w:lineRule="auto"/>
        <w:rPr>
          <w:sz w:val="16"/>
          <w:szCs w:val="16"/>
        </w:rPr>
      </w:pPr>
    </w:p>
    <w:p w:rsidR="009D488B" w:rsidRPr="009D488B" w:rsidRDefault="006D260E" w:rsidP="009D488B">
      <w:pPr>
        <w:spacing w:line="360" w:lineRule="auto"/>
      </w:pPr>
      <w:r>
        <w:t xml:space="preserve">Each DYS committed youth is assigned to either a substance abuse treatment track or a substance abuse prevention track.  The treatment track is designed for youth who have been identified as substance abusers.  The prevention track is designed for youth who have no known history of substance abuse.  </w:t>
      </w:r>
      <w:r w:rsidR="009D488B" w:rsidRPr="009D488B">
        <w:t>Youth who were in the substance abuse treatment track had a recidivism rate of 28% while those who were in the prevention track had a rate of 19%.</w:t>
      </w:r>
    </w:p>
    <w:p w:rsidR="009D488B" w:rsidRPr="009D488B" w:rsidRDefault="009D488B" w:rsidP="009D488B">
      <w:pPr>
        <w:spacing w:line="360" w:lineRule="auto"/>
      </w:pPr>
    </w:p>
    <w:p w:rsidR="009D488B" w:rsidRPr="00755BCB" w:rsidRDefault="00755BCB" w:rsidP="009D488B">
      <w:pPr>
        <w:spacing w:line="360" w:lineRule="auto"/>
        <w:rPr>
          <w:u w:val="single"/>
        </w:rPr>
      </w:pPr>
      <w:r w:rsidRPr="00755BCB">
        <w:rPr>
          <w:u w:val="single"/>
        </w:rPr>
        <w:t>Youthful Offenders</w:t>
      </w:r>
    </w:p>
    <w:p w:rsidR="00755BCB" w:rsidRPr="00755BCB" w:rsidRDefault="00755BCB" w:rsidP="009D488B">
      <w:pPr>
        <w:spacing w:line="360" w:lineRule="auto"/>
        <w:rPr>
          <w:sz w:val="16"/>
          <w:szCs w:val="16"/>
        </w:rPr>
      </w:pPr>
    </w:p>
    <w:p w:rsidR="00755BCB" w:rsidRDefault="009D488B" w:rsidP="009D488B">
      <w:pPr>
        <w:spacing w:line="360" w:lineRule="auto"/>
      </w:pPr>
      <w:r w:rsidRPr="009D488B">
        <w:t xml:space="preserve">Youthful Offenders discharged at age 21 had a recidivism rate of 33% while </w:t>
      </w:r>
    </w:p>
    <w:p w:rsidR="009D488B" w:rsidRDefault="006D260E" w:rsidP="009D488B">
      <w:pPr>
        <w:spacing w:line="360" w:lineRule="auto"/>
      </w:pPr>
      <w:r>
        <w:t>Youth discharged at age 18</w:t>
      </w:r>
      <w:r w:rsidR="009D488B" w:rsidRPr="009D488B">
        <w:t xml:space="preserve"> had a rate of 25%.</w:t>
      </w:r>
    </w:p>
    <w:p w:rsidR="0006503F" w:rsidRDefault="0006503F" w:rsidP="009D488B">
      <w:pPr>
        <w:spacing w:line="360" w:lineRule="auto"/>
      </w:pPr>
    </w:p>
    <w:p w:rsidR="0006503F" w:rsidRPr="009D488B" w:rsidRDefault="0006503F" w:rsidP="009D488B">
      <w:pPr>
        <w:spacing w:line="360" w:lineRule="auto"/>
      </w:pPr>
    </w:p>
    <w:p w:rsidR="009D488B" w:rsidRPr="009D488B" w:rsidRDefault="009D488B" w:rsidP="009D488B">
      <w:pPr>
        <w:spacing w:line="360" w:lineRule="auto"/>
      </w:pPr>
    </w:p>
    <w:p w:rsidR="009D488B" w:rsidRPr="00755BCB" w:rsidRDefault="00755BCB" w:rsidP="009D488B">
      <w:pPr>
        <w:spacing w:line="360" w:lineRule="auto"/>
        <w:rPr>
          <w:u w:val="single"/>
        </w:rPr>
      </w:pPr>
      <w:r w:rsidRPr="00755BCB">
        <w:rPr>
          <w:u w:val="single"/>
        </w:rPr>
        <w:lastRenderedPageBreak/>
        <w:t>High School Attainments</w:t>
      </w:r>
    </w:p>
    <w:p w:rsidR="00755BCB" w:rsidRPr="00755BCB" w:rsidRDefault="00755BCB" w:rsidP="009D488B">
      <w:pPr>
        <w:spacing w:line="360" w:lineRule="auto"/>
        <w:rPr>
          <w:sz w:val="16"/>
          <w:szCs w:val="16"/>
        </w:rPr>
      </w:pPr>
    </w:p>
    <w:p w:rsidR="009D488B" w:rsidRPr="009D488B" w:rsidRDefault="009D488B" w:rsidP="009D488B">
      <w:pPr>
        <w:spacing w:line="360" w:lineRule="auto"/>
      </w:pPr>
      <w:r w:rsidRPr="009D488B">
        <w:t>Youth earning a high school diploma or HI-SET prior to DYS discharge had a recidivism rate of 24%.  Youth without a diploma or HI-SET had a rate of 26%.</w:t>
      </w:r>
    </w:p>
    <w:p w:rsidR="009D488B" w:rsidRPr="009D488B" w:rsidRDefault="009D488B" w:rsidP="009D488B">
      <w:pPr>
        <w:spacing w:line="360" w:lineRule="auto"/>
      </w:pPr>
    </w:p>
    <w:p w:rsidR="009D488B" w:rsidRPr="00755BCB" w:rsidRDefault="00755BCB" w:rsidP="009D488B">
      <w:pPr>
        <w:spacing w:line="360" w:lineRule="auto"/>
        <w:rPr>
          <w:u w:val="single"/>
        </w:rPr>
      </w:pPr>
      <w:r w:rsidRPr="00755BCB">
        <w:rPr>
          <w:u w:val="single"/>
        </w:rPr>
        <w:t>Severity of Offenses</w:t>
      </w:r>
    </w:p>
    <w:p w:rsidR="00755BCB" w:rsidRPr="00755BCB" w:rsidRDefault="00755BCB" w:rsidP="009D488B">
      <w:pPr>
        <w:spacing w:line="360" w:lineRule="auto"/>
        <w:rPr>
          <w:sz w:val="16"/>
          <w:szCs w:val="16"/>
        </w:rPr>
      </w:pPr>
    </w:p>
    <w:p w:rsidR="009D488B" w:rsidRPr="009D488B" w:rsidRDefault="009D488B" w:rsidP="009D488B">
      <w:pPr>
        <w:spacing w:line="360" w:lineRule="auto"/>
      </w:pPr>
      <w:r w:rsidRPr="009D488B">
        <w:t xml:space="preserve">Youth </w:t>
      </w:r>
      <w:r w:rsidR="00EA72AB">
        <w:t>who were committed to DYS on felonies</w:t>
      </w:r>
      <w:r w:rsidRPr="009D488B">
        <w:t xml:space="preserve"> had a recidivism rate of 29% while those committed on misdemeanors had a rate of 22%.</w:t>
      </w:r>
    </w:p>
    <w:p w:rsidR="009D488B" w:rsidRDefault="009D488B">
      <w:pPr>
        <w:spacing w:line="360" w:lineRule="auto"/>
        <w:rPr>
          <w:b/>
        </w:rPr>
      </w:pPr>
    </w:p>
    <w:p w:rsidR="00755BCB" w:rsidRDefault="00755BCB">
      <w:pPr>
        <w:spacing w:line="360" w:lineRule="auto"/>
        <w:rPr>
          <w:b/>
        </w:rPr>
      </w:pPr>
    </w:p>
    <w:p w:rsidR="00755BCB" w:rsidRDefault="00755BCB">
      <w:pPr>
        <w:spacing w:line="360" w:lineRule="auto"/>
        <w:rPr>
          <w:b/>
        </w:rPr>
      </w:pPr>
    </w:p>
    <w:p w:rsidR="00C70AC0" w:rsidRDefault="00C70AC0">
      <w:pPr>
        <w:spacing w:line="360" w:lineRule="auto"/>
        <w:rPr>
          <w:b/>
        </w:rPr>
      </w:pPr>
      <w:r w:rsidRPr="00C70AC0">
        <w:rPr>
          <w:b/>
        </w:rPr>
        <w:t>Conclusions</w:t>
      </w:r>
    </w:p>
    <w:p w:rsidR="00677418" w:rsidRDefault="00677418">
      <w:pPr>
        <w:spacing w:line="360" w:lineRule="auto"/>
      </w:pPr>
    </w:p>
    <w:p w:rsidR="00194278" w:rsidRDefault="00F609EB">
      <w:pPr>
        <w:spacing w:line="360" w:lineRule="auto"/>
      </w:pPr>
      <w:r>
        <w:t>Jurisdictions across the United States vary greatly in the way recidivism is measured.  Different states</w:t>
      </w:r>
      <w:r w:rsidR="008C03AC">
        <w:t xml:space="preserve"> use</w:t>
      </w:r>
      <w:r w:rsidR="00FE1BA3">
        <w:t xml:space="preserve"> </w:t>
      </w:r>
      <w:r w:rsidR="004357E2">
        <w:t>re</w:t>
      </w:r>
      <w:r w:rsidR="00A44B06">
        <w:t>-</w:t>
      </w:r>
      <w:r w:rsidR="00D110F2">
        <w:t>arrest</w:t>
      </w:r>
      <w:r w:rsidR="00FE1BA3">
        <w:t>s</w:t>
      </w:r>
      <w:r w:rsidR="004357E2">
        <w:t>, re</w:t>
      </w:r>
      <w:r w:rsidR="00A44B06">
        <w:t>-</w:t>
      </w:r>
      <w:r w:rsidR="00D110F2">
        <w:t>conviction</w:t>
      </w:r>
      <w:r w:rsidR="00FE1BA3">
        <w:t>s</w:t>
      </w:r>
      <w:r>
        <w:t xml:space="preserve">, </w:t>
      </w:r>
      <w:r w:rsidR="004357E2">
        <w:t>or re</w:t>
      </w:r>
      <w:r w:rsidR="006506D8">
        <w:t>-</w:t>
      </w:r>
      <w:r w:rsidR="00D110F2">
        <w:t>incarceration</w:t>
      </w:r>
      <w:r w:rsidR="00FE1BA3">
        <w:t>s</w:t>
      </w:r>
      <w:r w:rsidR="00E656B7">
        <w:t xml:space="preserve"> as criteria for</w:t>
      </w:r>
      <w:r w:rsidR="00D110F2">
        <w:t xml:space="preserve"> recidivism event</w:t>
      </w:r>
      <w:r w:rsidR="00E656B7">
        <w:t>s</w:t>
      </w:r>
      <w:r w:rsidR="00D110F2">
        <w:t xml:space="preserve">.  Tracking periods vary from 6 months to 24 months.  In addition, </w:t>
      </w:r>
      <w:r w:rsidR="00FE1BA3">
        <w:t>a recidivism event</w:t>
      </w:r>
      <w:r w:rsidR="00D110F2">
        <w:t xml:space="preserve"> can be defined as a juvenile offense, an adult offense, or a combination of both.  For these reasons, </w:t>
      </w:r>
      <w:r w:rsidR="00FE1BA3">
        <w:t>juvenile recidivism rates for</w:t>
      </w:r>
      <w:r w:rsidR="00D110F2">
        <w:t xml:space="preserve"> Massachuse</w:t>
      </w:r>
      <w:r w:rsidR="00FE1BA3">
        <w:t>tts</w:t>
      </w:r>
      <w:r w:rsidR="00D110F2">
        <w:t xml:space="preserve"> were not compared</w:t>
      </w:r>
      <w:r w:rsidR="00FE1BA3">
        <w:t xml:space="preserve"> to those from</w:t>
      </w:r>
      <w:r w:rsidR="00D110F2">
        <w:t xml:space="preserve"> other states.  </w:t>
      </w:r>
      <w:r w:rsidR="00E656B7">
        <w:t>Further complicating the issue</w:t>
      </w:r>
      <w:r w:rsidR="00FE1BA3">
        <w:t xml:space="preserve"> is the f</w:t>
      </w:r>
      <w:r w:rsidR="00194278">
        <w:t xml:space="preserve">act that (1) </w:t>
      </w:r>
      <w:r w:rsidR="006506D8">
        <w:t>e</w:t>
      </w:r>
      <w:r w:rsidR="00194278">
        <w:t>ach state has its</w:t>
      </w:r>
      <w:r w:rsidR="00FE1BA3">
        <w:t xml:space="preserve"> own unique population; </w:t>
      </w:r>
      <w:r w:rsidR="004357E2">
        <w:t xml:space="preserve">(2) </w:t>
      </w:r>
      <w:r w:rsidR="006506D8">
        <w:t>i</w:t>
      </w:r>
      <w:r w:rsidR="004357E2">
        <w:t>n some states, juvenile re</w:t>
      </w:r>
      <w:r w:rsidR="00FE1BA3">
        <w:t xml:space="preserve">arrests or re-convictions are referred to as “relapses” rather than recidivism events; and (3) </w:t>
      </w:r>
      <w:r w:rsidR="006506D8">
        <w:t>p</w:t>
      </w:r>
      <w:r w:rsidR="00FE1BA3">
        <w:t xml:space="preserve">olicy changes in local police departments and courts can influence recidivism rates.  Additionally, many crimes are not reported to the authorities.  For example, victims of sexual assault only report offenses 5 to 20% of the time.  </w:t>
      </w:r>
    </w:p>
    <w:p w:rsidR="00677418" w:rsidRDefault="00677418">
      <w:pPr>
        <w:spacing w:line="360" w:lineRule="auto"/>
      </w:pPr>
    </w:p>
    <w:p w:rsidR="00010C81" w:rsidRDefault="00FE1BA3">
      <w:pPr>
        <w:spacing w:line="360" w:lineRule="auto"/>
      </w:pPr>
      <w:r>
        <w:t>Juvenile recidivism rates for Massachusetts</w:t>
      </w:r>
      <w:r w:rsidR="005A4BBC">
        <w:t xml:space="preserve"> have generally </w:t>
      </w:r>
      <w:r w:rsidR="002B5425">
        <w:t>been lowe</w:t>
      </w:r>
      <w:r w:rsidR="00921E8E">
        <w:t xml:space="preserve">r </w:t>
      </w:r>
      <w:r w:rsidR="004357E2">
        <w:t>in the</w:t>
      </w:r>
      <w:r w:rsidR="00F609EB">
        <w:t xml:space="preserve"> years 1998 through 2014</w:t>
      </w:r>
      <w:r w:rsidR="00062A28">
        <w:t>, as</w:t>
      </w:r>
      <w:r w:rsidR="002B5425">
        <w:t xml:space="preserve"> compared to </w:t>
      </w:r>
      <w:r w:rsidR="00062A28">
        <w:t>the years 1</w:t>
      </w:r>
      <w:r w:rsidR="002B5425">
        <w:t>993 through 1997.  In an attempt to improve outcomes for youth, DYS has increased investments</w:t>
      </w:r>
      <w:r w:rsidR="00010C81">
        <w:t xml:space="preserve"> in clinical</w:t>
      </w:r>
      <w:r w:rsidR="00F57252">
        <w:t>,</w:t>
      </w:r>
      <w:r w:rsidR="00010C81">
        <w:t xml:space="preserve"> educ</w:t>
      </w:r>
      <w:r w:rsidR="00F57252">
        <w:t>ational, and gender specific services; as well as intensive case management services for violent juvenile offenders in the Metro Boston Region</w:t>
      </w:r>
      <w:r w:rsidR="007E3A63">
        <w:t xml:space="preserve"> (Suffolk County)</w:t>
      </w:r>
      <w:r w:rsidR="00F57252">
        <w:t>.</w:t>
      </w:r>
      <w:r w:rsidR="00010C81">
        <w:t xml:space="preserve"> Those investments signaled a shift from “warehousing” youth in the 1990s (when recidivism rates were close to 50%) </w:t>
      </w:r>
      <w:r w:rsidR="00010C81">
        <w:lastRenderedPageBreak/>
        <w:t>t</w:t>
      </w:r>
      <w:r w:rsidR="0034003D">
        <w:t xml:space="preserve">o a </w:t>
      </w:r>
      <w:r w:rsidR="006506D8">
        <w:t xml:space="preserve">strength based </w:t>
      </w:r>
      <w:r w:rsidR="0034003D">
        <w:t>model of juvenile justice</w:t>
      </w:r>
      <w:r w:rsidR="00010C81">
        <w:t xml:space="preserve"> </w:t>
      </w:r>
      <w:r w:rsidR="006506D8">
        <w:t xml:space="preserve">grounded in positive youth development </w:t>
      </w:r>
      <w:r w:rsidR="00010C81">
        <w:t>which has demonstrated positive outcomes for youth</w:t>
      </w:r>
      <w:r w:rsidR="00EE5211">
        <w:t>.  T</w:t>
      </w:r>
      <w:r w:rsidR="002B4FBF">
        <w:t>he</w:t>
      </w:r>
      <w:r w:rsidR="00010C81">
        <w:t xml:space="preserve"> </w:t>
      </w:r>
      <w:r w:rsidR="006506D8">
        <w:t>shift</w:t>
      </w:r>
      <w:r w:rsidR="00010C81">
        <w:t xml:space="preserve"> </w:t>
      </w:r>
      <w:r w:rsidR="00A44B06">
        <w:t xml:space="preserve">in focus </w:t>
      </w:r>
      <w:r w:rsidR="00010C81">
        <w:t>from containment to treatment</w:t>
      </w:r>
      <w:r w:rsidR="006506D8">
        <w:t xml:space="preserve"> is more consistent with the Massachusetts juvenile code and DYS’ statutory mandate (</w:t>
      </w:r>
      <w:r w:rsidR="00A44B06">
        <w:t>M.</w:t>
      </w:r>
      <w:r w:rsidR="006506D8">
        <w:t>G.L.</w:t>
      </w:r>
      <w:r w:rsidR="007A17A4">
        <w:t xml:space="preserve"> </w:t>
      </w:r>
      <w:r w:rsidR="006506D8">
        <w:t>c. 18A)</w:t>
      </w:r>
      <w:r w:rsidR="00010C81">
        <w:t>.</w:t>
      </w:r>
    </w:p>
    <w:p w:rsidR="00465E90" w:rsidRDefault="00465E90">
      <w:pPr>
        <w:spacing w:line="360" w:lineRule="auto"/>
      </w:pPr>
    </w:p>
    <w:p w:rsidR="00465E90" w:rsidRDefault="00A61C45" w:rsidP="00465E90">
      <w:pPr>
        <w:spacing w:line="360" w:lineRule="auto"/>
      </w:pPr>
      <w:r>
        <w:t>Previous r</w:t>
      </w:r>
      <w:r w:rsidR="00465E90">
        <w:t xml:space="preserve">esearch has found that juveniles who re-offend tend to do so within a short period of time following release to the community.  In the current study, among the subjects who re-offended </w:t>
      </w:r>
      <w:r w:rsidR="004357E2">
        <w:t>withi</w:t>
      </w:r>
      <w:r w:rsidR="00F609EB">
        <w:t>n one year of discharge, 63</w:t>
      </w:r>
      <w:r w:rsidR="00465E90">
        <w:t xml:space="preserve">% re-offended within six months.  </w:t>
      </w:r>
      <w:r w:rsidR="0011242C">
        <w:t>Youth</w:t>
      </w:r>
      <w:r w:rsidR="00465E90">
        <w:t xml:space="preserve"> at high risk for reconviction ten</w:t>
      </w:r>
      <w:r w:rsidR="00EB3A8E">
        <w:t>ded to be males who had committed violent</w:t>
      </w:r>
      <w:r w:rsidR="00465E90">
        <w:t xml:space="preserve"> </w:t>
      </w:r>
      <w:r w:rsidR="00EB3A8E">
        <w:t xml:space="preserve">juvenile </w:t>
      </w:r>
      <w:r w:rsidR="00465E90">
        <w:t>offenses.</w:t>
      </w:r>
    </w:p>
    <w:p w:rsidR="00465E90" w:rsidRDefault="00465E90">
      <w:pPr>
        <w:spacing w:line="360" w:lineRule="auto"/>
      </w:pPr>
    </w:p>
    <w:p w:rsidR="005A4BBC" w:rsidRDefault="004E1FC4">
      <w:pPr>
        <w:spacing w:line="360" w:lineRule="auto"/>
      </w:pPr>
      <w:r>
        <w:t>Research has shown improved outcomes (including reduced recidivism rates) when a highly structured transition is implemente</w:t>
      </w:r>
      <w:r w:rsidR="00EE5211">
        <w:t>d from secure juvenile</w:t>
      </w:r>
      <w:r w:rsidR="00D63450">
        <w:t xml:space="preserve"> facilities </w:t>
      </w:r>
      <w:r>
        <w:t>to the community.  This transition generally includes:</w:t>
      </w:r>
    </w:p>
    <w:p w:rsidR="00DE3EB9" w:rsidRDefault="00DE3EB9">
      <w:pPr>
        <w:spacing w:line="360" w:lineRule="auto"/>
      </w:pPr>
    </w:p>
    <w:p w:rsidR="004E1FC4" w:rsidRDefault="004E1FC4" w:rsidP="00DE3EB9">
      <w:pPr>
        <w:numPr>
          <w:ilvl w:val="0"/>
          <w:numId w:val="5"/>
        </w:numPr>
        <w:spacing w:line="360" w:lineRule="auto"/>
      </w:pPr>
      <w:r>
        <w:t>Preparing confined youth for re</w:t>
      </w:r>
      <w:r w:rsidR="0043644B">
        <w:t>-</w:t>
      </w:r>
      <w:r>
        <w:t>entry</w:t>
      </w:r>
      <w:r w:rsidR="00DE3EB9">
        <w:t xml:space="preserve"> into the communities in which they reside.</w:t>
      </w:r>
    </w:p>
    <w:p w:rsidR="00DE3EB9" w:rsidRDefault="00DE3EB9" w:rsidP="00DE3EB9">
      <w:pPr>
        <w:numPr>
          <w:ilvl w:val="0"/>
          <w:numId w:val="5"/>
        </w:numPr>
        <w:spacing w:line="360" w:lineRule="auto"/>
      </w:pPr>
      <w:r>
        <w:t>Making the necessary connections with resources in the community that relate to known risk and protective factors.</w:t>
      </w:r>
    </w:p>
    <w:p w:rsidR="00677418" w:rsidRDefault="00677418">
      <w:pPr>
        <w:spacing w:line="360" w:lineRule="auto"/>
      </w:pPr>
    </w:p>
    <w:p w:rsidR="007E3A63" w:rsidRDefault="00344575">
      <w:pPr>
        <w:spacing w:line="360" w:lineRule="auto"/>
      </w:pPr>
      <w:r>
        <w:t>DYS has implemented a Community Services Network for committed youth who have been released to the community.  The features of this model include increased contact with DYS youth by caring adults; emphasis on pro-social development; community connectedness; and building life skills and social competencies.  DYS has seen significant decreases in recidivism rates since the agency began community supervision models in the 1990s.</w:t>
      </w:r>
      <w:r w:rsidR="002C14C1">
        <w:t xml:space="preserve">  </w:t>
      </w:r>
      <w:r w:rsidR="007B115D">
        <w:t>In 2017, the Massachusetts Administrative Office of the Trial Court (AOTC) in collaboration with</w:t>
      </w:r>
      <w:r w:rsidR="0012601E">
        <w:t xml:space="preserve"> Probation, the Juvenile</w:t>
      </w:r>
      <w:r w:rsidR="00E303F1">
        <w:t xml:space="preserve"> Court, DYS, and the Committee f</w:t>
      </w:r>
      <w:r w:rsidR="0012601E">
        <w:t>or Public Counsel Services (CPCS) was awarded a $950,000 Second Chance Grant from the Office of Juvenile Justice and Delinquency Prevention (OJJDP)</w:t>
      </w:r>
      <w:r w:rsidR="002C14C1">
        <w:t>.</w:t>
      </w:r>
      <w:r w:rsidR="0012601E">
        <w:t xml:space="preserve">  This was the third Second Chance Act grant awarded to DYS since 2015.  Through this collaborative effort, DYS was awarded $201,279 to continue the implementation phase of its community supervision reform initiatives as well as expanded efforts to addition</w:t>
      </w:r>
      <w:r w:rsidR="00890303">
        <w:t>al</w:t>
      </w:r>
      <w:r w:rsidR="0012601E">
        <w:t xml:space="preserve"> regions.  The </w:t>
      </w:r>
      <w:r w:rsidR="0012601E">
        <w:lastRenderedPageBreak/>
        <w:t>overarching goal of the project is to improve positive youth outcomes and reduce the recidivism rate among juvenile justice-involved children.  Main activities include (1) scaling up the use of Probation’s new graduated response strategy; (2) expanding DYS’s graduate</w:t>
      </w:r>
      <w:r w:rsidR="00E303F1">
        <w:t>d response; (3) I</w:t>
      </w:r>
      <w:r w:rsidR="0012601E">
        <w:t xml:space="preserve">nteragency support </w:t>
      </w:r>
      <w:r w:rsidR="00E303F1">
        <w:t xml:space="preserve">by CPCS </w:t>
      </w:r>
      <w:r w:rsidR="0012601E">
        <w:t>to front line staff to engage education advocacy for youth on probation, including targeted representation; and (4) coordination of interagency work to re-focus state systems on positive youth outcomes as a driver of recidivism reduction.</w:t>
      </w:r>
    </w:p>
    <w:p w:rsidR="00CF4392" w:rsidRDefault="00465E90" w:rsidP="00A44B06">
      <w:pPr>
        <w:tabs>
          <w:tab w:val="left" w:pos="6570"/>
          <w:tab w:val="left" w:pos="6750"/>
          <w:tab w:val="left" w:pos="6930"/>
          <w:tab w:val="left" w:pos="7200"/>
        </w:tabs>
        <w:spacing w:before="100" w:beforeAutospacing="1" w:after="100" w:afterAutospacing="1" w:line="360" w:lineRule="auto"/>
        <w:rPr>
          <w:iCs/>
        </w:rPr>
      </w:pPr>
      <w:r w:rsidRPr="00465E90">
        <w:rPr>
          <w:iCs/>
        </w:rPr>
        <w:t xml:space="preserve">The </w:t>
      </w:r>
      <w:r w:rsidR="00F609EB">
        <w:rPr>
          <w:iCs/>
        </w:rPr>
        <w:t>2012–2018</w:t>
      </w:r>
      <w:r w:rsidR="00CF4392">
        <w:rPr>
          <w:iCs/>
        </w:rPr>
        <w:t xml:space="preserve"> DYS Strategic Plan</w:t>
      </w:r>
      <w:r w:rsidRPr="00465E90">
        <w:rPr>
          <w:iCs/>
        </w:rPr>
        <w:t xml:space="preserve"> identified discharge and post discharge planning as a critical facet of the overall rehabilitative process. Every youth committed to DYS n</w:t>
      </w:r>
      <w:r w:rsidR="00921E8E">
        <w:rPr>
          <w:iCs/>
        </w:rPr>
        <w:t>ow goes through a</w:t>
      </w:r>
      <w:r w:rsidRPr="00465E90">
        <w:rPr>
          <w:iCs/>
        </w:rPr>
        <w:t xml:space="preserve"> thorough discharge planning process and every youth is offered an ability to remain involved with DYS on a voluntary basis</w:t>
      </w:r>
      <w:r w:rsidR="00A44B06">
        <w:rPr>
          <w:iCs/>
        </w:rPr>
        <w:t xml:space="preserve"> (Youth Engaged in S</w:t>
      </w:r>
      <w:r w:rsidR="00EB3A8E">
        <w:rPr>
          <w:iCs/>
        </w:rPr>
        <w:t>ervices</w:t>
      </w:r>
      <w:r w:rsidR="00921E8E">
        <w:rPr>
          <w:iCs/>
        </w:rPr>
        <w:t>)</w:t>
      </w:r>
      <w:r w:rsidRPr="00465E90">
        <w:rPr>
          <w:iCs/>
        </w:rPr>
        <w:t>.  Services offered include</w:t>
      </w:r>
      <w:r w:rsidR="006506D8">
        <w:rPr>
          <w:iCs/>
        </w:rPr>
        <w:t>,</w:t>
      </w:r>
      <w:r w:rsidRPr="00465E90">
        <w:rPr>
          <w:iCs/>
        </w:rPr>
        <w:t xml:space="preserve"> but are not limited to: case management support, independent living options, employment and training support</w:t>
      </w:r>
      <w:r w:rsidR="00FF157C">
        <w:rPr>
          <w:iCs/>
        </w:rPr>
        <w:t>,</w:t>
      </w:r>
      <w:r w:rsidRPr="00465E90">
        <w:rPr>
          <w:iCs/>
        </w:rPr>
        <w:t xml:space="preserve"> and support for secondary education pursuit. </w:t>
      </w:r>
      <w:r>
        <w:t xml:space="preserve"> </w:t>
      </w:r>
      <w:r w:rsidR="00FF157C">
        <w:rPr>
          <w:iCs/>
        </w:rPr>
        <w:t>These</w:t>
      </w:r>
      <w:r w:rsidRPr="00465E90">
        <w:rPr>
          <w:iCs/>
        </w:rPr>
        <w:t xml:space="preserve"> addition</w:t>
      </w:r>
      <w:r w:rsidR="00FF157C">
        <w:rPr>
          <w:iCs/>
        </w:rPr>
        <w:t>s</w:t>
      </w:r>
      <w:r w:rsidRPr="00465E90">
        <w:rPr>
          <w:iCs/>
        </w:rPr>
        <w:t xml:space="preserve"> to the service co</w:t>
      </w:r>
      <w:r w:rsidR="00FF157C">
        <w:rPr>
          <w:iCs/>
        </w:rPr>
        <w:t>ntinuum could potentially have</w:t>
      </w:r>
      <w:r w:rsidRPr="00465E90">
        <w:rPr>
          <w:iCs/>
        </w:rPr>
        <w:t xml:space="preserve"> significant and positive impact</w:t>
      </w:r>
      <w:r w:rsidR="00FF157C">
        <w:rPr>
          <w:iCs/>
        </w:rPr>
        <w:t>s</w:t>
      </w:r>
      <w:r w:rsidR="003D73C7">
        <w:rPr>
          <w:iCs/>
        </w:rPr>
        <w:t xml:space="preserve"> on recidivism.</w:t>
      </w:r>
    </w:p>
    <w:p w:rsidR="003D73C7" w:rsidRDefault="003D73C7" w:rsidP="003D73C7">
      <w:pPr>
        <w:spacing w:before="100" w:beforeAutospacing="1" w:after="100" w:afterAutospacing="1" w:line="360" w:lineRule="auto"/>
        <w:rPr>
          <w:iCs/>
        </w:rPr>
      </w:pPr>
      <w:r>
        <w:rPr>
          <w:iCs/>
        </w:rPr>
        <w:t>Juvenile justice research has emphasized the importance of education for youth in the justice system.  One study found that incarcerated youth with higher levels of educational attainment were more likely to return to school after release, and that those youth who returned to and attended school regularly were less likely to be rearrested within 12 and 24 months.  Among the youth who were rearrested, those who attended school regularly following release were arrested for significantly less serious offenses compared to youth who did not attend school or attended less regularly (Blomberg, et al., 2011).  It is the intent of DYS that education services facilitate a successful transition of youth to</w:t>
      </w:r>
      <w:r w:rsidR="006506D8">
        <w:rPr>
          <w:iCs/>
        </w:rPr>
        <w:t xml:space="preserve"> their home</w:t>
      </w:r>
      <w:r>
        <w:rPr>
          <w:iCs/>
        </w:rPr>
        <w:t xml:space="preserve"> school</w:t>
      </w:r>
      <w:r w:rsidR="006506D8">
        <w:rPr>
          <w:iCs/>
        </w:rPr>
        <w:t>s</w:t>
      </w:r>
      <w:r>
        <w:rPr>
          <w:iCs/>
        </w:rPr>
        <w:t>, alternative education settings, Hi-Set preparation, and/or post-secondary education.</w:t>
      </w:r>
    </w:p>
    <w:p w:rsidR="00D228B0" w:rsidRDefault="003D73C7" w:rsidP="00465E90">
      <w:pPr>
        <w:spacing w:before="100" w:beforeAutospacing="1" w:after="100" w:afterAutospacing="1" w:line="360" w:lineRule="auto"/>
        <w:rPr>
          <w:iCs/>
        </w:rPr>
      </w:pPr>
      <w:r>
        <w:rPr>
          <w:iCs/>
        </w:rPr>
        <w:t>The DYS strategic planning process has targeted education, vocational training, and employment for committed youth.  This sustained focus on positive youth outcomes is a strategic attempt to interrupt the delinquency trajectory and to assist youth in becoming productive and law abiding as they return to their home communities.</w:t>
      </w:r>
    </w:p>
    <w:p w:rsidR="005A4BBC" w:rsidRDefault="005A4BBC">
      <w:pPr>
        <w:pStyle w:val="Heading1"/>
      </w:pPr>
      <w:r>
        <w:lastRenderedPageBreak/>
        <w:t>References</w:t>
      </w:r>
    </w:p>
    <w:p w:rsidR="00465E90" w:rsidRPr="00465E90" w:rsidRDefault="00465E90" w:rsidP="00465E90"/>
    <w:p w:rsidR="005A4BBC" w:rsidRDefault="005A4BBC"/>
    <w:p w:rsidR="003E4BD6" w:rsidRDefault="00A74EBC">
      <w:proofErr w:type="spellStart"/>
      <w:r>
        <w:t>Altschuler</w:t>
      </w:r>
      <w:proofErr w:type="spellEnd"/>
      <w:r>
        <w:t>, D.M.  (1998).  Intermediate Sanctions and Community Treatment For Serious</w:t>
      </w:r>
    </w:p>
    <w:p w:rsidR="003E4BD6" w:rsidRDefault="003E4BD6">
      <w:pPr>
        <w:rPr>
          <w:i/>
        </w:rPr>
      </w:pPr>
      <w:r>
        <w:t xml:space="preserve">      </w:t>
      </w:r>
      <w:r w:rsidR="00A74EBC">
        <w:t xml:space="preserve"> and Violent Juvenile Offenders.  In </w:t>
      </w:r>
      <w:r w:rsidR="00A74EBC" w:rsidRPr="00A74EBC">
        <w:rPr>
          <w:i/>
        </w:rPr>
        <w:t xml:space="preserve">Serious and Violent Juvenile Offenders:  Risk </w:t>
      </w:r>
    </w:p>
    <w:p w:rsidR="003E4BD6" w:rsidRDefault="003E4BD6">
      <w:r>
        <w:rPr>
          <w:i/>
        </w:rPr>
        <w:t xml:space="preserve">      </w:t>
      </w:r>
      <w:r w:rsidR="00A74EBC" w:rsidRPr="00A74EBC">
        <w:rPr>
          <w:i/>
        </w:rPr>
        <w:t>Factors and Successful Interventions</w:t>
      </w:r>
      <w:r w:rsidR="00A74EBC">
        <w:t xml:space="preserve">; edited by R. </w:t>
      </w:r>
      <w:proofErr w:type="spellStart"/>
      <w:r w:rsidR="00A74EBC">
        <w:t>Loeber</w:t>
      </w:r>
      <w:proofErr w:type="spellEnd"/>
      <w:r w:rsidR="00A74EBC">
        <w:t xml:space="preserve"> and D. Farrington.  </w:t>
      </w:r>
    </w:p>
    <w:p w:rsidR="00A74EBC" w:rsidRDefault="003E4BD6">
      <w:r>
        <w:t xml:space="preserve">      </w:t>
      </w:r>
      <w:r w:rsidR="00A74EBC">
        <w:t>Thousand Oaks, CA: Sage Publications, Inc.</w:t>
      </w:r>
    </w:p>
    <w:p w:rsidR="00A74EBC" w:rsidRDefault="00A74EBC"/>
    <w:p w:rsidR="00382890" w:rsidRDefault="00C67991">
      <w:r>
        <w:t xml:space="preserve">Baird, C. (1984).  </w:t>
      </w:r>
      <w:r w:rsidRPr="00C67991">
        <w:rPr>
          <w:i/>
        </w:rPr>
        <w:t>Classification of Juveniles in Corrections: A Model Systems Approach</w:t>
      </w:r>
      <w:r>
        <w:t xml:space="preserve">.  </w:t>
      </w:r>
    </w:p>
    <w:p w:rsidR="00C67991" w:rsidRDefault="00382890">
      <w:r>
        <w:t xml:space="preserve">       </w:t>
      </w:r>
      <w:r w:rsidR="00C67991">
        <w:t>Madison, WI: National Council on Crime and Delinquency.</w:t>
      </w:r>
    </w:p>
    <w:p w:rsidR="00C67991" w:rsidRDefault="00C67991"/>
    <w:p w:rsidR="00D9496B" w:rsidRPr="00D9496B" w:rsidRDefault="00D9496B" w:rsidP="00D9496B">
      <w:pPr>
        <w:pStyle w:val="BodyText"/>
        <w:rPr>
          <w:i w:val="0"/>
        </w:rPr>
      </w:pPr>
      <w:r w:rsidRPr="00D9496B">
        <w:rPr>
          <w:i w:val="0"/>
        </w:rPr>
        <w:t>Cohen, M</w:t>
      </w:r>
      <w:r w:rsidR="00485100">
        <w:rPr>
          <w:i w:val="0"/>
        </w:rPr>
        <w:t>.</w:t>
      </w:r>
      <w:r w:rsidRPr="00D9496B">
        <w:rPr>
          <w:i w:val="0"/>
        </w:rPr>
        <w:t xml:space="preserve"> </w:t>
      </w:r>
      <w:r w:rsidR="00485100">
        <w:rPr>
          <w:i w:val="0"/>
        </w:rPr>
        <w:t xml:space="preserve">&amp; </w:t>
      </w:r>
      <w:proofErr w:type="spellStart"/>
      <w:r w:rsidR="00485100">
        <w:rPr>
          <w:i w:val="0"/>
        </w:rPr>
        <w:t>Piquero</w:t>
      </w:r>
      <w:proofErr w:type="spellEnd"/>
      <w:r w:rsidR="00485100">
        <w:rPr>
          <w:i w:val="0"/>
        </w:rPr>
        <w:t>, A.</w:t>
      </w:r>
      <w:r w:rsidR="000C6DB0">
        <w:rPr>
          <w:i w:val="0"/>
        </w:rPr>
        <w:t xml:space="preserve"> (2009</w:t>
      </w:r>
      <w:r w:rsidRPr="00D9496B">
        <w:rPr>
          <w:i w:val="0"/>
        </w:rPr>
        <w:t>).</w:t>
      </w:r>
      <w:r>
        <w:t xml:space="preserve">  </w:t>
      </w:r>
      <w:r w:rsidR="000C6DB0">
        <w:t>New Evidence on the Monetary Value of Saving a High Risk Y</w:t>
      </w:r>
      <w:r>
        <w:t>outh</w:t>
      </w:r>
      <w:r w:rsidRPr="00D9496B">
        <w:rPr>
          <w:i w:val="0"/>
        </w:rPr>
        <w:t xml:space="preserve">.  </w:t>
      </w:r>
      <w:r w:rsidRPr="00AA40D8">
        <w:rPr>
          <w:i w:val="0"/>
          <w:iCs w:val="0"/>
        </w:rPr>
        <w:t>Journal of</w:t>
      </w:r>
      <w:r w:rsidRPr="00D9496B">
        <w:rPr>
          <w:i w:val="0"/>
        </w:rPr>
        <w:t xml:space="preserve"> </w:t>
      </w:r>
      <w:r w:rsidR="000C6DB0">
        <w:rPr>
          <w:i w:val="0"/>
        </w:rPr>
        <w:t>Quantitative Criminology, 25</w:t>
      </w:r>
      <w:r w:rsidRPr="00D9496B">
        <w:rPr>
          <w:i w:val="0"/>
        </w:rPr>
        <w:t xml:space="preserve">, </w:t>
      </w:r>
      <w:r w:rsidR="000C6DB0">
        <w:rPr>
          <w:i w:val="0"/>
        </w:rPr>
        <w:t>25-49</w:t>
      </w:r>
      <w:r w:rsidRPr="00D9496B">
        <w:rPr>
          <w:i w:val="0"/>
        </w:rPr>
        <w:t>.</w:t>
      </w:r>
    </w:p>
    <w:p w:rsidR="00D9496B" w:rsidRDefault="00D9496B"/>
    <w:p w:rsidR="00B416E5" w:rsidRDefault="00B416E5">
      <w:proofErr w:type="spellStart"/>
      <w:proofErr w:type="gramStart"/>
      <w:r>
        <w:t>Cottle</w:t>
      </w:r>
      <w:proofErr w:type="spellEnd"/>
      <w:r>
        <w:t xml:space="preserve">, C., Lee, R., &amp; </w:t>
      </w:r>
      <w:proofErr w:type="spellStart"/>
      <w:r>
        <w:t>Heilbrun</w:t>
      </w:r>
      <w:proofErr w:type="spellEnd"/>
      <w:r>
        <w:t>, K. (2001).</w:t>
      </w:r>
      <w:proofErr w:type="gramEnd"/>
      <w:r>
        <w:t xml:space="preserve">  </w:t>
      </w:r>
      <w:proofErr w:type="gramStart"/>
      <w:r w:rsidRPr="00B416E5">
        <w:rPr>
          <w:i/>
        </w:rPr>
        <w:t>The Prediction of Criminal Recidivism in Juveniles</w:t>
      </w:r>
      <w:r>
        <w:t>.</w:t>
      </w:r>
      <w:proofErr w:type="gramEnd"/>
      <w:r>
        <w:t xml:space="preserve">  Criminal Justice and Behavior, 28(3), 367-394.</w:t>
      </w:r>
    </w:p>
    <w:p w:rsidR="00B416E5" w:rsidRDefault="00B416E5"/>
    <w:p w:rsidR="005A4BBC" w:rsidRPr="00C67991" w:rsidRDefault="005A4BBC">
      <w:pPr>
        <w:rPr>
          <w:i/>
        </w:rPr>
      </w:pPr>
      <w:proofErr w:type="gramStart"/>
      <w:r>
        <w:t>Florida Department of Juvenile Justice (1999).</w:t>
      </w:r>
      <w:proofErr w:type="gramEnd"/>
      <w:r>
        <w:t xml:space="preserve">  </w:t>
      </w:r>
      <w:r w:rsidRPr="00C67991">
        <w:rPr>
          <w:i/>
        </w:rPr>
        <w:t>Nationa</w:t>
      </w:r>
      <w:r w:rsidR="00C67991">
        <w:rPr>
          <w:i/>
        </w:rPr>
        <w:t>l C</w:t>
      </w:r>
      <w:r w:rsidRPr="00C67991">
        <w:rPr>
          <w:i/>
        </w:rPr>
        <w:t xml:space="preserve">omparisons from </w:t>
      </w:r>
      <w:r w:rsidR="00C67991">
        <w:rPr>
          <w:i/>
        </w:rPr>
        <w:t>S</w:t>
      </w:r>
      <w:r w:rsidRPr="00C67991">
        <w:rPr>
          <w:i/>
        </w:rPr>
        <w:t>tate</w:t>
      </w:r>
    </w:p>
    <w:p w:rsidR="005A4BBC" w:rsidRDefault="00C67991">
      <w:r>
        <w:rPr>
          <w:i/>
        </w:rPr>
        <w:t xml:space="preserve">        R</w:t>
      </w:r>
      <w:r w:rsidR="005A4BBC" w:rsidRPr="00C67991">
        <w:rPr>
          <w:i/>
        </w:rPr>
        <w:t xml:space="preserve">ecidivism </w:t>
      </w:r>
      <w:r>
        <w:rPr>
          <w:i/>
        </w:rPr>
        <w:t>S</w:t>
      </w:r>
      <w:r w:rsidR="005A4BBC" w:rsidRPr="00C67991">
        <w:rPr>
          <w:i/>
        </w:rPr>
        <w:t>tudies.</w:t>
      </w:r>
      <w:r w:rsidR="005A4BBC">
        <w:t xml:space="preserve">  Management and Data Research, Management Report Number</w:t>
      </w:r>
    </w:p>
    <w:p w:rsidR="005A4BBC" w:rsidRDefault="005A4BBC">
      <w:r>
        <w:t xml:space="preserve">        99-13.</w:t>
      </w:r>
    </w:p>
    <w:p w:rsidR="007C24E2" w:rsidRDefault="007C24E2"/>
    <w:p w:rsidR="007C24E2" w:rsidRDefault="007C24E2">
      <w:pPr>
        <w:rPr>
          <w:i/>
        </w:rPr>
      </w:pPr>
      <w:r>
        <w:t xml:space="preserve">Harris, P., Lockwood, B., &amp; Mengers, L.  (2009).  </w:t>
      </w:r>
      <w:r w:rsidRPr="007C24E2">
        <w:rPr>
          <w:i/>
        </w:rPr>
        <w:t>Defining and Measuring Recidivism: A</w:t>
      </w:r>
    </w:p>
    <w:p w:rsidR="007C24E2" w:rsidRDefault="007C24E2">
      <w:r>
        <w:rPr>
          <w:i/>
        </w:rPr>
        <w:t xml:space="preserve">     </w:t>
      </w:r>
      <w:r w:rsidRPr="007C24E2">
        <w:rPr>
          <w:i/>
        </w:rPr>
        <w:t xml:space="preserve"> </w:t>
      </w:r>
      <w:r>
        <w:rPr>
          <w:i/>
        </w:rPr>
        <w:t xml:space="preserve"> </w:t>
      </w:r>
      <w:r w:rsidRPr="007C24E2">
        <w:rPr>
          <w:i/>
        </w:rPr>
        <w:t>CJCA White Paper</w:t>
      </w:r>
      <w:r>
        <w:t>.  Council of Juvenile Correctional Administrators.</w:t>
      </w:r>
    </w:p>
    <w:p w:rsidR="000C6DB0" w:rsidRDefault="000C6DB0"/>
    <w:p w:rsidR="00834AAA" w:rsidRPr="00834AAA" w:rsidRDefault="000C6DB0">
      <w:pPr>
        <w:rPr>
          <w:i/>
        </w:rPr>
      </w:pPr>
      <w:proofErr w:type="spellStart"/>
      <w:r>
        <w:t>Petteruti</w:t>
      </w:r>
      <w:proofErr w:type="spellEnd"/>
      <w:r>
        <w:t xml:space="preserve">, A., Schindler, M., &amp; </w:t>
      </w:r>
      <w:proofErr w:type="spellStart"/>
      <w:r>
        <w:t>Ziedenberg</w:t>
      </w:r>
      <w:proofErr w:type="spellEnd"/>
      <w:r>
        <w:t xml:space="preserve">, J.  (2014).  </w:t>
      </w:r>
      <w:r w:rsidRPr="00834AAA">
        <w:rPr>
          <w:i/>
        </w:rPr>
        <w:t>Sticker Shock:  Calculating the</w:t>
      </w:r>
    </w:p>
    <w:p w:rsidR="000C6DB0" w:rsidRDefault="00834AAA">
      <w:r w:rsidRPr="00834AAA">
        <w:rPr>
          <w:i/>
        </w:rPr>
        <w:t xml:space="preserve">       </w:t>
      </w:r>
      <w:r w:rsidR="000C6DB0" w:rsidRPr="00834AAA">
        <w:rPr>
          <w:i/>
        </w:rPr>
        <w:t xml:space="preserve"> Full Price Tag For Youth Incarceration</w:t>
      </w:r>
      <w:r w:rsidR="000C6DB0">
        <w:t>.  Justice Policy Institute.</w:t>
      </w:r>
    </w:p>
    <w:p w:rsidR="00C868D0" w:rsidRDefault="00C868D0"/>
    <w:p w:rsidR="00FC154A" w:rsidRDefault="00C868D0" w:rsidP="00C868D0">
      <w:r>
        <w:t xml:space="preserve">Virginia Department of Juvenile Justice (2005).  </w:t>
      </w:r>
      <w:r w:rsidR="00C67991">
        <w:rPr>
          <w:i/>
        </w:rPr>
        <w:t>Juvenile R</w:t>
      </w:r>
      <w:r w:rsidR="00B37443" w:rsidRPr="00C67991">
        <w:rPr>
          <w:i/>
        </w:rPr>
        <w:t>ecidivism in V</w:t>
      </w:r>
      <w:r w:rsidRPr="00C67991">
        <w:rPr>
          <w:i/>
        </w:rPr>
        <w:t>irginia</w:t>
      </w:r>
      <w:r>
        <w:t xml:space="preserve">.  </w:t>
      </w:r>
      <w:r w:rsidR="00130995">
        <w:t>DJJ</w:t>
      </w:r>
    </w:p>
    <w:p w:rsidR="00C868D0" w:rsidRDefault="00FC154A" w:rsidP="00C868D0">
      <w:r>
        <w:t xml:space="preserve">       </w:t>
      </w:r>
      <w:r w:rsidR="00130995">
        <w:t xml:space="preserve"> Research Quarterly, Vol. III.</w:t>
      </w:r>
    </w:p>
    <w:p w:rsidR="00D54B07" w:rsidRDefault="00D54B07" w:rsidP="00C868D0"/>
    <w:p w:rsidR="00D54B07" w:rsidRPr="00C67991" w:rsidRDefault="00C67991" w:rsidP="00C868D0">
      <w:pPr>
        <w:rPr>
          <w:i/>
        </w:rPr>
      </w:pPr>
      <w:proofErr w:type="spellStart"/>
      <w:r>
        <w:t>Wiebush</w:t>
      </w:r>
      <w:proofErr w:type="spellEnd"/>
      <w:r>
        <w:t>, R.</w:t>
      </w:r>
      <w:r w:rsidR="00D54B07">
        <w:t xml:space="preserve"> G., Baird, C., </w:t>
      </w:r>
      <w:proofErr w:type="spellStart"/>
      <w:r w:rsidR="00D54B07">
        <w:t>Krisberg</w:t>
      </w:r>
      <w:proofErr w:type="spellEnd"/>
      <w:r w:rsidR="00D54B07">
        <w:t xml:space="preserve">, B., &amp; </w:t>
      </w:r>
      <w:proofErr w:type="spellStart"/>
      <w:r w:rsidR="00D54B07">
        <w:t>Onek</w:t>
      </w:r>
      <w:proofErr w:type="spellEnd"/>
      <w:r w:rsidR="00D54B07">
        <w:t xml:space="preserve">, D.  (1995).  </w:t>
      </w:r>
      <w:r w:rsidR="00D54B07" w:rsidRPr="00C67991">
        <w:rPr>
          <w:i/>
        </w:rPr>
        <w:t>Risk Assessment and</w:t>
      </w:r>
    </w:p>
    <w:p w:rsidR="00D54B07" w:rsidRDefault="00D54B07" w:rsidP="00C868D0">
      <w:r w:rsidRPr="00C67991">
        <w:rPr>
          <w:i/>
        </w:rPr>
        <w:t xml:space="preserve">       Classification for Serious, Violent, and Chronic Offenders.</w:t>
      </w:r>
      <w:r>
        <w:t xml:space="preserve">  In James C. Howell,</w:t>
      </w:r>
    </w:p>
    <w:p w:rsidR="00D54B07" w:rsidRDefault="00D54B07" w:rsidP="00C868D0">
      <w:r>
        <w:t xml:space="preserve">       Barry </w:t>
      </w:r>
      <w:proofErr w:type="spellStart"/>
      <w:r>
        <w:t>Krisberg</w:t>
      </w:r>
      <w:proofErr w:type="spellEnd"/>
      <w:r>
        <w:t xml:space="preserve">, J. David Hawkins, &amp; John J. Wilson, A Sourcebook:  Serious, </w:t>
      </w:r>
    </w:p>
    <w:p w:rsidR="00D54B07" w:rsidRDefault="00D54B07" w:rsidP="00C868D0">
      <w:r>
        <w:t xml:space="preserve">       Violent, &amp; Chronic Juvenile Offenders.  Thousand Oaks, CA: Sage Publications.</w:t>
      </w:r>
    </w:p>
    <w:p w:rsidR="001B098E" w:rsidRDefault="001B098E"/>
    <w:p w:rsidR="005A4BBC" w:rsidRDefault="005A4BBC"/>
    <w:p w:rsidR="005A4BBC" w:rsidRDefault="005A4BBC"/>
    <w:p w:rsidR="005A4BBC" w:rsidRDefault="005A4BBC"/>
    <w:p w:rsidR="005A4BBC" w:rsidRDefault="005A4BBC"/>
    <w:p w:rsidR="005A4BBC" w:rsidRDefault="005A4BBC"/>
    <w:p w:rsidR="005A4BBC" w:rsidRDefault="005A4BBC"/>
    <w:p w:rsidR="005A4BBC" w:rsidRDefault="005A4BBC"/>
    <w:p w:rsidR="005A4BBC" w:rsidRDefault="005A4BBC"/>
    <w:p w:rsidR="005A4BBC" w:rsidRDefault="005A4BBC"/>
    <w:p w:rsidR="005A4BBC" w:rsidRDefault="005A4BBC"/>
    <w:p w:rsidR="005A4BBC" w:rsidRDefault="005A4BBC"/>
    <w:p w:rsidR="0032236A" w:rsidRDefault="0032236A"/>
    <w:p w:rsidR="0032236A" w:rsidRDefault="0032236A"/>
    <w:p w:rsidR="0032236A" w:rsidRPr="00755BCB" w:rsidRDefault="0032236A"/>
    <w:p w:rsidR="0032236A" w:rsidRPr="00755BCB" w:rsidRDefault="0032236A"/>
    <w:p w:rsidR="0032236A" w:rsidRPr="00755BCB" w:rsidRDefault="0032236A"/>
    <w:p w:rsidR="0032236A" w:rsidRPr="00755BCB" w:rsidRDefault="0032236A"/>
    <w:p w:rsidR="00E67D9C" w:rsidRPr="00755BCB" w:rsidRDefault="00E67D9C"/>
    <w:p w:rsidR="00CF4392" w:rsidRPr="00755BCB" w:rsidRDefault="00CF4392"/>
    <w:p w:rsidR="00E67D9C" w:rsidRPr="00755BCB" w:rsidRDefault="00E67D9C"/>
    <w:p w:rsidR="0032236A" w:rsidRPr="00755BCB" w:rsidRDefault="0032236A"/>
    <w:p w:rsidR="0032236A" w:rsidRPr="00755BCB" w:rsidRDefault="0032236A"/>
    <w:p w:rsidR="0032236A" w:rsidRPr="00755BCB" w:rsidRDefault="0032236A"/>
    <w:p w:rsidR="0032236A" w:rsidRPr="00755BCB" w:rsidRDefault="0032236A"/>
    <w:p w:rsidR="00755BCB" w:rsidRPr="00755BCB" w:rsidRDefault="00755BCB" w:rsidP="00B0638C">
      <w:pPr>
        <w:pStyle w:val="Heading4"/>
        <w:rPr>
          <w:sz w:val="24"/>
        </w:rPr>
      </w:pPr>
    </w:p>
    <w:p w:rsidR="00755BCB" w:rsidRPr="00755BCB" w:rsidRDefault="00755BCB" w:rsidP="00B0638C">
      <w:pPr>
        <w:pStyle w:val="Heading4"/>
        <w:rPr>
          <w:sz w:val="24"/>
        </w:rPr>
      </w:pPr>
    </w:p>
    <w:p w:rsidR="00755BCB" w:rsidRPr="00755BCB" w:rsidRDefault="00755BCB" w:rsidP="00B0638C">
      <w:pPr>
        <w:pStyle w:val="Heading4"/>
        <w:rPr>
          <w:sz w:val="24"/>
        </w:rPr>
      </w:pPr>
    </w:p>
    <w:p w:rsidR="00755BCB" w:rsidRPr="00755BCB" w:rsidRDefault="00755BCB" w:rsidP="00B0638C">
      <w:pPr>
        <w:pStyle w:val="Heading4"/>
        <w:rPr>
          <w:sz w:val="24"/>
        </w:rPr>
      </w:pPr>
    </w:p>
    <w:p w:rsidR="00755BCB" w:rsidRPr="00755BCB" w:rsidRDefault="00755BCB" w:rsidP="00B0638C">
      <w:pPr>
        <w:pStyle w:val="Heading4"/>
        <w:rPr>
          <w:sz w:val="24"/>
        </w:rPr>
      </w:pPr>
    </w:p>
    <w:p w:rsidR="00755BCB" w:rsidRPr="00755BCB" w:rsidRDefault="00755BCB" w:rsidP="00B0638C">
      <w:pPr>
        <w:pStyle w:val="Heading4"/>
        <w:rPr>
          <w:sz w:val="24"/>
        </w:rPr>
      </w:pPr>
    </w:p>
    <w:p w:rsidR="00755BCB" w:rsidRDefault="00755BCB" w:rsidP="00B0638C">
      <w:pPr>
        <w:pStyle w:val="Heading4"/>
      </w:pPr>
    </w:p>
    <w:p w:rsidR="00B0638C" w:rsidRDefault="00B0638C" w:rsidP="00B0638C">
      <w:pPr>
        <w:pStyle w:val="Heading4"/>
      </w:pPr>
      <w:r>
        <w:t>Appendix A</w:t>
      </w:r>
    </w:p>
    <w:p w:rsidR="00B0638C" w:rsidRDefault="00B0638C" w:rsidP="00B0638C">
      <w:pPr>
        <w:jc w:val="center"/>
        <w:rPr>
          <w:sz w:val="40"/>
        </w:rPr>
      </w:pPr>
    </w:p>
    <w:p w:rsidR="00B0638C" w:rsidRDefault="00B0638C" w:rsidP="00B0638C">
      <w:pPr>
        <w:jc w:val="center"/>
      </w:pPr>
      <w:r>
        <w:rPr>
          <w:sz w:val="40"/>
        </w:rPr>
        <w:t>Offense List</w:t>
      </w:r>
    </w:p>
    <w:p w:rsidR="0032236A" w:rsidRDefault="0032236A"/>
    <w:p w:rsidR="00CD0C04" w:rsidRDefault="00CD0C04"/>
    <w:p w:rsidR="00CA08EC" w:rsidRDefault="00CA08EC"/>
    <w:p w:rsidR="004619B7" w:rsidRDefault="004619B7"/>
    <w:p w:rsidR="00CA08EC" w:rsidRDefault="00CA08EC"/>
    <w:p w:rsidR="00CA08EC" w:rsidRDefault="00CA08EC"/>
    <w:p w:rsidR="00CA08EC" w:rsidRDefault="00CA08EC"/>
    <w:p w:rsidR="00CA08EC" w:rsidRDefault="00CA08EC"/>
    <w:p w:rsidR="0032236A" w:rsidRDefault="0032236A"/>
    <w:p w:rsidR="0032236A" w:rsidRDefault="0032236A"/>
    <w:p w:rsidR="005A4BBC" w:rsidRDefault="005A4BBC"/>
    <w:p w:rsidR="00CF4392" w:rsidRDefault="00CF4392"/>
    <w:p w:rsidR="00344575" w:rsidRDefault="00344575"/>
    <w:p w:rsidR="00344575" w:rsidRDefault="00344575"/>
    <w:p w:rsidR="00344575" w:rsidRDefault="00344575"/>
    <w:p w:rsidR="00344575" w:rsidRDefault="00344575"/>
    <w:p w:rsidR="00344575" w:rsidRDefault="00344575"/>
    <w:p w:rsidR="001B098E" w:rsidRDefault="001B098E"/>
    <w:p w:rsidR="005A4BBC" w:rsidRDefault="005A4BBC"/>
    <w:p w:rsidR="005A4BBC" w:rsidRDefault="005A4BBC"/>
    <w:p w:rsidR="005A4BBC" w:rsidRDefault="005A4BBC"/>
    <w:p w:rsidR="00755BCB" w:rsidRDefault="00755BCB"/>
    <w:tbl>
      <w:tblPr>
        <w:tblW w:w="6670" w:type="dxa"/>
        <w:tblInd w:w="98" w:type="dxa"/>
        <w:tblLook w:val="0000" w:firstRow="0" w:lastRow="0" w:firstColumn="0" w:lastColumn="0" w:noHBand="0" w:noVBand="0"/>
      </w:tblPr>
      <w:tblGrid>
        <w:gridCol w:w="4990"/>
        <w:gridCol w:w="1680"/>
      </w:tblGrid>
      <w:tr w:rsidR="0032236A" w:rsidTr="0032236A">
        <w:trPr>
          <w:trHeight w:val="255"/>
        </w:trPr>
        <w:tc>
          <w:tcPr>
            <w:tcW w:w="4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236A" w:rsidRPr="0032236A" w:rsidRDefault="0032236A">
            <w:pPr>
              <w:rPr>
                <w:rFonts w:ascii="Arial" w:hAnsi="Arial" w:cs="Arial"/>
                <w:b/>
                <w:bCs/>
                <w:sz w:val="20"/>
                <w:szCs w:val="20"/>
              </w:rPr>
            </w:pPr>
            <w:r w:rsidRPr="0032236A">
              <w:rPr>
                <w:rFonts w:ascii="Arial" w:hAnsi="Arial" w:cs="Arial"/>
                <w:b/>
                <w:bCs/>
                <w:sz w:val="20"/>
                <w:szCs w:val="20"/>
              </w:rPr>
              <w:t>Offense</w:t>
            </w:r>
          </w:p>
        </w:tc>
        <w:tc>
          <w:tcPr>
            <w:tcW w:w="1680" w:type="dxa"/>
            <w:tcBorders>
              <w:top w:val="single" w:sz="4" w:space="0" w:color="auto"/>
              <w:left w:val="nil"/>
              <w:bottom w:val="single" w:sz="4" w:space="0" w:color="auto"/>
              <w:right w:val="single" w:sz="4" w:space="0" w:color="auto"/>
            </w:tcBorders>
            <w:shd w:val="clear" w:color="auto" w:fill="auto"/>
            <w:noWrap/>
            <w:vAlign w:val="bottom"/>
          </w:tcPr>
          <w:p w:rsidR="0032236A" w:rsidRPr="0032236A" w:rsidRDefault="0032236A">
            <w:pPr>
              <w:rPr>
                <w:rFonts w:ascii="Arial" w:hAnsi="Arial" w:cs="Arial"/>
                <w:b/>
                <w:bCs/>
                <w:sz w:val="20"/>
                <w:szCs w:val="20"/>
              </w:rPr>
            </w:pPr>
            <w:r w:rsidRPr="0032236A">
              <w:rPr>
                <w:rFonts w:ascii="Arial" w:hAnsi="Arial" w:cs="Arial"/>
                <w:b/>
                <w:bCs/>
                <w:sz w:val="20"/>
                <w:szCs w:val="20"/>
              </w:rPr>
              <w:t>Offense Type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A&amp;B</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A&amp;B ON A CORRECTIONS OFFICER</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A&amp;B ON A PUBLIC SERVANT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A&amp;B ON CHILD WITH INJURY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A&amp;B ON ELDER (+60)/DISABLED PERSON; BODILY INJURY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A&amp;B ON RETARDED PERSON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A&amp;B W/INTENT TO MURDER</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A&amp;B WITH DANGEROUS WEAPON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ABANDONMENT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ABDUCTING FEMALES TO BE PROSTITUTES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ABDUCTION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ABUSE OF A FEMALE CHILD</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ABUSE PREVEVENTION ACT (VIOLATING RESTRAINING ORDER)</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ACCESSORY AFTER THE FACT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ACCESSORY TO MURDER - AFTER FACT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ACCOSTING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ADULTERY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AFFRAY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ARMED ASSAULT &amp; ROBBERY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ARMED ASSAULT IN DWELLING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ARMED ROBBERY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ARMED ROBBERY WHILE MASKED</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ARSON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ASSAULT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ASSAULT W/INTENT TO MURDER</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ASSAULT WITH DANGEROUS WEAPON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ASSUMING TO BE AN OFFICER</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ATTACHING WRONG PLATES-124P, 124B</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 TO COMMIT A CRIME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 TO KIDNAP</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ATTEMPTED ARSON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ATTEMPTED B&amp;E DAYTIME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ATTEMPTED B&amp;E NIGHT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ATTEMPTED MURDER</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ATTEMPTED RAPE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ATTEMPTED SUICIDE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ATTEMPTED UNARMED ROBBERY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B&amp;E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BIGAMY OR POLYGAMY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BOMB THREAT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BOXING MATCHES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BREAKING GLASS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BRIBE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BURGLARY, UNARMED</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BURN A MEETING HOUSE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BURNING A DWELLING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Pr="0032236A" w:rsidRDefault="0032236A" w:rsidP="008E7B24">
            <w:pPr>
              <w:rPr>
                <w:rFonts w:ascii="Arial" w:hAnsi="Arial" w:cs="Arial"/>
                <w:b/>
                <w:bCs/>
                <w:sz w:val="20"/>
                <w:szCs w:val="20"/>
              </w:rPr>
            </w:pPr>
            <w:r w:rsidRPr="0032236A">
              <w:rPr>
                <w:rFonts w:ascii="Arial" w:hAnsi="Arial" w:cs="Arial"/>
                <w:b/>
                <w:bCs/>
                <w:sz w:val="20"/>
                <w:szCs w:val="20"/>
              </w:rPr>
              <w:lastRenderedPageBreak/>
              <w:t>Offense</w:t>
            </w:r>
          </w:p>
        </w:tc>
        <w:tc>
          <w:tcPr>
            <w:tcW w:w="1680" w:type="dxa"/>
            <w:tcBorders>
              <w:top w:val="nil"/>
              <w:left w:val="nil"/>
              <w:bottom w:val="single" w:sz="4" w:space="0" w:color="auto"/>
              <w:right w:val="single" w:sz="4" w:space="0" w:color="auto"/>
            </w:tcBorders>
            <w:shd w:val="clear" w:color="auto" w:fill="auto"/>
            <w:noWrap/>
            <w:vAlign w:val="bottom"/>
          </w:tcPr>
          <w:p w:rsidR="0032236A" w:rsidRPr="0032236A" w:rsidRDefault="0032236A" w:rsidP="008E7B24">
            <w:pPr>
              <w:rPr>
                <w:rFonts w:ascii="Arial" w:hAnsi="Arial" w:cs="Arial"/>
                <w:b/>
                <w:bCs/>
                <w:sz w:val="20"/>
                <w:szCs w:val="20"/>
              </w:rPr>
            </w:pPr>
            <w:r w:rsidRPr="0032236A">
              <w:rPr>
                <w:rFonts w:ascii="Arial" w:hAnsi="Arial" w:cs="Arial"/>
                <w:b/>
                <w:bCs/>
                <w:sz w:val="20"/>
                <w:szCs w:val="20"/>
              </w:rPr>
              <w:t>Offense Type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CARJACKING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CARNAL ABUSE OF A FEMALE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CARRYING A DANGEROUS WEAPON IN SCHOOL</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CARRYING A FIREARM IN A MOTOR VEHICLE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CARRYING DANGEROUS WEAPON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CIVIL RIGHTS ORDER VIOLATION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COERCION TO JOIN A GANG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COMPULSORY INSURANCE LAW-118A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CONSPIRACY TO VIOLATE DRUG LAWS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CONSPIRACY-OTHER CRIME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CONTEMPT OF COURT (COURT VIOLATION)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CONTRIBUTING TO THE DELENQUINCY OF A MINOR</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COUNTERFEIT MONEY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DISCHARGING A FIREARM WITHIN 500 FEET OF A BUILDING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DISORDERLY CONDUCT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DISTRIBUTE (CLASS 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DISTRIBUTE (CLASS B)-COCAINE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DISTRIBUTE (CLASS C)</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DISTRIBUTE (CLASS D)</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DISTRIBUTE (CLASS 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DISTRIBUTE TO MINOR (CLASS 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DISTRIBUTE TO MINOR (CLASS B)</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DISTRIBUTE TO MINOR (CLASS C)</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DISTRIBUTING IN A SCHOOL ZONE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DISTURBING A SCHOOL ASSEMBLY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DISTURBING THE PEACE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FAILURE TO APPEAR ON PERSONAL RECOGNIZANCE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FALSE FIRE ALARM</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 xml:space="preserve">FORGERY ON CHECK OR PROMISSORY NOTE </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GAMBLING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GUN LAW-CARRYING A FIREARM</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HAVING A FIREARM W/O A PERMIT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HAVING ALCOHOL ON MDC RESERVATION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HOME INVASION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IDLE AND DISORDERLY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ILLEGAL POSSESSION OF FIREWORKS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INDECENT A&amp;B</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INTIMIDATING A GOVERNMENT WITNESS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KIDNAPPING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LARCENY LESS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LARCENY MORE (FELONY)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LEAVING SCENE OF ACCIDENT AFTER INJURING PERSON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LEAVING SCENE OF ACCIDENT AFTER INJURING PROPERTY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MALICIOUS DESTRUCTION OF PROPERTY-OVER $250</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MALICIOUS DESTRUCTION OF PROPERTY-UNDER $250</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MANSLAUGHTER</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MAYHEM</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Pr="0032236A" w:rsidRDefault="0032236A" w:rsidP="008E7B24">
            <w:pPr>
              <w:rPr>
                <w:rFonts w:ascii="Arial" w:hAnsi="Arial" w:cs="Arial"/>
                <w:b/>
                <w:bCs/>
                <w:sz w:val="20"/>
                <w:szCs w:val="20"/>
              </w:rPr>
            </w:pPr>
            <w:r w:rsidRPr="0032236A">
              <w:rPr>
                <w:rFonts w:ascii="Arial" w:hAnsi="Arial" w:cs="Arial"/>
                <w:b/>
                <w:bCs/>
                <w:sz w:val="20"/>
                <w:szCs w:val="20"/>
              </w:rPr>
              <w:lastRenderedPageBreak/>
              <w:t>Offense</w:t>
            </w:r>
          </w:p>
        </w:tc>
        <w:tc>
          <w:tcPr>
            <w:tcW w:w="1680" w:type="dxa"/>
            <w:tcBorders>
              <w:top w:val="nil"/>
              <w:left w:val="nil"/>
              <w:bottom w:val="single" w:sz="4" w:space="0" w:color="auto"/>
              <w:right w:val="single" w:sz="4" w:space="0" w:color="auto"/>
            </w:tcBorders>
            <w:shd w:val="clear" w:color="auto" w:fill="auto"/>
            <w:noWrap/>
            <w:vAlign w:val="bottom"/>
          </w:tcPr>
          <w:p w:rsidR="0032236A" w:rsidRPr="0032236A" w:rsidRDefault="0032236A" w:rsidP="008E7B24">
            <w:pPr>
              <w:rPr>
                <w:rFonts w:ascii="Arial" w:hAnsi="Arial" w:cs="Arial"/>
                <w:b/>
                <w:bCs/>
                <w:sz w:val="20"/>
                <w:szCs w:val="20"/>
              </w:rPr>
            </w:pPr>
            <w:r w:rsidRPr="0032236A">
              <w:rPr>
                <w:rFonts w:ascii="Arial" w:hAnsi="Arial" w:cs="Arial"/>
                <w:b/>
                <w:bCs/>
                <w:sz w:val="20"/>
                <w:szCs w:val="20"/>
              </w:rPr>
              <w:t>Offense Type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MINOR POSSESSIONG ALCOHOL</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MURDER IN THE 1ST DEGREE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MURDER IN THE 2ND DEGREE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OBSTRUCTING JUSTICE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OPEN AND GROSS LEWDNESS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OPERATING AS TO ENDANGER LIVES AND SAFETY-112A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OPERATING UNDER THE INFLUENCE OF LIQUOR-111A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OPERATING WITHOUT A LICENSE-114F</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PERJURY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(CLASS 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(CLASS B)</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(CLASS C)</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(CLASS D)</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(CLASS 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OF A DANGEROUS WEAPON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Weapons</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OF BURGULAROUS TOOLS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WITH INTENT TO DISPENSE (CLASS 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WITH INTENT TO DISPENSE (CLASS B)</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WITH INTENT TO DISPENSE (CLASS C)</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WITH INTENT TO DISPENSE (CLASS D)</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 WITH INTENT TO DISPENSE (CLASS 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POSSESSION-MARIJUANA (CLASS D)</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Drug</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PROSTITUTION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RAPE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RAPE OF CHILD</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RECEIVING AND/OR CONCEALING STOLEN PROPERTY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RESISTING ARREST</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SHOPLIFTING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SPEEDING-116A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STALKING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STATUTORY RAPE</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THREATENING</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TRESSPASS</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UNARMED ROBBERY</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Person</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USE WITHOUT AUTHORITY-114A</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Motor Vehicle</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VIOLATION OF PROBATION</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Public Order</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WANTON DESTRUCTION OF PROPERTY-OVER $250</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r w:rsidR="0032236A"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WANTON DESTRUCTION OF PROPERTY-UNDER $250</w:t>
            </w:r>
          </w:p>
        </w:tc>
        <w:tc>
          <w:tcPr>
            <w:tcW w:w="1680" w:type="dxa"/>
            <w:tcBorders>
              <w:top w:val="nil"/>
              <w:left w:val="nil"/>
              <w:bottom w:val="single" w:sz="4" w:space="0" w:color="auto"/>
              <w:right w:val="single" w:sz="4" w:space="0" w:color="auto"/>
            </w:tcBorders>
            <w:shd w:val="clear" w:color="auto" w:fill="auto"/>
            <w:noWrap/>
            <w:vAlign w:val="bottom"/>
          </w:tcPr>
          <w:p w:rsidR="0032236A" w:rsidRDefault="0032236A">
            <w:pPr>
              <w:rPr>
                <w:rFonts w:ascii="Arial" w:hAnsi="Arial" w:cs="Arial"/>
                <w:sz w:val="16"/>
                <w:szCs w:val="16"/>
              </w:rPr>
            </w:pPr>
            <w:r>
              <w:rPr>
                <w:rFonts w:ascii="Arial" w:hAnsi="Arial" w:cs="Arial"/>
                <w:sz w:val="16"/>
                <w:szCs w:val="16"/>
              </w:rPr>
              <w:t>Property</w:t>
            </w:r>
          </w:p>
        </w:tc>
      </w:tr>
    </w:tbl>
    <w:p w:rsidR="0032236A" w:rsidRDefault="0032236A"/>
    <w:p w:rsidR="0032236A" w:rsidRDefault="0032236A"/>
    <w:p w:rsidR="0032236A" w:rsidRDefault="0032236A"/>
    <w:p w:rsidR="0032236A" w:rsidRDefault="0032236A"/>
    <w:p w:rsidR="0032236A" w:rsidRDefault="0032236A"/>
    <w:p w:rsidR="0032236A" w:rsidRDefault="0032236A"/>
    <w:p w:rsidR="0032236A" w:rsidRDefault="0032236A"/>
    <w:p w:rsidR="0032236A" w:rsidRDefault="0032236A"/>
    <w:p w:rsidR="0032236A" w:rsidRDefault="0032236A"/>
    <w:p w:rsidR="005A4BBC" w:rsidRDefault="005A4BBC"/>
    <w:p w:rsidR="005A4BBC" w:rsidRDefault="005A4BBC"/>
    <w:p w:rsidR="0032236A" w:rsidRDefault="0032236A"/>
    <w:p w:rsidR="0032236A" w:rsidRDefault="0032236A"/>
    <w:p w:rsidR="0032236A" w:rsidRDefault="0032236A"/>
    <w:p w:rsidR="0032236A" w:rsidRDefault="0032236A"/>
    <w:p w:rsidR="0032236A" w:rsidRDefault="0032236A"/>
    <w:p w:rsidR="0032236A" w:rsidRDefault="0032236A"/>
    <w:p w:rsidR="0032236A" w:rsidRDefault="0032236A"/>
    <w:p w:rsidR="0032236A" w:rsidRDefault="0032236A"/>
    <w:p w:rsidR="00182089" w:rsidRDefault="00182089"/>
    <w:p w:rsidR="00182089" w:rsidRDefault="00182089"/>
    <w:p w:rsidR="00182089" w:rsidRDefault="00182089"/>
    <w:p w:rsidR="00182089" w:rsidRDefault="00182089"/>
    <w:p w:rsidR="00182089" w:rsidRDefault="00182089"/>
    <w:p w:rsidR="00182089" w:rsidRDefault="00182089"/>
    <w:p w:rsidR="00182089" w:rsidRDefault="00182089"/>
    <w:p w:rsidR="00182089" w:rsidRDefault="00182089"/>
    <w:p w:rsidR="00182089" w:rsidRDefault="00182089"/>
    <w:p w:rsidR="00182089" w:rsidRDefault="00182089" w:rsidP="00182089">
      <w:pPr>
        <w:pStyle w:val="Heading4"/>
      </w:pPr>
      <w:r>
        <w:t>Appendix B</w:t>
      </w:r>
    </w:p>
    <w:p w:rsidR="00182089" w:rsidRDefault="00182089"/>
    <w:p w:rsidR="00182089" w:rsidRDefault="00182089"/>
    <w:p w:rsidR="007926E1" w:rsidRPr="007926E1" w:rsidRDefault="007926E1" w:rsidP="007926E1">
      <w:pPr>
        <w:pStyle w:val="Heading4"/>
        <w:rPr>
          <w:b w:val="0"/>
        </w:rPr>
      </w:pPr>
      <w:r w:rsidRPr="007926E1">
        <w:rPr>
          <w:b w:val="0"/>
        </w:rPr>
        <w:t>DYS Regions by County</w:t>
      </w:r>
    </w:p>
    <w:p w:rsidR="00182089" w:rsidRDefault="00182089"/>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7926E1" w:rsidRDefault="007926E1"/>
    <w:p w:rsidR="00D41E0D" w:rsidRDefault="00D41E0D"/>
    <w:p w:rsidR="007926E1" w:rsidRPr="00D41E0D" w:rsidRDefault="00D41E0D">
      <w:pPr>
        <w:rPr>
          <w:b/>
          <w:sz w:val="32"/>
          <w:szCs w:val="32"/>
        </w:rPr>
      </w:pPr>
      <w:r w:rsidRPr="00D41E0D">
        <w:rPr>
          <w:b/>
          <w:sz w:val="32"/>
          <w:szCs w:val="32"/>
        </w:rPr>
        <w:t>DYS Central Region</w:t>
      </w:r>
    </w:p>
    <w:p w:rsidR="00D41E0D" w:rsidRPr="00D41E0D" w:rsidRDefault="00D41E0D">
      <w:pPr>
        <w:rPr>
          <w:sz w:val="32"/>
          <w:szCs w:val="32"/>
        </w:rPr>
      </w:pPr>
    </w:p>
    <w:p w:rsidR="00D41E0D" w:rsidRPr="00D41E0D" w:rsidRDefault="00D41E0D" w:rsidP="00D41E0D">
      <w:pPr>
        <w:numPr>
          <w:ilvl w:val="0"/>
          <w:numId w:val="18"/>
        </w:numPr>
        <w:rPr>
          <w:sz w:val="32"/>
          <w:szCs w:val="32"/>
        </w:rPr>
      </w:pPr>
      <w:r w:rsidRPr="00D41E0D">
        <w:rPr>
          <w:sz w:val="32"/>
          <w:szCs w:val="32"/>
        </w:rPr>
        <w:t>Worcester County</w:t>
      </w:r>
    </w:p>
    <w:p w:rsidR="00D41E0D" w:rsidRPr="00D41E0D" w:rsidRDefault="00D41E0D">
      <w:pPr>
        <w:rPr>
          <w:sz w:val="32"/>
          <w:szCs w:val="32"/>
        </w:rPr>
      </w:pPr>
    </w:p>
    <w:p w:rsidR="00D41E0D" w:rsidRPr="00D41E0D" w:rsidRDefault="00D41E0D">
      <w:pPr>
        <w:rPr>
          <w:sz w:val="32"/>
          <w:szCs w:val="32"/>
        </w:rPr>
      </w:pPr>
    </w:p>
    <w:p w:rsidR="00D41E0D" w:rsidRPr="00D41E0D" w:rsidRDefault="00D41E0D">
      <w:pPr>
        <w:rPr>
          <w:b/>
          <w:sz w:val="32"/>
          <w:szCs w:val="32"/>
        </w:rPr>
      </w:pPr>
      <w:r w:rsidRPr="00D41E0D">
        <w:rPr>
          <w:b/>
          <w:sz w:val="32"/>
          <w:szCs w:val="32"/>
        </w:rPr>
        <w:t>DYS Metro Region</w:t>
      </w:r>
    </w:p>
    <w:p w:rsidR="00D41E0D" w:rsidRPr="00D41E0D" w:rsidRDefault="00D41E0D">
      <w:pPr>
        <w:rPr>
          <w:sz w:val="32"/>
          <w:szCs w:val="32"/>
        </w:rPr>
      </w:pPr>
    </w:p>
    <w:p w:rsidR="00D41E0D" w:rsidRPr="00D41E0D" w:rsidRDefault="00D41E0D" w:rsidP="00D41E0D">
      <w:pPr>
        <w:numPr>
          <w:ilvl w:val="0"/>
          <w:numId w:val="18"/>
        </w:numPr>
        <w:rPr>
          <w:sz w:val="32"/>
          <w:szCs w:val="32"/>
        </w:rPr>
      </w:pPr>
      <w:r w:rsidRPr="00D41E0D">
        <w:rPr>
          <w:sz w:val="32"/>
          <w:szCs w:val="32"/>
        </w:rPr>
        <w:t>Suffolk County</w:t>
      </w:r>
    </w:p>
    <w:p w:rsidR="00D41E0D" w:rsidRPr="00D41E0D" w:rsidRDefault="00D41E0D">
      <w:pPr>
        <w:rPr>
          <w:sz w:val="32"/>
          <w:szCs w:val="32"/>
        </w:rPr>
      </w:pPr>
    </w:p>
    <w:p w:rsidR="00D41E0D" w:rsidRPr="00D41E0D" w:rsidRDefault="00D41E0D">
      <w:pPr>
        <w:rPr>
          <w:b/>
          <w:sz w:val="32"/>
          <w:szCs w:val="32"/>
        </w:rPr>
      </w:pPr>
      <w:r w:rsidRPr="00D41E0D">
        <w:rPr>
          <w:b/>
          <w:sz w:val="32"/>
          <w:szCs w:val="32"/>
        </w:rPr>
        <w:t>DYS Northeast Region</w:t>
      </w:r>
    </w:p>
    <w:p w:rsidR="00D41E0D" w:rsidRPr="00D41E0D" w:rsidRDefault="00D41E0D">
      <w:pPr>
        <w:rPr>
          <w:sz w:val="32"/>
          <w:szCs w:val="32"/>
        </w:rPr>
      </w:pPr>
    </w:p>
    <w:p w:rsidR="00D41E0D" w:rsidRPr="00D41E0D" w:rsidRDefault="00D41E0D" w:rsidP="00D41E0D">
      <w:pPr>
        <w:numPr>
          <w:ilvl w:val="0"/>
          <w:numId w:val="18"/>
        </w:numPr>
        <w:rPr>
          <w:sz w:val="32"/>
          <w:szCs w:val="32"/>
        </w:rPr>
      </w:pPr>
      <w:r w:rsidRPr="00D41E0D">
        <w:rPr>
          <w:sz w:val="32"/>
          <w:szCs w:val="32"/>
        </w:rPr>
        <w:t>Essex County</w:t>
      </w:r>
    </w:p>
    <w:p w:rsidR="00D41E0D" w:rsidRPr="00D41E0D" w:rsidRDefault="00D41E0D" w:rsidP="00D41E0D">
      <w:pPr>
        <w:numPr>
          <w:ilvl w:val="0"/>
          <w:numId w:val="18"/>
        </w:numPr>
        <w:rPr>
          <w:sz w:val="32"/>
          <w:szCs w:val="32"/>
        </w:rPr>
      </w:pPr>
      <w:r w:rsidRPr="00D41E0D">
        <w:rPr>
          <w:sz w:val="32"/>
          <w:szCs w:val="32"/>
        </w:rPr>
        <w:t>Middlesex County</w:t>
      </w:r>
    </w:p>
    <w:p w:rsidR="00D41E0D" w:rsidRPr="00D41E0D" w:rsidRDefault="00D41E0D">
      <w:pPr>
        <w:rPr>
          <w:sz w:val="32"/>
          <w:szCs w:val="32"/>
        </w:rPr>
      </w:pPr>
    </w:p>
    <w:p w:rsidR="00D41E0D" w:rsidRPr="00D41E0D" w:rsidRDefault="00D41E0D">
      <w:pPr>
        <w:rPr>
          <w:sz w:val="32"/>
          <w:szCs w:val="32"/>
        </w:rPr>
      </w:pPr>
    </w:p>
    <w:p w:rsidR="00D41E0D" w:rsidRPr="00D41E0D" w:rsidRDefault="00D41E0D">
      <w:pPr>
        <w:rPr>
          <w:b/>
          <w:sz w:val="32"/>
          <w:szCs w:val="32"/>
        </w:rPr>
      </w:pPr>
      <w:r w:rsidRPr="00D41E0D">
        <w:rPr>
          <w:b/>
          <w:sz w:val="32"/>
          <w:szCs w:val="32"/>
        </w:rPr>
        <w:t>DYS Southeast Region</w:t>
      </w:r>
    </w:p>
    <w:p w:rsidR="00D41E0D" w:rsidRPr="00D41E0D" w:rsidRDefault="00D41E0D">
      <w:pPr>
        <w:rPr>
          <w:sz w:val="32"/>
          <w:szCs w:val="32"/>
        </w:rPr>
      </w:pPr>
    </w:p>
    <w:p w:rsidR="00D41E0D" w:rsidRPr="00D41E0D" w:rsidRDefault="00D41E0D" w:rsidP="00D41E0D">
      <w:pPr>
        <w:numPr>
          <w:ilvl w:val="0"/>
          <w:numId w:val="18"/>
        </w:numPr>
        <w:rPr>
          <w:sz w:val="32"/>
          <w:szCs w:val="32"/>
        </w:rPr>
      </w:pPr>
      <w:r w:rsidRPr="00D41E0D">
        <w:rPr>
          <w:sz w:val="32"/>
          <w:szCs w:val="32"/>
        </w:rPr>
        <w:t>Barnstable County</w:t>
      </w:r>
    </w:p>
    <w:p w:rsidR="00D41E0D" w:rsidRPr="00D41E0D" w:rsidRDefault="00D41E0D" w:rsidP="00D41E0D">
      <w:pPr>
        <w:numPr>
          <w:ilvl w:val="0"/>
          <w:numId w:val="18"/>
        </w:numPr>
        <w:rPr>
          <w:sz w:val="32"/>
          <w:szCs w:val="32"/>
        </w:rPr>
      </w:pPr>
      <w:r w:rsidRPr="00D41E0D">
        <w:rPr>
          <w:sz w:val="32"/>
          <w:szCs w:val="32"/>
        </w:rPr>
        <w:t>Bristol County</w:t>
      </w:r>
    </w:p>
    <w:p w:rsidR="00D41E0D" w:rsidRPr="00D41E0D" w:rsidRDefault="00D41E0D" w:rsidP="00D41E0D">
      <w:pPr>
        <w:numPr>
          <w:ilvl w:val="0"/>
          <w:numId w:val="18"/>
        </w:numPr>
        <w:rPr>
          <w:sz w:val="32"/>
          <w:szCs w:val="32"/>
        </w:rPr>
      </w:pPr>
      <w:r w:rsidRPr="00D41E0D">
        <w:rPr>
          <w:sz w:val="32"/>
          <w:szCs w:val="32"/>
        </w:rPr>
        <w:t>Dukes County</w:t>
      </w:r>
    </w:p>
    <w:p w:rsidR="00D41E0D" w:rsidRPr="00D41E0D" w:rsidRDefault="00D41E0D" w:rsidP="00D41E0D">
      <w:pPr>
        <w:numPr>
          <w:ilvl w:val="0"/>
          <w:numId w:val="18"/>
        </w:numPr>
        <w:rPr>
          <w:sz w:val="32"/>
          <w:szCs w:val="32"/>
        </w:rPr>
      </w:pPr>
      <w:r w:rsidRPr="00D41E0D">
        <w:rPr>
          <w:sz w:val="32"/>
          <w:szCs w:val="32"/>
        </w:rPr>
        <w:t>Nantucket County</w:t>
      </w:r>
    </w:p>
    <w:p w:rsidR="00D41E0D" w:rsidRPr="00D41E0D" w:rsidRDefault="00D41E0D" w:rsidP="00D41E0D">
      <w:pPr>
        <w:numPr>
          <w:ilvl w:val="0"/>
          <w:numId w:val="18"/>
        </w:numPr>
        <w:rPr>
          <w:sz w:val="32"/>
          <w:szCs w:val="32"/>
        </w:rPr>
      </w:pPr>
      <w:r w:rsidRPr="00D41E0D">
        <w:rPr>
          <w:sz w:val="32"/>
          <w:szCs w:val="32"/>
        </w:rPr>
        <w:t>Norfolk County</w:t>
      </w:r>
    </w:p>
    <w:p w:rsidR="00D41E0D" w:rsidRPr="00D41E0D" w:rsidRDefault="00D41E0D" w:rsidP="00D41E0D">
      <w:pPr>
        <w:numPr>
          <w:ilvl w:val="0"/>
          <w:numId w:val="18"/>
        </w:numPr>
        <w:rPr>
          <w:sz w:val="32"/>
          <w:szCs w:val="32"/>
        </w:rPr>
      </w:pPr>
      <w:r w:rsidRPr="00D41E0D">
        <w:rPr>
          <w:sz w:val="32"/>
          <w:szCs w:val="32"/>
        </w:rPr>
        <w:t>Plymouth County</w:t>
      </w:r>
    </w:p>
    <w:p w:rsidR="00D41E0D" w:rsidRPr="00D41E0D" w:rsidRDefault="00D41E0D">
      <w:pPr>
        <w:rPr>
          <w:sz w:val="32"/>
          <w:szCs w:val="32"/>
        </w:rPr>
      </w:pPr>
    </w:p>
    <w:p w:rsidR="00D41E0D" w:rsidRPr="00D41E0D" w:rsidRDefault="00D41E0D">
      <w:pPr>
        <w:rPr>
          <w:sz w:val="32"/>
          <w:szCs w:val="32"/>
        </w:rPr>
      </w:pPr>
    </w:p>
    <w:p w:rsidR="00D41E0D" w:rsidRPr="00D41E0D" w:rsidRDefault="00D41E0D">
      <w:pPr>
        <w:rPr>
          <w:b/>
          <w:sz w:val="32"/>
          <w:szCs w:val="32"/>
        </w:rPr>
      </w:pPr>
      <w:r>
        <w:rPr>
          <w:b/>
          <w:sz w:val="32"/>
          <w:szCs w:val="32"/>
        </w:rPr>
        <w:t xml:space="preserve">DYS </w:t>
      </w:r>
      <w:r w:rsidRPr="00D41E0D">
        <w:rPr>
          <w:b/>
          <w:sz w:val="32"/>
          <w:szCs w:val="32"/>
        </w:rPr>
        <w:t>Western Region</w:t>
      </w:r>
    </w:p>
    <w:p w:rsidR="00D41E0D" w:rsidRPr="00D41E0D" w:rsidRDefault="00D41E0D">
      <w:pPr>
        <w:rPr>
          <w:sz w:val="32"/>
          <w:szCs w:val="32"/>
        </w:rPr>
      </w:pPr>
    </w:p>
    <w:p w:rsidR="00D41E0D" w:rsidRPr="00D41E0D" w:rsidRDefault="00D41E0D" w:rsidP="00D41E0D">
      <w:pPr>
        <w:numPr>
          <w:ilvl w:val="0"/>
          <w:numId w:val="18"/>
        </w:numPr>
        <w:rPr>
          <w:sz w:val="32"/>
          <w:szCs w:val="32"/>
        </w:rPr>
      </w:pPr>
      <w:r w:rsidRPr="00D41E0D">
        <w:rPr>
          <w:sz w:val="32"/>
          <w:szCs w:val="32"/>
        </w:rPr>
        <w:t>Berkshire County</w:t>
      </w:r>
    </w:p>
    <w:p w:rsidR="00D41E0D" w:rsidRPr="00D41E0D" w:rsidRDefault="00D41E0D" w:rsidP="00D41E0D">
      <w:pPr>
        <w:numPr>
          <w:ilvl w:val="0"/>
          <w:numId w:val="18"/>
        </w:numPr>
        <w:rPr>
          <w:sz w:val="32"/>
          <w:szCs w:val="32"/>
        </w:rPr>
      </w:pPr>
      <w:r w:rsidRPr="00D41E0D">
        <w:rPr>
          <w:sz w:val="32"/>
          <w:szCs w:val="32"/>
        </w:rPr>
        <w:t>Franklin County</w:t>
      </w:r>
    </w:p>
    <w:p w:rsidR="00D41E0D" w:rsidRPr="00D41E0D" w:rsidRDefault="00D41E0D" w:rsidP="00D41E0D">
      <w:pPr>
        <w:numPr>
          <w:ilvl w:val="0"/>
          <w:numId w:val="18"/>
        </w:numPr>
        <w:rPr>
          <w:sz w:val="32"/>
          <w:szCs w:val="32"/>
        </w:rPr>
      </w:pPr>
      <w:r w:rsidRPr="00D41E0D">
        <w:rPr>
          <w:sz w:val="32"/>
          <w:szCs w:val="32"/>
        </w:rPr>
        <w:t>Hampden County</w:t>
      </w:r>
    </w:p>
    <w:p w:rsidR="00182089" w:rsidRDefault="00D41E0D" w:rsidP="00A44B06">
      <w:pPr>
        <w:numPr>
          <w:ilvl w:val="0"/>
          <w:numId w:val="18"/>
        </w:numPr>
      </w:pPr>
      <w:r w:rsidRPr="00D41E0D">
        <w:rPr>
          <w:sz w:val="32"/>
          <w:szCs w:val="32"/>
        </w:rPr>
        <w:t>Hampshire County</w:t>
      </w:r>
    </w:p>
    <w:p w:rsidR="00182089" w:rsidRDefault="00182089"/>
    <w:p w:rsidR="00182089" w:rsidRDefault="00182089"/>
    <w:p w:rsidR="00182089" w:rsidRDefault="00182089"/>
    <w:p w:rsidR="00182089" w:rsidRDefault="00182089"/>
    <w:p w:rsidR="00182089" w:rsidRDefault="00182089"/>
    <w:p w:rsidR="00182089" w:rsidRDefault="00182089"/>
    <w:p w:rsidR="00182089" w:rsidRDefault="00182089"/>
    <w:p w:rsidR="00182089" w:rsidRDefault="00182089"/>
    <w:p w:rsidR="0032236A" w:rsidRDefault="0032236A"/>
    <w:p w:rsidR="0032236A" w:rsidRDefault="0032236A"/>
    <w:p w:rsidR="0032236A" w:rsidRDefault="0032236A"/>
    <w:p w:rsidR="0032236A" w:rsidRDefault="0032236A"/>
    <w:p w:rsidR="005A4BBC" w:rsidRDefault="005A4BBC"/>
    <w:p w:rsidR="005A4BBC" w:rsidRDefault="005A4BBC">
      <w:pPr>
        <w:jc w:val="center"/>
        <w:rPr>
          <w:sz w:val="40"/>
        </w:rPr>
      </w:pPr>
    </w:p>
    <w:p w:rsidR="005A4BBC" w:rsidRDefault="005A4BBC">
      <w:pPr>
        <w:jc w:val="center"/>
        <w:rPr>
          <w:sz w:val="40"/>
        </w:rPr>
      </w:pPr>
    </w:p>
    <w:p w:rsidR="005A4BBC" w:rsidRDefault="005A4BBC">
      <w:pPr>
        <w:jc w:val="center"/>
        <w:rPr>
          <w:sz w:val="40"/>
        </w:rPr>
      </w:pPr>
    </w:p>
    <w:p w:rsidR="005A4BBC" w:rsidRDefault="005A4BBC">
      <w:pPr>
        <w:jc w:val="center"/>
        <w:rPr>
          <w:sz w:val="40"/>
        </w:rPr>
      </w:pPr>
    </w:p>
    <w:p w:rsidR="005A4BBC" w:rsidRDefault="005A4BBC">
      <w:pPr>
        <w:jc w:val="center"/>
        <w:rPr>
          <w:sz w:val="40"/>
        </w:rPr>
      </w:pPr>
    </w:p>
    <w:p w:rsidR="00B416E5" w:rsidRDefault="00B416E5" w:rsidP="00B416E5">
      <w:pPr>
        <w:pStyle w:val="Heading4"/>
      </w:pPr>
      <w:r>
        <w:t>Appendix C</w:t>
      </w:r>
    </w:p>
    <w:p w:rsidR="00B416E5" w:rsidRDefault="00B416E5" w:rsidP="00B416E5">
      <w:pPr>
        <w:jc w:val="center"/>
        <w:rPr>
          <w:sz w:val="40"/>
        </w:rPr>
      </w:pPr>
    </w:p>
    <w:p w:rsidR="00B416E5" w:rsidRDefault="00B416E5" w:rsidP="00B416E5">
      <w:pPr>
        <w:jc w:val="center"/>
        <w:rPr>
          <w:sz w:val="40"/>
        </w:rPr>
      </w:pPr>
      <w:r>
        <w:rPr>
          <w:sz w:val="40"/>
        </w:rPr>
        <w:t>Demographics of the Subjects</w:t>
      </w:r>
    </w:p>
    <w:p w:rsidR="005A4BBC" w:rsidRDefault="005A4BBC">
      <w:pPr>
        <w:jc w:val="center"/>
        <w:rPr>
          <w:sz w:val="40"/>
        </w:rPr>
      </w:pPr>
    </w:p>
    <w:p w:rsidR="005A4BBC" w:rsidRDefault="005A4BBC">
      <w:pPr>
        <w:jc w:val="center"/>
      </w:pPr>
    </w:p>
    <w:p w:rsidR="005A4BBC" w:rsidRPr="00076887" w:rsidRDefault="005A4BBC"/>
    <w:p w:rsidR="005A4BBC" w:rsidRDefault="005A4BBC"/>
    <w:p w:rsidR="005A4BBC" w:rsidRDefault="005A4BBC"/>
    <w:p w:rsidR="005A4BBC" w:rsidRDefault="005A4BBC"/>
    <w:p w:rsidR="005A4BBC" w:rsidRDefault="005A4BBC"/>
    <w:p w:rsidR="004035EA" w:rsidRDefault="004035EA"/>
    <w:p w:rsidR="004035EA" w:rsidRDefault="004035EA"/>
    <w:p w:rsidR="005A4BBC" w:rsidRDefault="00351C45">
      <w:r>
        <w:rPr>
          <w:noProof/>
        </w:rPr>
        <w:lastRenderedPageBreak/>
        <w:drawing>
          <wp:inline distT="0" distB="0" distL="0" distR="0" wp14:anchorId="606282AA" wp14:editId="112C474C">
            <wp:extent cx="5486400" cy="2910582"/>
            <wp:effectExtent l="0" t="0" r="0" b="444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541F2" w:rsidRDefault="00E541F2"/>
    <w:p w:rsidR="00E541F2" w:rsidRDefault="00E541F2"/>
    <w:p w:rsidR="00E541F2" w:rsidRDefault="00E541F2"/>
    <w:p w:rsidR="00E541F2" w:rsidRDefault="00E541F2"/>
    <w:p w:rsidR="001C42F7" w:rsidRDefault="001C42F7"/>
    <w:p w:rsidR="001C42F7" w:rsidRPr="007E1138" w:rsidRDefault="0015464D">
      <w:r>
        <w:rPr>
          <w:noProof/>
        </w:rPr>
        <w:drawing>
          <wp:inline distT="0" distB="0" distL="0" distR="0" wp14:anchorId="5155DBAF" wp14:editId="6A1E83D5">
            <wp:extent cx="5410200" cy="3276600"/>
            <wp:effectExtent l="0" t="0" r="19050" b="1905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A4BBC" w:rsidRDefault="005A4BBC"/>
    <w:p w:rsidR="001B098E" w:rsidRDefault="001B098E"/>
    <w:p w:rsidR="00A230F8" w:rsidRDefault="00A230F8"/>
    <w:p w:rsidR="00A230F8" w:rsidRDefault="00A230F8"/>
    <w:p w:rsidR="00A230F8" w:rsidRDefault="00A230F8"/>
    <w:p w:rsidR="001B098E" w:rsidRDefault="001B098E"/>
    <w:p w:rsidR="001B098E" w:rsidRDefault="0015464D">
      <w:r>
        <w:rPr>
          <w:noProof/>
        </w:rPr>
        <w:lastRenderedPageBreak/>
        <w:drawing>
          <wp:inline distT="0" distB="0" distL="0" distR="0" wp14:anchorId="38E85AE6" wp14:editId="61441F13">
            <wp:extent cx="5486400" cy="3198055"/>
            <wp:effectExtent l="0" t="0" r="0" b="254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2615B" w:rsidRPr="007E1138" w:rsidRDefault="0062615B"/>
    <w:p w:rsidR="005A4BBC" w:rsidRDefault="005A4BBC"/>
    <w:p w:rsidR="005A4BBC" w:rsidRDefault="005A4BBC"/>
    <w:p w:rsidR="005A4BBC" w:rsidRDefault="005A4BBC"/>
    <w:p w:rsidR="005A4BBC" w:rsidRPr="007E1138" w:rsidRDefault="0015464D">
      <w:r>
        <w:rPr>
          <w:noProof/>
        </w:rPr>
        <w:drawing>
          <wp:inline distT="0" distB="0" distL="0" distR="0" wp14:anchorId="4FCBC00E" wp14:editId="7B18E1B5">
            <wp:extent cx="5457825" cy="3171825"/>
            <wp:effectExtent l="0" t="0" r="9525" b="952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A4BBC" w:rsidRDefault="005A4BBC"/>
    <w:p w:rsidR="005A4BBC" w:rsidRDefault="005A4BBC"/>
    <w:p w:rsidR="00A230F8" w:rsidRDefault="00A230F8"/>
    <w:p w:rsidR="005A4BBC" w:rsidRDefault="005A4BBC"/>
    <w:p w:rsidR="005A4BBC" w:rsidRDefault="005A4BBC"/>
    <w:p w:rsidR="005A4BBC" w:rsidRPr="007E1138" w:rsidRDefault="0015464D">
      <w:r>
        <w:rPr>
          <w:noProof/>
        </w:rPr>
        <w:lastRenderedPageBreak/>
        <w:drawing>
          <wp:inline distT="0" distB="0" distL="0" distR="0" wp14:anchorId="0297B8A7" wp14:editId="6748D0DF">
            <wp:extent cx="5486400" cy="3282381"/>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A4BBC" w:rsidRDefault="005A4BBC"/>
    <w:p w:rsidR="005A4BBC" w:rsidRPr="007E1138" w:rsidRDefault="005A4BBC"/>
    <w:sectPr w:rsidR="005A4BBC" w:rsidRPr="007E1138" w:rsidSect="004F5A2F">
      <w:headerReference w:type="even" r:id="rId30"/>
      <w:headerReference w:type="default" r:id="rId31"/>
      <w:footerReference w:type="even" r:id="rId32"/>
      <w:footerReference w:type="default" r:id="rId33"/>
      <w:headerReference w:type="first" r:id="rId34"/>
      <w:footerReference w:type="first" r:id="rId35"/>
      <w:pgSz w:w="12240" w:h="15840"/>
      <w:pgMar w:top="1440" w:right="1800" w:bottom="1440" w:left="1800" w:header="720" w:footer="720" w:gutter="0"/>
      <w:pgBorders w:display="not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01E" w:rsidRDefault="0012601E">
      <w:r>
        <w:separator/>
      </w:r>
    </w:p>
  </w:endnote>
  <w:endnote w:type="continuationSeparator" w:id="0">
    <w:p w:rsidR="0012601E" w:rsidRDefault="0012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01E" w:rsidRDefault="001260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01E" w:rsidRDefault="0012601E">
    <w:pPr>
      <w:pStyle w:val="Foot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6960EE">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01E" w:rsidRDefault="00126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01E" w:rsidRDefault="0012601E">
      <w:r>
        <w:separator/>
      </w:r>
    </w:p>
  </w:footnote>
  <w:footnote w:type="continuationSeparator" w:id="0">
    <w:p w:rsidR="0012601E" w:rsidRDefault="00126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01E" w:rsidRDefault="001260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01E" w:rsidRDefault="001260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01E" w:rsidRDefault="001260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7938"/>
    <w:multiLevelType w:val="multilevel"/>
    <w:tmpl w:val="F08A95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D890470"/>
    <w:multiLevelType w:val="multilevel"/>
    <w:tmpl w:val="30D859E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38B6F3E"/>
    <w:multiLevelType w:val="hybridMultilevel"/>
    <w:tmpl w:val="D05C0A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9A3796"/>
    <w:multiLevelType w:val="hybridMultilevel"/>
    <w:tmpl w:val="4D54EE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CC758A"/>
    <w:multiLevelType w:val="hybridMultilevel"/>
    <w:tmpl w:val="30C2FB3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2563134E"/>
    <w:multiLevelType w:val="multilevel"/>
    <w:tmpl w:val="30C2FB32"/>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6">
    <w:nsid w:val="301C69FE"/>
    <w:multiLevelType w:val="hybridMultilevel"/>
    <w:tmpl w:val="F08A95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EE0706"/>
    <w:multiLevelType w:val="hybridMultilevel"/>
    <w:tmpl w:val="60CAB9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F51AC3"/>
    <w:multiLevelType w:val="hybridMultilevel"/>
    <w:tmpl w:val="C7408B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BB28BC"/>
    <w:multiLevelType w:val="multilevel"/>
    <w:tmpl w:val="60CAB91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3733703"/>
    <w:multiLevelType w:val="hybridMultilevel"/>
    <w:tmpl w:val="6AC219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590C19"/>
    <w:multiLevelType w:val="hybridMultilevel"/>
    <w:tmpl w:val="8FFAEAF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57E1746"/>
    <w:multiLevelType w:val="hybridMultilevel"/>
    <w:tmpl w:val="30D859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3D6472"/>
    <w:multiLevelType w:val="hybridMultilevel"/>
    <w:tmpl w:val="47E2F5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8401F30"/>
    <w:multiLevelType w:val="hybridMultilevel"/>
    <w:tmpl w:val="38CAF6A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8D7592D"/>
    <w:multiLevelType w:val="hybridMultilevel"/>
    <w:tmpl w:val="C24086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811CF9"/>
    <w:multiLevelType w:val="hybridMultilevel"/>
    <w:tmpl w:val="49522A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0170DD"/>
    <w:multiLevelType w:val="hybridMultilevel"/>
    <w:tmpl w:val="56D6B1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5440A8"/>
    <w:multiLevelType w:val="hybridMultilevel"/>
    <w:tmpl w:val="AB1857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3"/>
  </w:num>
  <w:num w:numId="4">
    <w:abstractNumId w:val="17"/>
  </w:num>
  <w:num w:numId="5">
    <w:abstractNumId w:val="16"/>
  </w:num>
  <w:num w:numId="6">
    <w:abstractNumId w:val="4"/>
  </w:num>
  <w:num w:numId="7">
    <w:abstractNumId w:val="7"/>
  </w:num>
  <w:num w:numId="8">
    <w:abstractNumId w:val="6"/>
  </w:num>
  <w:num w:numId="9">
    <w:abstractNumId w:val="12"/>
  </w:num>
  <w:num w:numId="10">
    <w:abstractNumId w:val="5"/>
  </w:num>
  <w:num w:numId="11">
    <w:abstractNumId w:val="9"/>
  </w:num>
  <w:num w:numId="12">
    <w:abstractNumId w:val="0"/>
  </w:num>
  <w:num w:numId="13">
    <w:abstractNumId w:val="1"/>
  </w:num>
  <w:num w:numId="14">
    <w:abstractNumId w:val="13"/>
  </w:num>
  <w:num w:numId="15">
    <w:abstractNumId w:val="11"/>
  </w:num>
  <w:num w:numId="16">
    <w:abstractNumId w:val="14"/>
  </w:num>
  <w:num w:numId="17">
    <w:abstractNumId w:val="10"/>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635BA3"/>
    <w:rsid w:val="0000059D"/>
    <w:rsid w:val="00003B96"/>
    <w:rsid w:val="000100D9"/>
    <w:rsid w:val="00010C81"/>
    <w:rsid w:val="0001354D"/>
    <w:rsid w:val="00016104"/>
    <w:rsid w:val="000164DD"/>
    <w:rsid w:val="00017428"/>
    <w:rsid w:val="000326A6"/>
    <w:rsid w:val="00036786"/>
    <w:rsid w:val="0004267D"/>
    <w:rsid w:val="00047F7C"/>
    <w:rsid w:val="00053E49"/>
    <w:rsid w:val="00055154"/>
    <w:rsid w:val="0005537C"/>
    <w:rsid w:val="000558D0"/>
    <w:rsid w:val="00062A28"/>
    <w:rsid w:val="000649AA"/>
    <w:rsid w:val="0006503F"/>
    <w:rsid w:val="0006592F"/>
    <w:rsid w:val="00066D99"/>
    <w:rsid w:val="00072954"/>
    <w:rsid w:val="00073909"/>
    <w:rsid w:val="00076848"/>
    <w:rsid w:val="00076887"/>
    <w:rsid w:val="00077C9C"/>
    <w:rsid w:val="00096736"/>
    <w:rsid w:val="000A4B7A"/>
    <w:rsid w:val="000B3923"/>
    <w:rsid w:val="000B3AE5"/>
    <w:rsid w:val="000B5169"/>
    <w:rsid w:val="000B634F"/>
    <w:rsid w:val="000C29C7"/>
    <w:rsid w:val="000C6DB0"/>
    <w:rsid w:val="000D2D22"/>
    <w:rsid w:val="000D3C80"/>
    <w:rsid w:val="000E1B03"/>
    <w:rsid w:val="000E47DF"/>
    <w:rsid w:val="000F0234"/>
    <w:rsid w:val="000F2483"/>
    <w:rsid w:val="000F32C6"/>
    <w:rsid w:val="000F3AC5"/>
    <w:rsid w:val="00104F40"/>
    <w:rsid w:val="001059AB"/>
    <w:rsid w:val="0011242C"/>
    <w:rsid w:val="00114A84"/>
    <w:rsid w:val="00116E95"/>
    <w:rsid w:val="0012206C"/>
    <w:rsid w:val="001239D4"/>
    <w:rsid w:val="001239EF"/>
    <w:rsid w:val="0012601E"/>
    <w:rsid w:val="00130995"/>
    <w:rsid w:val="001330D9"/>
    <w:rsid w:val="001407D5"/>
    <w:rsid w:val="00145C4E"/>
    <w:rsid w:val="00146302"/>
    <w:rsid w:val="001464C0"/>
    <w:rsid w:val="00146949"/>
    <w:rsid w:val="00153644"/>
    <w:rsid w:val="0015464D"/>
    <w:rsid w:val="00154951"/>
    <w:rsid w:val="00160AB6"/>
    <w:rsid w:val="00161472"/>
    <w:rsid w:val="00161A39"/>
    <w:rsid w:val="00170F96"/>
    <w:rsid w:val="0017322F"/>
    <w:rsid w:val="001800D1"/>
    <w:rsid w:val="00182089"/>
    <w:rsid w:val="0019238E"/>
    <w:rsid w:val="00194278"/>
    <w:rsid w:val="00195F30"/>
    <w:rsid w:val="001977D6"/>
    <w:rsid w:val="00197A4B"/>
    <w:rsid w:val="001A0A05"/>
    <w:rsid w:val="001A23FF"/>
    <w:rsid w:val="001A59C3"/>
    <w:rsid w:val="001A6C84"/>
    <w:rsid w:val="001B0662"/>
    <w:rsid w:val="001B098E"/>
    <w:rsid w:val="001B4A1C"/>
    <w:rsid w:val="001B5DEA"/>
    <w:rsid w:val="001B6914"/>
    <w:rsid w:val="001C42F7"/>
    <w:rsid w:val="001C67F1"/>
    <w:rsid w:val="001D07DE"/>
    <w:rsid w:val="001D50F6"/>
    <w:rsid w:val="001E205F"/>
    <w:rsid w:val="001E4156"/>
    <w:rsid w:val="001E6FD5"/>
    <w:rsid w:val="001F4ACD"/>
    <w:rsid w:val="002003CD"/>
    <w:rsid w:val="002019E1"/>
    <w:rsid w:val="00210D4E"/>
    <w:rsid w:val="00214A30"/>
    <w:rsid w:val="00217E28"/>
    <w:rsid w:val="0022070B"/>
    <w:rsid w:val="00223E17"/>
    <w:rsid w:val="0023443A"/>
    <w:rsid w:val="00243041"/>
    <w:rsid w:val="00250FF0"/>
    <w:rsid w:val="00253018"/>
    <w:rsid w:val="00254071"/>
    <w:rsid w:val="00255C16"/>
    <w:rsid w:val="002667F5"/>
    <w:rsid w:val="00284C59"/>
    <w:rsid w:val="00292F55"/>
    <w:rsid w:val="002930B0"/>
    <w:rsid w:val="00293879"/>
    <w:rsid w:val="00296E00"/>
    <w:rsid w:val="002A3946"/>
    <w:rsid w:val="002B2AF0"/>
    <w:rsid w:val="002B49FB"/>
    <w:rsid w:val="002B4FBF"/>
    <w:rsid w:val="002B5425"/>
    <w:rsid w:val="002C14C1"/>
    <w:rsid w:val="002C696E"/>
    <w:rsid w:val="002C7DAF"/>
    <w:rsid w:val="002D14AF"/>
    <w:rsid w:val="002D5E22"/>
    <w:rsid w:val="002D73EA"/>
    <w:rsid w:val="002E5055"/>
    <w:rsid w:val="002F10E1"/>
    <w:rsid w:val="002F4AF7"/>
    <w:rsid w:val="002F6631"/>
    <w:rsid w:val="002F6CB8"/>
    <w:rsid w:val="00302B42"/>
    <w:rsid w:val="0031264E"/>
    <w:rsid w:val="00315889"/>
    <w:rsid w:val="00317A95"/>
    <w:rsid w:val="0032236A"/>
    <w:rsid w:val="003273C8"/>
    <w:rsid w:val="00333320"/>
    <w:rsid w:val="0033354B"/>
    <w:rsid w:val="00334E1E"/>
    <w:rsid w:val="0034003D"/>
    <w:rsid w:val="00343AE2"/>
    <w:rsid w:val="00344575"/>
    <w:rsid w:val="003448AD"/>
    <w:rsid w:val="00345185"/>
    <w:rsid w:val="00350F88"/>
    <w:rsid w:val="00351C45"/>
    <w:rsid w:val="00355521"/>
    <w:rsid w:val="003613CF"/>
    <w:rsid w:val="00362CA4"/>
    <w:rsid w:val="003639D8"/>
    <w:rsid w:val="00365627"/>
    <w:rsid w:val="003710F0"/>
    <w:rsid w:val="003763F4"/>
    <w:rsid w:val="00382890"/>
    <w:rsid w:val="00383768"/>
    <w:rsid w:val="003905CA"/>
    <w:rsid w:val="003926AC"/>
    <w:rsid w:val="00394104"/>
    <w:rsid w:val="0039543C"/>
    <w:rsid w:val="003970B9"/>
    <w:rsid w:val="003A5111"/>
    <w:rsid w:val="003B06E2"/>
    <w:rsid w:val="003B0A5C"/>
    <w:rsid w:val="003B0A68"/>
    <w:rsid w:val="003B0CCB"/>
    <w:rsid w:val="003B3246"/>
    <w:rsid w:val="003B59BC"/>
    <w:rsid w:val="003B6971"/>
    <w:rsid w:val="003D25FA"/>
    <w:rsid w:val="003D73C7"/>
    <w:rsid w:val="003E06D1"/>
    <w:rsid w:val="003E1009"/>
    <w:rsid w:val="003E109D"/>
    <w:rsid w:val="003E3B6A"/>
    <w:rsid w:val="003E4BD6"/>
    <w:rsid w:val="003E534A"/>
    <w:rsid w:val="003E7D0E"/>
    <w:rsid w:val="004025D8"/>
    <w:rsid w:val="004035EA"/>
    <w:rsid w:val="00410CC0"/>
    <w:rsid w:val="00414685"/>
    <w:rsid w:val="00423527"/>
    <w:rsid w:val="00427D62"/>
    <w:rsid w:val="00433B92"/>
    <w:rsid w:val="00434F25"/>
    <w:rsid w:val="004357E2"/>
    <w:rsid w:val="0043644B"/>
    <w:rsid w:val="004471AA"/>
    <w:rsid w:val="004477E2"/>
    <w:rsid w:val="004507C1"/>
    <w:rsid w:val="00453329"/>
    <w:rsid w:val="00454EBD"/>
    <w:rsid w:val="004552C6"/>
    <w:rsid w:val="004619B7"/>
    <w:rsid w:val="00465E90"/>
    <w:rsid w:val="004717DD"/>
    <w:rsid w:val="004733AC"/>
    <w:rsid w:val="00473B61"/>
    <w:rsid w:val="0047604C"/>
    <w:rsid w:val="00481EF6"/>
    <w:rsid w:val="0048201B"/>
    <w:rsid w:val="00483031"/>
    <w:rsid w:val="00485100"/>
    <w:rsid w:val="0048668A"/>
    <w:rsid w:val="00487754"/>
    <w:rsid w:val="00495D7F"/>
    <w:rsid w:val="004A2723"/>
    <w:rsid w:val="004A29B2"/>
    <w:rsid w:val="004A7EF3"/>
    <w:rsid w:val="004A7FB4"/>
    <w:rsid w:val="004B0FC9"/>
    <w:rsid w:val="004B404E"/>
    <w:rsid w:val="004C0FCB"/>
    <w:rsid w:val="004E002D"/>
    <w:rsid w:val="004E0670"/>
    <w:rsid w:val="004E1FC4"/>
    <w:rsid w:val="004F5A2F"/>
    <w:rsid w:val="004F6DC6"/>
    <w:rsid w:val="0050126E"/>
    <w:rsid w:val="00505B48"/>
    <w:rsid w:val="0051122E"/>
    <w:rsid w:val="00516138"/>
    <w:rsid w:val="005175DB"/>
    <w:rsid w:val="00521C19"/>
    <w:rsid w:val="00525191"/>
    <w:rsid w:val="00530B3D"/>
    <w:rsid w:val="00532D61"/>
    <w:rsid w:val="00535CCD"/>
    <w:rsid w:val="00536E6D"/>
    <w:rsid w:val="00537CEF"/>
    <w:rsid w:val="00537CF0"/>
    <w:rsid w:val="005439DC"/>
    <w:rsid w:val="005464D6"/>
    <w:rsid w:val="00551C6E"/>
    <w:rsid w:val="005635FB"/>
    <w:rsid w:val="00565833"/>
    <w:rsid w:val="0057666E"/>
    <w:rsid w:val="00581785"/>
    <w:rsid w:val="00583660"/>
    <w:rsid w:val="00583876"/>
    <w:rsid w:val="00594092"/>
    <w:rsid w:val="00595153"/>
    <w:rsid w:val="005A0648"/>
    <w:rsid w:val="005A232E"/>
    <w:rsid w:val="005A4BBC"/>
    <w:rsid w:val="005A4E0C"/>
    <w:rsid w:val="005A6780"/>
    <w:rsid w:val="005A6B05"/>
    <w:rsid w:val="005B15CC"/>
    <w:rsid w:val="005B2521"/>
    <w:rsid w:val="005B3E1D"/>
    <w:rsid w:val="005B685E"/>
    <w:rsid w:val="005C5EB8"/>
    <w:rsid w:val="005D2A5E"/>
    <w:rsid w:val="005E72C7"/>
    <w:rsid w:val="005F7A5F"/>
    <w:rsid w:val="00603F93"/>
    <w:rsid w:val="0061008D"/>
    <w:rsid w:val="00610CA6"/>
    <w:rsid w:val="006177B1"/>
    <w:rsid w:val="00621F8F"/>
    <w:rsid w:val="00625663"/>
    <w:rsid w:val="00625EEC"/>
    <w:rsid w:val="0062615B"/>
    <w:rsid w:val="00632806"/>
    <w:rsid w:val="00635BA3"/>
    <w:rsid w:val="006402B6"/>
    <w:rsid w:val="00641BEA"/>
    <w:rsid w:val="006431AD"/>
    <w:rsid w:val="00643ECF"/>
    <w:rsid w:val="00644269"/>
    <w:rsid w:val="006465DF"/>
    <w:rsid w:val="006506D8"/>
    <w:rsid w:val="006543F3"/>
    <w:rsid w:val="00661349"/>
    <w:rsid w:val="00661BBC"/>
    <w:rsid w:val="006674EF"/>
    <w:rsid w:val="00670271"/>
    <w:rsid w:val="00672130"/>
    <w:rsid w:val="00677418"/>
    <w:rsid w:val="006960EE"/>
    <w:rsid w:val="00696A19"/>
    <w:rsid w:val="00697AD1"/>
    <w:rsid w:val="006A280E"/>
    <w:rsid w:val="006B1BC9"/>
    <w:rsid w:val="006B6C05"/>
    <w:rsid w:val="006C0F91"/>
    <w:rsid w:val="006C7948"/>
    <w:rsid w:val="006D260E"/>
    <w:rsid w:val="006D2790"/>
    <w:rsid w:val="006D2917"/>
    <w:rsid w:val="006E0F95"/>
    <w:rsid w:val="006E1702"/>
    <w:rsid w:val="006E3243"/>
    <w:rsid w:val="006E5D5E"/>
    <w:rsid w:val="006F1586"/>
    <w:rsid w:val="006F308A"/>
    <w:rsid w:val="006F393A"/>
    <w:rsid w:val="006F587B"/>
    <w:rsid w:val="00703D8D"/>
    <w:rsid w:val="007103D4"/>
    <w:rsid w:val="00712C6D"/>
    <w:rsid w:val="0071526A"/>
    <w:rsid w:val="00720C7F"/>
    <w:rsid w:val="00723100"/>
    <w:rsid w:val="00723CC4"/>
    <w:rsid w:val="0072616A"/>
    <w:rsid w:val="00755BCB"/>
    <w:rsid w:val="0075630C"/>
    <w:rsid w:val="00760599"/>
    <w:rsid w:val="00766227"/>
    <w:rsid w:val="00777B69"/>
    <w:rsid w:val="00783EE3"/>
    <w:rsid w:val="00785A17"/>
    <w:rsid w:val="0079214F"/>
    <w:rsid w:val="007926E1"/>
    <w:rsid w:val="007A17A4"/>
    <w:rsid w:val="007A3902"/>
    <w:rsid w:val="007B115D"/>
    <w:rsid w:val="007B6653"/>
    <w:rsid w:val="007C24E2"/>
    <w:rsid w:val="007C3748"/>
    <w:rsid w:val="007C404F"/>
    <w:rsid w:val="007C4B5C"/>
    <w:rsid w:val="007D1633"/>
    <w:rsid w:val="007D17AF"/>
    <w:rsid w:val="007E0C44"/>
    <w:rsid w:val="007E1138"/>
    <w:rsid w:val="007E118A"/>
    <w:rsid w:val="007E3A63"/>
    <w:rsid w:val="007E4F24"/>
    <w:rsid w:val="007F2E94"/>
    <w:rsid w:val="007F4FFD"/>
    <w:rsid w:val="00805B31"/>
    <w:rsid w:val="00807A87"/>
    <w:rsid w:val="00812C1B"/>
    <w:rsid w:val="00816AFE"/>
    <w:rsid w:val="00823497"/>
    <w:rsid w:val="00823EB9"/>
    <w:rsid w:val="00834821"/>
    <w:rsid w:val="00834AAA"/>
    <w:rsid w:val="008355BE"/>
    <w:rsid w:val="008409F5"/>
    <w:rsid w:val="00840D20"/>
    <w:rsid w:val="00841CC8"/>
    <w:rsid w:val="00853918"/>
    <w:rsid w:val="00856C8D"/>
    <w:rsid w:val="008663A7"/>
    <w:rsid w:val="00876A01"/>
    <w:rsid w:val="00876A70"/>
    <w:rsid w:val="0088018E"/>
    <w:rsid w:val="00881304"/>
    <w:rsid w:val="0088738D"/>
    <w:rsid w:val="00890303"/>
    <w:rsid w:val="00893595"/>
    <w:rsid w:val="008937D9"/>
    <w:rsid w:val="008A524C"/>
    <w:rsid w:val="008B03CE"/>
    <w:rsid w:val="008B7A4D"/>
    <w:rsid w:val="008C03AC"/>
    <w:rsid w:val="008C298B"/>
    <w:rsid w:val="008C5418"/>
    <w:rsid w:val="008C5511"/>
    <w:rsid w:val="008D040D"/>
    <w:rsid w:val="008D47E8"/>
    <w:rsid w:val="008E2F83"/>
    <w:rsid w:val="008E3914"/>
    <w:rsid w:val="008E786A"/>
    <w:rsid w:val="008E7B24"/>
    <w:rsid w:val="00901EB1"/>
    <w:rsid w:val="00902D6B"/>
    <w:rsid w:val="00904681"/>
    <w:rsid w:val="0091183D"/>
    <w:rsid w:val="00913F89"/>
    <w:rsid w:val="00921E8E"/>
    <w:rsid w:val="009250C6"/>
    <w:rsid w:val="00930BB4"/>
    <w:rsid w:val="00934D6E"/>
    <w:rsid w:val="009412BC"/>
    <w:rsid w:val="0094227B"/>
    <w:rsid w:val="00943BD7"/>
    <w:rsid w:val="00946893"/>
    <w:rsid w:val="009566D2"/>
    <w:rsid w:val="009600EC"/>
    <w:rsid w:val="00960E1D"/>
    <w:rsid w:val="0096583D"/>
    <w:rsid w:val="009679BB"/>
    <w:rsid w:val="00980041"/>
    <w:rsid w:val="00983356"/>
    <w:rsid w:val="00983414"/>
    <w:rsid w:val="00984770"/>
    <w:rsid w:val="0099581B"/>
    <w:rsid w:val="009A138E"/>
    <w:rsid w:val="009A1741"/>
    <w:rsid w:val="009A287E"/>
    <w:rsid w:val="009A4A6C"/>
    <w:rsid w:val="009A6B82"/>
    <w:rsid w:val="009B0510"/>
    <w:rsid w:val="009C412E"/>
    <w:rsid w:val="009D2ACA"/>
    <w:rsid w:val="009D488B"/>
    <w:rsid w:val="009E48C5"/>
    <w:rsid w:val="009E5D0A"/>
    <w:rsid w:val="009F20B6"/>
    <w:rsid w:val="009F530E"/>
    <w:rsid w:val="00A063CE"/>
    <w:rsid w:val="00A14B15"/>
    <w:rsid w:val="00A230F8"/>
    <w:rsid w:val="00A25D76"/>
    <w:rsid w:val="00A343CB"/>
    <w:rsid w:val="00A34925"/>
    <w:rsid w:val="00A44B06"/>
    <w:rsid w:val="00A6146D"/>
    <w:rsid w:val="00A61C45"/>
    <w:rsid w:val="00A62884"/>
    <w:rsid w:val="00A67AC1"/>
    <w:rsid w:val="00A70332"/>
    <w:rsid w:val="00A71074"/>
    <w:rsid w:val="00A74EBC"/>
    <w:rsid w:val="00A774B8"/>
    <w:rsid w:val="00A9089E"/>
    <w:rsid w:val="00A96781"/>
    <w:rsid w:val="00AA3E5D"/>
    <w:rsid w:val="00AA40D8"/>
    <w:rsid w:val="00AA4298"/>
    <w:rsid w:val="00AA7EF9"/>
    <w:rsid w:val="00AB48B9"/>
    <w:rsid w:val="00AB5843"/>
    <w:rsid w:val="00AD12E6"/>
    <w:rsid w:val="00AD20E4"/>
    <w:rsid w:val="00AF75B0"/>
    <w:rsid w:val="00AF7C16"/>
    <w:rsid w:val="00AF7EFC"/>
    <w:rsid w:val="00B0484A"/>
    <w:rsid w:val="00B0638C"/>
    <w:rsid w:val="00B07C32"/>
    <w:rsid w:val="00B12950"/>
    <w:rsid w:val="00B3044A"/>
    <w:rsid w:val="00B36FE6"/>
    <w:rsid w:val="00B37443"/>
    <w:rsid w:val="00B416E5"/>
    <w:rsid w:val="00B43999"/>
    <w:rsid w:val="00B52449"/>
    <w:rsid w:val="00B616F2"/>
    <w:rsid w:val="00B6279F"/>
    <w:rsid w:val="00B6300A"/>
    <w:rsid w:val="00B63C0E"/>
    <w:rsid w:val="00B65ECC"/>
    <w:rsid w:val="00B71811"/>
    <w:rsid w:val="00B83091"/>
    <w:rsid w:val="00B83EEF"/>
    <w:rsid w:val="00B869CF"/>
    <w:rsid w:val="00B870C7"/>
    <w:rsid w:val="00B94686"/>
    <w:rsid w:val="00B9501D"/>
    <w:rsid w:val="00BA1FFE"/>
    <w:rsid w:val="00BA3190"/>
    <w:rsid w:val="00BA5F5A"/>
    <w:rsid w:val="00BB285D"/>
    <w:rsid w:val="00BB6603"/>
    <w:rsid w:val="00BD3BCE"/>
    <w:rsid w:val="00BE52FE"/>
    <w:rsid w:val="00BE7351"/>
    <w:rsid w:val="00BF10AA"/>
    <w:rsid w:val="00BF4049"/>
    <w:rsid w:val="00BF573B"/>
    <w:rsid w:val="00BF7EBD"/>
    <w:rsid w:val="00C00B7F"/>
    <w:rsid w:val="00C024F0"/>
    <w:rsid w:val="00C035DF"/>
    <w:rsid w:val="00C04A97"/>
    <w:rsid w:val="00C05C8D"/>
    <w:rsid w:val="00C07F56"/>
    <w:rsid w:val="00C23E9F"/>
    <w:rsid w:val="00C261C3"/>
    <w:rsid w:val="00C277AD"/>
    <w:rsid w:val="00C32BA0"/>
    <w:rsid w:val="00C357FF"/>
    <w:rsid w:val="00C358FE"/>
    <w:rsid w:val="00C5080C"/>
    <w:rsid w:val="00C52088"/>
    <w:rsid w:val="00C550AA"/>
    <w:rsid w:val="00C57B52"/>
    <w:rsid w:val="00C67991"/>
    <w:rsid w:val="00C70AC0"/>
    <w:rsid w:val="00C7545B"/>
    <w:rsid w:val="00C77012"/>
    <w:rsid w:val="00C80EF8"/>
    <w:rsid w:val="00C81015"/>
    <w:rsid w:val="00C82FC3"/>
    <w:rsid w:val="00C868D0"/>
    <w:rsid w:val="00C93A79"/>
    <w:rsid w:val="00C95824"/>
    <w:rsid w:val="00C966E0"/>
    <w:rsid w:val="00CA08EC"/>
    <w:rsid w:val="00CD0556"/>
    <w:rsid w:val="00CD0C04"/>
    <w:rsid w:val="00CE1590"/>
    <w:rsid w:val="00CF4392"/>
    <w:rsid w:val="00CF49D7"/>
    <w:rsid w:val="00D03B77"/>
    <w:rsid w:val="00D0404A"/>
    <w:rsid w:val="00D07905"/>
    <w:rsid w:val="00D10890"/>
    <w:rsid w:val="00D110F2"/>
    <w:rsid w:val="00D1387C"/>
    <w:rsid w:val="00D16E4A"/>
    <w:rsid w:val="00D228B0"/>
    <w:rsid w:val="00D24F80"/>
    <w:rsid w:val="00D3178A"/>
    <w:rsid w:val="00D31D33"/>
    <w:rsid w:val="00D335AC"/>
    <w:rsid w:val="00D34EB8"/>
    <w:rsid w:val="00D40E20"/>
    <w:rsid w:val="00D417F8"/>
    <w:rsid w:val="00D41E0D"/>
    <w:rsid w:val="00D47E9F"/>
    <w:rsid w:val="00D54B07"/>
    <w:rsid w:val="00D552E1"/>
    <w:rsid w:val="00D553F2"/>
    <w:rsid w:val="00D57510"/>
    <w:rsid w:val="00D60C38"/>
    <w:rsid w:val="00D63450"/>
    <w:rsid w:val="00D843C6"/>
    <w:rsid w:val="00D847E5"/>
    <w:rsid w:val="00D85AB1"/>
    <w:rsid w:val="00D90CDC"/>
    <w:rsid w:val="00D9496B"/>
    <w:rsid w:val="00D96844"/>
    <w:rsid w:val="00D97997"/>
    <w:rsid w:val="00DA035C"/>
    <w:rsid w:val="00DA3572"/>
    <w:rsid w:val="00DA3A62"/>
    <w:rsid w:val="00DA5C58"/>
    <w:rsid w:val="00DB3D5D"/>
    <w:rsid w:val="00DC1C75"/>
    <w:rsid w:val="00DC48A7"/>
    <w:rsid w:val="00DC4EA2"/>
    <w:rsid w:val="00DD7214"/>
    <w:rsid w:val="00DE040C"/>
    <w:rsid w:val="00DE3EB9"/>
    <w:rsid w:val="00DE6D74"/>
    <w:rsid w:val="00DF1B22"/>
    <w:rsid w:val="00DF38ED"/>
    <w:rsid w:val="00DF4315"/>
    <w:rsid w:val="00E022B0"/>
    <w:rsid w:val="00E10694"/>
    <w:rsid w:val="00E144D7"/>
    <w:rsid w:val="00E16229"/>
    <w:rsid w:val="00E172E0"/>
    <w:rsid w:val="00E2099E"/>
    <w:rsid w:val="00E20A93"/>
    <w:rsid w:val="00E266E7"/>
    <w:rsid w:val="00E27BFF"/>
    <w:rsid w:val="00E303F1"/>
    <w:rsid w:val="00E31040"/>
    <w:rsid w:val="00E347DF"/>
    <w:rsid w:val="00E34C5B"/>
    <w:rsid w:val="00E36983"/>
    <w:rsid w:val="00E3781B"/>
    <w:rsid w:val="00E4384A"/>
    <w:rsid w:val="00E541F2"/>
    <w:rsid w:val="00E5431D"/>
    <w:rsid w:val="00E56D97"/>
    <w:rsid w:val="00E576E8"/>
    <w:rsid w:val="00E62FAF"/>
    <w:rsid w:val="00E646A3"/>
    <w:rsid w:val="00E656B7"/>
    <w:rsid w:val="00E66406"/>
    <w:rsid w:val="00E67D9C"/>
    <w:rsid w:val="00E70960"/>
    <w:rsid w:val="00E72A02"/>
    <w:rsid w:val="00E74B73"/>
    <w:rsid w:val="00E76AD9"/>
    <w:rsid w:val="00E8621B"/>
    <w:rsid w:val="00E91E9D"/>
    <w:rsid w:val="00E97EB9"/>
    <w:rsid w:val="00EA3BA5"/>
    <w:rsid w:val="00EA4359"/>
    <w:rsid w:val="00EA72AB"/>
    <w:rsid w:val="00EB32D8"/>
    <w:rsid w:val="00EB3A8E"/>
    <w:rsid w:val="00EC0603"/>
    <w:rsid w:val="00EC075C"/>
    <w:rsid w:val="00EC204D"/>
    <w:rsid w:val="00EC3061"/>
    <w:rsid w:val="00EC30DF"/>
    <w:rsid w:val="00EC3478"/>
    <w:rsid w:val="00ED0E76"/>
    <w:rsid w:val="00ED0F62"/>
    <w:rsid w:val="00ED29DF"/>
    <w:rsid w:val="00ED6E6B"/>
    <w:rsid w:val="00EE055B"/>
    <w:rsid w:val="00EE18FB"/>
    <w:rsid w:val="00EE5211"/>
    <w:rsid w:val="00EF4E74"/>
    <w:rsid w:val="00F0217A"/>
    <w:rsid w:val="00F02C36"/>
    <w:rsid w:val="00F03655"/>
    <w:rsid w:val="00F07337"/>
    <w:rsid w:val="00F10AC3"/>
    <w:rsid w:val="00F12A1C"/>
    <w:rsid w:val="00F13262"/>
    <w:rsid w:val="00F1745C"/>
    <w:rsid w:val="00F2009A"/>
    <w:rsid w:val="00F25298"/>
    <w:rsid w:val="00F27C6D"/>
    <w:rsid w:val="00F320DA"/>
    <w:rsid w:val="00F37822"/>
    <w:rsid w:val="00F46355"/>
    <w:rsid w:val="00F5288C"/>
    <w:rsid w:val="00F54105"/>
    <w:rsid w:val="00F558EF"/>
    <w:rsid w:val="00F571D8"/>
    <w:rsid w:val="00F57252"/>
    <w:rsid w:val="00F609EB"/>
    <w:rsid w:val="00F61CED"/>
    <w:rsid w:val="00F674F2"/>
    <w:rsid w:val="00F7076C"/>
    <w:rsid w:val="00F82A1B"/>
    <w:rsid w:val="00F91E2A"/>
    <w:rsid w:val="00F93B70"/>
    <w:rsid w:val="00F94759"/>
    <w:rsid w:val="00FB079F"/>
    <w:rsid w:val="00FC154A"/>
    <w:rsid w:val="00FC16F3"/>
    <w:rsid w:val="00FE1029"/>
    <w:rsid w:val="00FE1BA3"/>
    <w:rsid w:val="00FE358A"/>
    <w:rsid w:val="00FF157C"/>
    <w:rsid w:val="00FF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B96"/>
    <w:rPr>
      <w:sz w:val="24"/>
      <w:szCs w:val="24"/>
    </w:rPr>
  </w:style>
  <w:style w:type="paragraph" w:styleId="Heading1">
    <w:name w:val="heading 1"/>
    <w:basedOn w:val="Normal"/>
    <w:next w:val="Normal"/>
    <w:qFormat/>
    <w:rsid w:val="00003B96"/>
    <w:pPr>
      <w:keepNext/>
      <w:jc w:val="center"/>
      <w:outlineLvl w:val="0"/>
    </w:pPr>
    <w:rPr>
      <w:b/>
      <w:bCs/>
    </w:rPr>
  </w:style>
  <w:style w:type="paragraph" w:styleId="Heading2">
    <w:name w:val="heading 2"/>
    <w:basedOn w:val="Normal"/>
    <w:next w:val="Normal"/>
    <w:qFormat/>
    <w:rsid w:val="00003B96"/>
    <w:pPr>
      <w:keepNext/>
      <w:outlineLvl w:val="1"/>
    </w:pPr>
    <w:rPr>
      <w:u w:val="single"/>
    </w:rPr>
  </w:style>
  <w:style w:type="paragraph" w:styleId="Heading3">
    <w:name w:val="heading 3"/>
    <w:basedOn w:val="Normal"/>
    <w:next w:val="Normal"/>
    <w:qFormat/>
    <w:rsid w:val="00003B96"/>
    <w:pPr>
      <w:keepNext/>
      <w:jc w:val="center"/>
      <w:outlineLvl w:val="2"/>
    </w:pPr>
    <w:rPr>
      <w:sz w:val="28"/>
    </w:rPr>
  </w:style>
  <w:style w:type="paragraph" w:styleId="Heading4">
    <w:name w:val="heading 4"/>
    <w:basedOn w:val="Normal"/>
    <w:next w:val="Normal"/>
    <w:qFormat/>
    <w:rsid w:val="00003B96"/>
    <w:pPr>
      <w:keepNext/>
      <w:jc w:val="center"/>
      <w:outlineLvl w:val="3"/>
    </w:pPr>
    <w:rPr>
      <w:b/>
      <w:bCs/>
      <w:sz w:val="40"/>
    </w:rPr>
  </w:style>
  <w:style w:type="paragraph" w:styleId="Heading5">
    <w:name w:val="heading 5"/>
    <w:basedOn w:val="Normal"/>
    <w:next w:val="Normal"/>
    <w:qFormat/>
    <w:rsid w:val="00003B96"/>
    <w:pPr>
      <w:keepNext/>
      <w:spacing w:line="360" w:lineRule="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03B96"/>
    <w:rPr>
      <w:i/>
      <w:iCs/>
    </w:rPr>
  </w:style>
  <w:style w:type="paragraph" w:styleId="BodyText2">
    <w:name w:val="Body Text 2"/>
    <w:basedOn w:val="Normal"/>
    <w:rsid w:val="00003B96"/>
    <w:pPr>
      <w:jc w:val="center"/>
    </w:pPr>
    <w:rPr>
      <w:rFonts w:ascii="Arial Black" w:hAnsi="Arial Black"/>
      <w:b/>
      <w:bCs/>
      <w:sz w:val="36"/>
    </w:rPr>
  </w:style>
  <w:style w:type="paragraph" w:styleId="Caption">
    <w:name w:val="caption"/>
    <w:basedOn w:val="Normal"/>
    <w:next w:val="Normal"/>
    <w:qFormat/>
    <w:rsid w:val="00003B96"/>
    <w:pPr>
      <w:spacing w:line="360" w:lineRule="auto"/>
    </w:pPr>
    <w:rPr>
      <w:b/>
      <w:bCs/>
    </w:rPr>
  </w:style>
  <w:style w:type="paragraph" w:styleId="BalloonText">
    <w:name w:val="Balloon Text"/>
    <w:basedOn w:val="Normal"/>
    <w:semiHidden/>
    <w:rsid w:val="003D25FA"/>
    <w:rPr>
      <w:rFonts w:ascii="Tahoma" w:hAnsi="Tahoma" w:cs="Tahoma"/>
      <w:sz w:val="16"/>
      <w:szCs w:val="16"/>
    </w:rPr>
  </w:style>
  <w:style w:type="table" w:styleId="TableGrid">
    <w:name w:val="Table Grid"/>
    <w:basedOn w:val="TableNormal"/>
    <w:rsid w:val="005E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25EEC"/>
    <w:pPr>
      <w:spacing w:after="120"/>
      <w:ind w:left="360"/>
    </w:pPr>
    <w:rPr>
      <w:sz w:val="20"/>
      <w:szCs w:val="20"/>
    </w:rPr>
  </w:style>
  <w:style w:type="paragraph" w:styleId="Header">
    <w:name w:val="header"/>
    <w:basedOn w:val="Normal"/>
    <w:rsid w:val="000E1B03"/>
    <w:pPr>
      <w:tabs>
        <w:tab w:val="center" w:pos="4320"/>
        <w:tab w:val="right" w:pos="8640"/>
      </w:tabs>
    </w:pPr>
  </w:style>
  <w:style w:type="paragraph" w:styleId="Footer">
    <w:name w:val="footer"/>
    <w:basedOn w:val="Normal"/>
    <w:rsid w:val="000E1B03"/>
    <w:pPr>
      <w:tabs>
        <w:tab w:val="center" w:pos="4320"/>
        <w:tab w:val="right" w:pos="8640"/>
      </w:tabs>
    </w:pPr>
  </w:style>
  <w:style w:type="character" w:styleId="PageNumber">
    <w:name w:val="page number"/>
    <w:basedOn w:val="DefaultParagraphFont"/>
    <w:rsid w:val="00661349"/>
  </w:style>
  <w:style w:type="paragraph" w:styleId="ListParagraph">
    <w:name w:val="List Paragraph"/>
    <w:basedOn w:val="Normal"/>
    <w:uiPriority w:val="34"/>
    <w:qFormat/>
    <w:rsid w:val="004025D8"/>
    <w:pPr>
      <w:ind w:left="720"/>
      <w:contextualSpacing/>
    </w:pPr>
  </w:style>
  <w:style w:type="character" w:styleId="CommentReference">
    <w:name w:val="annotation reference"/>
    <w:basedOn w:val="DefaultParagraphFont"/>
    <w:rsid w:val="001B4A1C"/>
    <w:rPr>
      <w:sz w:val="16"/>
      <w:szCs w:val="16"/>
    </w:rPr>
  </w:style>
  <w:style w:type="paragraph" w:styleId="CommentText">
    <w:name w:val="annotation text"/>
    <w:basedOn w:val="Normal"/>
    <w:link w:val="CommentTextChar"/>
    <w:rsid w:val="001B4A1C"/>
    <w:rPr>
      <w:sz w:val="20"/>
      <w:szCs w:val="20"/>
    </w:rPr>
  </w:style>
  <w:style w:type="character" w:customStyle="1" w:styleId="CommentTextChar">
    <w:name w:val="Comment Text Char"/>
    <w:basedOn w:val="DefaultParagraphFont"/>
    <w:link w:val="CommentText"/>
    <w:rsid w:val="001B4A1C"/>
  </w:style>
  <w:style w:type="paragraph" w:styleId="CommentSubject">
    <w:name w:val="annotation subject"/>
    <w:basedOn w:val="CommentText"/>
    <w:next w:val="CommentText"/>
    <w:link w:val="CommentSubjectChar"/>
    <w:rsid w:val="001B4A1C"/>
    <w:rPr>
      <w:b/>
      <w:bCs/>
    </w:rPr>
  </w:style>
  <w:style w:type="character" w:customStyle="1" w:styleId="CommentSubjectChar">
    <w:name w:val="Comment Subject Char"/>
    <w:basedOn w:val="CommentTextChar"/>
    <w:link w:val="CommentSubject"/>
    <w:rsid w:val="001B4A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b/>
      <w:bCs/>
      <w:sz w:val="40"/>
    </w:rPr>
  </w:style>
  <w:style w:type="paragraph" w:styleId="Heading5">
    <w:name w:val="heading 5"/>
    <w:basedOn w:val="Normal"/>
    <w:next w:val="Normal"/>
    <w:qFormat/>
    <w:pPr>
      <w:keepNext/>
      <w:spacing w:line="360" w:lineRule="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rPr>
  </w:style>
  <w:style w:type="paragraph" w:styleId="BodyText2">
    <w:name w:val="Body Text 2"/>
    <w:basedOn w:val="Normal"/>
    <w:pPr>
      <w:jc w:val="center"/>
    </w:pPr>
    <w:rPr>
      <w:rFonts w:ascii="Arial Black" w:hAnsi="Arial Black"/>
      <w:b/>
      <w:bCs/>
      <w:sz w:val="36"/>
    </w:rPr>
  </w:style>
  <w:style w:type="paragraph" w:styleId="Caption">
    <w:name w:val="caption"/>
    <w:basedOn w:val="Normal"/>
    <w:next w:val="Normal"/>
    <w:qFormat/>
    <w:pPr>
      <w:spacing w:line="360" w:lineRule="auto"/>
    </w:pPr>
    <w:rPr>
      <w:b/>
      <w:bCs/>
    </w:rPr>
  </w:style>
  <w:style w:type="paragraph" w:styleId="BalloonText">
    <w:name w:val="Balloon Text"/>
    <w:basedOn w:val="Normal"/>
    <w:semiHidden/>
    <w:rsid w:val="003D25FA"/>
    <w:rPr>
      <w:rFonts w:ascii="Tahoma" w:hAnsi="Tahoma" w:cs="Tahoma"/>
      <w:sz w:val="16"/>
      <w:szCs w:val="16"/>
    </w:rPr>
  </w:style>
  <w:style w:type="table" w:styleId="TableGrid">
    <w:name w:val="Table Grid"/>
    <w:basedOn w:val="TableNormal"/>
    <w:rsid w:val="005E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25EEC"/>
    <w:pPr>
      <w:spacing w:after="120"/>
      <w:ind w:left="360"/>
    </w:pPr>
    <w:rPr>
      <w:sz w:val="20"/>
      <w:szCs w:val="20"/>
    </w:rPr>
  </w:style>
  <w:style w:type="paragraph" w:styleId="Header">
    <w:name w:val="header"/>
    <w:basedOn w:val="Normal"/>
    <w:rsid w:val="000E1B03"/>
    <w:pPr>
      <w:tabs>
        <w:tab w:val="center" w:pos="4320"/>
        <w:tab w:val="right" w:pos="8640"/>
      </w:tabs>
    </w:pPr>
  </w:style>
  <w:style w:type="paragraph" w:styleId="Footer">
    <w:name w:val="footer"/>
    <w:basedOn w:val="Normal"/>
    <w:rsid w:val="000E1B03"/>
    <w:pPr>
      <w:tabs>
        <w:tab w:val="center" w:pos="4320"/>
        <w:tab w:val="right" w:pos="8640"/>
      </w:tabs>
    </w:pPr>
  </w:style>
  <w:style w:type="character" w:styleId="PageNumber">
    <w:name w:val="page number"/>
    <w:basedOn w:val="DefaultParagraphFont"/>
    <w:rsid w:val="00661349"/>
  </w:style>
  <w:style w:type="paragraph" w:styleId="ListParagraph">
    <w:name w:val="List Paragraph"/>
    <w:basedOn w:val="Normal"/>
    <w:uiPriority w:val="34"/>
    <w:qFormat/>
    <w:rsid w:val="004025D8"/>
    <w:pPr>
      <w:ind w:left="720"/>
      <w:contextualSpacing/>
    </w:pPr>
  </w:style>
  <w:style w:type="character" w:styleId="CommentReference">
    <w:name w:val="annotation reference"/>
    <w:basedOn w:val="DefaultParagraphFont"/>
    <w:rsid w:val="001B4A1C"/>
    <w:rPr>
      <w:sz w:val="16"/>
      <w:szCs w:val="16"/>
    </w:rPr>
  </w:style>
  <w:style w:type="paragraph" w:styleId="CommentText">
    <w:name w:val="annotation text"/>
    <w:basedOn w:val="Normal"/>
    <w:link w:val="CommentTextChar"/>
    <w:rsid w:val="001B4A1C"/>
    <w:rPr>
      <w:sz w:val="20"/>
      <w:szCs w:val="20"/>
    </w:rPr>
  </w:style>
  <w:style w:type="character" w:customStyle="1" w:styleId="CommentTextChar">
    <w:name w:val="Comment Text Char"/>
    <w:basedOn w:val="DefaultParagraphFont"/>
    <w:link w:val="CommentText"/>
    <w:rsid w:val="001B4A1C"/>
  </w:style>
  <w:style w:type="paragraph" w:styleId="CommentSubject">
    <w:name w:val="annotation subject"/>
    <w:basedOn w:val="CommentText"/>
    <w:next w:val="CommentText"/>
    <w:link w:val="CommentSubjectChar"/>
    <w:rsid w:val="001B4A1C"/>
    <w:rPr>
      <w:b/>
      <w:bCs/>
    </w:rPr>
  </w:style>
  <w:style w:type="character" w:customStyle="1" w:styleId="CommentSubjectChar">
    <w:name w:val="Comment Subject Char"/>
    <w:basedOn w:val="CommentTextChar"/>
    <w:link w:val="CommentSubject"/>
    <w:rsid w:val="001B4A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9223">
      <w:bodyDiv w:val="1"/>
      <w:marLeft w:val="0"/>
      <w:marRight w:val="0"/>
      <w:marTop w:val="0"/>
      <w:marBottom w:val="0"/>
      <w:divBdr>
        <w:top w:val="none" w:sz="0" w:space="0" w:color="auto"/>
        <w:left w:val="none" w:sz="0" w:space="0" w:color="auto"/>
        <w:bottom w:val="none" w:sz="0" w:space="0" w:color="auto"/>
        <w:right w:val="none" w:sz="0" w:space="0" w:color="auto"/>
      </w:divBdr>
    </w:div>
    <w:div w:id="311834143">
      <w:bodyDiv w:val="1"/>
      <w:marLeft w:val="0"/>
      <w:marRight w:val="0"/>
      <w:marTop w:val="0"/>
      <w:marBottom w:val="0"/>
      <w:divBdr>
        <w:top w:val="none" w:sz="0" w:space="0" w:color="auto"/>
        <w:left w:val="none" w:sz="0" w:space="0" w:color="auto"/>
        <w:bottom w:val="none" w:sz="0" w:space="0" w:color="auto"/>
        <w:right w:val="none" w:sz="0" w:space="0" w:color="auto"/>
      </w:divBdr>
    </w:div>
    <w:div w:id="337586142">
      <w:bodyDiv w:val="1"/>
      <w:marLeft w:val="0"/>
      <w:marRight w:val="0"/>
      <w:marTop w:val="0"/>
      <w:marBottom w:val="0"/>
      <w:divBdr>
        <w:top w:val="none" w:sz="0" w:space="0" w:color="auto"/>
        <w:left w:val="none" w:sz="0" w:space="0" w:color="auto"/>
        <w:bottom w:val="none" w:sz="0" w:space="0" w:color="auto"/>
        <w:right w:val="none" w:sz="0" w:space="0" w:color="auto"/>
      </w:divBdr>
    </w:div>
    <w:div w:id="517157668">
      <w:bodyDiv w:val="1"/>
      <w:marLeft w:val="0"/>
      <w:marRight w:val="0"/>
      <w:marTop w:val="0"/>
      <w:marBottom w:val="0"/>
      <w:divBdr>
        <w:top w:val="none" w:sz="0" w:space="0" w:color="auto"/>
        <w:left w:val="none" w:sz="0" w:space="0" w:color="auto"/>
        <w:bottom w:val="none" w:sz="0" w:space="0" w:color="auto"/>
        <w:right w:val="none" w:sz="0" w:space="0" w:color="auto"/>
      </w:divBdr>
    </w:div>
    <w:div w:id="1195462332">
      <w:bodyDiv w:val="1"/>
      <w:marLeft w:val="0"/>
      <w:marRight w:val="0"/>
      <w:marTop w:val="0"/>
      <w:marBottom w:val="0"/>
      <w:divBdr>
        <w:top w:val="none" w:sz="0" w:space="0" w:color="auto"/>
        <w:left w:val="none" w:sz="0" w:space="0" w:color="auto"/>
        <w:bottom w:val="none" w:sz="0" w:space="0" w:color="auto"/>
        <w:right w:val="none" w:sz="0" w:space="0" w:color="auto"/>
      </w:divBdr>
    </w:div>
    <w:div w:id="1464083418">
      <w:bodyDiv w:val="1"/>
      <w:marLeft w:val="0"/>
      <w:marRight w:val="0"/>
      <w:marTop w:val="0"/>
      <w:marBottom w:val="0"/>
      <w:divBdr>
        <w:top w:val="none" w:sz="0" w:space="0" w:color="auto"/>
        <w:left w:val="none" w:sz="0" w:space="0" w:color="auto"/>
        <w:bottom w:val="none" w:sz="0" w:space="0" w:color="auto"/>
        <w:right w:val="none" w:sz="0" w:space="0" w:color="auto"/>
      </w:divBdr>
    </w:div>
    <w:div w:id="1745831495">
      <w:bodyDiv w:val="1"/>
      <w:marLeft w:val="0"/>
      <w:marRight w:val="0"/>
      <w:marTop w:val="0"/>
      <w:marBottom w:val="0"/>
      <w:divBdr>
        <w:top w:val="none" w:sz="0" w:space="0" w:color="auto"/>
        <w:left w:val="none" w:sz="0" w:space="0" w:color="auto"/>
        <w:bottom w:val="none" w:sz="0" w:space="0" w:color="auto"/>
        <w:right w:val="none" w:sz="0" w:space="0" w:color="auto"/>
      </w:divBdr>
    </w:div>
    <w:div w:id="2031491696">
      <w:bodyDiv w:val="1"/>
      <w:marLeft w:val="0"/>
      <w:marRight w:val="0"/>
      <w:marTop w:val="0"/>
      <w:marBottom w:val="0"/>
      <w:divBdr>
        <w:top w:val="none" w:sz="0" w:space="0" w:color="auto"/>
        <w:left w:val="none" w:sz="0" w:space="0" w:color="auto"/>
        <w:bottom w:val="none" w:sz="0" w:space="0" w:color="auto"/>
        <w:right w:val="none" w:sz="0" w:space="0" w:color="auto"/>
      </w:divBdr>
      <w:divsChild>
        <w:div w:id="376205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67891">
              <w:marLeft w:val="0"/>
              <w:marRight w:val="0"/>
              <w:marTop w:val="0"/>
              <w:marBottom w:val="0"/>
              <w:divBdr>
                <w:top w:val="none" w:sz="0" w:space="0" w:color="auto"/>
                <w:left w:val="none" w:sz="0" w:space="0" w:color="auto"/>
                <w:bottom w:val="none" w:sz="0" w:space="0" w:color="auto"/>
                <w:right w:val="none" w:sz="0" w:space="0" w:color="auto"/>
              </w:divBdr>
              <w:divsChild>
                <w:div w:id="1784491713">
                  <w:marLeft w:val="0"/>
                  <w:marRight w:val="0"/>
                  <w:marTop w:val="0"/>
                  <w:marBottom w:val="0"/>
                  <w:divBdr>
                    <w:top w:val="none" w:sz="0" w:space="0" w:color="auto"/>
                    <w:left w:val="none" w:sz="0" w:space="0" w:color="auto"/>
                    <w:bottom w:val="none" w:sz="0" w:space="0" w:color="auto"/>
                    <w:right w:val="none" w:sz="0" w:space="0" w:color="auto"/>
                  </w:divBdr>
                  <w:divsChild>
                    <w:div w:id="456222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51300">
                          <w:marLeft w:val="0"/>
                          <w:marRight w:val="0"/>
                          <w:marTop w:val="0"/>
                          <w:marBottom w:val="0"/>
                          <w:divBdr>
                            <w:top w:val="none" w:sz="0" w:space="0" w:color="auto"/>
                            <w:left w:val="none" w:sz="0" w:space="0" w:color="auto"/>
                            <w:bottom w:val="none" w:sz="0" w:space="0" w:color="auto"/>
                            <w:right w:val="none" w:sz="0" w:space="0" w:color="auto"/>
                          </w:divBdr>
                          <w:divsChild>
                            <w:div w:id="51677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399867">
                                  <w:marLeft w:val="0"/>
                                  <w:marRight w:val="0"/>
                                  <w:marTop w:val="0"/>
                                  <w:marBottom w:val="0"/>
                                  <w:divBdr>
                                    <w:top w:val="none" w:sz="0" w:space="0" w:color="auto"/>
                                    <w:left w:val="none" w:sz="0" w:space="0" w:color="auto"/>
                                    <w:bottom w:val="none" w:sz="0" w:space="0" w:color="auto"/>
                                    <w:right w:val="none" w:sz="0" w:space="0" w:color="auto"/>
                                  </w:divBdr>
                                  <w:divsChild>
                                    <w:div w:id="425464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7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21" Type="http://schemas.openxmlformats.org/officeDocument/2006/relationships/chart" Target="charts/chart12.xm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YS-FP-BOS-081\users$\rtansi\My%20Documents\My%20Documents\Excel\RecidGraphs%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sng" strike="noStrike" baseline="0">
                <a:solidFill>
                  <a:srgbClr val="000000"/>
                </a:solidFill>
                <a:latin typeface="Arial"/>
                <a:cs typeface="Arial"/>
              </a:rPr>
              <a:t>Figure 1</a:t>
            </a:r>
            <a:r>
              <a:rPr lang="en-US" sz="1000" b="1" i="0" u="none" strike="noStrike" baseline="0">
                <a:solidFill>
                  <a:srgbClr val="000000"/>
                </a:solidFill>
                <a:latin typeface="Arial"/>
                <a:cs typeface="Arial"/>
              </a:rPr>
              <a:t>   One-Year Recidivism Rates For DYS Discharges (2005 - 2014)</a:t>
            </a:r>
          </a:p>
        </c:rich>
      </c:tx>
      <c:layout>
        <c:manualLayout>
          <c:xMode val="edge"/>
          <c:yMode val="edge"/>
          <c:x val="0.12270546616455552"/>
          <c:y val="3.2171581769436998E-2"/>
        </c:manualLayout>
      </c:layout>
      <c:overlay val="0"/>
      <c:spPr>
        <a:noFill/>
        <a:ln w="25400">
          <a:noFill/>
        </a:ln>
      </c:spPr>
    </c:title>
    <c:autoTitleDeleted val="0"/>
    <c:plotArea>
      <c:layout>
        <c:manualLayout>
          <c:layoutTarget val="inner"/>
          <c:xMode val="edge"/>
          <c:yMode val="edge"/>
          <c:x val="0.17971039927309687"/>
          <c:y val="0.18766780599107483"/>
          <c:w val="0.73478364864080725"/>
          <c:h val="0.54423663737411709"/>
        </c:manualLayout>
      </c:layout>
      <c:barChart>
        <c:barDir val="col"/>
        <c:grouping val="clustered"/>
        <c:varyColors val="0"/>
        <c:ser>
          <c:idx val="0"/>
          <c:order val="0"/>
          <c:tx>
            <c:strRef>
              <c:f>Graphs1!$A$3</c:f>
              <c:strCache>
                <c:ptCount val="1"/>
                <c:pt idx="0">
                  <c:v>Arraigned</c:v>
                </c:pt>
              </c:strCache>
            </c:strRef>
          </c:tx>
          <c:spPr>
            <a:solidFill>
              <a:srgbClr val="000080"/>
            </a:solidFill>
            <a:ln w="12700">
              <a:solidFill>
                <a:srgbClr val="000000"/>
              </a:solidFill>
              <a:prstDash val="solid"/>
            </a:ln>
          </c:spPr>
          <c:invertIfNegative val="0"/>
          <c:cat>
            <c:numRef>
              <c:f>Graphs1!$N$2:$W$2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Graphs1!$N$3:$W$3</c:f>
              <c:numCache>
                <c:formatCode>0%</c:formatCode>
                <c:ptCount val="10"/>
                <c:pt idx="0">
                  <c:v>0.54100000000000004</c:v>
                </c:pt>
                <c:pt idx="1">
                  <c:v>0.54500000000000004</c:v>
                </c:pt>
                <c:pt idx="2">
                  <c:v>0.59299999999999997</c:v>
                </c:pt>
                <c:pt idx="3">
                  <c:v>0.54100000000000004</c:v>
                </c:pt>
                <c:pt idx="4">
                  <c:v>0.56399999999999995</c:v>
                </c:pt>
                <c:pt idx="5">
                  <c:v>0.48</c:v>
                </c:pt>
                <c:pt idx="6">
                  <c:v>0.52500000000000002</c:v>
                </c:pt>
                <c:pt idx="7">
                  <c:v>0.50600000000000001</c:v>
                </c:pt>
                <c:pt idx="8">
                  <c:v>0.56000000000000005</c:v>
                </c:pt>
                <c:pt idx="9">
                  <c:v>0.46</c:v>
                </c:pt>
              </c:numCache>
            </c:numRef>
          </c:val>
        </c:ser>
        <c:ser>
          <c:idx val="1"/>
          <c:order val="1"/>
          <c:tx>
            <c:strRef>
              <c:f>Graphs1!$A$4</c:f>
              <c:strCache>
                <c:ptCount val="1"/>
                <c:pt idx="0">
                  <c:v>Convicted</c:v>
                </c:pt>
              </c:strCache>
            </c:strRef>
          </c:tx>
          <c:spPr>
            <a:solidFill>
              <a:srgbClr val="FF0000"/>
            </a:solidFill>
            <a:ln w="12700">
              <a:solidFill>
                <a:srgbClr val="000000"/>
              </a:solidFill>
              <a:prstDash val="solid"/>
            </a:ln>
          </c:spPr>
          <c:invertIfNegative val="0"/>
          <c:cat>
            <c:numRef>
              <c:f>Graphs1!$N$2:$W$2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Graphs1!$N$4:$W$4</c:f>
              <c:numCache>
                <c:formatCode>0%</c:formatCode>
                <c:ptCount val="10"/>
                <c:pt idx="0">
                  <c:v>0.28999999999999998</c:v>
                </c:pt>
                <c:pt idx="1">
                  <c:v>0.33700000000000002</c:v>
                </c:pt>
                <c:pt idx="2">
                  <c:v>0.39700000000000002</c:v>
                </c:pt>
                <c:pt idx="3">
                  <c:v>0.371</c:v>
                </c:pt>
                <c:pt idx="4">
                  <c:v>0.27800000000000002</c:v>
                </c:pt>
                <c:pt idx="5">
                  <c:v>0.25</c:v>
                </c:pt>
                <c:pt idx="6">
                  <c:v>0.21899999999999997</c:v>
                </c:pt>
                <c:pt idx="7">
                  <c:v>0.22399999999999998</c:v>
                </c:pt>
                <c:pt idx="8">
                  <c:v>0.26</c:v>
                </c:pt>
                <c:pt idx="9">
                  <c:v>0.26</c:v>
                </c:pt>
              </c:numCache>
            </c:numRef>
          </c:val>
        </c:ser>
        <c:ser>
          <c:idx val="2"/>
          <c:order val="2"/>
          <c:tx>
            <c:strRef>
              <c:f>Graphs1!$A$5</c:f>
              <c:strCache>
                <c:ptCount val="1"/>
                <c:pt idx="0">
                  <c:v>Incarcerated</c:v>
                </c:pt>
              </c:strCache>
            </c:strRef>
          </c:tx>
          <c:spPr>
            <a:solidFill>
              <a:srgbClr val="FFFF00"/>
            </a:solidFill>
            <a:ln w="12700">
              <a:solidFill>
                <a:srgbClr val="000000"/>
              </a:solidFill>
              <a:prstDash val="solid"/>
            </a:ln>
          </c:spPr>
          <c:invertIfNegative val="0"/>
          <c:cat>
            <c:numRef>
              <c:f>Graphs1!$N$2:$W$2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Graphs1!$N$5:$W$5</c:f>
              <c:numCache>
                <c:formatCode>0%</c:formatCode>
                <c:ptCount val="10"/>
                <c:pt idx="0">
                  <c:v>0.19399999999999998</c:v>
                </c:pt>
                <c:pt idx="1">
                  <c:v>0.18100000000000002</c:v>
                </c:pt>
                <c:pt idx="2">
                  <c:v>0.184</c:v>
                </c:pt>
                <c:pt idx="3">
                  <c:v>0.155</c:v>
                </c:pt>
                <c:pt idx="4">
                  <c:v>0.16500000000000001</c:v>
                </c:pt>
                <c:pt idx="5">
                  <c:v>0.20699999999999999</c:v>
                </c:pt>
                <c:pt idx="6">
                  <c:v>0.185</c:v>
                </c:pt>
                <c:pt idx="7">
                  <c:v>0.192</c:v>
                </c:pt>
                <c:pt idx="8">
                  <c:v>0.2</c:v>
                </c:pt>
                <c:pt idx="9">
                  <c:v>0.21</c:v>
                </c:pt>
              </c:numCache>
            </c:numRef>
          </c:val>
        </c:ser>
        <c:dLbls>
          <c:showLegendKey val="0"/>
          <c:showVal val="0"/>
          <c:showCatName val="0"/>
          <c:showSerName val="0"/>
          <c:showPercent val="0"/>
          <c:showBubbleSize val="0"/>
        </c:dLbls>
        <c:gapWidth val="150"/>
        <c:axId val="44574720"/>
        <c:axId val="84626816"/>
      </c:barChart>
      <c:catAx>
        <c:axId val="44574720"/>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84626816"/>
        <c:crosses val="autoZero"/>
        <c:auto val="1"/>
        <c:lblAlgn val="ctr"/>
        <c:lblOffset val="100"/>
        <c:tickMarkSkip val="1"/>
        <c:noMultiLvlLbl val="0"/>
      </c:catAx>
      <c:valAx>
        <c:axId val="84626816"/>
        <c:scaling>
          <c:orientation val="minMax"/>
          <c:max val="0.8"/>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44574720"/>
        <c:crosses val="autoZero"/>
        <c:crossBetween val="between"/>
        <c:majorUnit val="0.2"/>
      </c:valAx>
      <c:dTable>
        <c:showHorzBorder val="1"/>
        <c:showVertBorder val="1"/>
        <c:showOutline val="1"/>
        <c:showKeys val="1"/>
        <c:spPr>
          <a:ln w="3175">
            <a:solidFill>
              <a:srgbClr val="000000"/>
            </a:solidFill>
            <a:prstDash val="solid"/>
          </a:ln>
        </c:spPr>
        <c:txPr>
          <a:bodyPr/>
          <a:lstStyle/>
          <a:p>
            <a:pPr rtl="0">
              <a:defRPr sz="900" b="1" i="0" u="none" strike="noStrike" baseline="0">
                <a:solidFill>
                  <a:srgbClr val="000000"/>
                </a:solidFill>
                <a:latin typeface="Arial"/>
                <a:ea typeface="Arial"/>
                <a:cs typeface="Arial"/>
              </a:defRPr>
            </a:pPr>
            <a:endParaRPr lang="en-US"/>
          </a:p>
        </c:txPr>
      </c:dTable>
      <c:spPr>
        <a:gradFill rotWithShape="0">
          <a:gsLst>
            <a:gs pos="0">
              <a:srgbClr val="EFEFEF">
                <a:gamma/>
                <a:tint val="15686"/>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sng" strike="noStrike" baseline="0">
                <a:solidFill>
                  <a:srgbClr val="000000"/>
                </a:solidFill>
                <a:latin typeface="Arial"/>
                <a:ea typeface="Arial"/>
                <a:cs typeface="Arial"/>
              </a:defRPr>
            </a:pPr>
            <a:r>
              <a:rPr lang="en-US" sz="1000" b="1" i="0" u="sng" strike="noStrike" baseline="0">
                <a:solidFill>
                  <a:srgbClr val="000000"/>
                </a:solidFill>
                <a:latin typeface="Arial"/>
                <a:cs typeface="Arial"/>
              </a:rPr>
              <a:t>Figure 10</a:t>
            </a:r>
            <a:r>
              <a:rPr lang="en-US" sz="1000" b="1" i="0" u="none" strike="noStrike" baseline="0">
                <a:solidFill>
                  <a:srgbClr val="000000"/>
                </a:solidFill>
                <a:latin typeface="Arial"/>
                <a:cs typeface="Arial"/>
              </a:rPr>
              <a:t>  </a:t>
            </a:r>
            <a:r>
              <a:rPr lang="en-US" sz="1000" b="1" i="0" u="none" strike="noStrike" baseline="0">
                <a:solidFill>
                  <a:srgbClr val="FF0000"/>
                </a:solidFill>
                <a:latin typeface="Arial"/>
                <a:cs typeface="Arial"/>
              </a:rPr>
              <a:t>Central Region</a:t>
            </a:r>
            <a:r>
              <a:rPr lang="en-US" sz="1000" b="1" i="0" u="none" strike="noStrike" baseline="0">
                <a:solidFill>
                  <a:srgbClr val="000000"/>
                </a:solidFill>
                <a:latin typeface="Arial"/>
                <a:cs typeface="Arial"/>
              </a:rPr>
              <a:t>  One-Year Recidivism Rates (</a:t>
            </a:r>
            <a:r>
              <a:rPr lang="en-US" sz="1000" b="1" i="0" u="none" strike="noStrike" baseline="0">
                <a:effectLst/>
              </a:rPr>
              <a:t>2005 - 2014</a:t>
            </a:r>
            <a:r>
              <a:rPr lang="en-US" sz="1000" b="1" i="0" u="none" strike="noStrike" baseline="0">
                <a:solidFill>
                  <a:srgbClr val="000000"/>
                </a:solidFill>
                <a:latin typeface="Arial"/>
                <a:cs typeface="Arial"/>
              </a:rPr>
              <a:t>)</a:t>
            </a:r>
          </a:p>
        </c:rich>
      </c:tx>
      <c:layout>
        <c:manualLayout>
          <c:xMode val="edge"/>
          <c:yMode val="edge"/>
          <c:x val="0.19353249500528857"/>
          <c:y val="3.4782608695652174E-2"/>
        </c:manualLayout>
      </c:layout>
      <c:overlay val="0"/>
      <c:spPr>
        <a:noFill/>
        <a:ln w="25400">
          <a:noFill/>
        </a:ln>
      </c:spPr>
    </c:title>
    <c:autoTitleDeleted val="0"/>
    <c:plotArea>
      <c:layout>
        <c:manualLayout>
          <c:layoutTarget val="inner"/>
          <c:xMode val="edge"/>
          <c:yMode val="edge"/>
          <c:x val="0.21791060656964686"/>
          <c:y val="0.19710200719544615"/>
          <c:w val="0.76119458459260192"/>
          <c:h val="0.50145069477664928"/>
        </c:manualLayout>
      </c:layout>
      <c:barChart>
        <c:barDir val="col"/>
        <c:grouping val="clustered"/>
        <c:varyColors val="0"/>
        <c:ser>
          <c:idx val="0"/>
          <c:order val="0"/>
          <c:tx>
            <c:strRef>
              <c:f>Graphs1!$B$260</c:f>
              <c:strCache>
                <c:ptCount val="1"/>
                <c:pt idx="0">
                  <c:v>Arraigned</c:v>
                </c:pt>
              </c:strCache>
            </c:strRef>
          </c:tx>
          <c:spPr>
            <a:solidFill>
              <a:srgbClr val="0000FF"/>
            </a:solidFill>
            <a:ln w="12700">
              <a:solidFill>
                <a:srgbClr val="000000"/>
              </a:solidFill>
              <a:prstDash val="solid"/>
            </a:ln>
          </c:spPr>
          <c:invertIfNegative val="0"/>
          <c:cat>
            <c:numRef>
              <c:f>Graphs1!$A$267:$A$276</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Graphs1!$B$267:$B$276</c:f>
              <c:numCache>
                <c:formatCode>0%</c:formatCode>
                <c:ptCount val="10"/>
                <c:pt idx="0">
                  <c:v>0.51200000000000001</c:v>
                </c:pt>
                <c:pt idx="1">
                  <c:v>0.53600000000000003</c:v>
                </c:pt>
                <c:pt idx="2">
                  <c:v>0.48499999999999999</c:v>
                </c:pt>
                <c:pt idx="3">
                  <c:v>0.47399999999999998</c:v>
                </c:pt>
                <c:pt idx="4">
                  <c:v>0.42</c:v>
                </c:pt>
                <c:pt idx="5">
                  <c:v>0.48599999999999999</c:v>
                </c:pt>
                <c:pt idx="6">
                  <c:v>0.38200000000000001</c:v>
                </c:pt>
                <c:pt idx="7">
                  <c:v>0.49299999999999999</c:v>
                </c:pt>
                <c:pt idx="8">
                  <c:v>0.53</c:v>
                </c:pt>
                <c:pt idx="9">
                  <c:v>0.38</c:v>
                </c:pt>
              </c:numCache>
            </c:numRef>
          </c:val>
        </c:ser>
        <c:ser>
          <c:idx val="1"/>
          <c:order val="1"/>
          <c:tx>
            <c:strRef>
              <c:f>Graphs1!$C$260</c:f>
              <c:strCache>
                <c:ptCount val="1"/>
                <c:pt idx="0">
                  <c:v>Convicted</c:v>
                </c:pt>
              </c:strCache>
            </c:strRef>
          </c:tx>
          <c:spPr>
            <a:solidFill>
              <a:srgbClr val="FF0000"/>
            </a:solidFill>
            <a:ln w="12700">
              <a:solidFill>
                <a:srgbClr val="000000"/>
              </a:solidFill>
              <a:prstDash val="solid"/>
            </a:ln>
          </c:spPr>
          <c:invertIfNegative val="0"/>
          <c:cat>
            <c:numRef>
              <c:f>Graphs1!$A$267:$A$276</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Graphs1!$C$267:$C$276</c:f>
              <c:numCache>
                <c:formatCode>0%</c:formatCode>
                <c:ptCount val="10"/>
                <c:pt idx="0">
                  <c:v>0.24</c:v>
                </c:pt>
                <c:pt idx="1">
                  <c:v>0.34299999999999997</c:v>
                </c:pt>
                <c:pt idx="2">
                  <c:v>0.33299999999999996</c:v>
                </c:pt>
                <c:pt idx="3">
                  <c:v>0.29499999999999998</c:v>
                </c:pt>
                <c:pt idx="4">
                  <c:v>0.17399999999999999</c:v>
                </c:pt>
                <c:pt idx="5">
                  <c:v>0.26400000000000001</c:v>
                </c:pt>
                <c:pt idx="6">
                  <c:v>0.26300000000000001</c:v>
                </c:pt>
                <c:pt idx="7">
                  <c:v>0.26</c:v>
                </c:pt>
                <c:pt idx="8">
                  <c:v>0.19</c:v>
                </c:pt>
                <c:pt idx="9">
                  <c:v>0.28999999999999998</c:v>
                </c:pt>
              </c:numCache>
            </c:numRef>
          </c:val>
        </c:ser>
        <c:ser>
          <c:idx val="2"/>
          <c:order val="2"/>
          <c:tx>
            <c:strRef>
              <c:f>Graphs1!$D$260</c:f>
              <c:strCache>
                <c:ptCount val="1"/>
                <c:pt idx="0">
                  <c:v>Incarcerated</c:v>
                </c:pt>
              </c:strCache>
            </c:strRef>
          </c:tx>
          <c:spPr>
            <a:solidFill>
              <a:srgbClr val="000000"/>
            </a:solidFill>
            <a:ln w="12700">
              <a:solidFill>
                <a:srgbClr val="000000"/>
              </a:solidFill>
              <a:prstDash val="solid"/>
            </a:ln>
          </c:spPr>
          <c:invertIfNegative val="0"/>
          <c:cat>
            <c:numRef>
              <c:f>Graphs1!$A$267:$A$276</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Graphs1!$D$267:$D$276</c:f>
              <c:numCache>
                <c:formatCode>0%</c:formatCode>
                <c:ptCount val="10"/>
                <c:pt idx="0">
                  <c:v>0.155</c:v>
                </c:pt>
                <c:pt idx="1">
                  <c:v>0.20699999999999999</c:v>
                </c:pt>
                <c:pt idx="2">
                  <c:v>9.0999999999999998E-2</c:v>
                </c:pt>
                <c:pt idx="3">
                  <c:v>6.4000000000000001E-2</c:v>
                </c:pt>
                <c:pt idx="4">
                  <c:v>7.2000000000000008E-2</c:v>
                </c:pt>
                <c:pt idx="5">
                  <c:v>0.19399999999999998</c:v>
                </c:pt>
                <c:pt idx="6">
                  <c:v>0.21100000000000002</c:v>
                </c:pt>
                <c:pt idx="7">
                  <c:v>0.16399999999999998</c:v>
                </c:pt>
                <c:pt idx="8">
                  <c:v>0.15</c:v>
                </c:pt>
                <c:pt idx="9">
                  <c:v>0.21</c:v>
                </c:pt>
              </c:numCache>
            </c:numRef>
          </c:val>
        </c:ser>
        <c:dLbls>
          <c:showLegendKey val="0"/>
          <c:showVal val="0"/>
          <c:showCatName val="0"/>
          <c:showSerName val="0"/>
          <c:showPercent val="0"/>
          <c:showBubbleSize val="0"/>
        </c:dLbls>
        <c:gapWidth val="150"/>
        <c:axId val="140882432"/>
        <c:axId val="141969664"/>
      </c:barChart>
      <c:catAx>
        <c:axId val="140882432"/>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41969664"/>
        <c:crosses val="autoZero"/>
        <c:auto val="1"/>
        <c:lblAlgn val="ctr"/>
        <c:lblOffset val="100"/>
        <c:tickMarkSkip val="1"/>
        <c:noMultiLvlLbl val="0"/>
      </c:catAx>
      <c:valAx>
        <c:axId val="141969664"/>
        <c:scaling>
          <c:orientation val="minMax"/>
          <c:max val="0.6000000000000002"/>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40882432"/>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BEBEB">
                <a:gamma/>
                <a:tint val="19216"/>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sng" strike="noStrike" kern="1200" baseline="0">
                <a:solidFill>
                  <a:srgbClr val="000000"/>
                </a:solidFill>
                <a:latin typeface="Arial"/>
                <a:ea typeface="Arial"/>
                <a:cs typeface="Arial"/>
              </a:defRPr>
            </a:pPr>
            <a:r>
              <a:rPr lang="en-US" sz="1000" b="1" i="0" u="sng" strike="noStrike" baseline="0">
                <a:solidFill>
                  <a:srgbClr val="000000"/>
                </a:solidFill>
                <a:latin typeface="Arial"/>
                <a:cs typeface="Arial"/>
              </a:rPr>
              <a:t>Figure 11</a:t>
            </a:r>
            <a:r>
              <a:rPr lang="en-US" sz="1000" b="1" i="0" u="none" strike="noStrike" baseline="0">
                <a:solidFill>
                  <a:srgbClr val="000000"/>
                </a:solidFill>
                <a:latin typeface="Arial"/>
                <a:cs typeface="Arial"/>
              </a:rPr>
              <a:t>  </a:t>
            </a:r>
            <a:r>
              <a:rPr lang="en-US" sz="1000" b="1" i="0" u="none" strike="noStrike" baseline="0">
                <a:solidFill>
                  <a:srgbClr val="FF0000"/>
                </a:solidFill>
                <a:latin typeface="Arial"/>
                <a:cs typeface="Arial"/>
              </a:rPr>
              <a:t>Metro Region</a:t>
            </a:r>
            <a:r>
              <a:rPr lang="en-US" sz="1000" b="1" i="0" u="none" strike="noStrike" baseline="0">
                <a:solidFill>
                  <a:srgbClr val="000000"/>
                </a:solidFill>
                <a:latin typeface="Arial"/>
                <a:cs typeface="Arial"/>
              </a:rPr>
              <a:t>  One-Year Recidivism Rates </a:t>
            </a:r>
            <a:r>
              <a:rPr lang="en-US" sz="1000" b="1" i="0" u="none" baseline="0">
                <a:effectLst/>
              </a:rPr>
              <a:t>(2005 - 2014)</a:t>
            </a:r>
            <a:endParaRPr lang="en-US" sz="1000">
              <a:effectLst/>
            </a:endParaRPr>
          </a:p>
        </c:rich>
      </c:tx>
      <c:layout>
        <c:manualLayout>
          <c:xMode val="edge"/>
          <c:yMode val="edge"/>
          <c:x val="0.20049766913464176"/>
          <c:y val="3.0303030303030307E-2"/>
        </c:manualLayout>
      </c:layout>
      <c:overlay val="0"/>
      <c:spPr>
        <a:noFill/>
        <a:ln w="25400">
          <a:noFill/>
        </a:ln>
      </c:spPr>
    </c:title>
    <c:autoTitleDeleted val="0"/>
    <c:plotArea>
      <c:layout>
        <c:manualLayout>
          <c:layoutTarget val="inner"/>
          <c:xMode val="edge"/>
          <c:yMode val="edge"/>
          <c:x val="0.21791060656964686"/>
          <c:y val="0.19602299918850868"/>
          <c:w val="0.76119458459260192"/>
          <c:h val="0.50852343267743572"/>
        </c:manualLayout>
      </c:layout>
      <c:barChart>
        <c:barDir val="col"/>
        <c:grouping val="clustered"/>
        <c:varyColors val="0"/>
        <c:ser>
          <c:idx val="0"/>
          <c:order val="0"/>
          <c:tx>
            <c:strRef>
              <c:f>Graphs1!$G$260</c:f>
              <c:strCache>
                <c:ptCount val="1"/>
                <c:pt idx="0">
                  <c:v>Arraigned</c:v>
                </c:pt>
              </c:strCache>
            </c:strRef>
          </c:tx>
          <c:spPr>
            <a:solidFill>
              <a:srgbClr val="0000FF"/>
            </a:solidFill>
            <a:ln w="12700">
              <a:solidFill>
                <a:srgbClr val="000000"/>
              </a:solidFill>
              <a:prstDash val="solid"/>
            </a:ln>
          </c:spPr>
          <c:invertIfNegative val="0"/>
          <c:cat>
            <c:numRef>
              <c:f>Graphs1!$F$267:$F$276</c:f>
              <c:numCache>
                <c:formatCode>0</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Graphs1!$G$267:$G$276</c:f>
              <c:numCache>
                <c:formatCode>0%</c:formatCode>
                <c:ptCount val="10"/>
                <c:pt idx="0">
                  <c:v>0.61299999999999999</c:v>
                </c:pt>
                <c:pt idx="1">
                  <c:v>0.57100000000000006</c:v>
                </c:pt>
                <c:pt idx="2">
                  <c:v>0.68299999999999994</c:v>
                </c:pt>
                <c:pt idx="3">
                  <c:v>0.6</c:v>
                </c:pt>
                <c:pt idx="4">
                  <c:v>0.57899999999999996</c:v>
                </c:pt>
                <c:pt idx="5">
                  <c:v>0.55600000000000005</c:v>
                </c:pt>
                <c:pt idx="6">
                  <c:v>0.72299999999999998</c:v>
                </c:pt>
                <c:pt idx="7">
                  <c:v>0.61799999999999999</c:v>
                </c:pt>
                <c:pt idx="8">
                  <c:v>0.56999999999999995</c:v>
                </c:pt>
                <c:pt idx="9">
                  <c:v>0.47</c:v>
                </c:pt>
              </c:numCache>
            </c:numRef>
          </c:val>
        </c:ser>
        <c:ser>
          <c:idx val="1"/>
          <c:order val="1"/>
          <c:tx>
            <c:strRef>
              <c:f>Graphs1!$H$260</c:f>
              <c:strCache>
                <c:ptCount val="1"/>
                <c:pt idx="0">
                  <c:v>Convicted</c:v>
                </c:pt>
              </c:strCache>
            </c:strRef>
          </c:tx>
          <c:spPr>
            <a:solidFill>
              <a:srgbClr val="FF0000"/>
            </a:solidFill>
            <a:ln w="12700">
              <a:solidFill>
                <a:srgbClr val="000000"/>
              </a:solidFill>
              <a:prstDash val="solid"/>
            </a:ln>
          </c:spPr>
          <c:invertIfNegative val="0"/>
          <c:cat>
            <c:numRef>
              <c:f>Graphs1!$F$267:$F$276</c:f>
              <c:numCache>
                <c:formatCode>0</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Graphs1!$H$267:$H$276</c:f>
              <c:numCache>
                <c:formatCode>0%</c:formatCode>
                <c:ptCount val="10"/>
                <c:pt idx="0">
                  <c:v>0.377</c:v>
                </c:pt>
                <c:pt idx="1">
                  <c:v>0.30499999999999999</c:v>
                </c:pt>
                <c:pt idx="2">
                  <c:v>0.47600000000000003</c:v>
                </c:pt>
                <c:pt idx="3">
                  <c:v>0.44400000000000001</c:v>
                </c:pt>
                <c:pt idx="4">
                  <c:v>0.24600000000000002</c:v>
                </c:pt>
                <c:pt idx="5">
                  <c:v>0.33299999999999996</c:v>
                </c:pt>
                <c:pt idx="6">
                  <c:v>0.255</c:v>
                </c:pt>
                <c:pt idx="7">
                  <c:v>0.309</c:v>
                </c:pt>
                <c:pt idx="8">
                  <c:v>0.23</c:v>
                </c:pt>
                <c:pt idx="9">
                  <c:v>0.28999999999999998</c:v>
                </c:pt>
              </c:numCache>
            </c:numRef>
          </c:val>
        </c:ser>
        <c:ser>
          <c:idx val="2"/>
          <c:order val="2"/>
          <c:tx>
            <c:strRef>
              <c:f>Graphs1!$I$260</c:f>
              <c:strCache>
                <c:ptCount val="1"/>
                <c:pt idx="0">
                  <c:v>Incarcerated</c:v>
                </c:pt>
              </c:strCache>
            </c:strRef>
          </c:tx>
          <c:spPr>
            <a:solidFill>
              <a:srgbClr val="000000"/>
            </a:solidFill>
            <a:ln w="12700">
              <a:solidFill>
                <a:srgbClr val="000000"/>
              </a:solidFill>
              <a:prstDash val="solid"/>
            </a:ln>
          </c:spPr>
          <c:invertIfNegative val="0"/>
          <c:cat>
            <c:numRef>
              <c:f>Graphs1!$F$267:$F$276</c:f>
              <c:numCache>
                <c:formatCode>0</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Graphs1!$I$267:$I$276</c:f>
              <c:numCache>
                <c:formatCode>0%</c:formatCode>
                <c:ptCount val="10"/>
                <c:pt idx="0">
                  <c:v>0.255</c:v>
                </c:pt>
                <c:pt idx="1">
                  <c:v>0.14300000000000002</c:v>
                </c:pt>
                <c:pt idx="2">
                  <c:v>0.28600000000000003</c:v>
                </c:pt>
                <c:pt idx="3">
                  <c:v>0.26700000000000002</c:v>
                </c:pt>
                <c:pt idx="4">
                  <c:v>0.21100000000000002</c:v>
                </c:pt>
                <c:pt idx="5">
                  <c:v>0.30599999999999999</c:v>
                </c:pt>
                <c:pt idx="6">
                  <c:v>0.23399999999999999</c:v>
                </c:pt>
                <c:pt idx="7">
                  <c:v>0.27300000000000002</c:v>
                </c:pt>
                <c:pt idx="8">
                  <c:v>0.14000000000000001</c:v>
                </c:pt>
                <c:pt idx="9">
                  <c:v>0.28000000000000003</c:v>
                </c:pt>
              </c:numCache>
            </c:numRef>
          </c:val>
        </c:ser>
        <c:dLbls>
          <c:showLegendKey val="0"/>
          <c:showVal val="0"/>
          <c:showCatName val="0"/>
          <c:showSerName val="0"/>
          <c:showPercent val="0"/>
          <c:showBubbleSize val="0"/>
        </c:dLbls>
        <c:gapWidth val="150"/>
        <c:axId val="138518528"/>
        <c:axId val="141971392"/>
      </c:barChart>
      <c:catAx>
        <c:axId val="138518528"/>
        <c:scaling>
          <c:orientation val="minMax"/>
        </c:scaling>
        <c:delete val="0"/>
        <c:axPos val="b"/>
        <c:numFmt formatCode="0"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41971392"/>
        <c:crosses val="autoZero"/>
        <c:auto val="1"/>
        <c:lblAlgn val="ctr"/>
        <c:lblOffset val="100"/>
        <c:tickMarkSkip val="1"/>
        <c:noMultiLvlLbl val="0"/>
      </c:catAx>
      <c:valAx>
        <c:axId val="141971392"/>
        <c:scaling>
          <c:orientation val="minMax"/>
          <c:max val="0.8"/>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38518528"/>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DEDEDE">
                <a:gamma/>
                <a:tint val="31765"/>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Arial"/>
                <a:ea typeface="Arial"/>
                <a:cs typeface="Arial"/>
              </a:defRPr>
            </a:pPr>
            <a:r>
              <a:rPr lang="en-US" sz="950" b="1" i="0" u="sng" strike="noStrike" baseline="0">
                <a:solidFill>
                  <a:srgbClr val="000000"/>
                </a:solidFill>
                <a:latin typeface="Arial"/>
                <a:cs typeface="Arial"/>
              </a:rPr>
              <a:t>Figure 12</a:t>
            </a:r>
            <a:r>
              <a:rPr lang="en-US" sz="950" b="1" i="0" u="none" strike="noStrike" baseline="0">
                <a:solidFill>
                  <a:srgbClr val="000000"/>
                </a:solidFill>
                <a:latin typeface="Arial"/>
                <a:cs typeface="Arial"/>
              </a:rPr>
              <a:t>  </a:t>
            </a:r>
            <a:r>
              <a:rPr lang="en-US" sz="950" b="1" i="0" u="none" strike="noStrike" baseline="0">
                <a:solidFill>
                  <a:srgbClr val="FF0000"/>
                </a:solidFill>
                <a:latin typeface="Arial"/>
                <a:cs typeface="Arial"/>
              </a:rPr>
              <a:t>Northeast Region</a:t>
            </a:r>
            <a:r>
              <a:rPr lang="en-US" sz="950" b="1" i="0" u="none" strike="noStrike" baseline="0">
                <a:solidFill>
                  <a:srgbClr val="000000"/>
                </a:solidFill>
                <a:latin typeface="Arial"/>
                <a:cs typeface="Arial"/>
              </a:rPr>
              <a:t>  One-Year Recidivism Rates (2007 - 2014)</a:t>
            </a:r>
          </a:p>
        </c:rich>
      </c:tx>
      <c:layout>
        <c:manualLayout>
          <c:xMode val="edge"/>
          <c:yMode val="edge"/>
          <c:x val="0.20069547938400398"/>
          <c:y val="3.39943342776204E-2"/>
        </c:manualLayout>
      </c:layout>
      <c:overlay val="0"/>
      <c:spPr>
        <a:noFill/>
        <a:ln w="25400">
          <a:noFill/>
        </a:ln>
      </c:spPr>
    </c:title>
    <c:autoTitleDeleted val="0"/>
    <c:plotArea>
      <c:layout>
        <c:manualLayout>
          <c:layoutTarget val="inner"/>
          <c:xMode val="edge"/>
          <c:yMode val="edge"/>
          <c:x val="0.21758569299552913"/>
          <c:y val="0.19546742209631737"/>
          <c:w val="0.76154992548435174"/>
          <c:h val="0.50991501416430618"/>
        </c:manualLayout>
      </c:layout>
      <c:barChart>
        <c:barDir val="col"/>
        <c:grouping val="clustered"/>
        <c:varyColors val="0"/>
        <c:ser>
          <c:idx val="0"/>
          <c:order val="0"/>
          <c:tx>
            <c:strRef>
              <c:f>Graphs1!$L$260</c:f>
              <c:strCache>
                <c:ptCount val="1"/>
                <c:pt idx="0">
                  <c:v>Arraigned</c:v>
                </c:pt>
              </c:strCache>
            </c:strRef>
          </c:tx>
          <c:spPr>
            <a:solidFill>
              <a:srgbClr val="0000FF"/>
            </a:solidFill>
            <a:ln w="12700">
              <a:solidFill>
                <a:srgbClr val="000000"/>
              </a:solidFill>
              <a:prstDash val="solid"/>
            </a:ln>
          </c:spPr>
          <c:invertIfNegative val="0"/>
          <c:cat>
            <c:numRef>
              <c:f>Graphs1!$K$267:$K$276</c:f>
              <c:numCache>
                <c:formatCode>0</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Graphs1!$L$267:$L$276</c:f>
              <c:numCache>
                <c:formatCode>General</c:formatCode>
                <c:ptCount val="10"/>
                <c:pt idx="2" formatCode="0%">
                  <c:v>0.621</c:v>
                </c:pt>
                <c:pt idx="3" formatCode="0%">
                  <c:v>0.48799999999999999</c:v>
                </c:pt>
                <c:pt idx="4" formatCode="0%">
                  <c:v>0.622</c:v>
                </c:pt>
                <c:pt idx="5" formatCode="0%">
                  <c:v>0.50700000000000001</c:v>
                </c:pt>
                <c:pt idx="6" formatCode="0%">
                  <c:v>0.57999999999999996</c:v>
                </c:pt>
                <c:pt idx="7" formatCode="0%">
                  <c:v>0.54100000000000004</c:v>
                </c:pt>
                <c:pt idx="8" formatCode="0%">
                  <c:v>0.62</c:v>
                </c:pt>
                <c:pt idx="9" formatCode="0%">
                  <c:v>0.57999999999999996</c:v>
                </c:pt>
              </c:numCache>
            </c:numRef>
          </c:val>
        </c:ser>
        <c:ser>
          <c:idx val="1"/>
          <c:order val="1"/>
          <c:tx>
            <c:strRef>
              <c:f>Graphs1!$M$260</c:f>
              <c:strCache>
                <c:ptCount val="1"/>
                <c:pt idx="0">
                  <c:v>Convicted</c:v>
                </c:pt>
              </c:strCache>
            </c:strRef>
          </c:tx>
          <c:spPr>
            <a:solidFill>
              <a:srgbClr val="FF0000"/>
            </a:solidFill>
            <a:ln w="12700">
              <a:solidFill>
                <a:srgbClr val="000000"/>
              </a:solidFill>
              <a:prstDash val="solid"/>
            </a:ln>
          </c:spPr>
          <c:invertIfNegative val="0"/>
          <c:cat>
            <c:numRef>
              <c:f>Graphs1!$K$267:$K$276</c:f>
              <c:numCache>
                <c:formatCode>0</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Graphs1!$M$267:$M$276</c:f>
              <c:numCache>
                <c:formatCode>General</c:formatCode>
                <c:ptCount val="10"/>
                <c:pt idx="2" formatCode="0%">
                  <c:v>0.42100000000000004</c:v>
                </c:pt>
                <c:pt idx="3" formatCode="0%">
                  <c:v>0.314</c:v>
                </c:pt>
                <c:pt idx="4" formatCode="0%">
                  <c:v>0.37799999999999995</c:v>
                </c:pt>
                <c:pt idx="5" formatCode="0%">
                  <c:v>0.22500000000000001</c:v>
                </c:pt>
                <c:pt idx="6" formatCode="0%">
                  <c:v>0.222</c:v>
                </c:pt>
                <c:pt idx="7" formatCode="0%">
                  <c:v>0.17600000000000002</c:v>
                </c:pt>
                <c:pt idx="8" formatCode="0%">
                  <c:v>0.28999999999999998</c:v>
                </c:pt>
                <c:pt idx="9" formatCode="0%">
                  <c:v>0.33</c:v>
                </c:pt>
              </c:numCache>
            </c:numRef>
          </c:val>
        </c:ser>
        <c:ser>
          <c:idx val="2"/>
          <c:order val="2"/>
          <c:tx>
            <c:strRef>
              <c:f>Graphs1!$N$260</c:f>
              <c:strCache>
                <c:ptCount val="1"/>
                <c:pt idx="0">
                  <c:v>Incarcerated</c:v>
                </c:pt>
              </c:strCache>
            </c:strRef>
          </c:tx>
          <c:spPr>
            <a:solidFill>
              <a:srgbClr val="000000"/>
            </a:solidFill>
            <a:ln w="12700">
              <a:solidFill>
                <a:srgbClr val="000000"/>
              </a:solidFill>
              <a:prstDash val="solid"/>
            </a:ln>
          </c:spPr>
          <c:invertIfNegative val="0"/>
          <c:cat>
            <c:numRef>
              <c:f>Graphs1!$K$267:$K$276</c:f>
              <c:numCache>
                <c:formatCode>0</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Graphs1!$N$267:$N$276</c:f>
              <c:numCache>
                <c:formatCode>General</c:formatCode>
                <c:ptCount val="10"/>
                <c:pt idx="2" formatCode="0%">
                  <c:v>0.14699999999999999</c:v>
                </c:pt>
                <c:pt idx="3" formatCode="0%">
                  <c:v>0.14000000000000001</c:v>
                </c:pt>
                <c:pt idx="4" formatCode="0%">
                  <c:v>0.18899999999999997</c:v>
                </c:pt>
                <c:pt idx="5" formatCode="0%">
                  <c:v>0.19699999999999998</c:v>
                </c:pt>
                <c:pt idx="6" formatCode="0%">
                  <c:v>0.185</c:v>
                </c:pt>
                <c:pt idx="7" formatCode="0%">
                  <c:v>0.16200000000000001</c:v>
                </c:pt>
                <c:pt idx="8" formatCode="0%">
                  <c:v>0.22</c:v>
                </c:pt>
                <c:pt idx="9" formatCode="0%">
                  <c:v>0.23</c:v>
                </c:pt>
              </c:numCache>
            </c:numRef>
          </c:val>
        </c:ser>
        <c:dLbls>
          <c:showLegendKey val="0"/>
          <c:showVal val="0"/>
          <c:showCatName val="0"/>
          <c:showSerName val="0"/>
          <c:showPercent val="0"/>
          <c:showBubbleSize val="0"/>
        </c:dLbls>
        <c:gapWidth val="150"/>
        <c:axId val="138519040"/>
        <c:axId val="141973120"/>
      </c:barChart>
      <c:catAx>
        <c:axId val="138519040"/>
        <c:scaling>
          <c:orientation val="minMax"/>
        </c:scaling>
        <c:delete val="0"/>
        <c:axPos val="b"/>
        <c:numFmt formatCode="0"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41973120"/>
        <c:crosses val="autoZero"/>
        <c:auto val="1"/>
        <c:lblAlgn val="ctr"/>
        <c:lblOffset val="100"/>
        <c:tickMarkSkip val="1"/>
        <c:noMultiLvlLbl val="0"/>
      </c:catAx>
      <c:valAx>
        <c:axId val="141973120"/>
        <c:scaling>
          <c:orientation val="minMax"/>
          <c:max val="0.70000000000000018"/>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38519040"/>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DEDEDE">
                <a:gamma/>
                <a:tint val="31765"/>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sng" strike="noStrike" baseline="0">
                <a:solidFill>
                  <a:srgbClr val="000000"/>
                </a:solidFill>
                <a:latin typeface="Arial"/>
                <a:cs typeface="Arial"/>
              </a:rPr>
              <a:t>Figure 13</a:t>
            </a:r>
            <a:r>
              <a:rPr lang="en-US" sz="1000" b="1" i="0" u="none" strike="noStrike" baseline="0">
                <a:solidFill>
                  <a:srgbClr val="000000"/>
                </a:solidFill>
                <a:latin typeface="Arial"/>
                <a:cs typeface="Arial"/>
              </a:rPr>
              <a:t>   </a:t>
            </a:r>
            <a:r>
              <a:rPr lang="en-US" sz="1000" b="1" i="0" u="none" strike="noStrike" baseline="0">
                <a:solidFill>
                  <a:srgbClr val="FF0000"/>
                </a:solidFill>
                <a:latin typeface="Arial"/>
                <a:cs typeface="Arial"/>
              </a:rPr>
              <a:t>Southeast Region</a:t>
            </a:r>
            <a:r>
              <a:rPr lang="en-US" sz="1000" b="1" i="0" u="none" strike="noStrike" baseline="0">
                <a:solidFill>
                  <a:srgbClr val="000000"/>
                </a:solidFill>
                <a:latin typeface="Arial"/>
                <a:cs typeface="Arial"/>
              </a:rPr>
              <a:t>  One-Year Recidivism Rates (2005 - 2014)</a:t>
            </a:r>
          </a:p>
        </c:rich>
      </c:tx>
      <c:layout>
        <c:manualLayout>
          <c:xMode val="edge"/>
          <c:yMode val="edge"/>
          <c:x val="0.15315331079110608"/>
          <c:y val="4.326450344149458E-2"/>
        </c:manualLayout>
      </c:layout>
      <c:overlay val="0"/>
      <c:spPr>
        <a:noFill/>
        <a:ln w="25400">
          <a:noFill/>
        </a:ln>
      </c:spPr>
    </c:title>
    <c:autoTitleDeleted val="0"/>
    <c:plotArea>
      <c:layout>
        <c:manualLayout>
          <c:layoutTarget val="inner"/>
          <c:xMode val="edge"/>
          <c:yMode val="edge"/>
          <c:x val="0.21921954066303712"/>
          <c:y val="0.19764068734065993"/>
          <c:w val="0.75976087380477275"/>
          <c:h val="0.49557664885419234"/>
        </c:manualLayout>
      </c:layout>
      <c:barChart>
        <c:barDir val="col"/>
        <c:grouping val="clustered"/>
        <c:varyColors val="0"/>
        <c:ser>
          <c:idx val="0"/>
          <c:order val="0"/>
          <c:tx>
            <c:strRef>
              <c:f>Graphs1!$Q$260</c:f>
              <c:strCache>
                <c:ptCount val="1"/>
                <c:pt idx="0">
                  <c:v>Arraigned</c:v>
                </c:pt>
              </c:strCache>
            </c:strRef>
          </c:tx>
          <c:spPr>
            <a:solidFill>
              <a:srgbClr val="0000FF"/>
            </a:solidFill>
            <a:ln w="12700">
              <a:solidFill>
                <a:srgbClr val="000000"/>
              </a:solidFill>
              <a:prstDash val="solid"/>
            </a:ln>
          </c:spPr>
          <c:invertIfNegative val="0"/>
          <c:cat>
            <c:numRef>
              <c:f>Graphs1!$P$267:$P$276</c:f>
              <c:numCache>
                <c:formatCode>0</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Graphs1!$Q$267:$Q$276</c:f>
              <c:numCache>
                <c:formatCode>0%</c:formatCode>
                <c:ptCount val="10"/>
                <c:pt idx="0">
                  <c:v>0.54500000000000004</c:v>
                </c:pt>
                <c:pt idx="1">
                  <c:v>0.55100000000000005</c:v>
                </c:pt>
                <c:pt idx="2">
                  <c:v>0.60399999999999998</c:v>
                </c:pt>
                <c:pt idx="3">
                  <c:v>0.64599999999999991</c:v>
                </c:pt>
                <c:pt idx="4">
                  <c:v>0.65</c:v>
                </c:pt>
                <c:pt idx="5">
                  <c:v>0.44600000000000001</c:v>
                </c:pt>
                <c:pt idx="6">
                  <c:v>0.53299999999999992</c:v>
                </c:pt>
                <c:pt idx="7">
                  <c:v>0.505</c:v>
                </c:pt>
                <c:pt idx="8">
                  <c:v>0.6</c:v>
                </c:pt>
                <c:pt idx="9">
                  <c:v>0.48</c:v>
                </c:pt>
              </c:numCache>
            </c:numRef>
          </c:val>
        </c:ser>
        <c:ser>
          <c:idx val="1"/>
          <c:order val="1"/>
          <c:tx>
            <c:strRef>
              <c:f>Graphs1!$R$260</c:f>
              <c:strCache>
                <c:ptCount val="1"/>
                <c:pt idx="0">
                  <c:v>Convicted</c:v>
                </c:pt>
              </c:strCache>
            </c:strRef>
          </c:tx>
          <c:spPr>
            <a:solidFill>
              <a:srgbClr val="FF0000"/>
            </a:solidFill>
            <a:ln w="12700">
              <a:solidFill>
                <a:srgbClr val="000000"/>
              </a:solidFill>
              <a:prstDash val="solid"/>
            </a:ln>
          </c:spPr>
          <c:invertIfNegative val="0"/>
          <c:cat>
            <c:numRef>
              <c:f>Graphs1!$P$267:$P$276</c:f>
              <c:numCache>
                <c:formatCode>0</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Graphs1!$R$267:$R$276</c:f>
              <c:numCache>
                <c:formatCode>0%</c:formatCode>
                <c:ptCount val="10"/>
                <c:pt idx="0">
                  <c:v>0.26300000000000001</c:v>
                </c:pt>
                <c:pt idx="1">
                  <c:v>0.32600000000000001</c:v>
                </c:pt>
                <c:pt idx="2">
                  <c:v>0.34200000000000003</c:v>
                </c:pt>
                <c:pt idx="3">
                  <c:v>0.43799999999999994</c:v>
                </c:pt>
                <c:pt idx="4">
                  <c:v>0.308</c:v>
                </c:pt>
                <c:pt idx="5">
                  <c:v>0.188</c:v>
                </c:pt>
                <c:pt idx="6">
                  <c:v>0.221</c:v>
                </c:pt>
                <c:pt idx="7">
                  <c:v>0.18899999999999997</c:v>
                </c:pt>
                <c:pt idx="8">
                  <c:v>0.31</c:v>
                </c:pt>
                <c:pt idx="9">
                  <c:v>0.2</c:v>
                </c:pt>
              </c:numCache>
            </c:numRef>
          </c:val>
        </c:ser>
        <c:ser>
          <c:idx val="2"/>
          <c:order val="2"/>
          <c:tx>
            <c:strRef>
              <c:f>Graphs1!$S$260</c:f>
              <c:strCache>
                <c:ptCount val="1"/>
                <c:pt idx="0">
                  <c:v>Incarcerated</c:v>
                </c:pt>
              </c:strCache>
            </c:strRef>
          </c:tx>
          <c:spPr>
            <a:solidFill>
              <a:srgbClr val="000000"/>
            </a:solidFill>
            <a:ln w="12700">
              <a:solidFill>
                <a:srgbClr val="000000"/>
              </a:solidFill>
              <a:prstDash val="solid"/>
            </a:ln>
          </c:spPr>
          <c:invertIfNegative val="0"/>
          <c:cat>
            <c:numRef>
              <c:f>Graphs1!$P$267:$P$276</c:f>
              <c:numCache>
                <c:formatCode>0</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Graphs1!$S$267:$S$276</c:f>
              <c:numCache>
                <c:formatCode>0%</c:formatCode>
                <c:ptCount val="10"/>
                <c:pt idx="0">
                  <c:v>0.182</c:v>
                </c:pt>
                <c:pt idx="1">
                  <c:v>0.14599999999999999</c:v>
                </c:pt>
                <c:pt idx="2">
                  <c:v>0.17100000000000001</c:v>
                </c:pt>
                <c:pt idx="3">
                  <c:v>0.16899999999999998</c:v>
                </c:pt>
                <c:pt idx="4">
                  <c:v>0.16200000000000001</c:v>
                </c:pt>
                <c:pt idx="5">
                  <c:v>0.16800000000000001</c:v>
                </c:pt>
                <c:pt idx="6">
                  <c:v>0.18899999999999997</c:v>
                </c:pt>
                <c:pt idx="7">
                  <c:v>0.18</c:v>
                </c:pt>
                <c:pt idx="8">
                  <c:v>0.25</c:v>
                </c:pt>
                <c:pt idx="9">
                  <c:v>0.16</c:v>
                </c:pt>
              </c:numCache>
            </c:numRef>
          </c:val>
        </c:ser>
        <c:dLbls>
          <c:showLegendKey val="0"/>
          <c:showVal val="0"/>
          <c:showCatName val="0"/>
          <c:showSerName val="0"/>
          <c:showPercent val="0"/>
          <c:showBubbleSize val="0"/>
        </c:dLbls>
        <c:gapWidth val="150"/>
        <c:axId val="138521088"/>
        <c:axId val="141974848"/>
      </c:barChart>
      <c:catAx>
        <c:axId val="138521088"/>
        <c:scaling>
          <c:orientation val="minMax"/>
        </c:scaling>
        <c:delete val="0"/>
        <c:axPos val="b"/>
        <c:numFmt formatCode="0"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41974848"/>
        <c:crosses val="autoZero"/>
        <c:auto val="1"/>
        <c:lblAlgn val="ctr"/>
        <c:lblOffset val="100"/>
        <c:tickMarkSkip val="1"/>
        <c:noMultiLvlLbl val="0"/>
      </c:catAx>
      <c:valAx>
        <c:axId val="141974848"/>
        <c:scaling>
          <c:orientation val="minMax"/>
          <c:max val="0.70000000000000018"/>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38521088"/>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4E4E4">
                <a:gamma/>
                <a:tint val="25490"/>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sng" strike="noStrike" baseline="0">
                <a:solidFill>
                  <a:srgbClr val="000000"/>
                </a:solidFill>
                <a:latin typeface="Arial"/>
                <a:cs typeface="Arial"/>
              </a:rPr>
              <a:t>Figure 14</a:t>
            </a:r>
            <a:r>
              <a:rPr lang="en-US" sz="1000" b="1" i="0" u="none" strike="noStrike" baseline="0">
                <a:solidFill>
                  <a:srgbClr val="000000"/>
                </a:solidFill>
                <a:latin typeface="Arial"/>
                <a:cs typeface="Arial"/>
              </a:rPr>
              <a:t>  </a:t>
            </a:r>
            <a:r>
              <a:rPr lang="en-US" sz="1000" b="1" i="0" u="none" strike="noStrike" baseline="0">
                <a:solidFill>
                  <a:srgbClr val="FF0000"/>
                </a:solidFill>
                <a:latin typeface="Arial"/>
                <a:cs typeface="Arial"/>
              </a:rPr>
              <a:t>Western Region</a:t>
            </a:r>
            <a:r>
              <a:rPr lang="en-US" sz="1000" b="1" i="0" u="none" strike="noStrike" baseline="0">
                <a:solidFill>
                  <a:srgbClr val="000000"/>
                </a:solidFill>
                <a:latin typeface="Arial"/>
                <a:cs typeface="Arial"/>
              </a:rPr>
              <a:t>  One-Year Recidivism Rates (2005 - 2014)</a:t>
            </a:r>
          </a:p>
        </c:rich>
      </c:tx>
      <c:layout>
        <c:manualLayout>
          <c:xMode val="edge"/>
          <c:yMode val="edge"/>
          <c:x val="0.16394270181309062"/>
          <c:y val="3.8314176245210725E-2"/>
        </c:manualLayout>
      </c:layout>
      <c:overlay val="0"/>
      <c:spPr>
        <a:noFill/>
        <a:ln w="25400">
          <a:noFill/>
        </a:ln>
      </c:spPr>
    </c:title>
    <c:autoTitleDeleted val="0"/>
    <c:plotArea>
      <c:layout>
        <c:manualLayout>
          <c:layoutTarget val="inner"/>
          <c:xMode val="edge"/>
          <c:yMode val="edge"/>
          <c:x val="0.21693923614763969"/>
          <c:y val="0.1551728492413379"/>
          <c:w val="0.76225909687492543"/>
          <c:h val="0.54597854362692966"/>
        </c:manualLayout>
      </c:layout>
      <c:barChart>
        <c:barDir val="col"/>
        <c:grouping val="clustered"/>
        <c:varyColors val="0"/>
        <c:ser>
          <c:idx val="0"/>
          <c:order val="0"/>
          <c:tx>
            <c:strRef>
              <c:f>Graphs1!$V$260</c:f>
              <c:strCache>
                <c:ptCount val="1"/>
                <c:pt idx="0">
                  <c:v>Arraigned</c:v>
                </c:pt>
              </c:strCache>
            </c:strRef>
          </c:tx>
          <c:spPr>
            <a:solidFill>
              <a:srgbClr val="0000FF"/>
            </a:solidFill>
            <a:ln w="12700">
              <a:solidFill>
                <a:srgbClr val="000000"/>
              </a:solidFill>
              <a:prstDash val="solid"/>
            </a:ln>
          </c:spPr>
          <c:invertIfNegative val="0"/>
          <c:cat>
            <c:numRef>
              <c:f>Graphs1!$U$267:$U$276</c:f>
              <c:numCache>
                <c:formatCode>0</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Graphs1!$V$267:$V$276</c:f>
              <c:numCache>
                <c:formatCode>0%</c:formatCode>
                <c:ptCount val="10"/>
                <c:pt idx="0">
                  <c:v>0.46200000000000002</c:v>
                </c:pt>
                <c:pt idx="1">
                  <c:v>0.51600000000000001</c:v>
                </c:pt>
                <c:pt idx="2">
                  <c:v>0.55899999999999994</c:v>
                </c:pt>
                <c:pt idx="3">
                  <c:v>0.433</c:v>
                </c:pt>
                <c:pt idx="4">
                  <c:v>0.5</c:v>
                </c:pt>
                <c:pt idx="5">
                  <c:v>0.42100000000000004</c:v>
                </c:pt>
                <c:pt idx="6">
                  <c:v>0.47499999999999998</c:v>
                </c:pt>
                <c:pt idx="7">
                  <c:v>0.42</c:v>
                </c:pt>
                <c:pt idx="8">
                  <c:v>0.46</c:v>
                </c:pt>
                <c:pt idx="9">
                  <c:v>0.38</c:v>
                </c:pt>
              </c:numCache>
            </c:numRef>
          </c:val>
        </c:ser>
        <c:ser>
          <c:idx val="1"/>
          <c:order val="1"/>
          <c:tx>
            <c:strRef>
              <c:f>Graphs1!$W$260</c:f>
              <c:strCache>
                <c:ptCount val="1"/>
                <c:pt idx="0">
                  <c:v>Convicted</c:v>
                </c:pt>
              </c:strCache>
            </c:strRef>
          </c:tx>
          <c:spPr>
            <a:solidFill>
              <a:srgbClr val="FF0000"/>
            </a:solidFill>
            <a:ln w="12700">
              <a:solidFill>
                <a:srgbClr val="000000"/>
              </a:solidFill>
              <a:prstDash val="solid"/>
            </a:ln>
          </c:spPr>
          <c:invertIfNegative val="0"/>
          <c:cat>
            <c:numRef>
              <c:f>Graphs1!$U$267:$U$276</c:f>
              <c:numCache>
                <c:formatCode>0</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Graphs1!$W$267:$W$276</c:f>
              <c:numCache>
                <c:formatCode>0%</c:formatCode>
                <c:ptCount val="10"/>
                <c:pt idx="0">
                  <c:v>0.28800000000000003</c:v>
                </c:pt>
                <c:pt idx="1">
                  <c:v>0.39100000000000001</c:v>
                </c:pt>
                <c:pt idx="2">
                  <c:v>0.441</c:v>
                </c:pt>
                <c:pt idx="3">
                  <c:v>0.35</c:v>
                </c:pt>
                <c:pt idx="4">
                  <c:v>0.25600000000000001</c:v>
                </c:pt>
                <c:pt idx="5">
                  <c:v>0.26300000000000001</c:v>
                </c:pt>
                <c:pt idx="6">
                  <c:v>0.15</c:v>
                </c:pt>
                <c:pt idx="7">
                  <c:v>0.22699999999999998</c:v>
                </c:pt>
                <c:pt idx="8">
                  <c:v>0.25</c:v>
                </c:pt>
                <c:pt idx="9">
                  <c:v>0.22</c:v>
                </c:pt>
              </c:numCache>
            </c:numRef>
          </c:val>
        </c:ser>
        <c:ser>
          <c:idx val="2"/>
          <c:order val="2"/>
          <c:tx>
            <c:strRef>
              <c:f>Graphs1!$X$260</c:f>
              <c:strCache>
                <c:ptCount val="1"/>
                <c:pt idx="0">
                  <c:v>Incarcerated</c:v>
                </c:pt>
              </c:strCache>
            </c:strRef>
          </c:tx>
          <c:spPr>
            <a:solidFill>
              <a:srgbClr val="000000"/>
            </a:solidFill>
            <a:ln w="12700">
              <a:solidFill>
                <a:srgbClr val="000000"/>
              </a:solidFill>
              <a:prstDash val="solid"/>
            </a:ln>
          </c:spPr>
          <c:invertIfNegative val="0"/>
          <c:cat>
            <c:numRef>
              <c:f>Graphs1!$U$267:$U$276</c:f>
              <c:numCache>
                <c:formatCode>0</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Graphs1!$X$267:$X$276</c:f>
              <c:numCache>
                <c:formatCode>0%</c:formatCode>
                <c:ptCount val="10"/>
                <c:pt idx="0">
                  <c:v>0.192</c:v>
                </c:pt>
                <c:pt idx="1">
                  <c:v>0.23399999999999999</c:v>
                </c:pt>
                <c:pt idx="2">
                  <c:v>0.25</c:v>
                </c:pt>
                <c:pt idx="3">
                  <c:v>0.183</c:v>
                </c:pt>
                <c:pt idx="4">
                  <c:v>0.19500000000000001</c:v>
                </c:pt>
                <c:pt idx="5">
                  <c:v>0.184</c:v>
                </c:pt>
                <c:pt idx="6">
                  <c:v>0.125</c:v>
                </c:pt>
                <c:pt idx="7">
                  <c:v>0.20499999999999999</c:v>
                </c:pt>
                <c:pt idx="8">
                  <c:v>0.21</c:v>
                </c:pt>
                <c:pt idx="9">
                  <c:v>0.18</c:v>
                </c:pt>
              </c:numCache>
            </c:numRef>
          </c:val>
        </c:ser>
        <c:dLbls>
          <c:showLegendKey val="0"/>
          <c:showVal val="0"/>
          <c:showCatName val="0"/>
          <c:showSerName val="0"/>
          <c:showPercent val="0"/>
          <c:showBubbleSize val="0"/>
        </c:dLbls>
        <c:gapWidth val="150"/>
        <c:axId val="138521600"/>
        <c:axId val="142034048"/>
      </c:barChart>
      <c:catAx>
        <c:axId val="138521600"/>
        <c:scaling>
          <c:orientation val="minMax"/>
        </c:scaling>
        <c:delete val="0"/>
        <c:axPos val="b"/>
        <c:numFmt formatCode="0"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42034048"/>
        <c:crosses val="autoZero"/>
        <c:auto val="1"/>
        <c:lblAlgn val="ctr"/>
        <c:lblOffset val="100"/>
        <c:tickMarkSkip val="1"/>
        <c:noMultiLvlLbl val="0"/>
      </c:catAx>
      <c:valAx>
        <c:axId val="142034048"/>
        <c:scaling>
          <c:orientation val="minMax"/>
          <c:max val="0.6000000000000002"/>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38521600"/>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1E1E1">
                <a:gamma/>
                <a:tint val="28627"/>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Arial"/>
                <a:ea typeface="Arial"/>
                <a:cs typeface="Arial"/>
              </a:defRPr>
            </a:pPr>
            <a:r>
              <a:rPr lang="en-US" sz="1100" b="1" i="0" u="sng" strike="noStrike" baseline="0">
                <a:solidFill>
                  <a:srgbClr val="000000"/>
                </a:solidFill>
                <a:latin typeface="Arial"/>
                <a:cs typeface="Arial"/>
              </a:rPr>
              <a:t>Figure 15</a:t>
            </a:r>
            <a:r>
              <a:rPr lang="en-US" sz="1100" b="1" i="0" u="none" strike="noStrike" baseline="0">
                <a:solidFill>
                  <a:srgbClr val="000000"/>
                </a:solidFill>
                <a:latin typeface="Arial"/>
                <a:cs typeface="Arial"/>
              </a:rPr>
              <a:t>   % of Youth Convicted of Offenses Committed</a:t>
            </a:r>
          </a:p>
          <a:p>
            <a:pPr>
              <a:defRPr sz="1200" b="0" i="0" u="none" strike="noStrike" baseline="0">
                <a:solidFill>
                  <a:srgbClr val="000000"/>
                </a:solidFill>
                <a:latin typeface="Arial"/>
                <a:ea typeface="Arial"/>
                <a:cs typeface="Arial"/>
              </a:defRPr>
            </a:pPr>
            <a:r>
              <a:rPr lang="en-US" sz="1100" b="1" i="0" u="none" strike="noStrike" baseline="0">
                <a:solidFill>
                  <a:srgbClr val="000000"/>
                </a:solidFill>
                <a:latin typeface="Arial"/>
                <a:cs typeface="Arial"/>
              </a:rPr>
              <a:t>                     Within Designated Time Periods After Discharge</a:t>
            </a:r>
          </a:p>
        </c:rich>
      </c:tx>
      <c:layout>
        <c:manualLayout>
          <c:xMode val="edge"/>
          <c:yMode val="edge"/>
          <c:x val="0.15939849624060157"/>
          <c:y val="3.4985422740524796E-2"/>
        </c:manualLayout>
      </c:layout>
      <c:overlay val="0"/>
      <c:spPr>
        <a:noFill/>
        <a:ln w="25400">
          <a:noFill/>
        </a:ln>
      </c:spPr>
    </c:title>
    <c:autoTitleDeleted val="0"/>
    <c:plotArea>
      <c:layout>
        <c:manualLayout>
          <c:layoutTarget val="inner"/>
          <c:xMode val="edge"/>
          <c:yMode val="edge"/>
          <c:x val="0.23909774436090231"/>
          <c:y val="0.1982510110852814"/>
          <c:w val="0.73984962406015076"/>
          <c:h val="0.43440295076039592"/>
        </c:manualLayout>
      </c:layout>
      <c:barChart>
        <c:barDir val="col"/>
        <c:grouping val="clustered"/>
        <c:varyColors val="0"/>
        <c:ser>
          <c:idx val="0"/>
          <c:order val="0"/>
          <c:tx>
            <c:strRef>
              <c:f>Graphs1!$B$392</c:f>
              <c:strCache>
                <c:ptCount val="1"/>
                <c:pt idx="0">
                  <c:v>Within 6 mos.</c:v>
                </c:pt>
              </c:strCache>
            </c:strRef>
          </c:tx>
          <c:spPr>
            <a:solidFill>
              <a:srgbClr val="0000FF"/>
            </a:solidFill>
            <a:ln w="12700">
              <a:solidFill>
                <a:srgbClr val="000000"/>
              </a:solidFill>
              <a:prstDash val="solid"/>
            </a:ln>
          </c:spPr>
          <c:invertIfNegative val="0"/>
          <c:cat>
            <c:numRef>
              <c:f>Graphs1!$A$399:$A$408</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Graphs1!$B$399:$B$408</c:f>
              <c:numCache>
                <c:formatCode>0%</c:formatCode>
                <c:ptCount val="10"/>
                <c:pt idx="0">
                  <c:v>0.17100000000000001</c:v>
                </c:pt>
                <c:pt idx="1">
                  <c:v>0.21600000000000003</c:v>
                </c:pt>
                <c:pt idx="2">
                  <c:v>0.251</c:v>
                </c:pt>
                <c:pt idx="3">
                  <c:v>0.26300000000000001</c:v>
                </c:pt>
                <c:pt idx="4">
                  <c:v>0.18</c:v>
                </c:pt>
                <c:pt idx="5">
                  <c:v>0.158</c:v>
                </c:pt>
                <c:pt idx="6">
                  <c:v>0.14499999999999999</c:v>
                </c:pt>
                <c:pt idx="7">
                  <c:v>0.13699999999999998</c:v>
                </c:pt>
                <c:pt idx="8">
                  <c:v>0.17</c:v>
                </c:pt>
                <c:pt idx="9">
                  <c:v>0.16</c:v>
                </c:pt>
              </c:numCache>
            </c:numRef>
          </c:val>
        </c:ser>
        <c:ser>
          <c:idx val="1"/>
          <c:order val="1"/>
          <c:tx>
            <c:strRef>
              <c:f>Graphs1!$C$392</c:f>
              <c:strCache>
                <c:ptCount val="1"/>
                <c:pt idx="0">
                  <c:v>Within 12 mos.</c:v>
                </c:pt>
              </c:strCache>
            </c:strRef>
          </c:tx>
          <c:spPr>
            <a:solidFill>
              <a:srgbClr val="FF0000"/>
            </a:solidFill>
            <a:ln w="12700">
              <a:solidFill>
                <a:srgbClr val="000000"/>
              </a:solidFill>
              <a:prstDash val="solid"/>
            </a:ln>
          </c:spPr>
          <c:invertIfNegative val="0"/>
          <c:cat>
            <c:numRef>
              <c:f>Graphs1!$A$399:$A$408</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Graphs1!$C$399:$C$408</c:f>
              <c:numCache>
                <c:formatCode>0%</c:formatCode>
                <c:ptCount val="10"/>
                <c:pt idx="0">
                  <c:v>0.28999999999999998</c:v>
                </c:pt>
                <c:pt idx="1">
                  <c:v>0.33700000000000002</c:v>
                </c:pt>
                <c:pt idx="2">
                  <c:v>0.39700000000000002</c:v>
                </c:pt>
                <c:pt idx="3">
                  <c:v>0.371</c:v>
                </c:pt>
                <c:pt idx="4">
                  <c:v>0.27800000000000002</c:v>
                </c:pt>
                <c:pt idx="5">
                  <c:v>0.25</c:v>
                </c:pt>
                <c:pt idx="6">
                  <c:v>0.21899999999999997</c:v>
                </c:pt>
                <c:pt idx="7">
                  <c:v>0.22399999999999998</c:v>
                </c:pt>
                <c:pt idx="8">
                  <c:v>0.26</c:v>
                </c:pt>
                <c:pt idx="9">
                  <c:v>0.26</c:v>
                </c:pt>
              </c:numCache>
            </c:numRef>
          </c:val>
        </c:ser>
        <c:ser>
          <c:idx val="2"/>
          <c:order val="2"/>
          <c:tx>
            <c:strRef>
              <c:f>Graphs1!$D$392</c:f>
              <c:strCache>
                <c:ptCount val="1"/>
                <c:pt idx="0">
                  <c:v>Within 18 mos.</c:v>
                </c:pt>
              </c:strCache>
            </c:strRef>
          </c:tx>
          <c:spPr>
            <a:solidFill>
              <a:srgbClr val="FFFF00"/>
            </a:solidFill>
            <a:ln w="12700">
              <a:solidFill>
                <a:srgbClr val="000000"/>
              </a:solidFill>
              <a:prstDash val="solid"/>
            </a:ln>
          </c:spPr>
          <c:invertIfNegative val="0"/>
          <c:cat>
            <c:numRef>
              <c:f>Graphs1!$A$399:$A$408</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Graphs1!$D$399:$D$408</c:f>
              <c:numCache>
                <c:formatCode>0%</c:formatCode>
                <c:ptCount val="10"/>
                <c:pt idx="0">
                  <c:v>0.373</c:v>
                </c:pt>
                <c:pt idx="1">
                  <c:v>0.40500000000000003</c:v>
                </c:pt>
                <c:pt idx="2">
                  <c:v>0.46899999999999997</c:v>
                </c:pt>
                <c:pt idx="3">
                  <c:v>0.45100000000000001</c:v>
                </c:pt>
                <c:pt idx="4">
                  <c:v>0.34799999999999998</c:v>
                </c:pt>
                <c:pt idx="5">
                  <c:v>0.311</c:v>
                </c:pt>
                <c:pt idx="6">
                  <c:v>0.26600000000000001</c:v>
                </c:pt>
                <c:pt idx="7">
                  <c:v>0.30399999999999999</c:v>
                </c:pt>
                <c:pt idx="8">
                  <c:v>0.34</c:v>
                </c:pt>
                <c:pt idx="9">
                  <c:v>0.32</c:v>
                </c:pt>
              </c:numCache>
            </c:numRef>
          </c:val>
        </c:ser>
        <c:ser>
          <c:idx val="3"/>
          <c:order val="3"/>
          <c:tx>
            <c:strRef>
              <c:f>Graphs1!$E$392</c:f>
              <c:strCache>
                <c:ptCount val="1"/>
                <c:pt idx="0">
                  <c:v>Within 24 mos.</c:v>
                </c:pt>
              </c:strCache>
            </c:strRef>
          </c:tx>
          <c:spPr>
            <a:solidFill>
              <a:srgbClr val="000000"/>
            </a:solidFill>
            <a:ln w="12700">
              <a:solidFill>
                <a:srgbClr val="000000"/>
              </a:solidFill>
              <a:prstDash val="solid"/>
            </a:ln>
          </c:spPr>
          <c:invertIfNegative val="0"/>
          <c:cat>
            <c:numRef>
              <c:f>Graphs1!$A$399:$A$408</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Graphs1!$E$399:$E$408</c:f>
              <c:numCache>
                <c:formatCode>0%</c:formatCode>
                <c:ptCount val="10"/>
                <c:pt idx="0">
                  <c:v>0.41700000000000004</c:v>
                </c:pt>
                <c:pt idx="1">
                  <c:v>0.43200000000000005</c:v>
                </c:pt>
                <c:pt idx="2">
                  <c:v>0.52100000000000002</c:v>
                </c:pt>
                <c:pt idx="3">
                  <c:v>0.49099999999999999</c:v>
                </c:pt>
                <c:pt idx="4">
                  <c:v>0.39799999999999996</c:v>
                </c:pt>
                <c:pt idx="5">
                  <c:v>0.35499999999999998</c:v>
                </c:pt>
                <c:pt idx="6">
                  <c:v>0.3</c:v>
                </c:pt>
                <c:pt idx="7">
                  <c:v>0.34399999999999997</c:v>
                </c:pt>
                <c:pt idx="8">
                  <c:v>0.39</c:v>
                </c:pt>
                <c:pt idx="9">
                  <c:v>0.38</c:v>
                </c:pt>
              </c:numCache>
            </c:numRef>
          </c:val>
        </c:ser>
        <c:dLbls>
          <c:showLegendKey val="0"/>
          <c:showVal val="0"/>
          <c:showCatName val="0"/>
          <c:showSerName val="0"/>
          <c:showPercent val="0"/>
          <c:showBubbleSize val="0"/>
        </c:dLbls>
        <c:gapWidth val="150"/>
        <c:axId val="142423552"/>
        <c:axId val="142036352"/>
      </c:barChart>
      <c:catAx>
        <c:axId val="142423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42036352"/>
        <c:crosses val="autoZero"/>
        <c:auto val="1"/>
        <c:lblAlgn val="ctr"/>
        <c:lblOffset val="100"/>
        <c:tickMarkSkip val="1"/>
        <c:noMultiLvlLbl val="0"/>
      </c:catAx>
      <c:valAx>
        <c:axId val="142036352"/>
        <c:scaling>
          <c:orientation val="minMax"/>
          <c:max val="0.6000000000000002"/>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42423552"/>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8E8E8">
                <a:gamma/>
                <a:tint val="22353"/>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2014 DYS Discharges (By Gender)</a:t>
            </a:r>
          </a:p>
        </c:rich>
      </c:tx>
      <c:layout>
        <c:manualLayout>
          <c:xMode val="edge"/>
          <c:yMode val="edge"/>
          <c:x val="0.25762711864406784"/>
          <c:y val="3.5143769968051131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3559322033898306"/>
          <c:y val="0.34824335476262164"/>
          <c:w val="0.5847457627118644"/>
          <c:h val="0.43770036332549711"/>
        </c:manualLayout>
      </c:layout>
      <c:pie3DChart>
        <c:varyColors val="1"/>
        <c:ser>
          <c:idx val="0"/>
          <c:order val="0"/>
          <c:spPr>
            <a:solidFill>
              <a:srgbClr val="9999FF"/>
            </a:solidFill>
            <a:ln w="12700">
              <a:solidFill>
                <a:srgbClr val="000000"/>
              </a:solidFill>
              <a:prstDash val="solid"/>
            </a:ln>
          </c:spPr>
          <c:dPt>
            <c:idx val="0"/>
            <c:bubble3D val="0"/>
            <c:spPr>
              <a:solidFill>
                <a:srgbClr val="FFFF00"/>
              </a:solidFill>
              <a:ln w="12700">
                <a:solidFill>
                  <a:srgbClr val="000000"/>
                </a:solidFill>
                <a:prstDash val="solid"/>
              </a:ln>
            </c:spPr>
          </c:dPt>
          <c:dPt>
            <c:idx val="1"/>
            <c:bubble3D val="0"/>
            <c:spPr>
              <a:solidFill>
                <a:srgbClr val="0000FF"/>
              </a:solidFill>
              <a:ln w="12700">
                <a:solidFill>
                  <a:srgbClr val="000000"/>
                </a:solidFill>
                <a:prstDash val="solid"/>
              </a:ln>
            </c:spPr>
          </c:dPt>
          <c:dLbls>
            <c:dLbl>
              <c:idx val="0"/>
              <c:layout>
                <c:manualLayout>
                  <c:x val="0.12598531963165618"/>
                  <c:y val="-4.5974524749901477E-2"/>
                </c:manualLayout>
              </c:layout>
              <c:dLblPos val="bestFit"/>
              <c:showLegendKey val="0"/>
              <c:showVal val="0"/>
              <c:showCatName val="1"/>
              <c:showSerName val="0"/>
              <c:showPercent val="1"/>
              <c:showBubbleSize val="0"/>
            </c:dLbl>
            <c:dLbl>
              <c:idx val="1"/>
              <c:layout>
                <c:manualLayout>
                  <c:x val="-0.16151359046220926"/>
                  <c:y val="5.8244010442141114E-3"/>
                </c:manualLayout>
              </c:layout>
              <c:dLblPos val="bestFit"/>
              <c:showLegendKey val="0"/>
              <c:showVal val="0"/>
              <c:showCatName val="1"/>
              <c:showSerName val="0"/>
              <c:showPercent val="1"/>
              <c:showBubbleSize val="0"/>
            </c:dLbl>
            <c:numFmt formatCode="0%" sourceLinked="0"/>
            <c:spPr>
              <a:noFill/>
              <a:ln w="25400">
                <a:noFill/>
              </a:ln>
            </c:spPr>
            <c:txPr>
              <a:bodyPr/>
              <a:lstStyle/>
              <a:p>
                <a:pPr>
                  <a:defRPr sz="1100"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Graphs2!$A$5:$A$6</c:f>
              <c:strCache>
                <c:ptCount val="2"/>
                <c:pt idx="0">
                  <c:v>Female</c:v>
                </c:pt>
                <c:pt idx="1">
                  <c:v>Male</c:v>
                </c:pt>
              </c:strCache>
            </c:strRef>
          </c:cat>
          <c:val>
            <c:numRef>
              <c:f>Graphs2!$B$5:$B$6</c:f>
              <c:numCache>
                <c:formatCode>0%</c:formatCode>
                <c:ptCount val="2"/>
                <c:pt idx="0">
                  <c:v>0.16</c:v>
                </c:pt>
                <c:pt idx="1">
                  <c:v>0.84</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150" b="0" i="0" u="none" strike="noStrike" baseline="0">
          <a:solidFill>
            <a:srgbClr val="000000"/>
          </a:solidFill>
          <a:latin typeface="Arial"/>
          <a:ea typeface="Arial"/>
          <a:cs typeface="Arial"/>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2014 </a:t>
            </a:r>
            <a:r>
              <a:rPr lang="en-US" sz="1200" b="1" i="0" u="none" strike="noStrike" baseline="0">
                <a:effectLst/>
              </a:rPr>
              <a:t>DYS Discharges </a:t>
            </a:r>
            <a:r>
              <a:rPr lang="en-US"/>
              <a:t>(By Region)</a:t>
            </a:r>
          </a:p>
        </c:rich>
      </c:tx>
      <c:layout>
        <c:manualLayout>
          <c:xMode val="edge"/>
          <c:yMode val="edge"/>
          <c:x val="0.25645558389708334"/>
          <c:y val="3.875968992248062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323945659751922"/>
          <c:y val="0.38081395348837221"/>
          <c:w val="0.55457794153170858"/>
          <c:h val="0.36337209302325607"/>
        </c:manualLayout>
      </c:layout>
      <c:pie3DChart>
        <c:varyColors val="1"/>
        <c:ser>
          <c:idx val="0"/>
          <c:order val="0"/>
          <c:spPr>
            <a:solidFill>
              <a:srgbClr val="9999FF"/>
            </a:solidFill>
            <a:ln w="12700">
              <a:solidFill>
                <a:srgbClr val="000000"/>
              </a:solidFill>
              <a:prstDash val="solid"/>
            </a:ln>
          </c:spPr>
          <c:dPt>
            <c:idx val="0"/>
            <c:bubble3D val="0"/>
            <c:spPr>
              <a:solidFill>
                <a:srgbClr val="0000FF"/>
              </a:solidFill>
              <a:ln w="12700">
                <a:solidFill>
                  <a:srgbClr val="000000"/>
                </a:solidFill>
                <a:prstDash val="solid"/>
              </a:ln>
            </c:spPr>
          </c:dPt>
          <c:dPt>
            <c:idx val="1"/>
            <c:bubble3D val="0"/>
            <c:spPr>
              <a:solidFill>
                <a:srgbClr val="FF0000"/>
              </a:solidFill>
              <a:ln w="12700">
                <a:solidFill>
                  <a:srgbClr val="000000"/>
                </a:solidFill>
                <a:prstDash val="solid"/>
              </a:ln>
            </c:spPr>
          </c:dPt>
          <c:dPt>
            <c:idx val="2"/>
            <c:bubble3D val="0"/>
            <c:spPr>
              <a:solidFill>
                <a:srgbClr val="008080"/>
              </a:solidFill>
              <a:ln w="12700">
                <a:solidFill>
                  <a:srgbClr val="000000"/>
                </a:solidFill>
                <a:prstDash val="solid"/>
              </a:ln>
            </c:spPr>
          </c:dPt>
          <c:dPt>
            <c:idx val="3"/>
            <c:bubble3D val="0"/>
            <c:spPr>
              <a:solidFill>
                <a:srgbClr val="000000"/>
              </a:solidFill>
              <a:ln w="12700">
                <a:solidFill>
                  <a:srgbClr val="000000"/>
                </a:solidFill>
                <a:prstDash val="solid"/>
              </a:ln>
            </c:spPr>
          </c:dPt>
          <c:dPt>
            <c:idx val="4"/>
            <c:bubble3D val="0"/>
            <c:spPr>
              <a:solidFill>
                <a:srgbClr val="660066"/>
              </a:solidFill>
              <a:ln w="12700">
                <a:solidFill>
                  <a:srgbClr val="000000"/>
                </a:solidFill>
                <a:prstDash val="solid"/>
              </a:ln>
            </c:spPr>
          </c:dPt>
          <c:dLbls>
            <c:dLbl>
              <c:idx val="0"/>
              <c:layout>
                <c:manualLayout>
                  <c:x val="2.9870429928653287E-2"/>
                  <c:y val="-0.12451382530672037"/>
                </c:manualLayout>
              </c:layout>
              <c:dLblPos val="bestFit"/>
              <c:showLegendKey val="0"/>
              <c:showVal val="1"/>
              <c:showCatName val="1"/>
              <c:showSerName val="0"/>
              <c:showPercent val="0"/>
              <c:showBubbleSize val="0"/>
            </c:dLbl>
            <c:dLbl>
              <c:idx val="1"/>
              <c:layout>
                <c:manualLayout>
                  <c:x val="1.1826314298774124E-2"/>
                  <c:y val="-0.19693310138558268"/>
                </c:manualLayout>
              </c:layout>
              <c:dLblPos val="bestFit"/>
              <c:showLegendKey val="0"/>
              <c:showVal val="1"/>
              <c:showCatName val="1"/>
              <c:showSerName val="0"/>
              <c:showPercent val="0"/>
              <c:showBubbleSize val="0"/>
            </c:dLbl>
            <c:dLbl>
              <c:idx val="2"/>
              <c:layout>
                <c:manualLayout>
                  <c:x val="3.6542806259559205E-2"/>
                  <c:y val="4.9381981322102288E-2"/>
                </c:manualLayout>
              </c:layout>
              <c:dLblPos val="bestFit"/>
              <c:showLegendKey val="0"/>
              <c:showVal val="1"/>
              <c:showCatName val="1"/>
              <c:showSerName val="0"/>
              <c:showPercent val="0"/>
              <c:showBubbleSize val="0"/>
            </c:dLbl>
            <c:dLbl>
              <c:idx val="3"/>
              <c:layout>
                <c:manualLayout>
                  <c:x val="-5.6704327816860037E-2"/>
                  <c:y val="2.3747787340535946E-2"/>
                </c:manualLayout>
              </c:layout>
              <c:dLblPos val="bestFit"/>
              <c:showLegendKey val="0"/>
              <c:showVal val="1"/>
              <c:showCatName val="1"/>
              <c:showSerName val="0"/>
              <c:showPercent val="0"/>
              <c:showBubbleSize val="0"/>
            </c:dLbl>
            <c:dLbl>
              <c:idx val="4"/>
              <c:layout>
                <c:manualLayout>
                  <c:x val="-6.0157894070423698E-2"/>
                  <c:y val="-8.7574620032961042E-2"/>
                </c:manualLayout>
              </c:layout>
              <c:dLblPos val="bestFit"/>
              <c:showLegendKey val="0"/>
              <c:showVal val="1"/>
              <c:showCatName val="1"/>
              <c:showSerName val="0"/>
              <c:showPercent val="0"/>
              <c:showBubbleSize val="0"/>
            </c:dLbl>
            <c:spPr>
              <a:noFill/>
              <a:ln w="25400">
                <a:noFill/>
              </a:ln>
            </c:spPr>
            <c:txPr>
              <a:bodyPr/>
              <a:lstStyle/>
              <a:p>
                <a:pPr>
                  <a:defRPr sz="1100" b="1" i="0" u="none" strike="noStrike" baseline="0">
                    <a:solidFill>
                      <a:srgbClr val="000000"/>
                    </a:solidFill>
                    <a:latin typeface="Arial"/>
                    <a:ea typeface="Arial"/>
                    <a:cs typeface="Arial"/>
                  </a:defRPr>
                </a:pPr>
                <a:endParaRPr lang="en-US"/>
              </a:p>
            </c:txPr>
            <c:showLegendKey val="0"/>
            <c:showVal val="1"/>
            <c:showCatName val="1"/>
            <c:showSerName val="0"/>
            <c:showPercent val="0"/>
            <c:showBubbleSize val="0"/>
            <c:showLeaderLines val="1"/>
          </c:dLbls>
          <c:cat>
            <c:strRef>
              <c:f>Graphs2!$A$37:$A$41</c:f>
              <c:strCache>
                <c:ptCount val="5"/>
                <c:pt idx="0">
                  <c:v>Central</c:v>
                </c:pt>
                <c:pt idx="1">
                  <c:v>Metro</c:v>
                </c:pt>
                <c:pt idx="2">
                  <c:v>Northeast</c:v>
                </c:pt>
                <c:pt idx="3">
                  <c:v>Southeast</c:v>
                </c:pt>
                <c:pt idx="4">
                  <c:v>Western</c:v>
                </c:pt>
              </c:strCache>
            </c:strRef>
          </c:cat>
          <c:val>
            <c:numRef>
              <c:f>Graphs2!$B$37:$B$41</c:f>
              <c:numCache>
                <c:formatCode>0%</c:formatCode>
                <c:ptCount val="5"/>
                <c:pt idx="0">
                  <c:v>0.18</c:v>
                </c:pt>
                <c:pt idx="1">
                  <c:v>0.17</c:v>
                </c:pt>
                <c:pt idx="2">
                  <c:v>0.18</c:v>
                </c:pt>
                <c:pt idx="3">
                  <c:v>0.26</c:v>
                </c:pt>
                <c:pt idx="4">
                  <c:v>0.21</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150" b="0" i="0" u="none" strike="noStrike" baseline="0">
          <a:solidFill>
            <a:srgbClr val="000000"/>
          </a:solidFill>
          <a:latin typeface="Arial"/>
          <a:ea typeface="Arial"/>
          <a:cs typeface="Arial"/>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2014 </a:t>
            </a:r>
            <a:r>
              <a:rPr lang="en-US" sz="1200" b="1" i="0" u="none" strike="noStrike" baseline="0">
                <a:effectLst/>
              </a:rPr>
              <a:t>DYS Discharges </a:t>
            </a:r>
            <a:r>
              <a:rPr lang="en-US"/>
              <a:t>(By Ethnicity)</a:t>
            </a:r>
          </a:p>
        </c:rich>
      </c:tx>
      <c:layout>
        <c:manualLayout>
          <c:xMode val="edge"/>
          <c:yMode val="edge"/>
          <c:x val="0.24786360679274069"/>
          <c:y val="3.5190615835777136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9145331105320354"/>
          <c:y val="0.3489736070381233"/>
          <c:w val="0.61025742898208635"/>
          <c:h val="0.41348973607038131"/>
        </c:manualLayout>
      </c:layout>
      <c:pie3DChart>
        <c:varyColors val="1"/>
        <c:ser>
          <c:idx val="0"/>
          <c:order val="0"/>
          <c:spPr>
            <a:solidFill>
              <a:srgbClr val="9999FF"/>
            </a:solidFill>
            <a:ln w="12700">
              <a:solidFill>
                <a:srgbClr val="000000"/>
              </a:solidFill>
              <a:prstDash val="solid"/>
            </a:ln>
          </c:spPr>
          <c:dPt>
            <c:idx val="0"/>
            <c:bubble3D val="0"/>
            <c:spPr>
              <a:solidFill>
                <a:srgbClr val="0000FF"/>
              </a:solidFill>
              <a:ln w="12700">
                <a:solidFill>
                  <a:srgbClr val="000000"/>
                </a:solidFill>
                <a:prstDash val="solid"/>
              </a:ln>
            </c:spPr>
          </c:dPt>
          <c:dPt>
            <c:idx val="1"/>
            <c:bubble3D val="0"/>
            <c:spPr>
              <a:solidFill>
                <a:srgbClr val="FF0000"/>
              </a:solidFill>
              <a:ln w="12700">
                <a:solidFill>
                  <a:srgbClr val="000000"/>
                </a:solidFill>
                <a:prstDash val="solid"/>
              </a:ln>
            </c:spPr>
          </c:dPt>
          <c:dPt>
            <c:idx val="2"/>
            <c:bubble3D val="0"/>
            <c:spPr>
              <a:solidFill>
                <a:srgbClr val="008080"/>
              </a:solidFill>
              <a:ln w="12700">
                <a:solidFill>
                  <a:srgbClr val="000000"/>
                </a:solidFill>
                <a:prstDash val="solid"/>
              </a:ln>
            </c:spPr>
          </c:dPt>
          <c:dPt>
            <c:idx val="3"/>
            <c:bubble3D val="0"/>
            <c:spPr>
              <a:solidFill>
                <a:srgbClr val="000000"/>
              </a:solidFill>
              <a:ln w="12700">
                <a:solidFill>
                  <a:srgbClr val="000000"/>
                </a:solidFill>
                <a:prstDash val="solid"/>
              </a:ln>
            </c:spPr>
          </c:dPt>
          <c:dPt>
            <c:idx val="4"/>
            <c:bubble3D val="0"/>
            <c:spPr>
              <a:solidFill>
                <a:srgbClr val="FFFF00"/>
              </a:solidFill>
              <a:ln w="12700">
                <a:solidFill>
                  <a:srgbClr val="000000"/>
                </a:solidFill>
                <a:prstDash val="solid"/>
              </a:ln>
            </c:spPr>
          </c:dPt>
          <c:dLbls>
            <c:dLbl>
              <c:idx val="0"/>
              <c:layout>
                <c:manualLayout>
                  <c:x val="3.0043116405321157E-2"/>
                  <c:y val="-0.11713271911392309"/>
                </c:manualLayout>
              </c:layout>
              <c:dLblPos val="bestFit"/>
              <c:showLegendKey val="0"/>
              <c:showVal val="1"/>
              <c:showCatName val="1"/>
              <c:showSerName val="0"/>
              <c:showPercent val="0"/>
              <c:showBubbleSize val="0"/>
            </c:dLbl>
            <c:dLbl>
              <c:idx val="1"/>
              <c:layout>
                <c:manualLayout>
                  <c:x val="3.8391881428292418E-3"/>
                  <c:y val="8.8255170449734868E-2"/>
                </c:manualLayout>
              </c:layout>
              <c:dLblPos val="bestFit"/>
              <c:showLegendKey val="0"/>
              <c:showVal val="1"/>
              <c:showCatName val="1"/>
              <c:showSerName val="0"/>
              <c:showPercent val="0"/>
              <c:showBubbleSize val="0"/>
            </c:dLbl>
            <c:dLbl>
              <c:idx val="2"/>
              <c:layout>
                <c:manualLayout>
                  <c:x val="5.5738160935011371E-3"/>
                  <c:y val="-7.5899969981758242E-2"/>
                </c:manualLayout>
              </c:layout>
              <c:dLblPos val="bestFit"/>
              <c:showLegendKey val="0"/>
              <c:showVal val="1"/>
              <c:showCatName val="1"/>
              <c:showSerName val="0"/>
              <c:showPercent val="0"/>
              <c:showBubbleSize val="0"/>
            </c:dLbl>
            <c:dLbl>
              <c:idx val="3"/>
              <c:layout>
                <c:manualLayout>
                  <c:x val="-1.0473385177688921E-3"/>
                  <c:y val="-0.10085482716419975"/>
                </c:manualLayout>
              </c:layout>
              <c:dLblPos val="bestFit"/>
              <c:showLegendKey val="0"/>
              <c:showVal val="1"/>
              <c:showCatName val="1"/>
              <c:showSerName val="0"/>
              <c:showPercent val="0"/>
              <c:showBubbleSize val="0"/>
            </c:dLbl>
            <c:dLbl>
              <c:idx val="4"/>
              <c:layout>
                <c:manualLayout>
                  <c:x val="0.15927819279000394"/>
                  <c:y val="-7.4924608031034276E-2"/>
                </c:manualLayout>
              </c:layout>
              <c:dLblPos val="bestFit"/>
              <c:showLegendKey val="0"/>
              <c:showVal val="1"/>
              <c:showCatName val="1"/>
              <c:showSerName val="0"/>
              <c:showPercent val="0"/>
              <c:showBubbleSize val="0"/>
            </c:dLbl>
            <c:spPr>
              <a:noFill/>
              <a:ln w="25400">
                <a:noFill/>
              </a:ln>
            </c:spPr>
            <c:txPr>
              <a:bodyPr/>
              <a:lstStyle/>
              <a:p>
                <a:pPr>
                  <a:defRPr sz="1100" b="1" i="0" u="none" strike="noStrike" baseline="0">
                    <a:solidFill>
                      <a:srgbClr val="000000"/>
                    </a:solidFill>
                    <a:latin typeface="Arial"/>
                    <a:ea typeface="Arial"/>
                    <a:cs typeface="Arial"/>
                  </a:defRPr>
                </a:pPr>
                <a:endParaRPr lang="en-US"/>
              </a:p>
            </c:txPr>
            <c:showLegendKey val="0"/>
            <c:showVal val="1"/>
            <c:showCatName val="1"/>
            <c:showSerName val="0"/>
            <c:showPercent val="0"/>
            <c:showBubbleSize val="0"/>
            <c:showLeaderLines val="1"/>
          </c:dLbls>
          <c:cat>
            <c:strRef>
              <c:f>Graphs2!$A$10:$A$14</c:f>
              <c:strCache>
                <c:ptCount val="5"/>
                <c:pt idx="0">
                  <c:v>Caucasian</c:v>
                </c:pt>
                <c:pt idx="1">
                  <c:v>Hispanic</c:v>
                </c:pt>
                <c:pt idx="2">
                  <c:v>Afr. American</c:v>
                </c:pt>
                <c:pt idx="3">
                  <c:v>Asian</c:v>
                </c:pt>
                <c:pt idx="4">
                  <c:v>Other</c:v>
                </c:pt>
              </c:strCache>
            </c:strRef>
          </c:cat>
          <c:val>
            <c:numRef>
              <c:f>Graphs2!$B$10:$B$14</c:f>
              <c:numCache>
                <c:formatCode>0%</c:formatCode>
                <c:ptCount val="5"/>
                <c:pt idx="0">
                  <c:v>0.34</c:v>
                </c:pt>
                <c:pt idx="1">
                  <c:v>0.33</c:v>
                </c:pt>
                <c:pt idx="2">
                  <c:v>0.27</c:v>
                </c:pt>
                <c:pt idx="3">
                  <c:v>0.02</c:v>
                </c:pt>
                <c:pt idx="4">
                  <c:v>0.03</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2014 </a:t>
            </a:r>
            <a:r>
              <a:rPr lang="en-US" sz="1200" b="1" i="0" u="none" strike="noStrike" baseline="0">
                <a:effectLst/>
              </a:rPr>
              <a:t>DYS Discharges </a:t>
            </a:r>
            <a:r>
              <a:rPr lang="en-US"/>
              <a:t>(By Grid Level)</a:t>
            </a:r>
          </a:p>
        </c:rich>
      </c:tx>
      <c:layout>
        <c:manualLayout>
          <c:xMode val="edge"/>
          <c:yMode val="edge"/>
          <c:x val="0.24258326347949968"/>
          <c:y val="3.3033033033033031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9895321865663629"/>
          <c:y val="0.36036141716350295"/>
          <c:w val="0.55322956415924307"/>
          <c:h val="0.37537647621198234"/>
        </c:manualLayout>
      </c:layout>
      <c:pie3DChart>
        <c:varyColors val="1"/>
        <c:ser>
          <c:idx val="0"/>
          <c:order val="0"/>
          <c:spPr>
            <a:solidFill>
              <a:srgbClr val="9999FF"/>
            </a:solidFill>
            <a:ln w="12700">
              <a:solidFill>
                <a:srgbClr val="000000"/>
              </a:solidFill>
              <a:prstDash val="solid"/>
            </a:ln>
          </c:spPr>
          <c:dPt>
            <c:idx val="0"/>
            <c:bubble3D val="0"/>
            <c:spPr>
              <a:solidFill>
                <a:srgbClr val="0000FF"/>
              </a:solidFill>
              <a:ln w="12700">
                <a:solidFill>
                  <a:srgbClr val="000000"/>
                </a:solidFill>
                <a:prstDash val="solid"/>
              </a:ln>
            </c:spPr>
          </c:dPt>
          <c:dPt>
            <c:idx val="1"/>
            <c:bubble3D val="0"/>
            <c:spPr>
              <a:solidFill>
                <a:srgbClr val="FF0000"/>
              </a:solidFill>
              <a:ln w="12700">
                <a:solidFill>
                  <a:srgbClr val="000000"/>
                </a:solidFill>
                <a:prstDash val="solid"/>
              </a:ln>
            </c:spPr>
          </c:dPt>
          <c:dPt>
            <c:idx val="2"/>
            <c:bubble3D val="0"/>
            <c:spPr>
              <a:solidFill>
                <a:srgbClr val="008080"/>
              </a:solidFill>
              <a:ln w="12700">
                <a:solidFill>
                  <a:srgbClr val="000000"/>
                </a:solidFill>
                <a:prstDash val="solid"/>
              </a:ln>
            </c:spPr>
          </c:dPt>
          <c:dPt>
            <c:idx val="3"/>
            <c:bubble3D val="0"/>
            <c:spPr>
              <a:solidFill>
                <a:srgbClr val="000000"/>
              </a:solidFill>
              <a:ln w="12700">
                <a:solidFill>
                  <a:srgbClr val="000000"/>
                </a:solidFill>
                <a:prstDash val="solid"/>
              </a:ln>
            </c:spPr>
          </c:dPt>
          <c:dLbls>
            <c:dLbl>
              <c:idx val="0"/>
              <c:layout>
                <c:manualLayout>
                  <c:x val="-1.5171428178807409E-2"/>
                  <c:y val="-0.13236921961331413"/>
                </c:manualLayout>
              </c:layout>
              <c:dLblPos val="bestFit"/>
              <c:showLegendKey val="0"/>
              <c:showVal val="1"/>
              <c:showCatName val="1"/>
              <c:showSerName val="0"/>
              <c:showPercent val="0"/>
              <c:showBubbleSize val="0"/>
            </c:dLbl>
            <c:dLbl>
              <c:idx val="1"/>
              <c:layout>
                <c:manualLayout>
                  <c:x val="-5.8308758525603153E-2"/>
                  <c:y val="6.660613369274801E-2"/>
                </c:manualLayout>
              </c:layout>
              <c:dLblPos val="bestFit"/>
              <c:showLegendKey val="0"/>
              <c:showVal val="1"/>
              <c:showCatName val="1"/>
              <c:showSerName val="0"/>
              <c:showPercent val="0"/>
              <c:showBubbleSize val="0"/>
            </c:dLbl>
            <c:dLbl>
              <c:idx val="2"/>
              <c:layout>
                <c:manualLayout>
                  <c:x val="-6.0604728073912224E-3"/>
                  <c:y val="-0.11421657878350794"/>
                </c:manualLayout>
              </c:layout>
              <c:dLblPos val="bestFit"/>
              <c:showLegendKey val="0"/>
              <c:showVal val="1"/>
              <c:showCatName val="1"/>
              <c:showSerName val="0"/>
              <c:showPercent val="0"/>
              <c:showBubbleSize val="0"/>
            </c:dLbl>
            <c:dLbl>
              <c:idx val="3"/>
              <c:layout>
                <c:manualLayout>
                  <c:x val="0.13009797859037264"/>
                  <c:y val="-0.102554523026964"/>
                </c:manualLayout>
              </c:layout>
              <c:dLblPos val="bestFit"/>
              <c:showLegendKey val="0"/>
              <c:showVal val="1"/>
              <c:showCatName val="1"/>
              <c:showSerName val="0"/>
              <c:showPercent val="0"/>
              <c:showBubbleSize val="0"/>
            </c:dLbl>
            <c:spPr>
              <a:noFill/>
              <a:ln w="25400">
                <a:noFill/>
              </a:ln>
            </c:spPr>
            <c:txPr>
              <a:bodyPr/>
              <a:lstStyle/>
              <a:p>
                <a:pPr>
                  <a:defRPr sz="1100" b="1" i="0" u="none" strike="noStrike" baseline="0">
                    <a:solidFill>
                      <a:srgbClr val="000000"/>
                    </a:solidFill>
                    <a:latin typeface="Arial"/>
                    <a:ea typeface="Arial"/>
                    <a:cs typeface="Arial"/>
                  </a:defRPr>
                </a:pPr>
                <a:endParaRPr lang="en-US"/>
              </a:p>
            </c:txPr>
            <c:showLegendKey val="0"/>
            <c:showVal val="1"/>
            <c:showCatName val="1"/>
            <c:showSerName val="0"/>
            <c:showPercent val="0"/>
            <c:showBubbleSize val="0"/>
            <c:showLeaderLines val="1"/>
          </c:dLbls>
          <c:cat>
            <c:strRef>
              <c:f>Graphs2!$A$29:$A$32</c:f>
              <c:strCache>
                <c:ptCount val="4"/>
                <c:pt idx="0">
                  <c:v>Grids 1,2</c:v>
                </c:pt>
                <c:pt idx="1">
                  <c:v>Grid 3</c:v>
                </c:pt>
                <c:pt idx="2">
                  <c:v>Grid 4</c:v>
                </c:pt>
                <c:pt idx="3">
                  <c:v>Grids 5,6</c:v>
                </c:pt>
              </c:strCache>
            </c:strRef>
          </c:cat>
          <c:val>
            <c:numRef>
              <c:f>Graphs2!$B$29:$B$32</c:f>
              <c:numCache>
                <c:formatCode>0%</c:formatCode>
                <c:ptCount val="4"/>
                <c:pt idx="0">
                  <c:v>0.43</c:v>
                </c:pt>
                <c:pt idx="1">
                  <c:v>0.3</c:v>
                </c:pt>
                <c:pt idx="2">
                  <c:v>0.18</c:v>
                </c:pt>
                <c:pt idx="3">
                  <c:v>0.09</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Arial" panose="020B0604020202020204" pitchFamily="34" charset="0"/>
                <a:cs typeface="Arial" panose="020B0604020202020204" pitchFamily="34" charset="0"/>
              </a:defRPr>
            </a:pPr>
            <a:r>
              <a:rPr lang="en-US" sz="1100" u="sng">
                <a:latin typeface="Arial" panose="020B0604020202020204" pitchFamily="34" charset="0"/>
                <a:cs typeface="Arial" panose="020B0604020202020204" pitchFamily="34" charset="0"/>
              </a:rPr>
              <a:t>Figure 2</a:t>
            </a:r>
            <a:r>
              <a:rPr lang="en-US" sz="1100" u="none">
                <a:latin typeface="Arial" panose="020B0604020202020204" pitchFamily="34" charset="0"/>
                <a:cs typeface="Arial" panose="020B0604020202020204" pitchFamily="34" charset="0"/>
              </a:rPr>
              <a:t>     Length</a:t>
            </a:r>
            <a:r>
              <a:rPr lang="en-US" sz="1100" u="none" baseline="0">
                <a:latin typeface="Arial" panose="020B0604020202020204" pitchFamily="34" charset="0"/>
                <a:cs typeface="Arial" panose="020B0604020202020204" pitchFamily="34" charset="0"/>
              </a:rPr>
              <a:t> of Time to</a:t>
            </a:r>
            <a:r>
              <a:rPr lang="en-US" sz="1100" baseline="0">
                <a:latin typeface="Arial" panose="020B0604020202020204" pitchFamily="34" charset="0"/>
                <a:cs typeface="Arial" panose="020B0604020202020204" pitchFamily="34" charset="0"/>
              </a:rPr>
              <a:t> First Adult</a:t>
            </a:r>
            <a:r>
              <a:rPr lang="en-US" sz="1100">
                <a:latin typeface="Arial" panose="020B0604020202020204" pitchFamily="34" charset="0"/>
                <a:cs typeface="Arial" panose="020B0604020202020204" pitchFamily="34" charset="0"/>
              </a:rPr>
              <a:t> Conviction </a:t>
            </a:r>
          </a:p>
          <a:p>
            <a:pPr>
              <a:defRPr sz="1100">
                <a:latin typeface="Arial" panose="020B0604020202020204" pitchFamily="34" charset="0"/>
                <a:cs typeface="Arial" panose="020B0604020202020204" pitchFamily="34" charset="0"/>
              </a:defRPr>
            </a:pPr>
            <a:r>
              <a:rPr lang="en-US" sz="1100">
                <a:latin typeface="Arial" panose="020B0604020202020204" pitchFamily="34" charset="0"/>
                <a:cs typeface="Arial" panose="020B0604020202020204" pitchFamily="34" charset="0"/>
              </a:rPr>
              <a:t>(For 2014 Recidivist Group)</a:t>
            </a:r>
          </a:p>
        </c:rich>
      </c:tx>
      <c:layout>
        <c:manualLayout>
          <c:xMode val="edge"/>
          <c:yMode val="edge"/>
          <c:x val="0.15546732445038089"/>
          <c:y val="2.9067202376829002E-2"/>
        </c:manualLayout>
      </c:layout>
      <c:overlay val="0"/>
    </c:title>
    <c:autoTitleDeleted val="0"/>
    <c:plotArea>
      <c:layout/>
      <c:barChart>
        <c:barDir val="col"/>
        <c:grouping val="clustered"/>
        <c:varyColors val="0"/>
        <c:ser>
          <c:idx val="0"/>
          <c:order val="0"/>
          <c:tx>
            <c:strRef>
              <c:f>Graphs1!$B$519</c:f>
              <c:strCache>
                <c:ptCount val="1"/>
                <c:pt idx="0">
                  <c:v>Total</c:v>
                </c:pt>
              </c:strCache>
            </c:strRef>
          </c:tx>
          <c:spPr>
            <a:solidFill>
              <a:schemeClr val="accent5">
                <a:lumMod val="50000"/>
              </a:schemeClr>
            </a:solidFill>
          </c:spPr>
          <c:invertIfNegative val="0"/>
          <c:cat>
            <c:strRef>
              <c:f>Graphs1!$A$520:$A$527</c:f>
              <c:strCache>
                <c:ptCount val="8"/>
                <c:pt idx="0">
                  <c:v>0-3 mos.</c:v>
                </c:pt>
                <c:pt idx="1">
                  <c:v>3-6 mos.</c:v>
                </c:pt>
                <c:pt idx="2">
                  <c:v>6-9 mos.</c:v>
                </c:pt>
                <c:pt idx="3">
                  <c:v>9-12 mos.</c:v>
                </c:pt>
                <c:pt idx="4">
                  <c:v>12-15 mos.</c:v>
                </c:pt>
                <c:pt idx="5">
                  <c:v>15-18 mos.</c:v>
                </c:pt>
                <c:pt idx="6">
                  <c:v>18-21 mos.</c:v>
                </c:pt>
                <c:pt idx="7">
                  <c:v>21-24 mos.</c:v>
                </c:pt>
              </c:strCache>
            </c:strRef>
          </c:cat>
          <c:val>
            <c:numRef>
              <c:f>Graphs1!$B$520:$B$527</c:f>
              <c:numCache>
                <c:formatCode>General</c:formatCode>
                <c:ptCount val="8"/>
                <c:pt idx="0">
                  <c:v>39</c:v>
                </c:pt>
                <c:pt idx="1">
                  <c:v>28</c:v>
                </c:pt>
                <c:pt idx="2">
                  <c:v>18</c:v>
                </c:pt>
                <c:pt idx="3">
                  <c:v>21</c:v>
                </c:pt>
                <c:pt idx="4">
                  <c:v>13</c:v>
                </c:pt>
                <c:pt idx="5">
                  <c:v>10</c:v>
                </c:pt>
                <c:pt idx="6">
                  <c:v>19</c:v>
                </c:pt>
                <c:pt idx="7">
                  <c:v>7</c:v>
                </c:pt>
              </c:numCache>
            </c:numRef>
          </c:val>
        </c:ser>
        <c:dLbls>
          <c:showLegendKey val="0"/>
          <c:showVal val="0"/>
          <c:showCatName val="0"/>
          <c:showSerName val="0"/>
          <c:showPercent val="0"/>
          <c:showBubbleSize val="0"/>
        </c:dLbls>
        <c:gapWidth val="150"/>
        <c:axId val="44575232"/>
        <c:axId val="84628544"/>
      </c:barChart>
      <c:catAx>
        <c:axId val="44575232"/>
        <c:scaling>
          <c:orientation val="minMax"/>
        </c:scaling>
        <c:delete val="0"/>
        <c:axPos val="b"/>
        <c:numFmt formatCode="General" sourceLinked="1"/>
        <c:majorTickMark val="out"/>
        <c:minorTickMark val="none"/>
        <c:tickLblPos val="nextTo"/>
        <c:txPr>
          <a:bodyPr/>
          <a:lstStyle/>
          <a:p>
            <a:pPr>
              <a:defRPr sz="1100" b="1"/>
            </a:pPr>
            <a:endParaRPr lang="en-US"/>
          </a:p>
        </c:txPr>
        <c:crossAx val="84628544"/>
        <c:crosses val="autoZero"/>
        <c:auto val="1"/>
        <c:lblAlgn val="ctr"/>
        <c:lblOffset val="100"/>
        <c:noMultiLvlLbl val="0"/>
      </c:catAx>
      <c:valAx>
        <c:axId val="84628544"/>
        <c:scaling>
          <c:orientation val="minMax"/>
          <c:max val="40"/>
        </c:scaling>
        <c:delete val="0"/>
        <c:axPos val="l"/>
        <c:majorGridlines/>
        <c:numFmt formatCode="General" sourceLinked="1"/>
        <c:majorTickMark val="out"/>
        <c:minorTickMark val="none"/>
        <c:tickLblPos val="nextTo"/>
        <c:txPr>
          <a:bodyPr/>
          <a:lstStyle/>
          <a:p>
            <a:pPr>
              <a:defRPr b="1"/>
            </a:pPr>
            <a:endParaRPr lang="en-US"/>
          </a:p>
        </c:txPr>
        <c:crossAx val="44575232"/>
        <c:crosses val="autoZero"/>
        <c:crossBetween val="between"/>
        <c:majorUnit val="10"/>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2014 </a:t>
            </a:r>
            <a:r>
              <a:rPr lang="en-US" sz="1200" b="1" i="0" u="none" strike="noStrike" baseline="0">
                <a:effectLst/>
              </a:rPr>
              <a:t>DYS Discharges </a:t>
            </a:r>
            <a:r>
              <a:rPr lang="en-US"/>
              <a:t>(By Offense Type)</a:t>
            </a:r>
          </a:p>
        </c:rich>
      </c:tx>
      <c:layout>
        <c:manualLayout>
          <c:xMode val="edge"/>
          <c:yMode val="edge"/>
          <c:x val="0.21379328446013221"/>
          <c:y val="4.8991354466858782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9655188960793513"/>
          <c:y val="0.35446685878962547"/>
          <c:w val="0.55862115993834183"/>
          <c:h val="0.36887608069164296"/>
        </c:manualLayout>
      </c:layout>
      <c:pie3DChart>
        <c:varyColors val="1"/>
        <c:ser>
          <c:idx val="0"/>
          <c:order val="0"/>
          <c:spPr>
            <a:solidFill>
              <a:srgbClr val="9999FF"/>
            </a:solidFill>
            <a:ln w="12700">
              <a:solidFill>
                <a:srgbClr val="000000"/>
              </a:solidFill>
              <a:prstDash val="solid"/>
            </a:ln>
          </c:spPr>
          <c:dPt>
            <c:idx val="0"/>
            <c:bubble3D val="0"/>
            <c:spPr>
              <a:solidFill>
                <a:srgbClr val="0000FF"/>
              </a:solidFill>
              <a:ln w="12700">
                <a:solidFill>
                  <a:srgbClr val="000000"/>
                </a:solidFill>
                <a:prstDash val="solid"/>
              </a:ln>
            </c:spPr>
          </c:dPt>
          <c:dPt>
            <c:idx val="1"/>
            <c:bubble3D val="0"/>
            <c:spPr>
              <a:solidFill>
                <a:srgbClr val="FF0000"/>
              </a:solidFill>
              <a:ln w="12700">
                <a:solidFill>
                  <a:srgbClr val="000000"/>
                </a:solidFill>
                <a:prstDash val="solid"/>
              </a:ln>
            </c:spPr>
          </c:dPt>
          <c:dPt>
            <c:idx val="2"/>
            <c:bubble3D val="0"/>
            <c:spPr>
              <a:solidFill>
                <a:srgbClr val="008080"/>
              </a:solidFill>
              <a:ln w="12700">
                <a:solidFill>
                  <a:srgbClr val="000000"/>
                </a:solidFill>
                <a:prstDash val="solid"/>
              </a:ln>
            </c:spPr>
          </c:dPt>
          <c:dPt>
            <c:idx val="3"/>
            <c:bubble3D val="0"/>
            <c:spPr>
              <a:solidFill>
                <a:srgbClr val="000000"/>
              </a:solidFill>
              <a:ln w="12700">
                <a:solidFill>
                  <a:srgbClr val="000000"/>
                </a:solidFill>
                <a:prstDash val="solid"/>
              </a:ln>
            </c:spPr>
          </c:dPt>
          <c:dPt>
            <c:idx val="4"/>
            <c:bubble3D val="0"/>
            <c:spPr>
              <a:solidFill>
                <a:srgbClr val="FFFF00"/>
              </a:solidFill>
              <a:ln w="12700">
                <a:solidFill>
                  <a:srgbClr val="000000"/>
                </a:solidFill>
                <a:prstDash val="solid"/>
              </a:ln>
            </c:spPr>
          </c:dPt>
          <c:dPt>
            <c:idx val="5"/>
            <c:bubble3D val="0"/>
            <c:spPr>
              <a:solidFill>
                <a:srgbClr val="C0C0C0"/>
              </a:solidFill>
              <a:ln w="12700">
                <a:solidFill>
                  <a:srgbClr val="000000"/>
                </a:solidFill>
                <a:prstDash val="solid"/>
              </a:ln>
            </c:spPr>
          </c:dPt>
          <c:dLbls>
            <c:dLbl>
              <c:idx val="0"/>
              <c:layout>
                <c:manualLayout>
                  <c:x val="4.0889492261743154E-2"/>
                  <c:y val="8.4484180111491822E-2"/>
                </c:manualLayout>
              </c:layout>
              <c:dLblPos val="bestFit"/>
              <c:showLegendKey val="0"/>
              <c:showVal val="1"/>
              <c:showCatName val="1"/>
              <c:showSerName val="0"/>
              <c:showPercent val="0"/>
              <c:showBubbleSize val="0"/>
            </c:dLbl>
            <c:dLbl>
              <c:idx val="1"/>
              <c:layout>
                <c:manualLayout>
                  <c:x val="9.2626482034573285E-2"/>
                  <c:y val="0.16211093209890551"/>
                </c:manualLayout>
              </c:layout>
              <c:dLblPos val="bestFit"/>
              <c:showLegendKey val="0"/>
              <c:showVal val="1"/>
              <c:showCatName val="1"/>
              <c:showSerName val="0"/>
              <c:showPercent val="0"/>
              <c:showBubbleSize val="0"/>
            </c:dLbl>
            <c:dLbl>
              <c:idx val="2"/>
              <c:layout>
                <c:manualLayout>
                  <c:x val="-3.5599601773916197E-2"/>
                  <c:y val="7.4379722707572218E-2"/>
                </c:manualLayout>
              </c:layout>
              <c:dLblPos val="bestFit"/>
              <c:showLegendKey val="0"/>
              <c:showVal val="1"/>
              <c:showCatName val="1"/>
              <c:showSerName val="0"/>
              <c:showPercent val="0"/>
              <c:showBubbleSize val="0"/>
            </c:dLbl>
            <c:dLbl>
              <c:idx val="3"/>
              <c:layout>
                <c:manualLayout>
                  <c:x val="3.5042085256584317E-3"/>
                  <c:y val="-5.5667551642500021E-2"/>
                </c:manualLayout>
              </c:layout>
              <c:dLblPos val="bestFit"/>
              <c:showLegendKey val="0"/>
              <c:showVal val="1"/>
              <c:showCatName val="1"/>
              <c:showSerName val="0"/>
              <c:showPercent val="0"/>
              <c:showBubbleSize val="0"/>
            </c:dLbl>
            <c:dLbl>
              <c:idx val="4"/>
              <c:layout>
                <c:manualLayout>
                  <c:x val="8.2361842700696949E-2"/>
                  <c:y val="-0.1222501077855182"/>
                </c:manualLayout>
              </c:layout>
              <c:dLblPos val="bestFit"/>
              <c:showLegendKey val="0"/>
              <c:showVal val="1"/>
              <c:showCatName val="1"/>
              <c:showSerName val="0"/>
              <c:showPercent val="0"/>
              <c:showBubbleSize val="0"/>
            </c:dLbl>
            <c:dLbl>
              <c:idx val="5"/>
              <c:layout>
                <c:manualLayout>
                  <c:x val="0.23344737080278774"/>
                  <c:y val="-7.089216153456325E-2"/>
                </c:manualLayout>
              </c:layout>
              <c:dLblPos val="bestFit"/>
              <c:showLegendKey val="0"/>
              <c:showVal val="1"/>
              <c:showCatName val="1"/>
              <c:showSerName val="0"/>
              <c:showPercent val="0"/>
              <c:showBubbleSize val="0"/>
            </c:dLbl>
            <c:spPr>
              <a:noFill/>
              <a:ln w="25400">
                <a:noFill/>
              </a:ln>
            </c:spPr>
            <c:txPr>
              <a:bodyPr/>
              <a:lstStyle/>
              <a:p>
                <a:pPr>
                  <a:defRPr sz="1000" b="1" i="0" u="none" strike="noStrike" baseline="0">
                    <a:solidFill>
                      <a:srgbClr val="000000"/>
                    </a:solidFill>
                    <a:latin typeface="Arial"/>
                    <a:ea typeface="Arial"/>
                    <a:cs typeface="Arial"/>
                  </a:defRPr>
                </a:pPr>
                <a:endParaRPr lang="en-US"/>
              </a:p>
            </c:txPr>
            <c:showLegendKey val="0"/>
            <c:showVal val="1"/>
            <c:showCatName val="1"/>
            <c:showSerName val="0"/>
            <c:showPercent val="0"/>
            <c:showBubbleSize val="0"/>
            <c:showLeaderLines val="1"/>
          </c:dLbls>
          <c:cat>
            <c:strRef>
              <c:f>Graphs2!$A$19:$A$24</c:f>
              <c:strCache>
                <c:ptCount val="6"/>
                <c:pt idx="0">
                  <c:v>Person</c:v>
                </c:pt>
                <c:pt idx="1">
                  <c:v>Property</c:v>
                </c:pt>
                <c:pt idx="2">
                  <c:v>Drugs</c:v>
                </c:pt>
                <c:pt idx="3">
                  <c:v>Motor Vehicle</c:v>
                </c:pt>
                <c:pt idx="4">
                  <c:v>Weapons</c:v>
                </c:pt>
                <c:pt idx="5">
                  <c:v>Public Order</c:v>
                </c:pt>
              </c:strCache>
            </c:strRef>
          </c:cat>
          <c:val>
            <c:numRef>
              <c:f>Graphs2!$B$19:$B$24</c:f>
              <c:numCache>
                <c:formatCode>0%</c:formatCode>
                <c:ptCount val="6"/>
                <c:pt idx="0">
                  <c:v>0.56999999999999995</c:v>
                </c:pt>
                <c:pt idx="1">
                  <c:v>0.21</c:v>
                </c:pt>
                <c:pt idx="2">
                  <c:v>0.04</c:v>
                </c:pt>
                <c:pt idx="3">
                  <c:v>0.02</c:v>
                </c:pt>
                <c:pt idx="4">
                  <c:v>0.09</c:v>
                </c:pt>
                <c:pt idx="5">
                  <c:v>0.08</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Arial"/>
                <a:ea typeface="Arial"/>
                <a:cs typeface="Arial"/>
              </a:defRPr>
            </a:pPr>
            <a:r>
              <a:rPr lang="en-US" sz="1100" b="1" i="0" u="sng" strike="noStrike" baseline="0">
                <a:solidFill>
                  <a:srgbClr val="000000"/>
                </a:solidFill>
                <a:latin typeface="Arial"/>
                <a:cs typeface="Arial"/>
              </a:rPr>
              <a:t>Figure 3</a:t>
            </a:r>
            <a:r>
              <a:rPr lang="en-US" sz="1100" b="1" i="0" u="none" strike="noStrike" baseline="0">
                <a:solidFill>
                  <a:srgbClr val="000000"/>
                </a:solidFill>
                <a:latin typeface="Arial"/>
                <a:cs typeface="Arial"/>
              </a:rPr>
              <a:t>   Percent of Each Gender Convicted Within One Year</a:t>
            </a:r>
          </a:p>
        </c:rich>
      </c:tx>
      <c:layout>
        <c:manualLayout>
          <c:xMode val="edge"/>
          <c:yMode val="edge"/>
          <c:x val="0.16788677403611518"/>
          <c:y val="3.4383954154727794E-2"/>
        </c:manualLayout>
      </c:layout>
      <c:overlay val="0"/>
      <c:spPr>
        <a:noFill/>
        <a:ln w="25400">
          <a:noFill/>
        </a:ln>
      </c:spPr>
    </c:title>
    <c:autoTitleDeleted val="0"/>
    <c:plotArea>
      <c:layout>
        <c:manualLayout>
          <c:layoutTarget val="inner"/>
          <c:xMode val="edge"/>
          <c:yMode val="edge"/>
          <c:x val="0.18740849194729156"/>
          <c:y val="0.19770801300033164"/>
          <c:w val="0.7920937042459737"/>
          <c:h val="0.53581736856611606"/>
        </c:manualLayout>
      </c:layout>
      <c:barChart>
        <c:barDir val="col"/>
        <c:grouping val="clustered"/>
        <c:varyColors val="0"/>
        <c:ser>
          <c:idx val="0"/>
          <c:order val="0"/>
          <c:tx>
            <c:strRef>
              <c:f>Graphs1!$A$35</c:f>
              <c:strCache>
                <c:ptCount val="1"/>
                <c:pt idx="0">
                  <c:v>Males</c:v>
                </c:pt>
              </c:strCache>
            </c:strRef>
          </c:tx>
          <c:spPr>
            <a:solidFill>
              <a:srgbClr val="000080"/>
            </a:solidFill>
            <a:ln w="12700">
              <a:solidFill>
                <a:srgbClr val="000000"/>
              </a:solidFill>
              <a:prstDash val="solid"/>
            </a:ln>
          </c:spPr>
          <c:invertIfNegative val="0"/>
          <c:cat>
            <c:numRef>
              <c:f>Graphs1!$H$34:$Q$34</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Graphs1!$H$35:$Q$35</c:f>
              <c:numCache>
                <c:formatCode>0%</c:formatCode>
                <c:ptCount val="10"/>
                <c:pt idx="0">
                  <c:v>0.34</c:v>
                </c:pt>
                <c:pt idx="1">
                  <c:v>0.41</c:v>
                </c:pt>
                <c:pt idx="2">
                  <c:v>0.43</c:v>
                </c:pt>
                <c:pt idx="3">
                  <c:v>0.43</c:v>
                </c:pt>
                <c:pt idx="4">
                  <c:v>0.3</c:v>
                </c:pt>
                <c:pt idx="5">
                  <c:v>0.28999999999999998</c:v>
                </c:pt>
                <c:pt idx="6">
                  <c:v>0.26</c:v>
                </c:pt>
                <c:pt idx="7">
                  <c:v>0.25</c:v>
                </c:pt>
                <c:pt idx="8">
                  <c:v>0.28000000000000003</c:v>
                </c:pt>
                <c:pt idx="9">
                  <c:v>0.28999999999999998</c:v>
                </c:pt>
              </c:numCache>
            </c:numRef>
          </c:val>
        </c:ser>
        <c:ser>
          <c:idx val="1"/>
          <c:order val="1"/>
          <c:tx>
            <c:strRef>
              <c:f>Graphs1!$A$36</c:f>
              <c:strCache>
                <c:ptCount val="1"/>
                <c:pt idx="0">
                  <c:v>Females</c:v>
                </c:pt>
              </c:strCache>
            </c:strRef>
          </c:tx>
          <c:spPr>
            <a:solidFill>
              <a:srgbClr val="FF0000"/>
            </a:solidFill>
            <a:ln w="12700">
              <a:solidFill>
                <a:srgbClr val="000000"/>
              </a:solidFill>
              <a:prstDash val="solid"/>
            </a:ln>
          </c:spPr>
          <c:invertIfNegative val="0"/>
          <c:cat>
            <c:numRef>
              <c:f>Graphs1!$H$34:$Q$34</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Graphs1!$H$36:$Q$36</c:f>
              <c:numCache>
                <c:formatCode>0%</c:formatCode>
                <c:ptCount val="10"/>
                <c:pt idx="0">
                  <c:v>0.06</c:v>
                </c:pt>
                <c:pt idx="1">
                  <c:v>0.05</c:v>
                </c:pt>
                <c:pt idx="2">
                  <c:v>0.19</c:v>
                </c:pt>
                <c:pt idx="3">
                  <c:v>0.05</c:v>
                </c:pt>
                <c:pt idx="4">
                  <c:v>0.12</c:v>
                </c:pt>
                <c:pt idx="5">
                  <c:v>0.04</c:v>
                </c:pt>
                <c:pt idx="6">
                  <c:v>0.04</c:v>
                </c:pt>
                <c:pt idx="7">
                  <c:v>0.04</c:v>
                </c:pt>
                <c:pt idx="8">
                  <c:v>0.11</c:v>
                </c:pt>
                <c:pt idx="9">
                  <c:v>0.08</c:v>
                </c:pt>
              </c:numCache>
            </c:numRef>
          </c:val>
        </c:ser>
        <c:dLbls>
          <c:showLegendKey val="0"/>
          <c:showVal val="0"/>
          <c:showCatName val="0"/>
          <c:showSerName val="0"/>
          <c:showPercent val="0"/>
          <c:showBubbleSize val="0"/>
        </c:dLbls>
        <c:gapWidth val="150"/>
        <c:axId val="45731840"/>
        <c:axId val="84629696"/>
      </c:barChart>
      <c:catAx>
        <c:axId val="45731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84629696"/>
        <c:crosses val="autoZero"/>
        <c:auto val="1"/>
        <c:lblAlgn val="ctr"/>
        <c:lblOffset val="100"/>
        <c:tickMarkSkip val="1"/>
        <c:noMultiLvlLbl val="0"/>
      </c:catAx>
      <c:valAx>
        <c:axId val="84629696"/>
        <c:scaling>
          <c:orientation val="minMax"/>
          <c:max val="0.5"/>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45731840"/>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4E4E4">
                <a:gamma/>
                <a:tint val="25490"/>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Arial"/>
                <a:ea typeface="Arial"/>
                <a:cs typeface="Arial"/>
              </a:defRPr>
            </a:pPr>
            <a:r>
              <a:rPr lang="en-US" sz="1100" b="1" i="0" u="sng" strike="noStrike" baseline="0">
                <a:solidFill>
                  <a:srgbClr val="000000"/>
                </a:solidFill>
                <a:latin typeface="Arial"/>
                <a:cs typeface="Arial"/>
              </a:rPr>
              <a:t>Figure 4</a:t>
            </a:r>
            <a:r>
              <a:rPr lang="en-US" sz="1100" b="1" i="0" u="none" strike="noStrike" baseline="0">
                <a:solidFill>
                  <a:srgbClr val="000000"/>
                </a:solidFill>
                <a:latin typeface="Arial"/>
                <a:cs typeface="Arial"/>
              </a:rPr>
              <a:t>   Percent of Ethnic Groups Convicted Within One Year</a:t>
            </a:r>
          </a:p>
        </c:rich>
      </c:tx>
      <c:layout>
        <c:manualLayout>
          <c:xMode val="edge"/>
          <c:yMode val="edge"/>
          <c:x val="0.14977988984857071"/>
          <c:y val="3.4482758620689655E-2"/>
        </c:manualLayout>
      </c:layout>
      <c:overlay val="0"/>
      <c:spPr>
        <a:noFill/>
        <a:ln w="25400">
          <a:noFill/>
        </a:ln>
      </c:spPr>
    </c:title>
    <c:autoTitleDeleted val="0"/>
    <c:plotArea>
      <c:layout>
        <c:manualLayout>
          <c:layoutTarget val="inner"/>
          <c:xMode val="edge"/>
          <c:yMode val="edge"/>
          <c:x val="0.21145404772113591"/>
          <c:y val="0.1982764184750429"/>
          <c:w val="0.7679893538760697"/>
          <c:h val="0.45402426259502582"/>
        </c:manualLayout>
      </c:layout>
      <c:barChart>
        <c:barDir val="col"/>
        <c:grouping val="clustered"/>
        <c:varyColors val="0"/>
        <c:ser>
          <c:idx val="0"/>
          <c:order val="0"/>
          <c:tx>
            <c:strRef>
              <c:f>Graphs1!$A$64</c:f>
              <c:strCache>
                <c:ptCount val="1"/>
                <c:pt idx="0">
                  <c:v>Caucasian</c:v>
                </c:pt>
              </c:strCache>
            </c:strRef>
          </c:tx>
          <c:spPr>
            <a:solidFill>
              <a:srgbClr val="0000FF"/>
            </a:solidFill>
            <a:ln w="12700">
              <a:solidFill>
                <a:srgbClr val="000000"/>
              </a:solidFill>
              <a:prstDash val="solid"/>
            </a:ln>
          </c:spPr>
          <c:invertIfNegative val="0"/>
          <c:cat>
            <c:numRef>
              <c:f>Graphs1!$H$63:$Q$63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Graphs1!$H$64:$Q$64</c:f>
              <c:numCache>
                <c:formatCode>0%</c:formatCode>
                <c:ptCount val="10"/>
                <c:pt idx="0">
                  <c:v>0.222</c:v>
                </c:pt>
                <c:pt idx="1">
                  <c:v>0.33500000000000002</c:v>
                </c:pt>
                <c:pt idx="2">
                  <c:v>0.39600000000000002</c:v>
                </c:pt>
                <c:pt idx="3">
                  <c:v>0.36099999999999999</c:v>
                </c:pt>
                <c:pt idx="4">
                  <c:v>0.28000000000000003</c:v>
                </c:pt>
                <c:pt idx="5">
                  <c:v>0.26800000000000002</c:v>
                </c:pt>
                <c:pt idx="6">
                  <c:v>0.22899999999999998</c:v>
                </c:pt>
                <c:pt idx="7">
                  <c:v>0.17600000000000002</c:v>
                </c:pt>
                <c:pt idx="8">
                  <c:v>0.25</c:v>
                </c:pt>
                <c:pt idx="9">
                  <c:v>0.22</c:v>
                </c:pt>
              </c:numCache>
            </c:numRef>
          </c:val>
        </c:ser>
        <c:ser>
          <c:idx val="1"/>
          <c:order val="1"/>
          <c:tx>
            <c:strRef>
              <c:f>Graphs1!$A$65</c:f>
              <c:strCache>
                <c:ptCount val="1"/>
                <c:pt idx="0">
                  <c:v>Afr. American</c:v>
                </c:pt>
              </c:strCache>
            </c:strRef>
          </c:tx>
          <c:spPr>
            <a:solidFill>
              <a:srgbClr val="FF0000"/>
            </a:solidFill>
            <a:ln w="12700">
              <a:solidFill>
                <a:srgbClr val="000000"/>
              </a:solidFill>
              <a:prstDash val="solid"/>
            </a:ln>
          </c:spPr>
          <c:invertIfNegative val="0"/>
          <c:cat>
            <c:numRef>
              <c:f>Graphs1!$H$63:$Q$63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Graphs1!$H$65:$Q$65</c:f>
              <c:numCache>
                <c:formatCode>0%</c:formatCode>
                <c:ptCount val="10"/>
                <c:pt idx="0">
                  <c:v>0.41799999999999998</c:v>
                </c:pt>
                <c:pt idx="1">
                  <c:v>0.41100000000000003</c:v>
                </c:pt>
                <c:pt idx="2">
                  <c:v>0.376</c:v>
                </c:pt>
                <c:pt idx="3">
                  <c:v>0.42399999999999999</c:v>
                </c:pt>
                <c:pt idx="4">
                  <c:v>0.29600000000000004</c:v>
                </c:pt>
                <c:pt idx="5">
                  <c:v>0.27800000000000002</c:v>
                </c:pt>
                <c:pt idx="6">
                  <c:v>0.20199999999999999</c:v>
                </c:pt>
                <c:pt idx="7">
                  <c:v>0.30499999999999999</c:v>
                </c:pt>
                <c:pt idx="8">
                  <c:v>0.33</c:v>
                </c:pt>
                <c:pt idx="9">
                  <c:v>0.26</c:v>
                </c:pt>
              </c:numCache>
            </c:numRef>
          </c:val>
        </c:ser>
        <c:ser>
          <c:idx val="2"/>
          <c:order val="2"/>
          <c:tx>
            <c:strRef>
              <c:f>Graphs1!$A$66</c:f>
              <c:strCache>
                <c:ptCount val="1"/>
                <c:pt idx="0">
                  <c:v>Hispanic</c:v>
                </c:pt>
              </c:strCache>
            </c:strRef>
          </c:tx>
          <c:spPr>
            <a:solidFill>
              <a:srgbClr val="FFFF00"/>
            </a:solidFill>
            <a:ln w="12700">
              <a:solidFill>
                <a:srgbClr val="000000"/>
              </a:solidFill>
              <a:prstDash val="solid"/>
            </a:ln>
          </c:spPr>
          <c:invertIfNegative val="0"/>
          <c:cat>
            <c:numRef>
              <c:f>Graphs1!$H$63:$Q$63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Graphs1!$H$66:$Q$66</c:f>
              <c:numCache>
                <c:formatCode>0%</c:formatCode>
                <c:ptCount val="10"/>
                <c:pt idx="0">
                  <c:v>0.34</c:v>
                </c:pt>
                <c:pt idx="1">
                  <c:v>0.31</c:v>
                </c:pt>
                <c:pt idx="2">
                  <c:v>0.45200000000000001</c:v>
                </c:pt>
                <c:pt idx="3">
                  <c:v>0.318</c:v>
                </c:pt>
                <c:pt idx="4">
                  <c:v>0.22699999999999998</c:v>
                </c:pt>
                <c:pt idx="5">
                  <c:v>0.25</c:v>
                </c:pt>
                <c:pt idx="6">
                  <c:v>0.22</c:v>
                </c:pt>
                <c:pt idx="7">
                  <c:v>0.23300000000000001</c:v>
                </c:pt>
                <c:pt idx="8">
                  <c:v>0.24</c:v>
                </c:pt>
                <c:pt idx="9">
                  <c:v>0.3</c:v>
                </c:pt>
              </c:numCache>
            </c:numRef>
          </c:val>
        </c:ser>
        <c:ser>
          <c:idx val="3"/>
          <c:order val="3"/>
          <c:tx>
            <c:strRef>
              <c:f>Graphs1!$A$67</c:f>
              <c:strCache>
                <c:ptCount val="1"/>
                <c:pt idx="0">
                  <c:v>Other</c:v>
                </c:pt>
              </c:strCache>
            </c:strRef>
          </c:tx>
          <c:spPr>
            <a:solidFill>
              <a:srgbClr val="000000"/>
            </a:solidFill>
            <a:ln w="12700">
              <a:solidFill>
                <a:srgbClr val="000000"/>
              </a:solidFill>
              <a:prstDash val="solid"/>
            </a:ln>
          </c:spPr>
          <c:invertIfNegative val="0"/>
          <c:cat>
            <c:numRef>
              <c:f>Graphs1!$H$63:$Q$63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Graphs1!$H$67:$Q$67</c:f>
              <c:numCache>
                <c:formatCode>0%</c:formatCode>
                <c:ptCount val="10"/>
                <c:pt idx="0">
                  <c:v>0.182</c:v>
                </c:pt>
                <c:pt idx="1">
                  <c:v>0.20699999999999999</c:v>
                </c:pt>
                <c:pt idx="2">
                  <c:v>0.27600000000000002</c:v>
                </c:pt>
                <c:pt idx="3">
                  <c:v>0.40600000000000003</c:v>
                </c:pt>
                <c:pt idx="4">
                  <c:v>0.36399999999999999</c:v>
                </c:pt>
                <c:pt idx="5">
                  <c:v>6.5000000000000002E-2</c:v>
                </c:pt>
                <c:pt idx="6">
                  <c:v>0.22699999999999998</c:v>
                </c:pt>
                <c:pt idx="7">
                  <c:v>0.14699999999999999</c:v>
                </c:pt>
                <c:pt idx="8">
                  <c:v>0.18</c:v>
                </c:pt>
                <c:pt idx="9">
                  <c:v>0.23</c:v>
                </c:pt>
              </c:numCache>
            </c:numRef>
          </c:val>
        </c:ser>
        <c:dLbls>
          <c:showLegendKey val="0"/>
          <c:showVal val="0"/>
          <c:showCatName val="0"/>
          <c:showSerName val="0"/>
          <c:showPercent val="0"/>
          <c:showBubbleSize val="0"/>
        </c:dLbls>
        <c:gapWidth val="150"/>
        <c:axId val="45733376"/>
        <c:axId val="137887744"/>
      </c:barChart>
      <c:catAx>
        <c:axId val="45733376"/>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37887744"/>
        <c:crosses val="autoZero"/>
        <c:auto val="1"/>
        <c:lblAlgn val="ctr"/>
        <c:lblOffset val="100"/>
        <c:tickMarkSkip val="1"/>
        <c:noMultiLvlLbl val="0"/>
      </c:catAx>
      <c:valAx>
        <c:axId val="137887744"/>
        <c:scaling>
          <c:orientation val="minMax"/>
          <c:max val="0.5"/>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45733376"/>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900" b="1" i="0" u="none" strike="noStrike" baseline="0">
                <a:solidFill>
                  <a:srgbClr val="000000"/>
                </a:solidFill>
                <a:latin typeface="Arial"/>
                <a:ea typeface="Arial"/>
                <a:cs typeface="Arial"/>
              </a:defRPr>
            </a:pPr>
            <a:endParaRPr lang="en-US"/>
          </a:p>
        </c:txPr>
      </c:dTable>
      <c:spPr>
        <a:gradFill rotWithShape="0">
          <a:gsLst>
            <a:gs pos="0">
              <a:srgbClr val="D7D7D7">
                <a:gamma/>
                <a:tint val="38039"/>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Arial"/>
                <a:ea typeface="Arial"/>
                <a:cs typeface="Arial"/>
              </a:defRPr>
            </a:pPr>
            <a:r>
              <a:rPr lang="en-US" sz="1100" b="1" i="0" u="sng" strike="noStrike" baseline="0">
                <a:solidFill>
                  <a:srgbClr val="000000"/>
                </a:solidFill>
                <a:latin typeface="Arial"/>
                <a:cs typeface="Arial"/>
              </a:rPr>
              <a:t>Figure 5</a:t>
            </a:r>
            <a:r>
              <a:rPr lang="en-US" sz="1100" b="1" i="0" u="none" strike="noStrike" baseline="0">
                <a:solidFill>
                  <a:srgbClr val="000000"/>
                </a:solidFill>
                <a:latin typeface="Arial"/>
                <a:cs typeface="Arial"/>
              </a:rPr>
              <a:t>   Percent of Offense Group Convicted Within One Year</a:t>
            </a:r>
          </a:p>
        </c:rich>
      </c:tx>
      <c:layout>
        <c:manualLayout>
          <c:xMode val="edge"/>
          <c:yMode val="edge"/>
          <c:x val="0.14391691394658754"/>
          <c:y val="3.2608695652173926E-2"/>
        </c:manualLayout>
      </c:layout>
      <c:overlay val="0"/>
      <c:spPr>
        <a:noFill/>
        <a:ln w="25400">
          <a:noFill/>
        </a:ln>
      </c:spPr>
    </c:title>
    <c:autoTitleDeleted val="0"/>
    <c:plotArea>
      <c:layout>
        <c:manualLayout>
          <c:layoutTarget val="inner"/>
          <c:xMode val="edge"/>
          <c:yMode val="edge"/>
          <c:x val="0.20919881305637988"/>
          <c:y val="0.18750000000000006"/>
          <c:w val="0.77002967359050511"/>
          <c:h val="0.39402173913043492"/>
        </c:manualLayout>
      </c:layout>
      <c:barChart>
        <c:barDir val="col"/>
        <c:grouping val="clustered"/>
        <c:varyColors val="0"/>
        <c:ser>
          <c:idx val="0"/>
          <c:order val="0"/>
          <c:tx>
            <c:strRef>
              <c:f>Graphs1!$A$98</c:f>
              <c:strCache>
                <c:ptCount val="1"/>
                <c:pt idx="0">
                  <c:v>Person</c:v>
                </c:pt>
              </c:strCache>
            </c:strRef>
          </c:tx>
          <c:spPr>
            <a:solidFill>
              <a:srgbClr val="0000FF"/>
            </a:solidFill>
            <a:ln w="12700">
              <a:solidFill>
                <a:srgbClr val="000000"/>
              </a:solidFill>
              <a:prstDash val="solid"/>
            </a:ln>
          </c:spPr>
          <c:invertIfNegative val="0"/>
          <c:cat>
            <c:numRef>
              <c:f>Graphs1!$K$97:$Q$97</c:f>
              <c:numCache>
                <c:formatCode>0</c:formatCode>
                <c:ptCount val="7"/>
                <c:pt idx="0">
                  <c:v>2008</c:v>
                </c:pt>
                <c:pt idx="1">
                  <c:v>2009</c:v>
                </c:pt>
                <c:pt idx="2">
                  <c:v>2010</c:v>
                </c:pt>
                <c:pt idx="3">
                  <c:v>2011</c:v>
                </c:pt>
                <c:pt idx="4">
                  <c:v>2012</c:v>
                </c:pt>
                <c:pt idx="5">
                  <c:v>2013</c:v>
                </c:pt>
                <c:pt idx="6">
                  <c:v>2014</c:v>
                </c:pt>
              </c:numCache>
            </c:numRef>
          </c:cat>
          <c:val>
            <c:numRef>
              <c:f>Graphs1!$K$98:$Q$98</c:f>
              <c:numCache>
                <c:formatCode>0%</c:formatCode>
                <c:ptCount val="7"/>
                <c:pt idx="0">
                  <c:v>0.37</c:v>
                </c:pt>
                <c:pt idx="1">
                  <c:v>0.217</c:v>
                </c:pt>
                <c:pt idx="2">
                  <c:v>0.20600000000000002</c:v>
                </c:pt>
                <c:pt idx="3">
                  <c:v>0.21899999999999997</c:v>
                </c:pt>
                <c:pt idx="4">
                  <c:v>0.25</c:v>
                </c:pt>
                <c:pt idx="5">
                  <c:v>0.27</c:v>
                </c:pt>
                <c:pt idx="6">
                  <c:v>0.28999999999999998</c:v>
                </c:pt>
              </c:numCache>
            </c:numRef>
          </c:val>
        </c:ser>
        <c:ser>
          <c:idx val="1"/>
          <c:order val="1"/>
          <c:tx>
            <c:strRef>
              <c:f>Graphs1!$A$99</c:f>
              <c:strCache>
                <c:ptCount val="1"/>
                <c:pt idx="0">
                  <c:v>Property</c:v>
                </c:pt>
              </c:strCache>
            </c:strRef>
          </c:tx>
          <c:spPr>
            <a:solidFill>
              <a:srgbClr val="FF0000"/>
            </a:solidFill>
            <a:ln w="12700">
              <a:solidFill>
                <a:srgbClr val="000000"/>
              </a:solidFill>
              <a:prstDash val="solid"/>
            </a:ln>
          </c:spPr>
          <c:invertIfNegative val="0"/>
          <c:cat>
            <c:numRef>
              <c:f>Graphs1!$K$97:$Q$97</c:f>
              <c:numCache>
                <c:formatCode>0</c:formatCode>
                <c:ptCount val="7"/>
                <c:pt idx="0">
                  <c:v>2008</c:v>
                </c:pt>
                <c:pt idx="1">
                  <c:v>2009</c:v>
                </c:pt>
                <c:pt idx="2">
                  <c:v>2010</c:v>
                </c:pt>
                <c:pt idx="3">
                  <c:v>2011</c:v>
                </c:pt>
                <c:pt idx="4">
                  <c:v>2012</c:v>
                </c:pt>
                <c:pt idx="5">
                  <c:v>2013</c:v>
                </c:pt>
                <c:pt idx="6">
                  <c:v>2014</c:v>
                </c:pt>
              </c:numCache>
            </c:numRef>
          </c:cat>
          <c:val>
            <c:numRef>
              <c:f>Graphs1!$K$99:$Q$99</c:f>
              <c:numCache>
                <c:formatCode>0%</c:formatCode>
                <c:ptCount val="7"/>
                <c:pt idx="0">
                  <c:v>0.40500000000000003</c:v>
                </c:pt>
                <c:pt idx="1">
                  <c:v>0.35899999999999999</c:v>
                </c:pt>
                <c:pt idx="2">
                  <c:v>0.32</c:v>
                </c:pt>
                <c:pt idx="3">
                  <c:v>0.23399999999999999</c:v>
                </c:pt>
                <c:pt idx="4">
                  <c:v>0.23</c:v>
                </c:pt>
                <c:pt idx="5">
                  <c:v>0.22</c:v>
                </c:pt>
                <c:pt idx="6">
                  <c:v>0.25</c:v>
                </c:pt>
              </c:numCache>
            </c:numRef>
          </c:val>
        </c:ser>
        <c:ser>
          <c:idx val="2"/>
          <c:order val="2"/>
          <c:tx>
            <c:strRef>
              <c:f>Graphs1!$A$100</c:f>
              <c:strCache>
                <c:ptCount val="1"/>
                <c:pt idx="0">
                  <c:v>Drugs</c:v>
                </c:pt>
              </c:strCache>
            </c:strRef>
          </c:tx>
          <c:spPr>
            <a:solidFill>
              <a:srgbClr val="008080"/>
            </a:solidFill>
            <a:ln w="12700">
              <a:solidFill>
                <a:srgbClr val="000000"/>
              </a:solidFill>
              <a:prstDash val="solid"/>
            </a:ln>
          </c:spPr>
          <c:invertIfNegative val="0"/>
          <c:cat>
            <c:numRef>
              <c:f>Graphs1!$K$97:$Q$97</c:f>
              <c:numCache>
                <c:formatCode>0</c:formatCode>
                <c:ptCount val="7"/>
                <c:pt idx="0">
                  <c:v>2008</c:v>
                </c:pt>
                <c:pt idx="1">
                  <c:v>2009</c:v>
                </c:pt>
                <c:pt idx="2">
                  <c:v>2010</c:v>
                </c:pt>
                <c:pt idx="3">
                  <c:v>2011</c:v>
                </c:pt>
                <c:pt idx="4">
                  <c:v>2012</c:v>
                </c:pt>
                <c:pt idx="5">
                  <c:v>2013</c:v>
                </c:pt>
                <c:pt idx="6">
                  <c:v>2014</c:v>
                </c:pt>
              </c:numCache>
            </c:numRef>
          </c:cat>
          <c:val>
            <c:numRef>
              <c:f>Graphs1!$K$100:$Q$100</c:f>
              <c:numCache>
                <c:formatCode>0%</c:formatCode>
                <c:ptCount val="7"/>
                <c:pt idx="0">
                  <c:v>0.48100000000000004</c:v>
                </c:pt>
                <c:pt idx="1">
                  <c:v>0.34</c:v>
                </c:pt>
                <c:pt idx="2">
                  <c:v>0.375</c:v>
                </c:pt>
                <c:pt idx="3">
                  <c:v>0.20699999999999999</c:v>
                </c:pt>
                <c:pt idx="4">
                  <c:v>0.217</c:v>
                </c:pt>
                <c:pt idx="5">
                  <c:v>0.27</c:v>
                </c:pt>
                <c:pt idx="6">
                  <c:v>0.06</c:v>
                </c:pt>
              </c:numCache>
            </c:numRef>
          </c:val>
        </c:ser>
        <c:ser>
          <c:idx val="3"/>
          <c:order val="3"/>
          <c:tx>
            <c:strRef>
              <c:f>Graphs1!$A$101</c:f>
              <c:strCache>
                <c:ptCount val="1"/>
                <c:pt idx="0">
                  <c:v>Motor Vehicle</c:v>
                </c:pt>
              </c:strCache>
            </c:strRef>
          </c:tx>
          <c:spPr>
            <a:solidFill>
              <a:srgbClr val="FFFF00"/>
            </a:solidFill>
            <a:ln w="12700">
              <a:solidFill>
                <a:srgbClr val="000000"/>
              </a:solidFill>
              <a:prstDash val="solid"/>
            </a:ln>
          </c:spPr>
          <c:invertIfNegative val="0"/>
          <c:cat>
            <c:numRef>
              <c:f>Graphs1!$K$97:$Q$97</c:f>
              <c:numCache>
                <c:formatCode>0</c:formatCode>
                <c:ptCount val="7"/>
                <c:pt idx="0">
                  <c:v>2008</c:v>
                </c:pt>
                <c:pt idx="1">
                  <c:v>2009</c:v>
                </c:pt>
                <c:pt idx="2">
                  <c:v>2010</c:v>
                </c:pt>
                <c:pt idx="3">
                  <c:v>2011</c:v>
                </c:pt>
                <c:pt idx="4">
                  <c:v>2012</c:v>
                </c:pt>
                <c:pt idx="5">
                  <c:v>2013</c:v>
                </c:pt>
                <c:pt idx="6">
                  <c:v>2014</c:v>
                </c:pt>
              </c:numCache>
            </c:numRef>
          </c:cat>
          <c:val>
            <c:numRef>
              <c:f>Graphs1!$K$101:$Q$101</c:f>
              <c:numCache>
                <c:formatCode>0%</c:formatCode>
                <c:ptCount val="7"/>
                <c:pt idx="0">
                  <c:v>0.40700000000000003</c:v>
                </c:pt>
                <c:pt idx="1">
                  <c:v>0.111</c:v>
                </c:pt>
                <c:pt idx="2">
                  <c:v>0.182</c:v>
                </c:pt>
                <c:pt idx="3">
                  <c:v>7.6999999999999999E-2</c:v>
                </c:pt>
                <c:pt idx="4">
                  <c:v>7.0999999999999994E-2</c:v>
                </c:pt>
                <c:pt idx="5">
                  <c:v>0.2</c:v>
                </c:pt>
                <c:pt idx="6">
                  <c:v>0.42</c:v>
                </c:pt>
              </c:numCache>
            </c:numRef>
          </c:val>
        </c:ser>
        <c:ser>
          <c:idx val="4"/>
          <c:order val="4"/>
          <c:tx>
            <c:strRef>
              <c:f>Graphs1!$A$102</c:f>
              <c:strCache>
                <c:ptCount val="1"/>
                <c:pt idx="0">
                  <c:v>Weapons</c:v>
                </c:pt>
              </c:strCache>
            </c:strRef>
          </c:tx>
          <c:spPr>
            <a:solidFill>
              <a:srgbClr val="000000"/>
            </a:solidFill>
            <a:ln w="12700">
              <a:solidFill>
                <a:srgbClr val="000000"/>
              </a:solidFill>
              <a:prstDash val="solid"/>
            </a:ln>
          </c:spPr>
          <c:invertIfNegative val="0"/>
          <c:cat>
            <c:numRef>
              <c:f>Graphs1!$K$97:$Q$97</c:f>
              <c:numCache>
                <c:formatCode>0</c:formatCode>
                <c:ptCount val="7"/>
                <c:pt idx="0">
                  <c:v>2008</c:v>
                </c:pt>
                <c:pt idx="1">
                  <c:v>2009</c:v>
                </c:pt>
                <c:pt idx="2">
                  <c:v>2010</c:v>
                </c:pt>
                <c:pt idx="3">
                  <c:v>2011</c:v>
                </c:pt>
                <c:pt idx="4">
                  <c:v>2012</c:v>
                </c:pt>
                <c:pt idx="5">
                  <c:v>2013</c:v>
                </c:pt>
                <c:pt idx="6">
                  <c:v>2014</c:v>
                </c:pt>
              </c:numCache>
            </c:numRef>
          </c:cat>
          <c:val>
            <c:numRef>
              <c:f>Graphs1!$K$102:$Q$102</c:f>
              <c:numCache>
                <c:formatCode>0%</c:formatCode>
                <c:ptCount val="7"/>
                <c:pt idx="0">
                  <c:v>0.21899999999999997</c:v>
                </c:pt>
                <c:pt idx="1">
                  <c:v>0.3</c:v>
                </c:pt>
                <c:pt idx="2">
                  <c:v>0.24100000000000002</c:v>
                </c:pt>
                <c:pt idx="3">
                  <c:v>0.19399999999999998</c:v>
                </c:pt>
                <c:pt idx="4">
                  <c:v>0.20699999999999999</c:v>
                </c:pt>
                <c:pt idx="5">
                  <c:v>0.36</c:v>
                </c:pt>
                <c:pt idx="6">
                  <c:v>0.19</c:v>
                </c:pt>
              </c:numCache>
            </c:numRef>
          </c:val>
        </c:ser>
        <c:ser>
          <c:idx val="5"/>
          <c:order val="5"/>
          <c:tx>
            <c:strRef>
              <c:f>Graphs1!$A$103</c:f>
              <c:strCache>
                <c:ptCount val="1"/>
                <c:pt idx="0">
                  <c:v>Public Order</c:v>
                </c:pt>
              </c:strCache>
            </c:strRef>
          </c:tx>
          <c:spPr>
            <a:solidFill>
              <a:srgbClr val="00CCFF"/>
            </a:solidFill>
            <a:ln w="12700">
              <a:solidFill>
                <a:srgbClr val="000000"/>
              </a:solidFill>
              <a:prstDash val="solid"/>
            </a:ln>
          </c:spPr>
          <c:invertIfNegative val="0"/>
          <c:cat>
            <c:numRef>
              <c:f>Graphs1!$K$97:$Q$97</c:f>
              <c:numCache>
                <c:formatCode>0</c:formatCode>
                <c:ptCount val="7"/>
                <c:pt idx="0">
                  <c:v>2008</c:v>
                </c:pt>
                <c:pt idx="1">
                  <c:v>2009</c:v>
                </c:pt>
                <c:pt idx="2">
                  <c:v>2010</c:v>
                </c:pt>
                <c:pt idx="3">
                  <c:v>2011</c:v>
                </c:pt>
                <c:pt idx="4">
                  <c:v>2012</c:v>
                </c:pt>
                <c:pt idx="5">
                  <c:v>2013</c:v>
                </c:pt>
                <c:pt idx="6">
                  <c:v>2014</c:v>
                </c:pt>
              </c:numCache>
            </c:numRef>
          </c:cat>
          <c:val>
            <c:numRef>
              <c:f>Graphs1!$K$103:$Q$103</c:f>
              <c:numCache>
                <c:formatCode>0%</c:formatCode>
                <c:ptCount val="7"/>
                <c:pt idx="0">
                  <c:v>0.17199999999999999</c:v>
                </c:pt>
                <c:pt idx="1">
                  <c:v>0.26</c:v>
                </c:pt>
                <c:pt idx="2">
                  <c:v>0.182</c:v>
                </c:pt>
                <c:pt idx="3">
                  <c:v>0.24100000000000002</c:v>
                </c:pt>
                <c:pt idx="4">
                  <c:v>0.17899999999999999</c:v>
                </c:pt>
                <c:pt idx="5">
                  <c:v>0.23</c:v>
                </c:pt>
                <c:pt idx="6">
                  <c:v>0.2</c:v>
                </c:pt>
              </c:numCache>
            </c:numRef>
          </c:val>
        </c:ser>
        <c:dLbls>
          <c:showLegendKey val="0"/>
          <c:showVal val="0"/>
          <c:showCatName val="0"/>
          <c:showSerName val="0"/>
          <c:showPercent val="0"/>
          <c:showBubbleSize val="0"/>
        </c:dLbls>
        <c:gapWidth val="150"/>
        <c:axId val="45733888"/>
        <c:axId val="137889472"/>
      </c:barChart>
      <c:catAx>
        <c:axId val="45733888"/>
        <c:scaling>
          <c:orientation val="minMax"/>
        </c:scaling>
        <c:delete val="0"/>
        <c:axPos val="b"/>
        <c:numFmt formatCode="0"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37889472"/>
        <c:crosses val="autoZero"/>
        <c:auto val="1"/>
        <c:lblAlgn val="ctr"/>
        <c:lblOffset val="100"/>
        <c:tickMarkSkip val="1"/>
        <c:noMultiLvlLbl val="0"/>
      </c:catAx>
      <c:valAx>
        <c:axId val="137889472"/>
        <c:scaling>
          <c:orientation val="minMax"/>
          <c:max val="0.6000000000000002"/>
        </c:scaling>
        <c:delete val="0"/>
        <c:axPos val="l"/>
        <c:majorGridlines>
          <c:spPr>
            <a:ln w="3175">
              <a:solidFill>
                <a:srgbClr val="000000"/>
              </a:solidFill>
              <a:prstDash val="solid"/>
            </a:ln>
          </c:spPr>
        </c:majorGridlines>
        <c:title>
          <c:tx>
            <c:rich>
              <a:bodyPr/>
              <a:lstStyle/>
              <a:p>
                <a:pPr>
                  <a:defRPr sz="1100" b="1" i="0" u="none" strike="noStrike" baseline="0">
                    <a:solidFill>
                      <a:srgbClr val="000000"/>
                    </a:solidFill>
                    <a:latin typeface="Arial"/>
                    <a:ea typeface="Arial"/>
                    <a:cs typeface="Arial"/>
                  </a:defRPr>
                </a:pPr>
                <a:r>
                  <a:rPr lang="en-US"/>
                  <a:t>Percent</a:t>
                </a:r>
              </a:p>
            </c:rich>
          </c:tx>
          <c:layout>
            <c:manualLayout>
              <c:xMode val="edge"/>
              <c:yMode val="edge"/>
              <c:x val="9.6439169139465875E-2"/>
              <c:y val="0.2907608695652175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45733888"/>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gradFill rotWithShape="0">
          <a:gsLst>
            <a:gs pos="0">
              <a:srgbClr val="F1F1F1">
                <a:gamma/>
                <a:tint val="22353"/>
                <a:invGamma/>
              </a:srgbClr>
            </a:gs>
            <a:gs pos="100000">
              <a:srgbClr val="C0C0C0"/>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Arial"/>
                <a:ea typeface="Arial"/>
                <a:cs typeface="Arial"/>
              </a:defRPr>
            </a:pPr>
            <a:r>
              <a:rPr lang="en-US" sz="1100" b="1" i="0" u="sng" strike="noStrike" baseline="0">
                <a:solidFill>
                  <a:srgbClr val="000000"/>
                </a:solidFill>
                <a:latin typeface="Arial"/>
                <a:cs typeface="Arial"/>
              </a:rPr>
              <a:t>Figure 6</a:t>
            </a:r>
            <a:r>
              <a:rPr lang="en-US" sz="1100" b="1" i="0" u="none" strike="noStrike" baseline="0">
                <a:solidFill>
                  <a:srgbClr val="000000"/>
                </a:solidFill>
                <a:latin typeface="Arial"/>
                <a:cs typeface="Arial"/>
              </a:rPr>
              <a:t>   Percent of Grid Levels Convicted Within One Year</a:t>
            </a:r>
          </a:p>
        </c:rich>
      </c:tx>
      <c:layout>
        <c:manualLayout>
          <c:xMode val="edge"/>
          <c:yMode val="edge"/>
          <c:x val="0.16244411326378538"/>
          <c:y val="3.3854166666666671E-2"/>
        </c:manualLayout>
      </c:layout>
      <c:overlay val="0"/>
      <c:spPr>
        <a:noFill/>
        <a:ln w="25400">
          <a:noFill/>
        </a:ln>
      </c:spPr>
    </c:title>
    <c:autoTitleDeleted val="0"/>
    <c:plotArea>
      <c:layout>
        <c:manualLayout>
          <c:layoutTarget val="inner"/>
          <c:xMode val="edge"/>
          <c:yMode val="edge"/>
          <c:x val="0.18330849478390474"/>
          <c:y val="0.18229213025952729"/>
          <c:w val="0.79582712369597641"/>
          <c:h val="0.48958457841130182"/>
        </c:manualLayout>
      </c:layout>
      <c:barChart>
        <c:barDir val="col"/>
        <c:grouping val="clustered"/>
        <c:varyColors val="0"/>
        <c:ser>
          <c:idx val="0"/>
          <c:order val="0"/>
          <c:tx>
            <c:strRef>
              <c:f>Graphs1!$A$133</c:f>
              <c:strCache>
                <c:ptCount val="1"/>
                <c:pt idx="0">
                  <c:v>Grids 1 - 2</c:v>
                </c:pt>
              </c:strCache>
            </c:strRef>
          </c:tx>
          <c:spPr>
            <a:solidFill>
              <a:srgbClr val="0000FF"/>
            </a:solidFill>
            <a:ln w="12700">
              <a:solidFill>
                <a:srgbClr val="000000"/>
              </a:solidFill>
              <a:prstDash val="solid"/>
            </a:ln>
          </c:spPr>
          <c:invertIfNegative val="0"/>
          <c:cat>
            <c:numRef>
              <c:f>Graphs1!$H$132:$Q$132</c:f>
              <c:numCache>
                <c:formatCode>0</c:formatCode>
                <c:ptCount val="10"/>
                <c:pt idx="0" formatCode="General">
                  <c:v>2005</c:v>
                </c:pt>
                <c:pt idx="1">
                  <c:v>2006</c:v>
                </c:pt>
                <c:pt idx="2" formatCode="General">
                  <c:v>2007</c:v>
                </c:pt>
                <c:pt idx="3">
                  <c:v>2008</c:v>
                </c:pt>
                <c:pt idx="4" formatCode="General">
                  <c:v>2009</c:v>
                </c:pt>
                <c:pt idx="5">
                  <c:v>2010</c:v>
                </c:pt>
                <c:pt idx="6" formatCode="General">
                  <c:v>2011</c:v>
                </c:pt>
                <c:pt idx="7" formatCode="General">
                  <c:v>2012</c:v>
                </c:pt>
                <c:pt idx="8" formatCode="General">
                  <c:v>2013</c:v>
                </c:pt>
                <c:pt idx="9" formatCode="General">
                  <c:v>2014</c:v>
                </c:pt>
              </c:numCache>
            </c:numRef>
          </c:cat>
          <c:val>
            <c:numRef>
              <c:f>Graphs1!$H$133:$Q$133</c:f>
              <c:numCache>
                <c:formatCode>0%</c:formatCode>
                <c:ptCount val="10"/>
                <c:pt idx="0">
                  <c:v>0.316</c:v>
                </c:pt>
                <c:pt idx="1">
                  <c:v>0.30199999999999999</c:v>
                </c:pt>
                <c:pt idx="2">
                  <c:v>0.34399999999999997</c:v>
                </c:pt>
                <c:pt idx="3">
                  <c:v>0.29199999999999998</c:v>
                </c:pt>
                <c:pt idx="4">
                  <c:v>0.23899999999999999</c:v>
                </c:pt>
                <c:pt idx="5">
                  <c:v>0.22600000000000001</c:v>
                </c:pt>
                <c:pt idx="6">
                  <c:v>0.222</c:v>
                </c:pt>
                <c:pt idx="7">
                  <c:v>0.19899999999999998</c:v>
                </c:pt>
                <c:pt idx="8">
                  <c:v>0.25</c:v>
                </c:pt>
                <c:pt idx="9">
                  <c:v>0.25</c:v>
                </c:pt>
              </c:numCache>
            </c:numRef>
          </c:val>
        </c:ser>
        <c:ser>
          <c:idx val="1"/>
          <c:order val="1"/>
          <c:tx>
            <c:strRef>
              <c:f>Graphs1!$A$134</c:f>
              <c:strCache>
                <c:ptCount val="1"/>
                <c:pt idx="0">
                  <c:v>Grid 3</c:v>
                </c:pt>
              </c:strCache>
            </c:strRef>
          </c:tx>
          <c:spPr>
            <a:solidFill>
              <a:srgbClr val="FF0000"/>
            </a:solidFill>
            <a:ln w="12700">
              <a:solidFill>
                <a:srgbClr val="000000"/>
              </a:solidFill>
              <a:prstDash val="solid"/>
            </a:ln>
          </c:spPr>
          <c:invertIfNegative val="0"/>
          <c:cat>
            <c:numRef>
              <c:f>Graphs1!$H$132:$Q$132</c:f>
              <c:numCache>
                <c:formatCode>0</c:formatCode>
                <c:ptCount val="10"/>
                <c:pt idx="0" formatCode="General">
                  <c:v>2005</c:v>
                </c:pt>
                <c:pt idx="1">
                  <c:v>2006</c:v>
                </c:pt>
                <c:pt idx="2" formatCode="General">
                  <c:v>2007</c:v>
                </c:pt>
                <c:pt idx="3">
                  <c:v>2008</c:v>
                </c:pt>
                <c:pt idx="4" formatCode="General">
                  <c:v>2009</c:v>
                </c:pt>
                <c:pt idx="5">
                  <c:v>2010</c:v>
                </c:pt>
                <c:pt idx="6" formatCode="General">
                  <c:v>2011</c:v>
                </c:pt>
                <c:pt idx="7" formatCode="General">
                  <c:v>2012</c:v>
                </c:pt>
                <c:pt idx="8" formatCode="General">
                  <c:v>2013</c:v>
                </c:pt>
                <c:pt idx="9" formatCode="General">
                  <c:v>2014</c:v>
                </c:pt>
              </c:numCache>
            </c:numRef>
          </c:cat>
          <c:val>
            <c:numRef>
              <c:f>Graphs1!$H$134:$Q$134</c:f>
              <c:numCache>
                <c:formatCode>0%</c:formatCode>
                <c:ptCount val="10"/>
                <c:pt idx="0">
                  <c:v>0.28800000000000003</c:v>
                </c:pt>
                <c:pt idx="1">
                  <c:v>0.33100000000000002</c:v>
                </c:pt>
                <c:pt idx="2">
                  <c:v>0.46299999999999997</c:v>
                </c:pt>
                <c:pt idx="3">
                  <c:v>0.43799999999999994</c:v>
                </c:pt>
                <c:pt idx="4">
                  <c:v>0.34</c:v>
                </c:pt>
                <c:pt idx="5">
                  <c:v>0.24399999999999999</c:v>
                </c:pt>
                <c:pt idx="6">
                  <c:v>0.20600000000000002</c:v>
                </c:pt>
                <c:pt idx="7">
                  <c:v>0.22699999999999998</c:v>
                </c:pt>
                <c:pt idx="8">
                  <c:v>0.28000000000000003</c:v>
                </c:pt>
                <c:pt idx="9">
                  <c:v>0.24</c:v>
                </c:pt>
              </c:numCache>
            </c:numRef>
          </c:val>
        </c:ser>
        <c:ser>
          <c:idx val="2"/>
          <c:order val="2"/>
          <c:tx>
            <c:strRef>
              <c:f>Graphs1!$A$135</c:f>
              <c:strCache>
                <c:ptCount val="1"/>
                <c:pt idx="0">
                  <c:v>Grid 4</c:v>
                </c:pt>
              </c:strCache>
            </c:strRef>
          </c:tx>
          <c:spPr>
            <a:solidFill>
              <a:srgbClr val="FFFF00"/>
            </a:solidFill>
            <a:ln w="12700">
              <a:solidFill>
                <a:srgbClr val="000000"/>
              </a:solidFill>
              <a:prstDash val="solid"/>
            </a:ln>
          </c:spPr>
          <c:invertIfNegative val="0"/>
          <c:cat>
            <c:numRef>
              <c:f>Graphs1!$H$132:$Q$132</c:f>
              <c:numCache>
                <c:formatCode>0</c:formatCode>
                <c:ptCount val="10"/>
                <c:pt idx="0" formatCode="General">
                  <c:v>2005</c:v>
                </c:pt>
                <c:pt idx="1">
                  <c:v>2006</c:v>
                </c:pt>
                <c:pt idx="2" formatCode="General">
                  <c:v>2007</c:v>
                </c:pt>
                <c:pt idx="3">
                  <c:v>2008</c:v>
                </c:pt>
                <c:pt idx="4" formatCode="General">
                  <c:v>2009</c:v>
                </c:pt>
                <c:pt idx="5">
                  <c:v>2010</c:v>
                </c:pt>
                <c:pt idx="6" formatCode="General">
                  <c:v>2011</c:v>
                </c:pt>
                <c:pt idx="7" formatCode="General">
                  <c:v>2012</c:v>
                </c:pt>
                <c:pt idx="8" formatCode="General">
                  <c:v>2013</c:v>
                </c:pt>
                <c:pt idx="9" formatCode="General">
                  <c:v>2014</c:v>
                </c:pt>
              </c:numCache>
            </c:numRef>
          </c:cat>
          <c:val>
            <c:numRef>
              <c:f>Graphs1!$H$135:$Q$135</c:f>
              <c:numCache>
                <c:formatCode>0%</c:formatCode>
                <c:ptCount val="10"/>
                <c:pt idx="0">
                  <c:v>0.2</c:v>
                </c:pt>
                <c:pt idx="1">
                  <c:v>0.34499999999999997</c:v>
                </c:pt>
                <c:pt idx="2">
                  <c:v>0.45100000000000001</c:v>
                </c:pt>
                <c:pt idx="3">
                  <c:v>0.53799999999999992</c:v>
                </c:pt>
                <c:pt idx="4">
                  <c:v>0.28300000000000003</c:v>
                </c:pt>
                <c:pt idx="5">
                  <c:v>0.4</c:v>
                </c:pt>
                <c:pt idx="6">
                  <c:v>0.27</c:v>
                </c:pt>
                <c:pt idx="7">
                  <c:v>0.25</c:v>
                </c:pt>
                <c:pt idx="8">
                  <c:v>0.25</c:v>
                </c:pt>
                <c:pt idx="9">
                  <c:v>0.28000000000000003</c:v>
                </c:pt>
              </c:numCache>
            </c:numRef>
          </c:val>
        </c:ser>
        <c:ser>
          <c:idx val="3"/>
          <c:order val="3"/>
          <c:tx>
            <c:strRef>
              <c:f>Graphs1!$A$136</c:f>
              <c:strCache>
                <c:ptCount val="1"/>
                <c:pt idx="0">
                  <c:v>Grids 5 - 6</c:v>
                </c:pt>
              </c:strCache>
            </c:strRef>
          </c:tx>
          <c:spPr>
            <a:solidFill>
              <a:srgbClr val="000000"/>
            </a:solidFill>
            <a:ln w="12700">
              <a:solidFill>
                <a:srgbClr val="000000"/>
              </a:solidFill>
              <a:prstDash val="solid"/>
            </a:ln>
          </c:spPr>
          <c:invertIfNegative val="0"/>
          <c:cat>
            <c:numRef>
              <c:f>Graphs1!$H$132:$Q$132</c:f>
              <c:numCache>
                <c:formatCode>0</c:formatCode>
                <c:ptCount val="10"/>
                <c:pt idx="0" formatCode="General">
                  <c:v>2005</c:v>
                </c:pt>
                <c:pt idx="1">
                  <c:v>2006</c:v>
                </c:pt>
                <c:pt idx="2" formatCode="General">
                  <c:v>2007</c:v>
                </c:pt>
                <c:pt idx="3">
                  <c:v>2008</c:v>
                </c:pt>
                <c:pt idx="4" formatCode="General">
                  <c:v>2009</c:v>
                </c:pt>
                <c:pt idx="5">
                  <c:v>2010</c:v>
                </c:pt>
                <c:pt idx="6" formatCode="General">
                  <c:v>2011</c:v>
                </c:pt>
                <c:pt idx="7" formatCode="General">
                  <c:v>2012</c:v>
                </c:pt>
                <c:pt idx="8" formatCode="General">
                  <c:v>2013</c:v>
                </c:pt>
                <c:pt idx="9" formatCode="General">
                  <c:v>2014</c:v>
                </c:pt>
              </c:numCache>
            </c:numRef>
          </c:cat>
          <c:val>
            <c:numRef>
              <c:f>Graphs1!$H$136:$Q$136</c:f>
              <c:numCache>
                <c:formatCode>0%</c:formatCode>
                <c:ptCount val="10"/>
                <c:pt idx="0">
                  <c:v>0.27300000000000002</c:v>
                </c:pt>
                <c:pt idx="1">
                  <c:v>0.59299999999999997</c:v>
                </c:pt>
                <c:pt idx="2">
                  <c:v>0.24100000000000002</c:v>
                </c:pt>
                <c:pt idx="3">
                  <c:v>0.32400000000000001</c:v>
                </c:pt>
                <c:pt idx="4">
                  <c:v>9.5000000000000001E-2</c:v>
                </c:pt>
                <c:pt idx="5">
                  <c:v>0.17899999999999999</c:v>
                </c:pt>
                <c:pt idx="6">
                  <c:v>0.154</c:v>
                </c:pt>
                <c:pt idx="7">
                  <c:v>0.28999999999999998</c:v>
                </c:pt>
                <c:pt idx="8">
                  <c:v>0.3</c:v>
                </c:pt>
                <c:pt idx="9">
                  <c:v>0.43</c:v>
                </c:pt>
              </c:numCache>
            </c:numRef>
          </c:val>
        </c:ser>
        <c:dLbls>
          <c:showLegendKey val="0"/>
          <c:showVal val="0"/>
          <c:showCatName val="0"/>
          <c:showSerName val="0"/>
          <c:showPercent val="0"/>
          <c:showBubbleSize val="0"/>
        </c:dLbls>
        <c:gapWidth val="150"/>
        <c:axId val="45732352"/>
        <c:axId val="137891200"/>
      </c:barChart>
      <c:catAx>
        <c:axId val="45732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37891200"/>
        <c:crosses val="autoZero"/>
        <c:auto val="1"/>
        <c:lblAlgn val="ctr"/>
        <c:lblOffset val="100"/>
        <c:tickMarkSkip val="1"/>
        <c:noMultiLvlLbl val="0"/>
      </c:catAx>
      <c:valAx>
        <c:axId val="137891200"/>
        <c:scaling>
          <c:orientation val="minMax"/>
          <c:max val="0.6000000000000002"/>
        </c:scaling>
        <c:delete val="0"/>
        <c:axPos val="l"/>
        <c:majorGridlines>
          <c:spPr>
            <a:ln w="3175">
              <a:solidFill>
                <a:srgbClr val="000000"/>
              </a:solidFill>
              <a:prstDash val="solid"/>
            </a:ln>
          </c:spPr>
        </c:majorGridlines>
        <c:title>
          <c:tx>
            <c:rich>
              <a:bodyPr/>
              <a:lstStyle/>
              <a:p>
                <a:pPr>
                  <a:defRPr sz="1100" b="1" i="0" u="none" strike="noStrike" baseline="0">
                    <a:solidFill>
                      <a:srgbClr val="000000"/>
                    </a:solidFill>
                    <a:latin typeface="Arial"/>
                    <a:ea typeface="Arial"/>
                    <a:cs typeface="Arial"/>
                  </a:defRPr>
                </a:pPr>
                <a:r>
                  <a:rPr lang="en-US"/>
                  <a:t>Percent</a:t>
                </a:r>
              </a:p>
            </c:rich>
          </c:tx>
          <c:layout>
            <c:manualLayout>
              <c:xMode val="edge"/>
              <c:yMode val="edge"/>
              <c:x val="7.3025335320417287E-2"/>
              <c:y val="0.33593832020997394"/>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45732352"/>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4E4E4">
                <a:gamma/>
                <a:tint val="25490"/>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sng" strike="noStrike" baseline="0">
                <a:solidFill>
                  <a:srgbClr val="000000"/>
                </a:solidFill>
                <a:latin typeface="Arial"/>
                <a:cs typeface="Arial"/>
              </a:rPr>
              <a:t>Figure 7</a:t>
            </a:r>
            <a:r>
              <a:rPr lang="en-US" sz="1000" b="1" i="0" u="none" strike="noStrike" baseline="0">
                <a:solidFill>
                  <a:srgbClr val="000000"/>
                </a:solidFill>
                <a:latin typeface="Arial"/>
                <a:cs typeface="Arial"/>
              </a:rPr>
              <a:t>   Percent of First Arrest Age Groups Convicted Within One Year</a:t>
            </a:r>
          </a:p>
        </c:rich>
      </c:tx>
      <c:layout>
        <c:manualLayout>
          <c:xMode val="edge"/>
          <c:yMode val="edge"/>
          <c:x val="0.12774260480953395"/>
          <c:y val="4.1775321563065487E-2"/>
        </c:manualLayout>
      </c:layout>
      <c:overlay val="0"/>
      <c:spPr>
        <a:noFill/>
        <a:ln w="25400">
          <a:noFill/>
        </a:ln>
      </c:spPr>
    </c:title>
    <c:autoTitleDeleted val="0"/>
    <c:plotArea>
      <c:layout>
        <c:manualLayout>
          <c:layoutTarget val="inner"/>
          <c:xMode val="edge"/>
          <c:yMode val="edge"/>
          <c:x val="0.21194045296499903"/>
          <c:y val="0.18015665796344643"/>
          <c:w val="0.76716473819724951"/>
          <c:h val="0.64229765013054874"/>
        </c:manualLayout>
      </c:layout>
      <c:barChart>
        <c:barDir val="col"/>
        <c:grouping val="clustered"/>
        <c:varyColors val="0"/>
        <c:ser>
          <c:idx val="0"/>
          <c:order val="0"/>
          <c:tx>
            <c:strRef>
              <c:f>Graphs1!$B$168</c:f>
              <c:strCache>
                <c:ptCount val="1"/>
                <c:pt idx="0">
                  <c:v>% Convicted</c:v>
                </c:pt>
              </c:strCache>
            </c:strRef>
          </c:tx>
          <c:spPr>
            <a:solidFill>
              <a:srgbClr val="0000FF"/>
            </a:solidFill>
            <a:ln w="12700">
              <a:solidFill>
                <a:srgbClr val="000000"/>
              </a:solidFill>
              <a:prstDash val="solid"/>
            </a:ln>
          </c:spPr>
          <c:invertIfNegative val="0"/>
          <c:cat>
            <c:strRef>
              <c:f>Graphs1!$A$169:$A$173</c:f>
              <c:strCache>
                <c:ptCount val="5"/>
                <c:pt idx="0">
                  <c:v>Age &lt; 13</c:v>
                </c:pt>
                <c:pt idx="1">
                  <c:v>Age 13</c:v>
                </c:pt>
                <c:pt idx="2">
                  <c:v>Age 14</c:v>
                </c:pt>
                <c:pt idx="3">
                  <c:v>Age 15</c:v>
                </c:pt>
                <c:pt idx="4">
                  <c:v>Age 16 +</c:v>
                </c:pt>
              </c:strCache>
            </c:strRef>
          </c:cat>
          <c:val>
            <c:numRef>
              <c:f>Graphs1!$B$169:$B$173</c:f>
              <c:numCache>
                <c:formatCode>0%</c:formatCode>
                <c:ptCount val="5"/>
                <c:pt idx="0">
                  <c:v>0.3</c:v>
                </c:pt>
                <c:pt idx="1">
                  <c:v>0.27</c:v>
                </c:pt>
                <c:pt idx="2">
                  <c:v>0.32</c:v>
                </c:pt>
                <c:pt idx="3">
                  <c:v>0.17</c:v>
                </c:pt>
                <c:pt idx="4">
                  <c:v>0.25</c:v>
                </c:pt>
              </c:numCache>
            </c:numRef>
          </c:val>
        </c:ser>
        <c:dLbls>
          <c:showLegendKey val="0"/>
          <c:showVal val="0"/>
          <c:showCatName val="0"/>
          <c:showSerName val="0"/>
          <c:showPercent val="0"/>
          <c:showBubbleSize val="0"/>
        </c:dLbls>
        <c:gapWidth val="150"/>
        <c:axId val="138617344"/>
        <c:axId val="137892928"/>
      </c:barChart>
      <c:catAx>
        <c:axId val="138617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137892928"/>
        <c:crosses val="autoZero"/>
        <c:auto val="1"/>
        <c:lblAlgn val="ctr"/>
        <c:lblOffset val="100"/>
        <c:tickMarkSkip val="1"/>
        <c:noMultiLvlLbl val="0"/>
      </c:catAx>
      <c:valAx>
        <c:axId val="137892928"/>
        <c:scaling>
          <c:orientation val="minMax"/>
          <c:max val="0.4"/>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38617344"/>
        <c:crosses val="autoZero"/>
        <c:crossBetween val="between"/>
        <c:majorUnit val="5.0000000000000017E-2"/>
      </c:valAx>
      <c:dTable>
        <c:showHorzBorder val="1"/>
        <c:showVertBorder val="1"/>
        <c:showOutline val="1"/>
        <c:showKeys val="0"/>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4E4E4">
                <a:gamma/>
                <a:tint val="25490"/>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sng" strike="noStrike" baseline="0">
                <a:solidFill>
                  <a:srgbClr val="000000"/>
                </a:solidFill>
                <a:latin typeface="Arial"/>
                <a:cs typeface="Arial"/>
              </a:rPr>
              <a:t>Figure 8</a:t>
            </a:r>
            <a:r>
              <a:rPr lang="en-US" sz="1000" b="1" i="0" u="none" strike="noStrike" baseline="0">
                <a:solidFill>
                  <a:srgbClr val="000000"/>
                </a:solidFill>
                <a:latin typeface="Arial"/>
                <a:cs typeface="Arial"/>
              </a:rPr>
              <a:t>   Percent of Discharges From Major Counties Convicted Within One Year</a:t>
            </a:r>
          </a:p>
        </c:rich>
      </c:tx>
      <c:layout>
        <c:manualLayout>
          <c:xMode val="edge"/>
          <c:yMode val="edge"/>
          <c:x val="0.11492552983115921"/>
          <c:y val="3.2608695652173926E-2"/>
        </c:manualLayout>
      </c:layout>
      <c:overlay val="0"/>
      <c:spPr>
        <a:noFill/>
        <a:ln w="25400">
          <a:noFill/>
        </a:ln>
      </c:spPr>
    </c:title>
    <c:autoTitleDeleted val="0"/>
    <c:plotArea>
      <c:layout>
        <c:manualLayout>
          <c:layoutTarget val="inner"/>
          <c:xMode val="edge"/>
          <c:yMode val="edge"/>
          <c:x val="0.1940299921510554"/>
          <c:y val="0.17119565217391305"/>
          <c:w val="0.78507519901119349"/>
          <c:h val="0.45923913043478248"/>
        </c:manualLayout>
      </c:layout>
      <c:barChart>
        <c:barDir val="col"/>
        <c:grouping val="clustered"/>
        <c:varyColors val="0"/>
        <c:ser>
          <c:idx val="0"/>
          <c:order val="0"/>
          <c:tx>
            <c:strRef>
              <c:f>Graphs1!$A$205</c:f>
              <c:strCache>
                <c:ptCount val="1"/>
                <c:pt idx="0">
                  <c:v>SUFFOLK</c:v>
                </c:pt>
              </c:strCache>
            </c:strRef>
          </c:tx>
          <c:spPr>
            <a:solidFill>
              <a:srgbClr val="0000FF"/>
            </a:solidFill>
            <a:ln w="12700">
              <a:solidFill>
                <a:srgbClr val="000000"/>
              </a:solidFill>
              <a:prstDash val="solid"/>
            </a:ln>
          </c:spPr>
          <c:invertIfNegative val="0"/>
          <c:cat>
            <c:numRef>
              <c:f>Graphs1!$K$204:$Q$204</c:f>
              <c:numCache>
                <c:formatCode>General</c:formatCode>
                <c:ptCount val="7"/>
                <c:pt idx="0">
                  <c:v>2008</c:v>
                </c:pt>
                <c:pt idx="1">
                  <c:v>2009</c:v>
                </c:pt>
                <c:pt idx="2">
                  <c:v>2010</c:v>
                </c:pt>
                <c:pt idx="3">
                  <c:v>2011</c:v>
                </c:pt>
                <c:pt idx="4">
                  <c:v>2012</c:v>
                </c:pt>
                <c:pt idx="5">
                  <c:v>2013</c:v>
                </c:pt>
                <c:pt idx="6">
                  <c:v>2014</c:v>
                </c:pt>
              </c:numCache>
            </c:numRef>
          </c:cat>
          <c:val>
            <c:numRef>
              <c:f>Graphs1!$K$205:$Q$205</c:f>
              <c:numCache>
                <c:formatCode>0%</c:formatCode>
                <c:ptCount val="7"/>
                <c:pt idx="0">
                  <c:v>0.43200000000000005</c:v>
                </c:pt>
                <c:pt idx="1">
                  <c:v>0.23300000000000001</c:v>
                </c:pt>
                <c:pt idx="2">
                  <c:v>0.314</c:v>
                </c:pt>
                <c:pt idx="3">
                  <c:v>0.29399999999999998</c:v>
                </c:pt>
                <c:pt idx="4">
                  <c:v>0.308</c:v>
                </c:pt>
                <c:pt idx="5">
                  <c:v>0.24</c:v>
                </c:pt>
                <c:pt idx="6">
                  <c:v>0.31</c:v>
                </c:pt>
              </c:numCache>
            </c:numRef>
          </c:val>
        </c:ser>
        <c:ser>
          <c:idx val="1"/>
          <c:order val="1"/>
          <c:tx>
            <c:strRef>
              <c:f>Graphs1!$A$206</c:f>
              <c:strCache>
                <c:ptCount val="1"/>
                <c:pt idx="0">
                  <c:v>WORCESTER</c:v>
                </c:pt>
              </c:strCache>
            </c:strRef>
          </c:tx>
          <c:spPr>
            <a:solidFill>
              <a:srgbClr val="FF0000"/>
            </a:solidFill>
            <a:ln w="12700">
              <a:solidFill>
                <a:srgbClr val="000000"/>
              </a:solidFill>
              <a:prstDash val="solid"/>
            </a:ln>
          </c:spPr>
          <c:invertIfNegative val="0"/>
          <c:cat>
            <c:numRef>
              <c:f>Graphs1!$K$204:$Q$204</c:f>
              <c:numCache>
                <c:formatCode>General</c:formatCode>
                <c:ptCount val="7"/>
                <c:pt idx="0">
                  <c:v>2008</c:v>
                </c:pt>
                <c:pt idx="1">
                  <c:v>2009</c:v>
                </c:pt>
                <c:pt idx="2">
                  <c:v>2010</c:v>
                </c:pt>
                <c:pt idx="3">
                  <c:v>2011</c:v>
                </c:pt>
                <c:pt idx="4">
                  <c:v>2012</c:v>
                </c:pt>
                <c:pt idx="5">
                  <c:v>2013</c:v>
                </c:pt>
                <c:pt idx="6">
                  <c:v>2014</c:v>
                </c:pt>
              </c:numCache>
            </c:numRef>
          </c:cat>
          <c:val>
            <c:numRef>
              <c:f>Graphs1!$K$206:$Q$206</c:f>
              <c:numCache>
                <c:formatCode>0%</c:formatCode>
                <c:ptCount val="7"/>
                <c:pt idx="0">
                  <c:v>0.30399999999999999</c:v>
                </c:pt>
                <c:pt idx="1">
                  <c:v>0.17399999999999999</c:v>
                </c:pt>
                <c:pt idx="2">
                  <c:v>0.25</c:v>
                </c:pt>
                <c:pt idx="3">
                  <c:v>0.25</c:v>
                </c:pt>
                <c:pt idx="4">
                  <c:v>0.253</c:v>
                </c:pt>
                <c:pt idx="5">
                  <c:v>0.2</c:v>
                </c:pt>
                <c:pt idx="6">
                  <c:v>0.31</c:v>
                </c:pt>
              </c:numCache>
            </c:numRef>
          </c:val>
        </c:ser>
        <c:ser>
          <c:idx val="2"/>
          <c:order val="2"/>
          <c:tx>
            <c:strRef>
              <c:f>Graphs1!$A$207</c:f>
              <c:strCache>
                <c:ptCount val="1"/>
                <c:pt idx="0">
                  <c:v>ESSEX</c:v>
                </c:pt>
              </c:strCache>
            </c:strRef>
          </c:tx>
          <c:spPr>
            <a:solidFill>
              <a:srgbClr val="00CCFF"/>
            </a:solidFill>
            <a:ln w="12700">
              <a:solidFill>
                <a:srgbClr val="000000"/>
              </a:solidFill>
              <a:prstDash val="solid"/>
            </a:ln>
          </c:spPr>
          <c:invertIfNegative val="0"/>
          <c:cat>
            <c:numRef>
              <c:f>Graphs1!$K$204:$Q$204</c:f>
              <c:numCache>
                <c:formatCode>General</c:formatCode>
                <c:ptCount val="7"/>
                <c:pt idx="0">
                  <c:v>2008</c:v>
                </c:pt>
                <c:pt idx="1">
                  <c:v>2009</c:v>
                </c:pt>
                <c:pt idx="2">
                  <c:v>2010</c:v>
                </c:pt>
                <c:pt idx="3">
                  <c:v>2011</c:v>
                </c:pt>
                <c:pt idx="4">
                  <c:v>2012</c:v>
                </c:pt>
                <c:pt idx="5">
                  <c:v>2013</c:v>
                </c:pt>
                <c:pt idx="6">
                  <c:v>2014</c:v>
                </c:pt>
              </c:numCache>
            </c:numRef>
          </c:cat>
          <c:val>
            <c:numRef>
              <c:f>Graphs1!$K$207:$Q$207</c:f>
              <c:numCache>
                <c:formatCode>0%</c:formatCode>
                <c:ptCount val="7"/>
                <c:pt idx="0">
                  <c:v>0.318</c:v>
                </c:pt>
                <c:pt idx="1">
                  <c:v>0.318</c:v>
                </c:pt>
                <c:pt idx="2">
                  <c:v>0.27</c:v>
                </c:pt>
                <c:pt idx="3">
                  <c:v>0.18899999999999997</c:v>
                </c:pt>
                <c:pt idx="4">
                  <c:v>0.23800000000000002</c:v>
                </c:pt>
                <c:pt idx="5">
                  <c:v>0.26</c:v>
                </c:pt>
                <c:pt idx="6">
                  <c:v>0.43</c:v>
                </c:pt>
              </c:numCache>
            </c:numRef>
          </c:val>
        </c:ser>
        <c:ser>
          <c:idx val="3"/>
          <c:order val="3"/>
          <c:tx>
            <c:strRef>
              <c:f>Graphs1!$A$208</c:f>
              <c:strCache>
                <c:ptCount val="1"/>
                <c:pt idx="0">
                  <c:v>HAMPDEN</c:v>
                </c:pt>
              </c:strCache>
            </c:strRef>
          </c:tx>
          <c:spPr>
            <a:solidFill>
              <a:srgbClr val="FFFF00"/>
            </a:solidFill>
            <a:ln w="12700">
              <a:solidFill>
                <a:srgbClr val="000000"/>
              </a:solidFill>
              <a:prstDash val="solid"/>
            </a:ln>
          </c:spPr>
          <c:invertIfNegative val="0"/>
          <c:cat>
            <c:numRef>
              <c:f>Graphs1!$K$204:$Q$204</c:f>
              <c:numCache>
                <c:formatCode>General</c:formatCode>
                <c:ptCount val="7"/>
                <c:pt idx="0">
                  <c:v>2008</c:v>
                </c:pt>
                <c:pt idx="1">
                  <c:v>2009</c:v>
                </c:pt>
                <c:pt idx="2">
                  <c:v>2010</c:v>
                </c:pt>
                <c:pt idx="3">
                  <c:v>2011</c:v>
                </c:pt>
                <c:pt idx="4">
                  <c:v>2012</c:v>
                </c:pt>
                <c:pt idx="5">
                  <c:v>2013</c:v>
                </c:pt>
                <c:pt idx="6">
                  <c:v>2014</c:v>
                </c:pt>
              </c:numCache>
            </c:numRef>
          </c:cat>
          <c:val>
            <c:numRef>
              <c:f>Graphs1!$K$208:$Q$208</c:f>
              <c:numCache>
                <c:formatCode>0%</c:formatCode>
                <c:ptCount val="7"/>
                <c:pt idx="0">
                  <c:v>0.37799999999999995</c:v>
                </c:pt>
                <c:pt idx="1">
                  <c:v>0.27100000000000002</c:v>
                </c:pt>
                <c:pt idx="2">
                  <c:v>0.23699999999999999</c:v>
                </c:pt>
                <c:pt idx="3">
                  <c:v>0.13600000000000001</c:v>
                </c:pt>
                <c:pt idx="4">
                  <c:v>0.21899999999999997</c:v>
                </c:pt>
                <c:pt idx="5">
                  <c:v>0.25</c:v>
                </c:pt>
                <c:pt idx="6">
                  <c:v>0.22</c:v>
                </c:pt>
              </c:numCache>
            </c:numRef>
          </c:val>
        </c:ser>
        <c:ser>
          <c:idx val="4"/>
          <c:order val="4"/>
          <c:tx>
            <c:strRef>
              <c:f>Graphs1!$A$209</c:f>
              <c:strCache>
                <c:ptCount val="1"/>
                <c:pt idx="0">
                  <c:v>BRISTOL</c:v>
                </c:pt>
              </c:strCache>
            </c:strRef>
          </c:tx>
          <c:spPr>
            <a:solidFill>
              <a:srgbClr val="000000"/>
            </a:solidFill>
            <a:ln w="12700">
              <a:solidFill>
                <a:srgbClr val="000000"/>
              </a:solidFill>
              <a:prstDash val="solid"/>
            </a:ln>
          </c:spPr>
          <c:invertIfNegative val="0"/>
          <c:cat>
            <c:numRef>
              <c:f>Graphs1!$K$204:$Q$204</c:f>
              <c:numCache>
                <c:formatCode>General</c:formatCode>
                <c:ptCount val="7"/>
                <c:pt idx="0">
                  <c:v>2008</c:v>
                </c:pt>
                <c:pt idx="1">
                  <c:v>2009</c:v>
                </c:pt>
                <c:pt idx="2">
                  <c:v>2010</c:v>
                </c:pt>
                <c:pt idx="3">
                  <c:v>2011</c:v>
                </c:pt>
                <c:pt idx="4">
                  <c:v>2012</c:v>
                </c:pt>
                <c:pt idx="5">
                  <c:v>2013</c:v>
                </c:pt>
                <c:pt idx="6">
                  <c:v>2014</c:v>
                </c:pt>
              </c:numCache>
            </c:numRef>
          </c:cat>
          <c:val>
            <c:numRef>
              <c:f>Graphs1!$K$209:$Q$209</c:f>
              <c:numCache>
                <c:formatCode>0%</c:formatCode>
                <c:ptCount val="7"/>
                <c:pt idx="0">
                  <c:v>0.52800000000000002</c:v>
                </c:pt>
                <c:pt idx="1">
                  <c:v>0.30199999999999999</c:v>
                </c:pt>
                <c:pt idx="2">
                  <c:v>0.2</c:v>
                </c:pt>
                <c:pt idx="3">
                  <c:v>0.28600000000000003</c:v>
                </c:pt>
                <c:pt idx="4">
                  <c:v>0.182</c:v>
                </c:pt>
                <c:pt idx="5">
                  <c:v>0.36</c:v>
                </c:pt>
                <c:pt idx="6">
                  <c:v>0.21</c:v>
                </c:pt>
              </c:numCache>
            </c:numRef>
          </c:val>
        </c:ser>
        <c:dLbls>
          <c:showLegendKey val="0"/>
          <c:showVal val="0"/>
          <c:showCatName val="0"/>
          <c:showSerName val="0"/>
          <c:showPercent val="0"/>
          <c:showBubbleSize val="0"/>
        </c:dLbls>
        <c:gapWidth val="150"/>
        <c:axId val="138618880"/>
        <c:axId val="137894656"/>
      </c:barChart>
      <c:catAx>
        <c:axId val="138618880"/>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137894656"/>
        <c:crosses val="autoZero"/>
        <c:auto val="1"/>
        <c:lblAlgn val="ctr"/>
        <c:lblOffset val="100"/>
        <c:tickMarkSkip val="1"/>
        <c:noMultiLvlLbl val="0"/>
      </c:catAx>
      <c:valAx>
        <c:axId val="137894656"/>
        <c:scaling>
          <c:orientation val="minMax"/>
          <c:max val="0.6000000000000002"/>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38618880"/>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gradFill rotWithShape="0">
          <a:gsLst>
            <a:gs pos="0">
              <a:srgbClr val="EDEDED">
                <a:gamma/>
                <a:tint val="28627"/>
                <a:invGamma/>
              </a:srgbClr>
            </a:gs>
            <a:gs pos="100000">
              <a:srgbClr val="C0C0C0"/>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u="sng"/>
              <a:t>Figure 9</a:t>
            </a:r>
            <a:r>
              <a:rPr lang="en-US"/>
              <a:t>   2014 DYS Recidivism Results By Region</a:t>
            </a:r>
          </a:p>
        </c:rich>
      </c:tx>
      <c:layout>
        <c:manualLayout>
          <c:xMode val="edge"/>
          <c:yMode val="edge"/>
          <c:x val="0.22060957910014509"/>
          <c:y val="3.3149171270718231E-2"/>
        </c:manualLayout>
      </c:layout>
      <c:overlay val="0"/>
      <c:spPr>
        <a:noFill/>
        <a:ln w="25400">
          <a:noFill/>
        </a:ln>
      </c:spPr>
    </c:title>
    <c:autoTitleDeleted val="0"/>
    <c:plotArea>
      <c:layout>
        <c:manualLayout>
          <c:layoutTarget val="inner"/>
          <c:xMode val="edge"/>
          <c:yMode val="edge"/>
          <c:x val="0.21190130624092895"/>
          <c:y val="0.1906077348066299"/>
          <c:w val="0.76777939042090015"/>
          <c:h val="0.52209944751381265"/>
        </c:manualLayout>
      </c:layout>
      <c:barChart>
        <c:barDir val="col"/>
        <c:grouping val="clustered"/>
        <c:varyColors val="0"/>
        <c:ser>
          <c:idx val="0"/>
          <c:order val="0"/>
          <c:tx>
            <c:strRef>
              <c:f>Graphs1!$B$251</c:f>
              <c:strCache>
                <c:ptCount val="1"/>
                <c:pt idx="0">
                  <c:v>Arraigned</c:v>
                </c:pt>
              </c:strCache>
            </c:strRef>
          </c:tx>
          <c:spPr>
            <a:solidFill>
              <a:srgbClr val="0000FF"/>
            </a:solidFill>
            <a:ln w="12700">
              <a:solidFill>
                <a:srgbClr val="000000"/>
              </a:solidFill>
              <a:prstDash val="solid"/>
            </a:ln>
          </c:spPr>
          <c:invertIfNegative val="0"/>
          <c:cat>
            <c:strRef>
              <c:f>Graphs1!$A$252:$A$256</c:f>
              <c:strCache>
                <c:ptCount val="5"/>
                <c:pt idx="0">
                  <c:v>Central</c:v>
                </c:pt>
                <c:pt idx="1">
                  <c:v>Metro</c:v>
                </c:pt>
                <c:pt idx="2">
                  <c:v>Northeast</c:v>
                </c:pt>
                <c:pt idx="3">
                  <c:v>Southeast</c:v>
                </c:pt>
                <c:pt idx="4">
                  <c:v>Western</c:v>
                </c:pt>
              </c:strCache>
            </c:strRef>
          </c:cat>
          <c:val>
            <c:numRef>
              <c:f>Graphs1!$B$252:$B$256</c:f>
              <c:numCache>
                <c:formatCode>0%</c:formatCode>
                <c:ptCount val="5"/>
                <c:pt idx="0">
                  <c:v>0.38</c:v>
                </c:pt>
                <c:pt idx="1">
                  <c:v>0.47</c:v>
                </c:pt>
                <c:pt idx="2">
                  <c:v>0.57999999999999996</c:v>
                </c:pt>
                <c:pt idx="3">
                  <c:v>0.48</c:v>
                </c:pt>
                <c:pt idx="4">
                  <c:v>0.38</c:v>
                </c:pt>
              </c:numCache>
            </c:numRef>
          </c:val>
        </c:ser>
        <c:ser>
          <c:idx val="1"/>
          <c:order val="1"/>
          <c:tx>
            <c:strRef>
              <c:f>Graphs1!$C$251</c:f>
              <c:strCache>
                <c:ptCount val="1"/>
                <c:pt idx="0">
                  <c:v>Convicted</c:v>
                </c:pt>
              </c:strCache>
            </c:strRef>
          </c:tx>
          <c:spPr>
            <a:solidFill>
              <a:srgbClr val="FF0000"/>
            </a:solidFill>
            <a:ln w="12700">
              <a:solidFill>
                <a:srgbClr val="000000"/>
              </a:solidFill>
              <a:prstDash val="solid"/>
            </a:ln>
          </c:spPr>
          <c:invertIfNegative val="0"/>
          <c:cat>
            <c:strRef>
              <c:f>Graphs1!$A$252:$A$256</c:f>
              <c:strCache>
                <c:ptCount val="5"/>
                <c:pt idx="0">
                  <c:v>Central</c:v>
                </c:pt>
                <c:pt idx="1">
                  <c:v>Metro</c:v>
                </c:pt>
                <c:pt idx="2">
                  <c:v>Northeast</c:v>
                </c:pt>
                <c:pt idx="3">
                  <c:v>Southeast</c:v>
                </c:pt>
                <c:pt idx="4">
                  <c:v>Western</c:v>
                </c:pt>
              </c:strCache>
            </c:strRef>
          </c:cat>
          <c:val>
            <c:numRef>
              <c:f>Graphs1!$C$252:$C$256</c:f>
              <c:numCache>
                <c:formatCode>0%</c:formatCode>
                <c:ptCount val="5"/>
                <c:pt idx="0">
                  <c:v>0.28999999999999998</c:v>
                </c:pt>
                <c:pt idx="1">
                  <c:v>0.28999999999999998</c:v>
                </c:pt>
                <c:pt idx="2">
                  <c:v>0.33</c:v>
                </c:pt>
                <c:pt idx="3">
                  <c:v>0.2</c:v>
                </c:pt>
                <c:pt idx="4">
                  <c:v>0.22</c:v>
                </c:pt>
              </c:numCache>
            </c:numRef>
          </c:val>
        </c:ser>
        <c:ser>
          <c:idx val="2"/>
          <c:order val="2"/>
          <c:tx>
            <c:strRef>
              <c:f>Graphs1!$D$251</c:f>
              <c:strCache>
                <c:ptCount val="1"/>
                <c:pt idx="0">
                  <c:v>Incarcerated</c:v>
                </c:pt>
              </c:strCache>
            </c:strRef>
          </c:tx>
          <c:spPr>
            <a:solidFill>
              <a:srgbClr val="000000"/>
            </a:solidFill>
            <a:ln w="12700">
              <a:solidFill>
                <a:srgbClr val="000000"/>
              </a:solidFill>
              <a:prstDash val="solid"/>
            </a:ln>
          </c:spPr>
          <c:invertIfNegative val="0"/>
          <c:cat>
            <c:strRef>
              <c:f>Graphs1!$A$252:$A$256</c:f>
              <c:strCache>
                <c:ptCount val="5"/>
                <c:pt idx="0">
                  <c:v>Central</c:v>
                </c:pt>
                <c:pt idx="1">
                  <c:v>Metro</c:v>
                </c:pt>
                <c:pt idx="2">
                  <c:v>Northeast</c:v>
                </c:pt>
                <c:pt idx="3">
                  <c:v>Southeast</c:v>
                </c:pt>
                <c:pt idx="4">
                  <c:v>Western</c:v>
                </c:pt>
              </c:strCache>
            </c:strRef>
          </c:cat>
          <c:val>
            <c:numRef>
              <c:f>Graphs1!$D$252:$D$256</c:f>
              <c:numCache>
                <c:formatCode>0%</c:formatCode>
                <c:ptCount val="5"/>
                <c:pt idx="0">
                  <c:v>0.21</c:v>
                </c:pt>
                <c:pt idx="1">
                  <c:v>0.28000000000000003</c:v>
                </c:pt>
                <c:pt idx="2">
                  <c:v>0.23</c:v>
                </c:pt>
                <c:pt idx="3">
                  <c:v>0.16</c:v>
                </c:pt>
                <c:pt idx="4">
                  <c:v>0.18</c:v>
                </c:pt>
              </c:numCache>
            </c:numRef>
          </c:val>
        </c:ser>
        <c:dLbls>
          <c:showLegendKey val="0"/>
          <c:showVal val="0"/>
          <c:showCatName val="0"/>
          <c:showSerName val="0"/>
          <c:showPercent val="0"/>
          <c:showBubbleSize val="0"/>
        </c:dLbls>
        <c:gapWidth val="150"/>
        <c:axId val="138619904"/>
        <c:axId val="141967936"/>
      </c:barChart>
      <c:catAx>
        <c:axId val="1386199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41967936"/>
        <c:crosses val="autoZero"/>
        <c:auto val="1"/>
        <c:lblAlgn val="ctr"/>
        <c:lblOffset val="100"/>
        <c:noMultiLvlLbl val="0"/>
      </c:catAx>
      <c:valAx>
        <c:axId val="141967936"/>
        <c:scaling>
          <c:orientation val="minMax"/>
          <c:max val="0.70000000000000018"/>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en-US"/>
          </a:p>
        </c:txPr>
        <c:crossAx val="138619904"/>
        <c:crosses val="autoZero"/>
        <c:crossBetween val="between"/>
        <c:majorUnit val="0.1"/>
      </c:valAx>
      <c:dTable>
        <c:showHorzBorder val="1"/>
        <c:showVertBorder val="1"/>
        <c:showOutline val="1"/>
        <c:showKeys val="1"/>
        <c:spPr>
          <a:ln w="3175">
            <a:solidFill>
              <a:srgbClr val="000000"/>
            </a:solidFill>
            <a:prstDash val="solid"/>
          </a:ln>
        </c:spPr>
      </c:dTable>
      <c:spPr>
        <a:gradFill rotWithShape="0">
          <a:gsLst>
            <a:gs pos="0">
              <a:srgbClr val="E1E1E1">
                <a:gamma/>
                <a:tint val="28627"/>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AA53-EE58-4FBF-B438-6F1F7FAB4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2D14E7E4.dotm</Template>
  <TotalTime>649</TotalTime>
  <Pages>33</Pages>
  <Words>4366</Words>
  <Characters>24991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One of the desired outcomes of the Massachusetts Department of Youth Services is a reduction in recidivism</vt:lpstr>
    </vt:vector>
  </TitlesOfParts>
  <Company>Commonwealth of Massachusetts</Company>
  <LinksUpToDate>false</LinksUpToDate>
  <CharactersWithSpaces>29299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of the desired outcomes of the Massachusetts Department of Youth Services is a reduction in recidivism</dc:title>
  <dc:creator>Commonwealth of Massachusetts</dc:creator>
  <cp:lastModifiedBy>EOHHS</cp:lastModifiedBy>
  <cp:revision>35</cp:revision>
  <cp:lastPrinted>2018-11-13T13:00:00Z</cp:lastPrinted>
  <dcterms:created xsi:type="dcterms:W3CDTF">2018-06-21T12:08:00Z</dcterms:created>
  <dcterms:modified xsi:type="dcterms:W3CDTF">2018-11-19T17:51:00Z</dcterms:modified>
</cp:coreProperties>
</file>