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46568" w14:textId="22DC0DB7" w:rsidR="00A10436" w:rsidRDefault="00CB01EE" w:rsidP="0018646A">
      <w:pPr>
        <w:spacing w:after="0"/>
      </w:pPr>
      <w:bookmarkStart w:id="0" w:name="_Hlk57984901"/>
      <w:r w:rsidRPr="00860000">
        <w:rPr>
          <w:b/>
        </w:rPr>
        <w:t>Quarantine</w:t>
      </w:r>
      <w:r w:rsidRPr="00860000">
        <w:t xml:space="preserve"> is for individuals who have been exposed to someone who is C</w:t>
      </w:r>
      <w:bookmarkStart w:id="1" w:name="_GoBack"/>
      <w:bookmarkEnd w:id="1"/>
      <w:r w:rsidRPr="00860000">
        <w:t xml:space="preserve">OVID-19 </w:t>
      </w:r>
      <w:r w:rsidR="00CC6CAC" w:rsidRPr="00860000">
        <w:t>positive but</w:t>
      </w:r>
      <w:r w:rsidRPr="00860000">
        <w:t xml:space="preserve"> are not exhibiting any symptoms and have not tested positive. </w:t>
      </w:r>
    </w:p>
    <w:p w14:paraId="7F0A0CC8" w14:textId="77777777" w:rsidR="00C05E10" w:rsidRDefault="00C05E10" w:rsidP="0018646A">
      <w:pPr>
        <w:spacing w:after="0"/>
      </w:pPr>
    </w:p>
    <w:p w14:paraId="05413A44" w14:textId="515A0D34" w:rsidR="00DF4A6A" w:rsidRDefault="0018646A" w:rsidP="00BA1262">
      <w:pPr>
        <w:spacing w:after="0"/>
      </w:pPr>
      <w:r w:rsidRPr="00860000">
        <w:rPr>
          <w:b/>
        </w:rPr>
        <w:t>Isolation</w:t>
      </w:r>
      <w:r w:rsidRPr="00860000">
        <w:t xml:space="preserve"> is for individuals who have either tested positive for COVID-19 or who are exhibiting symptoms of COVID-19 (including fever</w:t>
      </w:r>
      <w:r>
        <w:t>, chills, , muscle pain, headache, sore throat, or new loss of taste or smell</w:t>
      </w:r>
      <w:r w:rsidRPr="00860000">
        <w:t>)</w:t>
      </w:r>
      <w:r>
        <w:t xml:space="preserve"> and have been told by a provider that they have, or probably have, COVID-19, even in the absence of a test.</w:t>
      </w:r>
    </w:p>
    <w:p w14:paraId="06B96AFF" w14:textId="77777777" w:rsidR="00551A65" w:rsidRPr="00A10436" w:rsidRDefault="00551A65" w:rsidP="00BA1262">
      <w:pPr>
        <w:spacing w:after="0"/>
      </w:pPr>
    </w:p>
    <w:tbl>
      <w:tblPr>
        <w:tblW w:w="1448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20" w:firstRow="1" w:lastRow="0" w:firstColumn="0" w:lastColumn="0" w:noHBand="0" w:noVBand="1"/>
      </w:tblPr>
      <w:tblGrid>
        <w:gridCol w:w="1764"/>
        <w:gridCol w:w="3361"/>
        <w:gridCol w:w="2999"/>
        <w:gridCol w:w="6361"/>
      </w:tblGrid>
      <w:tr w:rsidR="00524BF9" w:rsidRPr="00C540A2" w14:paraId="45F44103" w14:textId="77777777" w:rsidTr="00551A65">
        <w:trPr>
          <w:trHeight w:val="565"/>
          <w:jc w:val="center"/>
        </w:trPr>
        <w:tc>
          <w:tcPr>
            <w:tcW w:w="1764" w:type="dxa"/>
            <w:shd w:val="clear" w:color="auto" w:fill="365F91" w:themeFill="accent1" w:themeFillShade="BF"/>
            <w:tcMar>
              <w:top w:w="72" w:type="dxa"/>
              <w:left w:w="144" w:type="dxa"/>
              <w:bottom w:w="72" w:type="dxa"/>
              <w:right w:w="144" w:type="dxa"/>
            </w:tcMar>
            <w:vAlign w:val="center"/>
          </w:tcPr>
          <w:bookmarkEnd w:id="0"/>
          <w:p w14:paraId="0E91D539" w14:textId="77777777" w:rsidR="00524BF9" w:rsidRPr="00956AFC" w:rsidRDefault="00524BF9" w:rsidP="00551A65">
            <w:pPr>
              <w:spacing w:after="0"/>
              <w:jc w:val="center"/>
              <w:rPr>
                <w:b/>
                <w:bCs/>
                <w:i/>
                <w:iCs/>
                <w:color w:val="FFFFFF" w:themeColor="background1"/>
                <w:sz w:val="24"/>
                <w:szCs w:val="24"/>
              </w:rPr>
            </w:pPr>
            <w:r w:rsidRPr="00956AFC">
              <w:rPr>
                <w:b/>
                <w:bCs/>
                <w:i/>
                <w:iCs/>
                <w:color w:val="FFFFFF" w:themeColor="background1"/>
                <w:sz w:val="24"/>
                <w:szCs w:val="24"/>
              </w:rPr>
              <w:t>Worker Type</w:t>
            </w:r>
          </w:p>
        </w:tc>
        <w:tc>
          <w:tcPr>
            <w:tcW w:w="3361" w:type="dxa"/>
            <w:shd w:val="clear" w:color="auto" w:fill="365F91" w:themeFill="accent1" w:themeFillShade="BF"/>
            <w:tcMar>
              <w:top w:w="72" w:type="dxa"/>
              <w:left w:w="144" w:type="dxa"/>
              <w:bottom w:w="72" w:type="dxa"/>
              <w:right w:w="144" w:type="dxa"/>
            </w:tcMar>
            <w:vAlign w:val="center"/>
          </w:tcPr>
          <w:p w14:paraId="0BADB763" w14:textId="113BAFA5" w:rsidR="00524BF9" w:rsidRPr="00956AFC" w:rsidRDefault="00524BF9" w:rsidP="00551A65">
            <w:pPr>
              <w:spacing w:after="0"/>
              <w:jc w:val="center"/>
              <w:rPr>
                <w:color w:val="FFFFFF" w:themeColor="background1"/>
                <w:sz w:val="24"/>
                <w:szCs w:val="24"/>
              </w:rPr>
            </w:pPr>
            <w:r w:rsidRPr="00956AFC">
              <w:rPr>
                <w:b/>
                <w:i/>
                <w:color w:val="FFFFFF" w:themeColor="background1"/>
                <w:sz w:val="24"/>
                <w:szCs w:val="24"/>
              </w:rPr>
              <w:t xml:space="preserve">Quarantine </w:t>
            </w:r>
            <w:r w:rsidRPr="00956AFC">
              <w:rPr>
                <w:color w:val="FFFFFF" w:themeColor="background1"/>
                <w:sz w:val="24"/>
                <w:szCs w:val="24"/>
              </w:rPr>
              <w:t>when…</w:t>
            </w:r>
          </w:p>
        </w:tc>
        <w:tc>
          <w:tcPr>
            <w:tcW w:w="2999" w:type="dxa"/>
            <w:shd w:val="clear" w:color="auto" w:fill="365F91" w:themeFill="accent1" w:themeFillShade="BF"/>
            <w:tcMar>
              <w:top w:w="72" w:type="dxa"/>
              <w:left w:w="144" w:type="dxa"/>
              <w:bottom w:w="72" w:type="dxa"/>
              <w:right w:w="144" w:type="dxa"/>
            </w:tcMar>
            <w:vAlign w:val="center"/>
          </w:tcPr>
          <w:p w14:paraId="226115FA" w14:textId="77777777" w:rsidR="00524BF9" w:rsidRPr="00956AFC" w:rsidRDefault="00524BF9" w:rsidP="00551A65">
            <w:pPr>
              <w:spacing w:after="0"/>
              <w:jc w:val="center"/>
              <w:rPr>
                <w:rFonts w:cstheme="minorHAnsi"/>
                <w:color w:val="FFFFFF" w:themeColor="background1"/>
                <w:sz w:val="24"/>
                <w:szCs w:val="24"/>
              </w:rPr>
            </w:pPr>
            <w:r w:rsidRPr="00956AFC">
              <w:rPr>
                <w:rFonts w:cstheme="minorHAnsi"/>
                <w:b/>
                <w:i/>
                <w:color w:val="FFFFFF" w:themeColor="background1"/>
                <w:sz w:val="24"/>
                <w:szCs w:val="24"/>
              </w:rPr>
              <w:t xml:space="preserve">Isolate </w:t>
            </w:r>
            <w:r w:rsidRPr="00956AFC">
              <w:rPr>
                <w:rFonts w:cstheme="minorHAnsi"/>
                <w:color w:val="FFFFFF" w:themeColor="background1"/>
                <w:sz w:val="24"/>
                <w:szCs w:val="24"/>
              </w:rPr>
              <w:t>when…</w:t>
            </w:r>
          </w:p>
        </w:tc>
        <w:tc>
          <w:tcPr>
            <w:tcW w:w="6361" w:type="dxa"/>
            <w:shd w:val="clear" w:color="auto" w:fill="365F91" w:themeFill="accent1" w:themeFillShade="BF"/>
            <w:tcMar>
              <w:top w:w="72" w:type="dxa"/>
              <w:left w:w="144" w:type="dxa"/>
              <w:bottom w:w="72" w:type="dxa"/>
              <w:right w:w="144" w:type="dxa"/>
            </w:tcMar>
            <w:vAlign w:val="center"/>
          </w:tcPr>
          <w:p w14:paraId="0194D677" w14:textId="77777777" w:rsidR="00524BF9" w:rsidRPr="00956AFC" w:rsidRDefault="00524BF9" w:rsidP="00551A65">
            <w:pPr>
              <w:spacing w:after="0"/>
              <w:jc w:val="center"/>
              <w:rPr>
                <w:rFonts w:cstheme="minorHAnsi"/>
                <w:color w:val="FFFFFF" w:themeColor="background1"/>
                <w:sz w:val="24"/>
                <w:szCs w:val="24"/>
              </w:rPr>
            </w:pPr>
            <w:r>
              <w:rPr>
                <w:rFonts w:cstheme="minorHAnsi"/>
                <w:b/>
                <w:i/>
                <w:color w:val="FFFFFF" w:themeColor="background1"/>
                <w:sz w:val="24"/>
                <w:szCs w:val="24"/>
              </w:rPr>
              <w:t xml:space="preserve">End Isolation and </w:t>
            </w:r>
            <w:r w:rsidRPr="00956AFC">
              <w:rPr>
                <w:rFonts w:cstheme="minorHAnsi"/>
                <w:b/>
                <w:i/>
                <w:color w:val="FFFFFF" w:themeColor="background1"/>
                <w:sz w:val="24"/>
                <w:szCs w:val="24"/>
              </w:rPr>
              <w:t>Return to work</w:t>
            </w:r>
            <w:r w:rsidRPr="00956AFC">
              <w:rPr>
                <w:rFonts w:cstheme="minorHAnsi"/>
                <w:color w:val="FFFFFF" w:themeColor="background1"/>
                <w:sz w:val="24"/>
                <w:szCs w:val="24"/>
              </w:rPr>
              <w:t xml:space="preserve"> when…</w:t>
            </w:r>
          </w:p>
        </w:tc>
      </w:tr>
      <w:tr w:rsidR="00551A65" w:rsidRPr="0010083B" w14:paraId="7493A6DD" w14:textId="77777777" w:rsidTr="00551A65">
        <w:trPr>
          <w:trHeight w:val="1295"/>
          <w:jc w:val="center"/>
        </w:trPr>
        <w:tc>
          <w:tcPr>
            <w:tcW w:w="1764" w:type="dxa"/>
            <w:shd w:val="clear" w:color="auto" w:fill="DCE6F2"/>
            <w:tcMar>
              <w:top w:w="72" w:type="dxa"/>
              <w:left w:w="144" w:type="dxa"/>
              <w:bottom w:w="72" w:type="dxa"/>
              <w:right w:w="144" w:type="dxa"/>
            </w:tcMar>
            <w:vAlign w:val="center"/>
            <w:hideMark/>
          </w:tcPr>
          <w:p w14:paraId="466EE941" w14:textId="77777777" w:rsidR="00551A65" w:rsidRPr="00C540A2" w:rsidRDefault="00551A65" w:rsidP="00551A65">
            <w:pPr>
              <w:spacing w:after="0"/>
              <w:jc w:val="center"/>
            </w:pPr>
            <w:r w:rsidRPr="00C540A2">
              <w:rPr>
                <w:b/>
                <w:bCs/>
                <w:i/>
                <w:iCs/>
              </w:rPr>
              <w:t>Health Care Workers</w:t>
            </w:r>
          </w:p>
        </w:tc>
        <w:tc>
          <w:tcPr>
            <w:tcW w:w="3361" w:type="dxa"/>
            <w:vMerge w:val="restart"/>
            <w:shd w:val="clear" w:color="auto" w:fill="auto"/>
            <w:tcMar>
              <w:top w:w="72" w:type="dxa"/>
              <w:left w:w="144" w:type="dxa"/>
              <w:bottom w:w="72" w:type="dxa"/>
              <w:right w:w="144" w:type="dxa"/>
            </w:tcMar>
            <w:vAlign w:val="center"/>
            <w:hideMark/>
          </w:tcPr>
          <w:p w14:paraId="2805AC18" w14:textId="77BAEE27" w:rsidR="00551A65" w:rsidRPr="00BA1262" w:rsidRDefault="00551A65" w:rsidP="00551A65">
            <w:pPr>
              <w:spacing w:after="0"/>
              <w:rPr>
                <w:sz w:val="20"/>
                <w:szCs w:val="20"/>
              </w:rPr>
            </w:pPr>
            <w:r w:rsidRPr="00BA1262">
              <w:rPr>
                <w:sz w:val="20"/>
                <w:szCs w:val="20"/>
              </w:rPr>
              <w:t xml:space="preserve">Best practice: Quarantine at home when exposed to </w:t>
            </w:r>
            <w:r>
              <w:rPr>
                <w:sz w:val="20"/>
                <w:szCs w:val="20"/>
              </w:rPr>
              <w:t xml:space="preserve">COVID-19 to </w:t>
            </w:r>
            <w:r w:rsidRPr="00BA1262">
              <w:rPr>
                <w:sz w:val="20"/>
                <w:szCs w:val="20"/>
              </w:rPr>
              <w:t xml:space="preserve">prevent further transmission </w:t>
            </w:r>
          </w:p>
          <w:p w14:paraId="4EA915F4" w14:textId="77777777" w:rsidR="00551A65" w:rsidRPr="00BA1262" w:rsidRDefault="00551A65" w:rsidP="00551A65">
            <w:pPr>
              <w:spacing w:after="0"/>
              <w:rPr>
                <w:sz w:val="20"/>
                <w:szCs w:val="20"/>
              </w:rPr>
            </w:pPr>
          </w:p>
          <w:p w14:paraId="76B3CE14" w14:textId="594F3F62" w:rsidR="00551A65" w:rsidRPr="00BA1262" w:rsidRDefault="00551A65" w:rsidP="00551A65">
            <w:pPr>
              <w:spacing w:after="0"/>
              <w:rPr>
                <w:sz w:val="20"/>
                <w:szCs w:val="20"/>
              </w:rPr>
            </w:pPr>
            <w:r w:rsidRPr="00BA1262">
              <w:rPr>
                <w:sz w:val="20"/>
                <w:szCs w:val="20"/>
              </w:rPr>
              <w:t>Certain sectors may continue to work during their quarantine period to preserve critical societal functions. This is only allowed if the worker remains asymptomatic</w:t>
            </w:r>
          </w:p>
          <w:p w14:paraId="7416ADD2" w14:textId="77777777" w:rsidR="00551A65" w:rsidRPr="00BA1262" w:rsidRDefault="00551A65" w:rsidP="00551A65">
            <w:pPr>
              <w:spacing w:after="0"/>
              <w:rPr>
                <w:sz w:val="20"/>
                <w:szCs w:val="20"/>
              </w:rPr>
            </w:pPr>
          </w:p>
          <w:p w14:paraId="27F74DC3" w14:textId="665797ED" w:rsidR="00551A65" w:rsidRPr="00BA1262" w:rsidRDefault="00551A65" w:rsidP="00551A65">
            <w:pPr>
              <w:spacing w:after="0"/>
              <w:rPr>
                <w:sz w:val="20"/>
                <w:szCs w:val="20"/>
              </w:rPr>
            </w:pPr>
            <w:r w:rsidRPr="00BA1262">
              <w:rPr>
                <w:sz w:val="20"/>
                <w:szCs w:val="20"/>
              </w:rPr>
              <w:t xml:space="preserve">All workers should wear PPE appropriate to their duties and must </w:t>
            </w:r>
            <w:r w:rsidR="006D36AC">
              <w:rPr>
                <w:sz w:val="20"/>
                <w:szCs w:val="20"/>
              </w:rPr>
              <w:t xml:space="preserve">at least </w:t>
            </w:r>
            <w:r w:rsidRPr="00BA1262">
              <w:rPr>
                <w:sz w:val="20"/>
                <w:szCs w:val="20"/>
              </w:rPr>
              <w:t>wear a cloth face covering and self-monitor for symptoms</w:t>
            </w:r>
          </w:p>
        </w:tc>
        <w:tc>
          <w:tcPr>
            <w:tcW w:w="2999" w:type="dxa"/>
            <w:vMerge w:val="restart"/>
            <w:shd w:val="clear" w:color="auto" w:fill="auto"/>
            <w:tcMar>
              <w:top w:w="72" w:type="dxa"/>
              <w:left w:w="144" w:type="dxa"/>
              <w:bottom w:w="72" w:type="dxa"/>
              <w:right w:w="144" w:type="dxa"/>
            </w:tcMar>
            <w:vAlign w:val="center"/>
            <w:hideMark/>
          </w:tcPr>
          <w:p w14:paraId="556F01F0" w14:textId="77777777" w:rsidR="00551A65" w:rsidRPr="00860000" w:rsidRDefault="00551A65" w:rsidP="00551A65">
            <w:pPr>
              <w:spacing w:after="0"/>
              <w:rPr>
                <w:rFonts w:cstheme="minorHAnsi"/>
                <w:sz w:val="21"/>
                <w:szCs w:val="21"/>
              </w:rPr>
            </w:pPr>
          </w:p>
          <w:p w14:paraId="1EAA34B3" w14:textId="01153A1B" w:rsidR="00551A65" w:rsidRPr="000B5A5C" w:rsidRDefault="00551A65" w:rsidP="00551A65">
            <w:pPr>
              <w:spacing w:after="0"/>
              <w:rPr>
                <w:rFonts w:cstheme="minorHAnsi"/>
                <w:b/>
                <w:sz w:val="20"/>
                <w:szCs w:val="20"/>
              </w:rPr>
            </w:pPr>
            <w:r w:rsidRPr="000B5A5C">
              <w:rPr>
                <w:rFonts w:cstheme="minorHAnsi"/>
                <w:sz w:val="20"/>
                <w:szCs w:val="20"/>
              </w:rPr>
              <w:t>You have tested positive for COVID-19</w:t>
            </w:r>
            <w:r>
              <w:rPr>
                <w:rFonts w:cstheme="minorHAnsi"/>
                <w:sz w:val="20"/>
                <w:szCs w:val="20"/>
              </w:rPr>
              <w:t xml:space="preserve">; </w:t>
            </w:r>
            <w:r w:rsidRPr="000B5A5C">
              <w:rPr>
                <w:rFonts w:cstheme="minorHAnsi"/>
                <w:b/>
                <w:sz w:val="20"/>
                <w:szCs w:val="20"/>
              </w:rPr>
              <w:t xml:space="preserve">OR </w:t>
            </w:r>
          </w:p>
          <w:p w14:paraId="02B468B5" w14:textId="77777777" w:rsidR="00551A65" w:rsidRPr="00860000" w:rsidRDefault="00551A65" w:rsidP="00551A65">
            <w:pPr>
              <w:spacing w:after="0"/>
              <w:rPr>
                <w:rFonts w:cstheme="minorHAnsi"/>
                <w:b/>
                <w:sz w:val="21"/>
                <w:szCs w:val="21"/>
              </w:rPr>
            </w:pPr>
            <w:r w:rsidRPr="000B5A5C">
              <w:rPr>
                <w:rFonts w:cstheme="minorHAnsi"/>
                <w:sz w:val="20"/>
                <w:szCs w:val="20"/>
              </w:rPr>
              <w:t>you have symptoms of COVID-19</w:t>
            </w:r>
          </w:p>
        </w:tc>
        <w:tc>
          <w:tcPr>
            <w:tcW w:w="6361" w:type="dxa"/>
            <w:vMerge w:val="restart"/>
            <w:shd w:val="clear" w:color="auto" w:fill="auto"/>
            <w:tcMar>
              <w:top w:w="72" w:type="dxa"/>
              <w:left w:w="144" w:type="dxa"/>
              <w:bottom w:w="72" w:type="dxa"/>
              <w:right w:w="144" w:type="dxa"/>
            </w:tcMar>
            <w:vAlign w:val="center"/>
            <w:hideMark/>
          </w:tcPr>
          <w:p w14:paraId="728A0712" w14:textId="77777777" w:rsidR="00551A65" w:rsidRPr="00B15851" w:rsidRDefault="00551A65" w:rsidP="00551A65">
            <w:pPr>
              <w:rPr>
                <w:sz w:val="20"/>
                <w:u w:val="single"/>
              </w:rPr>
            </w:pPr>
            <w:r w:rsidRPr="00B15851">
              <w:rPr>
                <w:sz w:val="20"/>
                <w:u w:val="single"/>
              </w:rPr>
              <w:t>Symptomatic</w:t>
            </w:r>
          </w:p>
          <w:p w14:paraId="343E27CA" w14:textId="77777777" w:rsidR="00551A65" w:rsidRPr="00B15851" w:rsidRDefault="00551A65" w:rsidP="00551A65">
            <w:pPr>
              <w:pStyle w:val="ListParagraph"/>
              <w:numPr>
                <w:ilvl w:val="0"/>
                <w:numId w:val="24"/>
              </w:numPr>
              <w:spacing w:after="0"/>
              <w:rPr>
                <w:sz w:val="20"/>
              </w:rPr>
            </w:pPr>
            <w:r w:rsidRPr="00B15851">
              <w:rPr>
                <w:sz w:val="20"/>
              </w:rPr>
              <w:t>At least 24 hours have passed since recovery, defined as resolution of fever without the use of fever-reducing medications; and</w:t>
            </w:r>
          </w:p>
          <w:p w14:paraId="4F8939BD" w14:textId="77777777" w:rsidR="00551A65" w:rsidRPr="00B15851" w:rsidRDefault="00551A65" w:rsidP="00551A65">
            <w:pPr>
              <w:pStyle w:val="ListParagraph"/>
              <w:numPr>
                <w:ilvl w:val="0"/>
                <w:numId w:val="24"/>
              </w:numPr>
              <w:spacing w:after="0"/>
              <w:rPr>
                <w:sz w:val="20"/>
              </w:rPr>
            </w:pPr>
            <w:r w:rsidRPr="00B15851">
              <w:rPr>
                <w:sz w:val="20"/>
              </w:rPr>
              <w:t>Improvement in symptoms; and</w:t>
            </w:r>
          </w:p>
          <w:p w14:paraId="5E78DAD4" w14:textId="627C5E54" w:rsidR="00551A65" w:rsidRPr="00B15851" w:rsidRDefault="00551A65" w:rsidP="00551A65">
            <w:pPr>
              <w:pStyle w:val="ListParagraph"/>
              <w:numPr>
                <w:ilvl w:val="0"/>
                <w:numId w:val="24"/>
              </w:numPr>
              <w:spacing w:after="0"/>
              <w:rPr>
                <w:sz w:val="20"/>
              </w:rPr>
            </w:pPr>
            <w:r w:rsidRPr="00B15851">
              <w:rPr>
                <w:sz w:val="20"/>
              </w:rPr>
              <w:t>At least 10 days have passed since symptoms first appeared</w:t>
            </w:r>
            <w:r w:rsidR="00D97885">
              <w:rPr>
                <w:sz w:val="20"/>
                <w:vertAlign w:val="superscript"/>
              </w:rPr>
              <w:t>2</w:t>
            </w:r>
            <w:r w:rsidRPr="00B15851">
              <w:rPr>
                <w:sz w:val="20"/>
              </w:rPr>
              <w:t>.</w:t>
            </w:r>
          </w:p>
          <w:p w14:paraId="5D6FE8AE" w14:textId="77777777" w:rsidR="00551A65" w:rsidRPr="00B15851" w:rsidRDefault="00551A65" w:rsidP="00551A65">
            <w:pPr>
              <w:spacing w:after="0"/>
              <w:rPr>
                <w:sz w:val="20"/>
              </w:rPr>
            </w:pPr>
          </w:p>
          <w:p w14:paraId="293E4A1B" w14:textId="77777777" w:rsidR="00551A65" w:rsidRPr="00B15851" w:rsidRDefault="00551A65" w:rsidP="00551A65">
            <w:pPr>
              <w:rPr>
                <w:sz w:val="20"/>
                <w:u w:val="single"/>
              </w:rPr>
            </w:pPr>
            <w:r w:rsidRPr="00B15851">
              <w:rPr>
                <w:sz w:val="20"/>
                <w:u w:val="single"/>
              </w:rPr>
              <w:t>Asymptomatic</w:t>
            </w:r>
          </w:p>
          <w:p w14:paraId="55ADC10E" w14:textId="11DE97A6" w:rsidR="00551A65" w:rsidRPr="00B15851" w:rsidRDefault="00551A65" w:rsidP="00551A65">
            <w:pPr>
              <w:rPr>
                <w:sz w:val="20"/>
              </w:rPr>
            </w:pPr>
            <w:r w:rsidRPr="00B15851">
              <w:rPr>
                <w:sz w:val="20"/>
              </w:rPr>
              <w:t>At least 10 days have passed since the first positive COVID-19 diagnostic test was taken, assuming symptoms did not subsequently develop</w:t>
            </w:r>
            <w:r w:rsidR="00BD506E" w:rsidRPr="00D4041E">
              <w:rPr>
                <w:sz w:val="20"/>
                <w:vertAlign w:val="superscript"/>
              </w:rPr>
              <w:t>2</w:t>
            </w:r>
            <w:r w:rsidRPr="00B15851">
              <w:rPr>
                <w:sz w:val="20"/>
              </w:rPr>
              <w:t>.</w:t>
            </w:r>
          </w:p>
          <w:p w14:paraId="7E03D873" w14:textId="25F61C24" w:rsidR="00551A65" w:rsidRPr="00DF4A6A" w:rsidRDefault="00551A65" w:rsidP="00551A65">
            <w:pPr>
              <w:spacing w:after="100" w:afterAutospacing="1" w:line="240" w:lineRule="auto"/>
              <w:rPr>
                <w:rFonts w:cstheme="minorHAnsi"/>
                <w:i/>
                <w:iCs/>
                <w:color w:val="000000"/>
              </w:rPr>
            </w:pPr>
          </w:p>
        </w:tc>
      </w:tr>
      <w:tr w:rsidR="00551A65" w:rsidRPr="0010083B" w14:paraId="57447BF3" w14:textId="77777777" w:rsidTr="00551A65">
        <w:trPr>
          <w:trHeight w:val="1259"/>
          <w:jc w:val="center"/>
        </w:trPr>
        <w:tc>
          <w:tcPr>
            <w:tcW w:w="1764" w:type="dxa"/>
            <w:shd w:val="clear" w:color="auto" w:fill="DCE6F2"/>
            <w:tcMar>
              <w:top w:w="72" w:type="dxa"/>
              <w:left w:w="144" w:type="dxa"/>
              <w:bottom w:w="72" w:type="dxa"/>
              <w:right w:w="144" w:type="dxa"/>
            </w:tcMar>
            <w:vAlign w:val="center"/>
            <w:hideMark/>
          </w:tcPr>
          <w:p w14:paraId="5F756C7C" w14:textId="77777777" w:rsidR="00551A65" w:rsidRPr="00C540A2" w:rsidRDefault="00551A65" w:rsidP="00551A65">
            <w:pPr>
              <w:spacing w:after="0"/>
              <w:jc w:val="center"/>
            </w:pPr>
            <w:r w:rsidRPr="00C540A2">
              <w:rPr>
                <w:b/>
                <w:bCs/>
                <w:i/>
                <w:iCs/>
              </w:rPr>
              <w:t>First Responders</w:t>
            </w:r>
          </w:p>
        </w:tc>
        <w:tc>
          <w:tcPr>
            <w:tcW w:w="3361" w:type="dxa"/>
            <w:vMerge/>
            <w:shd w:val="clear" w:color="auto" w:fill="auto"/>
            <w:tcMar>
              <w:top w:w="72" w:type="dxa"/>
              <w:left w:w="144" w:type="dxa"/>
              <w:bottom w:w="72" w:type="dxa"/>
              <w:right w:w="144" w:type="dxa"/>
            </w:tcMar>
            <w:vAlign w:val="center"/>
          </w:tcPr>
          <w:p w14:paraId="36CFC928" w14:textId="77777777" w:rsidR="00551A65" w:rsidRPr="00BA1262" w:rsidRDefault="00551A65" w:rsidP="00551A65">
            <w:pPr>
              <w:spacing w:after="0"/>
              <w:jc w:val="center"/>
              <w:rPr>
                <w:sz w:val="20"/>
                <w:szCs w:val="20"/>
              </w:rPr>
            </w:pPr>
          </w:p>
        </w:tc>
        <w:tc>
          <w:tcPr>
            <w:tcW w:w="2999" w:type="dxa"/>
            <w:vMerge/>
            <w:shd w:val="clear" w:color="auto" w:fill="auto"/>
            <w:tcMar>
              <w:top w:w="72" w:type="dxa"/>
              <w:left w:w="144" w:type="dxa"/>
              <w:bottom w:w="72" w:type="dxa"/>
              <w:right w:w="144" w:type="dxa"/>
            </w:tcMar>
            <w:vAlign w:val="center"/>
          </w:tcPr>
          <w:p w14:paraId="5C64E3E3" w14:textId="77777777" w:rsidR="00551A65" w:rsidRPr="00860000" w:rsidRDefault="00551A65" w:rsidP="00551A65">
            <w:pPr>
              <w:pStyle w:val="ListParagraph"/>
              <w:numPr>
                <w:ilvl w:val="0"/>
                <w:numId w:val="7"/>
              </w:numPr>
              <w:spacing w:after="0"/>
              <w:rPr>
                <w:sz w:val="21"/>
                <w:szCs w:val="21"/>
              </w:rPr>
            </w:pPr>
          </w:p>
        </w:tc>
        <w:tc>
          <w:tcPr>
            <w:tcW w:w="6361" w:type="dxa"/>
            <w:vMerge/>
            <w:shd w:val="clear" w:color="auto" w:fill="auto"/>
            <w:tcMar>
              <w:top w:w="72" w:type="dxa"/>
              <w:left w:w="144" w:type="dxa"/>
              <w:bottom w:w="72" w:type="dxa"/>
              <w:right w:w="144" w:type="dxa"/>
            </w:tcMar>
            <w:vAlign w:val="center"/>
            <w:hideMark/>
          </w:tcPr>
          <w:p w14:paraId="25876BEF" w14:textId="77777777" w:rsidR="00551A65" w:rsidRPr="00860000" w:rsidRDefault="00551A65" w:rsidP="00551A65">
            <w:pPr>
              <w:spacing w:before="100" w:beforeAutospacing="1" w:after="0" w:line="240" w:lineRule="auto"/>
              <w:rPr>
                <w:sz w:val="21"/>
                <w:szCs w:val="21"/>
              </w:rPr>
            </w:pPr>
          </w:p>
        </w:tc>
      </w:tr>
      <w:tr w:rsidR="00551A65" w:rsidRPr="0010083B" w14:paraId="53E73F4A" w14:textId="77777777" w:rsidTr="00551A65">
        <w:trPr>
          <w:trHeight w:val="1304"/>
          <w:jc w:val="center"/>
        </w:trPr>
        <w:tc>
          <w:tcPr>
            <w:tcW w:w="1764" w:type="dxa"/>
            <w:shd w:val="clear" w:color="auto" w:fill="DCE6F2"/>
            <w:tcMar>
              <w:top w:w="72" w:type="dxa"/>
              <w:left w:w="144" w:type="dxa"/>
              <w:bottom w:w="72" w:type="dxa"/>
              <w:right w:w="144" w:type="dxa"/>
            </w:tcMar>
            <w:vAlign w:val="center"/>
            <w:hideMark/>
          </w:tcPr>
          <w:p w14:paraId="79540818" w14:textId="4FFEA8B6" w:rsidR="00551A65" w:rsidRPr="00C540A2" w:rsidRDefault="00551A65" w:rsidP="00551A65">
            <w:pPr>
              <w:spacing w:after="0"/>
              <w:jc w:val="center"/>
            </w:pPr>
            <w:r>
              <w:rPr>
                <w:b/>
                <w:bCs/>
                <w:i/>
                <w:iCs/>
              </w:rPr>
              <w:t>Critical</w:t>
            </w:r>
            <w:r>
              <w:rPr>
                <w:rStyle w:val="FootnoteReference"/>
                <w:rFonts w:cstheme="minorHAnsi"/>
                <w:b/>
                <w:bCs/>
                <w:i/>
                <w:iCs/>
              </w:rPr>
              <w:footnoteReference w:id="1"/>
            </w:r>
            <w:r>
              <w:rPr>
                <w:rFonts w:cstheme="minorHAnsi"/>
                <w:b/>
                <w:bCs/>
                <w:i/>
                <w:iCs/>
              </w:rPr>
              <w:t xml:space="preserve"> </w:t>
            </w:r>
            <w:r>
              <w:rPr>
                <w:b/>
                <w:bCs/>
                <w:i/>
                <w:iCs/>
              </w:rPr>
              <w:t>Infrastructure Workers</w:t>
            </w:r>
          </w:p>
        </w:tc>
        <w:tc>
          <w:tcPr>
            <w:tcW w:w="3361" w:type="dxa"/>
            <w:vMerge/>
            <w:shd w:val="clear" w:color="auto" w:fill="auto"/>
            <w:tcMar>
              <w:top w:w="72" w:type="dxa"/>
              <w:left w:w="144" w:type="dxa"/>
              <w:bottom w:w="72" w:type="dxa"/>
              <w:right w:w="144" w:type="dxa"/>
            </w:tcMar>
            <w:vAlign w:val="center"/>
            <w:hideMark/>
          </w:tcPr>
          <w:p w14:paraId="27C7735C" w14:textId="77777777" w:rsidR="00551A65" w:rsidRPr="00BA1262" w:rsidRDefault="00551A65" w:rsidP="00551A65">
            <w:pPr>
              <w:spacing w:after="0"/>
              <w:jc w:val="center"/>
              <w:rPr>
                <w:sz w:val="20"/>
                <w:szCs w:val="20"/>
              </w:rPr>
            </w:pPr>
          </w:p>
        </w:tc>
        <w:tc>
          <w:tcPr>
            <w:tcW w:w="2999" w:type="dxa"/>
            <w:vMerge/>
            <w:shd w:val="clear" w:color="auto" w:fill="auto"/>
            <w:tcMar>
              <w:top w:w="72" w:type="dxa"/>
              <w:left w:w="144" w:type="dxa"/>
              <w:bottom w:w="72" w:type="dxa"/>
              <w:right w:w="144" w:type="dxa"/>
            </w:tcMar>
            <w:vAlign w:val="center"/>
            <w:hideMark/>
          </w:tcPr>
          <w:p w14:paraId="29A166F7" w14:textId="77777777" w:rsidR="00551A65" w:rsidRPr="0010083B" w:rsidRDefault="00551A65" w:rsidP="00551A65">
            <w:pPr>
              <w:pStyle w:val="ListParagraph"/>
              <w:numPr>
                <w:ilvl w:val="0"/>
                <w:numId w:val="7"/>
              </w:numPr>
              <w:spacing w:after="0"/>
              <w:rPr>
                <w:sz w:val="18"/>
                <w:szCs w:val="18"/>
              </w:rPr>
            </w:pPr>
          </w:p>
        </w:tc>
        <w:tc>
          <w:tcPr>
            <w:tcW w:w="6361" w:type="dxa"/>
            <w:vMerge/>
            <w:shd w:val="clear" w:color="auto" w:fill="auto"/>
            <w:tcMar>
              <w:top w:w="72" w:type="dxa"/>
              <w:left w:w="144" w:type="dxa"/>
              <w:bottom w:w="72" w:type="dxa"/>
              <w:right w:w="144" w:type="dxa"/>
            </w:tcMar>
            <w:vAlign w:val="center"/>
            <w:hideMark/>
          </w:tcPr>
          <w:p w14:paraId="2FF7E3B4" w14:textId="77777777" w:rsidR="00551A65" w:rsidRPr="0010083B" w:rsidRDefault="00551A65" w:rsidP="00551A65">
            <w:pPr>
              <w:numPr>
                <w:ilvl w:val="0"/>
                <w:numId w:val="14"/>
              </w:numPr>
              <w:spacing w:before="100" w:beforeAutospacing="1" w:after="0" w:line="240" w:lineRule="auto"/>
              <w:rPr>
                <w:sz w:val="18"/>
                <w:szCs w:val="18"/>
              </w:rPr>
            </w:pPr>
          </w:p>
        </w:tc>
      </w:tr>
      <w:tr w:rsidR="00551A65" w:rsidRPr="0010083B" w14:paraId="4E84FA04" w14:textId="77777777" w:rsidTr="00551A65">
        <w:trPr>
          <w:trHeight w:val="764"/>
          <w:jc w:val="center"/>
        </w:trPr>
        <w:tc>
          <w:tcPr>
            <w:tcW w:w="1764" w:type="dxa"/>
            <w:shd w:val="clear" w:color="auto" w:fill="DCE6F2"/>
            <w:tcMar>
              <w:top w:w="72" w:type="dxa"/>
              <w:left w:w="144" w:type="dxa"/>
              <w:bottom w:w="72" w:type="dxa"/>
              <w:right w:w="144" w:type="dxa"/>
            </w:tcMar>
            <w:vAlign w:val="center"/>
            <w:hideMark/>
          </w:tcPr>
          <w:p w14:paraId="2B14875A" w14:textId="77777777" w:rsidR="00551A65" w:rsidRPr="00C540A2" w:rsidRDefault="00551A65" w:rsidP="00503F36">
            <w:pPr>
              <w:spacing w:after="0"/>
              <w:jc w:val="center"/>
            </w:pPr>
            <w:r w:rsidRPr="00C540A2">
              <w:rPr>
                <w:b/>
                <w:bCs/>
                <w:i/>
                <w:iCs/>
              </w:rPr>
              <w:t>All Other Workers</w:t>
            </w:r>
          </w:p>
        </w:tc>
        <w:tc>
          <w:tcPr>
            <w:tcW w:w="3361" w:type="dxa"/>
            <w:shd w:val="clear" w:color="auto" w:fill="auto"/>
            <w:tcMar>
              <w:top w:w="72" w:type="dxa"/>
              <w:left w:w="144" w:type="dxa"/>
              <w:bottom w:w="72" w:type="dxa"/>
              <w:right w:w="144" w:type="dxa"/>
            </w:tcMar>
            <w:vAlign w:val="center"/>
            <w:hideMark/>
          </w:tcPr>
          <w:p w14:paraId="4D213628" w14:textId="26B51B7D" w:rsidR="00551A65" w:rsidRPr="00551A65" w:rsidRDefault="00551A65" w:rsidP="00503F36">
            <w:pPr>
              <w:spacing w:after="0"/>
              <w:rPr>
                <w:sz w:val="20"/>
                <w:szCs w:val="20"/>
              </w:rPr>
            </w:pPr>
            <w:r w:rsidRPr="00551A65">
              <w:rPr>
                <w:sz w:val="20"/>
                <w:szCs w:val="20"/>
              </w:rPr>
              <w:t>Quarantine if you were exposed to COVID-19</w:t>
            </w:r>
          </w:p>
        </w:tc>
        <w:tc>
          <w:tcPr>
            <w:tcW w:w="2999" w:type="dxa"/>
            <w:vMerge/>
            <w:shd w:val="clear" w:color="auto" w:fill="auto"/>
            <w:tcMar>
              <w:top w:w="72" w:type="dxa"/>
              <w:left w:w="144" w:type="dxa"/>
              <w:bottom w:w="72" w:type="dxa"/>
              <w:right w:w="144" w:type="dxa"/>
            </w:tcMar>
            <w:vAlign w:val="center"/>
            <w:hideMark/>
          </w:tcPr>
          <w:p w14:paraId="0E278463" w14:textId="77777777" w:rsidR="00551A65" w:rsidRPr="0010083B" w:rsidRDefault="00551A65" w:rsidP="00551A65">
            <w:pPr>
              <w:pStyle w:val="ListParagraph"/>
              <w:spacing w:after="0"/>
              <w:ind w:left="360"/>
              <w:rPr>
                <w:sz w:val="18"/>
                <w:szCs w:val="18"/>
              </w:rPr>
            </w:pPr>
          </w:p>
        </w:tc>
        <w:tc>
          <w:tcPr>
            <w:tcW w:w="6361" w:type="dxa"/>
            <w:vMerge/>
            <w:shd w:val="clear" w:color="auto" w:fill="auto"/>
            <w:tcMar>
              <w:top w:w="72" w:type="dxa"/>
              <w:left w:w="144" w:type="dxa"/>
              <w:bottom w:w="72" w:type="dxa"/>
              <w:right w:w="144" w:type="dxa"/>
            </w:tcMar>
            <w:vAlign w:val="center"/>
            <w:hideMark/>
          </w:tcPr>
          <w:p w14:paraId="1D0E7401" w14:textId="77777777" w:rsidR="00551A65" w:rsidRPr="0010083B" w:rsidRDefault="00551A65" w:rsidP="00551A65">
            <w:pPr>
              <w:spacing w:before="100" w:beforeAutospacing="1" w:after="0" w:line="240" w:lineRule="auto"/>
              <w:ind w:left="360"/>
              <w:rPr>
                <w:rFonts w:cstheme="minorHAnsi"/>
                <w:color w:val="000000"/>
                <w:sz w:val="18"/>
                <w:szCs w:val="18"/>
              </w:rPr>
            </w:pPr>
          </w:p>
        </w:tc>
      </w:tr>
    </w:tbl>
    <w:p w14:paraId="3E8FBB62" w14:textId="77777777" w:rsidR="00551A65" w:rsidRDefault="00551A65" w:rsidP="00FC3A4A"/>
    <w:p w14:paraId="35ED3AD3" w14:textId="1246D5D9" w:rsidR="0018646A" w:rsidRPr="006A4931" w:rsidRDefault="0018646A" w:rsidP="00FC3A4A">
      <w:pPr>
        <w:sectPr w:rsidR="0018646A" w:rsidRPr="006A4931" w:rsidSect="0010083B">
          <w:headerReference w:type="default" r:id="rId8"/>
          <w:pgSz w:w="15840" w:h="12240" w:orient="landscape"/>
          <w:pgMar w:top="720" w:right="720" w:bottom="720" w:left="720" w:header="720" w:footer="720" w:gutter="0"/>
          <w:cols w:space="720"/>
          <w:docGrid w:linePitch="360"/>
        </w:sectPr>
      </w:pPr>
    </w:p>
    <w:p w14:paraId="024BC19A" w14:textId="35CDD4FD" w:rsidR="00FA6CB7" w:rsidRDefault="002C2E3E" w:rsidP="00FA6CB7">
      <w:r>
        <w:lastRenderedPageBreak/>
        <w:t xml:space="preserve">Healthcare workers, first responders and critical infrastructure workers </w:t>
      </w:r>
      <w:r w:rsidR="00551A65">
        <w:t xml:space="preserve">may </w:t>
      </w:r>
      <w:r>
        <w:t>work following either occupational</w:t>
      </w:r>
      <w:r w:rsidR="009F31A4">
        <w:t>, household</w:t>
      </w:r>
      <w:r>
        <w:t xml:space="preserve"> or community exposures</w:t>
      </w:r>
      <w:r w:rsidR="00B06050">
        <w:t>, under certain circumstances</w:t>
      </w:r>
      <w:r>
        <w:t xml:space="preserve">. </w:t>
      </w:r>
      <w:r w:rsidR="00FA6CB7">
        <w:t xml:space="preserve"> This exception applies only to work activities</w:t>
      </w:r>
      <w:r w:rsidR="00F57062">
        <w:t>;</w:t>
      </w:r>
      <w:r w:rsidR="00FA6CB7">
        <w:t xml:space="preserve"> and </w:t>
      </w:r>
      <w:r w:rsidR="00551A65">
        <w:t xml:space="preserve">workers </w:t>
      </w:r>
      <w:r w:rsidR="00FA6CB7" w:rsidRPr="00FA6CB7">
        <w:t>are strongly discouraged from</w:t>
      </w:r>
      <w:r w:rsidR="00551A65">
        <w:t xml:space="preserve"> leaving their home for</w:t>
      </w:r>
      <w:r w:rsidR="00FA6CB7" w:rsidRPr="00FA6CB7">
        <w:t xml:space="preserve"> leisure/recreational </w:t>
      </w:r>
      <w:r w:rsidR="00551A65">
        <w:t>activities</w:t>
      </w:r>
      <w:r w:rsidR="00FA6CB7">
        <w:t>.</w:t>
      </w:r>
    </w:p>
    <w:p w14:paraId="09F3D32A" w14:textId="50535A37" w:rsidR="00FA6CB7" w:rsidRDefault="00FA6CB7" w:rsidP="00C05E10">
      <w:pPr>
        <w:pStyle w:val="ListParagraph"/>
        <w:numPr>
          <w:ilvl w:val="0"/>
          <w:numId w:val="7"/>
        </w:numPr>
      </w:pPr>
      <w:r>
        <w:t>Househo</w:t>
      </w:r>
      <w:r w:rsidR="001077E4">
        <w:t>ld</w:t>
      </w:r>
      <w:r w:rsidR="00D97885">
        <w:t xml:space="preserve"> or Community</w:t>
      </w:r>
      <w:r w:rsidR="001077E4">
        <w:t xml:space="preserve"> Exposure: Healthcare workers, first responders and critical infrastructure workers who have a household</w:t>
      </w:r>
      <w:r w:rsidR="00D97885">
        <w:t xml:space="preserve"> or community</w:t>
      </w:r>
      <w:r w:rsidR="001077E4">
        <w:t xml:space="preserve"> exposure should be tested and have a negative result before returning to work. </w:t>
      </w:r>
    </w:p>
    <w:p w14:paraId="0DBF232E" w14:textId="3470B039" w:rsidR="002C2E3E" w:rsidRDefault="00FA6CB7" w:rsidP="00C05E10">
      <w:pPr>
        <w:pStyle w:val="ListParagraph"/>
        <w:numPr>
          <w:ilvl w:val="0"/>
          <w:numId w:val="7"/>
        </w:numPr>
      </w:pPr>
      <w:r>
        <w:t xml:space="preserve">Travel: </w:t>
      </w:r>
      <w:r w:rsidR="00551A65">
        <w:t xml:space="preserve">Healthcare workers, first responders and critical infrastructure workers </w:t>
      </w:r>
      <w:r w:rsidR="002C2E3E">
        <w:t>should not be allowed to work during quarantine related to travel. Under these circumstances, employees should be required to meet the requirements set forth in the travel order.</w:t>
      </w:r>
    </w:p>
    <w:p w14:paraId="361CF14A" w14:textId="76AEF7F6" w:rsidR="00A10436" w:rsidRPr="00EB0DAD" w:rsidRDefault="00A10436" w:rsidP="00A10436">
      <w:r>
        <w:rPr>
          <w:rFonts w:cstheme="minorHAnsi"/>
        </w:rPr>
        <w:t>†</w:t>
      </w:r>
      <w:hyperlink r:id="rId9" w:history="1">
        <w:r w:rsidRPr="00482F91">
          <w:rPr>
            <w:rStyle w:val="Hyperlink"/>
          </w:rPr>
          <w:t>Critical infrastructure workers</w:t>
        </w:r>
      </w:hyperlink>
      <w:r w:rsidRPr="00482F91">
        <w:t xml:space="preserve"> conduct a range of operations and services that are typically essential to continued critical infrastructure viability. </w:t>
      </w:r>
      <w:r w:rsidRPr="009A3B49">
        <w:t xml:space="preserve">It is best practice that </w:t>
      </w:r>
      <w:r>
        <w:t>anyone</w:t>
      </w:r>
      <w:r w:rsidRPr="00F374D9">
        <w:t xml:space="preserve"> </w:t>
      </w:r>
      <w:r w:rsidR="00B06050">
        <w:t xml:space="preserve">who is </w:t>
      </w:r>
      <w:r w:rsidRPr="00F374D9">
        <w:t>exposed to a person with suspected or confirmed COVID-19</w:t>
      </w:r>
      <w:r>
        <w:t>,</w:t>
      </w:r>
      <w:r w:rsidRPr="00F374D9">
        <w:t xml:space="preserve"> quarantine</w:t>
      </w:r>
      <w:r w:rsidRPr="009A3B49">
        <w:t xml:space="preserve"> and not leave the house during the quarantine period. </w:t>
      </w:r>
      <w:r>
        <w:t xml:space="preserve">However, in accordance with CDC, </w:t>
      </w:r>
      <w:r w:rsidRPr="00EB0DAD">
        <w:t>DPH recommends that critical infrastructure workers may be permitted to continue working</w:t>
      </w:r>
      <w:r w:rsidRPr="00642975">
        <w:t xml:space="preserve"> while under quarantine</w:t>
      </w:r>
      <w:r w:rsidRPr="00EB0DAD">
        <w:t xml:space="preserve"> following </w:t>
      </w:r>
      <w:r>
        <w:t xml:space="preserve">an occupational </w:t>
      </w:r>
      <w:r w:rsidRPr="00EB0DAD">
        <w:t xml:space="preserve">exposure to a person with confirmed COVID-19, </w:t>
      </w:r>
      <w:r w:rsidRPr="00EB0DAD">
        <w:rPr>
          <w:b/>
          <w:bCs/>
        </w:rPr>
        <w:t>under certain circumstances</w:t>
      </w:r>
      <w:r>
        <w:rPr>
          <w:b/>
          <w:bCs/>
        </w:rPr>
        <w:t xml:space="preserve"> and ONLY when necessary to preserve critical functions necessary to support society</w:t>
      </w:r>
      <w:r w:rsidRPr="00EB0DAD">
        <w:t>.</w:t>
      </w:r>
    </w:p>
    <w:p w14:paraId="0F617F73" w14:textId="4A3D5F35" w:rsidR="00A10436" w:rsidRDefault="00A10436" w:rsidP="00A10436">
      <w:r w:rsidRPr="00482F91">
        <w:t xml:space="preserve">This guidance </w:t>
      </w:r>
      <w:r>
        <w:t xml:space="preserve">applies only to </w:t>
      </w:r>
      <w:r w:rsidRPr="00482F91">
        <w:t xml:space="preserve">critical infrastructure workers </w:t>
      </w:r>
      <w:r>
        <w:t xml:space="preserve">and who </w:t>
      </w:r>
      <w:r w:rsidRPr="00482F91">
        <w:t xml:space="preserve">have had exposure to a person with suspected or confirmed COVID-19, but are </w:t>
      </w:r>
      <w:r w:rsidRPr="00482F91">
        <w:rPr>
          <w:b/>
          <w:bCs/>
        </w:rPr>
        <w:t xml:space="preserve">not experiencing </w:t>
      </w:r>
      <w:hyperlink r:id="rId10" w:history="1">
        <w:r w:rsidRPr="00482F91">
          <w:rPr>
            <w:rStyle w:val="Hyperlink"/>
            <w:b/>
            <w:bCs/>
          </w:rPr>
          <w:t>symptoms</w:t>
        </w:r>
      </w:hyperlink>
      <w:r w:rsidRPr="00482F91">
        <w:t xml:space="preserve"> and have </w:t>
      </w:r>
      <w:r w:rsidRPr="00482F91">
        <w:rPr>
          <w:b/>
          <w:bCs/>
        </w:rPr>
        <w:t>not tested positive for SARS-CoV-2</w:t>
      </w:r>
      <w:r w:rsidRPr="00482F91">
        <w:t xml:space="preserve">. </w:t>
      </w:r>
      <w:r>
        <w:t xml:space="preserve">Note that the designation of an individual as a critical infrastructure worker is not applicable to other considerations, such as vaccine distribution. </w:t>
      </w:r>
      <w:r w:rsidRPr="00482F91">
        <w:t>Separate guidance is available fo</w:t>
      </w:r>
      <w:r>
        <w:t>r healthcare personnel and first responders.</w:t>
      </w:r>
    </w:p>
    <w:p w14:paraId="358C5B9D" w14:textId="6D773792" w:rsidR="00A10436" w:rsidRPr="00A10436" w:rsidRDefault="00A10436" w:rsidP="00A10436">
      <w:r>
        <w:t xml:space="preserve">Workplaces operating under Sector-Specific Standards must still follow those standards to </w:t>
      </w:r>
      <w:r w:rsidRPr="00F374D9">
        <w:t xml:space="preserve">prevent or slow the spread of COVID-19 in </w:t>
      </w:r>
      <w:r>
        <w:t>the w</w:t>
      </w:r>
      <w:r w:rsidRPr="00F374D9">
        <w:t xml:space="preserve">orkplace. </w:t>
      </w:r>
    </w:p>
    <w:p w14:paraId="64A36CE0" w14:textId="77777777" w:rsidR="00A10436" w:rsidRPr="009A3B49" w:rsidRDefault="00A10436" w:rsidP="00A10436">
      <w:pPr>
        <w:rPr>
          <w:b/>
          <w:bCs/>
          <w:sz w:val="24"/>
          <w:szCs w:val="24"/>
        </w:rPr>
      </w:pPr>
      <w:r w:rsidRPr="009A3B49">
        <w:rPr>
          <w:b/>
          <w:bCs/>
          <w:sz w:val="24"/>
          <w:szCs w:val="24"/>
        </w:rPr>
        <w:t>Critical infrastructure workers who are symptomatic</w:t>
      </w:r>
    </w:p>
    <w:p w14:paraId="48478101" w14:textId="588A6B62" w:rsidR="00A10436" w:rsidRDefault="00A10436" w:rsidP="00A10436">
      <w:pPr>
        <w:rPr>
          <w:b/>
          <w:bCs/>
          <w:sz w:val="24"/>
          <w:szCs w:val="24"/>
        </w:rPr>
      </w:pPr>
      <w:r>
        <w:t>All exposed individuals who</w:t>
      </w:r>
      <w:r w:rsidRPr="00F374D9">
        <w:t xml:space="preserve"> develop symptoms consistent with COVID-19 should immediately separate themselves from others, inform their established point of contact at their workplace (e.g., supervisor or occupational health program), </w:t>
      </w:r>
      <w:r>
        <w:t xml:space="preserve">leave the workplace, </w:t>
      </w:r>
      <w:r w:rsidRPr="00F374D9">
        <w:t>and arrange for medical evaluation and testing.</w:t>
      </w:r>
      <w:r>
        <w:t xml:space="preserve"> </w:t>
      </w:r>
      <w:r w:rsidRPr="00341D13">
        <w:rPr>
          <w:b/>
        </w:rPr>
        <w:t xml:space="preserve">Workers who have symptoms consistent with COVID-19 or who test positive for COVID-19, </w:t>
      </w:r>
      <w:r>
        <w:rPr>
          <w:b/>
        </w:rPr>
        <w:t xml:space="preserve">are required to self-isolate and </w:t>
      </w:r>
      <w:r w:rsidRPr="00341D13">
        <w:rPr>
          <w:b/>
        </w:rPr>
        <w:t xml:space="preserve">may not work.  </w:t>
      </w:r>
    </w:p>
    <w:p w14:paraId="079E677C" w14:textId="77777777" w:rsidR="00551A65" w:rsidRDefault="00551A65">
      <w:pPr>
        <w:rPr>
          <w:b/>
          <w:bCs/>
          <w:sz w:val="24"/>
          <w:szCs w:val="24"/>
        </w:rPr>
      </w:pPr>
      <w:r>
        <w:rPr>
          <w:b/>
          <w:bCs/>
          <w:sz w:val="24"/>
          <w:szCs w:val="24"/>
        </w:rPr>
        <w:br w:type="page"/>
      </w:r>
    </w:p>
    <w:p w14:paraId="20DF3820" w14:textId="22613E43" w:rsidR="00A10436" w:rsidRPr="00A10436" w:rsidRDefault="00A10436" w:rsidP="00A10436">
      <w:pPr>
        <w:spacing w:before="200"/>
        <w:rPr>
          <w:b/>
        </w:rPr>
      </w:pPr>
      <w:r w:rsidRPr="00F374D9">
        <w:rPr>
          <w:b/>
          <w:bCs/>
          <w:sz w:val="24"/>
          <w:szCs w:val="24"/>
        </w:rPr>
        <w:lastRenderedPageBreak/>
        <w:t>Critical infrastructure workers who are not symptomatic</w:t>
      </w:r>
    </w:p>
    <w:p w14:paraId="2E78E2F1" w14:textId="5870272A" w:rsidR="00A10436" w:rsidRPr="00F374D9" w:rsidRDefault="00A10436" w:rsidP="00A10436">
      <w:r>
        <w:t xml:space="preserve">Employers, in consultation with </w:t>
      </w:r>
      <w:r w:rsidR="00C05E10">
        <w:t xml:space="preserve">Contact Tracing Collaborative (CTC), </w:t>
      </w:r>
      <w:r>
        <w:t xml:space="preserve">Local Public Health or the Department of Public Health, </w:t>
      </w:r>
      <w:r w:rsidRPr="00F374D9">
        <w:t xml:space="preserve">may consider allowing exposed </w:t>
      </w:r>
      <w:r>
        <w:t>but</w:t>
      </w:r>
      <w:r w:rsidRPr="00F374D9">
        <w:t xml:space="preserve"> asymptomatic critical infrastructure workers to continue to work</w:t>
      </w:r>
      <w:r>
        <w:t xml:space="preserve"> during quarantine</w:t>
      </w:r>
      <w:r w:rsidRPr="00F374D9">
        <w:t xml:space="preserve"> in select instances when it is </w:t>
      </w:r>
      <w:r w:rsidRPr="00341D13">
        <w:rPr>
          <w:b/>
        </w:rPr>
        <w:t>necessary to preserve the essential functions of critical infrastructure</w:t>
      </w:r>
      <w:r w:rsidRPr="00F374D9">
        <w:t xml:space="preserve">. </w:t>
      </w:r>
      <w:r w:rsidRPr="00F374D9">
        <w:rPr>
          <w:b/>
          <w:bCs/>
        </w:rPr>
        <w:t>This option should be used as a last resort and only in limited circumstances.</w:t>
      </w:r>
      <w:r w:rsidRPr="00F374D9">
        <w:t xml:space="preserve"> In such instances:</w:t>
      </w:r>
    </w:p>
    <w:p w14:paraId="6EA6FDAE" w14:textId="4BBC40F5" w:rsidR="00A10436" w:rsidRPr="00F374D9" w:rsidRDefault="00A10436" w:rsidP="00A10436">
      <w:pPr>
        <w:numPr>
          <w:ilvl w:val="0"/>
          <w:numId w:val="20"/>
        </w:numPr>
        <w:spacing w:after="160" w:line="259" w:lineRule="auto"/>
      </w:pPr>
      <w:r w:rsidRPr="00F374D9">
        <w:t xml:space="preserve">Employers are encouraged to work with public health officials in managing the </w:t>
      </w:r>
      <w:r>
        <w:t>continued</w:t>
      </w:r>
      <w:r w:rsidRPr="00F374D9">
        <w:t xml:space="preserve"> work in a way that best protects the health of their workers and the </w:t>
      </w:r>
      <w:r w:rsidR="001A736E" w:rsidRPr="00F374D9">
        <w:t>public</w:t>
      </w:r>
      <w:r w:rsidRPr="00F374D9">
        <w:t>.</w:t>
      </w:r>
    </w:p>
    <w:p w14:paraId="175EFD04" w14:textId="1014C2AF" w:rsidR="00A10436" w:rsidRPr="00F374D9" w:rsidRDefault="00A10436" w:rsidP="00A10436">
      <w:pPr>
        <w:numPr>
          <w:ilvl w:val="0"/>
          <w:numId w:val="20"/>
        </w:numPr>
        <w:spacing w:after="160" w:line="259" w:lineRule="auto"/>
      </w:pPr>
      <w:r w:rsidRPr="00F374D9">
        <w:t xml:space="preserve">Critical infrastructure workers may be permitted to continue work following exposure to a person with suspected or confirmed COVID-19 provided they remain asymptomatic and have not tested positive. </w:t>
      </w:r>
      <w:r>
        <w:t xml:space="preserve">Workers being allowed to work during quarantine </w:t>
      </w:r>
      <w:r w:rsidR="00CD49EE">
        <w:t xml:space="preserve">must always wear a </w:t>
      </w:r>
      <w:r w:rsidR="001077E4">
        <w:t>face</w:t>
      </w:r>
      <w:r w:rsidR="00CD49EE">
        <w:t xml:space="preserve">mask or cloth face covering </w:t>
      </w:r>
      <w:r>
        <w:t>when at the worksite.</w:t>
      </w:r>
    </w:p>
    <w:p w14:paraId="321D3F39" w14:textId="77777777" w:rsidR="00A10436" w:rsidRPr="00F374D9" w:rsidRDefault="00A10436" w:rsidP="00A10436">
      <w:pPr>
        <w:numPr>
          <w:ilvl w:val="0"/>
          <w:numId w:val="20"/>
        </w:numPr>
        <w:spacing w:after="160" w:line="259" w:lineRule="auto"/>
      </w:pPr>
      <w:r w:rsidRPr="00F374D9">
        <w:t xml:space="preserve">Additionally, the following risk mitigation precautions should be implemented prior to and during the work shift: </w:t>
      </w:r>
    </w:p>
    <w:p w14:paraId="270F2D19" w14:textId="77777777" w:rsidR="00A10436" w:rsidRPr="00F374D9" w:rsidRDefault="00A10436" w:rsidP="00A10436">
      <w:pPr>
        <w:numPr>
          <w:ilvl w:val="1"/>
          <w:numId w:val="20"/>
        </w:numPr>
        <w:spacing w:after="160" w:line="259" w:lineRule="auto"/>
      </w:pPr>
      <w:r w:rsidRPr="00F374D9">
        <w:rPr>
          <w:b/>
          <w:bCs/>
        </w:rPr>
        <w:t>Pre-Screen:</w:t>
      </w:r>
      <w:r w:rsidRPr="00F374D9">
        <w:t xml:space="preserve"> </w:t>
      </w:r>
      <w:r>
        <w:t>Quarantined workers</w:t>
      </w:r>
      <w:r w:rsidRPr="00F374D9">
        <w:t xml:space="preserve"> planning to enter the workplace</w:t>
      </w:r>
      <w:r>
        <w:t xml:space="preserve"> must</w:t>
      </w:r>
      <w:r w:rsidRPr="00F374D9">
        <w:t xml:space="preserve"> self-screen at home prior to coming onsite. </w:t>
      </w:r>
      <w:r>
        <w:t>They</w:t>
      </w:r>
      <w:r w:rsidRPr="00F374D9">
        <w:t xml:space="preserve"> should not attempt to enter the workplace if any of the following are present: symptoms of COVID-19; temperature equal to or higher than 100.</w:t>
      </w:r>
      <w:r>
        <w:t>0</w:t>
      </w:r>
      <w:r w:rsidRPr="00F374D9">
        <w:rPr>
          <w:vertAlign w:val="superscript"/>
        </w:rPr>
        <w:t xml:space="preserve"> o</w:t>
      </w:r>
      <w:r w:rsidRPr="00F374D9">
        <w:t>F</w:t>
      </w:r>
      <w:r w:rsidRPr="00F374D9">
        <w:rPr>
          <w:vertAlign w:val="superscript"/>
        </w:rPr>
        <w:t>1</w:t>
      </w:r>
      <w:r w:rsidRPr="00F374D9">
        <w:t>; or are waiting for the results of a viral test.</w:t>
      </w:r>
    </w:p>
    <w:p w14:paraId="0C41E530" w14:textId="77777777" w:rsidR="00A10436" w:rsidRPr="00F374D9" w:rsidRDefault="00A10436" w:rsidP="00A10436">
      <w:pPr>
        <w:numPr>
          <w:ilvl w:val="1"/>
          <w:numId w:val="20"/>
        </w:numPr>
        <w:spacing w:after="160" w:line="259" w:lineRule="auto"/>
      </w:pPr>
      <w:r w:rsidRPr="00F374D9">
        <w:rPr>
          <w:b/>
          <w:bCs/>
        </w:rPr>
        <w:t xml:space="preserve">Screen at the workplace: </w:t>
      </w:r>
      <w:r w:rsidRPr="00F374D9">
        <w:t>Employers should conduct an on-site symptom assessment, including temperature screening, prior to each work shift. Ideally, screening should happen before the individual enters the facility.</w:t>
      </w:r>
    </w:p>
    <w:p w14:paraId="57021264" w14:textId="77777777" w:rsidR="00A10436" w:rsidRPr="00F374D9" w:rsidRDefault="00A10436" w:rsidP="00A10436">
      <w:pPr>
        <w:numPr>
          <w:ilvl w:val="1"/>
          <w:numId w:val="20"/>
        </w:numPr>
        <w:spacing w:after="160" w:line="259" w:lineRule="auto"/>
      </w:pPr>
      <w:r w:rsidRPr="00F374D9">
        <w:rPr>
          <w:b/>
          <w:bCs/>
        </w:rPr>
        <w:t>Regularly monitor:</w:t>
      </w:r>
      <w:r w:rsidRPr="00F374D9">
        <w:t xml:space="preserve"> If the </w:t>
      </w:r>
      <w:r>
        <w:t>quarantined worker</w:t>
      </w:r>
      <w:r w:rsidRPr="00F374D9">
        <w:t xml:space="preserve"> doesn’t have a fever or </w:t>
      </w:r>
      <w:r>
        <w:t xml:space="preserve">other </w:t>
      </w:r>
      <w:r w:rsidRPr="00F374D9">
        <w:t>symptoms, they should self-monitor under the supervision of their employer’s occupational health program or their workplace COVID-19 coordinator or team.</w:t>
      </w:r>
    </w:p>
    <w:p w14:paraId="058869C3" w14:textId="77777777" w:rsidR="00A10436" w:rsidRPr="00341D13" w:rsidRDefault="00A10436" w:rsidP="00A10436">
      <w:pPr>
        <w:numPr>
          <w:ilvl w:val="0"/>
          <w:numId w:val="20"/>
        </w:numPr>
        <w:spacing w:after="160" w:line="259" w:lineRule="auto"/>
      </w:pPr>
      <w:r>
        <w:t>Routine risk mitigation practices which should be used by all employees include:</w:t>
      </w:r>
    </w:p>
    <w:p w14:paraId="5D4E12BD" w14:textId="61536786" w:rsidR="00A10436" w:rsidRPr="00F374D9" w:rsidRDefault="00A10436" w:rsidP="00A10436">
      <w:pPr>
        <w:numPr>
          <w:ilvl w:val="1"/>
          <w:numId w:val="20"/>
        </w:numPr>
        <w:spacing w:after="160" w:line="259" w:lineRule="auto"/>
      </w:pPr>
      <w:r w:rsidRPr="00F374D9">
        <w:rPr>
          <w:b/>
          <w:bCs/>
        </w:rPr>
        <w:t xml:space="preserve">Wear a cloth </w:t>
      </w:r>
      <w:r w:rsidR="001077E4">
        <w:rPr>
          <w:b/>
          <w:bCs/>
        </w:rPr>
        <w:t>face covering</w:t>
      </w:r>
      <w:r w:rsidRPr="00F374D9">
        <w:rPr>
          <w:b/>
          <w:bCs/>
        </w:rPr>
        <w:t>:</w:t>
      </w:r>
      <w:r w:rsidRPr="00F374D9">
        <w:t xml:space="preserve"> Ensure employees wear a cloth </w:t>
      </w:r>
      <w:r>
        <w:t>face covering</w:t>
      </w:r>
      <w:r w:rsidRPr="00F374D9">
        <w:t> in accordance with CDC</w:t>
      </w:r>
      <w:r w:rsidR="001A736E">
        <w:t xml:space="preserve">, </w:t>
      </w:r>
      <w:r w:rsidRPr="00F374D9">
        <w:t>OSHA</w:t>
      </w:r>
      <w:r w:rsidR="001A736E">
        <w:t xml:space="preserve">, state </w:t>
      </w:r>
      <w:r w:rsidR="00F57062">
        <w:t>and</w:t>
      </w:r>
      <w:r w:rsidR="001A736E">
        <w:t xml:space="preserve"> </w:t>
      </w:r>
      <w:r w:rsidRPr="00F374D9">
        <w:t>local requirements</w:t>
      </w:r>
    </w:p>
    <w:p w14:paraId="1731BFA5" w14:textId="77777777" w:rsidR="00A10436" w:rsidRPr="00F374D9" w:rsidRDefault="00A10436" w:rsidP="00A10436">
      <w:pPr>
        <w:numPr>
          <w:ilvl w:val="1"/>
          <w:numId w:val="20"/>
        </w:numPr>
        <w:spacing w:after="160" w:line="259" w:lineRule="auto"/>
      </w:pPr>
      <w:r w:rsidRPr="00F374D9">
        <w:rPr>
          <w:b/>
          <w:bCs/>
        </w:rPr>
        <w:t>Social Distance:</w:t>
      </w:r>
      <w:r w:rsidRPr="00F374D9">
        <w:t xml:space="preserve"> Employee</w:t>
      </w:r>
      <w:r>
        <w:t>s</w:t>
      </w:r>
      <w:r w:rsidRPr="00F374D9">
        <w:t xml:space="preserve"> should stay at least 6 feet apart from others and practice social distancing as work duties permit in the workplace.</w:t>
      </w:r>
    </w:p>
    <w:p w14:paraId="6A91CE64" w14:textId="77777777" w:rsidR="00A10436" w:rsidRDefault="00A10436" w:rsidP="00A10436">
      <w:pPr>
        <w:numPr>
          <w:ilvl w:val="1"/>
          <w:numId w:val="20"/>
        </w:numPr>
        <w:spacing w:after="160" w:line="259" w:lineRule="auto"/>
      </w:pPr>
      <w:r w:rsidRPr="00F374D9">
        <w:rPr>
          <w:b/>
          <w:bCs/>
        </w:rPr>
        <w:t>Clean and disinfect workspaces:</w:t>
      </w:r>
      <w:r w:rsidRPr="00F374D9">
        <w:t xml:space="preserve"> Clean and disinfect all areas such as offices, bathrooms, common areas, shared equipment routinely.</w:t>
      </w:r>
    </w:p>
    <w:p w14:paraId="76A7CE08" w14:textId="77777777" w:rsidR="00A10436" w:rsidRPr="00341D13" w:rsidRDefault="00A10436" w:rsidP="00A10436">
      <w:pPr>
        <w:numPr>
          <w:ilvl w:val="1"/>
          <w:numId w:val="20"/>
        </w:numPr>
        <w:spacing w:after="160" w:line="259" w:lineRule="auto"/>
      </w:pPr>
      <w:r>
        <w:rPr>
          <w:b/>
          <w:bCs/>
        </w:rPr>
        <w:lastRenderedPageBreak/>
        <w:t>Hand hygiene</w:t>
      </w:r>
    </w:p>
    <w:p w14:paraId="2773C2DB" w14:textId="48F2659D" w:rsidR="002C2E3E" w:rsidRPr="00C05E10" w:rsidRDefault="002C2E3E" w:rsidP="00A10436">
      <w:pPr>
        <w:rPr>
          <w:rStyle w:val="Hyperlink"/>
          <w:b/>
          <w:bCs/>
        </w:rPr>
      </w:pPr>
      <w:r w:rsidRPr="00C05E10">
        <w:rPr>
          <w:rStyle w:val="Hyperlink"/>
          <w:b/>
          <w:bCs/>
        </w:rPr>
        <w:t>Options for Shortened</w:t>
      </w:r>
      <w:r w:rsidR="004D6883" w:rsidRPr="00C05E10">
        <w:rPr>
          <w:rStyle w:val="Hyperlink"/>
          <w:b/>
          <w:bCs/>
        </w:rPr>
        <w:t xml:space="preserve"> Strict</w:t>
      </w:r>
      <w:r w:rsidRPr="00C05E10">
        <w:rPr>
          <w:rStyle w:val="Hyperlink"/>
          <w:b/>
          <w:bCs/>
        </w:rPr>
        <w:t xml:space="preserve"> Quarantine Period:</w:t>
      </w:r>
    </w:p>
    <w:p w14:paraId="0FF92E6E" w14:textId="4DA53461" w:rsidR="002C2E3E" w:rsidRDefault="001077E4" w:rsidP="00A10436">
      <w:r>
        <w:t>COVID-19 infection may occur after</w:t>
      </w:r>
      <w:r w:rsidR="001A736E">
        <w:t xml:space="preserve"> </w:t>
      </w:r>
      <w:r>
        <w:t>an</w:t>
      </w:r>
      <w:r w:rsidR="004D6883">
        <w:t xml:space="preserve"> incubation period for COVID-19 </w:t>
      </w:r>
      <w:r>
        <w:t>of up to</w:t>
      </w:r>
      <w:r w:rsidR="004D6883">
        <w:t xml:space="preserve"> 14 days </w:t>
      </w:r>
      <w:r>
        <w:t>after exposure, however,</w:t>
      </w:r>
      <w:r w:rsidR="00C05E10">
        <w:t xml:space="preserve"> </w:t>
      </w:r>
      <w:proofErr w:type="gramStart"/>
      <w:r w:rsidR="004D6883">
        <w:t>the majority of</w:t>
      </w:r>
      <w:proofErr w:type="gramEnd"/>
      <w:r w:rsidR="004D6883">
        <w:t xml:space="preserve"> cases have incubation periods of </w:t>
      </w:r>
      <w:r w:rsidR="00CD49EE">
        <w:t xml:space="preserve">fewer </w:t>
      </w:r>
      <w:r w:rsidR="004D6883">
        <w:t>than 10 days. Based on observational and published data, and recent modeling work conducted by the Centers for Disease Control and Prevention, if shortened quarantine periods result in increased compliance with contact tracing and adherence to quarantine recommendations, the small risk that someone may develop COVID-19 after a shortened strict quarantine period is outweighed by the expected benefit of reduced transmission from the increased cooperation.</w:t>
      </w:r>
    </w:p>
    <w:p w14:paraId="46A08251" w14:textId="0FD805ED" w:rsidR="004D6883" w:rsidRDefault="001077E4" w:rsidP="00A10436">
      <w:r w:rsidRPr="001077E4">
        <w:t xml:space="preserve">Healthcare facilities including long-term care facilities, may have additional risks. Quarantine periods for patients, residents or staff in healthcare facilities should adhere to healthcare-specific guidance and any reductions only be instituted after careful consideration of risks.  </w:t>
      </w:r>
    </w:p>
    <w:tbl>
      <w:tblPr>
        <w:tblStyle w:val="TableGrid"/>
        <w:tblW w:w="12798" w:type="dxa"/>
        <w:tblLook w:val="04A0" w:firstRow="1" w:lastRow="0" w:firstColumn="1" w:lastColumn="0" w:noHBand="0" w:noVBand="1"/>
      </w:tblPr>
      <w:tblGrid>
        <w:gridCol w:w="1368"/>
        <w:gridCol w:w="5850"/>
        <w:gridCol w:w="2790"/>
        <w:gridCol w:w="2790"/>
      </w:tblGrid>
      <w:tr w:rsidR="009F31A4" w14:paraId="256DF19B" w14:textId="1FBF00C0" w:rsidTr="009F31A4">
        <w:tc>
          <w:tcPr>
            <w:tcW w:w="1368" w:type="dxa"/>
          </w:tcPr>
          <w:p w14:paraId="59069230" w14:textId="7D9C2FDB" w:rsidR="009F31A4" w:rsidRDefault="009F31A4" w:rsidP="00A10436">
            <w:r>
              <w:t>OPTIONS</w:t>
            </w:r>
          </w:p>
        </w:tc>
        <w:tc>
          <w:tcPr>
            <w:tcW w:w="5850" w:type="dxa"/>
          </w:tcPr>
          <w:p w14:paraId="19F9AAB3" w14:textId="49C5353B" w:rsidR="009F31A4" w:rsidRDefault="009F31A4" w:rsidP="00A10436">
            <w:r>
              <w:t>CRITERIA</w:t>
            </w:r>
          </w:p>
        </w:tc>
        <w:tc>
          <w:tcPr>
            <w:tcW w:w="2790" w:type="dxa"/>
          </w:tcPr>
          <w:p w14:paraId="1A1650BF" w14:textId="0FD6D578" w:rsidR="009F31A4" w:rsidRDefault="009F31A4" w:rsidP="00A10436">
            <w:r>
              <w:t>ACTIVE MONITORING</w:t>
            </w:r>
          </w:p>
        </w:tc>
        <w:tc>
          <w:tcPr>
            <w:tcW w:w="2790" w:type="dxa"/>
          </w:tcPr>
          <w:p w14:paraId="7D8C8E5A" w14:textId="05560DE8" w:rsidR="009F31A4" w:rsidRDefault="009F31A4" w:rsidP="00A10436">
            <w:r>
              <w:t>RESIDUAL RISK</w:t>
            </w:r>
          </w:p>
        </w:tc>
      </w:tr>
      <w:tr w:rsidR="009F31A4" w14:paraId="26A28133" w14:textId="143E1346" w:rsidTr="009F31A4">
        <w:trPr>
          <w:trHeight w:val="998"/>
        </w:trPr>
        <w:tc>
          <w:tcPr>
            <w:tcW w:w="1368" w:type="dxa"/>
          </w:tcPr>
          <w:p w14:paraId="05DA9038" w14:textId="14FCAA66" w:rsidR="009F31A4" w:rsidRDefault="009F31A4" w:rsidP="00A10436">
            <w:r>
              <w:t>7 days of strict quarantine</w:t>
            </w:r>
          </w:p>
        </w:tc>
        <w:tc>
          <w:tcPr>
            <w:tcW w:w="5850" w:type="dxa"/>
          </w:tcPr>
          <w:p w14:paraId="18BAC977" w14:textId="1B956271" w:rsidR="009F31A4" w:rsidRPr="000E279C" w:rsidRDefault="009F31A4" w:rsidP="00A10436">
            <w:pPr>
              <w:rPr>
                <w:u w:val="single"/>
              </w:rPr>
            </w:pPr>
            <w:r w:rsidRPr="000E279C">
              <w:rPr>
                <w:u w:val="single"/>
              </w:rPr>
              <w:t>Release on Day 8</w:t>
            </w:r>
            <w:r w:rsidR="00D97885">
              <w:rPr>
                <w:u w:val="single"/>
              </w:rPr>
              <w:t xml:space="preserve"> after last exposure</w:t>
            </w:r>
            <w:r w:rsidRPr="000E279C">
              <w:rPr>
                <w:u w:val="single"/>
              </w:rPr>
              <w:t xml:space="preserve"> IF:</w:t>
            </w:r>
          </w:p>
          <w:p w14:paraId="665B6167" w14:textId="77777777" w:rsidR="009F31A4" w:rsidRDefault="009F31A4" w:rsidP="000E279C">
            <w:pPr>
              <w:pStyle w:val="ListParagraph"/>
              <w:numPr>
                <w:ilvl w:val="0"/>
                <w:numId w:val="7"/>
              </w:numPr>
            </w:pPr>
            <w:r>
              <w:t>A test (either PCR or antigen) taken on Day 5 or later is negative; AND</w:t>
            </w:r>
          </w:p>
          <w:p w14:paraId="67E767B7" w14:textId="77777777" w:rsidR="009F31A4" w:rsidRDefault="009F31A4" w:rsidP="000E279C">
            <w:pPr>
              <w:pStyle w:val="ListParagraph"/>
              <w:numPr>
                <w:ilvl w:val="0"/>
                <w:numId w:val="7"/>
              </w:numPr>
            </w:pPr>
            <w:r>
              <w:t>The individual has not experienced any symptoms up to that point; AND</w:t>
            </w:r>
          </w:p>
          <w:p w14:paraId="76A6A66B" w14:textId="0FF82B56" w:rsidR="009F31A4" w:rsidRDefault="009F31A4" w:rsidP="000E279C">
            <w:pPr>
              <w:pStyle w:val="ListParagraph"/>
              <w:numPr>
                <w:ilvl w:val="0"/>
                <w:numId w:val="7"/>
              </w:numPr>
            </w:pPr>
            <w:r>
              <w:t>The individual conducts active monitoring through Day 14</w:t>
            </w:r>
          </w:p>
        </w:tc>
        <w:tc>
          <w:tcPr>
            <w:tcW w:w="2790" w:type="dxa"/>
            <w:vMerge w:val="restart"/>
          </w:tcPr>
          <w:p w14:paraId="724B4384" w14:textId="20160C62" w:rsidR="009F31A4" w:rsidRDefault="009F31A4" w:rsidP="00A10436">
            <w:r>
              <w:t xml:space="preserve">Individual must actively monitor symptoms and take temperature once daily. IF even mild symptoms develop or the individual has a temperature of 100.0 F, they must immediately self-isolate, contact the public health authority overseeing their quarantine and </w:t>
            </w:r>
            <w:r w:rsidR="007C7B34">
              <w:t>get tested</w:t>
            </w:r>
            <w:r>
              <w:t>.</w:t>
            </w:r>
          </w:p>
        </w:tc>
        <w:tc>
          <w:tcPr>
            <w:tcW w:w="2790" w:type="dxa"/>
          </w:tcPr>
          <w:p w14:paraId="2C763295" w14:textId="25539BFA" w:rsidR="009F31A4" w:rsidRDefault="009F31A4" w:rsidP="00A10436">
            <w:r>
              <w:t>Approximately 5% residual risk of disease development</w:t>
            </w:r>
          </w:p>
        </w:tc>
      </w:tr>
      <w:tr w:rsidR="009F31A4" w14:paraId="68B5A4D3" w14:textId="4D7F42EA" w:rsidTr="009F31A4">
        <w:tc>
          <w:tcPr>
            <w:tcW w:w="1368" w:type="dxa"/>
          </w:tcPr>
          <w:p w14:paraId="43434DF4" w14:textId="4180EF03" w:rsidR="009F31A4" w:rsidRDefault="009F31A4" w:rsidP="009F31A4">
            <w:r>
              <w:t>10 days of strict quarantine</w:t>
            </w:r>
          </w:p>
        </w:tc>
        <w:tc>
          <w:tcPr>
            <w:tcW w:w="5850" w:type="dxa"/>
          </w:tcPr>
          <w:p w14:paraId="7AFCD094" w14:textId="2A79BAAF" w:rsidR="009F31A4" w:rsidRDefault="009F31A4" w:rsidP="009F31A4">
            <w:pPr>
              <w:rPr>
                <w:u w:val="single"/>
              </w:rPr>
            </w:pPr>
            <w:r w:rsidRPr="000E279C">
              <w:rPr>
                <w:u w:val="single"/>
              </w:rPr>
              <w:t>Release on Day 1</w:t>
            </w:r>
            <w:r w:rsidR="0002392F">
              <w:rPr>
                <w:u w:val="single"/>
              </w:rPr>
              <w:t>1</w:t>
            </w:r>
            <w:r w:rsidR="00D97885">
              <w:rPr>
                <w:u w:val="single"/>
              </w:rPr>
              <w:t xml:space="preserve"> after last exposure</w:t>
            </w:r>
            <w:r w:rsidRPr="000E279C">
              <w:rPr>
                <w:u w:val="single"/>
              </w:rPr>
              <w:t xml:space="preserve"> IF:</w:t>
            </w:r>
          </w:p>
          <w:p w14:paraId="6D7AABE1" w14:textId="77777777" w:rsidR="009F31A4" w:rsidRDefault="009F31A4" w:rsidP="009F31A4">
            <w:pPr>
              <w:pStyle w:val="ListParagraph"/>
              <w:numPr>
                <w:ilvl w:val="0"/>
                <w:numId w:val="7"/>
              </w:numPr>
            </w:pPr>
            <w:r>
              <w:t>The individual has not experienced any symptoms up to that point; AND</w:t>
            </w:r>
          </w:p>
          <w:p w14:paraId="242B4060" w14:textId="77777777" w:rsidR="009F31A4" w:rsidRDefault="009F31A4" w:rsidP="009F31A4">
            <w:pPr>
              <w:pStyle w:val="ListParagraph"/>
              <w:numPr>
                <w:ilvl w:val="0"/>
                <w:numId w:val="21"/>
              </w:numPr>
            </w:pPr>
            <w:r>
              <w:t>The individual conducts active monitoring through Day 14.</w:t>
            </w:r>
          </w:p>
          <w:p w14:paraId="4611A540" w14:textId="4602B715" w:rsidR="009F31A4" w:rsidRPr="000E279C" w:rsidRDefault="009F31A4" w:rsidP="009F31A4">
            <w:pPr>
              <w:pStyle w:val="ListParagraph"/>
              <w:numPr>
                <w:ilvl w:val="0"/>
                <w:numId w:val="21"/>
              </w:numPr>
            </w:pPr>
            <w:r>
              <w:t>No test is necessary under this option</w:t>
            </w:r>
          </w:p>
        </w:tc>
        <w:tc>
          <w:tcPr>
            <w:tcW w:w="2790" w:type="dxa"/>
            <w:vMerge/>
          </w:tcPr>
          <w:p w14:paraId="2DFD6024" w14:textId="77777777" w:rsidR="009F31A4" w:rsidRDefault="009F31A4" w:rsidP="009F31A4"/>
        </w:tc>
        <w:tc>
          <w:tcPr>
            <w:tcW w:w="2790" w:type="dxa"/>
          </w:tcPr>
          <w:p w14:paraId="2636DB1C" w14:textId="6A7268C3" w:rsidR="009F31A4" w:rsidRDefault="009F31A4" w:rsidP="009F31A4">
            <w:r>
              <w:t>Approximately 1% residual risk of disease development</w:t>
            </w:r>
          </w:p>
        </w:tc>
      </w:tr>
      <w:tr w:rsidR="009F31A4" w14:paraId="7EA4C60C" w14:textId="21807B52" w:rsidTr="009F31A4">
        <w:tc>
          <w:tcPr>
            <w:tcW w:w="1368" w:type="dxa"/>
          </w:tcPr>
          <w:p w14:paraId="6E2C4BF6" w14:textId="308C125D" w:rsidR="009F31A4" w:rsidRDefault="009F31A4" w:rsidP="009F31A4">
            <w:r>
              <w:t>14 days of strict quarantine</w:t>
            </w:r>
          </w:p>
        </w:tc>
        <w:tc>
          <w:tcPr>
            <w:tcW w:w="5850" w:type="dxa"/>
          </w:tcPr>
          <w:p w14:paraId="2B1E8EF3" w14:textId="7AF29318" w:rsidR="009F31A4" w:rsidRDefault="009F31A4" w:rsidP="009F31A4">
            <w:pPr>
              <w:rPr>
                <w:u w:val="single"/>
              </w:rPr>
            </w:pPr>
            <w:r>
              <w:rPr>
                <w:u w:val="single"/>
              </w:rPr>
              <w:t>Release on Day 15</w:t>
            </w:r>
            <w:r w:rsidR="00D97885">
              <w:rPr>
                <w:u w:val="single"/>
              </w:rPr>
              <w:t xml:space="preserve"> after last exposure</w:t>
            </w:r>
            <w:r>
              <w:rPr>
                <w:u w:val="single"/>
              </w:rPr>
              <w:t xml:space="preserve"> IF: </w:t>
            </w:r>
          </w:p>
          <w:p w14:paraId="6E74BC9C" w14:textId="68DDF850" w:rsidR="009F31A4" w:rsidRDefault="009F31A4" w:rsidP="009F31A4">
            <w:pPr>
              <w:pStyle w:val="ListParagraph"/>
              <w:numPr>
                <w:ilvl w:val="0"/>
                <w:numId w:val="23"/>
              </w:numPr>
            </w:pPr>
            <w:r w:rsidRPr="009F31A4">
              <w:t>The individual has experienced ANY symptoms during the quarantine period EVEN if they have a negative COVID-19 test</w:t>
            </w:r>
            <w:r>
              <w:t>; OR</w:t>
            </w:r>
          </w:p>
          <w:p w14:paraId="268BFDBD" w14:textId="48A2AB71" w:rsidR="009F31A4" w:rsidRPr="009F31A4" w:rsidRDefault="009F31A4" w:rsidP="009F31A4">
            <w:pPr>
              <w:pStyle w:val="ListParagraph"/>
              <w:numPr>
                <w:ilvl w:val="0"/>
                <w:numId w:val="23"/>
              </w:numPr>
            </w:pPr>
            <w:r>
              <w:t>The individual indicates they are unwilling or unable to conduct active monitoring.</w:t>
            </w:r>
          </w:p>
          <w:p w14:paraId="346B00B2" w14:textId="609ABBAC" w:rsidR="009F31A4" w:rsidRPr="000E279C" w:rsidRDefault="009F31A4" w:rsidP="009F31A4">
            <w:pPr>
              <w:rPr>
                <w:u w:val="single"/>
              </w:rPr>
            </w:pPr>
          </w:p>
        </w:tc>
        <w:tc>
          <w:tcPr>
            <w:tcW w:w="2790" w:type="dxa"/>
          </w:tcPr>
          <w:p w14:paraId="08068EE6" w14:textId="3056E85C" w:rsidR="009F31A4" w:rsidRDefault="009F31A4" w:rsidP="009F31A4">
            <w:r>
              <w:t>No additional active monitoring required</w:t>
            </w:r>
          </w:p>
        </w:tc>
        <w:tc>
          <w:tcPr>
            <w:tcW w:w="2790" w:type="dxa"/>
          </w:tcPr>
          <w:p w14:paraId="5907AA77" w14:textId="308565E2" w:rsidR="009F31A4" w:rsidRDefault="009F31A4" w:rsidP="009F31A4">
            <w:r>
              <w:t>Maximal risk reduction</w:t>
            </w:r>
          </w:p>
        </w:tc>
      </w:tr>
    </w:tbl>
    <w:p w14:paraId="0483B970" w14:textId="77777777" w:rsidR="000E279C" w:rsidRPr="00482F91" w:rsidRDefault="000E279C" w:rsidP="00A10436"/>
    <w:p w14:paraId="2A417762" w14:textId="691A8D15" w:rsidR="00B41B48" w:rsidRDefault="0064274A" w:rsidP="00A10436">
      <w:pPr>
        <w:pStyle w:val="Heading2"/>
      </w:pPr>
      <w:r>
        <w:lastRenderedPageBreak/>
        <w:t xml:space="preserve">More information </w:t>
      </w:r>
      <w:r w:rsidR="007C7B34">
        <w:t xml:space="preserve">about options to reduce quarantine time periods </w:t>
      </w:r>
      <w:r>
        <w:t xml:space="preserve">is available from the </w:t>
      </w:r>
      <w:hyperlink r:id="rId11" w:history="1">
        <w:r w:rsidRPr="0064274A">
          <w:rPr>
            <w:rStyle w:val="Hyperlink"/>
          </w:rPr>
          <w:t>Centers for Disease Control and Prevention</w:t>
        </w:r>
      </w:hyperlink>
    </w:p>
    <w:sectPr w:rsidR="00B41B48" w:rsidSect="00C05E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15D11" w14:textId="77777777" w:rsidR="002A5E08" w:rsidRDefault="002A5E08" w:rsidP="00772069">
      <w:pPr>
        <w:spacing w:after="0" w:line="240" w:lineRule="auto"/>
      </w:pPr>
      <w:r>
        <w:separator/>
      </w:r>
    </w:p>
  </w:endnote>
  <w:endnote w:type="continuationSeparator" w:id="0">
    <w:p w14:paraId="24BA8456" w14:textId="77777777" w:rsidR="002A5E08" w:rsidRDefault="002A5E08" w:rsidP="00772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753C2" w14:textId="77777777" w:rsidR="002A5E08" w:rsidRDefault="002A5E08" w:rsidP="00772069">
      <w:pPr>
        <w:spacing w:after="0" w:line="240" w:lineRule="auto"/>
      </w:pPr>
      <w:r>
        <w:separator/>
      </w:r>
    </w:p>
  </w:footnote>
  <w:footnote w:type="continuationSeparator" w:id="0">
    <w:p w14:paraId="3771B394" w14:textId="77777777" w:rsidR="002A5E08" w:rsidRDefault="002A5E08" w:rsidP="00772069">
      <w:pPr>
        <w:spacing w:after="0" w:line="240" w:lineRule="auto"/>
      </w:pPr>
      <w:r>
        <w:continuationSeparator/>
      </w:r>
    </w:p>
  </w:footnote>
  <w:footnote w:id="1">
    <w:p w14:paraId="0E08C2EB" w14:textId="2C8F219D" w:rsidR="00551A65" w:rsidRPr="00CD49EE" w:rsidRDefault="00551A65" w:rsidP="00551A65">
      <w:pPr>
        <w:pStyle w:val="FootnoteText"/>
        <w:tabs>
          <w:tab w:val="left" w:pos="180"/>
        </w:tabs>
      </w:pPr>
      <w:r>
        <w:rPr>
          <w:rStyle w:val="FootnoteReference"/>
        </w:rPr>
        <w:footnoteRef/>
      </w:r>
      <w:r>
        <w:t xml:space="preserve"> </w:t>
      </w:r>
      <w:r>
        <w:tab/>
        <w:t xml:space="preserve">CDC </w:t>
      </w:r>
      <w:r w:rsidRPr="00CD49EE">
        <w:t xml:space="preserve">Guidance:  </w:t>
      </w:r>
      <w:hyperlink r:id="rId1" w:history="1">
        <w:r w:rsidRPr="00CD49EE">
          <w:rPr>
            <w:rStyle w:val="Hyperlink"/>
          </w:rPr>
          <w:t>https://www.cdc.gov/coronavirus/2019-ncov/community/critical-infrastructure-sectors.html</w:t>
        </w:r>
      </w:hyperlink>
    </w:p>
    <w:p w14:paraId="511CD2D5" w14:textId="77777777" w:rsidR="00551A65" w:rsidRDefault="00551A65" w:rsidP="00551A65">
      <w:pPr>
        <w:pStyle w:val="FootnoteText"/>
        <w:ind w:left="180"/>
      </w:pPr>
      <w:r>
        <w:t xml:space="preserve">CDC </w:t>
      </w:r>
      <w:r w:rsidRPr="00CD49EE">
        <w:t>List</w:t>
      </w:r>
      <w:r>
        <w:t xml:space="preserve"> of Critical Infrastructure Workers</w:t>
      </w:r>
      <w:r w:rsidRPr="00CD49EE">
        <w:t>:</w:t>
      </w:r>
      <w:r>
        <w:t xml:space="preserve"> </w:t>
      </w:r>
    </w:p>
    <w:p w14:paraId="012A70FD" w14:textId="236C7B25" w:rsidR="00551A65" w:rsidRDefault="00551A65" w:rsidP="00551A65">
      <w:pPr>
        <w:pStyle w:val="FootnoteText"/>
        <w:ind w:firstLine="180"/>
        <w:rPr>
          <w:rStyle w:val="Hyperlink"/>
        </w:rPr>
      </w:pPr>
      <w:r w:rsidRPr="00CD49EE">
        <w:t xml:space="preserve"> </w:t>
      </w:r>
      <w:hyperlink r:id="rId2" w:history="1">
        <w:r w:rsidRPr="00CD49EE">
          <w:rPr>
            <w:rStyle w:val="Hyperlink"/>
          </w:rPr>
          <w:t>https://www.cisa.gov/sites/default/files/publications/Version_3.0_CISA_Guidance_on_Essential_Critical_Infrastructure_Workers_1.pdf</w:t>
        </w:r>
      </w:hyperlink>
    </w:p>
    <w:p w14:paraId="13BD0AFE" w14:textId="119CE776" w:rsidR="00BD506E" w:rsidRPr="00BD506E" w:rsidRDefault="00BD506E" w:rsidP="00D4041E">
      <w:pPr>
        <w:pStyle w:val="FootnoteText"/>
        <w:rPr>
          <w:u w:val="single"/>
        </w:rPr>
      </w:pPr>
      <w:r>
        <w:rPr>
          <w:rStyle w:val="Hyperlink"/>
          <w:vertAlign w:val="superscript"/>
        </w:rPr>
        <w:t xml:space="preserve">2 </w:t>
      </w:r>
      <w:r>
        <w:rPr>
          <w:rStyle w:val="Hyperlink"/>
        </w:rPr>
        <w:t xml:space="preserve">  </w:t>
      </w:r>
      <w:r w:rsidR="00D97885">
        <w:rPr>
          <w:rStyle w:val="Hyperlink"/>
        </w:rPr>
        <w:t>For patients who are immunocompromised or t</w:t>
      </w:r>
      <w:r>
        <w:rPr>
          <w:rStyle w:val="Hyperlink"/>
        </w:rPr>
        <w:t>hose with serious</w:t>
      </w:r>
      <w:r w:rsidR="00D97885">
        <w:rPr>
          <w:rStyle w:val="Hyperlink"/>
        </w:rPr>
        <w:t xml:space="preserve"> COVID-19</w:t>
      </w:r>
      <w:r>
        <w:rPr>
          <w:rStyle w:val="Hyperlink"/>
        </w:rPr>
        <w:t xml:space="preserve"> illness or requiring hospitalization should wait until 20 days since first positive test and should consult with a provider</w:t>
      </w:r>
    </w:p>
    <w:p w14:paraId="0DA2CB04" w14:textId="543D558D" w:rsidR="00551A65" w:rsidRDefault="00551A6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18EA" w14:textId="03B508FF" w:rsidR="008E40C3" w:rsidRDefault="00221A28">
    <w:pPr>
      <w:pStyle w:val="Header"/>
      <w:rPr>
        <w:i/>
        <w:iCs/>
      </w:rPr>
    </w:pPr>
    <w:r>
      <w:rPr>
        <w:i/>
        <w:iCs/>
      </w:rPr>
      <w:t xml:space="preserve">Massachusetts </w:t>
    </w:r>
    <w:r w:rsidR="008E40C3">
      <w:rPr>
        <w:i/>
        <w:iCs/>
      </w:rPr>
      <w:t>COVID-19 COMMAND CENTER</w:t>
    </w:r>
  </w:p>
  <w:p w14:paraId="2966D6BB" w14:textId="12FB66CF" w:rsidR="008E40C3" w:rsidRDefault="00D34BA3">
    <w:pPr>
      <w:pStyle w:val="Header"/>
      <w:rPr>
        <w:i/>
        <w:iCs/>
      </w:rPr>
    </w:pPr>
    <w:r>
      <w:rPr>
        <w:i/>
        <w:iCs/>
      </w:rPr>
      <w:t xml:space="preserve">Exposure &amp; </w:t>
    </w:r>
    <w:r w:rsidR="008E40C3" w:rsidRPr="00772069">
      <w:rPr>
        <w:i/>
        <w:iCs/>
      </w:rPr>
      <w:t>Return to Work Guidance</w:t>
    </w:r>
    <w:r w:rsidR="008E40C3">
      <w:rPr>
        <w:i/>
        <w:iCs/>
      </w:rPr>
      <w:t xml:space="preserve">, </w:t>
    </w:r>
    <w:r w:rsidR="008E40C3" w:rsidRPr="00772069">
      <w:rPr>
        <w:i/>
        <w:iCs/>
      </w:rPr>
      <w:t>Revised</w:t>
    </w:r>
    <w:r w:rsidR="006A2751">
      <w:rPr>
        <w:i/>
        <w:iCs/>
      </w:rPr>
      <w:t xml:space="preserve"> </w:t>
    </w:r>
    <w:r w:rsidR="00A74C1F">
      <w:rPr>
        <w:i/>
        <w:iCs/>
      </w:rPr>
      <w:t xml:space="preserve">December </w:t>
    </w:r>
    <w:r w:rsidR="00960F92">
      <w:rPr>
        <w:i/>
        <w:iCs/>
      </w:rPr>
      <w:t>07</w:t>
    </w:r>
    <w:r w:rsidR="008E40C3" w:rsidRPr="00772069">
      <w:rPr>
        <w:i/>
        <w:iCs/>
      </w:rPr>
      <w:t>, 2020</w:t>
    </w:r>
  </w:p>
  <w:p w14:paraId="76A2241E" w14:textId="77777777" w:rsidR="00B41B48" w:rsidRPr="00705D40" w:rsidRDefault="00B41B48">
    <w:pPr>
      <w:pStyle w:val="Header"/>
      <w:rPr>
        <w:i/>
        <w:iCs/>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33130"/>
    <w:multiLevelType w:val="multilevel"/>
    <w:tmpl w:val="92984540"/>
    <w:lvl w:ilvl="0">
      <w:start w:val="1"/>
      <w:numFmt w:val="bullet"/>
      <w:lvlText w:val=""/>
      <w:lvlJc w:val="left"/>
      <w:pPr>
        <w:tabs>
          <w:tab w:val="num" w:pos="720"/>
        </w:tabs>
        <w:ind w:left="720" w:hanging="360"/>
      </w:pPr>
      <w:rPr>
        <w:rFonts w:ascii="Symbol" w:hAnsi="Symbol" w:hint="default"/>
        <w:sz w:val="18"/>
        <w:szCs w:val="18"/>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14BA5"/>
    <w:multiLevelType w:val="multilevel"/>
    <w:tmpl w:val="ED1C048C"/>
    <w:lvl w:ilvl="0">
      <w:start w:val="1"/>
      <w:numFmt w:val="decimal"/>
      <w:lvlText w:val="%1."/>
      <w:lvlJc w:val="left"/>
      <w:pPr>
        <w:tabs>
          <w:tab w:val="num" w:pos="360"/>
        </w:tabs>
        <w:ind w:left="360" w:hanging="360"/>
      </w:pPr>
      <w:rPr>
        <w:rFonts w:hint="default"/>
        <w:sz w:val="22"/>
        <w:szCs w:val="22"/>
      </w:rPr>
    </w:lvl>
    <w:lvl w:ilvl="1">
      <w:start w:val="1"/>
      <w:numFmt w:val="decimal"/>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74073E"/>
    <w:multiLevelType w:val="hybridMultilevel"/>
    <w:tmpl w:val="1AAE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850D6"/>
    <w:multiLevelType w:val="multilevel"/>
    <w:tmpl w:val="D53CEBA4"/>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A380C3D"/>
    <w:multiLevelType w:val="multilevel"/>
    <w:tmpl w:val="ED1C048C"/>
    <w:lvl w:ilvl="0">
      <w:start w:val="1"/>
      <w:numFmt w:val="decimal"/>
      <w:lvlText w:val="%1."/>
      <w:lvlJc w:val="left"/>
      <w:pPr>
        <w:tabs>
          <w:tab w:val="num" w:pos="360"/>
        </w:tabs>
        <w:ind w:left="360" w:hanging="360"/>
      </w:pPr>
      <w:rPr>
        <w:rFonts w:hint="default"/>
        <w:sz w:val="22"/>
        <w:szCs w:val="22"/>
      </w:rPr>
    </w:lvl>
    <w:lvl w:ilvl="1">
      <w:start w:val="1"/>
      <w:numFmt w:val="decimal"/>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4F4734"/>
    <w:multiLevelType w:val="multilevel"/>
    <w:tmpl w:val="C4BA8C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D2B40D9"/>
    <w:multiLevelType w:val="multilevel"/>
    <w:tmpl w:val="14A6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57662"/>
    <w:multiLevelType w:val="multilevel"/>
    <w:tmpl w:val="C2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F1265"/>
    <w:multiLevelType w:val="multilevel"/>
    <w:tmpl w:val="C9D82280"/>
    <w:lvl w:ilvl="0">
      <w:start w:val="1"/>
      <w:numFmt w:val="decimal"/>
      <w:lvlText w:val="%1."/>
      <w:lvlJc w:val="left"/>
      <w:pPr>
        <w:tabs>
          <w:tab w:val="num" w:pos="360"/>
        </w:tabs>
        <w:ind w:left="360" w:hanging="360"/>
      </w:pPr>
      <w:rPr>
        <w:rFonts w:hint="default"/>
        <w:color w:val="auto"/>
        <w:sz w:val="18"/>
        <w:szCs w:val="18"/>
      </w:rPr>
    </w:lvl>
    <w:lvl w:ilvl="1">
      <w:start w:val="1"/>
      <w:numFmt w:val="decimal"/>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2D5039C"/>
    <w:multiLevelType w:val="multilevel"/>
    <w:tmpl w:val="6C4AC8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623714"/>
    <w:multiLevelType w:val="hybridMultilevel"/>
    <w:tmpl w:val="36E8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830C1"/>
    <w:multiLevelType w:val="multilevel"/>
    <w:tmpl w:val="D4BA734E"/>
    <w:lvl w:ilvl="0">
      <w:start w:val="1"/>
      <w:numFmt w:val="decimal"/>
      <w:lvlText w:val="%1."/>
      <w:lvlJc w:val="left"/>
      <w:pPr>
        <w:tabs>
          <w:tab w:val="num" w:pos="360"/>
        </w:tabs>
        <w:ind w:left="360" w:hanging="360"/>
      </w:pPr>
      <w:rPr>
        <w:rFonts w:hint="default"/>
        <w:sz w:val="22"/>
        <w:szCs w:val="22"/>
      </w:rPr>
    </w:lvl>
    <w:lvl w:ilvl="1">
      <w:start w:val="1"/>
      <w:numFmt w:val="decimal"/>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3AB6C22"/>
    <w:multiLevelType w:val="multilevel"/>
    <w:tmpl w:val="27FE9AD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C3F02"/>
    <w:multiLevelType w:val="hybridMultilevel"/>
    <w:tmpl w:val="5E9C0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320489"/>
    <w:multiLevelType w:val="multilevel"/>
    <w:tmpl w:val="4B10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AE02D8"/>
    <w:multiLevelType w:val="multilevel"/>
    <w:tmpl w:val="ED1C048C"/>
    <w:lvl w:ilvl="0">
      <w:start w:val="1"/>
      <w:numFmt w:val="decimal"/>
      <w:lvlText w:val="%1."/>
      <w:lvlJc w:val="left"/>
      <w:pPr>
        <w:tabs>
          <w:tab w:val="num" w:pos="360"/>
        </w:tabs>
        <w:ind w:left="360" w:hanging="360"/>
      </w:pPr>
      <w:rPr>
        <w:rFonts w:hint="default"/>
        <w:sz w:val="22"/>
        <w:szCs w:val="22"/>
      </w:rPr>
    </w:lvl>
    <w:lvl w:ilvl="1">
      <w:start w:val="1"/>
      <w:numFmt w:val="decimal"/>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3722D5B"/>
    <w:multiLevelType w:val="multilevel"/>
    <w:tmpl w:val="4E568B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hAnsi="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A1518"/>
    <w:multiLevelType w:val="hybridMultilevel"/>
    <w:tmpl w:val="D3748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0204D4"/>
    <w:multiLevelType w:val="multilevel"/>
    <w:tmpl w:val="E3E6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A1E1F"/>
    <w:multiLevelType w:val="multilevel"/>
    <w:tmpl w:val="7154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2E3800"/>
    <w:multiLevelType w:val="multilevel"/>
    <w:tmpl w:val="27289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D54B91"/>
    <w:multiLevelType w:val="multilevel"/>
    <w:tmpl w:val="59B63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hAnsi="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C0762B"/>
    <w:multiLevelType w:val="hybridMultilevel"/>
    <w:tmpl w:val="6824A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56706F"/>
    <w:multiLevelType w:val="multilevel"/>
    <w:tmpl w:val="5F70D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hAnsi="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1"/>
  </w:num>
  <w:num w:numId="3">
    <w:abstractNumId w:val="6"/>
  </w:num>
  <w:num w:numId="4">
    <w:abstractNumId w:val="23"/>
  </w:num>
  <w:num w:numId="5">
    <w:abstractNumId w:val="8"/>
  </w:num>
  <w:num w:numId="6">
    <w:abstractNumId w:val="18"/>
  </w:num>
  <w:num w:numId="7">
    <w:abstractNumId w:val="13"/>
  </w:num>
  <w:num w:numId="8">
    <w:abstractNumId w:val="16"/>
  </w:num>
  <w:num w:numId="9">
    <w:abstractNumId w:val="14"/>
  </w:num>
  <w:num w:numId="10">
    <w:abstractNumId w:val="5"/>
  </w:num>
  <w:num w:numId="11">
    <w:abstractNumId w:val="7"/>
  </w:num>
  <w:num w:numId="12">
    <w:abstractNumId w:val="19"/>
  </w:num>
  <w:num w:numId="13">
    <w:abstractNumId w:val="12"/>
  </w:num>
  <w:num w:numId="14">
    <w:abstractNumId w:val="3"/>
  </w:num>
  <w:num w:numId="15">
    <w:abstractNumId w:val="11"/>
  </w:num>
  <w:num w:numId="16">
    <w:abstractNumId w:val="1"/>
  </w:num>
  <w:num w:numId="17">
    <w:abstractNumId w:val="0"/>
  </w:num>
  <w:num w:numId="18">
    <w:abstractNumId w:val="4"/>
  </w:num>
  <w:num w:numId="19">
    <w:abstractNumId w:val="15"/>
  </w:num>
  <w:num w:numId="20">
    <w:abstractNumId w:val="9"/>
  </w:num>
  <w:num w:numId="21">
    <w:abstractNumId w:val="17"/>
  </w:num>
  <w:num w:numId="22">
    <w:abstractNumId w:val="2"/>
  </w:num>
  <w:num w:numId="23">
    <w:abstractNumId w:val="22"/>
  </w:num>
  <w:num w:numId="2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069"/>
    <w:rsid w:val="00006D92"/>
    <w:rsid w:val="0002392F"/>
    <w:rsid w:val="000336EF"/>
    <w:rsid w:val="00063382"/>
    <w:rsid w:val="000B5A5C"/>
    <w:rsid w:val="000E279C"/>
    <w:rsid w:val="000E423B"/>
    <w:rsid w:val="000F41AB"/>
    <w:rsid w:val="000F42ED"/>
    <w:rsid w:val="0010083B"/>
    <w:rsid w:val="001077E4"/>
    <w:rsid w:val="001138BB"/>
    <w:rsid w:val="00147655"/>
    <w:rsid w:val="0018646A"/>
    <w:rsid w:val="001A6285"/>
    <w:rsid w:val="001A736E"/>
    <w:rsid w:val="001D37E8"/>
    <w:rsid w:val="001E472F"/>
    <w:rsid w:val="00214193"/>
    <w:rsid w:val="00221A28"/>
    <w:rsid w:val="0022673E"/>
    <w:rsid w:val="00230CD6"/>
    <w:rsid w:val="0026218B"/>
    <w:rsid w:val="002634F4"/>
    <w:rsid w:val="00275B01"/>
    <w:rsid w:val="002766DF"/>
    <w:rsid w:val="002851AF"/>
    <w:rsid w:val="002861B3"/>
    <w:rsid w:val="0028760E"/>
    <w:rsid w:val="00287B97"/>
    <w:rsid w:val="00292110"/>
    <w:rsid w:val="00294224"/>
    <w:rsid w:val="002A5E08"/>
    <w:rsid w:val="002B7558"/>
    <w:rsid w:val="002C2E3E"/>
    <w:rsid w:val="002C6AD1"/>
    <w:rsid w:val="003304BD"/>
    <w:rsid w:val="00343D3A"/>
    <w:rsid w:val="0036232B"/>
    <w:rsid w:val="00362A57"/>
    <w:rsid w:val="003714F6"/>
    <w:rsid w:val="003C01E2"/>
    <w:rsid w:val="003E0945"/>
    <w:rsid w:val="003F0AAA"/>
    <w:rsid w:val="004509BF"/>
    <w:rsid w:val="00475B9D"/>
    <w:rsid w:val="00477088"/>
    <w:rsid w:val="00484899"/>
    <w:rsid w:val="004B59BF"/>
    <w:rsid w:val="004D6883"/>
    <w:rsid w:val="004E1D5F"/>
    <w:rsid w:val="00515B05"/>
    <w:rsid w:val="00516CBE"/>
    <w:rsid w:val="00524BF9"/>
    <w:rsid w:val="00537915"/>
    <w:rsid w:val="00550810"/>
    <w:rsid w:val="00551A65"/>
    <w:rsid w:val="0055430A"/>
    <w:rsid w:val="00587BD8"/>
    <w:rsid w:val="00591AF7"/>
    <w:rsid w:val="005E55DE"/>
    <w:rsid w:val="0060360D"/>
    <w:rsid w:val="006348F3"/>
    <w:rsid w:val="00634AA3"/>
    <w:rsid w:val="0064274A"/>
    <w:rsid w:val="00642AB9"/>
    <w:rsid w:val="006508F1"/>
    <w:rsid w:val="00650DBC"/>
    <w:rsid w:val="00680E58"/>
    <w:rsid w:val="006A2751"/>
    <w:rsid w:val="006A4931"/>
    <w:rsid w:val="006B2578"/>
    <w:rsid w:val="006D2AC4"/>
    <w:rsid w:val="006D36AC"/>
    <w:rsid w:val="006F50BF"/>
    <w:rsid w:val="00705283"/>
    <w:rsid w:val="00705D40"/>
    <w:rsid w:val="00727DD0"/>
    <w:rsid w:val="00741239"/>
    <w:rsid w:val="00750309"/>
    <w:rsid w:val="00757E03"/>
    <w:rsid w:val="00765778"/>
    <w:rsid w:val="00772069"/>
    <w:rsid w:val="00773774"/>
    <w:rsid w:val="007777B1"/>
    <w:rsid w:val="007B1AE0"/>
    <w:rsid w:val="007C7B34"/>
    <w:rsid w:val="007D3506"/>
    <w:rsid w:val="007D7B5A"/>
    <w:rsid w:val="00860000"/>
    <w:rsid w:val="008E40C3"/>
    <w:rsid w:val="00936415"/>
    <w:rsid w:val="00947952"/>
    <w:rsid w:val="00956AFC"/>
    <w:rsid w:val="00957176"/>
    <w:rsid w:val="00960F92"/>
    <w:rsid w:val="00974B28"/>
    <w:rsid w:val="00986CF0"/>
    <w:rsid w:val="009B2D8F"/>
    <w:rsid w:val="009C1E7F"/>
    <w:rsid w:val="009C2BD2"/>
    <w:rsid w:val="009D5BA1"/>
    <w:rsid w:val="009F2D7B"/>
    <w:rsid w:val="009F31A4"/>
    <w:rsid w:val="00A10436"/>
    <w:rsid w:val="00A116E3"/>
    <w:rsid w:val="00A40875"/>
    <w:rsid w:val="00A72B1E"/>
    <w:rsid w:val="00A74C1F"/>
    <w:rsid w:val="00AD1E06"/>
    <w:rsid w:val="00B06050"/>
    <w:rsid w:val="00B15851"/>
    <w:rsid w:val="00B3370D"/>
    <w:rsid w:val="00B41B48"/>
    <w:rsid w:val="00B46F3F"/>
    <w:rsid w:val="00B52BC3"/>
    <w:rsid w:val="00B70EF7"/>
    <w:rsid w:val="00BA1262"/>
    <w:rsid w:val="00BB04FF"/>
    <w:rsid w:val="00BB6E2D"/>
    <w:rsid w:val="00BC2E7A"/>
    <w:rsid w:val="00BD0C88"/>
    <w:rsid w:val="00BD506E"/>
    <w:rsid w:val="00C0581E"/>
    <w:rsid w:val="00C05E10"/>
    <w:rsid w:val="00C2541C"/>
    <w:rsid w:val="00C404E8"/>
    <w:rsid w:val="00C540A2"/>
    <w:rsid w:val="00C831F9"/>
    <w:rsid w:val="00C96EB0"/>
    <w:rsid w:val="00C96F82"/>
    <w:rsid w:val="00CB01EE"/>
    <w:rsid w:val="00CC6CAC"/>
    <w:rsid w:val="00CD49EE"/>
    <w:rsid w:val="00CF7D29"/>
    <w:rsid w:val="00D06123"/>
    <w:rsid w:val="00D34BA3"/>
    <w:rsid w:val="00D4041E"/>
    <w:rsid w:val="00D4355C"/>
    <w:rsid w:val="00D4552E"/>
    <w:rsid w:val="00D45DF9"/>
    <w:rsid w:val="00D55590"/>
    <w:rsid w:val="00D97885"/>
    <w:rsid w:val="00DB217C"/>
    <w:rsid w:val="00DC79E9"/>
    <w:rsid w:val="00DE6CAA"/>
    <w:rsid w:val="00DF4A6A"/>
    <w:rsid w:val="00E07289"/>
    <w:rsid w:val="00E37079"/>
    <w:rsid w:val="00E50DC1"/>
    <w:rsid w:val="00E54E16"/>
    <w:rsid w:val="00E644EE"/>
    <w:rsid w:val="00E677DE"/>
    <w:rsid w:val="00E7435D"/>
    <w:rsid w:val="00E92DF8"/>
    <w:rsid w:val="00E94C6D"/>
    <w:rsid w:val="00EB04C1"/>
    <w:rsid w:val="00ED18F8"/>
    <w:rsid w:val="00F240BF"/>
    <w:rsid w:val="00F41EAA"/>
    <w:rsid w:val="00F57062"/>
    <w:rsid w:val="00F9714B"/>
    <w:rsid w:val="00FA6CB7"/>
    <w:rsid w:val="00FC3A4A"/>
    <w:rsid w:val="00FE1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AB43B"/>
  <w15:docId w15:val="{1587419B-57B8-4FCA-BC08-CE5116FC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9E9"/>
    <w:pPr>
      <w:keepNext/>
      <w:keepLines/>
      <w:spacing w:before="240" w:after="0"/>
      <w:outlineLvl w:val="0"/>
    </w:pPr>
    <w:rPr>
      <w:rFonts w:eastAsiaTheme="majorEastAsia"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DC79E9"/>
    <w:pPr>
      <w:keepNext/>
      <w:keepLines/>
      <w:spacing w:before="40" w:after="0"/>
      <w:outlineLvl w:val="1"/>
    </w:pPr>
    <w:rPr>
      <w:rFonts w:eastAsiaTheme="majorEastAsia" w:cstheme="majorBidi"/>
      <w:b/>
      <w:color w:val="365F91" w:themeColor="accent1" w:themeShade="BF"/>
      <w:sz w:val="24"/>
      <w:szCs w:val="26"/>
    </w:rPr>
  </w:style>
  <w:style w:type="paragraph" w:styleId="Heading3">
    <w:name w:val="heading 3"/>
    <w:basedOn w:val="Normal"/>
    <w:next w:val="Normal"/>
    <w:link w:val="Heading3Char"/>
    <w:uiPriority w:val="9"/>
    <w:unhideWhenUsed/>
    <w:qFormat/>
    <w:rsid w:val="00DC79E9"/>
    <w:pPr>
      <w:keepNext/>
      <w:keepLines/>
      <w:spacing w:before="40" w:after="0"/>
      <w:outlineLvl w:val="2"/>
    </w:pPr>
    <w:rPr>
      <w:rFonts w:eastAsiaTheme="majorEastAsia" w:cstheme="majorBidi"/>
      <w:i/>
      <w:color w:val="1F497D" w:themeColor="text2"/>
      <w:sz w:val="24"/>
      <w:szCs w:val="24"/>
    </w:rPr>
  </w:style>
  <w:style w:type="paragraph" w:styleId="Heading4">
    <w:name w:val="heading 4"/>
    <w:basedOn w:val="Normal"/>
    <w:next w:val="Normal"/>
    <w:link w:val="Heading4Char"/>
    <w:uiPriority w:val="9"/>
    <w:unhideWhenUsed/>
    <w:qFormat/>
    <w:rsid w:val="00B41B4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069"/>
  </w:style>
  <w:style w:type="paragraph" w:styleId="Footer">
    <w:name w:val="footer"/>
    <w:basedOn w:val="Normal"/>
    <w:link w:val="FooterChar"/>
    <w:uiPriority w:val="99"/>
    <w:unhideWhenUsed/>
    <w:rsid w:val="00772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069"/>
  </w:style>
  <w:style w:type="paragraph" w:styleId="ListParagraph">
    <w:name w:val="List Paragraph"/>
    <w:basedOn w:val="Normal"/>
    <w:uiPriority w:val="34"/>
    <w:qFormat/>
    <w:rsid w:val="00F9714B"/>
    <w:pPr>
      <w:ind w:left="720"/>
      <w:contextualSpacing/>
    </w:pPr>
  </w:style>
  <w:style w:type="character" w:customStyle="1" w:styleId="Heading1Char">
    <w:name w:val="Heading 1 Char"/>
    <w:basedOn w:val="DefaultParagraphFont"/>
    <w:link w:val="Heading1"/>
    <w:uiPriority w:val="9"/>
    <w:rsid w:val="00DC79E9"/>
    <w:rPr>
      <w:rFonts w:eastAsiaTheme="majorEastAsia" w:cstheme="majorBidi"/>
      <w:color w:val="365F91" w:themeColor="accent1" w:themeShade="BF"/>
      <w:sz w:val="28"/>
      <w:szCs w:val="32"/>
    </w:rPr>
  </w:style>
  <w:style w:type="character" w:styleId="Hyperlink">
    <w:name w:val="Hyperlink"/>
    <w:uiPriority w:val="99"/>
    <w:unhideWhenUsed/>
    <w:rsid w:val="00477088"/>
    <w:rPr>
      <w:color w:val="0000FF"/>
      <w:u w:val="single"/>
    </w:rPr>
  </w:style>
  <w:style w:type="paragraph" w:styleId="NormalWeb">
    <w:name w:val="Normal (Web)"/>
    <w:basedOn w:val="Normal"/>
    <w:uiPriority w:val="99"/>
    <w:unhideWhenUsed/>
    <w:rsid w:val="00477088"/>
    <w:pPr>
      <w:spacing w:before="100" w:beforeAutospacing="1" w:after="100" w:afterAutospacing="1" w:line="240" w:lineRule="auto"/>
    </w:pPr>
    <w:rPr>
      <w:rFonts w:ascii="Arial Unicode MS" w:eastAsia="Times New Roman" w:hAnsi="Times New Roman" w:cs="Arial Unicode MS"/>
      <w:color w:val="000000"/>
      <w:sz w:val="24"/>
      <w:szCs w:val="24"/>
    </w:rPr>
  </w:style>
  <w:style w:type="character" w:customStyle="1" w:styleId="Heading2Char">
    <w:name w:val="Heading 2 Char"/>
    <w:basedOn w:val="DefaultParagraphFont"/>
    <w:link w:val="Heading2"/>
    <w:uiPriority w:val="9"/>
    <w:rsid w:val="00DC79E9"/>
    <w:rPr>
      <w:rFonts w:eastAsiaTheme="majorEastAsia" w:cstheme="majorBidi"/>
      <w:b/>
      <w:color w:val="365F91" w:themeColor="accent1" w:themeShade="BF"/>
      <w:sz w:val="24"/>
      <w:szCs w:val="26"/>
    </w:rPr>
  </w:style>
  <w:style w:type="character" w:customStyle="1" w:styleId="Heading3Char">
    <w:name w:val="Heading 3 Char"/>
    <w:basedOn w:val="DefaultParagraphFont"/>
    <w:link w:val="Heading3"/>
    <w:uiPriority w:val="9"/>
    <w:rsid w:val="00DC79E9"/>
    <w:rPr>
      <w:rFonts w:eastAsiaTheme="majorEastAsia" w:cstheme="majorBidi"/>
      <w:i/>
      <w:color w:val="1F497D" w:themeColor="text2"/>
      <w:sz w:val="24"/>
      <w:szCs w:val="24"/>
    </w:rPr>
  </w:style>
  <w:style w:type="character" w:styleId="Strong">
    <w:name w:val="Strong"/>
    <w:basedOn w:val="DefaultParagraphFont"/>
    <w:uiPriority w:val="22"/>
    <w:qFormat/>
    <w:rsid w:val="006B2578"/>
    <w:rPr>
      <w:b/>
      <w:bCs/>
    </w:rPr>
  </w:style>
  <w:style w:type="character" w:styleId="Emphasis">
    <w:name w:val="Emphasis"/>
    <w:basedOn w:val="DefaultParagraphFont"/>
    <w:uiPriority w:val="20"/>
    <w:qFormat/>
    <w:rsid w:val="006B2578"/>
    <w:rPr>
      <w:i/>
      <w:iCs/>
    </w:rPr>
  </w:style>
  <w:style w:type="character" w:customStyle="1" w:styleId="UnresolvedMention1">
    <w:name w:val="Unresolved Mention1"/>
    <w:basedOn w:val="DefaultParagraphFont"/>
    <w:uiPriority w:val="99"/>
    <w:semiHidden/>
    <w:unhideWhenUsed/>
    <w:rsid w:val="006B2578"/>
    <w:rPr>
      <w:color w:val="605E5C"/>
      <w:shd w:val="clear" w:color="auto" w:fill="E1DFDD"/>
    </w:rPr>
  </w:style>
  <w:style w:type="character" w:styleId="FollowedHyperlink">
    <w:name w:val="FollowedHyperlink"/>
    <w:basedOn w:val="DefaultParagraphFont"/>
    <w:uiPriority w:val="99"/>
    <w:semiHidden/>
    <w:unhideWhenUsed/>
    <w:rsid w:val="00765778"/>
    <w:rPr>
      <w:color w:val="800080" w:themeColor="followedHyperlink"/>
      <w:u w:val="single"/>
    </w:rPr>
  </w:style>
  <w:style w:type="character" w:customStyle="1" w:styleId="sr-only">
    <w:name w:val="sr-only"/>
    <w:basedOn w:val="DefaultParagraphFont"/>
    <w:rsid w:val="00516CBE"/>
  </w:style>
  <w:style w:type="character" w:styleId="CommentReference">
    <w:name w:val="annotation reference"/>
    <w:basedOn w:val="DefaultParagraphFont"/>
    <w:uiPriority w:val="99"/>
    <w:semiHidden/>
    <w:unhideWhenUsed/>
    <w:rsid w:val="00E677DE"/>
    <w:rPr>
      <w:sz w:val="16"/>
      <w:szCs w:val="16"/>
    </w:rPr>
  </w:style>
  <w:style w:type="paragraph" w:styleId="CommentText">
    <w:name w:val="annotation text"/>
    <w:basedOn w:val="Normal"/>
    <w:link w:val="CommentTextChar"/>
    <w:uiPriority w:val="99"/>
    <w:semiHidden/>
    <w:unhideWhenUsed/>
    <w:rsid w:val="00E677DE"/>
    <w:pPr>
      <w:spacing w:line="240" w:lineRule="auto"/>
    </w:pPr>
    <w:rPr>
      <w:sz w:val="20"/>
      <w:szCs w:val="20"/>
    </w:rPr>
  </w:style>
  <w:style w:type="character" w:customStyle="1" w:styleId="CommentTextChar">
    <w:name w:val="Comment Text Char"/>
    <w:basedOn w:val="DefaultParagraphFont"/>
    <w:link w:val="CommentText"/>
    <w:uiPriority w:val="99"/>
    <w:semiHidden/>
    <w:rsid w:val="00E677DE"/>
    <w:rPr>
      <w:sz w:val="20"/>
      <w:szCs w:val="20"/>
    </w:rPr>
  </w:style>
  <w:style w:type="paragraph" w:styleId="CommentSubject">
    <w:name w:val="annotation subject"/>
    <w:basedOn w:val="CommentText"/>
    <w:next w:val="CommentText"/>
    <w:link w:val="CommentSubjectChar"/>
    <w:uiPriority w:val="99"/>
    <w:semiHidden/>
    <w:unhideWhenUsed/>
    <w:rsid w:val="00E677DE"/>
    <w:rPr>
      <w:b/>
      <w:bCs/>
    </w:rPr>
  </w:style>
  <w:style w:type="character" w:customStyle="1" w:styleId="CommentSubjectChar">
    <w:name w:val="Comment Subject Char"/>
    <w:basedOn w:val="CommentTextChar"/>
    <w:link w:val="CommentSubject"/>
    <w:uiPriority w:val="99"/>
    <w:semiHidden/>
    <w:rsid w:val="00E677DE"/>
    <w:rPr>
      <w:b/>
      <w:bCs/>
      <w:sz w:val="20"/>
      <w:szCs w:val="20"/>
    </w:rPr>
  </w:style>
  <w:style w:type="paragraph" w:styleId="BalloonText">
    <w:name w:val="Balloon Text"/>
    <w:basedOn w:val="Normal"/>
    <w:link w:val="BalloonTextChar"/>
    <w:uiPriority w:val="99"/>
    <w:semiHidden/>
    <w:unhideWhenUsed/>
    <w:rsid w:val="00E67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7DE"/>
    <w:rPr>
      <w:rFonts w:ascii="Tahoma" w:hAnsi="Tahoma" w:cs="Tahoma"/>
      <w:sz w:val="16"/>
      <w:szCs w:val="16"/>
    </w:rPr>
  </w:style>
  <w:style w:type="table" w:styleId="TableGrid">
    <w:name w:val="Table Grid"/>
    <w:basedOn w:val="TableNormal"/>
    <w:uiPriority w:val="59"/>
    <w:rsid w:val="00C54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41B48"/>
    <w:rPr>
      <w:color w:val="605E5C"/>
      <w:shd w:val="clear" w:color="auto" w:fill="E1DFDD"/>
    </w:rPr>
  </w:style>
  <w:style w:type="character" w:customStyle="1" w:styleId="Heading4Char">
    <w:name w:val="Heading 4 Char"/>
    <w:basedOn w:val="DefaultParagraphFont"/>
    <w:link w:val="Heading4"/>
    <w:uiPriority w:val="9"/>
    <w:rsid w:val="00B41B48"/>
    <w:rPr>
      <w:rFonts w:asciiTheme="majorHAnsi" w:eastAsiaTheme="majorEastAsia" w:hAnsiTheme="majorHAnsi" w:cstheme="majorBidi"/>
      <w:i/>
      <w:iCs/>
      <w:color w:val="365F91" w:themeColor="accent1" w:themeShade="BF"/>
    </w:rPr>
  </w:style>
  <w:style w:type="character" w:customStyle="1" w:styleId="UnresolvedMention3">
    <w:name w:val="Unresolved Mention3"/>
    <w:basedOn w:val="DefaultParagraphFont"/>
    <w:uiPriority w:val="99"/>
    <w:semiHidden/>
    <w:unhideWhenUsed/>
    <w:rsid w:val="0064274A"/>
    <w:rPr>
      <w:color w:val="605E5C"/>
      <w:shd w:val="clear" w:color="auto" w:fill="E1DFDD"/>
    </w:rPr>
  </w:style>
  <w:style w:type="paragraph" w:styleId="FootnoteText">
    <w:name w:val="footnote text"/>
    <w:basedOn w:val="Normal"/>
    <w:link w:val="FootnoteTextChar"/>
    <w:uiPriority w:val="99"/>
    <w:semiHidden/>
    <w:unhideWhenUsed/>
    <w:rsid w:val="00CD4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9EE"/>
    <w:rPr>
      <w:sz w:val="20"/>
      <w:szCs w:val="20"/>
    </w:rPr>
  </w:style>
  <w:style w:type="character" w:styleId="FootnoteReference">
    <w:name w:val="footnote reference"/>
    <w:basedOn w:val="DefaultParagraphFont"/>
    <w:uiPriority w:val="99"/>
    <w:semiHidden/>
    <w:unhideWhenUsed/>
    <w:rsid w:val="00CD49EE"/>
    <w:rPr>
      <w:vertAlign w:val="superscript"/>
    </w:rPr>
  </w:style>
  <w:style w:type="paragraph" w:styleId="Revision">
    <w:name w:val="Revision"/>
    <w:hidden/>
    <w:uiPriority w:val="99"/>
    <w:semiHidden/>
    <w:rsid w:val="001A73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70559">
      <w:bodyDiv w:val="1"/>
      <w:marLeft w:val="0"/>
      <w:marRight w:val="0"/>
      <w:marTop w:val="0"/>
      <w:marBottom w:val="0"/>
      <w:divBdr>
        <w:top w:val="none" w:sz="0" w:space="0" w:color="auto"/>
        <w:left w:val="none" w:sz="0" w:space="0" w:color="auto"/>
        <w:bottom w:val="none" w:sz="0" w:space="0" w:color="auto"/>
        <w:right w:val="none" w:sz="0" w:space="0" w:color="auto"/>
      </w:divBdr>
    </w:div>
    <w:div w:id="200243931">
      <w:bodyDiv w:val="1"/>
      <w:marLeft w:val="0"/>
      <w:marRight w:val="0"/>
      <w:marTop w:val="0"/>
      <w:marBottom w:val="0"/>
      <w:divBdr>
        <w:top w:val="none" w:sz="0" w:space="0" w:color="auto"/>
        <w:left w:val="none" w:sz="0" w:space="0" w:color="auto"/>
        <w:bottom w:val="none" w:sz="0" w:space="0" w:color="auto"/>
        <w:right w:val="none" w:sz="0" w:space="0" w:color="auto"/>
      </w:divBdr>
    </w:div>
    <w:div w:id="315883801">
      <w:bodyDiv w:val="1"/>
      <w:marLeft w:val="0"/>
      <w:marRight w:val="0"/>
      <w:marTop w:val="0"/>
      <w:marBottom w:val="0"/>
      <w:divBdr>
        <w:top w:val="none" w:sz="0" w:space="0" w:color="auto"/>
        <w:left w:val="none" w:sz="0" w:space="0" w:color="auto"/>
        <w:bottom w:val="none" w:sz="0" w:space="0" w:color="auto"/>
        <w:right w:val="none" w:sz="0" w:space="0" w:color="auto"/>
      </w:divBdr>
    </w:div>
    <w:div w:id="350230720">
      <w:bodyDiv w:val="1"/>
      <w:marLeft w:val="0"/>
      <w:marRight w:val="0"/>
      <w:marTop w:val="0"/>
      <w:marBottom w:val="0"/>
      <w:divBdr>
        <w:top w:val="none" w:sz="0" w:space="0" w:color="auto"/>
        <w:left w:val="none" w:sz="0" w:space="0" w:color="auto"/>
        <w:bottom w:val="none" w:sz="0" w:space="0" w:color="auto"/>
        <w:right w:val="none" w:sz="0" w:space="0" w:color="auto"/>
      </w:divBdr>
    </w:div>
    <w:div w:id="375088306">
      <w:bodyDiv w:val="1"/>
      <w:marLeft w:val="0"/>
      <w:marRight w:val="0"/>
      <w:marTop w:val="0"/>
      <w:marBottom w:val="0"/>
      <w:divBdr>
        <w:top w:val="none" w:sz="0" w:space="0" w:color="auto"/>
        <w:left w:val="none" w:sz="0" w:space="0" w:color="auto"/>
        <w:bottom w:val="none" w:sz="0" w:space="0" w:color="auto"/>
        <w:right w:val="none" w:sz="0" w:space="0" w:color="auto"/>
      </w:divBdr>
    </w:div>
    <w:div w:id="789471536">
      <w:bodyDiv w:val="1"/>
      <w:marLeft w:val="0"/>
      <w:marRight w:val="0"/>
      <w:marTop w:val="0"/>
      <w:marBottom w:val="0"/>
      <w:divBdr>
        <w:top w:val="none" w:sz="0" w:space="0" w:color="auto"/>
        <w:left w:val="none" w:sz="0" w:space="0" w:color="auto"/>
        <w:bottom w:val="none" w:sz="0" w:space="0" w:color="auto"/>
        <w:right w:val="none" w:sz="0" w:space="0" w:color="auto"/>
      </w:divBdr>
      <w:divsChild>
        <w:div w:id="1655914591">
          <w:marLeft w:val="0"/>
          <w:marRight w:val="0"/>
          <w:marTop w:val="0"/>
          <w:marBottom w:val="0"/>
          <w:divBdr>
            <w:top w:val="none" w:sz="0" w:space="0" w:color="auto"/>
            <w:left w:val="none" w:sz="0" w:space="0" w:color="auto"/>
            <w:bottom w:val="none" w:sz="0" w:space="0" w:color="auto"/>
            <w:right w:val="none" w:sz="0" w:space="0" w:color="auto"/>
          </w:divBdr>
        </w:div>
        <w:div w:id="1481968267">
          <w:marLeft w:val="0"/>
          <w:marRight w:val="0"/>
          <w:marTop w:val="0"/>
          <w:marBottom w:val="0"/>
          <w:divBdr>
            <w:top w:val="none" w:sz="0" w:space="0" w:color="auto"/>
            <w:left w:val="none" w:sz="0" w:space="0" w:color="auto"/>
            <w:bottom w:val="none" w:sz="0" w:space="0" w:color="auto"/>
            <w:right w:val="none" w:sz="0" w:space="0" w:color="auto"/>
          </w:divBdr>
        </w:div>
        <w:div w:id="2041006997">
          <w:marLeft w:val="0"/>
          <w:marRight w:val="0"/>
          <w:marTop w:val="0"/>
          <w:marBottom w:val="0"/>
          <w:divBdr>
            <w:top w:val="none" w:sz="0" w:space="0" w:color="auto"/>
            <w:left w:val="none" w:sz="0" w:space="0" w:color="auto"/>
            <w:bottom w:val="none" w:sz="0" w:space="0" w:color="auto"/>
            <w:right w:val="none" w:sz="0" w:space="0" w:color="auto"/>
          </w:divBdr>
        </w:div>
      </w:divsChild>
    </w:div>
    <w:div w:id="856970932">
      <w:bodyDiv w:val="1"/>
      <w:marLeft w:val="0"/>
      <w:marRight w:val="0"/>
      <w:marTop w:val="0"/>
      <w:marBottom w:val="0"/>
      <w:divBdr>
        <w:top w:val="none" w:sz="0" w:space="0" w:color="auto"/>
        <w:left w:val="none" w:sz="0" w:space="0" w:color="auto"/>
        <w:bottom w:val="none" w:sz="0" w:space="0" w:color="auto"/>
        <w:right w:val="none" w:sz="0" w:space="0" w:color="auto"/>
      </w:divBdr>
    </w:div>
    <w:div w:id="1042247416">
      <w:bodyDiv w:val="1"/>
      <w:marLeft w:val="0"/>
      <w:marRight w:val="0"/>
      <w:marTop w:val="0"/>
      <w:marBottom w:val="0"/>
      <w:divBdr>
        <w:top w:val="none" w:sz="0" w:space="0" w:color="auto"/>
        <w:left w:val="none" w:sz="0" w:space="0" w:color="auto"/>
        <w:bottom w:val="none" w:sz="0" w:space="0" w:color="auto"/>
        <w:right w:val="none" w:sz="0" w:space="0" w:color="auto"/>
      </w:divBdr>
    </w:div>
    <w:div w:id="1051075062">
      <w:bodyDiv w:val="1"/>
      <w:marLeft w:val="0"/>
      <w:marRight w:val="0"/>
      <w:marTop w:val="0"/>
      <w:marBottom w:val="0"/>
      <w:divBdr>
        <w:top w:val="none" w:sz="0" w:space="0" w:color="auto"/>
        <w:left w:val="none" w:sz="0" w:space="0" w:color="auto"/>
        <w:bottom w:val="none" w:sz="0" w:space="0" w:color="auto"/>
        <w:right w:val="none" w:sz="0" w:space="0" w:color="auto"/>
      </w:divBdr>
    </w:div>
    <w:div w:id="1057364909">
      <w:bodyDiv w:val="1"/>
      <w:marLeft w:val="0"/>
      <w:marRight w:val="0"/>
      <w:marTop w:val="0"/>
      <w:marBottom w:val="0"/>
      <w:divBdr>
        <w:top w:val="none" w:sz="0" w:space="0" w:color="auto"/>
        <w:left w:val="none" w:sz="0" w:space="0" w:color="auto"/>
        <w:bottom w:val="none" w:sz="0" w:space="0" w:color="auto"/>
        <w:right w:val="none" w:sz="0" w:space="0" w:color="auto"/>
      </w:divBdr>
    </w:div>
    <w:div w:id="1291281506">
      <w:bodyDiv w:val="1"/>
      <w:marLeft w:val="0"/>
      <w:marRight w:val="0"/>
      <w:marTop w:val="0"/>
      <w:marBottom w:val="0"/>
      <w:divBdr>
        <w:top w:val="none" w:sz="0" w:space="0" w:color="auto"/>
        <w:left w:val="none" w:sz="0" w:space="0" w:color="auto"/>
        <w:bottom w:val="none" w:sz="0" w:space="0" w:color="auto"/>
        <w:right w:val="none" w:sz="0" w:space="0" w:color="auto"/>
      </w:divBdr>
    </w:div>
    <w:div w:id="1469325128">
      <w:bodyDiv w:val="1"/>
      <w:marLeft w:val="0"/>
      <w:marRight w:val="0"/>
      <w:marTop w:val="0"/>
      <w:marBottom w:val="0"/>
      <w:divBdr>
        <w:top w:val="none" w:sz="0" w:space="0" w:color="auto"/>
        <w:left w:val="none" w:sz="0" w:space="0" w:color="auto"/>
        <w:bottom w:val="none" w:sz="0" w:space="0" w:color="auto"/>
        <w:right w:val="none" w:sz="0" w:space="0" w:color="auto"/>
      </w:divBdr>
    </w:div>
    <w:div w:id="1525945567">
      <w:bodyDiv w:val="1"/>
      <w:marLeft w:val="0"/>
      <w:marRight w:val="0"/>
      <w:marTop w:val="0"/>
      <w:marBottom w:val="0"/>
      <w:divBdr>
        <w:top w:val="none" w:sz="0" w:space="0" w:color="auto"/>
        <w:left w:val="none" w:sz="0" w:space="0" w:color="auto"/>
        <w:bottom w:val="none" w:sz="0" w:space="0" w:color="auto"/>
        <w:right w:val="none" w:sz="0" w:space="0" w:color="auto"/>
      </w:divBdr>
    </w:div>
    <w:div w:id="1530530777">
      <w:bodyDiv w:val="1"/>
      <w:marLeft w:val="0"/>
      <w:marRight w:val="0"/>
      <w:marTop w:val="0"/>
      <w:marBottom w:val="0"/>
      <w:divBdr>
        <w:top w:val="none" w:sz="0" w:space="0" w:color="auto"/>
        <w:left w:val="none" w:sz="0" w:space="0" w:color="auto"/>
        <w:bottom w:val="none" w:sz="0" w:space="0" w:color="auto"/>
        <w:right w:val="none" w:sz="0" w:space="0" w:color="auto"/>
      </w:divBdr>
    </w:div>
    <w:div w:id="1581908059">
      <w:bodyDiv w:val="1"/>
      <w:marLeft w:val="0"/>
      <w:marRight w:val="0"/>
      <w:marTop w:val="0"/>
      <w:marBottom w:val="0"/>
      <w:divBdr>
        <w:top w:val="none" w:sz="0" w:space="0" w:color="auto"/>
        <w:left w:val="none" w:sz="0" w:space="0" w:color="auto"/>
        <w:bottom w:val="none" w:sz="0" w:space="0" w:color="auto"/>
        <w:right w:val="none" w:sz="0" w:space="0" w:color="auto"/>
      </w:divBdr>
    </w:div>
    <w:div w:id="1610046063">
      <w:bodyDiv w:val="1"/>
      <w:marLeft w:val="0"/>
      <w:marRight w:val="0"/>
      <w:marTop w:val="0"/>
      <w:marBottom w:val="0"/>
      <w:divBdr>
        <w:top w:val="none" w:sz="0" w:space="0" w:color="auto"/>
        <w:left w:val="none" w:sz="0" w:space="0" w:color="auto"/>
        <w:bottom w:val="none" w:sz="0" w:space="0" w:color="auto"/>
        <w:right w:val="none" w:sz="0" w:space="0" w:color="auto"/>
      </w:divBdr>
    </w:div>
    <w:div w:id="1858695343">
      <w:bodyDiv w:val="1"/>
      <w:marLeft w:val="0"/>
      <w:marRight w:val="0"/>
      <w:marTop w:val="0"/>
      <w:marBottom w:val="0"/>
      <w:divBdr>
        <w:top w:val="none" w:sz="0" w:space="0" w:color="auto"/>
        <w:left w:val="none" w:sz="0" w:space="0" w:color="auto"/>
        <w:bottom w:val="none" w:sz="0" w:space="0" w:color="auto"/>
        <w:right w:val="none" w:sz="0" w:space="0" w:color="auto"/>
      </w:divBdr>
      <w:divsChild>
        <w:div w:id="409086180">
          <w:marLeft w:val="446"/>
          <w:marRight w:val="0"/>
          <w:marTop w:val="0"/>
          <w:marBottom w:val="0"/>
          <w:divBdr>
            <w:top w:val="none" w:sz="0" w:space="0" w:color="auto"/>
            <w:left w:val="none" w:sz="0" w:space="0" w:color="auto"/>
            <w:bottom w:val="none" w:sz="0" w:space="0" w:color="auto"/>
            <w:right w:val="none" w:sz="0" w:space="0" w:color="auto"/>
          </w:divBdr>
        </w:div>
        <w:div w:id="1049918401">
          <w:marLeft w:val="446"/>
          <w:marRight w:val="0"/>
          <w:marTop w:val="0"/>
          <w:marBottom w:val="0"/>
          <w:divBdr>
            <w:top w:val="none" w:sz="0" w:space="0" w:color="auto"/>
            <w:left w:val="none" w:sz="0" w:space="0" w:color="auto"/>
            <w:bottom w:val="none" w:sz="0" w:space="0" w:color="auto"/>
            <w:right w:val="none" w:sz="0" w:space="0" w:color="auto"/>
          </w:divBdr>
        </w:div>
        <w:div w:id="282425501">
          <w:marLeft w:val="446"/>
          <w:marRight w:val="0"/>
          <w:marTop w:val="0"/>
          <w:marBottom w:val="0"/>
          <w:divBdr>
            <w:top w:val="none" w:sz="0" w:space="0" w:color="auto"/>
            <w:left w:val="none" w:sz="0" w:space="0" w:color="auto"/>
            <w:bottom w:val="none" w:sz="0" w:space="0" w:color="auto"/>
            <w:right w:val="none" w:sz="0" w:space="0" w:color="auto"/>
          </w:divBdr>
        </w:div>
        <w:div w:id="1205556186">
          <w:marLeft w:val="360"/>
          <w:marRight w:val="0"/>
          <w:marTop w:val="0"/>
          <w:marBottom w:val="0"/>
          <w:divBdr>
            <w:top w:val="none" w:sz="0" w:space="0" w:color="auto"/>
            <w:left w:val="none" w:sz="0" w:space="0" w:color="auto"/>
            <w:bottom w:val="none" w:sz="0" w:space="0" w:color="auto"/>
            <w:right w:val="none" w:sz="0" w:space="0" w:color="auto"/>
          </w:divBdr>
        </w:div>
        <w:div w:id="2037806447">
          <w:marLeft w:val="360"/>
          <w:marRight w:val="0"/>
          <w:marTop w:val="0"/>
          <w:marBottom w:val="0"/>
          <w:divBdr>
            <w:top w:val="none" w:sz="0" w:space="0" w:color="auto"/>
            <w:left w:val="none" w:sz="0" w:space="0" w:color="auto"/>
            <w:bottom w:val="none" w:sz="0" w:space="0" w:color="auto"/>
            <w:right w:val="none" w:sz="0" w:space="0" w:color="auto"/>
          </w:divBdr>
        </w:div>
        <w:div w:id="99375093">
          <w:marLeft w:val="360"/>
          <w:marRight w:val="0"/>
          <w:marTop w:val="0"/>
          <w:marBottom w:val="0"/>
          <w:divBdr>
            <w:top w:val="none" w:sz="0" w:space="0" w:color="auto"/>
            <w:left w:val="none" w:sz="0" w:space="0" w:color="auto"/>
            <w:bottom w:val="none" w:sz="0" w:space="0" w:color="auto"/>
            <w:right w:val="none" w:sz="0" w:space="0" w:color="auto"/>
          </w:divBdr>
        </w:div>
      </w:divsChild>
    </w:div>
    <w:div w:id="1937471716">
      <w:bodyDiv w:val="1"/>
      <w:marLeft w:val="0"/>
      <w:marRight w:val="0"/>
      <w:marTop w:val="0"/>
      <w:marBottom w:val="0"/>
      <w:divBdr>
        <w:top w:val="none" w:sz="0" w:space="0" w:color="auto"/>
        <w:left w:val="none" w:sz="0" w:space="0" w:color="auto"/>
        <w:bottom w:val="none" w:sz="0" w:space="0" w:color="auto"/>
        <w:right w:val="none" w:sz="0" w:space="0" w:color="auto"/>
      </w:divBdr>
    </w:div>
    <w:div w:id="2043284429">
      <w:bodyDiv w:val="1"/>
      <w:marLeft w:val="0"/>
      <w:marRight w:val="0"/>
      <w:marTop w:val="0"/>
      <w:marBottom w:val="0"/>
      <w:divBdr>
        <w:top w:val="none" w:sz="0" w:space="0" w:color="auto"/>
        <w:left w:val="none" w:sz="0" w:space="0" w:color="auto"/>
        <w:bottom w:val="none" w:sz="0" w:space="0" w:color="auto"/>
        <w:right w:val="none" w:sz="0" w:space="0" w:color="auto"/>
      </w:divBdr>
    </w:div>
    <w:div w:id="214172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more/scientific-brief-options-to-reduce-quarantine.html" TargetMode="External"/><Relationship Id="rId5" Type="http://schemas.openxmlformats.org/officeDocument/2006/relationships/webSettings" Target="webSettings.xml"/><Relationship Id="rId10" Type="http://schemas.openxmlformats.org/officeDocument/2006/relationships/hyperlink" Target="https://www.cdc.gov/coronavirus/2019-ncov/symptoms-testing/symptoms.html" TargetMode="External"/><Relationship Id="rId4" Type="http://schemas.openxmlformats.org/officeDocument/2006/relationships/settings" Target="settings.xml"/><Relationship Id="rId9" Type="http://schemas.openxmlformats.org/officeDocument/2006/relationships/hyperlink" Target="https://www.cisa.gov/sites/default/files/publications/Version_3.0_CISA_Guidance_on_Essential_Critical_Infrastructure_Workers_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isa.gov/sites/default/files/publications/Version_3.0_CISA_Guidance_on_Essential_Critical_Infrastructure_Workers_1.pdf" TargetMode="External"/><Relationship Id="rId1" Type="http://schemas.openxmlformats.org/officeDocument/2006/relationships/hyperlink" Target="https://www.cdc.gov/coronavirus/2019-ncov/community/critical-infrastructure-sect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CAE30-CD88-4674-8EBE-2CCC4DE8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DPH</dc:creator>
  <cp:lastModifiedBy>Ferguson, Jana (DPH)</cp:lastModifiedBy>
  <cp:revision>2</cp:revision>
  <cp:lastPrinted>2020-05-05T15:31:00Z</cp:lastPrinted>
  <dcterms:created xsi:type="dcterms:W3CDTF">2020-12-07T16:45:00Z</dcterms:created>
  <dcterms:modified xsi:type="dcterms:W3CDTF">2020-12-07T16:45:00Z</dcterms:modified>
</cp:coreProperties>
</file>