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8C418" w14:textId="77777777" w:rsidR="003475EE" w:rsidRDefault="00B101C8" w:rsidP="00C10DCB">
      <w:pPr>
        <w:pStyle w:val="Heading1"/>
      </w:pPr>
      <w:r>
        <w:rPr>
          <w:noProof/>
        </w:rPr>
        <w:pict w14:anchorId="04747DF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68pt;height:9in;z-index:251657728;mso-position-horizontal:center;mso-position-horizontal-relative:page;mso-position-vertical:center;mso-position-vertical-relative:page" filled="f">
            <v:textbox>
              <w:txbxContent>
                <w:p w14:paraId="278AAE9C" w14:textId="77777777" w:rsidR="00A65091" w:rsidRDefault="00A65091" w:rsidP="00705149">
                  <w:pPr>
                    <w:jc w:val="center"/>
                    <w:rPr>
                      <w:b/>
                    </w:rPr>
                  </w:pPr>
                </w:p>
                <w:p w14:paraId="0E595B29" w14:textId="77777777" w:rsidR="00A65091" w:rsidRDefault="00A65091" w:rsidP="00705149">
                  <w:pPr>
                    <w:jc w:val="center"/>
                    <w:rPr>
                      <w:b/>
                    </w:rPr>
                  </w:pPr>
                </w:p>
                <w:p w14:paraId="150AE81F" w14:textId="77777777" w:rsidR="00A65091" w:rsidRPr="00705149" w:rsidRDefault="00A65091" w:rsidP="00705149">
                  <w:pPr>
                    <w:jc w:val="center"/>
                    <w:rPr>
                      <w:b/>
                      <w:sz w:val="40"/>
                    </w:rPr>
                  </w:pPr>
                  <w:r w:rsidRPr="00705149">
                    <w:rPr>
                      <w:b/>
                      <w:sz w:val="40"/>
                    </w:rPr>
                    <w:t>INDOOR AIR QUALITY</w:t>
                  </w:r>
                </w:p>
                <w:p w14:paraId="5E77B7E4" w14:textId="77777777" w:rsidR="00A65091" w:rsidRPr="00705149" w:rsidRDefault="00A65091" w:rsidP="00705149">
                  <w:pPr>
                    <w:jc w:val="center"/>
                    <w:rPr>
                      <w:b/>
                      <w:sz w:val="40"/>
                    </w:rPr>
                  </w:pPr>
                  <w:r w:rsidRPr="00705149">
                    <w:rPr>
                      <w:b/>
                      <w:sz w:val="40"/>
                    </w:rPr>
                    <w:t>PRE-</w:t>
                  </w:r>
                  <w:r>
                    <w:rPr>
                      <w:b/>
                      <w:sz w:val="40"/>
                    </w:rPr>
                    <w:t>OCCUPANCY</w:t>
                  </w:r>
                  <w:r w:rsidRPr="00705149">
                    <w:rPr>
                      <w:b/>
                      <w:sz w:val="40"/>
                    </w:rPr>
                    <w:t xml:space="preserve"> ASSESSMENT</w:t>
                  </w:r>
                </w:p>
                <w:p w14:paraId="31D67C5F" w14:textId="77777777" w:rsidR="00A65091" w:rsidRPr="00705149" w:rsidRDefault="00A65091" w:rsidP="00705149">
                  <w:pPr>
                    <w:jc w:val="center"/>
                    <w:rPr>
                      <w:b/>
                    </w:rPr>
                  </w:pPr>
                </w:p>
                <w:p w14:paraId="0C6E1A7D" w14:textId="77777777" w:rsidR="00A65091" w:rsidRPr="00705149" w:rsidRDefault="00A65091" w:rsidP="00705149">
                  <w:pPr>
                    <w:jc w:val="center"/>
                    <w:rPr>
                      <w:b/>
                    </w:rPr>
                  </w:pPr>
                </w:p>
                <w:p w14:paraId="76FAD5F1" w14:textId="77777777" w:rsidR="00900A47" w:rsidRDefault="00A65091" w:rsidP="00880D57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Department of </w:t>
                  </w:r>
                  <w:r w:rsidR="00343FB3">
                    <w:rPr>
                      <w:b/>
                      <w:bCs/>
                      <w:sz w:val="28"/>
                    </w:rPr>
                    <w:t>Early Education and Care</w:t>
                  </w:r>
                </w:p>
                <w:p w14:paraId="0FEE8906" w14:textId="77777777" w:rsidR="00A65091" w:rsidRDefault="00900A47" w:rsidP="00880D57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Southeast </w:t>
                  </w:r>
                  <w:r w:rsidR="00343FB3">
                    <w:rPr>
                      <w:b/>
                      <w:bCs/>
                      <w:sz w:val="28"/>
                    </w:rPr>
                    <w:t xml:space="preserve">and Cape </w:t>
                  </w:r>
                  <w:r>
                    <w:rPr>
                      <w:b/>
                      <w:bCs/>
                      <w:sz w:val="28"/>
                    </w:rPr>
                    <w:t>Regional Office</w:t>
                  </w:r>
                </w:p>
                <w:p w14:paraId="4D0B5211" w14:textId="77777777" w:rsidR="00A65091" w:rsidRDefault="00343FB3" w:rsidP="00705149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100 Myles Standish Boulevard</w:t>
                  </w:r>
                </w:p>
                <w:p w14:paraId="46583A6E" w14:textId="77777777" w:rsidR="00A65091" w:rsidRPr="00705149" w:rsidRDefault="00343FB3" w:rsidP="00705149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Taunton</w:t>
                  </w:r>
                  <w:r w:rsidR="00A65091">
                    <w:rPr>
                      <w:b/>
                      <w:bCs/>
                      <w:sz w:val="28"/>
                    </w:rPr>
                    <w:t xml:space="preserve">, </w:t>
                  </w:r>
                  <w:r w:rsidR="00A65091" w:rsidRPr="00705149">
                    <w:rPr>
                      <w:b/>
                      <w:bCs/>
                      <w:sz w:val="28"/>
                    </w:rPr>
                    <w:t>Massachusetts</w:t>
                  </w:r>
                </w:p>
                <w:p w14:paraId="41C66926" w14:textId="77777777" w:rsidR="00A65091" w:rsidRPr="00705149" w:rsidRDefault="00A65091" w:rsidP="00705149">
                  <w:pPr>
                    <w:jc w:val="center"/>
                    <w:rPr>
                      <w:b/>
                      <w:bCs/>
                    </w:rPr>
                  </w:pPr>
                </w:p>
                <w:p w14:paraId="73BCB2D0" w14:textId="77777777" w:rsidR="00A65091" w:rsidRDefault="00A65091" w:rsidP="00705149">
                  <w:pPr>
                    <w:jc w:val="center"/>
                    <w:rPr>
                      <w:b/>
                      <w:bCs/>
                    </w:rPr>
                  </w:pPr>
                </w:p>
                <w:p w14:paraId="2924D7DD" w14:textId="77777777" w:rsidR="00A65091" w:rsidRDefault="00A65091" w:rsidP="00705149">
                  <w:pPr>
                    <w:jc w:val="center"/>
                    <w:rPr>
                      <w:b/>
                      <w:bCs/>
                    </w:rPr>
                  </w:pPr>
                </w:p>
                <w:p w14:paraId="057A0E55" w14:textId="77777777" w:rsidR="003B2E6E" w:rsidRDefault="003B2E6E" w:rsidP="00705149">
                  <w:pPr>
                    <w:jc w:val="center"/>
                    <w:rPr>
                      <w:b/>
                      <w:bCs/>
                    </w:rPr>
                  </w:pPr>
                </w:p>
                <w:p w14:paraId="36848C93" w14:textId="77777777" w:rsidR="00A65091" w:rsidRPr="00705149" w:rsidRDefault="00A65091" w:rsidP="00705149">
                  <w:pPr>
                    <w:jc w:val="center"/>
                    <w:rPr>
                      <w:b/>
                    </w:rPr>
                  </w:pPr>
                </w:p>
                <w:p w14:paraId="1611B800" w14:textId="77777777" w:rsidR="00A65091" w:rsidRPr="00705149" w:rsidRDefault="00BA4CF1" w:rsidP="00705149">
                  <w:pPr>
                    <w:jc w:val="center"/>
                    <w:rPr>
                      <w:b/>
                    </w:rPr>
                  </w:pPr>
                  <w:r w:rsidRPr="00BA4CF1">
                    <w:rPr>
                      <w:b/>
                    </w:rPr>
                    <w:pict w14:anchorId="3089871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Department of Early Education and Care&#10;Southeast and Cape Regional Office&#10;100 Myles Standish Boulevard&#10;Taunton, Massachusetts&#10;" style="width:317pt;height:237.5pt">
                        <v:imagedata r:id="rId7" o:title="IMG_6377"/>
                      </v:shape>
                    </w:pict>
                  </w:r>
                </w:p>
                <w:p w14:paraId="40CC8E40" w14:textId="77777777" w:rsidR="00A65091" w:rsidRPr="00B057CE" w:rsidRDefault="00A65091" w:rsidP="00705149">
                  <w:pPr>
                    <w:jc w:val="center"/>
                  </w:pPr>
                </w:p>
                <w:p w14:paraId="0279F436" w14:textId="77777777" w:rsidR="00A65091" w:rsidRDefault="00A65091" w:rsidP="00705149">
                  <w:pPr>
                    <w:jc w:val="center"/>
                    <w:rPr>
                      <w:b/>
                    </w:rPr>
                  </w:pPr>
                </w:p>
                <w:p w14:paraId="1B9A6F9F" w14:textId="77777777" w:rsidR="00A65091" w:rsidRDefault="00A65091" w:rsidP="00705149">
                  <w:pPr>
                    <w:jc w:val="center"/>
                    <w:rPr>
                      <w:b/>
                    </w:rPr>
                  </w:pPr>
                </w:p>
                <w:p w14:paraId="0EB8DC7E" w14:textId="77777777" w:rsidR="00A65091" w:rsidRDefault="00A65091" w:rsidP="00705149">
                  <w:pPr>
                    <w:jc w:val="center"/>
                    <w:rPr>
                      <w:b/>
                    </w:rPr>
                  </w:pPr>
                </w:p>
                <w:p w14:paraId="64EF7AF4" w14:textId="77777777" w:rsidR="00A65091" w:rsidRPr="00705149" w:rsidRDefault="00A65091" w:rsidP="00705149">
                  <w:pPr>
                    <w:jc w:val="center"/>
                  </w:pPr>
                </w:p>
                <w:p w14:paraId="524CD0C9" w14:textId="77777777" w:rsidR="00A65091" w:rsidRPr="00705149" w:rsidRDefault="00A65091" w:rsidP="00705149">
                  <w:pPr>
                    <w:jc w:val="center"/>
                  </w:pPr>
                  <w:r w:rsidRPr="00705149">
                    <w:t>Prepared by:</w:t>
                  </w:r>
                </w:p>
                <w:p w14:paraId="67F2894E" w14:textId="77777777" w:rsidR="00A65091" w:rsidRPr="00705149" w:rsidRDefault="00A65091" w:rsidP="00705149">
                  <w:pPr>
                    <w:jc w:val="center"/>
                  </w:pPr>
                  <w:r w:rsidRPr="00705149">
                    <w:t>Massachusetts Department of Public Health</w:t>
                  </w:r>
                </w:p>
                <w:p w14:paraId="5E8A70D1" w14:textId="77777777" w:rsidR="00A65091" w:rsidRPr="00705149" w:rsidRDefault="00A65091" w:rsidP="00705149">
                  <w:pPr>
                    <w:jc w:val="center"/>
                  </w:pPr>
                  <w:r w:rsidRPr="00705149">
                    <w:t>Bureau of Environmental Health</w:t>
                  </w:r>
                </w:p>
                <w:p w14:paraId="0016E8F5" w14:textId="77777777" w:rsidR="00A65091" w:rsidRPr="00705149" w:rsidRDefault="00A65091" w:rsidP="00705149">
                  <w:pPr>
                    <w:jc w:val="center"/>
                  </w:pPr>
                  <w:r w:rsidRPr="00705149">
                    <w:t>Indoor Air Quality Program</w:t>
                  </w:r>
                </w:p>
                <w:p w14:paraId="09F3A91E" w14:textId="77777777" w:rsidR="00A65091" w:rsidRPr="00705149" w:rsidRDefault="00D91452" w:rsidP="00705149">
                  <w:pPr>
                    <w:jc w:val="center"/>
                  </w:pPr>
                  <w:r>
                    <w:t>October</w:t>
                  </w:r>
                  <w:r w:rsidR="00086798">
                    <w:t xml:space="preserve"> 2021</w:t>
                  </w:r>
                </w:p>
              </w:txbxContent>
            </v:textbox>
            <w10:wrap type="topAndBottom" anchorx="page" anchory="page"/>
          </v:shape>
        </w:pict>
      </w:r>
      <w:r w:rsidR="003475EE" w:rsidRPr="009B41B1">
        <w:br w:type="page"/>
      </w:r>
      <w:r w:rsidR="003475EE" w:rsidRPr="009B41B1">
        <w:lastRenderedPageBreak/>
        <w:t>Background</w:t>
      </w:r>
    </w:p>
    <w:tbl>
      <w:tblPr>
        <w:tblW w:w="9738" w:type="dxa"/>
        <w:tblInd w:w="25" w:type="dxa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5058"/>
      </w:tblGrid>
      <w:tr w:rsidR="00D302D3" w:rsidRPr="000730C4" w14:paraId="0C55FA13" w14:textId="77777777" w:rsidTr="000730C4">
        <w:tc>
          <w:tcPr>
            <w:tcW w:w="4680" w:type="dxa"/>
            <w:shd w:val="clear" w:color="auto" w:fill="auto"/>
            <w:vAlign w:val="center"/>
          </w:tcPr>
          <w:p w14:paraId="646790FA" w14:textId="77777777" w:rsidR="00D302D3" w:rsidRPr="0004785C" w:rsidRDefault="00D302D3" w:rsidP="00333D48">
            <w:pPr>
              <w:pStyle w:val="BackgroundTable"/>
            </w:pPr>
            <w:r w:rsidRPr="0004785C">
              <w:t>Building:</w:t>
            </w:r>
          </w:p>
        </w:tc>
        <w:tc>
          <w:tcPr>
            <w:tcW w:w="5058" w:type="dxa"/>
            <w:shd w:val="clear" w:color="auto" w:fill="auto"/>
            <w:vAlign w:val="center"/>
          </w:tcPr>
          <w:p w14:paraId="7431B2DD" w14:textId="77777777" w:rsidR="00086798" w:rsidRPr="00086798" w:rsidRDefault="00086798" w:rsidP="00086798">
            <w:pPr>
              <w:pStyle w:val="BackgroundInfo"/>
              <w:rPr>
                <w:bCs/>
                <w:szCs w:val="24"/>
              </w:rPr>
            </w:pPr>
            <w:r w:rsidRPr="00086798">
              <w:rPr>
                <w:bCs/>
                <w:szCs w:val="24"/>
              </w:rPr>
              <w:t>Department of Early Education and Care</w:t>
            </w:r>
            <w:r w:rsidR="00C17DD7">
              <w:rPr>
                <w:bCs/>
                <w:szCs w:val="24"/>
              </w:rPr>
              <w:t xml:space="preserve"> (EEC)</w:t>
            </w:r>
          </w:p>
          <w:p w14:paraId="31A7C5A4" w14:textId="77777777" w:rsidR="00D302D3" w:rsidRPr="000730C4" w:rsidRDefault="00086798" w:rsidP="00086798">
            <w:pPr>
              <w:pStyle w:val="BackgroundInfo"/>
              <w:rPr>
                <w:bCs/>
                <w:szCs w:val="24"/>
              </w:rPr>
            </w:pPr>
            <w:r w:rsidRPr="00086798">
              <w:rPr>
                <w:bCs/>
                <w:szCs w:val="24"/>
              </w:rPr>
              <w:t>Southeast and Cape Regional Office</w:t>
            </w:r>
          </w:p>
        </w:tc>
      </w:tr>
      <w:tr w:rsidR="00D302D3" w:rsidRPr="000730C4" w14:paraId="565545CD" w14:textId="77777777" w:rsidTr="000730C4">
        <w:tc>
          <w:tcPr>
            <w:tcW w:w="4680" w:type="dxa"/>
            <w:shd w:val="clear" w:color="auto" w:fill="auto"/>
            <w:vAlign w:val="center"/>
          </w:tcPr>
          <w:p w14:paraId="5967680B" w14:textId="77777777" w:rsidR="00D302D3" w:rsidRPr="0004785C" w:rsidRDefault="00D302D3" w:rsidP="00333D48">
            <w:pPr>
              <w:pStyle w:val="BackgroundTable"/>
            </w:pPr>
            <w:r w:rsidRPr="0004785C">
              <w:t>Address:</w:t>
            </w:r>
          </w:p>
        </w:tc>
        <w:tc>
          <w:tcPr>
            <w:tcW w:w="5058" w:type="dxa"/>
            <w:shd w:val="clear" w:color="auto" w:fill="auto"/>
            <w:vAlign w:val="center"/>
          </w:tcPr>
          <w:p w14:paraId="6F0F5039" w14:textId="77777777" w:rsidR="00086798" w:rsidRDefault="00086798" w:rsidP="00086798">
            <w:pPr>
              <w:pStyle w:val="BackgroundInfo"/>
            </w:pPr>
            <w:r>
              <w:t>100 Myles Standish Boulevard</w:t>
            </w:r>
          </w:p>
          <w:p w14:paraId="39859FEE" w14:textId="77777777" w:rsidR="00D302D3" w:rsidRPr="00B63969" w:rsidRDefault="00086798" w:rsidP="00086798">
            <w:pPr>
              <w:pStyle w:val="BackgroundInfo"/>
            </w:pPr>
            <w:r>
              <w:t>Taunton, Massachusetts</w:t>
            </w:r>
          </w:p>
        </w:tc>
      </w:tr>
      <w:tr w:rsidR="00D302D3" w:rsidRPr="000730C4" w14:paraId="440C840C" w14:textId="77777777" w:rsidTr="000730C4">
        <w:tc>
          <w:tcPr>
            <w:tcW w:w="4680" w:type="dxa"/>
            <w:shd w:val="clear" w:color="auto" w:fill="auto"/>
            <w:vAlign w:val="center"/>
          </w:tcPr>
          <w:p w14:paraId="2063A93C" w14:textId="77777777" w:rsidR="00D302D3" w:rsidRPr="0004785C" w:rsidRDefault="00D302D3" w:rsidP="00333D48">
            <w:pPr>
              <w:pStyle w:val="BackgroundTable"/>
            </w:pPr>
            <w:r w:rsidRPr="0004785C">
              <w:t>DCAM</w:t>
            </w:r>
            <w:r w:rsidR="00A65091">
              <w:t>M</w:t>
            </w:r>
            <w:r w:rsidRPr="0004785C">
              <w:t xml:space="preserve"> Project Manager:</w:t>
            </w:r>
          </w:p>
        </w:tc>
        <w:tc>
          <w:tcPr>
            <w:tcW w:w="5058" w:type="dxa"/>
            <w:shd w:val="clear" w:color="auto" w:fill="auto"/>
            <w:vAlign w:val="center"/>
          </w:tcPr>
          <w:p w14:paraId="2A601B85" w14:textId="77777777" w:rsidR="00D302D3" w:rsidRPr="0004785C" w:rsidRDefault="00086798" w:rsidP="00333D48">
            <w:pPr>
              <w:pStyle w:val="BackgroundInfo"/>
            </w:pPr>
            <w:r>
              <w:t xml:space="preserve">Paul </w:t>
            </w:r>
            <w:r w:rsidR="0038489B">
              <w:t xml:space="preserve">J. </w:t>
            </w:r>
            <w:r>
              <w:t>Burke</w:t>
            </w:r>
          </w:p>
        </w:tc>
      </w:tr>
      <w:tr w:rsidR="00D302D3" w:rsidRPr="000730C4" w14:paraId="2D778BAD" w14:textId="77777777" w:rsidTr="000730C4">
        <w:tc>
          <w:tcPr>
            <w:tcW w:w="4680" w:type="dxa"/>
            <w:shd w:val="clear" w:color="auto" w:fill="auto"/>
            <w:vAlign w:val="center"/>
          </w:tcPr>
          <w:p w14:paraId="2F32AC2F" w14:textId="77777777" w:rsidR="00D302D3" w:rsidRPr="0004785C" w:rsidRDefault="00D302D3" w:rsidP="00333D48">
            <w:pPr>
              <w:pStyle w:val="BackgroundTable"/>
            </w:pPr>
            <w:r w:rsidRPr="0004785C">
              <w:t>Date of Pre-Occupancy Assessment:</w:t>
            </w:r>
          </w:p>
        </w:tc>
        <w:tc>
          <w:tcPr>
            <w:tcW w:w="5058" w:type="dxa"/>
            <w:shd w:val="clear" w:color="auto" w:fill="auto"/>
            <w:vAlign w:val="center"/>
          </w:tcPr>
          <w:p w14:paraId="46044929" w14:textId="77777777" w:rsidR="00D302D3" w:rsidRPr="0004785C" w:rsidRDefault="00086798" w:rsidP="00333D48">
            <w:pPr>
              <w:pStyle w:val="BackgroundInfo"/>
            </w:pPr>
            <w:r>
              <w:t>August 26, 2021</w:t>
            </w:r>
          </w:p>
        </w:tc>
      </w:tr>
      <w:tr w:rsidR="00D302D3" w:rsidRPr="000730C4" w14:paraId="59FAE3C4" w14:textId="77777777" w:rsidTr="000730C4">
        <w:tc>
          <w:tcPr>
            <w:tcW w:w="4680" w:type="dxa"/>
            <w:shd w:val="clear" w:color="auto" w:fill="auto"/>
            <w:vAlign w:val="center"/>
          </w:tcPr>
          <w:p w14:paraId="5E364742" w14:textId="77777777" w:rsidR="00D302D3" w:rsidRPr="0004785C" w:rsidRDefault="00D302D3" w:rsidP="00333D48">
            <w:pPr>
              <w:pStyle w:val="BackgroundTable"/>
            </w:pPr>
            <w:r w:rsidRPr="0004785C">
              <w:t>BEH</w:t>
            </w:r>
            <w:r>
              <w:t>/IAQ</w:t>
            </w:r>
            <w:r w:rsidRPr="0004785C">
              <w:t xml:space="preserve"> Staff Conducting Assessment:</w:t>
            </w:r>
          </w:p>
        </w:tc>
        <w:tc>
          <w:tcPr>
            <w:tcW w:w="5058" w:type="dxa"/>
            <w:shd w:val="clear" w:color="auto" w:fill="auto"/>
            <w:vAlign w:val="center"/>
          </w:tcPr>
          <w:p w14:paraId="63589FE4" w14:textId="77777777" w:rsidR="00D302D3" w:rsidRPr="0004785C" w:rsidRDefault="00880D57" w:rsidP="00333D48">
            <w:pPr>
              <w:pStyle w:val="BackgroundInfo"/>
            </w:pPr>
            <w:r>
              <w:t>Cory Holmes</w:t>
            </w:r>
            <w:r w:rsidR="002D0620">
              <w:t>, Assistant Director, Indoor Air Quality (IAQ) Program</w:t>
            </w:r>
          </w:p>
        </w:tc>
      </w:tr>
      <w:tr w:rsidR="00D302D3" w:rsidRPr="000730C4" w14:paraId="6ECB35FA" w14:textId="77777777" w:rsidTr="000730C4">
        <w:tc>
          <w:tcPr>
            <w:tcW w:w="4680" w:type="dxa"/>
            <w:shd w:val="clear" w:color="auto" w:fill="auto"/>
            <w:vAlign w:val="center"/>
          </w:tcPr>
          <w:p w14:paraId="0900AC4D" w14:textId="77777777" w:rsidR="00D302D3" w:rsidRPr="0004785C" w:rsidRDefault="00D302D3" w:rsidP="00333D48">
            <w:pPr>
              <w:pStyle w:val="BackgroundTable"/>
            </w:pPr>
            <w:r w:rsidRPr="0004785C">
              <w:t>Date of Buil</w:t>
            </w:r>
            <w:r>
              <w:t>ding Construction:</w:t>
            </w:r>
          </w:p>
        </w:tc>
        <w:tc>
          <w:tcPr>
            <w:tcW w:w="5058" w:type="dxa"/>
            <w:shd w:val="clear" w:color="auto" w:fill="auto"/>
            <w:vAlign w:val="center"/>
          </w:tcPr>
          <w:p w14:paraId="79DEAE22" w14:textId="77777777" w:rsidR="00D302D3" w:rsidRPr="000730C4" w:rsidRDefault="00910BC6" w:rsidP="00086798">
            <w:pPr>
              <w:pStyle w:val="BackgroundInfo"/>
              <w:rPr>
                <w:szCs w:val="24"/>
              </w:rPr>
            </w:pPr>
            <w:r>
              <w:rPr>
                <w:szCs w:val="24"/>
              </w:rPr>
              <w:t>198</w:t>
            </w:r>
            <w:r w:rsidR="00086798">
              <w:rPr>
                <w:szCs w:val="24"/>
              </w:rPr>
              <w:t>7</w:t>
            </w:r>
          </w:p>
        </w:tc>
      </w:tr>
      <w:tr w:rsidR="00D302D3" w:rsidRPr="000409A9" w14:paraId="5F116E2A" w14:textId="77777777" w:rsidTr="00FE3D99">
        <w:trPr>
          <w:trHeight w:val="515"/>
        </w:trPr>
        <w:tc>
          <w:tcPr>
            <w:tcW w:w="9738" w:type="dxa"/>
            <w:gridSpan w:val="2"/>
            <w:shd w:val="clear" w:color="auto" w:fill="auto"/>
            <w:vAlign w:val="center"/>
          </w:tcPr>
          <w:p w14:paraId="04E299C1" w14:textId="77777777" w:rsidR="00D302D3" w:rsidRPr="00FA660D" w:rsidRDefault="00D302D3" w:rsidP="000730C4">
            <w:pPr>
              <w:pStyle w:val="BackgroundTable"/>
              <w:spacing w:line="480" w:lineRule="auto"/>
            </w:pPr>
            <w:r w:rsidRPr="00FA660D">
              <w:t xml:space="preserve">Proposed </w:t>
            </w:r>
            <w:r w:rsidR="00AE6215" w:rsidRPr="00FA660D">
              <w:t>U</w:t>
            </w:r>
            <w:r w:rsidRPr="00FA660D">
              <w:t>se of Building:</w:t>
            </w:r>
          </w:p>
          <w:p w14:paraId="0431442E" w14:textId="77777777" w:rsidR="00D302D3" w:rsidRPr="000409A9" w:rsidRDefault="00D302D3" w:rsidP="0052148B">
            <w:pPr>
              <w:pStyle w:val="BodyText"/>
            </w:pPr>
            <w:r w:rsidRPr="000409A9">
              <w:t xml:space="preserve">The space assessed is to be used as </w:t>
            </w:r>
            <w:r w:rsidR="00CE7DE3" w:rsidRPr="000409A9">
              <w:t xml:space="preserve">the </w:t>
            </w:r>
            <w:r w:rsidR="00086798">
              <w:t xml:space="preserve">EEC </w:t>
            </w:r>
            <w:r w:rsidR="00910BC6">
              <w:t xml:space="preserve">southeast </w:t>
            </w:r>
            <w:r w:rsidR="00086798">
              <w:t xml:space="preserve">and cape </w:t>
            </w:r>
            <w:r w:rsidR="00910BC6">
              <w:t>regional office</w:t>
            </w:r>
            <w:r w:rsidR="00CE7DE3" w:rsidRPr="000409A9">
              <w:t>.</w:t>
            </w:r>
            <w:r w:rsidRPr="000409A9">
              <w:t xml:space="preserve"> </w:t>
            </w:r>
            <w:r w:rsidR="000822A5" w:rsidRPr="000409A9">
              <w:t xml:space="preserve">At the time of the assessment, </w:t>
            </w:r>
            <w:r w:rsidR="000A6FF5">
              <w:t>it</w:t>
            </w:r>
            <w:r w:rsidR="000822A5" w:rsidRPr="000409A9">
              <w:t xml:space="preserve"> had undergone</w:t>
            </w:r>
            <w:r w:rsidR="004F6DFF" w:rsidRPr="000409A9">
              <w:t xml:space="preserve"> complete </w:t>
            </w:r>
            <w:r w:rsidR="000822A5" w:rsidRPr="000409A9">
              <w:t>renovations</w:t>
            </w:r>
            <w:r w:rsidR="004F6DFF" w:rsidRPr="000409A9">
              <w:t xml:space="preserve">, </w:t>
            </w:r>
            <w:r w:rsidR="00BB1A3B" w:rsidRPr="000409A9">
              <w:t>including</w:t>
            </w:r>
            <w:r w:rsidRPr="000409A9">
              <w:t xml:space="preserve"> </w:t>
            </w:r>
            <w:r w:rsidR="004F6DFF" w:rsidRPr="000409A9">
              <w:t xml:space="preserve">interior </w:t>
            </w:r>
            <w:r w:rsidRPr="000409A9">
              <w:t>walls</w:t>
            </w:r>
            <w:r w:rsidR="000822A5" w:rsidRPr="000409A9">
              <w:t>/paint</w:t>
            </w:r>
            <w:r w:rsidRPr="000409A9">
              <w:t xml:space="preserve">, </w:t>
            </w:r>
            <w:r w:rsidR="004F6DFF" w:rsidRPr="000409A9">
              <w:t>dropped ceiling</w:t>
            </w:r>
            <w:r w:rsidR="001F4F16">
              <w:t xml:space="preserve"> tile </w:t>
            </w:r>
            <w:r w:rsidR="004F6DFF" w:rsidRPr="000409A9">
              <w:t>s</w:t>
            </w:r>
            <w:r w:rsidR="001F4F16">
              <w:t>ystems</w:t>
            </w:r>
            <w:r w:rsidR="004F6DFF" w:rsidRPr="000409A9">
              <w:t xml:space="preserve">, </w:t>
            </w:r>
            <w:r w:rsidRPr="000409A9">
              <w:t>floor</w:t>
            </w:r>
            <w:r w:rsidR="000A6FF5">
              <w:t>s</w:t>
            </w:r>
            <w:r w:rsidR="001F4F16">
              <w:t xml:space="preserve"> (carpet squares and vinyl tile)</w:t>
            </w:r>
            <w:r w:rsidRPr="000409A9">
              <w:t>, ap</w:t>
            </w:r>
            <w:r w:rsidR="004F6DFF" w:rsidRPr="000409A9">
              <w:t xml:space="preserve">pliances </w:t>
            </w:r>
            <w:r w:rsidR="001966EF" w:rsidRPr="000409A9">
              <w:t>and heating, ventilating and</w:t>
            </w:r>
            <w:r w:rsidR="00CC66F3">
              <w:t xml:space="preserve"> air conditioning (HVAC) system</w:t>
            </w:r>
            <w:r w:rsidRPr="000409A9">
              <w:t>.</w:t>
            </w:r>
            <w:r w:rsidR="00CC66F3">
              <w:t xml:space="preserve"> The new HVAC system</w:t>
            </w:r>
            <w:r w:rsidR="004F6DFF" w:rsidRPr="000409A9">
              <w:t xml:space="preserve"> consist</w:t>
            </w:r>
            <w:r w:rsidR="00CC66F3">
              <w:t>s</w:t>
            </w:r>
            <w:r w:rsidR="004F6DFF" w:rsidRPr="000409A9">
              <w:t xml:space="preserve"> of </w:t>
            </w:r>
            <w:r w:rsidR="000822A5" w:rsidRPr="000409A9">
              <w:t xml:space="preserve">rooftop </w:t>
            </w:r>
            <w:r w:rsidR="004F6DFF" w:rsidRPr="000409A9">
              <w:t>air handling units (AHUs)</w:t>
            </w:r>
            <w:r w:rsidR="00B129AB" w:rsidRPr="000409A9">
              <w:t>,</w:t>
            </w:r>
            <w:r w:rsidR="004F6DFF" w:rsidRPr="000409A9">
              <w:t xml:space="preserve"> which draw air from </w:t>
            </w:r>
            <w:r w:rsidR="000A6FF5">
              <w:t>intakes</w:t>
            </w:r>
            <w:r w:rsidR="004F6DFF" w:rsidRPr="000409A9">
              <w:t xml:space="preserve"> on the roof</w:t>
            </w:r>
            <w:r w:rsidR="006B63DF" w:rsidRPr="000409A9">
              <w:t xml:space="preserve"> into a direct-</w:t>
            </w:r>
            <w:r w:rsidR="004F6DFF" w:rsidRPr="000409A9">
              <w:t>ducted supply system</w:t>
            </w:r>
            <w:r w:rsidR="00910BC6" w:rsidRPr="00CC66F3">
              <w:t>.</w:t>
            </w:r>
            <w:r w:rsidR="006063C4" w:rsidRPr="000409A9">
              <w:t xml:space="preserve"> Windows </w:t>
            </w:r>
            <w:r w:rsidR="000822A5" w:rsidRPr="000409A9">
              <w:t>are</w:t>
            </w:r>
            <w:r w:rsidR="00261D64" w:rsidRPr="000409A9">
              <w:t xml:space="preserve"> not </w:t>
            </w:r>
            <w:r w:rsidR="006063C4" w:rsidRPr="000409A9">
              <w:t>openable</w:t>
            </w:r>
            <w:r w:rsidR="000822A5" w:rsidRPr="000409A9">
              <w:t xml:space="preserve"> within the space</w:t>
            </w:r>
            <w:r w:rsidR="006063C4" w:rsidRPr="000409A9">
              <w:t>.</w:t>
            </w:r>
          </w:p>
          <w:p w14:paraId="71113BA0" w14:textId="77777777" w:rsidR="000822A5" w:rsidRPr="00FA660D" w:rsidRDefault="00AE6215" w:rsidP="000730C4">
            <w:pPr>
              <w:pStyle w:val="BackgroundTable"/>
              <w:spacing w:line="480" w:lineRule="auto"/>
            </w:pPr>
            <w:r w:rsidRPr="00FA660D">
              <w:t>Prior U</w:t>
            </w:r>
            <w:r w:rsidR="000822A5" w:rsidRPr="00FA660D">
              <w:t>se of Building:</w:t>
            </w:r>
          </w:p>
          <w:p w14:paraId="3D295BB1" w14:textId="77777777" w:rsidR="006B63DF" w:rsidRPr="000409A9" w:rsidRDefault="004F6DFF" w:rsidP="006B63DF">
            <w:pPr>
              <w:pStyle w:val="BodyText"/>
            </w:pPr>
            <w:r w:rsidRPr="000409A9">
              <w:t xml:space="preserve">The building </w:t>
            </w:r>
            <w:r w:rsidR="00FA660D">
              <w:t>was</w:t>
            </w:r>
            <w:r w:rsidRPr="000409A9">
              <w:t xml:space="preserve"> </w:t>
            </w:r>
            <w:r w:rsidR="003A101B">
              <w:t xml:space="preserve">originally constructed as </w:t>
            </w:r>
            <w:r w:rsidR="00086798">
              <w:t>commercial office space</w:t>
            </w:r>
            <w:r w:rsidR="006E5D98">
              <w:t>.</w:t>
            </w:r>
          </w:p>
          <w:p w14:paraId="76AF64CC" w14:textId="77777777" w:rsidR="000822A5" w:rsidRPr="00FA660D" w:rsidRDefault="000822A5" w:rsidP="000730C4">
            <w:pPr>
              <w:pStyle w:val="BackgroundTable"/>
              <w:spacing w:line="480" w:lineRule="auto"/>
            </w:pPr>
            <w:r w:rsidRPr="00FA660D">
              <w:t>Surrounding Businesses/Activities:</w:t>
            </w:r>
          </w:p>
          <w:p w14:paraId="41BADB99" w14:textId="77777777" w:rsidR="0023308B" w:rsidRPr="000409A9" w:rsidRDefault="006E5D98" w:rsidP="000730C4">
            <w:pPr>
              <w:autoSpaceDE w:val="0"/>
              <w:autoSpaceDN w:val="0"/>
              <w:adjustRightInd w:val="0"/>
              <w:spacing w:line="480" w:lineRule="auto"/>
              <w:ind w:firstLine="695"/>
            </w:pPr>
            <w:r w:rsidRPr="006E5D98">
              <w:t>Industrial Park Setting (e.g., office buildings, manufacturing).</w:t>
            </w:r>
          </w:p>
          <w:p w14:paraId="38874F3B" w14:textId="77777777" w:rsidR="00D302D3" w:rsidRPr="00FA660D" w:rsidRDefault="00D302D3" w:rsidP="000730C4">
            <w:pPr>
              <w:pStyle w:val="BackgroundTable"/>
              <w:spacing w:line="480" w:lineRule="auto"/>
            </w:pPr>
            <w:r w:rsidRPr="00FA660D">
              <w:t>Previous Relevant Environmental History:</w:t>
            </w:r>
          </w:p>
          <w:p w14:paraId="39F74B52" w14:textId="77777777" w:rsidR="00FE3D99" w:rsidRPr="00FE3D99" w:rsidRDefault="00D302D3" w:rsidP="00FE3D99">
            <w:pPr>
              <w:pStyle w:val="BodyText"/>
            </w:pPr>
            <w:r w:rsidRPr="000409A9">
              <w:t xml:space="preserve">No </w:t>
            </w:r>
            <w:r w:rsidR="00930151" w:rsidRPr="000409A9">
              <w:t>current/active</w:t>
            </w:r>
            <w:r w:rsidR="00CB7FB1" w:rsidRPr="000409A9">
              <w:t xml:space="preserve"> or historic </w:t>
            </w:r>
            <w:r w:rsidR="002B52FA" w:rsidRPr="000409A9">
              <w:t>Massachusetts</w:t>
            </w:r>
            <w:r w:rsidRPr="000409A9">
              <w:t xml:space="preserve"> Contingency Plan </w:t>
            </w:r>
            <w:r w:rsidR="00CC0689" w:rsidRPr="000409A9">
              <w:t xml:space="preserve">(MCP) </w:t>
            </w:r>
            <w:r w:rsidR="001821EB" w:rsidRPr="000409A9">
              <w:t>projects</w:t>
            </w:r>
            <w:r w:rsidRPr="000409A9">
              <w:t xml:space="preserve"> for this building were found in the Mass</w:t>
            </w:r>
            <w:r w:rsidR="002B52FA" w:rsidRPr="000409A9">
              <w:t>achusetts</w:t>
            </w:r>
            <w:r w:rsidRPr="000409A9">
              <w:t xml:space="preserve"> Department of Environmental Protection </w:t>
            </w:r>
            <w:r w:rsidR="002B52FA" w:rsidRPr="000409A9">
              <w:t xml:space="preserve">(MDEP) </w:t>
            </w:r>
            <w:r w:rsidRPr="000409A9">
              <w:lastRenderedPageBreak/>
              <w:t>database</w:t>
            </w:r>
            <w:r w:rsidR="00CB7FB1" w:rsidRPr="000409A9">
              <w:t>.</w:t>
            </w:r>
          </w:p>
        </w:tc>
      </w:tr>
    </w:tbl>
    <w:p w14:paraId="3ABC383F" w14:textId="77777777" w:rsidR="003475EE" w:rsidRPr="00FA660D" w:rsidRDefault="003475EE" w:rsidP="00CD77C4">
      <w:pPr>
        <w:pStyle w:val="Heading1"/>
      </w:pPr>
      <w:r w:rsidRPr="00FA660D">
        <w:lastRenderedPageBreak/>
        <w:t>Methods</w:t>
      </w:r>
    </w:p>
    <w:p w14:paraId="61C68D72" w14:textId="77777777" w:rsidR="003032E3" w:rsidRDefault="003475EE" w:rsidP="0052148B">
      <w:pPr>
        <w:pStyle w:val="BodyText"/>
      </w:pPr>
      <w:r w:rsidRPr="004C79AB">
        <w:t xml:space="preserve">Air tests for carbon monoxide, temperature and relative humidity were taken with the TSI, Q-Trak, IAQ Monitor 7565. Air tests for airborne particle matter with a diameter less than 2.5 micrometers were taken with the TSI, DUSTTRAK™ Aerosol Monitor Model 8520. Screening for volatile organic compounds (VOCs) was conducted using a </w:t>
      </w:r>
      <w:r w:rsidR="00CB7FB1">
        <w:t xml:space="preserve">MiniRAE </w:t>
      </w:r>
      <w:r w:rsidR="006A13BA">
        <w:t>Lite</w:t>
      </w:r>
      <w:r w:rsidRPr="004C79AB">
        <w:t xml:space="preserve"> Photo Ionization Detector (PID). BEH/IAQ staff also performed visual inspection of building materials for water damage and/or microbial growth and examined the space for the presence of odors or other environmental concerns.</w:t>
      </w:r>
    </w:p>
    <w:p w14:paraId="192D2FF9" w14:textId="77777777" w:rsidR="00CB7FB1" w:rsidRDefault="00CB7FB1" w:rsidP="0052148B">
      <w:pPr>
        <w:pStyle w:val="BodyText"/>
      </w:pPr>
      <w:r>
        <w:t>Note that at the time of th</w:t>
      </w:r>
      <w:r w:rsidR="00D94356">
        <w:t>e</w:t>
      </w:r>
      <w:r>
        <w:t xml:space="preserve"> assessment, </w:t>
      </w:r>
      <w:r w:rsidR="006E5D98">
        <w:t>s</w:t>
      </w:r>
      <w:r w:rsidR="006A13BA">
        <w:t>ome limited a</w:t>
      </w:r>
      <w:r>
        <w:t xml:space="preserve">ctivities such as </w:t>
      </w:r>
      <w:r w:rsidR="006A13BA">
        <w:t xml:space="preserve">painting, finish work, </w:t>
      </w:r>
      <w:r w:rsidR="00FF5DDF">
        <w:t>clean-up</w:t>
      </w:r>
      <w:r>
        <w:t xml:space="preserve"> and other tasks were </w:t>
      </w:r>
      <w:r w:rsidR="006E5D98">
        <w:t>in their final stages</w:t>
      </w:r>
      <w:r w:rsidR="006A13BA">
        <w:t>.</w:t>
      </w:r>
      <w:r w:rsidR="00F021DC">
        <w:t xml:space="preserve"> The HVAC system was</w:t>
      </w:r>
      <w:r>
        <w:t xml:space="preserve"> operational and </w:t>
      </w:r>
      <w:r w:rsidR="00C7568F">
        <w:t>activated</w:t>
      </w:r>
      <w:r>
        <w:t xml:space="preserve"> in </w:t>
      </w:r>
      <w:r w:rsidR="00A34616">
        <w:t>areas</w:t>
      </w:r>
      <w:r>
        <w:t xml:space="preserve"> assessed. </w:t>
      </w:r>
      <w:r w:rsidR="006E5D98">
        <w:t>T</w:t>
      </w:r>
      <w:r>
        <w:t xml:space="preserve">he building was unoccupied on the day of </w:t>
      </w:r>
      <w:r w:rsidR="00A0563C">
        <w:t xml:space="preserve">the </w:t>
      </w:r>
      <w:r>
        <w:t>assessment.</w:t>
      </w:r>
    </w:p>
    <w:p w14:paraId="759629F6" w14:textId="77777777" w:rsidR="003475EE" w:rsidRPr="003032E3" w:rsidRDefault="003475EE" w:rsidP="003032E3">
      <w:pPr>
        <w:pStyle w:val="BodyText"/>
        <w:ind w:firstLine="0"/>
        <w:rPr>
          <w:b/>
        </w:rPr>
      </w:pPr>
      <w:r w:rsidRPr="003032E3">
        <w:rPr>
          <w:b/>
        </w:rPr>
        <w:t>Air Testing Results</w:t>
      </w:r>
    </w:p>
    <w:tbl>
      <w:tblPr>
        <w:tblW w:w="1071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90"/>
        <w:gridCol w:w="990"/>
        <w:gridCol w:w="1890"/>
        <w:gridCol w:w="900"/>
        <w:gridCol w:w="900"/>
        <w:gridCol w:w="450"/>
        <w:gridCol w:w="1440"/>
        <w:gridCol w:w="2160"/>
        <w:gridCol w:w="90"/>
      </w:tblGrid>
      <w:tr w:rsidR="003475EE" w14:paraId="16DF1CD2" w14:textId="77777777" w:rsidTr="006A13BA">
        <w:trPr>
          <w:cantSplit/>
          <w:trHeight w:val="118"/>
          <w:tblHeader/>
        </w:trPr>
        <w:tc>
          <w:tcPr>
            <w:tcW w:w="2880" w:type="dxa"/>
            <w:gridSpan w:val="2"/>
            <w:vMerge w:val="restart"/>
            <w:shd w:val="clear" w:color="auto" w:fill="CCCCCC"/>
            <w:vAlign w:val="center"/>
          </w:tcPr>
          <w:p w14:paraId="1CD4BFA6" w14:textId="77777777" w:rsidR="003475EE" w:rsidRPr="00B101C8" w:rsidRDefault="003475EE" w:rsidP="00B101C8">
            <w:pPr>
              <w:jc w:val="center"/>
              <w:rPr>
                <w:b/>
                <w:sz w:val="20"/>
              </w:rPr>
            </w:pPr>
            <w:r w:rsidRPr="00B101C8">
              <w:rPr>
                <w:b/>
                <w:sz w:val="20"/>
              </w:rPr>
              <w:t>Media sampled</w:t>
            </w:r>
          </w:p>
        </w:tc>
        <w:tc>
          <w:tcPr>
            <w:tcW w:w="2790" w:type="dxa"/>
            <w:gridSpan w:val="2"/>
            <w:vMerge w:val="restart"/>
            <w:shd w:val="clear" w:color="auto" w:fill="CCCCCC"/>
            <w:vAlign w:val="center"/>
          </w:tcPr>
          <w:p w14:paraId="28C911C2" w14:textId="77777777" w:rsidR="003475EE" w:rsidRPr="00B101C8" w:rsidRDefault="003475EE" w:rsidP="00B101C8">
            <w:pPr>
              <w:jc w:val="center"/>
              <w:rPr>
                <w:b/>
                <w:sz w:val="20"/>
              </w:rPr>
            </w:pPr>
            <w:r w:rsidRPr="00B101C8">
              <w:rPr>
                <w:b/>
                <w:sz w:val="20"/>
              </w:rPr>
              <w:t>MDPH Guideline/</w:t>
            </w:r>
          </w:p>
          <w:p w14:paraId="44BAF9C5" w14:textId="77777777" w:rsidR="003475EE" w:rsidRPr="00B101C8" w:rsidRDefault="003475EE" w:rsidP="00B101C8">
            <w:pPr>
              <w:jc w:val="center"/>
              <w:rPr>
                <w:b/>
                <w:sz w:val="20"/>
              </w:rPr>
            </w:pPr>
            <w:r w:rsidRPr="00B101C8">
              <w:rPr>
                <w:b/>
                <w:sz w:val="20"/>
              </w:rPr>
              <w:t>Comparison Value</w:t>
            </w:r>
          </w:p>
        </w:tc>
        <w:tc>
          <w:tcPr>
            <w:tcW w:w="2790" w:type="dxa"/>
            <w:gridSpan w:val="3"/>
            <w:shd w:val="clear" w:color="auto" w:fill="CCCCCC"/>
            <w:vAlign w:val="center"/>
          </w:tcPr>
          <w:p w14:paraId="540CE08B" w14:textId="77777777" w:rsidR="003475EE" w:rsidRPr="00B101C8" w:rsidRDefault="003475EE" w:rsidP="00B101C8">
            <w:pPr>
              <w:jc w:val="center"/>
              <w:rPr>
                <w:b/>
                <w:bCs/>
                <w:sz w:val="20"/>
              </w:rPr>
            </w:pPr>
            <w:r w:rsidRPr="00B101C8">
              <w:rPr>
                <w:b/>
                <w:bCs/>
                <w:sz w:val="20"/>
              </w:rPr>
              <w:t>Measured Range</w:t>
            </w:r>
          </w:p>
        </w:tc>
        <w:tc>
          <w:tcPr>
            <w:tcW w:w="2250" w:type="dxa"/>
            <w:gridSpan w:val="2"/>
            <w:vMerge w:val="restart"/>
            <w:shd w:val="clear" w:color="auto" w:fill="CCCCCC"/>
            <w:vAlign w:val="center"/>
          </w:tcPr>
          <w:p w14:paraId="0D0F1681" w14:textId="77777777" w:rsidR="003475EE" w:rsidRPr="00B101C8" w:rsidRDefault="003475EE" w:rsidP="00B101C8">
            <w:pPr>
              <w:jc w:val="center"/>
              <w:rPr>
                <w:b/>
                <w:bCs/>
                <w:sz w:val="20"/>
              </w:rPr>
            </w:pPr>
            <w:r w:rsidRPr="00B101C8">
              <w:rPr>
                <w:b/>
                <w:bCs/>
                <w:sz w:val="20"/>
              </w:rPr>
              <w:t>Comments</w:t>
            </w:r>
          </w:p>
        </w:tc>
      </w:tr>
      <w:tr w:rsidR="003475EE" w14:paraId="1E14F038" w14:textId="77777777" w:rsidTr="006A13BA">
        <w:trPr>
          <w:cantSplit/>
          <w:trHeight w:val="577"/>
          <w:tblHeader/>
        </w:trPr>
        <w:tc>
          <w:tcPr>
            <w:tcW w:w="2880" w:type="dxa"/>
            <w:gridSpan w:val="2"/>
            <w:vMerge/>
            <w:shd w:val="clear" w:color="auto" w:fill="CCCCCC"/>
            <w:vAlign w:val="center"/>
          </w:tcPr>
          <w:p w14:paraId="0861627C" w14:textId="77777777" w:rsidR="003475EE" w:rsidRPr="00B101C8" w:rsidRDefault="003475EE" w:rsidP="00B101C8">
            <w:pPr>
              <w:jc w:val="center"/>
              <w:rPr>
                <w:b/>
                <w:sz w:val="20"/>
              </w:rPr>
            </w:pPr>
          </w:p>
        </w:tc>
        <w:tc>
          <w:tcPr>
            <w:tcW w:w="2790" w:type="dxa"/>
            <w:gridSpan w:val="2"/>
            <w:vMerge/>
            <w:shd w:val="clear" w:color="auto" w:fill="CCCCCC"/>
            <w:vAlign w:val="center"/>
          </w:tcPr>
          <w:p w14:paraId="1B0BD962" w14:textId="77777777" w:rsidR="003475EE" w:rsidRPr="00B101C8" w:rsidRDefault="003475EE" w:rsidP="00B101C8">
            <w:pPr>
              <w:jc w:val="center"/>
              <w:rPr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CCCCCC"/>
            <w:vAlign w:val="center"/>
          </w:tcPr>
          <w:p w14:paraId="309F5021" w14:textId="77777777" w:rsidR="003475EE" w:rsidRPr="00B101C8" w:rsidRDefault="003475EE" w:rsidP="00B101C8">
            <w:pPr>
              <w:jc w:val="center"/>
              <w:rPr>
                <w:b/>
                <w:bCs/>
                <w:sz w:val="20"/>
              </w:rPr>
            </w:pPr>
            <w:r w:rsidRPr="00B101C8">
              <w:rPr>
                <w:b/>
                <w:bCs/>
                <w:sz w:val="20"/>
              </w:rPr>
              <w:t>Outdoors/</w:t>
            </w:r>
          </w:p>
          <w:p w14:paraId="6AD1DF6C" w14:textId="77777777" w:rsidR="003475EE" w:rsidRPr="00B101C8" w:rsidRDefault="003475EE" w:rsidP="00B101C8">
            <w:pPr>
              <w:jc w:val="center"/>
              <w:rPr>
                <w:b/>
                <w:bCs/>
                <w:sz w:val="20"/>
              </w:rPr>
            </w:pPr>
            <w:r w:rsidRPr="00B101C8">
              <w:rPr>
                <w:b/>
                <w:bCs/>
                <w:sz w:val="20"/>
              </w:rPr>
              <w:t>Background</w:t>
            </w:r>
          </w:p>
        </w:tc>
        <w:tc>
          <w:tcPr>
            <w:tcW w:w="1440" w:type="dxa"/>
            <w:shd w:val="clear" w:color="auto" w:fill="CCCCCC"/>
            <w:vAlign w:val="center"/>
          </w:tcPr>
          <w:p w14:paraId="10751F7C" w14:textId="77777777" w:rsidR="003475EE" w:rsidRPr="00B101C8" w:rsidRDefault="003475EE" w:rsidP="00B101C8">
            <w:pPr>
              <w:jc w:val="center"/>
              <w:rPr>
                <w:b/>
                <w:bCs/>
                <w:sz w:val="20"/>
              </w:rPr>
            </w:pPr>
            <w:r w:rsidRPr="00B101C8">
              <w:rPr>
                <w:b/>
                <w:bCs/>
                <w:sz w:val="20"/>
              </w:rPr>
              <w:t>Indoors</w:t>
            </w:r>
          </w:p>
        </w:tc>
        <w:tc>
          <w:tcPr>
            <w:tcW w:w="2250" w:type="dxa"/>
            <w:gridSpan w:val="2"/>
            <w:vMerge/>
            <w:shd w:val="clear" w:color="auto" w:fill="CCCCCC"/>
            <w:vAlign w:val="center"/>
          </w:tcPr>
          <w:p w14:paraId="7845853A" w14:textId="77777777" w:rsidR="003475EE" w:rsidRPr="00B101C8" w:rsidRDefault="003475EE" w:rsidP="00B101C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475EE" w14:paraId="565AC1AB" w14:textId="77777777" w:rsidTr="006A13BA">
        <w:trPr>
          <w:cantSplit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2450486C" w14:textId="77777777" w:rsidR="003475EE" w:rsidRPr="007C3761" w:rsidRDefault="003475EE" w:rsidP="00C10DCB">
            <w:pPr>
              <w:pStyle w:val="TableTextCentered"/>
            </w:pPr>
            <w:r w:rsidRPr="007C3761">
              <w:t>Total Volatile Organic Compounds (TVOCs)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36F713ED" w14:textId="77777777" w:rsidR="003475EE" w:rsidRPr="0004785C" w:rsidRDefault="003475EE" w:rsidP="00C10DCB">
            <w:pPr>
              <w:pStyle w:val="TableTextCentered"/>
            </w:pPr>
            <w:r w:rsidRPr="007C3761">
              <w:t>Equal</w:t>
            </w:r>
            <w:r w:rsidRPr="00693B5F">
              <w:t xml:space="preserve"> </w:t>
            </w:r>
            <w:r w:rsidRPr="00D64430">
              <w:t>to or below background level measured on the day of the assessment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FC449E2" w14:textId="77777777" w:rsidR="003475EE" w:rsidRPr="001E3D37" w:rsidRDefault="006A13BA" w:rsidP="00C10DCB">
            <w:pPr>
              <w:pStyle w:val="TableTextCentered"/>
            </w:pPr>
            <w:r>
              <w:t>ND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533452" w14:textId="77777777" w:rsidR="003475EE" w:rsidRPr="007C3761" w:rsidRDefault="006A13BA" w:rsidP="00D65C5F">
            <w:pPr>
              <w:pStyle w:val="TableTextCentered"/>
            </w:pPr>
            <w:r>
              <w:t>ND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B0B2A18" w14:textId="77777777" w:rsidR="003475EE" w:rsidRPr="000409A9" w:rsidRDefault="003475EE" w:rsidP="000409A9">
            <w:pPr>
              <w:pStyle w:val="TableTextCentered"/>
              <w:jc w:val="left"/>
            </w:pPr>
          </w:p>
        </w:tc>
      </w:tr>
      <w:tr w:rsidR="003475EE" w14:paraId="6E9CA3F4" w14:textId="77777777" w:rsidTr="000409A9">
        <w:trPr>
          <w:cantSplit/>
          <w:trHeight w:val="478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72C4ACFC" w14:textId="77777777" w:rsidR="003475EE" w:rsidRPr="00D64430" w:rsidRDefault="003475EE" w:rsidP="00C10DCB">
            <w:pPr>
              <w:pStyle w:val="TableTextCentered"/>
            </w:pPr>
            <w:r w:rsidRPr="00D64430">
              <w:t xml:space="preserve">Carbon </w:t>
            </w:r>
            <w:r>
              <w:t>M</w:t>
            </w:r>
            <w:r w:rsidRPr="00D64430">
              <w:t>onoxide</w:t>
            </w:r>
            <w:r>
              <w:t xml:space="preserve"> (CO)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7E2D4704" w14:textId="77777777" w:rsidR="003475EE" w:rsidRDefault="003475EE" w:rsidP="00C10DCB">
            <w:pPr>
              <w:pStyle w:val="TableTextCentered"/>
            </w:pPr>
            <w:r w:rsidRPr="00D64430">
              <w:t>Non-detectable (ND) or equal to or below background level measured on the day of the</w:t>
            </w:r>
          </w:p>
          <w:p w14:paraId="2A0A4DE1" w14:textId="77777777" w:rsidR="003475EE" w:rsidRPr="0004785C" w:rsidRDefault="003475EE" w:rsidP="00C10DCB">
            <w:pPr>
              <w:pStyle w:val="TableTextCentered"/>
            </w:pPr>
            <w:r>
              <w:t>a</w:t>
            </w:r>
            <w:r w:rsidRPr="00D64430">
              <w:t>ssessment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685A7A17" w14:textId="77777777" w:rsidR="003475EE" w:rsidRPr="001E3D37" w:rsidRDefault="00D5029B" w:rsidP="006E5D98">
            <w:pPr>
              <w:pStyle w:val="TableTextCentered"/>
            </w:pPr>
            <w:r>
              <w:t>ND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0ABDE3" w14:textId="77777777" w:rsidR="003475EE" w:rsidRDefault="00D5029B" w:rsidP="00C10DCB">
            <w:pPr>
              <w:pStyle w:val="TableTextCentered"/>
            </w:pPr>
            <w:r>
              <w:t>ND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1239F22" w14:textId="77777777" w:rsidR="003475EE" w:rsidRPr="000409A9" w:rsidRDefault="00326D96" w:rsidP="00067BB1">
            <w:pPr>
              <w:pStyle w:val="TableTextCentered"/>
              <w:jc w:val="left"/>
            </w:pPr>
            <w:r w:rsidRPr="00326D96">
              <w:t xml:space="preserve">HVAC </w:t>
            </w:r>
            <w:r w:rsidR="00653472">
              <w:t xml:space="preserve">system </w:t>
            </w:r>
            <w:r w:rsidRPr="00326D96">
              <w:t>activated at time of the assessment</w:t>
            </w:r>
          </w:p>
        </w:tc>
      </w:tr>
      <w:tr w:rsidR="002446CF" w14:paraId="42B5BA49" w14:textId="77777777" w:rsidTr="006A13BA">
        <w:trPr>
          <w:cantSplit/>
          <w:trHeight w:val="937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0A4AC839" w14:textId="77777777" w:rsidR="002446CF" w:rsidRPr="00D64430" w:rsidRDefault="002446CF" w:rsidP="00C10DCB">
            <w:pPr>
              <w:pStyle w:val="TableTextCentered"/>
            </w:pPr>
            <w:r w:rsidRPr="00D64430">
              <w:t>Particulate Matter 2.5</w:t>
            </w:r>
            <w:r>
              <w:t xml:space="preserve"> (PM2.5)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71EFDA7E" w14:textId="77777777" w:rsidR="002446CF" w:rsidRPr="0004785C" w:rsidRDefault="002446CF" w:rsidP="00C10DCB">
            <w:pPr>
              <w:pStyle w:val="TableTextCentered"/>
            </w:pPr>
            <w:r w:rsidRPr="00D64430">
              <w:t>US EPA National Ambient Air Quality Standards (NAAQS) 35 μg/m</w:t>
            </w:r>
            <w:r w:rsidRPr="00B101C8">
              <w:rPr>
                <w:vertAlign w:val="superscript"/>
              </w:rPr>
              <w:t>3</w:t>
            </w:r>
            <w:r w:rsidRPr="00D64430">
              <w:t xml:space="preserve"> or less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99DFEEC" w14:textId="77777777" w:rsidR="002446CF" w:rsidRPr="00066CC6" w:rsidRDefault="006E5D98" w:rsidP="00D65C5F">
            <w:pPr>
              <w:pStyle w:val="TableTextCenter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2446CF" w:rsidRPr="00066CC6">
              <w:rPr>
                <w:sz w:val="18"/>
                <w:szCs w:val="18"/>
              </w:rPr>
              <w:t xml:space="preserve"> μg/m</w:t>
            </w:r>
            <w:r w:rsidR="002446CF" w:rsidRPr="00066CC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4973FB" w14:textId="77777777" w:rsidR="002446CF" w:rsidRPr="00066CC6" w:rsidRDefault="006E5D98" w:rsidP="006E5D98">
            <w:pPr>
              <w:pStyle w:val="TableTextCenter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A13BA"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2</w:t>
            </w:r>
            <w:r w:rsidR="00D65C5F">
              <w:rPr>
                <w:sz w:val="18"/>
                <w:szCs w:val="18"/>
              </w:rPr>
              <w:t>2</w:t>
            </w:r>
            <w:r w:rsidR="002446CF" w:rsidRPr="00066CC6">
              <w:rPr>
                <w:sz w:val="18"/>
                <w:szCs w:val="18"/>
              </w:rPr>
              <w:t xml:space="preserve"> μg/m</w:t>
            </w:r>
            <w:r w:rsidR="002446CF" w:rsidRPr="00066CC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5F352A0" w14:textId="77777777" w:rsidR="002446CF" w:rsidRPr="000409A9" w:rsidRDefault="006E5D98" w:rsidP="00D558D4">
            <w:pPr>
              <w:pStyle w:val="TableTextCentered"/>
              <w:jc w:val="left"/>
            </w:pPr>
            <w:r>
              <w:t xml:space="preserve">Indoor </w:t>
            </w:r>
            <w:r w:rsidR="00D5029B" w:rsidRPr="000409A9">
              <w:t>PM2.5 levels were b</w:t>
            </w:r>
            <w:r w:rsidR="002446CF" w:rsidRPr="000409A9">
              <w:t xml:space="preserve">elow </w:t>
            </w:r>
            <w:r w:rsidR="00653472">
              <w:t xml:space="preserve">the </w:t>
            </w:r>
            <w:r w:rsidR="002446CF" w:rsidRPr="000409A9">
              <w:t>NAAQS of 35 μg/m</w:t>
            </w:r>
            <w:r w:rsidR="002446CF" w:rsidRPr="000409A9">
              <w:rPr>
                <w:vertAlign w:val="superscript"/>
              </w:rPr>
              <w:t>3</w:t>
            </w:r>
            <w:r>
              <w:t>, vehicle traffic/idling outdoors</w:t>
            </w:r>
          </w:p>
        </w:tc>
      </w:tr>
      <w:tr w:rsidR="002446CF" w14:paraId="61DEDFC0" w14:textId="77777777" w:rsidTr="006A13BA">
        <w:trPr>
          <w:cantSplit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50B86D84" w14:textId="77777777" w:rsidR="002446CF" w:rsidRPr="00D64430" w:rsidRDefault="002446CF" w:rsidP="00C10DCB">
            <w:pPr>
              <w:pStyle w:val="TableTextCentered"/>
            </w:pPr>
            <w:r>
              <w:lastRenderedPageBreak/>
              <w:t>Temperature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4E4E497A" w14:textId="77777777" w:rsidR="002446CF" w:rsidRDefault="00D5029B" w:rsidP="00032478">
            <w:pPr>
              <w:pStyle w:val="TableTextCentered"/>
            </w:pPr>
            <w:r>
              <w:t>70</w:t>
            </w:r>
            <w:r w:rsidR="00032478">
              <w:t xml:space="preserve"> to </w:t>
            </w:r>
            <w:r>
              <w:t>78</w:t>
            </w:r>
            <w:r w:rsidR="002446CF">
              <w:t>ºF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C65B612" w14:textId="77777777" w:rsidR="002446CF" w:rsidRPr="001B524D" w:rsidRDefault="006E5D98" w:rsidP="00C10DCB">
            <w:pPr>
              <w:pStyle w:val="TableTextCentered"/>
            </w:pPr>
            <w:r>
              <w:t>96</w:t>
            </w:r>
            <w:r w:rsidR="00D5029B">
              <w:t xml:space="preserve"> ºF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06A7D4" w14:textId="77777777" w:rsidR="002446CF" w:rsidRDefault="006E5D98" w:rsidP="006E5D98">
            <w:pPr>
              <w:pStyle w:val="TableTextCentered"/>
            </w:pPr>
            <w:r>
              <w:t>74</w:t>
            </w:r>
            <w:r w:rsidR="006A13BA">
              <w:t xml:space="preserve"> to </w:t>
            </w:r>
            <w:r w:rsidR="00D5029B">
              <w:t>7</w:t>
            </w:r>
            <w:r>
              <w:t>5</w:t>
            </w:r>
            <w:r w:rsidR="00D5029B">
              <w:t xml:space="preserve"> ºF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61614E" w14:textId="77777777" w:rsidR="002446CF" w:rsidRPr="000409A9" w:rsidRDefault="00326D96" w:rsidP="00067BB1">
            <w:pPr>
              <w:pStyle w:val="TableTextCentered"/>
              <w:jc w:val="left"/>
            </w:pPr>
            <w:r>
              <w:t xml:space="preserve">Temps within MDPH guidelines </w:t>
            </w:r>
          </w:p>
        </w:tc>
      </w:tr>
      <w:tr w:rsidR="002446CF" w14:paraId="7C0CEB19" w14:textId="77777777" w:rsidTr="000409A9">
        <w:trPr>
          <w:cantSplit/>
          <w:trHeight w:val="5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E3AB0AD" w14:textId="77777777" w:rsidR="002446CF" w:rsidRPr="00D64430" w:rsidRDefault="002446CF" w:rsidP="00C10DCB">
            <w:pPr>
              <w:pStyle w:val="TableTextCentered"/>
            </w:pPr>
            <w:r w:rsidRPr="00D64430">
              <w:t xml:space="preserve">Relative </w:t>
            </w:r>
            <w:r>
              <w:t>H</w:t>
            </w:r>
            <w:r w:rsidRPr="00D64430">
              <w:t>umidity</w:t>
            </w:r>
            <w:r>
              <w:t xml:space="preserve"> (RH)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6C98B436" w14:textId="77777777" w:rsidR="002446CF" w:rsidRPr="00D64430" w:rsidRDefault="002446CF" w:rsidP="00C10DCB">
            <w:pPr>
              <w:pStyle w:val="TableTextCentered"/>
            </w:pPr>
            <w:r>
              <w:t>40% to 60%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94673E1" w14:textId="77777777" w:rsidR="002446CF" w:rsidRPr="001B524D" w:rsidRDefault="001523A2" w:rsidP="00E54093">
            <w:pPr>
              <w:pStyle w:val="TableTextCentered"/>
            </w:pPr>
            <w:r>
              <w:t>65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D846BE" w14:textId="77777777" w:rsidR="002446CF" w:rsidRDefault="00067BB1" w:rsidP="00067BB1">
            <w:pPr>
              <w:pStyle w:val="TableTextCentered"/>
            </w:pPr>
            <w:r>
              <w:t>43</w:t>
            </w:r>
            <w:r w:rsidR="00E54093">
              <w:t xml:space="preserve"> to </w:t>
            </w:r>
            <w:r>
              <w:t>61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A1ED638" w14:textId="77777777" w:rsidR="002446CF" w:rsidRPr="000409A9" w:rsidRDefault="00326D96" w:rsidP="00067BB1">
            <w:pPr>
              <w:pStyle w:val="TableTextCentered"/>
              <w:jc w:val="left"/>
            </w:pPr>
            <w:r>
              <w:t xml:space="preserve">RH within </w:t>
            </w:r>
            <w:r w:rsidR="00067BB1">
              <w:t xml:space="preserve">or very close to </w:t>
            </w:r>
            <w:r>
              <w:t xml:space="preserve">MDPH guidelines </w:t>
            </w:r>
          </w:p>
        </w:tc>
      </w:tr>
      <w:tr w:rsidR="007454EC" w14:paraId="2D3DDD50" w14:textId="77777777" w:rsidTr="00745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</w:trPr>
        <w:tc>
          <w:tcPr>
            <w:tcW w:w="1890" w:type="dxa"/>
            <w:shd w:val="clear" w:color="auto" w:fill="auto"/>
          </w:tcPr>
          <w:p w14:paraId="16A4063C" w14:textId="77777777" w:rsidR="007454EC" w:rsidRDefault="007454EC" w:rsidP="00C10DCB">
            <w:pPr>
              <w:pStyle w:val="FootnoteText"/>
              <w:rPr>
                <w:sz w:val="16"/>
                <w:szCs w:val="16"/>
              </w:rPr>
            </w:pPr>
          </w:p>
          <w:p w14:paraId="2D8FF1DB" w14:textId="77777777" w:rsidR="007454EC" w:rsidRPr="00B101C8" w:rsidRDefault="007454EC" w:rsidP="00C10DCB">
            <w:pPr>
              <w:pStyle w:val="FootnoteText"/>
              <w:rPr>
                <w:sz w:val="16"/>
                <w:szCs w:val="16"/>
              </w:rPr>
            </w:pPr>
            <w:r w:rsidRPr="00B101C8">
              <w:rPr>
                <w:sz w:val="16"/>
                <w:szCs w:val="16"/>
              </w:rPr>
              <w:t>ppm = parts per million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63E3208" w14:textId="77777777" w:rsidR="007454EC" w:rsidRDefault="007454EC" w:rsidP="00C10DCB">
            <w:pPr>
              <w:pStyle w:val="FootnoteText"/>
              <w:rPr>
                <w:sz w:val="16"/>
                <w:szCs w:val="16"/>
              </w:rPr>
            </w:pPr>
          </w:p>
          <w:p w14:paraId="1B121DB9" w14:textId="77777777" w:rsidR="007454EC" w:rsidRPr="00B101C8" w:rsidRDefault="007454EC" w:rsidP="00C10DCB">
            <w:pPr>
              <w:pStyle w:val="FootnoteText"/>
              <w:rPr>
                <w:sz w:val="16"/>
                <w:szCs w:val="16"/>
              </w:rPr>
            </w:pPr>
            <w:r w:rsidRPr="00B101C8">
              <w:rPr>
                <w:sz w:val="16"/>
                <w:szCs w:val="16"/>
              </w:rPr>
              <w:t>µg/m</w:t>
            </w:r>
            <w:r w:rsidRPr="00B101C8">
              <w:rPr>
                <w:sz w:val="16"/>
                <w:szCs w:val="16"/>
                <w:vertAlign w:val="superscript"/>
              </w:rPr>
              <w:t xml:space="preserve">3 </w:t>
            </w:r>
            <w:r w:rsidRPr="00B101C8">
              <w:rPr>
                <w:sz w:val="16"/>
                <w:szCs w:val="16"/>
              </w:rPr>
              <w:t>= microgram per cubic meter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10AFA41" w14:textId="77777777" w:rsidR="007454EC" w:rsidRDefault="007454EC" w:rsidP="00C10DCB">
            <w:pPr>
              <w:pStyle w:val="FootnoteText"/>
              <w:rPr>
                <w:sz w:val="16"/>
                <w:szCs w:val="16"/>
              </w:rPr>
            </w:pPr>
          </w:p>
          <w:p w14:paraId="3D2F645C" w14:textId="77777777" w:rsidR="007454EC" w:rsidRPr="00B101C8" w:rsidRDefault="007454EC" w:rsidP="00C10DCB">
            <w:pPr>
              <w:pStyle w:val="FootnoteText"/>
              <w:rPr>
                <w:sz w:val="16"/>
                <w:szCs w:val="16"/>
              </w:rPr>
            </w:pPr>
            <w:r w:rsidRPr="00B101C8">
              <w:rPr>
                <w:sz w:val="16"/>
                <w:szCs w:val="16"/>
              </w:rPr>
              <w:t>ND = non-detectable</w:t>
            </w:r>
          </w:p>
        </w:tc>
        <w:tc>
          <w:tcPr>
            <w:tcW w:w="4050" w:type="dxa"/>
            <w:gridSpan w:val="3"/>
            <w:shd w:val="clear" w:color="auto" w:fill="auto"/>
          </w:tcPr>
          <w:p w14:paraId="5E29E19B" w14:textId="77777777" w:rsidR="007454EC" w:rsidRDefault="007454EC" w:rsidP="00C10DCB">
            <w:pPr>
              <w:pStyle w:val="FootnoteText"/>
              <w:rPr>
                <w:sz w:val="16"/>
                <w:szCs w:val="16"/>
              </w:rPr>
            </w:pPr>
          </w:p>
          <w:p w14:paraId="07C0DC64" w14:textId="77777777" w:rsidR="003F6B89" w:rsidRDefault="007454EC" w:rsidP="003F6B89">
            <w:pPr>
              <w:pStyle w:val="FootnoteText"/>
              <w:rPr>
                <w:sz w:val="16"/>
                <w:szCs w:val="16"/>
              </w:rPr>
            </w:pPr>
            <w:r w:rsidRPr="00B101C8">
              <w:rPr>
                <w:sz w:val="16"/>
                <w:szCs w:val="16"/>
              </w:rPr>
              <w:t xml:space="preserve">HVAC = heating, </w:t>
            </w:r>
            <w:proofErr w:type="gramStart"/>
            <w:r w:rsidRPr="00B101C8">
              <w:rPr>
                <w:sz w:val="16"/>
                <w:szCs w:val="16"/>
              </w:rPr>
              <w:t>ventilation</w:t>
            </w:r>
            <w:proofErr w:type="gramEnd"/>
            <w:r w:rsidRPr="00B101C8">
              <w:rPr>
                <w:sz w:val="16"/>
                <w:szCs w:val="16"/>
              </w:rPr>
              <w:t xml:space="preserve"> and air-conditioning</w:t>
            </w:r>
          </w:p>
          <w:p w14:paraId="0CD39D15" w14:textId="77777777" w:rsidR="003F6B89" w:rsidRPr="00B101C8" w:rsidRDefault="003F6B89" w:rsidP="003F6B89">
            <w:pPr>
              <w:pStyle w:val="FootnoteText"/>
              <w:rPr>
                <w:sz w:val="16"/>
                <w:szCs w:val="16"/>
              </w:rPr>
            </w:pPr>
          </w:p>
        </w:tc>
      </w:tr>
    </w:tbl>
    <w:p w14:paraId="395FFFC2" w14:textId="77777777" w:rsidR="003475EE" w:rsidRPr="009B41B1" w:rsidRDefault="0052148B" w:rsidP="00C10DCB">
      <w:pPr>
        <w:pStyle w:val="Heading1"/>
      </w:pPr>
      <w:r w:rsidRPr="009B41B1">
        <w:t>Discussion</w:t>
      </w:r>
      <w:r>
        <w:t>/</w:t>
      </w:r>
      <w:r w:rsidR="003475EE" w:rsidRPr="009B41B1">
        <w:t>Visual Observations</w:t>
      </w:r>
    </w:p>
    <w:p w14:paraId="32E38A12" w14:textId="77777777" w:rsidR="00B244DB" w:rsidRDefault="00BA3B7E" w:rsidP="00AE6215">
      <w:pPr>
        <w:pStyle w:val="StyleBodyTextLeft025"/>
        <w:rPr>
          <w:szCs w:val="24"/>
        </w:rPr>
      </w:pPr>
      <w:r w:rsidRPr="00BA3B7E">
        <w:t>A</w:t>
      </w:r>
      <w:r w:rsidR="00D5029B">
        <w:t xml:space="preserve">s mentioned, build-out was </w:t>
      </w:r>
      <w:r w:rsidR="008F4D0A">
        <w:t xml:space="preserve">mostly complete with </w:t>
      </w:r>
      <w:r w:rsidR="00E54093">
        <w:t>minor punch-list items</w:t>
      </w:r>
      <w:r w:rsidR="008F4D0A">
        <w:t xml:space="preserve"> (</w:t>
      </w:r>
      <w:r w:rsidR="00E54093">
        <w:t>outlets/some wiring/ceiling tile installation, et</w:t>
      </w:r>
      <w:r w:rsidR="008F4D0A">
        <w:t xml:space="preserve">c.) remaining. </w:t>
      </w:r>
      <w:r w:rsidR="00B244DB">
        <w:rPr>
          <w:szCs w:val="24"/>
        </w:rPr>
        <w:t>No evidence of water leaks or moisture to building materials was noted during the assessment.</w:t>
      </w:r>
      <w:r w:rsidR="00CA6C64">
        <w:rPr>
          <w:szCs w:val="24"/>
        </w:rPr>
        <w:t xml:space="preserve"> However, several minor issues were observed and are listed below:</w:t>
      </w:r>
    </w:p>
    <w:p w14:paraId="5E34B126" w14:textId="77777777" w:rsidR="00CB1E4C" w:rsidRPr="00CB1E4C" w:rsidRDefault="00CB1E4C" w:rsidP="00CB1E4C">
      <w:pPr>
        <w:pStyle w:val="ListParagraph"/>
        <w:numPr>
          <w:ilvl w:val="0"/>
          <w:numId w:val="32"/>
        </w:numPr>
        <w:spacing w:before="120" w:line="480" w:lineRule="auto"/>
        <w:rPr>
          <w:sz w:val="24"/>
          <w:szCs w:val="24"/>
        </w:rPr>
      </w:pPr>
      <w:r w:rsidRPr="00CB1E4C">
        <w:rPr>
          <w:sz w:val="24"/>
          <w:szCs w:val="24"/>
        </w:rPr>
        <w:t>Spaces wer</w:t>
      </w:r>
      <w:r>
        <w:rPr>
          <w:sz w:val="24"/>
          <w:szCs w:val="24"/>
        </w:rPr>
        <w:t>e</w:t>
      </w:r>
      <w:r w:rsidRPr="00CB1E4C">
        <w:rPr>
          <w:sz w:val="24"/>
          <w:szCs w:val="24"/>
        </w:rPr>
        <w:t xml:space="preserve"> noted between sink countertop and backsp</w:t>
      </w:r>
      <w:r>
        <w:rPr>
          <w:sz w:val="24"/>
          <w:szCs w:val="24"/>
        </w:rPr>
        <w:t>l</w:t>
      </w:r>
      <w:r w:rsidRPr="00CB1E4C">
        <w:rPr>
          <w:sz w:val="24"/>
          <w:szCs w:val="24"/>
        </w:rPr>
        <w:t>ash in room 117</w:t>
      </w:r>
    </w:p>
    <w:p w14:paraId="267CEC20" w14:textId="77777777" w:rsidR="00CB1E4C" w:rsidRPr="00CB1E4C" w:rsidRDefault="00CB1E4C" w:rsidP="00CB1E4C">
      <w:pPr>
        <w:pStyle w:val="ListParagraph"/>
        <w:numPr>
          <w:ilvl w:val="0"/>
          <w:numId w:val="32"/>
        </w:numPr>
        <w:spacing w:before="120" w:line="480" w:lineRule="auto"/>
        <w:rPr>
          <w:sz w:val="24"/>
          <w:szCs w:val="24"/>
        </w:rPr>
      </w:pPr>
      <w:r w:rsidRPr="00CB1E4C">
        <w:rPr>
          <w:sz w:val="24"/>
          <w:szCs w:val="24"/>
        </w:rPr>
        <w:t>Spaces were noted between sink countertop and backsp</w:t>
      </w:r>
      <w:r>
        <w:rPr>
          <w:sz w:val="24"/>
          <w:szCs w:val="24"/>
        </w:rPr>
        <w:t>l</w:t>
      </w:r>
      <w:r w:rsidRPr="00CB1E4C">
        <w:rPr>
          <w:sz w:val="24"/>
          <w:szCs w:val="24"/>
        </w:rPr>
        <w:t>ash in room 11</w:t>
      </w:r>
      <w:r>
        <w:rPr>
          <w:sz w:val="24"/>
          <w:szCs w:val="24"/>
        </w:rPr>
        <w:t>5</w:t>
      </w:r>
    </w:p>
    <w:p w14:paraId="217B61FE" w14:textId="77777777" w:rsidR="0036084A" w:rsidRDefault="0036084A" w:rsidP="0036084A">
      <w:pPr>
        <w:pStyle w:val="Heading1"/>
      </w:pPr>
      <w:r>
        <w:t>Recommendations</w:t>
      </w:r>
    </w:p>
    <w:p w14:paraId="156B0300" w14:textId="77777777" w:rsidR="00E4053D" w:rsidRDefault="00E4053D" w:rsidP="00E4053D">
      <w:pPr>
        <w:spacing w:line="480" w:lineRule="auto"/>
        <w:ind w:firstLine="720"/>
        <w:rPr>
          <w:szCs w:val="24"/>
        </w:rPr>
      </w:pPr>
      <w:r w:rsidRPr="00E4053D">
        <w:t>In view of the findings at the time of the visit, the following recommendations are made</w:t>
      </w:r>
      <w:r>
        <w:rPr>
          <w:szCs w:val="24"/>
        </w:rPr>
        <w:t>:</w:t>
      </w:r>
    </w:p>
    <w:p w14:paraId="455ED38B" w14:textId="77777777" w:rsidR="00CB1E4C" w:rsidRPr="00CB1E4C" w:rsidRDefault="00CB1E4C" w:rsidP="00CB1E4C">
      <w:pPr>
        <w:pStyle w:val="ListParagraph"/>
        <w:numPr>
          <w:ilvl w:val="0"/>
          <w:numId w:val="34"/>
        </w:numPr>
        <w:spacing w:before="120" w:line="480" w:lineRule="auto"/>
        <w:jc w:val="both"/>
        <w:rPr>
          <w:sz w:val="24"/>
          <w:szCs w:val="24"/>
        </w:rPr>
      </w:pPr>
      <w:r w:rsidRPr="00CB1E4C">
        <w:rPr>
          <w:sz w:val="24"/>
          <w:szCs w:val="24"/>
        </w:rPr>
        <w:t>Seal spaces between backsplash and sink countertops in rooms 115 and 117.</w:t>
      </w:r>
    </w:p>
    <w:p w14:paraId="61E64C58" w14:textId="77777777" w:rsidR="00CB1E4C" w:rsidRPr="00CB1E4C" w:rsidRDefault="00CB1E4C" w:rsidP="00CB1E4C">
      <w:pPr>
        <w:pStyle w:val="ListParagraph"/>
        <w:numPr>
          <w:ilvl w:val="0"/>
          <w:numId w:val="34"/>
        </w:numPr>
        <w:spacing w:before="120" w:line="480" w:lineRule="auto"/>
        <w:jc w:val="both"/>
        <w:rPr>
          <w:sz w:val="24"/>
          <w:szCs w:val="24"/>
        </w:rPr>
      </w:pPr>
      <w:r w:rsidRPr="00CB1E4C">
        <w:rPr>
          <w:sz w:val="24"/>
          <w:szCs w:val="24"/>
        </w:rPr>
        <w:t>Perform a final, thorough cleaning of the space using wet wiping of all surfaces and high efficiency particulate arrestance (HEPA) vacuuming of all carpeting prior to agency staff moving into the space.</w:t>
      </w:r>
    </w:p>
    <w:p w14:paraId="5B0BA56F" w14:textId="77777777" w:rsidR="00CB1E4C" w:rsidRPr="00CB1E4C" w:rsidRDefault="00CB1E4C" w:rsidP="00CB1E4C">
      <w:pPr>
        <w:pStyle w:val="ListParagraph"/>
        <w:numPr>
          <w:ilvl w:val="0"/>
          <w:numId w:val="34"/>
        </w:numPr>
        <w:spacing w:before="120" w:line="480" w:lineRule="auto"/>
        <w:jc w:val="both"/>
        <w:rPr>
          <w:sz w:val="24"/>
          <w:szCs w:val="24"/>
        </w:rPr>
      </w:pPr>
      <w:r w:rsidRPr="00CB1E4C">
        <w:rPr>
          <w:sz w:val="24"/>
          <w:szCs w:val="24"/>
        </w:rPr>
        <w:lastRenderedPageBreak/>
        <w:t xml:space="preserve">During occupied hours the MDPH recommends that thermostats be set to the </w:t>
      </w:r>
      <w:r w:rsidR="00FE3D99">
        <w:rPr>
          <w:sz w:val="24"/>
          <w:szCs w:val="24"/>
        </w:rPr>
        <w:t>f</w:t>
      </w:r>
      <w:r w:rsidRPr="00CB1E4C">
        <w:rPr>
          <w:sz w:val="24"/>
          <w:szCs w:val="24"/>
        </w:rPr>
        <w:t>an “On” setting</w:t>
      </w:r>
      <w:r w:rsidR="00FE3D99">
        <w:rPr>
          <w:sz w:val="24"/>
          <w:szCs w:val="24"/>
        </w:rPr>
        <w:t xml:space="preserve">, </w:t>
      </w:r>
      <w:r w:rsidRPr="00CB1E4C">
        <w:rPr>
          <w:sz w:val="24"/>
          <w:szCs w:val="24"/>
        </w:rPr>
        <w:t>not “Auto”, throughout the space to provide for continuous filtration and ventilation.</w:t>
      </w:r>
    </w:p>
    <w:p w14:paraId="68D66884" w14:textId="77777777" w:rsidR="00C8528F" w:rsidRPr="00CB1E4C" w:rsidRDefault="00CB1E4C" w:rsidP="00CB1E4C">
      <w:pPr>
        <w:pStyle w:val="ListParagraph"/>
        <w:numPr>
          <w:ilvl w:val="0"/>
          <w:numId w:val="34"/>
        </w:numPr>
        <w:spacing w:before="120" w:line="480" w:lineRule="auto"/>
        <w:jc w:val="both"/>
        <w:rPr>
          <w:sz w:val="24"/>
          <w:szCs w:val="24"/>
        </w:rPr>
      </w:pPr>
      <w:r w:rsidRPr="00CB1E4C">
        <w:rPr>
          <w:sz w:val="24"/>
          <w:szCs w:val="24"/>
        </w:rPr>
        <w:t>Consistent with previously established protocol, once the space has been occupied for a minimum of three weeks, contact the BEH/IAQ Program to conduct a follow-up assessment of the space.</w:t>
      </w:r>
    </w:p>
    <w:sectPr w:rsidR="00C8528F" w:rsidRPr="00CB1E4C" w:rsidSect="000D48D8">
      <w:foot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147C6" w14:textId="77777777" w:rsidR="00337565" w:rsidRDefault="00337565">
      <w:r>
        <w:separator/>
      </w:r>
    </w:p>
  </w:endnote>
  <w:endnote w:type="continuationSeparator" w:id="0">
    <w:p w14:paraId="6C1B345F" w14:textId="77777777" w:rsidR="00337565" w:rsidRDefault="0033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D2CF8" w14:textId="77777777" w:rsidR="00A65091" w:rsidRDefault="00A650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452">
      <w:rPr>
        <w:noProof/>
      </w:rPr>
      <w:t>2</w:t>
    </w:r>
    <w:r>
      <w:rPr>
        <w:noProof/>
      </w:rPr>
      <w:fldChar w:fldCharType="end"/>
    </w:r>
  </w:p>
  <w:p w14:paraId="37630FE5" w14:textId="77777777" w:rsidR="00A65091" w:rsidRDefault="00A65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09FA2" w14:textId="77777777" w:rsidR="00337565" w:rsidRDefault="00337565">
      <w:r>
        <w:separator/>
      </w:r>
    </w:p>
  </w:footnote>
  <w:footnote w:type="continuationSeparator" w:id="0">
    <w:p w14:paraId="0C9B2B1D" w14:textId="77777777" w:rsidR="00337565" w:rsidRDefault="0033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08E15F83"/>
    <w:multiLevelType w:val="hybridMultilevel"/>
    <w:tmpl w:val="F9C8116C"/>
    <w:lvl w:ilvl="0" w:tplc="C4601EC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3" w15:restartNumberingAfterBreak="0">
    <w:nsid w:val="16C126B6"/>
    <w:multiLevelType w:val="hybridMultilevel"/>
    <w:tmpl w:val="2C72888C"/>
    <w:lvl w:ilvl="0" w:tplc="4E965D2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E346A8F"/>
    <w:multiLevelType w:val="multilevel"/>
    <w:tmpl w:val="10E2FA8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2001068B"/>
    <w:multiLevelType w:val="hybridMultilevel"/>
    <w:tmpl w:val="6082D91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2210CB7"/>
    <w:multiLevelType w:val="hybridMultilevel"/>
    <w:tmpl w:val="150A61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27313E01"/>
    <w:multiLevelType w:val="hybridMultilevel"/>
    <w:tmpl w:val="DBF035F0"/>
    <w:lvl w:ilvl="0" w:tplc="6AE2B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57BB5"/>
    <w:multiLevelType w:val="hybridMultilevel"/>
    <w:tmpl w:val="4368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29E"/>
    <w:multiLevelType w:val="hybridMultilevel"/>
    <w:tmpl w:val="690EBF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77BD7"/>
    <w:multiLevelType w:val="hybridMultilevel"/>
    <w:tmpl w:val="5BC047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EEC5BE2"/>
    <w:multiLevelType w:val="hybridMultilevel"/>
    <w:tmpl w:val="0AA23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D542E3"/>
    <w:multiLevelType w:val="hybridMultilevel"/>
    <w:tmpl w:val="88021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0306A6"/>
    <w:multiLevelType w:val="singleLevel"/>
    <w:tmpl w:val="6ED8F2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4" w15:restartNumberingAfterBreak="0">
    <w:nsid w:val="34542612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5" w15:restartNumberingAfterBreak="0">
    <w:nsid w:val="356D545D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6" w15:restartNumberingAfterBreak="0">
    <w:nsid w:val="40C74C09"/>
    <w:multiLevelType w:val="hybridMultilevel"/>
    <w:tmpl w:val="2EE0AAC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425C7DE9"/>
    <w:multiLevelType w:val="hybridMultilevel"/>
    <w:tmpl w:val="50CA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97C8F"/>
    <w:multiLevelType w:val="multilevel"/>
    <w:tmpl w:val="632269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976746A"/>
    <w:multiLevelType w:val="hybridMultilevel"/>
    <w:tmpl w:val="93768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5C6B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6C04F4F"/>
    <w:multiLevelType w:val="multilevel"/>
    <w:tmpl w:val="2460C25C"/>
    <w:numStyleLink w:val="StyleNumbered"/>
  </w:abstractNum>
  <w:abstractNum w:abstractNumId="22" w15:restartNumberingAfterBreak="0">
    <w:nsid w:val="57757E9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A194CAA"/>
    <w:multiLevelType w:val="hybridMultilevel"/>
    <w:tmpl w:val="A8F420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AAC311A"/>
    <w:multiLevelType w:val="singleLevel"/>
    <w:tmpl w:val="4B0683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5" w15:restartNumberingAfterBreak="0">
    <w:nsid w:val="63B14089"/>
    <w:multiLevelType w:val="hybridMultilevel"/>
    <w:tmpl w:val="F1CCDFBA"/>
    <w:lvl w:ilvl="0" w:tplc="13E0FA9E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F16A58"/>
    <w:multiLevelType w:val="hybridMultilevel"/>
    <w:tmpl w:val="360CF43E"/>
    <w:lvl w:ilvl="0" w:tplc="7D720DF6">
      <w:start w:val="1"/>
      <w:numFmt w:val="decimal"/>
      <w:lvlText w:val="%1."/>
      <w:lvlJc w:val="right"/>
      <w:pPr>
        <w:tabs>
          <w:tab w:val="num" w:pos="907"/>
        </w:tabs>
        <w:ind w:left="90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27" w15:restartNumberingAfterBreak="0">
    <w:nsid w:val="69BD3284"/>
    <w:multiLevelType w:val="hybridMultilevel"/>
    <w:tmpl w:val="4A2A9B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A8A72EF"/>
    <w:multiLevelType w:val="hybridMultilevel"/>
    <w:tmpl w:val="618E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14E9A"/>
    <w:multiLevelType w:val="hybridMultilevel"/>
    <w:tmpl w:val="3D901730"/>
    <w:lvl w:ilvl="0" w:tplc="463828AC">
      <w:start w:val="1"/>
      <w:numFmt w:val="decimal"/>
      <w:lvlText w:val="%1."/>
      <w:lvlJc w:val="righ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 w15:restartNumberingAfterBreak="0">
    <w:nsid w:val="6D3D14CC"/>
    <w:multiLevelType w:val="hybridMultilevel"/>
    <w:tmpl w:val="00646BEA"/>
    <w:lvl w:ilvl="0" w:tplc="E37A4E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 w15:restartNumberingAfterBreak="0">
    <w:nsid w:val="72CE220D"/>
    <w:multiLevelType w:val="hybridMultilevel"/>
    <w:tmpl w:val="1F0ED23E"/>
    <w:lvl w:ilvl="0" w:tplc="6AE2B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FA4AAC"/>
    <w:multiLevelType w:val="hybridMultilevel"/>
    <w:tmpl w:val="D9448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B7F09E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26"/>
  </w:num>
  <w:num w:numId="3">
    <w:abstractNumId w:val="13"/>
  </w:num>
  <w:num w:numId="4">
    <w:abstractNumId w:val="4"/>
  </w:num>
  <w:num w:numId="5">
    <w:abstractNumId w:val="24"/>
  </w:num>
  <w:num w:numId="6">
    <w:abstractNumId w:val="2"/>
  </w:num>
  <w:num w:numId="7">
    <w:abstractNumId w:val="21"/>
  </w:num>
  <w:num w:numId="8">
    <w:abstractNumId w:val="33"/>
  </w:num>
  <w:num w:numId="9">
    <w:abstractNumId w:val="15"/>
  </w:num>
  <w:num w:numId="10">
    <w:abstractNumId w:val="16"/>
  </w:num>
  <w:num w:numId="11">
    <w:abstractNumId w:val="6"/>
  </w:num>
  <w:num w:numId="12">
    <w:abstractNumId w:val="30"/>
  </w:num>
  <w:num w:numId="13">
    <w:abstractNumId w:val="22"/>
  </w:num>
  <w:num w:numId="14">
    <w:abstractNumId w:val="14"/>
  </w:num>
  <w:num w:numId="15">
    <w:abstractNumId w:val="1"/>
  </w:num>
  <w:num w:numId="16">
    <w:abstractNumId w:val="29"/>
  </w:num>
  <w:num w:numId="17">
    <w:abstractNumId w:val="3"/>
  </w:num>
  <w:num w:numId="18">
    <w:abstractNumId w:val="18"/>
  </w:num>
  <w:num w:numId="19">
    <w:abstractNumId w:val="32"/>
  </w:num>
  <w:num w:numId="20">
    <w:abstractNumId w:val="20"/>
  </w:num>
  <w:num w:numId="21">
    <w:abstractNumId w:val="11"/>
  </w:num>
  <w:num w:numId="22">
    <w:abstractNumId w:val="31"/>
  </w:num>
  <w:num w:numId="23">
    <w:abstractNumId w:val="7"/>
  </w:num>
  <w:num w:numId="24">
    <w:abstractNumId w:val="23"/>
  </w:num>
  <w:num w:numId="25">
    <w:abstractNumId w:val="12"/>
  </w:num>
  <w:num w:numId="26">
    <w:abstractNumId w:val="5"/>
  </w:num>
  <w:num w:numId="27">
    <w:abstractNumId w:val="25"/>
  </w:num>
  <w:num w:numId="28">
    <w:abstractNumId w:val="10"/>
  </w:num>
  <w:num w:numId="29">
    <w:abstractNumId w:val="19"/>
  </w:num>
  <w:num w:numId="30">
    <w:abstractNumId w:val="27"/>
  </w:num>
  <w:num w:numId="31">
    <w:abstractNumId w:val="28"/>
  </w:num>
  <w:num w:numId="32">
    <w:abstractNumId w:val="8"/>
  </w:num>
  <w:num w:numId="33">
    <w:abstractNumId w:val="17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A18"/>
    <w:rsid w:val="0001296A"/>
    <w:rsid w:val="000141FA"/>
    <w:rsid w:val="000144B1"/>
    <w:rsid w:val="00031DE8"/>
    <w:rsid w:val="00032478"/>
    <w:rsid w:val="00033928"/>
    <w:rsid w:val="000403EA"/>
    <w:rsid w:val="000409A9"/>
    <w:rsid w:val="00042B94"/>
    <w:rsid w:val="00044168"/>
    <w:rsid w:val="0004785C"/>
    <w:rsid w:val="00051744"/>
    <w:rsid w:val="000518CD"/>
    <w:rsid w:val="00053C23"/>
    <w:rsid w:val="00056442"/>
    <w:rsid w:val="0006325F"/>
    <w:rsid w:val="0006479B"/>
    <w:rsid w:val="00067BB1"/>
    <w:rsid w:val="000730C4"/>
    <w:rsid w:val="00074464"/>
    <w:rsid w:val="00074796"/>
    <w:rsid w:val="000822A5"/>
    <w:rsid w:val="0008406E"/>
    <w:rsid w:val="00086798"/>
    <w:rsid w:val="00096D99"/>
    <w:rsid w:val="000A6ABA"/>
    <w:rsid w:val="000A6FF5"/>
    <w:rsid w:val="000B59E7"/>
    <w:rsid w:val="000B70F0"/>
    <w:rsid w:val="000C069B"/>
    <w:rsid w:val="000C453B"/>
    <w:rsid w:val="000C6C7E"/>
    <w:rsid w:val="000D1120"/>
    <w:rsid w:val="000D48D8"/>
    <w:rsid w:val="000D6F4A"/>
    <w:rsid w:val="000D6FB1"/>
    <w:rsid w:val="000D71C7"/>
    <w:rsid w:val="000D7FA9"/>
    <w:rsid w:val="000E3087"/>
    <w:rsid w:val="000E3155"/>
    <w:rsid w:val="000E421C"/>
    <w:rsid w:val="000E4F48"/>
    <w:rsid w:val="000E7510"/>
    <w:rsid w:val="000F0D14"/>
    <w:rsid w:val="000F11A8"/>
    <w:rsid w:val="000F176E"/>
    <w:rsid w:val="000F2B18"/>
    <w:rsid w:val="00122B0B"/>
    <w:rsid w:val="001371F0"/>
    <w:rsid w:val="00143934"/>
    <w:rsid w:val="001523A2"/>
    <w:rsid w:val="00154E72"/>
    <w:rsid w:val="001612C8"/>
    <w:rsid w:val="00164C73"/>
    <w:rsid w:val="001651AD"/>
    <w:rsid w:val="00171DCE"/>
    <w:rsid w:val="00173EF3"/>
    <w:rsid w:val="00173FF9"/>
    <w:rsid w:val="00176C1C"/>
    <w:rsid w:val="001821EB"/>
    <w:rsid w:val="001830C6"/>
    <w:rsid w:val="00191727"/>
    <w:rsid w:val="00191EF9"/>
    <w:rsid w:val="001966EF"/>
    <w:rsid w:val="001A4EE7"/>
    <w:rsid w:val="001B1D18"/>
    <w:rsid w:val="001B3286"/>
    <w:rsid w:val="001B37C0"/>
    <w:rsid w:val="001B524D"/>
    <w:rsid w:val="001D0208"/>
    <w:rsid w:val="001D4C63"/>
    <w:rsid w:val="001E11A0"/>
    <w:rsid w:val="001E3D37"/>
    <w:rsid w:val="001F4F16"/>
    <w:rsid w:val="00202A93"/>
    <w:rsid w:val="00203F39"/>
    <w:rsid w:val="002118C6"/>
    <w:rsid w:val="00217770"/>
    <w:rsid w:val="00221039"/>
    <w:rsid w:val="0022723C"/>
    <w:rsid w:val="00227326"/>
    <w:rsid w:val="0023308B"/>
    <w:rsid w:val="002408A5"/>
    <w:rsid w:val="0024364B"/>
    <w:rsid w:val="002446CF"/>
    <w:rsid w:val="00245DFB"/>
    <w:rsid w:val="0025016D"/>
    <w:rsid w:val="00260FF2"/>
    <w:rsid w:val="00261D64"/>
    <w:rsid w:val="0026678D"/>
    <w:rsid w:val="002703EC"/>
    <w:rsid w:val="0027284F"/>
    <w:rsid w:val="002762E7"/>
    <w:rsid w:val="002766B4"/>
    <w:rsid w:val="002800C0"/>
    <w:rsid w:val="00286D43"/>
    <w:rsid w:val="002A03AD"/>
    <w:rsid w:val="002A3C58"/>
    <w:rsid w:val="002A4951"/>
    <w:rsid w:val="002B1134"/>
    <w:rsid w:val="002B2342"/>
    <w:rsid w:val="002B4D68"/>
    <w:rsid w:val="002B52FA"/>
    <w:rsid w:val="002B6B74"/>
    <w:rsid w:val="002C0F06"/>
    <w:rsid w:val="002C3B1F"/>
    <w:rsid w:val="002C796F"/>
    <w:rsid w:val="002D046F"/>
    <w:rsid w:val="002D054F"/>
    <w:rsid w:val="002D0620"/>
    <w:rsid w:val="002D4CA8"/>
    <w:rsid w:val="002D5DA0"/>
    <w:rsid w:val="002F265E"/>
    <w:rsid w:val="002F4148"/>
    <w:rsid w:val="003032E3"/>
    <w:rsid w:val="0030549F"/>
    <w:rsid w:val="00306E16"/>
    <w:rsid w:val="00306FF9"/>
    <w:rsid w:val="00310641"/>
    <w:rsid w:val="00312771"/>
    <w:rsid w:val="00320320"/>
    <w:rsid w:val="003266A6"/>
    <w:rsid w:val="00326D96"/>
    <w:rsid w:val="00331884"/>
    <w:rsid w:val="003333F3"/>
    <w:rsid w:val="00333D48"/>
    <w:rsid w:val="00334BBB"/>
    <w:rsid w:val="0033526F"/>
    <w:rsid w:val="00337565"/>
    <w:rsid w:val="00343FB3"/>
    <w:rsid w:val="003464C5"/>
    <w:rsid w:val="003474AA"/>
    <w:rsid w:val="003475EE"/>
    <w:rsid w:val="003476DB"/>
    <w:rsid w:val="00353CDC"/>
    <w:rsid w:val="00356F7C"/>
    <w:rsid w:val="0036046C"/>
    <w:rsid w:val="0036084A"/>
    <w:rsid w:val="00361D75"/>
    <w:rsid w:val="00363F43"/>
    <w:rsid w:val="003726F5"/>
    <w:rsid w:val="00376DF8"/>
    <w:rsid w:val="00381DC6"/>
    <w:rsid w:val="0038489B"/>
    <w:rsid w:val="0038652B"/>
    <w:rsid w:val="003901F4"/>
    <w:rsid w:val="00392614"/>
    <w:rsid w:val="0039406D"/>
    <w:rsid w:val="003A101B"/>
    <w:rsid w:val="003A4E5B"/>
    <w:rsid w:val="003B2E6E"/>
    <w:rsid w:val="003B414B"/>
    <w:rsid w:val="003B652D"/>
    <w:rsid w:val="003B689F"/>
    <w:rsid w:val="003C3835"/>
    <w:rsid w:val="003C6BE0"/>
    <w:rsid w:val="003D20C8"/>
    <w:rsid w:val="003D41C0"/>
    <w:rsid w:val="003E069B"/>
    <w:rsid w:val="003E272E"/>
    <w:rsid w:val="003E4F5C"/>
    <w:rsid w:val="003E6478"/>
    <w:rsid w:val="003F36AE"/>
    <w:rsid w:val="003F4AD5"/>
    <w:rsid w:val="003F5727"/>
    <w:rsid w:val="003F6B89"/>
    <w:rsid w:val="003F706A"/>
    <w:rsid w:val="00400893"/>
    <w:rsid w:val="00401119"/>
    <w:rsid w:val="00403AB2"/>
    <w:rsid w:val="00411679"/>
    <w:rsid w:val="00411D56"/>
    <w:rsid w:val="0041537E"/>
    <w:rsid w:val="0041591F"/>
    <w:rsid w:val="00415A7A"/>
    <w:rsid w:val="004238AC"/>
    <w:rsid w:val="0043207D"/>
    <w:rsid w:val="00434514"/>
    <w:rsid w:val="00435AF3"/>
    <w:rsid w:val="00440823"/>
    <w:rsid w:val="00450DB7"/>
    <w:rsid w:val="00453052"/>
    <w:rsid w:val="00456D2E"/>
    <w:rsid w:val="00460FB6"/>
    <w:rsid w:val="00461C68"/>
    <w:rsid w:val="00467FD9"/>
    <w:rsid w:val="0047021C"/>
    <w:rsid w:val="00471939"/>
    <w:rsid w:val="00475457"/>
    <w:rsid w:val="00486E62"/>
    <w:rsid w:val="004945BC"/>
    <w:rsid w:val="004B14D6"/>
    <w:rsid w:val="004B3051"/>
    <w:rsid w:val="004C42BC"/>
    <w:rsid w:val="004C5C81"/>
    <w:rsid w:val="004C79AB"/>
    <w:rsid w:val="004D21C6"/>
    <w:rsid w:val="004D3B72"/>
    <w:rsid w:val="004D528F"/>
    <w:rsid w:val="004D60A0"/>
    <w:rsid w:val="004D651C"/>
    <w:rsid w:val="004E353F"/>
    <w:rsid w:val="004E4D21"/>
    <w:rsid w:val="004F2108"/>
    <w:rsid w:val="004F6DFF"/>
    <w:rsid w:val="004F774A"/>
    <w:rsid w:val="004F7DE7"/>
    <w:rsid w:val="005007F4"/>
    <w:rsid w:val="00500E1A"/>
    <w:rsid w:val="00501442"/>
    <w:rsid w:val="00501D7A"/>
    <w:rsid w:val="005069DF"/>
    <w:rsid w:val="00510313"/>
    <w:rsid w:val="0052148B"/>
    <w:rsid w:val="0052169B"/>
    <w:rsid w:val="005230FE"/>
    <w:rsid w:val="00523C12"/>
    <w:rsid w:val="00524009"/>
    <w:rsid w:val="00525B4C"/>
    <w:rsid w:val="00526FE3"/>
    <w:rsid w:val="005279FA"/>
    <w:rsid w:val="00533486"/>
    <w:rsid w:val="00542013"/>
    <w:rsid w:val="0054276A"/>
    <w:rsid w:val="00550B49"/>
    <w:rsid w:val="00550BD1"/>
    <w:rsid w:val="00553CF7"/>
    <w:rsid w:val="0056010E"/>
    <w:rsid w:val="00567088"/>
    <w:rsid w:val="00571F5C"/>
    <w:rsid w:val="00576F10"/>
    <w:rsid w:val="00577B7C"/>
    <w:rsid w:val="00592A63"/>
    <w:rsid w:val="005A5AF9"/>
    <w:rsid w:val="005B42C3"/>
    <w:rsid w:val="005B4E89"/>
    <w:rsid w:val="005B681E"/>
    <w:rsid w:val="005D5A44"/>
    <w:rsid w:val="005D78C7"/>
    <w:rsid w:val="005E5C25"/>
    <w:rsid w:val="005F28D9"/>
    <w:rsid w:val="005F5275"/>
    <w:rsid w:val="005F5E0A"/>
    <w:rsid w:val="005F72F3"/>
    <w:rsid w:val="005F739E"/>
    <w:rsid w:val="006063C4"/>
    <w:rsid w:val="00610DD3"/>
    <w:rsid w:val="00612A72"/>
    <w:rsid w:val="00613E96"/>
    <w:rsid w:val="00613FAC"/>
    <w:rsid w:val="00615CD6"/>
    <w:rsid w:val="0062399F"/>
    <w:rsid w:val="00624148"/>
    <w:rsid w:val="00634E31"/>
    <w:rsid w:val="006376E4"/>
    <w:rsid w:val="00641052"/>
    <w:rsid w:val="00644629"/>
    <w:rsid w:val="006453C6"/>
    <w:rsid w:val="006472EB"/>
    <w:rsid w:val="00650C45"/>
    <w:rsid w:val="00653334"/>
    <w:rsid w:val="00653472"/>
    <w:rsid w:val="006547C2"/>
    <w:rsid w:val="00661333"/>
    <w:rsid w:val="00667DE7"/>
    <w:rsid w:val="0068132D"/>
    <w:rsid w:val="0069012A"/>
    <w:rsid w:val="00693B5F"/>
    <w:rsid w:val="00696BB1"/>
    <w:rsid w:val="006A13BA"/>
    <w:rsid w:val="006A5781"/>
    <w:rsid w:val="006B63DF"/>
    <w:rsid w:val="006C088B"/>
    <w:rsid w:val="006C166F"/>
    <w:rsid w:val="006C3609"/>
    <w:rsid w:val="006C4918"/>
    <w:rsid w:val="006C4EBB"/>
    <w:rsid w:val="006C58C4"/>
    <w:rsid w:val="006C5E26"/>
    <w:rsid w:val="006C7326"/>
    <w:rsid w:val="006D06BD"/>
    <w:rsid w:val="006D07C0"/>
    <w:rsid w:val="006D55BE"/>
    <w:rsid w:val="006D75F0"/>
    <w:rsid w:val="006D7DE9"/>
    <w:rsid w:val="006E339F"/>
    <w:rsid w:val="006E5D98"/>
    <w:rsid w:val="006E79B8"/>
    <w:rsid w:val="006F4853"/>
    <w:rsid w:val="007006CF"/>
    <w:rsid w:val="00705149"/>
    <w:rsid w:val="007056E1"/>
    <w:rsid w:val="007144FC"/>
    <w:rsid w:val="00714514"/>
    <w:rsid w:val="0072302A"/>
    <w:rsid w:val="00723452"/>
    <w:rsid w:val="007366E3"/>
    <w:rsid w:val="00743EB2"/>
    <w:rsid w:val="007454EC"/>
    <w:rsid w:val="007458BD"/>
    <w:rsid w:val="007471FA"/>
    <w:rsid w:val="00747B28"/>
    <w:rsid w:val="0075199E"/>
    <w:rsid w:val="007567B0"/>
    <w:rsid w:val="00764B1B"/>
    <w:rsid w:val="00764E4B"/>
    <w:rsid w:val="007658D4"/>
    <w:rsid w:val="00767869"/>
    <w:rsid w:val="00770CB5"/>
    <w:rsid w:val="00771183"/>
    <w:rsid w:val="007777C5"/>
    <w:rsid w:val="007830DC"/>
    <w:rsid w:val="00783257"/>
    <w:rsid w:val="00783660"/>
    <w:rsid w:val="00784009"/>
    <w:rsid w:val="00790099"/>
    <w:rsid w:val="0079100D"/>
    <w:rsid w:val="007941B2"/>
    <w:rsid w:val="007A4A72"/>
    <w:rsid w:val="007A4F50"/>
    <w:rsid w:val="007A5C55"/>
    <w:rsid w:val="007A6FB8"/>
    <w:rsid w:val="007B703B"/>
    <w:rsid w:val="007B7868"/>
    <w:rsid w:val="007C0494"/>
    <w:rsid w:val="007C352A"/>
    <w:rsid w:val="007C3761"/>
    <w:rsid w:val="007C3BA0"/>
    <w:rsid w:val="007C4A18"/>
    <w:rsid w:val="007C5E18"/>
    <w:rsid w:val="007C6406"/>
    <w:rsid w:val="007D0634"/>
    <w:rsid w:val="007D3555"/>
    <w:rsid w:val="007E55BA"/>
    <w:rsid w:val="007E5E23"/>
    <w:rsid w:val="007F0631"/>
    <w:rsid w:val="007F17FF"/>
    <w:rsid w:val="007F3364"/>
    <w:rsid w:val="008021ED"/>
    <w:rsid w:val="0080369E"/>
    <w:rsid w:val="00806585"/>
    <w:rsid w:val="0080754F"/>
    <w:rsid w:val="00816D01"/>
    <w:rsid w:val="00817909"/>
    <w:rsid w:val="008415E5"/>
    <w:rsid w:val="008509CD"/>
    <w:rsid w:val="0085511F"/>
    <w:rsid w:val="0085587D"/>
    <w:rsid w:val="00857C69"/>
    <w:rsid w:val="00864568"/>
    <w:rsid w:val="008655E0"/>
    <w:rsid w:val="00865801"/>
    <w:rsid w:val="008679F5"/>
    <w:rsid w:val="0087265D"/>
    <w:rsid w:val="00874F64"/>
    <w:rsid w:val="00877FA5"/>
    <w:rsid w:val="00880D57"/>
    <w:rsid w:val="008952FD"/>
    <w:rsid w:val="00895E02"/>
    <w:rsid w:val="008A20E8"/>
    <w:rsid w:val="008B0DD7"/>
    <w:rsid w:val="008B20A9"/>
    <w:rsid w:val="008B4085"/>
    <w:rsid w:val="008B5D42"/>
    <w:rsid w:val="008B6C01"/>
    <w:rsid w:val="008B76AE"/>
    <w:rsid w:val="008C07B5"/>
    <w:rsid w:val="008C0B97"/>
    <w:rsid w:val="008C32D3"/>
    <w:rsid w:val="008E0D1B"/>
    <w:rsid w:val="008F03AC"/>
    <w:rsid w:val="008F2491"/>
    <w:rsid w:val="008F4D0A"/>
    <w:rsid w:val="008F69E7"/>
    <w:rsid w:val="008F7F70"/>
    <w:rsid w:val="00900A47"/>
    <w:rsid w:val="00906CB6"/>
    <w:rsid w:val="00910BC6"/>
    <w:rsid w:val="00917D9E"/>
    <w:rsid w:val="0092660D"/>
    <w:rsid w:val="00930151"/>
    <w:rsid w:val="00933ED8"/>
    <w:rsid w:val="009371A3"/>
    <w:rsid w:val="009442FC"/>
    <w:rsid w:val="009464A6"/>
    <w:rsid w:val="00946C16"/>
    <w:rsid w:val="009470EC"/>
    <w:rsid w:val="00952EE8"/>
    <w:rsid w:val="00953A47"/>
    <w:rsid w:val="0096068B"/>
    <w:rsid w:val="00962CCB"/>
    <w:rsid w:val="00973D29"/>
    <w:rsid w:val="0098448D"/>
    <w:rsid w:val="00984AD8"/>
    <w:rsid w:val="00990E61"/>
    <w:rsid w:val="009961BB"/>
    <w:rsid w:val="009A59A5"/>
    <w:rsid w:val="009A798C"/>
    <w:rsid w:val="009B41B1"/>
    <w:rsid w:val="009B4BCC"/>
    <w:rsid w:val="009C20A4"/>
    <w:rsid w:val="009C4019"/>
    <w:rsid w:val="009D4684"/>
    <w:rsid w:val="009D73ED"/>
    <w:rsid w:val="009E0DF6"/>
    <w:rsid w:val="009E73C2"/>
    <w:rsid w:val="009F5B84"/>
    <w:rsid w:val="009F6AA7"/>
    <w:rsid w:val="00A03846"/>
    <w:rsid w:val="00A0442B"/>
    <w:rsid w:val="00A0563C"/>
    <w:rsid w:val="00A0649E"/>
    <w:rsid w:val="00A07296"/>
    <w:rsid w:val="00A134FB"/>
    <w:rsid w:val="00A177AE"/>
    <w:rsid w:val="00A34616"/>
    <w:rsid w:val="00A418A5"/>
    <w:rsid w:val="00A456C2"/>
    <w:rsid w:val="00A572C7"/>
    <w:rsid w:val="00A60B94"/>
    <w:rsid w:val="00A62208"/>
    <w:rsid w:val="00A65091"/>
    <w:rsid w:val="00A67137"/>
    <w:rsid w:val="00A73184"/>
    <w:rsid w:val="00A8014D"/>
    <w:rsid w:val="00A805D1"/>
    <w:rsid w:val="00A84D34"/>
    <w:rsid w:val="00A91284"/>
    <w:rsid w:val="00A945BB"/>
    <w:rsid w:val="00A953A9"/>
    <w:rsid w:val="00A96163"/>
    <w:rsid w:val="00AA6CC0"/>
    <w:rsid w:val="00AB2F0B"/>
    <w:rsid w:val="00AB4144"/>
    <w:rsid w:val="00AB4DE6"/>
    <w:rsid w:val="00AB52CC"/>
    <w:rsid w:val="00AB5D3D"/>
    <w:rsid w:val="00AB5F86"/>
    <w:rsid w:val="00AC029A"/>
    <w:rsid w:val="00AC1E01"/>
    <w:rsid w:val="00AC427F"/>
    <w:rsid w:val="00AC45E8"/>
    <w:rsid w:val="00AD054B"/>
    <w:rsid w:val="00AD3BF2"/>
    <w:rsid w:val="00AE6215"/>
    <w:rsid w:val="00AF397E"/>
    <w:rsid w:val="00B0078D"/>
    <w:rsid w:val="00B01720"/>
    <w:rsid w:val="00B057CE"/>
    <w:rsid w:val="00B06AFD"/>
    <w:rsid w:val="00B06D04"/>
    <w:rsid w:val="00B101C8"/>
    <w:rsid w:val="00B129AB"/>
    <w:rsid w:val="00B12F8E"/>
    <w:rsid w:val="00B16332"/>
    <w:rsid w:val="00B202BA"/>
    <w:rsid w:val="00B2308F"/>
    <w:rsid w:val="00B244DB"/>
    <w:rsid w:val="00B3224F"/>
    <w:rsid w:val="00B44BAF"/>
    <w:rsid w:val="00B45401"/>
    <w:rsid w:val="00B61C6B"/>
    <w:rsid w:val="00B63969"/>
    <w:rsid w:val="00B650BA"/>
    <w:rsid w:val="00B74606"/>
    <w:rsid w:val="00B84EE9"/>
    <w:rsid w:val="00B86E27"/>
    <w:rsid w:val="00B9609C"/>
    <w:rsid w:val="00BA188E"/>
    <w:rsid w:val="00BA3283"/>
    <w:rsid w:val="00BA3B7E"/>
    <w:rsid w:val="00BA4CF1"/>
    <w:rsid w:val="00BB1A3B"/>
    <w:rsid w:val="00BB4A9B"/>
    <w:rsid w:val="00BB7254"/>
    <w:rsid w:val="00BC0975"/>
    <w:rsid w:val="00BE20B8"/>
    <w:rsid w:val="00BF3F8E"/>
    <w:rsid w:val="00BF516E"/>
    <w:rsid w:val="00C0275A"/>
    <w:rsid w:val="00C04931"/>
    <w:rsid w:val="00C06DF2"/>
    <w:rsid w:val="00C10A6B"/>
    <w:rsid w:val="00C10DCB"/>
    <w:rsid w:val="00C171A7"/>
    <w:rsid w:val="00C17DD7"/>
    <w:rsid w:val="00C3000D"/>
    <w:rsid w:val="00C35CE9"/>
    <w:rsid w:val="00C42936"/>
    <w:rsid w:val="00C44473"/>
    <w:rsid w:val="00C47DF1"/>
    <w:rsid w:val="00C518F6"/>
    <w:rsid w:val="00C55089"/>
    <w:rsid w:val="00C61ABF"/>
    <w:rsid w:val="00C61C6C"/>
    <w:rsid w:val="00C66ABA"/>
    <w:rsid w:val="00C66F64"/>
    <w:rsid w:val="00C74A58"/>
    <w:rsid w:val="00C74B95"/>
    <w:rsid w:val="00C7568F"/>
    <w:rsid w:val="00C842CB"/>
    <w:rsid w:val="00C8528F"/>
    <w:rsid w:val="00C86107"/>
    <w:rsid w:val="00C86ACE"/>
    <w:rsid w:val="00C874E3"/>
    <w:rsid w:val="00C909C5"/>
    <w:rsid w:val="00CA62B1"/>
    <w:rsid w:val="00CA6C64"/>
    <w:rsid w:val="00CB1E4C"/>
    <w:rsid w:val="00CB2072"/>
    <w:rsid w:val="00CB5650"/>
    <w:rsid w:val="00CB7FB1"/>
    <w:rsid w:val="00CC0689"/>
    <w:rsid w:val="00CC23C4"/>
    <w:rsid w:val="00CC66F3"/>
    <w:rsid w:val="00CC7F88"/>
    <w:rsid w:val="00CD52CC"/>
    <w:rsid w:val="00CD6CED"/>
    <w:rsid w:val="00CD77C4"/>
    <w:rsid w:val="00CE7265"/>
    <w:rsid w:val="00CE7DE3"/>
    <w:rsid w:val="00CF7EF6"/>
    <w:rsid w:val="00D006D4"/>
    <w:rsid w:val="00D01362"/>
    <w:rsid w:val="00D06395"/>
    <w:rsid w:val="00D108F8"/>
    <w:rsid w:val="00D12B41"/>
    <w:rsid w:val="00D17ED2"/>
    <w:rsid w:val="00D21435"/>
    <w:rsid w:val="00D2732E"/>
    <w:rsid w:val="00D302D3"/>
    <w:rsid w:val="00D42EFC"/>
    <w:rsid w:val="00D431EB"/>
    <w:rsid w:val="00D4364F"/>
    <w:rsid w:val="00D5029B"/>
    <w:rsid w:val="00D53010"/>
    <w:rsid w:val="00D53A14"/>
    <w:rsid w:val="00D558D4"/>
    <w:rsid w:val="00D64430"/>
    <w:rsid w:val="00D65C5F"/>
    <w:rsid w:val="00D6606C"/>
    <w:rsid w:val="00D71276"/>
    <w:rsid w:val="00D718D3"/>
    <w:rsid w:val="00D71FA7"/>
    <w:rsid w:val="00D74E1C"/>
    <w:rsid w:val="00D751BF"/>
    <w:rsid w:val="00D77E51"/>
    <w:rsid w:val="00D85078"/>
    <w:rsid w:val="00D90E78"/>
    <w:rsid w:val="00D91452"/>
    <w:rsid w:val="00D94356"/>
    <w:rsid w:val="00DA0663"/>
    <w:rsid w:val="00DA2DDE"/>
    <w:rsid w:val="00DA657E"/>
    <w:rsid w:val="00DB047D"/>
    <w:rsid w:val="00DC00CE"/>
    <w:rsid w:val="00DC2B70"/>
    <w:rsid w:val="00DC5290"/>
    <w:rsid w:val="00DC6EAF"/>
    <w:rsid w:val="00DD67B3"/>
    <w:rsid w:val="00DE2AFC"/>
    <w:rsid w:val="00DE3A85"/>
    <w:rsid w:val="00DE658C"/>
    <w:rsid w:val="00DE75C9"/>
    <w:rsid w:val="00DF4B23"/>
    <w:rsid w:val="00E02828"/>
    <w:rsid w:val="00E0429A"/>
    <w:rsid w:val="00E047D1"/>
    <w:rsid w:val="00E04D34"/>
    <w:rsid w:val="00E04DEA"/>
    <w:rsid w:val="00E066B7"/>
    <w:rsid w:val="00E214DE"/>
    <w:rsid w:val="00E2577B"/>
    <w:rsid w:val="00E27A5B"/>
    <w:rsid w:val="00E351C4"/>
    <w:rsid w:val="00E361A4"/>
    <w:rsid w:val="00E4053D"/>
    <w:rsid w:val="00E41122"/>
    <w:rsid w:val="00E46D01"/>
    <w:rsid w:val="00E530E3"/>
    <w:rsid w:val="00E53C3D"/>
    <w:rsid w:val="00E54093"/>
    <w:rsid w:val="00E54D09"/>
    <w:rsid w:val="00E56EA5"/>
    <w:rsid w:val="00E62D7F"/>
    <w:rsid w:val="00E70084"/>
    <w:rsid w:val="00E700C3"/>
    <w:rsid w:val="00E70331"/>
    <w:rsid w:val="00E73B89"/>
    <w:rsid w:val="00E924C3"/>
    <w:rsid w:val="00E94933"/>
    <w:rsid w:val="00E94F07"/>
    <w:rsid w:val="00E96CFA"/>
    <w:rsid w:val="00EA3DA2"/>
    <w:rsid w:val="00EA5166"/>
    <w:rsid w:val="00EB10EC"/>
    <w:rsid w:val="00EB10ED"/>
    <w:rsid w:val="00EB2059"/>
    <w:rsid w:val="00EC1A7F"/>
    <w:rsid w:val="00ED3599"/>
    <w:rsid w:val="00ED5495"/>
    <w:rsid w:val="00ED56D2"/>
    <w:rsid w:val="00EE561D"/>
    <w:rsid w:val="00EF56EF"/>
    <w:rsid w:val="00F021DC"/>
    <w:rsid w:val="00F143D3"/>
    <w:rsid w:val="00F2145B"/>
    <w:rsid w:val="00F30470"/>
    <w:rsid w:val="00F32C5F"/>
    <w:rsid w:val="00F349BE"/>
    <w:rsid w:val="00F50219"/>
    <w:rsid w:val="00F52258"/>
    <w:rsid w:val="00F6513C"/>
    <w:rsid w:val="00F726D0"/>
    <w:rsid w:val="00F7308C"/>
    <w:rsid w:val="00F735AC"/>
    <w:rsid w:val="00F80A19"/>
    <w:rsid w:val="00F82D22"/>
    <w:rsid w:val="00F918A4"/>
    <w:rsid w:val="00FA2528"/>
    <w:rsid w:val="00FA2CB5"/>
    <w:rsid w:val="00FA5821"/>
    <w:rsid w:val="00FA6353"/>
    <w:rsid w:val="00FA660D"/>
    <w:rsid w:val="00FA72F3"/>
    <w:rsid w:val="00FB0AEC"/>
    <w:rsid w:val="00FB210C"/>
    <w:rsid w:val="00FB2EB0"/>
    <w:rsid w:val="00FB40EA"/>
    <w:rsid w:val="00FC0A42"/>
    <w:rsid w:val="00FC1912"/>
    <w:rsid w:val="00FC2CC4"/>
    <w:rsid w:val="00FC4E68"/>
    <w:rsid w:val="00FC5871"/>
    <w:rsid w:val="00FC66D2"/>
    <w:rsid w:val="00FD09A5"/>
    <w:rsid w:val="00FD23CA"/>
    <w:rsid w:val="00FD3986"/>
    <w:rsid w:val="00FD5AF2"/>
    <w:rsid w:val="00FE10D1"/>
    <w:rsid w:val="00FE3D99"/>
    <w:rsid w:val="00FE67BE"/>
    <w:rsid w:val="00FE7FAF"/>
    <w:rsid w:val="00FF0B34"/>
    <w:rsid w:val="00FF4581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38580E"/>
  <w15:chartTrackingRefBased/>
  <w15:docId w15:val="{04BCE084-8761-4CCC-994F-6E4E9369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F17FF"/>
    <w:pPr>
      <w:keepNext/>
      <w:spacing w:before="60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785C"/>
    <w:pPr>
      <w:keepNext/>
      <w:spacing w:before="240" w:line="480" w:lineRule="auto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7E55BA"/>
    <w:pPr>
      <w:keepNext/>
      <w:spacing w:before="48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A19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A19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A19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A19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A195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A195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A195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A195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A1955"/>
    <w:rPr>
      <w:rFonts w:ascii="Cambria" w:eastAsia="Times New Roman" w:hAnsi="Cambri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955"/>
    <w:rPr>
      <w:sz w:val="24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1"/>
    <w:rsid w:val="004C79AB"/>
    <w:pPr>
      <w:spacing w:line="480" w:lineRule="auto"/>
      <w:ind w:firstLine="720"/>
    </w:pPr>
  </w:style>
  <w:style w:type="character" w:customStyle="1" w:styleId="BodyTextChar1">
    <w:name w:val="Body Text Char1"/>
    <w:link w:val="BodyText"/>
    <w:uiPriority w:val="99"/>
    <w:locked/>
    <w:rsid w:val="004C79AB"/>
    <w:rPr>
      <w:rFonts w:cs="Times New Roman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pPr>
      <w:spacing w:line="480" w:lineRule="auto"/>
      <w:ind w:firstLine="720"/>
    </w:pPr>
  </w:style>
  <w:style w:type="character" w:customStyle="1" w:styleId="BodyTextIndentChar">
    <w:name w:val="Body Text Indent Char"/>
    <w:link w:val="BodyTextIndent"/>
    <w:uiPriority w:val="99"/>
    <w:semiHidden/>
    <w:rsid w:val="001A1955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1A1955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pPr>
      <w:tabs>
        <w:tab w:val="left" w:pos="-1440"/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right="720"/>
    </w:pPr>
  </w:style>
  <w:style w:type="character" w:customStyle="1" w:styleId="BodyText3Char">
    <w:name w:val="Body Text 3 Char"/>
    <w:link w:val="BodyText3"/>
    <w:uiPriority w:val="99"/>
    <w:semiHidden/>
    <w:rsid w:val="001A1955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705149"/>
    <w:pPr>
      <w:spacing w:after="240"/>
    </w:pPr>
  </w:style>
  <w:style w:type="character" w:customStyle="1" w:styleId="BodyText2Char">
    <w:name w:val="Body Text 2 Char"/>
    <w:link w:val="BodyText2"/>
    <w:uiPriority w:val="99"/>
    <w:semiHidden/>
    <w:rsid w:val="001A1955"/>
    <w:rPr>
      <w:sz w:val="24"/>
    </w:rPr>
  </w:style>
  <w:style w:type="paragraph" w:styleId="BodyTextIndent3">
    <w:name w:val="Body Text Indent 3"/>
    <w:basedOn w:val="Normal"/>
    <w:link w:val="BodyTextIndent3Char"/>
    <w:uiPriority w:val="99"/>
    <w:pPr>
      <w:spacing w:line="480" w:lineRule="auto"/>
      <w:ind w:firstLine="720"/>
    </w:pPr>
  </w:style>
  <w:style w:type="character" w:customStyle="1" w:styleId="BodyTextIndent3Char">
    <w:name w:val="Body Text Indent 3 Char"/>
    <w:link w:val="BodyTextIndent3"/>
    <w:uiPriority w:val="99"/>
    <w:semiHidden/>
    <w:rsid w:val="001A1955"/>
    <w:rPr>
      <w:sz w:val="16"/>
      <w:szCs w:val="16"/>
    </w:rPr>
  </w:style>
  <w:style w:type="paragraph" w:styleId="TOC6">
    <w:name w:val="toc 6"/>
    <w:basedOn w:val="Normal"/>
    <w:next w:val="Normal"/>
    <w:autoRedefine/>
    <w:uiPriority w:val="39"/>
    <w:semiHidden/>
    <w:rsid w:val="00E0429A"/>
    <w:pPr>
      <w:numPr>
        <w:numId w:val="15"/>
      </w:numPr>
      <w:spacing w:line="480" w:lineRule="auto"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tiny1">
    <w:name w:val="tiny1"/>
    <w:rPr>
      <w:rFonts w:ascii="Verdana" w:hAnsi="Verdana" w:cs="Times New Roman"/>
      <w:sz w:val="15"/>
      <w:szCs w:val="15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firstLine="720"/>
    </w:pPr>
  </w:style>
  <w:style w:type="character" w:customStyle="1" w:styleId="BodyTextIndent2Char">
    <w:name w:val="Body Text Indent 2 Char"/>
    <w:link w:val="BodyTextIndent2"/>
    <w:uiPriority w:val="99"/>
    <w:semiHidden/>
    <w:rsid w:val="001A1955"/>
    <w:rPr>
      <w:sz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1A195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1955"/>
    <w:rPr>
      <w:sz w:val="0"/>
      <w:szCs w:val="0"/>
    </w:rPr>
  </w:style>
  <w:style w:type="paragraph" w:styleId="TOC2">
    <w:name w:val="toc 2"/>
    <w:basedOn w:val="Normal"/>
    <w:next w:val="Normal"/>
    <w:autoRedefine/>
    <w:uiPriority w:val="39"/>
    <w:semiHidden/>
    <w:rsid w:val="00E56EA5"/>
    <w:pPr>
      <w:ind w:left="240"/>
    </w:pPr>
  </w:style>
  <w:style w:type="paragraph" w:styleId="Header">
    <w:name w:val="header"/>
    <w:basedOn w:val="Normal"/>
    <w:link w:val="HeaderChar"/>
    <w:uiPriority w:val="99"/>
    <w:rsid w:val="00770C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1A1955"/>
    <w:rPr>
      <w:sz w:val="24"/>
    </w:r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paragraph" w:customStyle="1" w:styleId="StyleHeading3NotBoldItalicLeft05Firstline0">
    <w:name w:val="Style Heading 3 + Not Bold Italic Left:  0.5&quot; First line:  0&quot;"/>
    <w:basedOn w:val="Heading3"/>
    <w:rsid w:val="007E55BA"/>
    <w:rPr>
      <w:b/>
      <w:i w:val="0"/>
      <w:iCs/>
    </w:rPr>
  </w:style>
  <w:style w:type="paragraph" w:customStyle="1" w:styleId="StyleHeading3NotBoldItalicLeft05Firstline0L">
    <w:name w:val="Style Heading 3 + Not Bold Italic Left:  0.5&quot; First line:  0&quot; L..."/>
    <w:basedOn w:val="Heading3"/>
    <w:rsid w:val="007E55BA"/>
    <w:pPr>
      <w:ind w:left="720"/>
    </w:pPr>
    <w:rPr>
      <w:b/>
      <w:i w:val="0"/>
      <w:iCs/>
    </w:rPr>
  </w:style>
  <w:style w:type="character" w:customStyle="1" w:styleId="CharChar">
    <w:name w:val="Char Char"/>
    <w:rsid w:val="002A3C58"/>
    <w:rPr>
      <w:rFonts w:cs="Times New Roman"/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ED359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955"/>
  </w:style>
  <w:style w:type="character" w:styleId="FootnoteReference">
    <w:name w:val="footnote reference"/>
    <w:uiPriority w:val="99"/>
    <w:semiHidden/>
    <w:rsid w:val="00ED3599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7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old">
    <w:name w:val="Body Text + Bold"/>
    <w:basedOn w:val="BodyText"/>
    <w:next w:val="BodyText"/>
    <w:rsid w:val="00705149"/>
    <w:pPr>
      <w:spacing w:line="240" w:lineRule="auto"/>
      <w:ind w:firstLine="0"/>
    </w:pPr>
    <w:rPr>
      <w:b/>
      <w:bCs/>
    </w:rPr>
  </w:style>
  <w:style w:type="paragraph" w:customStyle="1" w:styleId="PictureHeading">
    <w:name w:val="Picture Heading"/>
    <w:basedOn w:val="Normal"/>
    <w:rsid w:val="009B41B1"/>
    <w:pPr>
      <w:spacing w:after="240"/>
    </w:pPr>
    <w:rPr>
      <w:b/>
    </w:rPr>
  </w:style>
  <w:style w:type="paragraph" w:customStyle="1" w:styleId="PictureDescription">
    <w:name w:val="Picture Description"/>
    <w:basedOn w:val="Normal"/>
    <w:rsid w:val="009B41B1"/>
    <w:pPr>
      <w:spacing w:before="240" w:after="240"/>
      <w:jc w:val="center"/>
    </w:pPr>
    <w:rPr>
      <w:b/>
    </w:rPr>
  </w:style>
  <w:style w:type="paragraph" w:customStyle="1" w:styleId="BackgroundTable">
    <w:name w:val="Background Table"/>
    <w:basedOn w:val="BodyTextBold"/>
    <w:rsid w:val="004C79AB"/>
  </w:style>
  <w:style w:type="paragraph" w:customStyle="1" w:styleId="BackgroundInfo">
    <w:name w:val="Background Info"/>
    <w:basedOn w:val="BodyText"/>
    <w:rsid w:val="0004785C"/>
    <w:pPr>
      <w:spacing w:line="240" w:lineRule="auto"/>
      <w:ind w:firstLine="0"/>
    </w:pPr>
  </w:style>
  <w:style w:type="paragraph" w:customStyle="1" w:styleId="TableTextCentered">
    <w:name w:val="Table Text Centered"/>
    <w:basedOn w:val="BodyText"/>
    <w:rsid w:val="00D64430"/>
    <w:pPr>
      <w:spacing w:line="240" w:lineRule="auto"/>
      <w:ind w:firstLine="0"/>
      <w:jc w:val="center"/>
    </w:pPr>
    <w:rPr>
      <w:sz w:val="20"/>
    </w:rPr>
  </w:style>
  <w:style w:type="paragraph" w:customStyle="1" w:styleId="Heading2Left">
    <w:name w:val="Heading 2 + Left"/>
    <w:basedOn w:val="Heading2"/>
    <w:rsid w:val="00C10DCB"/>
    <w:pPr>
      <w:ind w:left="0"/>
    </w:pPr>
    <w:rPr>
      <w:bCs/>
    </w:rPr>
  </w:style>
  <w:style w:type="paragraph" w:customStyle="1" w:styleId="StyleBodyTextLeft025">
    <w:name w:val="Style Body Text + Left:  0.25&quot;"/>
    <w:basedOn w:val="BodyText"/>
    <w:rsid w:val="0004785C"/>
  </w:style>
  <w:style w:type="paragraph" w:customStyle="1" w:styleId="BodyTextLeft">
    <w:name w:val="Body Text + Left"/>
    <w:basedOn w:val="BodyText"/>
    <w:rsid w:val="0004785C"/>
    <w:pPr>
      <w:ind w:left="144" w:firstLine="0"/>
    </w:pPr>
  </w:style>
  <w:style w:type="character" w:styleId="FollowedHyperlink">
    <w:name w:val="FollowedHyperlink"/>
    <w:uiPriority w:val="99"/>
    <w:rsid w:val="00FA72F3"/>
    <w:rPr>
      <w:rFonts w:cs="Times New Roman"/>
      <w:color w:val="800080"/>
      <w:u w:val="single"/>
    </w:rPr>
  </w:style>
  <w:style w:type="paragraph" w:customStyle="1" w:styleId="StyleBodyTextLeft011Firstline0">
    <w:name w:val="Style Body Text + Left:  0.11&quot; First line:  0&quot;"/>
    <w:basedOn w:val="BodyText"/>
    <w:rsid w:val="001B524D"/>
    <w:pPr>
      <w:spacing w:before="240"/>
      <w:ind w:left="158" w:firstLine="0"/>
    </w:pPr>
  </w:style>
  <w:style w:type="numbering" w:customStyle="1" w:styleId="StyleNumbered">
    <w:name w:val="Style Numbered"/>
    <w:rsid w:val="001A1955"/>
    <w:pPr>
      <w:numPr>
        <w:numId w:val="6"/>
      </w:numPr>
    </w:pPr>
  </w:style>
  <w:style w:type="character" w:customStyle="1" w:styleId="BodyTextChar">
    <w:name w:val="Body Text Char"/>
    <w:rsid w:val="000D71C7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A6C64"/>
    <w:pPr>
      <w:ind w:left="720"/>
      <w:contextualSpacing/>
    </w:pPr>
    <w:rPr>
      <w:rFonts w:eastAsia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0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</vt:lpstr>
    </vt:vector>
  </TitlesOfParts>
  <Company>Department of Public Health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AIR QUALITY ASSESSMENT</dc:title>
  <dc:subject/>
  <dc:creator>Property of</dc:creator>
  <cp:keywords/>
  <cp:lastModifiedBy>Woo, Karl (EHS)</cp:lastModifiedBy>
  <cp:revision>2</cp:revision>
  <cp:lastPrinted>2015-06-10T16:19:00Z</cp:lastPrinted>
  <dcterms:created xsi:type="dcterms:W3CDTF">2021-11-09T14:59:00Z</dcterms:created>
  <dcterms:modified xsi:type="dcterms:W3CDTF">2021-11-09T14:59:00Z</dcterms:modified>
</cp:coreProperties>
</file>