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D1DA" w14:textId="66EF5749" w:rsidR="009F149E" w:rsidRDefault="009F149E"/>
    <w:p w14:paraId="55E18FA7" w14:textId="1D0B80EB" w:rsidR="2F740BCE" w:rsidRDefault="2F740BCE" w:rsidP="52C23859">
      <w:pPr>
        <w:pStyle w:val="Title"/>
        <w:spacing w:before="0" w:after="0" w:line="240" w:lineRule="auto"/>
      </w:pPr>
      <w:r>
        <w:t>Early Intensive Behavioral Intervention (EIBI): Evaluation and IFSP Process</w:t>
      </w:r>
    </w:p>
    <w:p w14:paraId="4E07C56C" w14:textId="7CB99416" w:rsidR="2F740BCE" w:rsidRDefault="2F740BCE" w:rsidP="52C23859">
      <w:pPr>
        <w:pStyle w:val="Heading1"/>
      </w:pPr>
      <w:r>
        <w:t>What is an Early Intensive Behavioral Intervention evaluation?</w:t>
      </w:r>
    </w:p>
    <w:p w14:paraId="09EC0E07" w14:textId="551BC639" w:rsidR="2F740BCE" w:rsidRDefault="2F740BCE" w:rsidP="5D3609D0">
      <w:pPr>
        <w:spacing w:line="276" w:lineRule="auto"/>
      </w:pPr>
      <w:r w:rsidRPr="5D3609D0">
        <w:rPr>
          <w:rFonts w:ascii="Aptos" w:eastAsia="Aptos" w:hAnsi="Aptos" w:cs="Aptos"/>
        </w:rPr>
        <w:t xml:space="preserve">Once a family has consented to an EIBI evaluation and selected a Part C EIBI provider, the EIBI provider conducts an evaluation of the unique strengths and needs of that infant or toddler and their family and proceeds to an IFSP meeting, within 45 days.  </w:t>
      </w:r>
    </w:p>
    <w:p w14:paraId="452E8D64" w14:textId="6935ED52" w:rsidR="2F740BCE" w:rsidRDefault="2F740BCE" w:rsidP="5D3609D0">
      <w:pPr>
        <w:spacing w:after="0" w:line="276" w:lineRule="auto"/>
        <w:rPr>
          <w:rFonts w:ascii="Aptos" w:eastAsia="Aptos" w:hAnsi="Aptos" w:cs="Aptos"/>
        </w:rPr>
      </w:pPr>
      <w:r w:rsidRPr="5D3609D0">
        <w:rPr>
          <w:rFonts w:ascii="Aptos" w:eastAsia="Aptos" w:hAnsi="Aptos" w:cs="Aptos"/>
        </w:rPr>
        <w:t xml:space="preserve">The Individualized Family Service Plan (IFSP) is an essential element in the establishment of eligibility and provision of Part C EIBI services. It is an agreement between the family and providers that defines the Part C EIBI service types, where and how often those services will be provided, and how those services will support child and family outcomes and goals.  </w:t>
      </w:r>
    </w:p>
    <w:p w14:paraId="661F3212" w14:textId="3ADE87D0" w:rsidR="2F740BCE" w:rsidRDefault="2F740BCE" w:rsidP="5D3609D0">
      <w:pPr>
        <w:spacing w:line="276" w:lineRule="auto"/>
      </w:pPr>
      <w:r w:rsidRPr="5D3609D0">
        <w:rPr>
          <w:rFonts w:ascii="Aptos" w:eastAsia="Aptos" w:hAnsi="Aptos" w:cs="Aptos"/>
        </w:rPr>
        <w:t xml:space="preserve">During the IFSP meeting, the team will review the results of the Part C EIBI evaluation and identify the type, frequency, and intensity of the Part C EIBI services that are appropriate to meet the family’s needs.  </w:t>
      </w:r>
    </w:p>
    <w:p w14:paraId="1C5AC28B" w14:textId="21F836DF" w:rsidR="2F740BCE" w:rsidRDefault="2F740BCE" w:rsidP="52C23859">
      <w:pPr>
        <w:pBdr>
          <w:bottom w:val="single" w:sz="12" w:space="1" w:color="auto"/>
        </w:pBdr>
        <w:spacing w:line="276" w:lineRule="auto"/>
        <w:rPr>
          <w:rFonts w:ascii="Aptos" w:eastAsia="Aptos" w:hAnsi="Aptos" w:cs="Aptos"/>
        </w:rPr>
      </w:pPr>
      <w:r w:rsidRPr="52C23859">
        <w:rPr>
          <w:rFonts w:ascii="Aptos" w:eastAsia="Aptos" w:hAnsi="Aptos" w:cs="Aptos"/>
        </w:rPr>
        <w:t>All Part C EIBI services consented to by the family are required to be listed as consented to on the family’s Individualized Family Service Plan (IFSP).</w:t>
      </w:r>
    </w:p>
    <w:p w14:paraId="45C5F005" w14:textId="6E56DD34" w:rsidR="52C23859" w:rsidRDefault="52C23859" w:rsidP="52C23859">
      <w:pPr>
        <w:pBdr>
          <w:bottom w:val="single" w:sz="12" w:space="1" w:color="auto"/>
        </w:pBdr>
        <w:spacing w:line="276" w:lineRule="auto"/>
        <w:rPr>
          <w:rFonts w:ascii="Aptos" w:eastAsia="Aptos" w:hAnsi="Aptos" w:cs="Aptos"/>
        </w:rPr>
      </w:pPr>
    </w:p>
    <w:p w14:paraId="41485BD7" w14:textId="4D3CB1F3" w:rsidR="2F740BCE" w:rsidRDefault="2F740BCE" w:rsidP="52C23859">
      <w:pPr>
        <w:pStyle w:val="Heading1"/>
        <w:rPr>
          <w:rFonts w:ascii="Aptos" w:eastAsia="Aptos" w:hAnsi="Aptos" w:cs="Aptos"/>
        </w:rPr>
      </w:pPr>
      <w:r>
        <w:t>Key Take</w:t>
      </w:r>
      <w:r w:rsidR="5069D119">
        <w:t>a</w:t>
      </w:r>
      <w:r>
        <w:t xml:space="preserve">way 1: Services are based on child or family needs. </w:t>
      </w:r>
    </w:p>
    <w:p w14:paraId="0707B7D0" w14:textId="755DEF0F" w:rsidR="00BC43A5" w:rsidRDefault="2F740BCE" w:rsidP="68C2B65D">
      <w:pPr>
        <w:pBdr>
          <w:bottom w:val="single" w:sz="12" w:space="1" w:color="auto"/>
        </w:pBdr>
        <w:spacing w:line="276" w:lineRule="auto"/>
        <w:rPr>
          <w:rFonts w:ascii="Aptos" w:eastAsia="Aptos" w:hAnsi="Aptos" w:cs="Aptos"/>
        </w:rPr>
      </w:pPr>
      <w:r w:rsidRPr="68C2B65D">
        <w:rPr>
          <w:rFonts w:ascii="Aptos" w:eastAsia="Aptos" w:hAnsi="Aptos" w:cs="Aptos"/>
        </w:rPr>
        <w:t xml:space="preserve">The </w:t>
      </w:r>
      <w:r w:rsidR="00D9778A">
        <w:rPr>
          <w:rFonts w:ascii="Aptos" w:eastAsia="Aptos" w:hAnsi="Aptos" w:cs="Aptos"/>
        </w:rPr>
        <w:t xml:space="preserve">EIBI </w:t>
      </w:r>
      <w:r w:rsidRPr="68C2B65D">
        <w:rPr>
          <w:rFonts w:ascii="Aptos" w:eastAsia="Aptos" w:hAnsi="Aptos" w:cs="Aptos"/>
        </w:rPr>
        <w:t>evaluation identifies</w:t>
      </w:r>
      <w:r w:rsidR="002B2EF2">
        <w:rPr>
          <w:rFonts w:ascii="Aptos" w:eastAsia="Aptos" w:hAnsi="Aptos" w:cs="Aptos"/>
        </w:rPr>
        <w:t xml:space="preserve"> </w:t>
      </w:r>
      <w:r w:rsidR="0079598C">
        <w:rPr>
          <w:rFonts w:ascii="Aptos" w:eastAsia="Aptos" w:hAnsi="Aptos" w:cs="Aptos"/>
        </w:rPr>
        <w:t xml:space="preserve">the infant or toddler and </w:t>
      </w:r>
      <w:r w:rsidR="00600CD8">
        <w:rPr>
          <w:rFonts w:ascii="Aptos" w:eastAsia="Aptos" w:hAnsi="Aptos" w:cs="Aptos"/>
        </w:rPr>
        <w:t>families’</w:t>
      </w:r>
      <w:r w:rsidR="0079598C">
        <w:rPr>
          <w:rFonts w:ascii="Aptos" w:eastAsia="Aptos" w:hAnsi="Aptos" w:cs="Aptos"/>
        </w:rPr>
        <w:t xml:space="preserve"> unique needs. The </w:t>
      </w:r>
      <w:r w:rsidR="00600CD8">
        <w:rPr>
          <w:rFonts w:ascii="Aptos" w:eastAsia="Aptos" w:hAnsi="Aptos" w:cs="Aptos"/>
        </w:rPr>
        <w:t xml:space="preserve">IFSP team, which includes the family, determines </w:t>
      </w:r>
      <w:r w:rsidR="00600CD8" w:rsidRPr="68C2B65D">
        <w:rPr>
          <w:rFonts w:ascii="Aptos" w:eastAsia="Aptos" w:hAnsi="Aptos" w:cs="Aptos"/>
        </w:rPr>
        <w:t>the</w:t>
      </w:r>
      <w:r w:rsidRPr="68C2B65D">
        <w:rPr>
          <w:rFonts w:ascii="Aptos" w:eastAsia="Aptos" w:hAnsi="Aptos" w:cs="Aptos"/>
        </w:rPr>
        <w:t xml:space="preserve"> spe</w:t>
      </w:r>
      <w:r w:rsidR="000875F8">
        <w:rPr>
          <w:rFonts w:ascii="Aptos" w:eastAsia="Aptos" w:hAnsi="Aptos" w:cs="Aptos"/>
        </w:rPr>
        <w:t>cific frequency and intensity of</w:t>
      </w:r>
      <w:r w:rsidRPr="68C2B65D">
        <w:rPr>
          <w:rFonts w:ascii="Aptos" w:eastAsia="Aptos" w:hAnsi="Aptos" w:cs="Aptos"/>
        </w:rPr>
        <w:t xml:space="preserve"> </w:t>
      </w:r>
      <w:r w:rsidR="07479C2E" w:rsidRPr="68C2B65D">
        <w:rPr>
          <w:rFonts w:ascii="Aptos" w:eastAsia="Aptos" w:hAnsi="Aptos" w:cs="Aptos"/>
        </w:rPr>
        <w:t xml:space="preserve">Part C </w:t>
      </w:r>
      <w:r w:rsidRPr="68C2B65D">
        <w:rPr>
          <w:rFonts w:ascii="Aptos" w:eastAsia="Aptos" w:hAnsi="Aptos" w:cs="Aptos"/>
        </w:rPr>
        <w:t xml:space="preserve">EIBI services appropriate to </w:t>
      </w:r>
      <w:r w:rsidR="000A2483">
        <w:rPr>
          <w:rFonts w:ascii="Aptos" w:eastAsia="Aptos" w:hAnsi="Aptos" w:cs="Aptos"/>
        </w:rPr>
        <w:t>support the child and family</w:t>
      </w:r>
      <w:r w:rsidR="00EB1E88">
        <w:rPr>
          <w:rFonts w:ascii="Aptos" w:eastAsia="Aptos" w:hAnsi="Aptos" w:cs="Aptos"/>
        </w:rPr>
        <w:t>’s</w:t>
      </w:r>
      <w:r w:rsidR="000A2483">
        <w:rPr>
          <w:rFonts w:ascii="Aptos" w:eastAsia="Aptos" w:hAnsi="Aptos" w:cs="Aptos"/>
        </w:rPr>
        <w:t xml:space="preserve"> outcome</w:t>
      </w:r>
      <w:r w:rsidR="00EB1E88">
        <w:rPr>
          <w:rFonts w:ascii="Aptos" w:eastAsia="Aptos" w:hAnsi="Aptos" w:cs="Aptos"/>
        </w:rPr>
        <w:t>s</w:t>
      </w:r>
      <w:r w:rsidR="000A2483">
        <w:rPr>
          <w:rFonts w:ascii="Aptos" w:eastAsia="Aptos" w:hAnsi="Aptos" w:cs="Aptos"/>
        </w:rPr>
        <w:t xml:space="preserve"> and goals. </w:t>
      </w:r>
    </w:p>
    <w:p w14:paraId="6F266D44" w14:textId="7D1F0A65" w:rsidR="000F0E8B" w:rsidRDefault="000F0E8B" w:rsidP="3DEF33FB">
      <w:pPr>
        <w:pBdr>
          <w:bottom w:val="single" w:sz="12" w:space="1" w:color="auto"/>
        </w:pBdr>
        <w:spacing w:line="276" w:lineRule="auto"/>
        <w:rPr>
          <w:rFonts w:ascii="Aptos" w:eastAsia="Aptos" w:hAnsi="Aptos" w:cs="Aptos"/>
        </w:rPr>
      </w:pPr>
      <w:r w:rsidRPr="3DEF33FB">
        <w:rPr>
          <w:rFonts w:ascii="Aptos" w:eastAsia="Aptos" w:hAnsi="Aptos" w:cs="Aptos"/>
        </w:rPr>
        <w:t xml:space="preserve">Infants, toddlers, and their families are entitled to receive the type, frequency, and intensity of Part C EIBI services identified as appropriate to meet their unique needs and have those services listed on the IFSP, as consented. Delays in evaluation, IFSP recommendations, or start of Part C EIBI services due to lack of available Part C EIBI service providers is not considered a compliant reason for delay (i.e., exceptional family circumstance). </w:t>
      </w:r>
    </w:p>
    <w:p w14:paraId="0FF8CBB1" w14:textId="77777777" w:rsidR="00320396" w:rsidRDefault="00320396" w:rsidP="00320396">
      <w:pPr>
        <w:pBdr>
          <w:bottom w:val="single" w:sz="12" w:space="1" w:color="auto"/>
        </w:pBdr>
        <w:spacing w:line="276" w:lineRule="auto"/>
        <w:rPr>
          <w:rFonts w:ascii="Aptos" w:eastAsia="Aptos" w:hAnsi="Aptos" w:cs="Aptos"/>
        </w:rPr>
      </w:pPr>
      <w:r w:rsidRPr="68C2B65D">
        <w:rPr>
          <w:rFonts w:ascii="Aptos" w:eastAsia="Aptos" w:hAnsi="Aptos" w:cs="Aptos"/>
        </w:rPr>
        <w:t>Recommendation of Part C EIBI service types (including frequency and intensity) and subsequent placement of those services</w:t>
      </w:r>
      <w:r>
        <w:rPr>
          <w:rFonts w:ascii="Aptos" w:eastAsia="Aptos" w:hAnsi="Aptos" w:cs="Aptos"/>
        </w:rPr>
        <w:t xml:space="preserve"> on an IFSP</w:t>
      </w:r>
      <w:r w:rsidRPr="68C2B65D">
        <w:rPr>
          <w:rFonts w:ascii="Aptos" w:eastAsia="Aptos" w:hAnsi="Aptos" w:cs="Aptos"/>
        </w:rPr>
        <w:t xml:space="preserve"> should reflect th</w:t>
      </w:r>
      <w:r>
        <w:rPr>
          <w:rFonts w:ascii="Aptos" w:eastAsia="Aptos" w:hAnsi="Aptos" w:cs="Aptos"/>
        </w:rPr>
        <w:t>ose</w:t>
      </w:r>
      <w:r w:rsidRPr="68C2B65D">
        <w:rPr>
          <w:rFonts w:ascii="Aptos" w:eastAsia="Aptos" w:hAnsi="Aptos" w:cs="Aptos"/>
        </w:rPr>
        <w:t xml:space="preserve"> service</w:t>
      </w:r>
      <w:r>
        <w:rPr>
          <w:rFonts w:ascii="Aptos" w:eastAsia="Aptos" w:hAnsi="Aptos" w:cs="Aptos"/>
        </w:rPr>
        <w:t>s</w:t>
      </w:r>
      <w:r w:rsidRPr="68C2B65D">
        <w:rPr>
          <w:rFonts w:ascii="Aptos" w:eastAsia="Aptos" w:hAnsi="Aptos" w:cs="Aptos"/>
        </w:rPr>
        <w:t xml:space="preserve"> identified as appropriate to meet the family’s needs</w:t>
      </w:r>
      <w:r>
        <w:rPr>
          <w:rFonts w:ascii="Aptos" w:eastAsia="Aptos" w:hAnsi="Aptos" w:cs="Aptos"/>
        </w:rPr>
        <w:t xml:space="preserve"> and as consented to by the family</w:t>
      </w:r>
      <w:r w:rsidRPr="68C2B65D">
        <w:rPr>
          <w:rFonts w:ascii="Aptos" w:eastAsia="Aptos" w:hAnsi="Aptos" w:cs="Aptos"/>
        </w:rPr>
        <w:t xml:space="preserve">. </w:t>
      </w:r>
    </w:p>
    <w:p w14:paraId="7142EBFA" w14:textId="010B7054" w:rsidR="00C67EAE" w:rsidRDefault="00C67EAE" w:rsidP="52C23859">
      <w:pPr>
        <w:pStyle w:val="Heading3"/>
        <w:pBdr>
          <w:bottom w:val="single" w:sz="12" w:space="1" w:color="auto"/>
        </w:pBdr>
        <w:spacing w:after="0" w:line="276" w:lineRule="auto"/>
        <w:rPr>
          <w:rFonts w:ascii="Aptos" w:eastAsia="Aptos" w:hAnsi="Aptos" w:cs="Aptos"/>
        </w:rPr>
      </w:pPr>
    </w:p>
    <w:p w14:paraId="68608CDB" w14:textId="2C637D5B" w:rsidR="2F740BCE" w:rsidRDefault="2F740BCE" w:rsidP="52C23859">
      <w:pPr>
        <w:pStyle w:val="Heading1"/>
      </w:pPr>
      <w:r>
        <w:t xml:space="preserve">Key </w:t>
      </w:r>
      <w:r w:rsidR="354A84C1">
        <w:t>Takeaway</w:t>
      </w:r>
      <w:r>
        <w:t xml:space="preserve"> 2: Eligible families are entitled to receive Part C EIBI services.</w:t>
      </w:r>
    </w:p>
    <w:p w14:paraId="20731FD5" w14:textId="29CEA9BD" w:rsidR="00C67EAE" w:rsidRDefault="2F740BCE" w:rsidP="001F35DC">
      <w:pPr>
        <w:pBdr>
          <w:bottom w:val="single" w:sz="12" w:space="1" w:color="auto"/>
        </w:pBdr>
        <w:spacing w:line="276" w:lineRule="auto"/>
        <w:rPr>
          <w:rFonts w:ascii="Aptos" w:eastAsia="Aptos" w:hAnsi="Aptos" w:cs="Aptos"/>
        </w:rPr>
      </w:pPr>
      <w:r w:rsidRPr="52C23859">
        <w:rPr>
          <w:rFonts w:ascii="Aptos" w:eastAsia="Aptos" w:hAnsi="Aptos" w:cs="Aptos"/>
        </w:rPr>
        <w:t xml:space="preserve">Infants and toddlers enrolled in early intervention with an eligible diagnosis of autism spectrum disorder (ASD) or Down syndrome, are entitled to receive Part C Early Intensive Behavioral Intervention (EIBI) services in the child and family’s natural environment, from any of the DPH contracted EIBI programs in their catchment area. </w:t>
      </w:r>
    </w:p>
    <w:p w14:paraId="0D664992" w14:textId="4EE26D15" w:rsidR="001F35DC" w:rsidRDefault="001F35DC" w:rsidP="52C23859">
      <w:pPr>
        <w:pStyle w:val="Heading3"/>
        <w:pBdr>
          <w:bottom w:val="single" w:sz="12" w:space="1" w:color="auto"/>
        </w:pBdr>
        <w:spacing w:after="0" w:line="276" w:lineRule="auto"/>
        <w:rPr>
          <w:rFonts w:ascii="Aptos" w:eastAsia="Aptos" w:hAnsi="Aptos" w:cs="Aptos"/>
        </w:rPr>
      </w:pPr>
    </w:p>
    <w:p w14:paraId="27BDB99D" w14:textId="17D46691" w:rsidR="2F740BCE" w:rsidRDefault="2F740BCE" w:rsidP="52C23859">
      <w:pPr>
        <w:pStyle w:val="Heading1"/>
      </w:pPr>
      <w:r>
        <w:t xml:space="preserve">Key </w:t>
      </w:r>
      <w:r w:rsidR="354A84C1">
        <w:t>Takeaway</w:t>
      </w:r>
      <w:r>
        <w:t xml:space="preserve"> 3: All IFSP meetings follow required procedures. </w:t>
      </w:r>
    </w:p>
    <w:p w14:paraId="4BA11AF4" w14:textId="23436845" w:rsidR="2F740BCE" w:rsidRDefault="2F740BCE" w:rsidP="5D3609D0">
      <w:pPr>
        <w:spacing w:line="276" w:lineRule="auto"/>
      </w:pPr>
      <w:r w:rsidRPr="5D3609D0">
        <w:rPr>
          <w:rFonts w:ascii="Aptos" w:eastAsia="Aptos" w:hAnsi="Aptos" w:cs="Aptos"/>
        </w:rPr>
        <w:t xml:space="preserve">Following a Part C EIBI evaluation, an IFSP team meeting must occur to discuss the results of that evaluation and determine next steps (e.g., placement of Part C EIBI services on the IFSP, changes to the IFSP, or family decline of Part C EIBI services). The IFSP team meeting should include the family and all relevant providers. </w:t>
      </w:r>
    </w:p>
    <w:p w14:paraId="39B0336A" w14:textId="2A03347A" w:rsidR="2F740BCE" w:rsidRDefault="2F740BCE" w:rsidP="5D3609D0">
      <w:pPr>
        <w:spacing w:line="276" w:lineRule="auto"/>
      </w:pPr>
      <w:r w:rsidRPr="5D3609D0">
        <w:rPr>
          <w:rFonts w:ascii="Aptos" w:eastAsia="Aptos" w:hAnsi="Aptos" w:cs="Aptos"/>
        </w:rPr>
        <w:t xml:space="preserve">Prior to reviewing the Part C EIBI evaluation, all families eligible to receive Part C EIBI services should receive prior written notice, identifying the purpose of the IFSP. </w:t>
      </w:r>
    </w:p>
    <w:p w14:paraId="106DA500" w14:textId="0040831E" w:rsidR="2F740BCE" w:rsidRDefault="2F740BCE" w:rsidP="5D3609D0">
      <w:pPr>
        <w:spacing w:line="276" w:lineRule="auto"/>
      </w:pPr>
      <w:r w:rsidRPr="5D3609D0">
        <w:rPr>
          <w:rFonts w:ascii="Aptos" w:eastAsia="Aptos" w:hAnsi="Aptos" w:cs="Aptos"/>
        </w:rPr>
        <w:t>All families eligible to receive Part C EIBI services are required to be provided with or informed of the following:</w:t>
      </w:r>
    </w:p>
    <w:p w14:paraId="5483E8E6" w14:textId="3DA263F5" w:rsidR="2F740BCE" w:rsidRDefault="2F740BCE" w:rsidP="5D3609D0">
      <w:pPr>
        <w:pStyle w:val="ListParagraph"/>
        <w:numPr>
          <w:ilvl w:val="0"/>
          <w:numId w:val="4"/>
        </w:numPr>
        <w:spacing w:after="0" w:line="276" w:lineRule="auto"/>
        <w:rPr>
          <w:rFonts w:ascii="Aptos" w:eastAsia="Aptos" w:hAnsi="Aptos" w:cs="Aptos"/>
        </w:rPr>
      </w:pPr>
      <w:r w:rsidRPr="5D3609D0">
        <w:rPr>
          <w:rFonts w:ascii="Aptos" w:eastAsia="Aptos" w:hAnsi="Aptos" w:cs="Aptos"/>
        </w:rPr>
        <w:t>Their eligibility to receive Part C EIBI services in their child and family’s natural environment from any of the contracted EIBI providers in their family’s catchment area.</w:t>
      </w:r>
    </w:p>
    <w:p w14:paraId="0A36D5E9" w14:textId="2A0765B0" w:rsidR="2F740BCE" w:rsidRDefault="2F740BCE" w:rsidP="5D3609D0">
      <w:pPr>
        <w:pStyle w:val="ListParagraph"/>
        <w:numPr>
          <w:ilvl w:val="0"/>
          <w:numId w:val="4"/>
        </w:numPr>
        <w:spacing w:after="0" w:line="276" w:lineRule="auto"/>
        <w:rPr>
          <w:rFonts w:ascii="Aptos" w:eastAsia="Aptos" w:hAnsi="Aptos" w:cs="Aptos"/>
        </w:rPr>
      </w:pPr>
      <w:r w:rsidRPr="5D3609D0">
        <w:rPr>
          <w:rFonts w:ascii="Aptos" w:eastAsia="Aptos" w:hAnsi="Aptos" w:cs="Aptos"/>
        </w:rPr>
        <w:t>Their right to access Part C EIBI services and the federal, state, and contractual requirements that apply to these services (e.g., timely services, natural environment, payor of last resort, etc.).</w:t>
      </w:r>
    </w:p>
    <w:p w14:paraId="325ADC36" w14:textId="7A3DB6ED" w:rsidR="2F740BCE" w:rsidRDefault="2F740BCE" w:rsidP="5D3609D0">
      <w:pPr>
        <w:pStyle w:val="ListParagraph"/>
        <w:numPr>
          <w:ilvl w:val="0"/>
          <w:numId w:val="4"/>
        </w:numPr>
        <w:spacing w:after="0" w:line="276" w:lineRule="auto"/>
        <w:rPr>
          <w:rFonts w:ascii="Aptos" w:eastAsia="Aptos" w:hAnsi="Aptos" w:cs="Aptos"/>
        </w:rPr>
      </w:pPr>
      <w:r w:rsidRPr="5D3609D0">
        <w:rPr>
          <w:rFonts w:ascii="Aptos" w:eastAsia="Aptos" w:hAnsi="Aptos" w:cs="Aptos"/>
        </w:rPr>
        <w:t>If they should choose to decline EIBI services:</w:t>
      </w:r>
    </w:p>
    <w:p w14:paraId="6A816806" w14:textId="3F67F61E" w:rsidR="2F740BCE" w:rsidRDefault="2F740BCE" w:rsidP="52C23859">
      <w:pPr>
        <w:pStyle w:val="ListParagraph"/>
        <w:numPr>
          <w:ilvl w:val="1"/>
          <w:numId w:val="2"/>
        </w:numPr>
        <w:spacing w:after="0" w:line="276" w:lineRule="auto"/>
        <w:rPr>
          <w:rFonts w:ascii="Aptos" w:eastAsia="Aptos" w:hAnsi="Aptos" w:cs="Aptos"/>
        </w:rPr>
      </w:pPr>
      <w:r w:rsidRPr="52C23859">
        <w:rPr>
          <w:rFonts w:ascii="Aptos" w:eastAsia="Aptos" w:hAnsi="Aptos" w:cs="Aptos"/>
        </w:rPr>
        <w:t>Families have the right to decline these services without impact to any other Part C Early Intervention services consented to on the IFSP</w:t>
      </w:r>
      <w:r w:rsidR="1D2BA7D6" w:rsidRPr="52C23859">
        <w:rPr>
          <w:rFonts w:ascii="Aptos" w:eastAsia="Aptos" w:hAnsi="Aptos" w:cs="Aptos"/>
        </w:rPr>
        <w:t>.</w:t>
      </w:r>
    </w:p>
    <w:p w14:paraId="55DB21FF" w14:textId="59D1FEEE" w:rsidR="2F740BCE" w:rsidRDefault="2F740BCE" w:rsidP="52C23859">
      <w:pPr>
        <w:pStyle w:val="ListParagraph"/>
        <w:numPr>
          <w:ilvl w:val="1"/>
          <w:numId w:val="2"/>
        </w:numPr>
        <w:spacing w:after="0" w:line="276" w:lineRule="auto"/>
        <w:rPr>
          <w:rFonts w:ascii="Aptos" w:eastAsia="Aptos" w:hAnsi="Aptos" w:cs="Aptos"/>
        </w:rPr>
      </w:pPr>
      <w:r w:rsidRPr="52C23859">
        <w:rPr>
          <w:rFonts w:ascii="Aptos" w:eastAsia="Aptos" w:hAnsi="Aptos" w:cs="Aptos"/>
        </w:rPr>
        <w:t>DPH will no longer be the Payor of Last Resort for these services</w:t>
      </w:r>
      <w:r w:rsidR="2C56F6FE" w:rsidRPr="52C23859">
        <w:rPr>
          <w:rFonts w:ascii="Aptos" w:eastAsia="Aptos" w:hAnsi="Aptos" w:cs="Aptos"/>
        </w:rPr>
        <w:t>.</w:t>
      </w:r>
    </w:p>
    <w:p w14:paraId="6EF31A97" w14:textId="739FA9E1" w:rsidR="2F740BCE" w:rsidRDefault="2F740BCE" w:rsidP="5D3609D0">
      <w:pPr>
        <w:pStyle w:val="ListParagraph"/>
        <w:numPr>
          <w:ilvl w:val="1"/>
          <w:numId w:val="4"/>
        </w:numPr>
        <w:spacing w:after="0" w:line="276" w:lineRule="auto"/>
        <w:rPr>
          <w:rFonts w:ascii="Aptos" w:eastAsia="Aptos" w:hAnsi="Aptos" w:cs="Aptos"/>
        </w:rPr>
      </w:pPr>
      <w:r w:rsidRPr="1A7C9DF4">
        <w:rPr>
          <w:rFonts w:ascii="Aptos" w:eastAsia="Aptos" w:hAnsi="Aptos" w:cs="Aptos"/>
        </w:rPr>
        <w:t>While eligible for EIBI services, they have the right to change their mind about accessing EIBI services at any time (e.g., enrolled in EI, with an eligible diagnosis, until the age of 3)</w:t>
      </w:r>
      <w:r w:rsidR="30150BCC" w:rsidRPr="1A7C9DF4">
        <w:rPr>
          <w:rFonts w:ascii="Aptos" w:eastAsia="Aptos" w:hAnsi="Aptos" w:cs="Aptos"/>
        </w:rPr>
        <w:t>.</w:t>
      </w:r>
      <w:r w:rsidRPr="1A7C9DF4">
        <w:rPr>
          <w:rFonts w:ascii="Aptos" w:eastAsia="Aptos" w:hAnsi="Aptos" w:cs="Aptos"/>
        </w:rPr>
        <w:t xml:space="preserve"> </w:t>
      </w:r>
    </w:p>
    <w:p w14:paraId="2C8E3F9D" w14:textId="0AF574CD" w:rsidR="2F740BCE" w:rsidRDefault="2F740BCE" w:rsidP="5D3609D0">
      <w:pPr>
        <w:pStyle w:val="ListParagraph"/>
        <w:numPr>
          <w:ilvl w:val="0"/>
          <w:numId w:val="4"/>
        </w:numPr>
        <w:spacing w:after="0" w:line="276" w:lineRule="auto"/>
        <w:rPr>
          <w:rFonts w:ascii="Aptos" w:eastAsia="Aptos" w:hAnsi="Aptos" w:cs="Aptos"/>
        </w:rPr>
      </w:pPr>
      <w:r w:rsidRPr="5D3609D0">
        <w:rPr>
          <w:rFonts w:ascii="Aptos" w:eastAsia="Aptos" w:hAnsi="Aptos" w:cs="Aptos"/>
        </w:rPr>
        <w:t>A copy of their Procedural Safeguards and Family rights</w:t>
      </w:r>
    </w:p>
    <w:p w14:paraId="69B1126F" w14:textId="564CF11C" w:rsidR="00264612" w:rsidRPr="00264612" w:rsidRDefault="00264612" w:rsidP="52C23859">
      <w:pPr>
        <w:pBdr>
          <w:bottom w:val="single" w:sz="12" w:space="1" w:color="auto"/>
        </w:pBdr>
        <w:spacing w:line="276" w:lineRule="auto"/>
        <w:rPr>
          <w:rFonts w:ascii="Aptos" w:eastAsia="Aptos" w:hAnsi="Aptos" w:cs="Aptos"/>
        </w:rPr>
      </w:pPr>
    </w:p>
    <w:p w14:paraId="258B51E1" w14:textId="6CE00235" w:rsidR="2F740BCE" w:rsidRDefault="2F740BCE" w:rsidP="52C23859">
      <w:pPr>
        <w:pStyle w:val="Heading1"/>
        <w:rPr>
          <w:rFonts w:ascii="Aptos" w:eastAsia="Aptos" w:hAnsi="Aptos" w:cs="Aptos"/>
        </w:rPr>
      </w:pPr>
      <w:r>
        <w:t>Resource Spotlight</w:t>
      </w:r>
      <w:r w:rsidR="003619D9">
        <w:t>s</w:t>
      </w:r>
      <w:r>
        <w:t xml:space="preserve">: </w:t>
      </w:r>
    </w:p>
    <w:p w14:paraId="6B48D488" w14:textId="77777777" w:rsidR="003619D9" w:rsidRDefault="003619D9" w:rsidP="52C23859">
      <w:pPr>
        <w:pStyle w:val="ListParagraph"/>
        <w:numPr>
          <w:ilvl w:val="0"/>
          <w:numId w:val="1"/>
        </w:numPr>
        <w:pBdr>
          <w:bottom w:val="single" w:sz="12" w:space="1" w:color="000000"/>
        </w:pBdr>
        <w:spacing w:line="276" w:lineRule="auto"/>
      </w:pPr>
      <w:r w:rsidRPr="52C23859">
        <w:rPr>
          <w:rFonts w:ascii="Aptos" w:eastAsia="Aptos" w:hAnsi="Aptos" w:cs="Aptos"/>
        </w:rPr>
        <w:t xml:space="preserve">Code of Federal Regulations, Part C Early Intervention. Retrieved from; </w:t>
      </w:r>
      <w:hyperlink r:id="rId10">
        <w:proofErr w:type="gramStart"/>
        <w:r w:rsidRPr="52C23859">
          <w:rPr>
            <w:rStyle w:val="Hyperlink"/>
            <w:rFonts w:ascii="Aptos" w:eastAsia="Aptos" w:hAnsi="Aptos" w:cs="Aptos"/>
          </w:rPr>
          <w:t>eCFR :</w:t>
        </w:r>
        <w:proofErr w:type="gramEnd"/>
        <w:r w:rsidRPr="52C23859">
          <w:rPr>
            <w:rStyle w:val="Hyperlink"/>
            <w:rFonts w:ascii="Aptos" w:eastAsia="Aptos" w:hAnsi="Aptos" w:cs="Aptos"/>
          </w:rPr>
          <w:t>: 34 CFR Part 303 -- Early Intervention Program for Infants and Toddlers with Disabilities</w:t>
        </w:r>
      </w:hyperlink>
    </w:p>
    <w:p w14:paraId="6EBCD4B8" w14:textId="7EF36B5C" w:rsidR="003619D9" w:rsidRDefault="003619D9" w:rsidP="52C23859">
      <w:pPr>
        <w:pStyle w:val="ListParagraph"/>
        <w:numPr>
          <w:ilvl w:val="0"/>
          <w:numId w:val="1"/>
        </w:numPr>
        <w:pBdr>
          <w:bottom w:val="single" w:sz="12" w:space="1" w:color="000000"/>
        </w:pBdr>
        <w:spacing w:line="276" w:lineRule="auto"/>
      </w:pPr>
      <w:r w:rsidRPr="52C23859">
        <w:rPr>
          <w:rFonts w:ascii="Aptos" w:eastAsia="Aptos" w:hAnsi="Aptos" w:cs="Aptos"/>
        </w:rPr>
        <w:t xml:space="preserve">34 CFR §303.321(a) Evaluation of the Child and Assessment of the Child and Family, Retrieved from; </w:t>
      </w:r>
      <w:hyperlink r:id="rId11">
        <w:proofErr w:type="gramStart"/>
        <w:r w:rsidRPr="52C23859">
          <w:rPr>
            <w:rStyle w:val="Hyperlink"/>
            <w:rFonts w:ascii="Aptos" w:eastAsia="Aptos" w:hAnsi="Aptos" w:cs="Aptos"/>
          </w:rPr>
          <w:t>eCFR :</w:t>
        </w:r>
        <w:proofErr w:type="gramEnd"/>
        <w:r w:rsidRPr="52C23859">
          <w:rPr>
            <w:rStyle w:val="Hyperlink"/>
            <w:rFonts w:ascii="Aptos" w:eastAsia="Aptos" w:hAnsi="Aptos" w:cs="Aptos"/>
          </w:rPr>
          <w:t>: 34 CFR 303.321 -- Evaluation of the child and assessment of the child and family.</w:t>
        </w:r>
      </w:hyperlink>
    </w:p>
    <w:p w14:paraId="4BB9D3B2" w14:textId="77777777" w:rsidR="003619D9" w:rsidRDefault="003619D9" w:rsidP="52C23859">
      <w:pPr>
        <w:pStyle w:val="ListParagraph"/>
        <w:numPr>
          <w:ilvl w:val="0"/>
          <w:numId w:val="1"/>
        </w:numPr>
        <w:pBdr>
          <w:bottom w:val="single" w:sz="12" w:space="1" w:color="000000"/>
        </w:pBdr>
        <w:spacing w:line="276" w:lineRule="auto"/>
      </w:pPr>
      <w:r w:rsidRPr="52C23859">
        <w:rPr>
          <w:rFonts w:ascii="Aptos" w:eastAsia="Aptos" w:hAnsi="Aptos" w:cs="Aptos"/>
        </w:rPr>
        <w:t xml:space="preserve">34 CFR §303.342 Procedures for IFSP Development, Review, and Evaluation. Retrieved from; </w:t>
      </w:r>
      <w:hyperlink r:id="rId12">
        <w:proofErr w:type="gramStart"/>
        <w:r w:rsidRPr="52C23859">
          <w:rPr>
            <w:rStyle w:val="Hyperlink"/>
            <w:rFonts w:ascii="Aptos" w:eastAsia="Aptos" w:hAnsi="Aptos" w:cs="Aptos"/>
          </w:rPr>
          <w:t>eCFR :</w:t>
        </w:r>
        <w:proofErr w:type="gramEnd"/>
        <w:r w:rsidRPr="52C23859">
          <w:rPr>
            <w:rStyle w:val="Hyperlink"/>
            <w:rFonts w:ascii="Aptos" w:eastAsia="Aptos" w:hAnsi="Aptos" w:cs="Aptos"/>
          </w:rPr>
          <w:t>: 34 CFR 303.342 -- Procedures for IFSP development, review, and evaluation.</w:t>
        </w:r>
      </w:hyperlink>
    </w:p>
    <w:p w14:paraId="688BE195" w14:textId="095819BC" w:rsidR="003619D9" w:rsidRDefault="003619D9" w:rsidP="52C23859">
      <w:pPr>
        <w:pStyle w:val="ListParagraph"/>
        <w:numPr>
          <w:ilvl w:val="0"/>
          <w:numId w:val="1"/>
        </w:numPr>
        <w:pBdr>
          <w:bottom w:val="single" w:sz="12" w:space="1" w:color="000000"/>
        </w:pBdr>
        <w:spacing w:line="276" w:lineRule="auto"/>
      </w:pPr>
      <w:r w:rsidRPr="52C23859">
        <w:rPr>
          <w:rFonts w:ascii="Aptos" w:eastAsia="Aptos" w:hAnsi="Aptos" w:cs="Aptos"/>
        </w:rPr>
        <w:t xml:space="preserve">Massachusetts Department of Public Health, Starting Points Documents. Retrieved from; </w:t>
      </w:r>
      <w:hyperlink r:id="rId13">
        <w:r w:rsidRPr="52C23859">
          <w:rPr>
            <w:rStyle w:val="Hyperlink"/>
            <w:rFonts w:ascii="Aptos" w:eastAsia="Aptos" w:hAnsi="Aptos" w:cs="Aptos"/>
          </w:rPr>
          <w:t>Early Intervention (EI) Specialty Services | Mass.gov</w:t>
        </w:r>
      </w:hyperlink>
    </w:p>
    <w:p w14:paraId="0607ED48" w14:textId="601F386F" w:rsidR="2F740BCE" w:rsidRDefault="2F740BCE" w:rsidP="5D3609D0">
      <w:pPr>
        <w:spacing w:line="276" w:lineRule="auto"/>
      </w:pPr>
      <w:r w:rsidRPr="5D3609D0">
        <w:rPr>
          <w:rFonts w:ascii="Aptos" w:eastAsia="Aptos" w:hAnsi="Aptos" w:cs="Aptos"/>
        </w:rPr>
        <w:t xml:space="preserve"> </w:t>
      </w:r>
    </w:p>
    <w:p w14:paraId="07556325" w14:textId="3B3E9C51" w:rsidR="2F740BCE" w:rsidRDefault="2F740BCE" w:rsidP="5D3609D0">
      <w:pPr>
        <w:spacing w:line="276" w:lineRule="auto"/>
      </w:pPr>
      <w:r w:rsidRPr="5D3609D0">
        <w:rPr>
          <w:rFonts w:ascii="Aptos" w:eastAsia="Aptos" w:hAnsi="Aptos" w:cs="Aptos"/>
        </w:rPr>
        <w:t xml:space="preserve"> </w:t>
      </w:r>
    </w:p>
    <w:p w14:paraId="50FF7BE2" w14:textId="4554E684" w:rsidR="2F740BCE" w:rsidRDefault="2F740BCE" w:rsidP="68C2B65D">
      <w:pPr>
        <w:spacing w:line="276" w:lineRule="auto"/>
        <w:rPr>
          <w:rFonts w:ascii="Aptos" w:eastAsia="Aptos" w:hAnsi="Aptos" w:cs="Aptos"/>
        </w:rPr>
      </w:pPr>
    </w:p>
    <w:sectPr w:rsidR="2F740BC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9BCE" w14:textId="77777777" w:rsidR="00AA55F2" w:rsidRDefault="00AA55F2" w:rsidP="000016FF">
      <w:pPr>
        <w:spacing w:after="0" w:line="240" w:lineRule="auto"/>
      </w:pPr>
      <w:r>
        <w:separator/>
      </w:r>
    </w:p>
  </w:endnote>
  <w:endnote w:type="continuationSeparator" w:id="0">
    <w:p w14:paraId="742D7515" w14:textId="77777777" w:rsidR="00AA55F2" w:rsidRDefault="00AA55F2" w:rsidP="0000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060F" w14:textId="77777777" w:rsidR="00AA55F2" w:rsidRDefault="00AA55F2" w:rsidP="000016FF">
      <w:pPr>
        <w:spacing w:after="0" w:line="240" w:lineRule="auto"/>
      </w:pPr>
      <w:r>
        <w:separator/>
      </w:r>
    </w:p>
  </w:footnote>
  <w:footnote w:type="continuationSeparator" w:id="0">
    <w:p w14:paraId="64C06C0D" w14:textId="77777777" w:rsidR="00AA55F2" w:rsidRDefault="00AA55F2" w:rsidP="0000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FF1" w14:textId="081CBB71" w:rsidR="000016FF" w:rsidRPr="00784CC8" w:rsidRDefault="52C23859" w:rsidP="00784CC8">
    <w:pPr>
      <w:pStyle w:val="Header"/>
      <w:jc w:val="right"/>
      <w:rPr>
        <w:rFonts w:ascii="Avenir Next LT Pro Demi" w:hAnsi="Avenir Next LT Pro Demi"/>
      </w:rPr>
    </w:pPr>
    <w:r>
      <w:rPr>
        <w:noProof/>
      </w:rPr>
      <w:drawing>
        <wp:inline distT="0" distB="0" distL="0" distR="0" wp14:anchorId="519377CD" wp14:editId="37F8B500">
          <wp:extent cx="1485900" cy="828675"/>
          <wp:effectExtent l="0" t="0" r="0" b="0"/>
          <wp:docPr id="2015925781" name="Picture 1" descr="Logo for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25781" name="Picture 1" descr="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inline>
      </w:drawing>
    </w:r>
    <w:r w:rsidR="000016FF">
      <w:tab/>
    </w:r>
    <w:r w:rsidR="000016FF">
      <w:tab/>
    </w:r>
    <w:r w:rsidRPr="52C23859">
      <w:rPr>
        <w:rFonts w:ascii="Avenir Next LT Pro Demi" w:hAnsi="Avenir Next LT Pro Demi"/>
      </w:rPr>
      <w:t>Early Intervention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12D3"/>
    <w:multiLevelType w:val="hybridMultilevel"/>
    <w:tmpl w:val="21948834"/>
    <w:lvl w:ilvl="0" w:tplc="932EC70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72F0F2DE">
      <w:start w:val="1"/>
      <w:numFmt w:val="bullet"/>
      <w:lvlText w:val=""/>
      <w:lvlJc w:val="left"/>
      <w:pPr>
        <w:ind w:left="2160" w:hanging="360"/>
      </w:pPr>
      <w:rPr>
        <w:rFonts w:ascii="Wingdings" w:hAnsi="Wingdings" w:hint="default"/>
      </w:rPr>
    </w:lvl>
    <w:lvl w:ilvl="3" w:tplc="F104B9CA">
      <w:start w:val="1"/>
      <w:numFmt w:val="bullet"/>
      <w:lvlText w:val=""/>
      <w:lvlJc w:val="left"/>
      <w:pPr>
        <w:ind w:left="2880" w:hanging="360"/>
      </w:pPr>
      <w:rPr>
        <w:rFonts w:ascii="Symbol" w:hAnsi="Symbol" w:hint="default"/>
      </w:rPr>
    </w:lvl>
    <w:lvl w:ilvl="4" w:tplc="FCE0BC4E">
      <w:start w:val="1"/>
      <w:numFmt w:val="bullet"/>
      <w:lvlText w:val="o"/>
      <w:lvlJc w:val="left"/>
      <w:pPr>
        <w:ind w:left="3600" w:hanging="360"/>
      </w:pPr>
      <w:rPr>
        <w:rFonts w:ascii="Courier New" w:hAnsi="Courier New" w:hint="default"/>
      </w:rPr>
    </w:lvl>
    <w:lvl w:ilvl="5" w:tplc="A364CC90">
      <w:start w:val="1"/>
      <w:numFmt w:val="bullet"/>
      <w:lvlText w:val=""/>
      <w:lvlJc w:val="left"/>
      <w:pPr>
        <w:ind w:left="4320" w:hanging="360"/>
      </w:pPr>
      <w:rPr>
        <w:rFonts w:ascii="Wingdings" w:hAnsi="Wingdings" w:hint="default"/>
      </w:rPr>
    </w:lvl>
    <w:lvl w:ilvl="6" w:tplc="55121D90">
      <w:start w:val="1"/>
      <w:numFmt w:val="bullet"/>
      <w:lvlText w:val=""/>
      <w:lvlJc w:val="left"/>
      <w:pPr>
        <w:ind w:left="5040" w:hanging="360"/>
      </w:pPr>
      <w:rPr>
        <w:rFonts w:ascii="Symbol" w:hAnsi="Symbol" w:hint="default"/>
      </w:rPr>
    </w:lvl>
    <w:lvl w:ilvl="7" w:tplc="9E62A4AA">
      <w:start w:val="1"/>
      <w:numFmt w:val="bullet"/>
      <w:lvlText w:val="o"/>
      <w:lvlJc w:val="left"/>
      <w:pPr>
        <w:ind w:left="5760" w:hanging="360"/>
      </w:pPr>
      <w:rPr>
        <w:rFonts w:ascii="Courier New" w:hAnsi="Courier New" w:hint="default"/>
      </w:rPr>
    </w:lvl>
    <w:lvl w:ilvl="8" w:tplc="8D8C9D7A">
      <w:start w:val="1"/>
      <w:numFmt w:val="bullet"/>
      <w:lvlText w:val=""/>
      <w:lvlJc w:val="left"/>
      <w:pPr>
        <w:ind w:left="6480" w:hanging="360"/>
      </w:pPr>
      <w:rPr>
        <w:rFonts w:ascii="Wingdings" w:hAnsi="Wingdings" w:hint="default"/>
      </w:rPr>
    </w:lvl>
  </w:abstractNum>
  <w:abstractNum w:abstractNumId="1" w15:restartNumberingAfterBreak="0">
    <w:nsid w:val="22251F9E"/>
    <w:multiLevelType w:val="hybridMultilevel"/>
    <w:tmpl w:val="DA40805A"/>
    <w:lvl w:ilvl="0" w:tplc="9A8ED116">
      <w:start w:val="1"/>
      <w:numFmt w:val="bullet"/>
      <w:lvlText w:val=""/>
      <w:lvlJc w:val="left"/>
      <w:pPr>
        <w:ind w:left="720" w:hanging="360"/>
      </w:pPr>
      <w:rPr>
        <w:rFonts w:ascii="Symbol" w:hAnsi="Symbol" w:hint="default"/>
      </w:rPr>
    </w:lvl>
    <w:lvl w:ilvl="1" w:tplc="BA1E98D0">
      <w:start w:val="1"/>
      <w:numFmt w:val="bullet"/>
      <w:lvlText w:val="o"/>
      <w:lvlJc w:val="left"/>
      <w:pPr>
        <w:ind w:left="1440" w:hanging="360"/>
      </w:pPr>
      <w:rPr>
        <w:rFonts w:ascii="Courier New" w:hAnsi="Courier New" w:hint="default"/>
      </w:rPr>
    </w:lvl>
    <w:lvl w:ilvl="2" w:tplc="FC9220F2">
      <w:start w:val="1"/>
      <w:numFmt w:val="bullet"/>
      <w:lvlText w:val=""/>
      <w:lvlJc w:val="left"/>
      <w:pPr>
        <w:ind w:left="2160" w:hanging="360"/>
      </w:pPr>
      <w:rPr>
        <w:rFonts w:ascii="Wingdings" w:hAnsi="Wingdings" w:hint="default"/>
      </w:rPr>
    </w:lvl>
    <w:lvl w:ilvl="3" w:tplc="4E58D794">
      <w:start w:val="1"/>
      <w:numFmt w:val="bullet"/>
      <w:lvlText w:val=""/>
      <w:lvlJc w:val="left"/>
      <w:pPr>
        <w:ind w:left="2880" w:hanging="360"/>
      </w:pPr>
      <w:rPr>
        <w:rFonts w:ascii="Symbol" w:hAnsi="Symbol" w:hint="default"/>
      </w:rPr>
    </w:lvl>
    <w:lvl w:ilvl="4" w:tplc="07384748">
      <w:start w:val="1"/>
      <w:numFmt w:val="bullet"/>
      <w:lvlText w:val="o"/>
      <w:lvlJc w:val="left"/>
      <w:pPr>
        <w:ind w:left="3600" w:hanging="360"/>
      </w:pPr>
      <w:rPr>
        <w:rFonts w:ascii="Courier New" w:hAnsi="Courier New" w:hint="default"/>
      </w:rPr>
    </w:lvl>
    <w:lvl w:ilvl="5" w:tplc="E2B4C05E">
      <w:start w:val="1"/>
      <w:numFmt w:val="bullet"/>
      <w:lvlText w:val=""/>
      <w:lvlJc w:val="left"/>
      <w:pPr>
        <w:ind w:left="4320" w:hanging="360"/>
      </w:pPr>
      <w:rPr>
        <w:rFonts w:ascii="Wingdings" w:hAnsi="Wingdings" w:hint="default"/>
      </w:rPr>
    </w:lvl>
    <w:lvl w:ilvl="6" w:tplc="87203B14">
      <w:start w:val="1"/>
      <w:numFmt w:val="bullet"/>
      <w:lvlText w:val=""/>
      <w:lvlJc w:val="left"/>
      <w:pPr>
        <w:ind w:left="5040" w:hanging="360"/>
      </w:pPr>
      <w:rPr>
        <w:rFonts w:ascii="Symbol" w:hAnsi="Symbol" w:hint="default"/>
      </w:rPr>
    </w:lvl>
    <w:lvl w:ilvl="7" w:tplc="F9F6D3CE">
      <w:start w:val="1"/>
      <w:numFmt w:val="bullet"/>
      <w:lvlText w:val="o"/>
      <w:lvlJc w:val="left"/>
      <w:pPr>
        <w:ind w:left="5760" w:hanging="360"/>
      </w:pPr>
      <w:rPr>
        <w:rFonts w:ascii="Courier New" w:hAnsi="Courier New" w:hint="default"/>
      </w:rPr>
    </w:lvl>
    <w:lvl w:ilvl="8" w:tplc="3B8CBA60">
      <w:start w:val="1"/>
      <w:numFmt w:val="bullet"/>
      <w:lvlText w:val=""/>
      <w:lvlJc w:val="left"/>
      <w:pPr>
        <w:ind w:left="6480" w:hanging="360"/>
      </w:pPr>
      <w:rPr>
        <w:rFonts w:ascii="Wingdings" w:hAnsi="Wingdings" w:hint="default"/>
      </w:rPr>
    </w:lvl>
  </w:abstractNum>
  <w:abstractNum w:abstractNumId="2" w15:restartNumberingAfterBreak="0">
    <w:nsid w:val="31A5A230"/>
    <w:multiLevelType w:val="hybridMultilevel"/>
    <w:tmpl w:val="879CD770"/>
    <w:lvl w:ilvl="0" w:tplc="69FAF438">
      <w:start w:val="1"/>
      <w:numFmt w:val="bullet"/>
      <w:lvlText w:val="o"/>
      <w:lvlJc w:val="left"/>
      <w:pPr>
        <w:ind w:left="720" w:hanging="360"/>
      </w:pPr>
      <w:rPr>
        <w:rFonts w:ascii="Courier New" w:hAnsi="Courier New" w:hint="default"/>
      </w:rPr>
    </w:lvl>
    <w:lvl w:ilvl="1" w:tplc="A614DC84">
      <w:start w:val="1"/>
      <w:numFmt w:val="bullet"/>
      <w:lvlText w:val="o"/>
      <w:lvlJc w:val="left"/>
      <w:pPr>
        <w:ind w:left="1440" w:hanging="360"/>
      </w:pPr>
      <w:rPr>
        <w:rFonts w:ascii="Courier New" w:hAnsi="Courier New" w:hint="default"/>
      </w:rPr>
    </w:lvl>
    <w:lvl w:ilvl="2" w:tplc="2F7E3B9E">
      <w:start w:val="1"/>
      <w:numFmt w:val="bullet"/>
      <w:lvlText w:val=""/>
      <w:lvlJc w:val="left"/>
      <w:pPr>
        <w:ind w:left="2160" w:hanging="360"/>
      </w:pPr>
      <w:rPr>
        <w:rFonts w:ascii="Wingdings" w:hAnsi="Wingdings" w:hint="default"/>
      </w:rPr>
    </w:lvl>
    <w:lvl w:ilvl="3" w:tplc="8962D672">
      <w:start w:val="1"/>
      <w:numFmt w:val="bullet"/>
      <w:lvlText w:val=""/>
      <w:lvlJc w:val="left"/>
      <w:pPr>
        <w:ind w:left="2880" w:hanging="360"/>
      </w:pPr>
      <w:rPr>
        <w:rFonts w:ascii="Symbol" w:hAnsi="Symbol" w:hint="default"/>
      </w:rPr>
    </w:lvl>
    <w:lvl w:ilvl="4" w:tplc="60B8D364">
      <w:start w:val="1"/>
      <w:numFmt w:val="bullet"/>
      <w:lvlText w:val="o"/>
      <w:lvlJc w:val="left"/>
      <w:pPr>
        <w:ind w:left="3600" w:hanging="360"/>
      </w:pPr>
      <w:rPr>
        <w:rFonts w:ascii="Courier New" w:hAnsi="Courier New" w:hint="default"/>
      </w:rPr>
    </w:lvl>
    <w:lvl w:ilvl="5" w:tplc="4A728C7A">
      <w:start w:val="1"/>
      <w:numFmt w:val="bullet"/>
      <w:lvlText w:val=""/>
      <w:lvlJc w:val="left"/>
      <w:pPr>
        <w:ind w:left="4320" w:hanging="360"/>
      </w:pPr>
      <w:rPr>
        <w:rFonts w:ascii="Wingdings" w:hAnsi="Wingdings" w:hint="default"/>
      </w:rPr>
    </w:lvl>
    <w:lvl w:ilvl="6" w:tplc="C23E4B80">
      <w:start w:val="1"/>
      <w:numFmt w:val="bullet"/>
      <w:lvlText w:val=""/>
      <w:lvlJc w:val="left"/>
      <w:pPr>
        <w:ind w:left="5040" w:hanging="360"/>
      </w:pPr>
      <w:rPr>
        <w:rFonts w:ascii="Symbol" w:hAnsi="Symbol" w:hint="default"/>
      </w:rPr>
    </w:lvl>
    <w:lvl w:ilvl="7" w:tplc="E9ECAE02">
      <w:start w:val="1"/>
      <w:numFmt w:val="bullet"/>
      <w:lvlText w:val="o"/>
      <w:lvlJc w:val="left"/>
      <w:pPr>
        <w:ind w:left="5760" w:hanging="360"/>
      </w:pPr>
      <w:rPr>
        <w:rFonts w:ascii="Courier New" w:hAnsi="Courier New" w:hint="default"/>
      </w:rPr>
    </w:lvl>
    <w:lvl w:ilvl="8" w:tplc="FF4220E2">
      <w:start w:val="1"/>
      <w:numFmt w:val="bullet"/>
      <w:lvlText w:val=""/>
      <w:lvlJc w:val="left"/>
      <w:pPr>
        <w:ind w:left="6480" w:hanging="360"/>
      </w:pPr>
      <w:rPr>
        <w:rFonts w:ascii="Wingdings" w:hAnsi="Wingdings" w:hint="default"/>
      </w:rPr>
    </w:lvl>
  </w:abstractNum>
  <w:abstractNum w:abstractNumId="3" w15:restartNumberingAfterBreak="0">
    <w:nsid w:val="6D865B9F"/>
    <w:multiLevelType w:val="hybridMultilevel"/>
    <w:tmpl w:val="A7C48E14"/>
    <w:lvl w:ilvl="0" w:tplc="19ECD3F8">
      <w:start w:val="1"/>
      <w:numFmt w:val="bullet"/>
      <w:lvlText w:val=""/>
      <w:lvlJc w:val="left"/>
      <w:pPr>
        <w:ind w:left="720" w:hanging="360"/>
      </w:pPr>
      <w:rPr>
        <w:rFonts w:ascii="Symbol" w:hAnsi="Symbol" w:hint="default"/>
      </w:rPr>
    </w:lvl>
    <w:lvl w:ilvl="1" w:tplc="716A5F64">
      <w:start w:val="1"/>
      <w:numFmt w:val="bullet"/>
      <w:lvlText w:val="o"/>
      <w:lvlJc w:val="left"/>
      <w:pPr>
        <w:ind w:left="1440" w:hanging="360"/>
      </w:pPr>
      <w:rPr>
        <w:rFonts w:ascii="Courier New" w:hAnsi="Courier New" w:hint="default"/>
      </w:rPr>
    </w:lvl>
    <w:lvl w:ilvl="2" w:tplc="066A8642">
      <w:start w:val="1"/>
      <w:numFmt w:val="bullet"/>
      <w:lvlText w:val=""/>
      <w:lvlJc w:val="left"/>
      <w:pPr>
        <w:ind w:left="2160" w:hanging="360"/>
      </w:pPr>
      <w:rPr>
        <w:rFonts w:ascii="Wingdings" w:hAnsi="Wingdings" w:hint="default"/>
      </w:rPr>
    </w:lvl>
    <w:lvl w:ilvl="3" w:tplc="F910638A">
      <w:start w:val="1"/>
      <w:numFmt w:val="bullet"/>
      <w:lvlText w:val=""/>
      <w:lvlJc w:val="left"/>
      <w:pPr>
        <w:ind w:left="2880" w:hanging="360"/>
      </w:pPr>
      <w:rPr>
        <w:rFonts w:ascii="Symbol" w:hAnsi="Symbol" w:hint="default"/>
      </w:rPr>
    </w:lvl>
    <w:lvl w:ilvl="4" w:tplc="131C90DC">
      <w:start w:val="1"/>
      <w:numFmt w:val="bullet"/>
      <w:lvlText w:val="o"/>
      <w:lvlJc w:val="left"/>
      <w:pPr>
        <w:ind w:left="3600" w:hanging="360"/>
      </w:pPr>
      <w:rPr>
        <w:rFonts w:ascii="Courier New" w:hAnsi="Courier New" w:hint="default"/>
      </w:rPr>
    </w:lvl>
    <w:lvl w:ilvl="5" w:tplc="E332B012">
      <w:start w:val="1"/>
      <w:numFmt w:val="bullet"/>
      <w:lvlText w:val=""/>
      <w:lvlJc w:val="left"/>
      <w:pPr>
        <w:ind w:left="4320" w:hanging="360"/>
      </w:pPr>
      <w:rPr>
        <w:rFonts w:ascii="Wingdings" w:hAnsi="Wingdings" w:hint="default"/>
      </w:rPr>
    </w:lvl>
    <w:lvl w:ilvl="6" w:tplc="3774EC46">
      <w:start w:val="1"/>
      <w:numFmt w:val="bullet"/>
      <w:lvlText w:val=""/>
      <w:lvlJc w:val="left"/>
      <w:pPr>
        <w:ind w:left="5040" w:hanging="360"/>
      </w:pPr>
      <w:rPr>
        <w:rFonts w:ascii="Symbol" w:hAnsi="Symbol" w:hint="default"/>
      </w:rPr>
    </w:lvl>
    <w:lvl w:ilvl="7" w:tplc="B6F0A67E">
      <w:start w:val="1"/>
      <w:numFmt w:val="bullet"/>
      <w:lvlText w:val="o"/>
      <w:lvlJc w:val="left"/>
      <w:pPr>
        <w:ind w:left="5760" w:hanging="360"/>
      </w:pPr>
      <w:rPr>
        <w:rFonts w:ascii="Courier New" w:hAnsi="Courier New" w:hint="default"/>
      </w:rPr>
    </w:lvl>
    <w:lvl w:ilvl="8" w:tplc="9CAAC442">
      <w:start w:val="1"/>
      <w:numFmt w:val="bullet"/>
      <w:lvlText w:val=""/>
      <w:lvlJc w:val="left"/>
      <w:pPr>
        <w:ind w:left="6480" w:hanging="360"/>
      </w:pPr>
      <w:rPr>
        <w:rFonts w:ascii="Wingdings" w:hAnsi="Wingdings" w:hint="default"/>
      </w:rPr>
    </w:lvl>
  </w:abstractNum>
  <w:num w:numId="1" w16cid:durableId="708144803">
    <w:abstractNumId w:val="3"/>
  </w:num>
  <w:num w:numId="2" w16cid:durableId="657005322">
    <w:abstractNumId w:val="2"/>
  </w:num>
  <w:num w:numId="3" w16cid:durableId="172425842">
    <w:abstractNumId w:val="1"/>
  </w:num>
  <w:num w:numId="4" w16cid:durableId="20140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24"/>
    <w:rsid w:val="000016FF"/>
    <w:rsid w:val="00071F60"/>
    <w:rsid w:val="0007384A"/>
    <w:rsid w:val="000875F8"/>
    <w:rsid w:val="000A2483"/>
    <w:rsid w:val="000E5575"/>
    <w:rsid w:val="000F0E8B"/>
    <w:rsid w:val="00106EF9"/>
    <w:rsid w:val="00185F46"/>
    <w:rsid w:val="0018666D"/>
    <w:rsid w:val="001A7298"/>
    <w:rsid w:val="001B3199"/>
    <w:rsid w:val="001F35DC"/>
    <w:rsid w:val="001F3CA2"/>
    <w:rsid w:val="0020179C"/>
    <w:rsid w:val="00241201"/>
    <w:rsid w:val="00264612"/>
    <w:rsid w:val="00266CCE"/>
    <w:rsid w:val="00295898"/>
    <w:rsid w:val="002A424B"/>
    <w:rsid w:val="002B2EF2"/>
    <w:rsid w:val="0030221A"/>
    <w:rsid w:val="00320396"/>
    <w:rsid w:val="0034002B"/>
    <w:rsid w:val="003619D9"/>
    <w:rsid w:val="00382920"/>
    <w:rsid w:val="00443481"/>
    <w:rsid w:val="004620B9"/>
    <w:rsid w:val="00467C04"/>
    <w:rsid w:val="00481D34"/>
    <w:rsid w:val="004A4570"/>
    <w:rsid w:val="004C738C"/>
    <w:rsid w:val="004D0203"/>
    <w:rsid w:val="00543689"/>
    <w:rsid w:val="00567A8B"/>
    <w:rsid w:val="00581C97"/>
    <w:rsid w:val="005820E9"/>
    <w:rsid w:val="005D7A18"/>
    <w:rsid w:val="005F790C"/>
    <w:rsid w:val="00600CD8"/>
    <w:rsid w:val="00615869"/>
    <w:rsid w:val="0062671D"/>
    <w:rsid w:val="006A5BA6"/>
    <w:rsid w:val="007206E8"/>
    <w:rsid w:val="0074737E"/>
    <w:rsid w:val="007810B0"/>
    <w:rsid w:val="00784CC8"/>
    <w:rsid w:val="0079598C"/>
    <w:rsid w:val="007A2D65"/>
    <w:rsid w:val="007E4E14"/>
    <w:rsid w:val="007F55B2"/>
    <w:rsid w:val="008012C2"/>
    <w:rsid w:val="00812DAC"/>
    <w:rsid w:val="008837B9"/>
    <w:rsid w:val="008D0A0B"/>
    <w:rsid w:val="00904CF3"/>
    <w:rsid w:val="00905CF0"/>
    <w:rsid w:val="00917B1F"/>
    <w:rsid w:val="00920AA4"/>
    <w:rsid w:val="00921A45"/>
    <w:rsid w:val="0094503F"/>
    <w:rsid w:val="00981528"/>
    <w:rsid w:val="009857E9"/>
    <w:rsid w:val="00991E1D"/>
    <w:rsid w:val="009F149E"/>
    <w:rsid w:val="00A17D5D"/>
    <w:rsid w:val="00AA55F2"/>
    <w:rsid w:val="00AB2AF6"/>
    <w:rsid w:val="00B015A3"/>
    <w:rsid w:val="00B0635C"/>
    <w:rsid w:val="00B51747"/>
    <w:rsid w:val="00B51B8F"/>
    <w:rsid w:val="00BA2E67"/>
    <w:rsid w:val="00BC43A5"/>
    <w:rsid w:val="00BF0414"/>
    <w:rsid w:val="00C143BC"/>
    <w:rsid w:val="00C53F91"/>
    <w:rsid w:val="00C67EAE"/>
    <w:rsid w:val="00CD0E50"/>
    <w:rsid w:val="00CF151F"/>
    <w:rsid w:val="00D1388D"/>
    <w:rsid w:val="00D20FD3"/>
    <w:rsid w:val="00D32DAF"/>
    <w:rsid w:val="00D83A3A"/>
    <w:rsid w:val="00D90A95"/>
    <w:rsid w:val="00D9778A"/>
    <w:rsid w:val="00DB211D"/>
    <w:rsid w:val="00DB3E06"/>
    <w:rsid w:val="00DC1224"/>
    <w:rsid w:val="00E02A9B"/>
    <w:rsid w:val="00E16DF6"/>
    <w:rsid w:val="00E43E87"/>
    <w:rsid w:val="00E90CD7"/>
    <w:rsid w:val="00E95E91"/>
    <w:rsid w:val="00EA360A"/>
    <w:rsid w:val="00EB1E88"/>
    <w:rsid w:val="00EC4903"/>
    <w:rsid w:val="00F308D7"/>
    <w:rsid w:val="00F92048"/>
    <w:rsid w:val="00FD1152"/>
    <w:rsid w:val="00FE7C53"/>
    <w:rsid w:val="02DB1C01"/>
    <w:rsid w:val="07479C2E"/>
    <w:rsid w:val="09C7F2CE"/>
    <w:rsid w:val="0D45CA46"/>
    <w:rsid w:val="0FF64B62"/>
    <w:rsid w:val="10D7183A"/>
    <w:rsid w:val="12DAFD11"/>
    <w:rsid w:val="152A9C56"/>
    <w:rsid w:val="16ADC2A3"/>
    <w:rsid w:val="1A7C9DF4"/>
    <w:rsid w:val="1D2BA7D6"/>
    <w:rsid w:val="20F23CBF"/>
    <w:rsid w:val="24742795"/>
    <w:rsid w:val="25772C24"/>
    <w:rsid w:val="2C56F6FE"/>
    <w:rsid w:val="2D394821"/>
    <w:rsid w:val="2F740BCE"/>
    <w:rsid w:val="30150BCC"/>
    <w:rsid w:val="354A84C1"/>
    <w:rsid w:val="3CCFF607"/>
    <w:rsid w:val="3DEF33FB"/>
    <w:rsid w:val="4D2E4E77"/>
    <w:rsid w:val="5069D119"/>
    <w:rsid w:val="52C23859"/>
    <w:rsid w:val="5D3609D0"/>
    <w:rsid w:val="65D48EE0"/>
    <w:rsid w:val="681508D8"/>
    <w:rsid w:val="68C2B65D"/>
    <w:rsid w:val="6B8A145C"/>
    <w:rsid w:val="71286F16"/>
    <w:rsid w:val="767F2F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4A3D"/>
  <w15:chartTrackingRefBased/>
  <w15:docId w15:val="{5C1A78E7-A9CF-4FDC-A7A1-029C7206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52C23859"/>
    <w:pPr>
      <w:spacing w:line="276" w:lineRule="auto"/>
      <w:outlineLvl w:val="0"/>
    </w:pPr>
    <w:rPr>
      <w:rFonts w:eastAsia="Aptos Display" w:cs="Aptos Display"/>
    </w:rPr>
  </w:style>
  <w:style w:type="paragraph" w:styleId="Heading2">
    <w:name w:val="heading 2"/>
    <w:basedOn w:val="Normal"/>
    <w:next w:val="Normal"/>
    <w:link w:val="Heading2Char"/>
    <w:uiPriority w:val="9"/>
    <w:unhideWhenUsed/>
    <w:qFormat/>
    <w:rsid w:val="00DC1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C1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52C23859"/>
    <w:rPr>
      <w:rFonts w:eastAsia="Aptos Display" w:cs="Aptos Display"/>
    </w:rPr>
  </w:style>
  <w:style w:type="character" w:customStyle="1" w:styleId="Heading2Char">
    <w:name w:val="Heading 2 Char"/>
    <w:basedOn w:val="DefaultParagraphFont"/>
    <w:link w:val="Heading2"/>
    <w:uiPriority w:val="9"/>
    <w:rsid w:val="00DC1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C1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224"/>
    <w:rPr>
      <w:rFonts w:eastAsiaTheme="majorEastAsia" w:cstheme="majorBidi"/>
      <w:color w:val="272727" w:themeColor="text1" w:themeTint="D8"/>
    </w:rPr>
  </w:style>
  <w:style w:type="paragraph" w:styleId="Title">
    <w:name w:val="Title"/>
    <w:basedOn w:val="Heading1"/>
    <w:next w:val="Normal"/>
    <w:link w:val="TitleChar"/>
    <w:uiPriority w:val="10"/>
    <w:qFormat/>
    <w:rsid w:val="52C23859"/>
    <w:pPr>
      <w:spacing w:before="360"/>
    </w:pPr>
    <w:rPr>
      <w:rFonts w:ascii="Avenir Next LT Pro" w:eastAsia="Avenir Next LT Pro" w:hAnsi="Avenir Next LT Pro" w:cs="Avenir Next LT Pro"/>
      <w:b/>
      <w:bCs/>
      <w:sz w:val="40"/>
      <w:szCs w:val="40"/>
    </w:rPr>
  </w:style>
  <w:style w:type="character" w:customStyle="1" w:styleId="TitleChar">
    <w:name w:val="Title Char"/>
    <w:link w:val="Title"/>
    <w:uiPriority w:val="10"/>
    <w:rsid w:val="52C23859"/>
    <w:rPr>
      <w:rFonts w:ascii="Avenir Next LT Pro" w:eastAsia="Avenir Next LT Pro" w:hAnsi="Avenir Next LT Pro" w:cs="Avenir Next LT Pro"/>
      <w:b/>
      <w:bCs/>
      <w:sz w:val="40"/>
      <w:szCs w:val="40"/>
    </w:rPr>
  </w:style>
  <w:style w:type="paragraph" w:styleId="Subtitle">
    <w:name w:val="Subtitle"/>
    <w:basedOn w:val="Normal"/>
    <w:next w:val="Normal"/>
    <w:link w:val="SubtitleChar"/>
    <w:uiPriority w:val="11"/>
    <w:qFormat/>
    <w:rsid w:val="00DC1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224"/>
    <w:pPr>
      <w:spacing w:before="160"/>
      <w:jc w:val="center"/>
    </w:pPr>
    <w:rPr>
      <w:i/>
      <w:iCs/>
      <w:color w:val="404040" w:themeColor="text1" w:themeTint="BF"/>
    </w:rPr>
  </w:style>
  <w:style w:type="character" w:customStyle="1" w:styleId="QuoteChar">
    <w:name w:val="Quote Char"/>
    <w:basedOn w:val="DefaultParagraphFont"/>
    <w:link w:val="Quote"/>
    <w:uiPriority w:val="29"/>
    <w:rsid w:val="00DC1224"/>
    <w:rPr>
      <w:i/>
      <w:iCs/>
      <w:color w:val="404040" w:themeColor="text1" w:themeTint="BF"/>
    </w:rPr>
  </w:style>
  <w:style w:type="paragraph" w:styleId="ListParagraph">
    <w:name w:val="List Paragraph"/>
    <w:basedOn w:val="Normal"/>
    <w:uiPriority w:val="34"/>
    <w:qFormat/>
    <w:rsid w:val="00DC1224"/>
    <w:pPr>
      <w:ind w:left="720"/>
      <w:contextualSpacing/>
    </w:pPr>
  </w:style>
  <w:style w:type="character" w:styleId="IntenseEmphasis">
    <w:name w:val="Intense Emphasis"/>
    <w:basedOn w:val="DefaultParagraphFont"/>
    <w:uiPriority w:val="21"/>
    <w:qFormat/>
    <w:rsid w:val="00DC1224"/>
    <w:rPr>
      <w:i/>
      <w:iCs/>
      <w:color w:val="0F4761" w:themeColor="accent1" w:themeShade="BF"/>
    </w:rPr>
  </w:style>
  <w:style w:type="paragraph" w:styleId="IntenseQuote">
    <w:name w:val="Intense Quote"/>
    <w:basedOn w:val="Normal"/>
    <w:next w:val="Normal"/>
    <w:link w:val="IntenseQuoteChar"/>
    <w:uiPriority w:val="30"/>
    <w:qFormat/>
    <w:rsid w:val="00DC1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224"/>
    <w:rPr>
      <w:i/>
      <w:iCs/>
      <w:color w:val="0F4761" w:themeColor="accent1" w:themeShade="BF"/>
    </w:rPr>
  </w:style>
  <w:style w:type="character" w:styleId="IntenseReference">
    <w:name w:val="Intense Reference"/>
    <w:basedOn w:val="DefaultParagraphFont"/>
    <w:uiPriority w:val="32"/>
    <w:qFormat/>
    <w:rsid w:val="00DC1224"/>
    <w:rPr>
      <w:b/>
      <w:bCs/>
      <w:smallCaps/>
      <w:color w:val="0F4761" w:themeColor="accent1" w:themeShade="BF"/>
      <w:spacing w:val="5"/>
    </w:rPr>
  </w:style>
  <w:style w:type="paragraph" w:styleId="Header">
    <w:name w:val="header"/>
    <w:basedOn w:val="Normal"/>
    <w:link w:val="HeaderChar"/>
    <w:uiPriority w:val="99"/>
    <w:unhideWhenUsed/>
    <w:rsid w:val="00001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FF"/>
  </w:style>
  <w:style w:type="paragraph" w:styleId="Footer">
    <w:name w:val="footer"/>
    <w:basedOn w:val="Normal"/>
    <w:link w:val="FooterChar"/>
    <w:uiPriority w:val="99"/>
    <w:unhideWhenUsed/>
    <w:rsid w:val="00001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FF"/>
  </w:style>
  <w:style w:type="character" w:styleId="Hyperlink">
    <w:name w:val="Hyperlink"/>
    <w:basedOn w:val="DefaultParagraphFont"/>
    <w:uiPriority w:val="99"/>
    <w:unhideWhenUsed/>
    <w:rsid w:val="5D3609D0"/>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3E06"/>
    <w:rPr>
      <w:b/>
      <w:bCs/>
    </w:rPr>
  </w:style>
  <w:style w:type="character" w:customStyle="1" w:styleId="CommentSubjectChar">
    <w:name w:val="Comment Subject Char"/>
    <w:basedOn w:val="CommentTextChar"/>
    <w:link w:val="CommentSubject"/>
    <w:uiPriority w:val="99"/>
    <w:semiHidden/>
    <w:rsid w:val="00DB3E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early-intervention-ei-autism-spectrum-disorder-specialty-servi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34/subtitle-B/chapter-III/part-303/subpart-D/subject-group-ECFR2e3d25fd5ebef71/section-303.34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34/subtitle-B/chapter-III/part-303/subpart-D/subject-group-ECFR821570af41ca511/section-303.32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cfr.gov/current/title-34/subtitle-B/chapter-III/part-3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74F5.7AA7F7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3123e5-9264-4e21-bc82-16d9e45b2f5e">
      <Terms xmlns="http://schemas.microsoft.com/office/infopath/2007/PartnerControls"/>
    </lcf76f155ced4ddcb4097134ff3c332f>
    <TaxCatchAll xmlns="fee02ea6-1fef-425e-9027-c2f70faaf434" xsi:nil="true"/>
    <SharedWithUsers xmlns="fee02ea6-1fef-425e-9027-c2f70faaf43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5" ma:contentTypeDescription="Create a new document." ma:contentTypeScope="" ma:versionID="dfaee838cf8758cf1904407ece71fb2c">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5259bc2a429d13545762525e2ece094"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37E97-09B4-4E88-BB92-57D76531C8D7}">
  <ds:schemaRefs>
    <ds:schemaRef ds:uri="http://schemas.microsoft.com/office/2006/metadata/properties"/>
    <ds:schemaRef ds:uri="http://schemas.microsoft.com/office/infopath/2007/PartnerControls"/>
    <ds:schemaRef ds:uri="c83123e5-9264-4e21-bc82-16d9e45b2f5e"/>
    <ds:schemaRef ds:uri="fee02ea6-1fef-425e-9027-c2f70faaf434"/>
  </ds:schemaRefs>
</ds:datastoreItem>
</file>

<file path=customXml/itemProps2.xml><?xml version="1.0" encoding="utf-8"?>
<ds:datastoreItem xmlns:ds="http://schemas.openxmlformats.org/officeDocument/2006/customXml" ds:itemID="{68D9FE63-E52B-402C-B881-5841DD077F97}">
  <ds:schemaRefs>
    <ds:schemaRef ds:uri="http://schemas.microsoft.com/sharepoint/v3/contenttype/forms"/>
  </ds:schemaRefs>
</ds:datastoreItem>
</file>

<file path=customXml/itemProps3.xml><?xml version="1.0" encoding="utf-8"?>
<ds:datastoreItem xmlns:ds="http://schemas.openxmlformats.org/officeDocument/2006/customXml" ds:itemID="{D4A76854-B332-4810-8192-06825381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Julie (DPH)</dc:creator>
  <cp:keywords/>
  <dc:description/>
  <cp:lastModifiedBy>Woo, Karl (EHS)</cp:lastModifiedBy>
  <cp:revision>76</cp:revision>
  <dcterms:created xsi:type="dcterms:W3CDTF">2025-12-26T15:26:00Z</dcterms:created>
  <dcterms:modified xsi:type="dcterms:W3CDTF">2026-04-22T17:21:00Z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