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E80E" w14:textId="228AAA73" w:rsidR="008502C9" w:rsidRPr="00292BC8" w:rsidRDefault="008502C9" w:rsidP="00292BC8">
      <w:pPr>
        <w:pStyle w:val="BodyText"/>
        <w:tabs>
          <w:tab w:val="left" w:pos="1740"/>
        </w:tabs>
        <w:rPr>
          <w:rFonts w:ascii="Times New Roman" w:hAnsi="Times New Roman" w:cs="Times New Roman"/>
          <w:bCs/>
        </w:rPr>
      </w:pPr>
      <w:r w:rsidRPr="00292BC8">
        <w:rPr>
          <w:rFonts w:ascii="Times New Roman" w:hAnsi="Times New Roman" w:cs="Times New Roman"/>
          <w:bCs/>
          <w:spacing w:val="-5"/>
        </w:rPr>
        <w:t>T</w:t>
      </w:r>
      <w:r w:rsidR="00292BC8" w:rsidRPr="00292BC8">
        <w:rPr>
          <w:rFonts w:ascii="Times New Roman" w:hAnsi="Times New Roman" w:cs="Times New Roman"/>
          <w:bCs/>
          <w:spacing w:val="-5"/>
        </w:rPr>
        <w:t>o</w:t>
      </w:r>
      <w:r w:rsidRPr="00292BC8">
        <w:rPr>
          <w:rFonts w:ascii="Times New Roman" w:hAnsi="Times New Roman" w:cs="Times New Roman"/>
          <w:bCs/>
          <w:spacing w:val="-5"/>
        </w:rPr>
        <w:t>:</w:t>
      </w:r>
      <w:r w:rsidR="00EA5245" w:rsidRPr="00292BC8">
        <w:rPr>
          <w:rFonts w:ascii="Times New Roman" w:hAnsi="Times New Roman" w:cs="Times New Roman"/>
          <w:bCs/>
        </w:rPr>
        <w:t xml:space="preserve"> </w:t>
      </w:r>
      <w:r w:rsidRPr="00292BC8">
        <w:rPr>
          <w:rFonts w:ascii="Times New Roman" w:hAnsi="Times New Roman" w:cs="Times New Roman"/>
          <w:bCs/>
        </w:rPr>
        <w:t>Early</w:t>
      </w:r>
      <w:r w:rsidRPr="00292BC8">
        <w:rPr>
          <w:rFonts w:ascii="Times New Roman" w:hAnsi="Times New Roman" w:cs="Times New Roman"/>
          <w:bCs/>
          <w:spacing w:val="-6"/>
        </w:rPr>
        <w:t xml:space="preserve"> </w:t>
      </w:r>
      <w:r w:rsidRPr="00292BC8">
        <w:rPr>
          <w:rFonts w:ascii="Times New Roman" w:hAnsi="Times New Roman" w:cs="Times New Roman"/>
          <w:bCs/>
        </w:rPr>
        <w:t>Intervention</w:t>
      </w:r>
      <w:r w:rsidRPr="00292BC8">
        <w:rPr>
          <w:rFonts w:ascii="Times New Roman" w:hAnsi="Times New Roman" w:cs="Times New Roman"/>
          <w:bCs/>
          <w:spacing w:val="-4"/>
        </w:rPr>
        <w:t xml:space="preserve"> </w:t>
      </w:r>
      <w:r w:rsidRPr="00292BC8">
        <w:rPr>
          <w:rFonts w:ascii="Times New Roman" w:hAnsi="Times New Roman" w:cs="Times New Roman"/>
          <w:bCs/>
        </w:rPr>
        <w:t>Practice</w:t>
      </w:r>
      <w:r w:rsidRPr="00292BC8">
        <w:rPr>
          <w:rFonts w:ascii="Times New Roman" w:hAnsi="Times New Roman" w:cs="Times New Roman"/>
          <w:bCs/>
          <w:spacing w:val="-6"/>
        </w:rPr>
        <w:t xml:space="preserve"> </w:t>
      </w:r>
      <w:r w:rsidRPr="00292BC8">
        <w:rPr>
          <w:rFonts w:ascii="Times New Roman" w:hAnsi="Times New Roman" w:cs="Times New Roman"/>
          <w:bCs/>
        </w:rPr>
        <w:t>Management</w:t>
      </w:r>
      <w:r w:rsidRPr="00292BC8">
        <w:rPr>
          <w:rFonts w:ascii="Times New Roman" w:hAnsi="Times New Roman" w:cs="Times New Roman"/>
          <w:bCs/>
          <w:spacing w:val="-7"/>
        </w:rPr>
        <w:t xml:space="preserve"> </w:t>
      </w:r>
      <w:r w:rsidRPr="00292BC8">
        <w:rPr>
          <w:rFonts w:ascii="Times New Roman" w:hAnsi="Times New Roman" w:cs="Times New Roman"/>
          <w:bCs/>
        </w:rPr>
        <w:t>System</w:t>
      </w:r>
      <w:r w:rsidRPr="00292BC8">
        <w:rPr>
          <w:rFonts w:ascii="Times New Roman" w:hAnsi="Times New Roman" w:cs="Times New Roman"/>
          <w:bCs/>
          <w:spacing w:val="-8"/>
        </w:rPr>
        <w:t xml:space="preserve"> </w:t>
      </w:r>
      <w:r w:rsidRPr="00292BC8">
        <w:rPr>
          <w:rFonts w:ascii="Times New Roman" w:hAnsi="Times New Roman" w:cs="Times New Roman"/>
          <w:bCs/>
        </w:rPr>
        <w:t>Developers</w:t>
      </w:r>
      <w:r w:rsidRPr="00292BC8">
        <w:rPr>
          <w:rFonts w:ascii="Times New Roman" w:hAnsi="Times New Roman" w:cs="Times New Roman"/>
          <w:bCs/>
          <w:spacing w:val="-4"/>
        </w:rPr>
        <w:t xml:space="preserve"> </w:t>
      </w:r>
      <w:r w:rsidRPr="00292BC8">
        <w:rPr>
          <w:rFonts w:ascii="Times New Roman" w:hAnsi="Times New Roman" w:cs="Times New Roman"/>
          <w:bCs/>
        </w:rPr>
        <w:t>and</w:t>
      </w:r>
      <w:r w:rsidRPr="00292BC8">
        <w:rPr>
          <w:rFonts w:ascii="Times New Roman" w:hAnsi="Times New Roman" w:cs="Times New Roman"/>
          <w:bCs/>
          <w:spacing w:val="-3"/>
        </w:rPr>
        <w:t xml:space="preserve"> </w:t>
      </w:r>
      <w:r w:rsidRPr="00292BC8">
        <w:rPr>
          <w:rFonts w:ascii="Times New Roman" w:hAnsi="Times New Roman" w:cs="Times New Roman"/>
          <w:bCs/>
          <w:spacing w:val="-2"/>
        </w:rPr>
        <w:t>Billers</w:t>
      </w:r>
    </w:p>
    <w:p w14:paraId="11CC5051" w14:textId="0659A654" w:rsidR="00EA5245" w:rsidRPr="00292BC8" w:rsidRDefault="008502C9" w:rsidP="00292BC8">
      <w:pPr>
        <w:tabs>
          <w:tab w:val="left" w:pos="1740"/>
        </w:tabs>
        <w:rPr>
          <w:rFonts w:ascii="Times New Roman" w:hAnsi="Times New Roman" w:cs="Times New Roman"/>
          <w:bCs/>
        </w:rPr>
      </w:pPr>
      <w:r w:rsidRPr="00292BC8">
        <w:rPr>
          <w:rFonts w:ascii="Times New Roman" w:hAnsi="Times New Roman" w:cs="Times New Roman"/>
          <w:bCs/>
          <w:spacing w:val="-4"/>
        </w:rPr>
        <w:t>R</w:t>
      </w:r>
      <w:r w:rsidR="00292BC8" w:rsidRPr="00292BC8">
        <w:rPr>
          <w:rFonts w:ascii="Times New Roman" w:hAnsi="Times New Roman" w:cs="Times New Roman"/>
          <w:bCs/>
          <w:spacing w:val="-4"/>
        </w:rPr>
        <w:t>e</w:t>
      </w:r>
      <w:r w:rsidRPr="00292BC8">
        <w:rPr>
          <w:rFonts w:ascii="Times New Roman" w:hAnsi="Times New Roman" w:cs="Times New Roman"/>
          <w:bCs/>
          <w:spacing w:val="-4"/>
        </w:rPr>
        <w:t>:</w:t>
      </w:r>
      <w:r w:rsidR="00EA5245" w:rsidRPr="00292BC8">
        <w:rPr>
          <w:rFonts w:ascii="Times New Roman" w:hAnsi="Times New Roman" w:cs="Times New Roman"/>
          <w:bCs/>
        </w:rPr>
        <w:t xml:space="preserve"> </w:t>
      </w:r>
      <w:r w:rsidRPr="00292BC8">
        <w:rPr>
          <w:rFonts w:ascii="Times New Roman" w:hAnsi="Times New Roman" w:cs="Times New Roman"/>
          <w:bCs/>
        </w:rPr>
        <w:t>Early</w:t>
      </w:r>
      <w:r w:rsidRPr="00292BC8">
        <w:rPr>
          <w:rFonts w:ascii="Times New Roman" w:hAnsi="Times New Roman" w:cs="Times New Roman"/>
          <w:bCs/>
          <w:spacing w:val="-9"/>
        </w:rPr>
        <w:t xml:space="preserve"> </w:t>
      </w:r>
      <w:r w:rsidRPr="00292BC8">
        <w:rPr>
          <w:rFonts w:ascii="Times New Roman" w:hAnsi="Times New Roman" w:cs="Times New Roman"/>
          <w:bCs/>
        </w:rPr>
        <w:t>Intervention/Autism</w:t>
      </w:r>
      <w:r w:rsidRPr="00292BC8">
        <w:rPr>
          <w:rFonts w:ascii="Times New Roman" w:hAnsi="Times New Roman" w:cs="Times New Roman"/>
          <w:bCs/>
          <w:spacing w:val="-10"/>
        </w:rPr>
        <w:t xml:space="preserve"> </w:t>
      </w:r>
      <w:r w:rsidRPr="00292BC8">
        <w:rPr>
          <w:rFonts w:ascii="Times New Roman" w:hAnsi="Times New Roman" w:cs="Times New Roman"/>
          <w:bCs/>
        </w:rPr>
        <w:t>Specialty</w:t>
      </w:r>
      <w:r w:rsidRPr="00292BC8">
        <w:rPr>
          <w:rFonts w:ascii="Times New Roman" w:hAnsi="Times New Roman" w:cs="Times New Roman"/>
          <w:bCs/>
          <w:spacing w:val="-13"/>
        </w:rPr>
        <w:t xml:space="preserve"> </w:t>
      </w:r>
      <w:r w:rsidRPr="00292BC8">
        <w:rPr>
          <w:rFonts w:ascii="Times New Roman" w:hAnsi="Times New Roman" w:cs="Times New Roman"/>
          <w:bCs/>
        </w:rPr>
        <w:t>Telehealth</w:t>
      </w:r>
      <w:r w:rsidRPr="00292BC8">
        <w:rPr>
          <w:rFonts w:ascii="Times New Roman" w:hAnsi="Times New Roman" w:cs="Times New Roman"/>
          <w:bCs/>
          <w:spacing w:val="-11"/>
        </w:rPr>
        <w:t xml:space="preserve"> </w:t>
      </w:r>
      <w:r w:rsidRPr="00292BC8">
        <w:rPr>
          <w:rFonts w:ascii="Times New Roman" w:hAnsi="Times New Roman" w:cs="Times New Roman"/>
          <w:bCs/>
        </w:rPr>
        <w:t xml:space="preserve">Services </w:t>
      </w:r>
    </w:p>
    <w:p w14:paraId="5C4C2339" w14:textId="5A3F84F9" w:rsidR="00292BC8" w:rsidRPr="00292BC8" w:rsidRDefault="00292BC8" w:rsidP="00292BC8">
      <w:pPr>
        <w:tabs>
          <w:tab w:val="left" w:pos="1740"/>
        </w:tabs>
        <w:rPr>
          <w:rFonts w:ascii="Times New Roman" w:hAnsi="Times New Roman" w:cs="Times New Roman"/>
          <w:bCs/>
        </w:rPr>
      </w:pPr>
      <w:r w:rsidRPr="00292BC8">
        <w:rPr>
          <w:rFonts w:ascii="Times New Roman" w:hAnsi="Times New Roman" w:cs="Times New Roman"/>
          <w:bCs/>
        </w:rPr>
        <w:t xml:space="preserve">From: </w:t>
      </w:r>
      <w:r w:rsidR="008502C9" w:rsidRPr="00292BC8">
        <w:rPr>
          <w:rFonts w:ascii="Times New Roman" w:hAnsi="Times New Roman" w:cs="Times New Roman"/>
          <w:bCs/>
        </w:rPr>
        <w:t>Steven McCourt, EI Fiscal Manager</w:t>
      </w:r>
    </w:p>
    <w:p w14:paraId="1AC7085D" w14:textId="7D3292D1" w:rsidR="008502C9" w:rsidRPr="00292BC8" w:rsidRDefault="00292BC8" w:rsidP="00292BC8">
      <w:pPr>
        <w:tabs>
          <w:tab w:val="left" w:pos="1740"/>
        </w:tabs>
        <w:rPr>
          <w:rFonts w:ascii="Times New Roman" w:hAnsi="Times New Roman" w:cs="Times New Roman"/>
          <w:bCs/>
        </w:rPr>
      </w:pPr>
      <w:r w:rsidRPr="00292BC8">
        <w:rPr>
          <w:rFonts w:ascii="Times New Roman" w:hAnsi="Times New Roman" w:cs="Times New Roman"/>
          <w:bCs/>
        </w:rPr>
        <w:t xml:space="preserve">           </w:t>
      </w:r>
      <w:r w:rsidR="008502C9" w:rsidRPr="00292BC8">
        <w:rPr>
          <w:rFonts w:ascii="Times New Roman" w:hAnsi="Times New Roman" w:cs="Times New Roman"/>
          <w:bCs/>
        </w:rPr>
        <w:t>Jean Shimer,</w:t>
      </w:r>
      <w:r w:rsidR="008502C9" w:rsidRPr="00292BC8">
        <w:rPr>
          <w:rFonts w:ascii="Times New Roman" w:hAnsi="Times New Roman" w:cs="Times New Roman"/>
          <w:bCs/>
          <w:spacing w:val="-4"/>
        </w:rPr>
        <w:t xml:space="preserve"> </w:t>
      </w:r>
      <w:r w:rsidR="008502C9" w:rsidRPr="00292BC8">
        <w:rPr>
          <w:rFonts w:ascii="Times New Roman" w:hAnsi="Times New Roman" w:cs="Times New Roman"/>
          <w:bCs/>
        </w:rPr>
        <w:t>EI</w:t>
      </w:r>
      <w:r w:rsidR="008502C9" w:rsidRPr="00292BC8">
        <w:rPr>
          <w:rFonts w:ascii="Times New Roman" w:hAnsi="Times New Roman" w:cs="Times New Roman"/>
          <w:bCs/>
          <w:spacing w:val="-3"/>
        </w:rPr>
        <w:t xml:space="preserve"> </w:t>
      </w:r>
      <w:r w:rsidR="008502C9" w:rsidRPr="00292BC8">
        <w:rPr>
          <w:rFonts w:ascii="Times New Roman" w:hAnsi="Times New Roman" w:cs="Times New Roman"/>
          <w:bCs/>
        </w:rPr>
        <w:t>Data</w:t>
      </w:r>
      <w:r w:rsidR="008502C9" w:rsidRPr="00292BC8">
        <w:rPr>
          <w:rFonts w:ascii="Times New Roman" w:hAnsi="Times New Roman" w:cs="Times New Roman"/>
          <w:bCs/>
          <w:spacing w:val="-2"/>
        </w:rPr>
        <w:t xml:space="preserve"> Manager</w:t>
      </w:r>
    </w:p>
    <w:p w14:paraId="5BE6AAB9" w14:textId="5E00E769" w:rsidR="00292BC8" w:rsidRDefault="008502C9" w:rsidP="00292BC8">
      <w:pPr>
        <w:tabs>
          <w:tab w:val="left" w:pos="1740"/>
        </w:tabs>
        <w:rPr>
          <w:rFonts w:ascii="Times New Roman" w:hAnsi="Times New Roman" w:cs="Times New Roman"/>
          <w:spacing w:val="-4"/>
        </w:rPr>
      </w:pPr>
      <w:r w:rsidRPr="00292BC8">
        <w:rPr>
          <w:rFonts w:ascii="Times New Roman" w:hAnsi="Times New Roman" w:cs="Times New Roman"/>
          <w:bCs/>
          <w:spacing w:val="-2"/>
        </w:rPr>
        <w:t>D</w:t>
      </w:r>
      <w:r w:rsidR="00292BC8" w:rsidRPr="00292BC8">
        <w:rPr>
          <w:rFonts w:ascii="Times New Roman" w:hAnsi="Times New Roman" w:cs="Times New Roman"/>
          <w:bCs/>
          <w:spacing w:val="-2"/>
        </w:rPr>
        <w:t>ate</w:t>
      </w:r>
      <w:r w:rsidRPr="00292BC8">
        <w:rPr>
          <w:rFonts w:ascii="Times New Roman" w:hAnsi="Times New Roman" w:cs="Times New Roman"/>
          <w:bCs/>
          <w:spacing w:val="-2"/>
        </w:rPr>
        <w:t>:</w:t>
      </w:r>
      <w:r w:rsidR="00EA5245" w:rsidRPr="00292BC8">
        <w:rPr>
          <w:rFonts w:ascii="Times New Roman" w:hAnsi="Times New Roman" w:cs="Times New Roman"/>
          <w:bCs/>
        </w:rPr>
        <w:t xml:space="preserve"> </w:t>
      </w:r>
      <w:r w:rsidRPr="00292BC8">
        <w:rPr>
          <w:rFonts w:ascii="Times New Roman" w:hAnsi="Times New Roman" w:cs="Times New Roman"/>
          <w:bCs/>
        </w:rPr>
        <w:t>April</w:t>
      </w:r>
      <w:r w:rsidRPr="00292BC8">
        <w:rPr>
          <w:rFonts w:ascii="Times New Roman" w:hAnsi="Times New Roman" w:cs="Times New Roman"/>
        </w:rPr>
        <w:t xml:space="preserve"> 2,</w:t>
      </w:r>
      <w:r w:rsidRPr="00292BC8">
        <w:rPr>
          <w:rFonts w:ascii="Times New Roman" w:hAnsi="Times New Roman" w:cs="Times New Roman"/>
          <w:spacing w:val="-2"/>
        </w:rPr>
        <w:t xml:space="preserve"> </w:t>
      </w:r>
      <w:r w:rsidRPr="00292BC8">
        <w:rPr>
          <w:rFonts w:ascii="Times New Roman" w:hAnsi="Times New Roman" w:cs="Times New Roman"/>
          <w:spacing w:val="-4"/>
        </w:rPr>
        <w:t>2020</w:t>
      </w:r>
    </w:p>
    <w:p w14:paraId="4A9EC621" w14:textId="77777777" w:rsidR="005E45D4" w:rsidRDefault="005E45D4" w:rsidP="00292BC8">
      <w:pPr>
        <w:pBdr>
          <w:bottom w:val="single" w:sz="12" w:space="1" w:color="auto"/>
        </w:pBdr>
        <w:tabs>
          <w:tab w:val="left" w:pos="1740"/>
        </w:tabs>
        <w:rPr>
          <w:rFonts w:ascii="Times New Roman" w:hAnsi="Times New Roman" w:cs="Times New Roman"/>
          <w:spacing w:val="-4"/>
        </w:rPr>
      </w:pPr>
    </w:p>
    <w:p w14:paraId="27F9FC4A" w14:textId="77777777" w:rsidR="00292BC8" w:rsidRDefault="00292BC8" w:rsidP="00292BC8">
      <w:pPr>
        <w:rPr>
          <w:rFonts w:ascii="Times New Roman" w:hAnsi="Times New Roman" w:cs="Times New Roman"/>
          <w:b/>
          <w:bCs/>
        </w:rPr>
      </w:pPr>
    </w:p>
    <w:p w14:paraId="2ADE0467" w14:textId="77777777" w:rsidR="00296287" w:rsidRDefault="008502C9" w:rsidP="00292BC8">
      <w:pPr>
        <w:rPr>
          <w:rStyle w:val="Heading1Char"/>
        </w:rPr>
      </w:pPr>
      <w:r w:rsidRPr="00296287">
        <w:rPr>
          <w:rStyle w:val="Heading1Char"/>
        </w:rPr>
        <w:t>General Telehealth Service Guidance</w:t>
      </w:r>
    </w:p>
    <w:p w14:paraId="17061E72" w14:textId="738CFED9" w:rsidR="00292BC8" w:rsidRPr="00292BC8" w:rsidRDefault="008502C9" w:rsidP="00292BC8">
      <w:pPr>
        <w:rPr>
          <w:rFonts w:ascii="Times New Roman" w:hAnsi="Times New Roman" w:cs="Times New Roman"/>
        </w:rPr>
      </w:pPr>
      <w:r w:rsidRPr="00292BC8">
        <w:rPr>
          <w:rFonts w:ascii="Times New Roman" w:hAnsi="Times New Roman" w:cs="Times New Roman"/>
        </w:rPr>
        <w:t>DPH Early Intervention will allow</w:t>
      </w:r>
      <w:r w:rsidR="00292BC8" w:rsidRPr="00292BC8">
        <w:rPr>
          <w:rFonts w:ascii="Times New Roman" w:hAnsi="Times New Roman" w:cs="Times New Roman"/>
        </w:rPr>
        <w:t xml:space="preserve"> </w:t>
      </w:r>
      <w:r w:rsidRPr="00292BC8">
        <w:rPr>
          <w:rFonts w:ascii="Times New Roman" w:hAnsi="Times New Roman" w:cs="Times New Roman"/>
        </w:rPr>
        <w:t>telehealth as a reimbursable service delivery for services on or after March 12, 2020, coinciding with MassHealth’s start date for these services. Telehealth services must meet the requirements listed in the COVID-19:</w:t>
      </w:r>
      <w:r w:rsidR="005E45D4">
        <w:rPr>
          <w:rFonts w:ascii="Times New Roman" w:hAnsi="Times New Roman" w:cs="Times New Roman"/>
        </w:rPr>
        <w:t xml:space="preserve"> </w:t>
      </w:r>
      <w:r w:rsidRPr="00292BC8">
        <w:rPr>
          <w:rFonts w:ascii="Times New Roman" w:hAnsi="Times New Roman" w:cs="Times New Roman"/>
        </w:rPr>
        <w:t xml:space="preserve">Early Intervention Telehealth Guidelines sent via e-mail on 3/17/20 by Patti </w:t>
      </w:r>
      <w:proofErr w:type="spellStart"/>
      <w:r w:rsidRPr="00292BC8">
        <w:rPr>
          <w:rFonts w:ascii="Times New Roman" w:hAnsi="Times New Roman" w:cs="Times New Roman"/>
        </w:rPr>
        <w:t>Fougere</w:t>
      </w:r>
      <w:proofErr w:type="spellEnd"/>
      <w:r w:rsidRPr="00292BC8">
        <w:rPr>
          <w:rFonts w:ascii="Times New Roman" w:hAnsi="Times New Roman" w:cs="Times New Roman"/>
        </w:rPr>
        <w:t xml:space="preserve"> and updated on 3/30/2020.</w:t>
      </w:r>
    </w:p>
    <w:p w14:paraId="5A08F97B" w14:textId="77777777" w:rsidR="00292BC8" w:rsidRPr="00292BC8" w:rsidRDefault="00292BC8" w:rsidP="00292BC8">
      <w:pPr>
        <w:rPr>
          <w:rFonts w:ascii="Times New Roman" w:hAnsi="Times New Roman" w:cs="Times New Roman"/>
        </w:rPr>
      </w:pPr>
    </w:p>
    <w:p w14:paraId="6EA7C432" w14:textId="60CAAAD8" w:rsidR="008502C9" w:rsidRPr="00296287" w:rsidRDefault="008502C9" w:rsidP="00296287">
      <w:pPr>
        <w:pStyle w:val="Heading1"/>
      </w:pPr>
      <w:r w:rsidRPr="00296287">
        <w:t>Billable Telehealth Services</w:t>
      </w:r>
    </w:p>
    <w:p w14:paraId="759F329D" w14:textId="196CED93" w:rsidR="008502C9" w:rsidRPr="00292BC8" w:rsidRDefault="008502C9" w:rsidP="00292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92BC8">
        <w:rPr>
          <w:rFonts w:ascii="Times New Roman" w:hAnsi="Times New Roman" w:cs="Times New Roman"/>
        </w:rPr>
        <w:t>During the current situation, DPH will allow for the provision of all EI billable activities to be provided via telehealth if the provider determines the service to be clinically appropriate.</w:t>
      </w:r>
      <w:r w:rsidR="00292BC8" w:rsidRPr="00292BC8">
        <w:rPr>
          <w:rFonts w:ascii="Times New Roman" w:hAnsi="Times New Roman" w:cs="Times New Roman"/>
        </w:rPr>
        <w:t xml:space="preserve"> </w:t>
      </w:r>
      <w:r w:rsidRPr="00292BC8">
        <w:rPr>
          <w:rFonts w:ascii="Times New Roman" w:hAnsi="Times New Roman" w:cs="Times New Roman"/>
        </w:rPr>
        <w:t>These services will be reimbursed at the current EI billable rates as documentation in the DPH EI</w:t>
      </w:r>
      <w:r w:rsidR="00292BC8" w:rsidRPr="00292BC8">
        <w:rPr>
          <w:rFonts w:ascii="Times New Roman" w:hAnsi="Times New Roman" w:cs="Times New Roman"/>
        </w:rPr>
        <w:t xml:space="preserve"> </w:t>
      </w:r>
      <w:r w:rsidRPr="00292BC8">
        <w:rPr>
          <w:rFonts w:ascii="Times New Roman" w:hAnsi="Times New Roman" w:cs="Times New Roman"/>
        </w:rPr>
        <w:t>Reimbursement Manual. Documentation of the service must be provided in the child’s record.</w:t>
      </w:r>
    </w:p>
    <w:p w14:paraId="12A96A5B" w14:textId="627B7231" w:rsidR="008502C9" w:rsidRPr="00292BC8" w:rsidRDefault="008502C9" w:rsidP="00292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92BC8">
        <w:rPr>
          <w:rFonts w:ascii="Times New Roman" w:hAnsi="Times New Roman" w:cs="Times New Roman"/>
        </w:rPr>
        <w:t>Telehealth services can be provided via phone or teleconferencing technology. Regular phone calls to families where the activity is not a billable EI or specialty service are not eligible for telehealth reimbursement. Additionally, texting families does not meet the definition of an EI telehealth service.</w:t>
      </w:r>
    </w:p>
    <w:p w14:paraId="0861EAD2" w14:textId="77777777" w:rsidR="008502C9" w:rsidRPr="00292BC8" w:rsidRDefault="008502C9" w:rsidP="00292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92BC8">
        <w:rPr>
          <w:rFonts w:ascii="Times New Roman" w:hAnsi="Times New Roman" w:cs="Times New Roman"/>
        </w:rPr>
        <w:t>Additional information about telehealth specialty services will be sent to specialty and EI providers in a separate communication.</w:t>
      </w:r>
    </w:p>
    <w:p w14:paraId="2F7A31E3" w14:textId="77777777" w:rsidR="008502C9" w:rsidRPr="00292BC8" w:rsidRDefault="008502C9" w:rsidP="008502C9">
      <w:pPr>
        <w:pStyle w:val="BodyText"/>
        <w:spacing w:before="2"/>
        <w:rPr>
          <w:rFonts w:ascii="Times New Roman" w:hAnsi="Times New Roman" w:cs="Times New Roman"/>
        </w:rPr>
      </w:pPr>
    </w:p>
    <w:p w14:paraId="7DD8A2C2" w14:textId="77777777" w:rsidR="008502C9" w:rsidRPr="00292BC8" w:rsidRDefault="008502C9" w:rsidP="00296287">
      <w:pPr>
        <w:pStyle w:val="Heading1"/>
      </w:pPr>
      <w:r w:rsidRPr="00292BC8">
        <w:t>Submission</w:t>
      </w:r>
      <w:r w:rsidRPr="00292BC8">
        <w:rPr>
          <w:spacing w:val="-2"/>
        </w:rPr>
        <w:t xml:space="preserve"> </w:t>
      </w:r>
      <w:r w:rsidRPr="00292BC8">
        <w:t>of</w:t>
      </w:r>
      <w:r w:rsidRPr="00292BC8">
        <w:rPr>
          <w:spacing w:val="-10"/>
        </w:rPr>
        <w:t xml:space="preserve"> </w:t>
      </w:r>
      <w:r w:rsidRPr="00292BC8">
        <w:t>Telehealth</w:t>
      </w:r>
      <w:r w:rsidRPr="00292BC8">
        <w:rPr>
          <w:spacing w:val="-6"/>
        </w:rPr>
        <w:t xml:space="preserve"> </w:t>
      </w:r>
      <w:r w:rsidRPr="00292BC8">
        <w:t>Services</w:t>
      </w:r>
      <w:r w:rsidRPr="00292BC8">
        <w:rPr>
          <w:spacing w:val="-4"/>
        </w:rPr>
        <w:t xml:space="preserve"> </w:t>
      </w:r>
      <w:r w:rsidRPr="00292BC8">
        <w:t>to</w:t>
      </w:r>
      <w:r w:rsidRPr="00292BC8">
        <w:rPr>
          <w:spacing w:val="-3"/>
        </w:rPr>
        <w:t xml:space="preserve"> </w:t>
      </w:r>
      <w:r w:rsidRPr="00292BC8">
        <w:rPr>
          <w:spacing w:val="-5"/>
        </w:rPr>
        <w:t>DPH</w:t>
      </w:r>
    </w:p>
    <w:p w14:paraId="728BCD15" w14:textId="0319B935" w:rsidR="008502C9" w:rsidRPr="00292BC8" w:rsidRDefault="008502C9" w:rsidP="00292BC8">
      <w:pPr>
        <w:tabs>
          <w:tab w:val="left" w:pos="929"/>
        </w:tabs>
        <w:jc w:val="both"/>
        <w:rPr>
          <w:rFonts w:ascii="Times New Roman" w:hAnsi="Times New Roman" w:cs="Times New Roman"/>
          <w:b/>
          <w:bCs/>
          <w:iCs/>
        </w:rPr>
      </w:pPr>
      <w:r w:rsidRPr="00296287">
        <w:rPr>
          <w:rFonts w:ascii="Times New Roman" w:hAnsi="Times New Roman" w:cs="Times New Roman"/>
          <w:iCs/>
        </w:rPr>
        <w:t>DPH</w:t>
      </w:r>
      <w:r w:rsidRPr="00296287">
        <w:rPr>
          <w:rFonts w:ascii="Times New Roman" w:hAnsi="Times New Roman" w:cs="Times New Roman"/>
          <w:iCs/>
          <w:spacing w:val="-5"/>
        </w:rPr>
        <w:t xml:space="preserve"> </w:t>
      </w:r>
      <w:r w:rsidRPr="00296287">
        <w:rPr>
          <w:rFonts w:ascii="Times New Roman" w:hAnsi="Times New Roman" w:cs="Times New Roman"/>
          <w:iCs/>
        </w:rPr>
        <w:t xml:space="preserve">Reason </w:t>
      </w:r>
      <w:r w:rsidRPr="00296287">
        <w:rPr>
          <w:rFonts w:ascii="Times New Roman" w:hAnsi="Times New Roman" w:cs="Times New Roman"/>
          <w:iCs/>
          <w:spacing w:val="-4"/>
        </w:rPr>
        <w:t>Code</w:t>
      </w:r>
      <w:r w:rsidR="00292BC8" w:rsidRPr="00296287">
        <w:rPr>
          <w:rFonts w:ascii="Times New Roman" w:hAnsi="Times New Roman" w:cs="Times New Roman"/>
          <w:iCs/>
          <w:spacing w:val="-4"/>
        </w:rPr>
        <w:t>:</w:t>
      </w:r>
      <w:r w:rsidR="00292BC8">
        <w:rPr>
          <w:rFonts w:ascii="Times New Roman" w:hAnsi="Times New Roman" w:cs="Times New Roman"/>
          <w:b/>
          <w:bCs/>
          <w:iCs/>
          <w:spacing w:val="-4"/>
        </w:rPr>
        <w:t xml:space="preserve"> </w:t>
      </w:r>
      <w:r w:rsidRPr="00292BC8">
        <w:rPr>
          <w:rFonts w:ascii="Times New Roman" w:hAnsi="Times New Roman" w:cs="Times New Roman"/>
        </w:rPr>
        <w:t>All telehealth</w:t>
      </w:r>
      <w:r w:rsidRPr="00292BC8">
        <w:rPr>
          <w:rFonts w:ascii="Times New Roman" w:hAnsi="Times New Roman" w:cs="Times New Roman"/>
          <w:spacing w:val="-5"/>
        </w:rPr>
        <w:t xml:space="preserve"> </w:t>
      </w:r>
      <w:r w:rsidRPr="00292BC8">
        <w:rPr>
          <w:rFonts w:ascii="Times New Roman" w:hAnsi="Times New Roman" w:cs="Times New Roman"/>
        </w:rPr>
        <w:t>service</w:t>
      </w:r>
      <w:r w:rsidRPr="00292BC8">
        <w:rPr>
          <w:rFonts w:ascii="Times New Roman" w:hAnsi="Times New Roman" w:cs="Times New Roman"/>
          <w:spacing w:val="-2"/>
        </w:rPr>
        <w:t xml:space="preserve"> </w:t>
      </w:r>
      <w:r w:rsidRPr="00292BC8">
        <w:rPr>
          <w:rFonts w:ascii="Times New Roman" w:hAnsi="Times New Roman" w:cs="Times New Roman"/>
        </w:rPr>
        <w:t>charges for</w:t>
      </w:r>
      <w:r w:rsidRPr="00292BC8">
        <w:rPr>
          <w:rFonts w:ascii="Times New Roman" w:hAnsi="Times New Roman" w:cs="Times New Roman"/>
          <w:spacing w:val="-2"/>
        </w:rPr>
        <w:t xml:space="preserve"> </w:t>
      </w:r>
      <w:r w:rsidRPr="00292BC8">
        <w:rPr>
          <w:rFonts w:ascii="Times New Roman" w:hAnsi="Times New Roman" w:cs="Times New Roman"/>
        </w:rPr>
        <w:t>non-MassHealth/MCO</w:t>
      </w:r>
      <w:r w:rsidRPr="00292BC8">
        <w:rPr>
          <w:rFonts w:ascii="Times New Roman" w:hAnsi="Times New Roman" w:cs="Times New Roman"/>
          <w:spacing w:val="-1"/>
        </w:rPr>
        <w:t xml:space="preserve"> </w:t>
      </w:r>
      <w:r w:rsidRPr="00292BC8">
        <w:rPr>
          <w:rFonts w:ascii="Times New Roman" w:hAnsi="Times New Roman" w:cs="Times New Roman"/>
        </w:rPr>
        <w:t>children should be</w:t>
      </w:r>
      <w:r w:rsidRPr="00292BC8">
        <w:rPr>
          <w:rFonts w:ascii="Times New Roman" w:hAnsi="Times New Roman" w:cs="Times New Roman"/>
          <w:spacing w:val="-6"/>
        </w:rPr>
        <w:t xml:space="preserve"> </w:t>
      </w:r>
      <w:r w:rsidRPr="00292BC8">
        <w:rPr>
          <w:rFonts w:ascii="Times New Roman" w:hAnsi="Times New Roman" w:cs="Times New Roman"/>
        </w:rPr>
        <w:t>submitted</w:t>
      </w:r>
      <w:r w:rsidRPr="00292BC8">
        <w:rPr>
          <w:rFonts w:ascii="Times New Roman" w:hAnsi="Times New Roman" w:cs="Times New Roman"/>
          <w:spacing w:val="-5"/>
        </w:rPr>
        <w:t xml:space="preserve"> </w:t>
      </w:r>
      <w:r w:rsidRPr="00292BC8">
        <w:rPr>
          <w:rFonts w:ascii="Times New Roman" w:hAnsi="Times New Roman" w:cs="Times New Roman"/>
        </w:rPr>
        <w:t>to the appropriate commercial insurer prior to submitting to DPH. Children having MassHealth- CMSP,</w:t>
      </w:r>
      <w:r w:rsidRPr="00292BC8">
        <w:rPr>
          <w:rFonts w:ascii="Times New Roman" w:hAnsi="Times New Roman" w:cs="Times New Roman"/>
          <w:spacing w:val="-4"/>
        </w:rPr>
        <w:t xml:space="preserve"> </w:t>
      </w:r>
      <w:r w:rsidRPr="00292BC8">
        <w:rPr>
          <w:rFonts w:ascii="Times New Roman" w:hAnsi="Times New Roman" w:cs="Times New Roman"/>
        </w:rPr>
        <w:t>MassHealth-HSN</w:t>
      </w:r>
      <w:r w:rsidRPr="00292BC8">
        <w:rPr>
          <w:rFonts w:ascii="Times New Roman" w:hAnsi="Times New Roman" w:cs="Times New Roman"/>
          <w:spacing w:val="-7"/>
        </w:rPr>
        <w:t xml:space="preserve"> </w:t>
      </w:r>
      <w:r w:rsidRPr="00292BC8">
        <w:rPr>
          <w:rFonts w:ascii="Times New Roman" w:hAnsi="Times New Roman" w:cs="Times New Roman"/>
        </w:rPr>
        <w:t>and</w:t>
      </w:r>
      <w:r w:rsidRPr="00292BC8">
        <w:rPr>
          <w:rFonts w:ascii="Times New Roman" w:hAnsi="Times New Roman" w:cs="Times New Roman"/>
          <w:spacing w:val="-1"/>
        </w:rPr>
        <w:t xml:space="preserve"> </w:t>
      </w:r>
      <w:r w:rsidRPr="00292BC8">
        <w:rPr>
          <w:rFonts w:ascii="Times New Roman" w:hAnsi="Times New Roman" w:cs="Times New Roman"/>
        </w:rPr>
        <w:t>MassHealth-HSN</w:t>
      </w:r>
      <w:r w:rsidRPr="00292BC8">
        <w:rPr>
          <w:rFonts w:ascii="Times New Roman" w:hAnsi="Times New Roman" w:cs="Times New Roman"/>
          <w:spacing w:val="-7"/>
        </w:rPr>
        <w:t xml:space="preserve"> </w:t>
      </w:r>
      <w:r w:rsidRPr="00292BC8">
        <w:rPr>
          <w:rFonts w:ascii="Times New Roman" w:hAnsi="Times New Roman" w:cs="Times New Roman"/>
        </w:rPr>
        <w:t>Partial</w:t>
      </w:r>
      <w:r w:rsidRPr="00292BC8">
        <w:rPr>
          <w:rFonts w:ascii="Times New Roman" w:hAnsi="Times New Roman" w:cs="Times New Roman"/>
          <w:spacing w:val="-5"/>
        </w:rPr>
        <w:t xml:space="preserve"> </w:t>
      </w:r>
      <w:r w:rsidRPr="00292BC8">
        <w:rPr>
          <w:rFonts w:ascii="Times New Roman" w:hAnsi="Times New Roman" w:cs="Times New Roman"/>
        </w:rPr>
        <w:t>should</w:t>
      </w:r>
      <w:r w:rsidRPr="00292BC8">
        <w:rPr>
          <w:rFonts w:ascii="Times New Roman" w:hAnsi="Times New Roman" w:cs="Times New Roman"/>
          <w:spacing w:val="-6"/>
        </w:rPr>
        <w:t xml:space="preserve"> </w:t>
      </w:r>
      <w:r w:rsidRPr="00292BC8">
        <w:rPr>
          <w:rFonts w:ascii="Times New Roman" w:hAnsi="Times New Roman" w:cs="Times New Roman"/>
        </w:rPr>
        <w:t>be</w:t>
      </w:r>
      <w:r w:rsidRPr="00292BC8">
        <w:rPr>
          <w:rFonts w:ascii="Times New Roman" w:hAnsi="Times New Roman" w:cs="Times New Roman"/>
          <w:spacing w:val="-3"/>
        </w:rPr>
        <w:t xml:space="preserve"> </w:t>
      </w:r>
      <w:r w:rsidRPr="00292BC8">
        <w:rPr>
          <w:rFonts w:ascii="Times New Roman" w:hAnsi="Times New Roman" w:cs="Times New Roman"/>
        </w:rPr>
        <w:t>submitted</w:t>
      </w:r>
      <w:r w:rsidRPr="00292BC8">
        <w:rPr>
          <w:rFonts w:ascii="Times New Roman" w:hAnsi="Times New Roman" w:cs="Times New Roman"/>
          <w:spacing w:val="-1"/>
        </w:rPr>
        <w:t xml:space="preserve"> </w:t>
      </w:r>
      <w:r w:rsidRPr="00292BC8">
        <w:rPr>
          <w:rFonts w:ascii="Times New Roman" w:hAnsi="Times New Roman" w:cs="Times New Roman"/>
        </w:rPr>
        <w:t>directly</w:t>
      </w:r>
      <w:r w:rsidRPr="00292BC8">
        <w:rPr>
          <w:rFonts w:ascii="Times New Roman" w:hAnsi="Times New Roman" w:cs="Times New Roman"/>
          <w:spacing w:val="-6"/>
        </w:rPr>
        <w:t xml:space="preserve"> </w:t>
      </w:r>
      <w:r w:rsidRPr="00292BC8">
        <w:rPr>
          <w:rFonts w:ascii="Times New Roman" w:hAnsi="Times New Roman" w:cs="Times New Roman"/>
        </w:rPr>
        <w:t>to</w:t>
      </w:r>
      <w:r w:rsidRPr="00292BC8">
        <w:rPr>
          <w:rFonts w:ascii="Times New Roman" w:hAnsi="Times New Roman" w:cs="Times New Roman"/>
          <w:spacing w:val="-1"/>
        </w:rPr>
        <w:t xml:space="preserve"> </w:t>
      </w:r>
      <w:r w:rsidRPr="00292BC8">
        <w:rPr>
          <w:rFonts w:ascii="Times New Roman" w:hAnsi="Times New Roman" w:cs="Times New Roman"/>
        </w:rPr>
        <w:t>DPH as well.</w:t>
      </w:r>
    </w:p>
    <w:p w14:paraId="694500BB" w14:textId="77777777" w:rsidR="00292BC8" w:rsidRDefault="00292BC8" w:rsidP="00292BC8">
      <w:pPr>
        <w:rPr>
          <w:rFonts w:ascii="Times New Roman" w:hAnsi="Times New Roman" w:cs="Times New Roman"/>
        </w:rPr>
      </w:pPr>
    </w:p>
    <w:p w14:paraId="7847832E" w14:textId="2AA3CEE5" w:rsidR="008502C9" w:rsidRPr="00292BC8" w:rsidRDefault="008502C9" w:rsidP="00292BC8">
      <w:pPr>
        <w:rPr>
          <w:rFonts w:ascii="Times New Roman" w:hAnsi="Times New Roman" w:cs="Times New Roman"/>
        </w:rPr>
      </w:pPr>
      <w:r w:rsidRPr="00292BC8">
        <w:rPr>
          <w:rFonts w:ascii="Times New Roman" w:hAnsi="Times New Roman" w:cs="Times New Roman"/>
          <w:b/>
          <w:bCs/>
        </w:rPr>
        <w:t>EI providers should bill all telehealth services directly to commercial insurers for telehealth claims submission.</w:t>
      </w:r>
      <w:r w:rsidR="00292BC8" w:rsidRPr="00292BC8">
        <w:rPr>
          <w:rFonts w:ascii="Times New Roman" w:hAnsi="Times New Roman" w:cs="Times New Roman"/>
        </w:rPr>
        <w:t xml:space="preserve"> </w:t>
      </w:r>
      <w:r w:rsidRPr="00292BC8">
        <w:rPr>
          <w:rFonts w:ascii="Times New Roman" w:hAnsi="Times New Roman" w:cs="Times New Roman"/>
        </w:rPr>
        <w:t>Please follow up with the insurers directly for additional guidance on billing for telehealth prior to submitting claims to DPH. Any telehealth service not covered by a child’s insurance should be billed directly to DPH with a reason code of “096” for general EI claims and “D25” for autism specialty service claims.</w:t>
      </w:r>
    </w:p>
    <w:p w14:paraId="0F653826" w14:textId="77777777" w:rsidR="008502C9" w:rsidRPr="00292BC8" w:rsidRDefault="008502C9" w:rsidP="008502C9">
      <w:pPr>
        <w:rPr>
          <w:rFonts w:ascii="Times New Roman" w:hAnsi="Times New Roman" w:cs="Times New Roman"/>
        </w:rPr>
      </w:pPr>
    </w:p>
    <w:p w14:paraId="5CC5A146" w14:textId="77777777" w:rsidR="008502C9" w:rsidRPr="00292BC8" w:rsidRDefault="008502C9" w:rsidP="00296287">
      <w:pPr>
        <w:pStyle w:val="Heading1"/>
      </w:pPr>
      <w:r w:rsidRPr="00292BC8">
        <w:t>MassHealth/MCO</w:t>
      </w:r>
      <w:r w:rsidRPr="00292BC8">
        <w:rPr>
          <w:spacing w:val="-8"/>
        </w:rPr>
        <w:t xml:space="preserve"> </w:t>
      </w:r>
      <w:r w:rsidRPr="00292BC8">
        <w:t>and</w:t>
      </w:r>
      <w:r w:rsidRPr="00292BC8">
        <w:rPr>
          <w:spacing w:val="-7"/>
        </w:rPr>
        <w:t xml:space="preserve"> </w:t>
      </w:r>
      <w:proofErr w:type="spellStart"/>
      <w:r w:rsidRPr="00292BC8">
        <w:t>Teleheath</w:t>
      </w:r>
      <w:proofErr w:type="spellEnd"/>
      <w:r w:rsidRPr="00292BC8">
        <w:rPr>
          <w:spacing w:val="-7"/>
        </w:rPr>
        <w:t xml:space="preserve"> </w:t>
      </w:r>
      <w:r w:rsidRPr="00292BC8">
        <w:rPr>
          <w:spacing w:val="-2"/>
        </w:rPr>
        <w:t>Services</w:t>
      </w:r>
    </w:p>
    <w:p w14:paraId="0F3BFAAA" w14:textId="25008049" w:rsidR="008502C9" w:rsidRPr="00292BC8" w:rsidRDefault="008502C9" w:rsidP="00292BC8">
      <w:pPr>
        <w:rPr>
          <w:rFonts w:ascii="Times New Roman" w:hAnsi="Times New Roman" w:cs="Times New Roman"/>
        </w:rPr>
      </w:pPr>
      <w:r w:rsidRPr="00292BC8">
        <w:rPr>
          <w:rFonts w:ascii="Times New Roman" w:hAnsi="Times New Roman" w:cs="Times New Roman"/>
        </w:rPr>
        <w:t xml:space="preserve">All reimbursable MassHealth telehealth services must be submitted to MassHealth before they are included on the DPH SDR. Please refer to the </w:t>
      </w:r>
      <w:hyperlink r:id="rId5" w:history="1">
        <w:r w:rsidRPr="00292BC8">
          <w:rPr>
            <w:rStyle w:val="Hyperlink"/>
            <w:rFonts w:ascii="Times New Roman" w:hAnsi="Times New Roman" w:cs="Times New Roman"/>
          </w:rPr>
          <w:t>Mass Health All Provider Bulletin</w:t>
        </w:r>
      </w:hyperlink>
      <w:r w:rsidRPr="00292BC8">
        <w:rPr>
          <w:rFonts w:ascii="Times New Roman" w:hAnsi="Times New Roman" w:cs="Times New Roman"/>
        </w:rPr>
        <w:t xml:space="preserve"> for information</w:t>
      </w:r>
      <w:r w:rsidR="00292BC8" w:rsidRPr="00292BC8">
        <w:rPr>
          <w:rFonts w:ascii="Times New Roman" w:hAnsi="Times New Roman" w:cs="Times New Roman"/>
        </w:rPr>
        <w:t xml:space="preserve">. </w:t>
      </w:r>
    </w:p>
    <w:p w14:paraId="0B0BFF3D" w14:textId="77777777" w:rsidR="008502C9" w:rsidRPr="00292BC8" w:rsidRDefault="008502C9" w:rsidP="008502C9">
      <w:pPr>
        <w:pStyle w:val="BodyText"/>
        <w:spacing w:before="2"/>
        <w:rPr>
          <w:rFonts w:ascii="Times New Roman" w:hAnsi="Times New Roman" w:cs="Times New Roman"/>
        </w:rPr>
      </w:pPr>
    </w:p>
    <w:p w14:paraId="0E25EBA5" w14:textId="208770C9" w:rsidR="009F0D10" w:rsidRPr="00292BC8" w:rsidRDefault="008502C9" w:rsidP="008502C9">
      <w:pPr>
        <w:rPr>
          <w:rFonts w:ascii="Times New Roman" w:hAnsi="Times New Roman" w:cs="Times New Roman"/>
        </w:rPr>
      </w:pPr>
      <w:r w:rsidRPr="00292BC8">
        <w:rPr>
          <w:rFonts w:ascii="Times New Roman" w:hAnsi="Times New Roman" w:cs="Times New Roman"/>
        </w:rPr>
        <w:t>If</w:t>
      </w:r>
      <w:r w:rsidRPr="00292BC8">
        <w:rPr>
          <w:rFonts w:ascii="Times New Roman" w:hAnsi="Times New Roman" w:cs="Times New Roman"/>
          <w:spacing w:val="-7"/>
        </w:rPr>
        <w:t xml:space="preserve"> </w:t>
      </w:r>
      <w:r w:rsidRPr="00292BC8">
        <w:rPr>
          <w:rFonts w:ascii="Times New Roman" w:hAnsi="Times New Roman" w:cs="Times New Roman"/>
        </w:rPr>
        <w:t>you</w:t>
      </w:r>
      <w:r w:rsidRPr="00292BC8">
        <w:rPr>
          <w:rFonts w:ascii="Times New Roman" w:hAnsi="Times New Roman" w:cs="Times New Roman"/>
          <w:spacing w:val="-2"/>
        </w:rPr>
        <w:t xml:space="preserve"> </w:t>
      </w:r>
      <w:r w:rsidRPr="00292BC8">
        <w:rPr>
          <w:rFonts w:ascii="Times New Roman" w:hAnsi="Times New Roman" w:cs="Times New Roman"/>
        </w:rPr>
        <w:t>have</w:t>
      </w:r>
      <w:r w:rsidRPr="00292BC8">
        <w:rPr>
          <w:rFonts w:ascii="Times New Roman" w:hAnsi="Times New Roman" w:cs="Times New Roman"/>
          <w:spacing w:val="-5"/>
        </w:rPr>
        <w:t xml:space="preserve"> </w:t>
      </w:r>
      <w:r w:rsidRPr="00292BC8">
        <w:rPr>
          <w:rFonts w:ascii="Times New Roman" w:hAnsi="Times New Roman" w:cs="Times New Roman"/>
        </w:rPr>
        <w:t>any</w:t>
      </w:r>
      <w:r w:rsidRPr="00292BC8">
        <w:rPr>
          <w:rFonts w:ascii="Times New Roman" w:hAnsi="Times New Roman" w:cs="Times New Roman"/>
          <w:spacing w:val="-2"/>
        </w:rPr>
        <w:t xml:space="preserve"> </w:t>
      </w:r>
      <w:r w:rsidRPr="00292BC8">
        <w:rPr>
          <w:rFonts w:ascii="Times New Roman" w:hAnsi="Times New Roman" w:cs="Times New Roman"/>
        </w:rPr>
        <w:t>questions</w:t>
      </w:r>
      <w:r w:rsidRPr="00292BC8">
        <w:rPr>
          <w:rFonts w:ascii="Times New Roman" w:hAnsi="Times New Roman" w:cs="Times New Roman"/>
          <w:spacing w:val="-6"/>
        </w:rPr>
        <w:t xml:space="preserve"> </w:t>
      </w:r>
      <w:r w:rsidRPr="00292BC8">
        <w:rPr>
          <w:rFonts w:ascii="Times New Roman" w:hAnsi="Times New Roman" w:cs="Times New Roman"/>
        </w:rPr>
        <w:t>or</w:t>
      </w:r>
      <w:r w:rsidRPr="00292BC8">
        <w:rPr>
          <w:rFonts w:ascii="Times New Roman" w:hAnsi="Times New Roman" w:cs="Times New Roman"/>
          <w:spacing w:val="-5"/>
        </w:rPr>
        <w:t xml:space="preserve"> </w:t>
      </w:r>
      <w:r w:rsidRPr="00292BC8">
        <w:rPr>
          <w:rFonts w:ascii="Times New Roman" w:hAnsi="Times New Roman" w:cs="Times New Roman"/>
        </w:rPr>
        <w:t>concerns</w:t>
      </w:r>
      <w:r w:rsidRPr="00292BC8">
        <w:rPr>
          <w:rFonts w:ascii="Times New Roman" w:hAnsi="Times New Roman" w:cs="Times New Roman"/>
          <w:spacing w:val="-2"/>
        </w:rPr>
        <w:t xml:space="preserve"> </w:t>
      </w:r>
      <w:r w:rsidRPr="00292BC8">
        <w:rPr>
          <w:rFonts w:ascii="Times New Roman" w:hAnsi="Times New Roman" w:cs="Times New Roman"/>
        </w:rPr>
        <w:t>regarding</w:t>
      </w:r>
      <w:r w:rsidRPr="00292BC8">
        <w:rPr>
          <w:rFonts w:ascii="Times New Roman" w:hAnsi="Times New Roman" w:cs="Times New Roman"/>
          <w:spacing w:val="-3"/>
        </w:rPr>
        <w:t xml:space="preserve"> </w:t>
      </w:r>
      <w:r w:rsidRPr="00292BC8">
        <w:rPr>
          <w:rFonts w:ascii="Times New Roman" w:hAnsi="Times New Roman" w:cs="Times New Roman"/>
        </w:rPr>
        <w:t>these</w:t>
      </w:r>
      <w:r w:rsidRPr="00292BC8">
        <w:rPr>
          <w:rFonts w:ascii="Times New Roman" w:hAnsi="Times New Roman" w:cs="Times New Roman"/>
          <w:spacing w:val="-4"/>
        </w:rPr>
        <w:t xml:space="preserve"> </w:t>
      </w:r>
      <w:r w:rsidRPr="00292BC8">
        <w:rPr>
          <w:rFonts w:ascii="Times New Roman" w:hAnsi="Times New Roman" w:cs="Times New Roman"/>
        </w:rPr>
        <w:t>new</w:t>
      </w:r>
      <w:r w:rsidRPr="00292BC8">
        <w:rPr>
          <w:rFonts w:ascii="Times New Roman" w:hAnsi="Times New Roman" w:cs="Times New Roman"/>
          <w:spacing w:val="-4"/>
        </w:rPr>
        <w:t xml:space="preserve"> </w:t>
      </w:r>
      <w:r w:rsidRPr="00292BC8">
        <w:rPr>
          <w:rFonts w:ascii="Times New Roman" w:hAnsi="Times New Roman" w:cs="Times New Roman"/>
        </w:rPr>
        <w:t>requirements</w:t>
      </w:r>
      <w:r w:rsidRPr="00292BC8">
        <w:rPr>
          <w:rFonts w:ascii="Times New Roman" w:hAnsi="Times New Roman" w:cs="Times New Roman"/>
          <w:spacing w:val="-2"/>
        </w:rPr>
        <w:t xml:space="preserve"> </w:t>
      </w:r>
      <w:r w:rsidRPr="00292BC8">
        <w:rPr>
          <w:rFonts w:ascii="Times New Roman" w:hAnsi="Times New Roman" w:cs="Times New Roman"/>
        </w:rPr>
        <w:t>please</w:t>
      </w:r>
      <w:r w:rsidRPr="00292BC8">
        <w:rPr>
          <w:rFonts w:ascii="Times New Roman" w:hAnsi="Times New Roman" w:cs="Times New Roman"/>
          <w:spacing w:val="-4"/>
        </w:rPr>
        <w:t xml:space="preserve"> </w:t>
      </w:r>
      <w:r w:rsidRPr="00292BC8">
        <w:rPr>
          <w:rFonts w:ascii="Times New Roman" w:hAnsi="Times New Roman" w:cs="Times New Roman"/>
        </w:rPr>
        <w:t xml:space="preserve">contact </w:t>
      </w:r>
      <w:hyperlink r:id="rId6" w:history="1">
        <w:r w:rsidRPr="00292BC8">
          <w:rPr>
            <w:rStyle w:val="Hyperlink"/>
            <w:rFonts w:ascii="Times New Roman" w:hAnsi="Times New Roman" w:cs="Times New Roman"/>
          </w:rPr>
          <w:t>EI@state.ma.us</w:t>
        </w:r>
      </w:hyperlink>
      <w:r w:rsidRPr="00292BC8">
        <w:rPr>
          <w:rFonts w:ascii="Times New Roman" w:hAnsi="Times New Roman" w:cs="Times New Roman"/>
        </w:rPr>
        <w:t>.</w:t>
      </w:r>
    </w:p>
    <w:sectPr w:rsidR="009F0D10" w:rsidRPr="00292BC8" w:rsidSect="00292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CEE"/>
    <w:multiLevelType w:val="hybridMultilevel"/>
    <w:tmpl w:val="2960B4A4"/>
    <w:lvl w:ilvl="0" w:tplc="7DDE2864">
      <w:numFmt w:val="bullet"/>
      <w:lvlText w:val="-"/>
      <w:lvlJc w:val="left"/>
      <w:pPr>
        <w:ind w:left="10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280C76">
      <w:numFmt w:val="bullet"/>
      <w:lvlText w:val="•"/>
      <w:lvlJc w:val="left"/>
      <w:pPr>
        <w:ind w:left="2028" w:hanging="361"/>
      </w:pPr>
      <w:rPr>
        <w:rFonts w:hint="default"/>
        <w:lang w:val="en-US" w:eastAsia="en-US" w:bidi="ar-SA"/>
      </w:rPr>
    </w:lvl>
    <w:lvl w:ilvl="2" w:tplc="48B017A0"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  <w:lvl w:ilvl="3" w:tplc="C9AEB576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4" w:tplc="EDC2D8FE"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5" w:tplc="450E7C9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592A2A92">
      <w:numFmt w:val="bullet"/>
      <w:lvlText w:val="•"/>
      <w:lvlJc w:val="left"/>
      <w:pPr>
        <w:ind w:left="7068" w:hanging="361"/>
      </w:pPr>
      <w:rPr>
        <w:rFonts w:hint="default"/>
        <w:lang w:val="en-US" w:eastAsia="en-US" w:bidi="ar-SA"/>
      </w:rPr>
    </w:lvl>
    <w:lvl w:ilvl="7" w:tplc="8CA4DB70">
      <w:numFmt w:val="bullet"/>
      <w:lvlText w:val="•"/>
      <w:lvlJc w:val="left"/>
      <w:pPr>
        <w:ind w:left="8076" w:hanging="361"/>
      </w:pPr>
      <w:rPr>
        <w:rFonts w:hint="default"/>
        <w:lang w:val="en-US" w:eastAsia="en-US" w:bidi="ar-SA"/>
      </w:rPr>
    </w:lvl>
    <w:lvl w:ilvl="8" w:tplc="DBD412F0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D530C6"/>
    <w:multiLevelType w:val="hybridMultilevel"/>
    <w:tmpl w:val="6D1E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E0725"/>
    <w:multiLevelType w:val="hybridMultilevel"/>
    <w:tmpl w:val="7BBA199C"/>
    <w:lvl w:ilvl="0" w:tplc="C69E1D48">
      <w:numFmt w:val="bullet"/>
      <w:lvlText w:val="-"/>
      <w:lvlJc w:val="left"/>
      <w:pPr>
        <w:ind w:left="929" w:hanging="361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D6FADAEA">
      <w:numFmt w:val="bullet"/>
      <w:lvlText w:val="-"/>
      <w:lvlJc w:val="left"/>
      <w:pPr>
        <w:ind w:left="10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A4EA146">
      <w:numFmt w:val="bullet"/>
      <w:lvlText w:val="o"/>
      <w:lvlJc w:val="left"/>
      <w:pPr>
        <w:ind w:left="17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E04762A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B0C05938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1486D74C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FA58A9D2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871254FE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0C5EC510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EF5E99"/>
    <w:multiLevelType w:val="hybridMultilevel"/>
    <w:tmpl w:val="B99C2C2A"/>
    <w:lvl w:ilvl="0" w:tplc="DA4EA14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8406">
    <w:abstractNumId w:val="2"/>
  </w:num>
  <w:num w:numId="2" w16cid:durableId="1365867876">
    <w:abstractNumId w:val="0"/>
  </w:num>
  <w:num w:numId="3" w16cid:durableId="181864509">
    <w:abstractNumId w:val="3"/>
  </w:num>
  <w:num w:numId="4" w16cid:durableId="164353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9"/>
    <w:rsid w:val="002238F3"/>
    <w:rsid w:val="00292BC8"/>
    <w:rsid w:val="00296287"/>
    <w:rsid w:val="0058257D"/>
    <w:rsid w:val="005E45D4"/>
    <w:rsid w:val="006C30BB"/>
    <w:rsid w:val="00796894"/>
    <w:rsid w:val="007F1209"/>
    <w:rsid w:val="008502C9"/>
    <w:rsid w:val="00896002"/>
    <w:rsid w:val="009F0D10"/>
    <w:rsid w:val="00A52DC3"/>
    <w:rsid w:val="00C21FFF"/>
    <w:rsid w:val="00C8521F"/>
    <w:rsid w:val="00D53253"/>
    <w:rsid w:val="00EA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43EC"/>
  <w15:chartTrackingRefBased/>
  <w15:docId w15:val="{23E08DC1-CF08-4D9F-8E7C-9E5C1D64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287"/>
    <w:pPr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287"/>
    <w:rPr>
      <w:rFonts w:ascii="Times New Roman" w:eastAsia="Calibri" w:hAnsi="Times New Roman" w:cs="Times New Roman"/>
      <w:b/>
      <w:kern w:val="0"/>
      <w:sz w:val="2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50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2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502C9"/>
  </w:style>
  <w:style w:type="character" w:customStyle="1" w:styleId="BodyTextChar">
    <w:name w:val="Body Text Char"/>
    <w:basedOn w:val="DefaultParagraphFont"/>
    <w:link w:val="BodyText"/>
    <w:uiPriority w:val="1"/>
    <w:rsid w:val="008502C9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92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-%09https:/www.mass.gov/doc/all-provider-bulletin-289-masshealth-coverage-and-%20reimbursement-policy-for-services-related-to/download" TargetMode="External"/><Relationship Id="rId5" Type="http://schemas.openxmlformats.org/officeDocument/2006/relationships/hyperlink" Target="-%09https:/www.mass.gov/doc/all-provider-bulletin-289-masshealth-coverage-and-%20reimbursement-policy-for-services-related-to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Aynsley Chaneco</cp:lastModifiedBy>
  <cp:revision>7</cp:revision>
  <dcterms:created xsi:type="dcterms:W3CDTF">2025-12-24T15:00:00Z</dcterms:created>
  <dcterms:modified xsi:type="dcterms:W3CDTF">2025-12-24T15:41:00Z</dcterms:modified>
</cp:coreProperties>
</file>