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17D20" w14:textId="77777777" w:rsidR="00AD3C42" w:rsidRPr="005C737D" w:rsidRDefault="00AD3C42" w:rsidP="00AD3C42">
      <w:pPr>
        <w:rPr>
          <w:color w:val="000000"/>
        </w:rPr>
      </w:pPr>
    </w:p>
    <w:p w14:paraId="661A2CA8" w14:textId="77777777" w:rsidR="00AD3C42" w:rsidRDefault="00AD3C42" w:rsidP="00AD3C42">
      <w:pPr>
        <w:jc w:val="both"/>
        <w:rPr>
          <w:color w:val="000000"/>
        </w:rPr>
      </w:pPr>
    </w:p>
    <w:p w14:paraId="153028C9" w14:textId="77777777" w:rsidR="00AD3C42" w:rsidRPr="005C737D" w:rsidRDefault="00AD3C42" w:rsidP="00AD3C42">
      <w:pPr>
        <w:jc w:val="both"/>
        <w:rPr>
          <w:color w:val="000000"/>
        </w:rPr>
      </w:pPr>
    </w:p>
    <w:p w14:paraId="7399753E" w14:textId="77777777" w:rsidR="00AD3C42" w:rsidRPr="005C737D" w:rsidRDefault="00AD3C42" w:rsidP="00AD3C42">
      <w:pPr>
        <w:jc w:val="both"/>
        <w:rPr>
          <w:color w:val="000000"/>
        </w:rPr>
      </w:pPr>
    </w:p>
    <w:p w14:paraId="6133BDA3" w14:textId="77777777" w:rsidR="00AD3C42" w:rsidRPr="00161EC6" w:rsidRDefault="00AD3C42" w:rsidP="00AD3C42">
      <w:pPr>
        <w:tabs>
          <w:tab w:val="center" w:pos="4680"/>
        </w:tabs>
        <w:jc w:val="both"/>
        <w:rPr>
          <w:b/>
          <w:bCs/>
          <w:color w:val="000000"/>
          <w:sz w:val="36"/>
          <w:szCs w:val="36"/>
        </w:rPr>
      </w:pPr>
      <w:r w:rsidRPr="007601A4">
        <w:rPr>
          <w:color w:val="000000"/>
          <w:sz w:val="36"/>
          <w:szCs w:val="36"/>
        </w:rPr>
        <w:tab/>
      </w:r>
      <w:r w:rsidRPr="00161EC6">
        <w:rPr>
          <w:b/>
          <w:bCs/>
          <w:color w:val="000000"/>
          <w:sz w:val="36"/>
          <w:szCs w:val="36"/>
        </w:rPr>
        <w:t>PUBLIC DISCLOSURE</w:t>
      </w:r>
    </w:p>
    <w:p w14:paraId="18FF08A2" w14:textId="77777777" w:rsidR="00AD3C42" w:rsidRPr="00161EC6" w:rsidRDefault="00AD3C42" w:rsidP="00AD3C42">
      <w:pPr>
        <w:jc w:val="both"/>
        <w:rPr>
          <w:color w:val="000000"/>
        </w:rPr>
      </w:pPr>
    </w:p>
    <w:p w14:paraId="0AFAF058" w14:textId="77777777" w:rsidR="00AD3C42" w:rsidRPr="00161EC6" w:rsidRDefault="00AD3C42" w:rsidP="00AD3C42">
      <w:pPr>
        <w:jc w:val="both"/>
        <w:rPr>
          <w:color w:val="000000"/>
        </w:rPr>
      </w:pPr>
    </w:p>
    <w:p w14:paraId="57E30A01" w14:textId="77777777" w:rsidR="00AD3C42" w:rsidRPr="00161EC6" w:rsidRDefault="00AD3C42" w:rsidP="00AD3C42">
      <w:pPr>
        <w:jc w:val="both"/>
        <w:rPr>
          <w:color w:val="000000"/>
        </w:rPr>
      </w:pPr>
    </w:p>
    <w:p w14:paraId="3C039E62" w14:textId="77777777" w:rsidR="00AD3C42" w:rsidRPr="00161EC6" w:rsidRDefault="00AD3C42" w:rsidP="00AD3C42">
      <w:pPr>
        <w:jc w:val="both"/>
        <w:rPr>
          <w:color w:val="000000"/>
        </w:rPr>
      </w:pPr>
    </w:p>
    <w:p w14:paraId="71DFDD28" w14:textId="77777777" w:rsidR="00AD3C42" w:rsidRPr="00161EC6" w:rsidRDefault="00AD3C42" w:rsidP="00AD3C42">
      <w:pPr>
        <w:tabs>
          <w:tab w:val="center" w:pos="4680"/>
        </w:tabs>
        <w:jc w:val="both"/>
        <w:rPr>
          <w:color w:val="000000"/>
        </w:rPr>
      </w:pPr>
      <w:r w:rsidRPr="00161EC6">
        <w:rPr>
          <w:color w:val="000000"/>
          <w:sz w:val="36"/>
          <w:szCs w:val="36"/>
        </w:rPr>
        <w:tab/>
      </w:r>
      <w:r w:rsidR="003D6494">
        <w:rPr>
          <w:color w:val="000000"/>
        </w:rPr>
        <w:t xml:space="preserve">December </w:t>
      </w:r>
      <w:r w:rsidR="009D25E2">
        <w:rPr>
          <w:color w:val="000000"/>
        </w:rPr>
        <w:t>7</w:t>
      </w:r>
      <w:r w:rsidRPr="00161EC6">
        <w:rPr>
          <w:color w:val="000000"/>
        </w:rPr>
        <w:t>, 20</w:t>
      </w:r>
      <w:r w:rsidR="003D6494">
        <w:rPr>
          <w:color w:val="000000"/>
        </w:rPr>
        <w:t>20</w:t>
      </w:r>
    </w:p>
    <w:p w14:paraId="34343347" w14:textId="77777777" w:rsidR="00AD3C42" w:rsidRPr="00161EC6" w:rsidRDefault="00AD3C42" w:rsidP="00AD3C42">
      <w:pPr>
        <w:jc w:val="both"/>
        <w:rPr>
          <w:color w:val="000000"/>
        </w:rPr>
      </w:pPr>
    </w:p>
    <w:p w14:paraId="51A00C6C" w14:textId="77777777" w:rsidR="00AD3C42" w:rsidRPr="00161EC6" w:rsidRDefault="00AD3C42" w:rsidP="00AD3C42">
      <w:pPr>
        <w:jc w:val="both"/>
        <w:rPr>
          <w:color w:val="000000"/>
        </w:rPr>
      </w:pPr>
    </w:p>
    <w:p w14:paraId="04097F14" w14:textId="77777777" w:rsidR="00AD3C42" w:rsidRPr="00161EC6" w:rsidRDefault="00AD3C42" w:rsidP="00AD3C42">
      <w:pPr>
        <w:jc w:val="both"/>
        <w:rPr>
          <w:color w:val="000000"/>
        </w:rPr>
      </w:pPr>
    </w:p>
    <w:p w14:paraId="7B5CCEB2" w14:textId="77777777" w:rsidR="00AD3C42" w:rsidRPr="00161EC6" w:rsidRDefault="00AD3C42" w:rsidP="00AD3C42">
      <w:pPr>
        <w:jc w:val="both"/>
        <w:rPr>
          <w:color w:val="000000"/>
        </w:rPr>
      </w:pPr>
    </w:p>
    <w:p w14:paraId="327277DA" w14:textId="77777777" w:rsidR="00AD3C42" w:rsidRPr="00161EC6" w:rsidRDefault="00AD3C42" w:rsidP="00AD3C42">
      <w:pPr>
        <w:tabs>
          <w:tab w:val="center" w:pos="4680"/>
        </w:tabs>
        <w:jc w:val="both"/>
        <w:rPr>
          <w:b/>
          <w:bCs/>
          <w:color w:val="000000"/>
          <w:sz w:val="36"/>
          <w:szCs w:val="36"/>
        </w:rPr>
      </w:pPr>
      <w:r w:rsidRPr="00161EC6">
        <w:rPr>
          <w:color w:val="000000"/>
        </w:rPr>
        <w:tab/>
      </w:r>
      <w:r w:rsidRPr="00161EC6">
        <w:rPr>
          <w:b/>
          <w:bCs/>
          <w:color w:val="000000"/>
          <w:sz w:val="36"/>
          <w:szCs w:val="36"/>
        </w:rPr>
        <w:t>COMMUNITY REINVESTMENT ACT</w:t>
      </w:r>
    </w:p>
    <w:p w14:paraId="6C6CC354" w14:textId="77777777" w:rsidR="00AD3C42" w:rsidRPr="00161EC6" w:rsidRDefault="00AD3C42" w:rsidP="00AD3C42">
      <w:pPr>
        <w:tabs>
          <w:tab w:val="center" w:pos="4680"/>
        </w:tabs>
        <w:jc w:val="both"/>
        <w:rPr>
          <w:color w:val="000000"/>
          <w:sz w:val="36"/>
          <w:szCs w:val="36"/>
        </w:rPr>
      </w:pPr>
      <w:r w:rsidRPr="00161EC6">
        <w:rPr>
          <w:b/>
          <w:bCs/>
          <w:color w:val="000000"/>
          <w:sz w:val="36"/>
          <w:szCs w:val="36"/>
        </w:rPr>
        <w:tab/>
        <w:t>PERFORMANCE EVALUATION</w:t>
      </w:r>
    </w:p>
    <w:p w14:paraId="238E6541" w14:textId="77777777" w:rsidR="00AD3C42" w:rsidRPr="00161EC6" w:rsidRDefault="00AD3C42" w:rsidP="00AD3C42">
      <w:pPr>
        <w:rPr>
          <w:color w:val="000000"/>
        </w:rPr>
      </w:pPr>
    </w:p>
    <w:p w14:paraId="28CF2C48" w14:textId="77777777" w:rsidR="00AD3C42" w:rsidRPr="00161EC6" w:rsidRDefault="00AD3C42" w:rsidP="00AD3C42">
      <w:pPr>
        <w:tabs>
          <w:tab w:val="center" w:pos="4680"/>
        </w:tabs>
        <w:rPr>
          <w:color w:val="000000"/>
        </w:rPr>
      </w:pPr>
    </w:p>
    <w:p w14:paraId="2EE28C71" w14:textId="77777777" w:rsidR="00AD3C42" w:rsidRPr="00161EC6" w:rsidRDefault="00AD3C42" w:rsidP="00AD3C42">
      <w:pPr>
        <w:rPr>
          <w:color w:val="000000"/>
        </w:rPr>
      </w:pPr>
    </w:p>
    <w:p w14:paraId="44328D10" w14:textId="77777777" w:rsidR="00AD3C42" w:rsidRPr="00161EC6" w:rsidRDefault="00AD3C42" w:rsidP="00AD3C42">
      <w:pPr>
        <w:tabs>
          <w:tab w:val="center" w:pos="4680"/>
        </w:tabs>
        <w:jc w:val="both"/>
        <w:rPr>
          <w:color w:val="000000"/>
        </w:rPr>
      </w:pPr>
      <w:r w:rsidRPr="00161EC6">
        <w:rPr>
          <w:b/>
          <w:bCs/>
          <w:color w:val="000000"/>
        </w:rPr>
        <w:tab/>
      </w:r>
      <w:r w:rsidR="003D6494">
        <w:rPr>
          <w:color w:val="000000"/>
        </w:rPr>
        <w:t>East Boston Savings Bank</w:t>
      </w:r>
    </w:p>
    <w:p w14:paraId="625A79A0" w14:textId="77777777" w:rsidR="00AD3C42" w:rsidRPr="00161EC6" w:rsidRDefault="00AD3C42" w:rsidP="00AD3C42">
      <w:pPr>
        <w:tabs>
          <w:tab w:val="center" w:pos="4680"/>
        </w:tabs>
        <w:jc w:val="both"/>
        <w:rPr>
          <w:color w:val="000000"/>
        </w:rPr>
      </w:pPr>
      <w:r w:rsidRPr="00161EC6">
        <w:rPr>
          <w:color w:val="000000"/>
        </w:rPr>
        <w:tab/>
        <w:t xml:space="preserve">Certificate Number:  </w:t>
      </w:r>
      <w:r w:rsidR="003D6494">
        <w:rPr>
          <w:color w:val="000000"/>
        </w:rPr>
        <w:t>33510</w:t>
      </w:r>
    </w:p>
    <w:p w14:paraId="43F8CEA9" w14:textId="77777777" w:rsidR="00AD3C42" w:rsidRPr="00161EC6" w:rsidRDefault="00AD3C42" w:rsidP="00AD3C42">
      <w:pPr>
        <w:jc w:val="both"/>
        <w:rPr>
          <w:color w:val="000000"/>
        </w:rPr>
      </w:pPr>
    </w:p>
    <w:p w14:paraId="3B1CF393" w14:textId="77777777" w:rsidR="003D6494" w:rsidRPr="00161EC6" w:rsidRDefault="003D6494" w:rsidP="003D6494">
      <w:pPr>
        <w:tabs>
          <w:tab w:val="center" w:pos="4680"/>
        </w:tabs>
        <w:jc w:val="center"/>
      </w:pPr>
      <w:r>
        <w:t>10 Meridian</w:t>
      </w:r>
      <w:r w:rsidRPr="00161EC6">
        <w:t xml:space="preserve"> Street</w:t>
      </w:r>
    </w:p>
    <w:p w14:paraId="60B9217F" w14:textId="77777777" w:rsidR="003D6494" w:rsidRPr="00161EC6" w:rsidRDefault="003D6494" w:rsidP="003D6494">
      <w:pPr>
        <w:tabs>
          <w:tab w:val="left" w:pos="5175"/>
        </w:tabs>
        <w:jc w:val="center"/>
      </w:pPr>
      <w:r>
        <w:t>Boston</w:t>
      </w:r>
      <w:r w:rsidRPr="00161EC6">
        <w:t xml:space="preserve">, </w:t>
      </w:r>
      <w:r>
        <w:t>Massachusetts  02128</w:t>
      </w:r>
    </w:p>
    <w:p w14:paraId="3946EFD6" w14:textId="77777777" w:rsidR="00AD3C42" w:rsidRPr="00161EC6" w:rsidRDefault="00AD3C42" w:rsidP="00AD3C42">
      <w:pPr>
        <w:tabs>
          <w:tab w:val="center" w:pos="4680"/>
        </w:tabs>
        <w:rPr>
          <w:color w:val="000000"/>
        </w:rPr>
      </w:pPr>
    </w:p>
    <w:p w14:paraId="716BB164" w14:textId="77777777" w:rsidR="00AD3C42" w:rsidRPr="00161EC6" w:rsidRDefault="00AD3C42" w:rsidP="00AD3C42">
      <w:pPr>
        <w:tabs>
          <w:tab w:val="center" w:pos="4680"/>
        </w:tabs>
        <w:rPr>
          <w:color w:val="000000"/>
        </w:rPr>
      </w:pPr>
    </w:p>
    <w:p w14:paraId="4B814290" w14:textId="77777777" w:rsidR="00AD3C42" w:rsidRPr="00161EC6" w:rsidRDefault="00AD3C42" w:rsidP="00AD3C42">
      <w:pPr>
        <w:tabs>
          <w:tab w:val="center" w:pos="4680"/>
        </w:tabs>
        <w:rPr>
          <w:color w:val="000000"/>
        </w:rPr>
      </w:pPr>
    </w:p>
    <w:p w14:paraId="38E36442" w14:textId="77777777" w:rsidR="00AD3C42" w:rsidRPr="00161EC6" w:rsidRDefault="00AD3C42" w:rsidP="00AD3C42">
      <w:pPr>
        <w:rPr>
          <w:color w:val="000000"/>
        </w:rPr>
      </w:pPr>
    </w:p>
    <w:tbl>
      <w:tblPr>
        <w:tblW w:w="0" w:type="auto"/>
        <w:tblLayout w:type="fixed"/>
        <w:tblLook w:val="01E0" w:firstRow="1" w:lastRow="1" w:firstColumn="1" w:lastColumn="1" w:noHBand="0" w:noVBand="0"/>
      </w:tblPr>
      <w:tblGrid>
        <w:gridCol w:w="4552"/>
        <w:gridCol w:w="4553"/>
      </w:tblGrid>
      <w:tr w:rsidR="00AD3C42" w:rsidRPr="00214332" w14:paraId="1CA171D2" w14:textId="77777777" w:rsidTr="00564E5E">
        <w:trPr>
          <w:cantSplit/>
        </w:trPr>
        <w:tc>
          <w:tcPr>
            <w:tcW w:w="4552" w:type="dxa"/>
            <w:shd w:val="clear" w:color="auto" w:fill="auto"/>
          </w:tcPr>
          <w:p w14:paraId="0689F892" w14:textId="77777777" w:rsidR="00AD3C42" w:rsidRPr="00043BA5" w:rsidRDefault="00AD3C42" w:rsidP="00564E5E">
            <w:pPr>
              <w:tabs>
                <w:tab w:val="left" w:pos="360"/>
                <w:tab w:val="left" w:pos="840"/>
                <w:tab w:val="left" w:pos="6720"/>
              </w:tabs>
              <w:suppressAutoHyphens/>
              <w:jc w:val="center"/>
              <w:rPr>
                <w:spacing w:val="-3"/>
              </w:rPr>
            </w:pPr>
            <w:r w:rsidRPr="00043BA5">
              <w:rPr>
                <w:spacing w:val="-3"/>
              </w:rPr>
              <w:t>Division of Banks</w:t>
            </w:r>
          </w:p>
        </w:tc>
        <w:tc>
          <w:tcPr>
            <w:tcW w:w="4553" w:type="dxa"/>
            <w:shd w:val="clear" w:color="auto" w:fill="auto"/>
          </w:tcPr>
          <w:p w14:paraId="76119C2D" w14:textId="77777777" w:rsidR="00AD3C42" w:rsidRPr="00043BA5" w:rsidRDefault="00AD3C42" w:rsidP="00564E5E">
            <w:pPr>
              <w:tabs>
                <w:tab w:val="left" w:pos="360"/>
                <w:tab w:val="left" w:pos="840"/>
                <w:tab w:val="left" w:pos="6720"/>
              </w:tabs>
              <w:suppressAutoHyphens/>
              <w:jc w:val="center"/>
              <w:rPr>
                <w:spacing w:val="-3"/>
              </w:rPr>
            </w:pPr>
            <w:r w:rsidRPr="00043BA5">
              <w:rPr>
                <w:spacing w:val="-3"/>
              </w:rPr>
              <w:t>Federal Deposit Insurance Corporation</w:t>
            </w:r>
          </w:p>
        </w:tc>
      </w:tr>
      <w:tr w:rsidR="00AD3C42" w:rsidRPr="00214332" w14:paraId="2EB3DC2C" w14:textId="77777777" w:rsidTr="00564E5E">
        <w:trPr>
          <w:cantSplit/>
        </w:trPr>
        <w:tc>
          <w:tcPr>
            <w:tcW w:w="4552" w:type="dxa"/>
            <w:shd w:val="clear" w:color="auto" w:fill="auto"/>
          </w:tcPr>
          <w:p w14:paraId="78984859" w14:textId="77777777" w:rsidR="00AD3C42" w:rsidRPr="00043BA5" w:rsidRDefault="00AD3C42" w:rsidP="00564E5E">
            <w:pPr>
              <w:tabs>
                <w:tab w:val="left" w:pos="360"/>
                <w:tab w:val="left" w:pos="840"/>
                <w:tab w:val="left" w:pos="6720"/>
              </w:tabs>
              <w:suppressAutoHyphens/>
              <w:jc w:val="center"/>
              <w:rPr>
                <w:spacing w:val="-3"/>
              </w:rPr>
            </w:pPr>
            <w:r w:rsidRPr="00043BA5">
              <w:rPr>
                <w:spacing w:val="-3"/>
              </w:rPr>
              <w:t>1000 Washington Street, 10</w:t>
            </w:r>
            <w:r w:rsidRPr="00043BA5">
              <w:rPr>
                <w:spacing w:val="-3"/>
                <w:vertAlign w:val="superscript"/>
              </w:rPr>
              <w:t>th</w:t>
            </w:r>
            <w:r w:rsidRPr="00043BA5">
              <w:rPr>
                <w:spacing w:val="-3"/>
              </w:rPr>
              <w:t xml:space="preserve"> Floor</w:t>
            </w:r>
          </w:p>
        </w:tc>
        <w:tc>
          <w:tcPr>
            <w:tcW w:w="4553" w:type="dxa"/>
            <w:shd w:val="clear" w:color="auto" w:fill="auto"/>
          </w:tcPr>
          <w:p w14:paraId="051C6DFB" w14:textId="77777777" w:rsidR="00AD3C42" w:rsidRPr="00043BA5" w:rsidRDefault="00AD3C42" w:rsidP="00564E5E">
            <w:pPr>
              <w:tabs>
                <w:tab w:val="left" w:pos="360"/>
                <w:tab w:val="left" w:pos="840"/>
                <w:tab w:val="left" w:pos="6720"/>
              </w:tabs>
              <w:suppressAutoHyphens/>
              <w:jc w:val="center"/>
              <w:rPr>
                <w:spacing w:val="-3"/>
              </w:rPr>
            </w:pPr>
            <w:r w:rsidRPr="00043BA5">
              <w:rPr>
                <w:spacing w:val="-3"/>
              </w:rPr>
              <w:t>350 Fifth Avenue, Suite 1200</w:t>
            </w:r>
          </w:p>
        </w:tc>
      </w:tr>
      <w:tr w:rsidR="00AD3C42" w:rsidRPr="00214332" w14:paraId="7EDF6F66" w14:textId="77777777" w:rsidTr="00564E5E">
        <w:trPr>
          <w:cantSplit/>
        </w:trPr>
        <w:tc>
          <w:tcPr>
            <w:tcW w:w="4552" w:type="dxa"/>
            <w:shd w:val="clear" w:color="auto" w:fill="auto"/>
          </w:tcPr>
          <w:p w14:paraId="45126158" w14:textId="77777777" w:rsidR="00AD3C42" w:rsidRPr="00043BA5" w:rsidRDefault="00AD3C42" w:rsidP="00564E5E">
            <w:pPr>
              <w:tabs>
                <w:tab w:val="left" w:pos="360"/>
                <w:tab w:val="left" w:pos="840"/>
                <w:tab w:val="left" w:pos="6720"/>
              </w:tabs>
              <w:suppressAutoHyphens/>
              <w:jc w:val="center"/>
              <w:rPr>
                <w:spacing w:val="-3"/>
              </w:rPr>
            </w:pPr>
            <w:r w:rsidRPr="00043BA5">
              <w:rPr>
                <w:spacing w:val="-3"/>
              </w:rPr>
              <w:t>Boston, Massachusetts 02118</w:t>
            </w:r>
          </w:p>
        </w:tc>
        <w:tc>
          <w:tcPr>
            <w:tcW w:w="4553" w:type="dxa"/>
            <w:shd w:val="clear" w:color="auto" w:fill="auto"/>
          </w:tcPr>
          <w:p w14:paraId="6D2D533E" w14:textId="77777777" w:rsidR="00AD3C42" w:rsidRPr="00043BA5" w:rsidRDefault="00AD3C42" w:rsidP="00564E5E">
            <w:pPr>
              <w:tabs>
                <w:tab w:val="left" w:pos="360"/>
                <w:tab w:val="left" w:pos="840"/>
                <w:tab w:val="left" w:pos="6720"/>
              </w:tabs>
              <w:suppressAutoHyphens/>
              <w:jc w:val="center"/>
              <w:rPr>
                <w:spacing w:val="-3"/>
              </w:rPr>
            </w:pPr>
            <w:r w:rsidRPr="00043BA5">
              <w:rPr>
                <w:spacing w:val="-3"/>
              </w:rPr>
              <w:t>New York, New York 10118</w:t>
            </w:r>
          </w:p>
        </w:tc>
      </w:tr>
    </w:tbl>
    <w:p w14:paraId="5CC1A240" w14:textId="77777777" w:rsidR="00AD3C42" w:rsidRPr="00161EC6" w:rsidRDefault="00AD3C42" w:rsidP="00AD3C42">
      <w:pPr>
        <w:tabs>
          <w:tab w:val="left" w:pos="-1440"/>
        </w:tabs>
        <w:ind w:left="1440" w:hanging="1440"/>
        <w:rPr>
          <w:color w:val="000000"/>
        </w:rPr>
      </w:pPr>
    </w:p>
    <w:p w14:paraId="0B7A5761" w14:textId="77777777" w:rsidR="00AD3C42" w:rsidRPr="00161EC6" w:rsidRDefault="00AD3C42" w:rsidP="00AD3C42">
      <w:pPr>
        <w:tabs>
          <w:tab w:val="left" w:pos="-1440"/>
        </w:tabs>
        <w:ind w:left="1440" w:hanging="1440"/>
        <w:rPr>
          <w:color w:val="000000"/>
        </w:rPr>
      </w:pPr>
    </w:p>
    <w:p w14:paraId="6F76EDD1" w14:textId="77777777" w:rsidR="00AD3C42" w:rsidRPr="00161EC6" w:rsidRDefault="00AD3C42" w:rsidP="00AD3C42">
      <w:pPr>
        <w:tabs>
          <w:tab w:val="left" w:pos="-1440"/>
        </w:tabs>
        <w:ind w:left="1440" w:hanging="1440"/>
        <w:rPr>
          <w:color w:val="000000"/>
        </w:rPr>
      </w:pPr>
    </w:p>
    <w:p w14:paraId="408E5300" w14:textId="77777777" w:rsidR="00AD3C42" w:rsidRPr="00161EC6" w:rsidRDefault="00AD3C42" w:rsidP="00AD3C42">
      <w:pPr>
        <w:tabs>
          <w:tab w:val="left" w:pos="-1440"/>
        </w:tabs>
        <w:ind w:left="1440" w:hanging="1440"/>
        <w:rPr>
          <w:color w:val="000000"/>
        </w:rPr>
      </w:pPr>
    </w:p>
    <w:p w14:paraId="2F130C61" w14:textId="77777777" w:rsidR="00AD3C42" w:rsidRPr="00161EC6" w:rsidRDefault="00AD3C42" w:rsidP="00AD3C42">
      <w:pPr>
        <w:tabs>
          <w:tab w:val="left" w:pos="-1440"/>
        </w:tabs>
        <w:ind w:left="1440" w:hanging="1440"/>
        <w:rPr>
          <w:color w:val="000000"/>
        </w:rPr>
      </w:pPr>
    </w:p>
    <w:p w14:paraId="08CEB5DD" w14:textId="77777777" w:rsidR="00AD3C42" w:rsidRPr="00161EC6" w:rsidRDefault="00AD3C42" w:rsidP="00AD3C42">
      <w:pPr>
        <w:jc w:val="both"/>
        <w:rPr>
          <w:color w:val="000000"/>
        </w:rPr>
      </w:pPr>
      <w:r w:rsidRPr="00161EC6">
        <w:rPr>
          <w:color w:val="000000"/>
        </w:rPr>
        <w:t>This document is an evaluation of this institution’s record of meeting the credit needs of its entire community, including low- and moderate-income neighborhoods, consistent with safe and sound operation of the institution.</w:t>
      </w:r>
      <w:r w:rsidRPr="00161EC6">
        <w:rPr>
          <w:i/>
          <w:iCs/>
          <w:color w:val="000000"/>
        </w:rPr>
        <w:t xml:space="preserve">  </w:t>
      </w:r>
      <w:r w:rsidRPr="00161EC6">
        <w:rPr>
          <w:color w:val="000000"/>
        </w:rPr>
        <w:t xml:space="preserve">This evaluation is not, nor should it be construed as, an assessment of the financial condition of this institution.  The rating assigned to this institution does not represent an analysis, conclusion, or opinion of the </w:t>
      </w:r>
      <w:r>
        <w:rPr>
          <w:color w:val="000000"/>
        </w:rPr>
        <w:t xml:space="preserve">Division of Banks or the Federal Deposit Insurance Corporation </w:t>
      </w:r>
      <w:r w:rsidRPr="00161EC6">
        <w:rPr>
          <w:color w:val="000000"/>
        </w:rPr>
        <w:t>concerning the safety and soundness of this financial institution.</w:t>
      </w:r>
    </w:p>
    <w:p w14:paraId="7D23A3D7" w14:textId="77777777" w:rsidR="00AD3C42" w:rsidRDefault="00AD3C42" w:rsidP="00AD3C42">
      <w:pPr>
        <w:jc w:val="both"/>
        <w:rPr>
          <w:color w:val="000000"/>
        </w:rPr>
      </w:pPr>
    </w:p>
    <w:p w14:paraId="5B517706" w14:textId="77777777" w:rsidR="00AD3C42" w:rsidRDefault="00AD3C42" w:rsidP="00AD3C42">
      <w:pPr>
        <w:jc w:val="both"/>
        <w:rPr>
          <w:color w:val="000000"/>
        </w:rPr>
      </w:pPr>
    </w:p>
    <w:p w14:paraId="5F500E33" w14:textId="77777777" w:rsidR="00AD3C42" w:rsidRPr="00161EC6" w:rsidRDefault="00AD3C42" w:rsidP="00AD3C42">
      <w:pPr>
        <w:jc w:val="both"/>
        <w:rPr>
          <w:color w:val="000000"/>
        </w:rPr>
      </w:pPr>
    </w:p>
    <w:p w14:paraId="1D3D9F62" w14:textId="77777777" w:rsidR="0099672C" w:rsidRPr="00161EC6" w:rsidRDefault="0099672C" w:rsidP="00E02903">
      <w:pPr>
        <w:tabs>
          <w:tab w:val="left" w:pos="-1440"/>
        </w:tabs>
        <w:jc w:val="center"/>
        <w:rPr>
          <w:b/>
          <w:bCs/>
          <w:sz w:val="28"/>
          <w:szCs w:val="28"/>
        </w:rPr>
      </w:pPr>
      <w:r w:rsidRPr="00161EC6">
        <w:rPr>
          <w:b/>
          <w:bCs/>
          <w:sz w:val="28"/>
          <w:szCs w:val="28"/>
        </w:rPr>
        <w:lastRenderedPageBreak/>
        <w:t>TABLE OF CONTENTS</w:t>
      </w:r>
    </w:p>
    <w:p w14:paraId="601838CF" w14:textId="77777777" w:rsidR="0099672C" w:rsidRPr="00161EC6" w:rsidRDefault="0099672C" w:rsidP="00F63C3D">
      <w:pPr>
        <w:tabs>
          <w:tab w:val="left" w:pos="-1440"/>
          <w:tab w:val="left" w:pos="-720"/>
          <w:tab w:val="left" w:pos="0"/>
          <w:tab w:val="left" w:pos="720"/>
          <w:tab w:val="right" w:leader="dot" w:pos="9360"/>
        </w:tabs>
      </w:pPr>
    </w:p>
    <w:p w14:paraId="1C483E9C" w14:textId="77777777" w:rsidR="0033456F" w:rsidRPr="0033456F" w:rsidRDefault="0033456F" w:rsidP="0033456F">
      <w:pPr>
        <w:tabs>
          <w:tab w:val="left" w:pos="-1440"/>
        </w:tabs>
        <w:ind w:left="720" w:hanging="720"/>
      </w:pPr>
      <w:r w:rsidRPr="0033456F">
        <w:t>Institution Rating</w:t>
      </w:r>
    </w:p>
    <w:p w14:paraId="1A969F3F" w14:textId="310BD375" w:rsidR="0033456F" w:rsidRPr="0033456F" w:rsidRDefault="0033456F" w:rsidP="007911D2">
      <w:pPr>
        <w:tabs>
          <w:tab w:val="left" w:pos="-1440"/>
          <w:tab w:val="left" w:pos="-720"/>
          <w:tab w:val="left" w:pos="0"/>
          <w:tab w:val="left" w:pos="720"/>
          <w:tab w:val="left" w:pos="1440"/>
          <w:tab w:val="right" w:leader="dot" w:pos="9360"/>
        </w:tabs>
      </w:pPr>
      <w:r w:rsidRPr="0033456F">
        <w:tab/>
        <w:t>Overall Rating</w:t>
      </w:r>
      <w:r w:rsidRPr="0033456F">
        <w:tab/>
      </w:r>
      <w:r w:rsidR="00D915EB">
        <w:t>1</w:t>
      </w:r>
    </w:p>
    <w:p w14:paraId="1F67ECAF" w14:textId="3BFCFB77" w:rsidR="0033456F" w:rsidRPr="0033456F" w:rsidRDefault="0033456F" w:rsidP="007911D2">
      <w:pPr>
        <w:tabs>
          <w:tab w:val="left" w:pos="-1440"/>
          <w:tab w:val="left" w:pos="-720"/>
          <w:tab w:val="left" w:pos="0"/>
          <w:tab w:val="left" w:pos="720"/>
          <w:tab w:val="left" w:pos="1440"/>
          <w:tab w:val="right" w:leader="dot" w:pos="9360"/>
        </w:tabs>
      </w:pPr>
      <w:r w:rsidRPr="0033456F">
        <w:tab/>
        <w:t xml:space="preserve">Performance Test Ratings Table </w:t>
      </w:r>
      <w:r w:rsidRPr="0033456F">
        <w:tab/>
      </w:r>
      <w:r w:rsidR="00D915EB">
        <w:t>1</w:t>
      </w:r>
    </w:p>
    <w:p w14:paraId="70EFC346" w14:textId="16A00C8D" w:rsidR="0033456F" w:rsidRPr="0033456F" w:rsidRDefault="0033456F" w:rsidP="007911D2">
      <w:pPr>
        <w:tabs>
          <w:tab w:val="left" w:pos="-1440"/>
          <w:tab w:val="left" w:pos="-720"/>
          <w:tab w:val="left" w:pos="0"/>
          <w:tab w:val="left" w:pos="720"/>
          <w:tab w:val="left" w:pos="1440"/>
          <w:tab w:val="right" w:leader="dot" w:pos="9360"/>
        </w:tabs>
      </w:pPr>
      <w:r w:rsidRPr="0033456F">
        <w:tab/>
        <w:t>Summary of Major Factors Supporting Rating</w:t>
      </w:r>
      <w:r w:rsidRPr="0033456F">
        <w:tab/>
      </w:r>
      <w:r w:rsidR="00D915EB">
        <w:t>1</w:t>
      </w:r>
    </w:p>
    <w:p w14:paraId="39233C22" w14:textId="77777777" w:rsidR="0033456F" w:rsidRPr="0033456F" w:rsidRDefault="0033456F" w:rsidP="0033456F"/>
    <w:p w14:paraId="17C6A6D1" w14:textId="77777777" w:rsidR="0033456F" w:rsidRPr="0033456F" w:rsidRDefault="0033456F" w:rsidP="007911D2">
      <w:pPr>
        <w:tabs>
          <w:tab w:val="left" w:pos="-1440"/>
        </w:tabs>
      </w:pPr>
      <w:r w:rsidRPr="0033456F">
        <w:t>Institution</w:t>
      </w:r>
    </w:p>
    <w:p w14:paraId="3AFA57D3" w14:textId="132ADB75" w:rsidR="00B4706B" w:rsidRPr="0033456F" w:rsidRDefault="0033456F" w:rsidP="00B4706B">
      <w:pPr>
        <w:tabs>
          <w:tab w:val="left" w:pos="-1440"/>
          <w:tab w:val="left" w:pos="-720"/>
          <w:tab w:val="left" w:pos="0"/>
          <w:tab w:val="left" w:pos="720"/>
          <w:tab w:val="left" w:pos="1440"/>
          <w:tab w:val="right" w:leader="dot" w:pos="9360"/>
        </w:tabs>
      </w:pPr>
      <w:r w:rsidRPr="0033456F">
        <w:tab/>
      </w:r>
      <w:r w:rsidR="00B4706B" w:rsidRPr="0033456F">
        <w:t>Scope of Evaluation</w:t>
      </w:r>
      <w:r w:rsidR="00B4706B" w:rsidRPr="0033456F">
        <w:tab/>
      </w:r>
      <w:r w:rsidR="00D915EB">
        <w:t>3</w:t>
      </w:r>
    </w:p>
    <w:p w14:paraId="31080076" w14:textId="24680455" w:rsidR="0033456F" w:rsidRPr="0033456F" w:rsidRDefault="00B4706B" w:rsidP="007911D2">
      <w:pPr>
        <w:tabs>
          <w:tab w:val="left" w:pos="-1440"/>
          <w:tab w:val="left" w:pos="-720"/>
          <w:tab w:val="left" w:pos="0"/>
          <w:tab w:val="left" w:pos="720"/>
          <w:tab w:val="left" w:pos="1440"/>
          <w:tab w:val="right" w:leader="dot" w:pos="9360"/>
        </w:tabs>
      </w:pPr>
      <w:r>
        <w:tab/>
      </w:r>
      <w:r w:rsidR="0033456F" w:rsidRPr="0033456F">
        <w:t>Description of Institution</w:t>
      </w:r>
      <w:r w:rsidR="0033456F" w:rsidRPr="0033456F">
        <w:tab/>
      </w:r>
      <w:r w:rsidR="00D915EB">
        <w:t>5</w:t>
      </w:r>
    </w:p>
    <w:p w14:paraId="1B067B4C" w14:textId="2294DC0A" w:rsidR="007B2663" w:rsidRDefault="0033456F" w:rsidP="007911D2">
      <w:pPr>
        <w:tabs>
          <w:tab w:val="left" w:pos="-1440"/>
          <w:tab w:val="left" w:pos="-720"/>
          <w:tab w:val="left" w:pos="0"/>
          <w:tab w:val="left" w:pos="720"/>
          <w:tab w:val="left" w:pos="1440"/>
          <w:tab w:val="right" w:leader="dot" w:pos="9360"/>
        </w:tabs>
      </w:pPr>
      <w:r w:rsidRPr="0033456F">
        <w:tab/>
      </w:r>
      <w:r w:rsidR="007B2663">
        <w:t>Description of Assessment Area</w:t>
      </w:r>
      <w:r w:rsidR="007B2663" w:rsidRPr="0033456F">
        <w:tab/>
      </w:r>
      <w:r w:rsidR="00D915EB">
        <w:t>7</w:t>
      </w:r>
    </w:p>
    <w:p w14:paraId="62B4D093" w14:textId="1BCA8718" w:rsidR="0033456F" w:rsidRPr="0033456F" w:rsidRDefault="007B2663" w:rsidP="007911D2">
      <w:pPr>
        <w:tabs>
          <w:tab w:val="left" w:pos="-1440"/>
          <w:tab w:val="left" w:pos="-720"/>
          <w:tab w:val="left" w:pos="0"/>
          <w:tab w:val="left" w:pos="720"/>
          <w:tab w:val="left" w:pos="1440"/>
          <w:tab w:val="right" w:leader="dot" w:pos="9360"/>
        </w:tabs>
      </w:pPr>
      <w:r>
        <w:tab/>
      </w:r>
      <w:r w:rsidR="0033456F" w:rsidRPr="0033456F">
        <w:t>Conclusions on Performance Criteria</w:t>
      </w:r>
      <w:r w:rsidR="0033456F" w:rsidRPr="0033456F">
        <w:tab/>
      </w:r>
      <w:r w:rsidR="001C15D4">
        <w:t>12</w:t>
      </w:r>
    </w:p>
    <w:p w14:paraId="4DB2798F" w14:textId="77777777" w:rsidR="0033456F" w:rsidRPr="0033456F" w:rsidRDefault="0033456F" w:rsidP="0033456F">
      <w:pPr>
        <w:tabs>
          <w:tab w:val="left" w:pos="-1440"/>
          <w:tab w:val="left" w:pos="-720"/>
          <w:tab w:val="left" w:pos="0"/>
          <w:tab w:val="left" w:pos="720"/>
          <w:tab w:val="left" w:pos="1440"/>
          <w:tab w:val="right" w:leader="dot" w:pos="9360"/>
        </w:tabs>
        <w:ind w:left="1440" w:hanging="720"/>
      </w:pPr>
    </w:p>
    <w:p w14:paraId="023782AD" w14:textId="77777777" w:rsidR="0033456F" w:rsidRPr="0033456F" w:rsidRDefault="0033456F" w:rsidP="0033456F">
      <w:pPr>
        <w:tabs>
          <w:tab w:val="left" w:pos="-1440"/>
        </w:tabs>
        <w:ind w:left="720" w:hanging="720"/>
      </w:pPr>
      <w:r w:rsidRPr="0033456F">
        <w:t>Appendix</w:t>
      </w:r>
    </w:p>
    <w:p w14:paraId="690923FD" w14:textId="791FF4C8" w:rsidR="0033456F" w:rsidRPr="0033456F" w:rsidRDefault="00F34B31" w:rsidP="0033456F">
      <w:pPr>
        <w:tabs>
          <w:tab w:val="left" w:pos="-1440"/>
          <w:tab w:val="left" w:pos="-720"/>
          <w:tab w:val="left" w:pos="0"/>
          <w:tab w:val="left" w:pos="720"/>
          <w:tab w:val="left" w:pos="1440"/>
          <w:tab w:val="right" w:leader="dot" w:pos="9360"/>
        </w:tabs>
        <w:ind w:left="1440" w:hanging="720"/>
      </w:pPr>
      <w:r>
        <w:t>Scope of Evalu</w:t>
      </w:r>
      <w:r w:rsidR="0033456F" w:rsidRPr="0033456F">
        <w:t>ation</w:t>
      </w:r>
      <w:r w:rsidR="0033456F" w:rsidRPr="0033456F">
        <w:tab/>
      </w:r>
      <w:r w:rsidR="006D1EC6">
        <w:t>27</w:t>
      </w:r>
    </w:p>
    <w:p w14:paraId="1EB6A1B7" w14:textId="0D07127B" w:rsidR="00871151" w:rsidRDefault="00871151" w:rsidP="007B2663">
      <w:pPr>
        <w:tabs>
          <w:tab w:val="left" w:pos="-1440"/>
          <w:tab w:val="left" w:pos="-720"/>
          <w:tab w:val="left" w:pos="0"/>
          <w:tab w:val="left" w:pos="720"/>
          <w:tab w:val="left" w:pos="1440"/>
          <w:tab w:val="right" w:leader="dot" w:pos="9360"/>
        </w:tabs>
        <w:ind w:left="1440" w:hanging="720"/>
      </w:pPr>
      <w:r>
        <w:t>Division of Banks Fair Lending Policies and Procedures</w:t>
      </w:r>
      <w:r>
        <w:tab/>
      </w:r>
      <w:r w:rsidR="006D1EC6">
        <w:t>27</w:t>
      </w:r>
    </w:p>
    <w:p w14:paraId="5F66A62C" w14:textId="13D5424B" w:rsidR="007B2663" w:rsidRPr="0033456F" w:rsidRDefault="007B2663" w:rsidP="007B2663">
      <w:pPr>
        <w:tabs>
          <w:tab w:val="left" w:pos="-1440"/>
          <w:tab w:val="left" w:pos="-720"/>
          <w:tab w:val="left" w:pos="0"/>
          <w:tab w:val="left" w:pos="720"/>
          <w:tab w:val="left" w:pos="1440"/>
          <w:tab w:val="right" w:leader="dot" w:pos="9360"/>
        </w:tabs>
        <w:ind w:left="1440" w:hanging="720"/>
      </w:pPr>
      <w:r w:rsidRPr="0033456F">
        <w:t>Glossary</w:t>
      </w:r>
      <w:r w:rsidRPr="0033456F">
        <w:tab/>
      </w:r>
      <w:r w:rsidR="006D1EC6">
        <w:t>30</w:t>
      </w:r>
    </w:p>
    <w:p w14:paraId="0001C4C6" w14:textId="77777777" w:rsidR="007B2663" w:rsidRPr="0033456F" w:rsidRDefault="007B2663" w:rsidP="0033456F">
      <w:pPr>
        <w:tabs>
          <w:tab w:val="left" w:pos="-1440"/>
          <w:tab w:val="left" w:pos="-720"/>
          <w:tab w:val="left" w:pos="0"/>
          <w:tab w:val="left" w:pos="720"/>
          <w:tab w:val="left" w:pos="1440"/>
          <w:tab w:val="right" w:leader="dot" w:pos="9360"/>
        </w:tabs>
        <w:ind w:left="1440" w:hanging="720"/>
      </w:pPr>
    </w:p>
    <w:p w14:paraId="5EE68ACA" w14:textId="77777777" w:rsidR="0099672C" w:rsidRPr="00161EC6" w:rsidRDefault="0099672C">
      <w:pPr>
        <w:sectPr w:rsidR="0099672C" w:rsidRPr="00161EC6" w:rsidSect="006362F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4D673D54" w14:textId="77777777" w:rsidR="0099672C" w:rsidRPr="00161EC6" w:rsidRDefault="0099672C" w:rsidP="00F71EDB">
      <w:pPr>
        <w:jc w:val="center"/>
        <w:rPr>
          <w:b/>
          <w:bCs/>
          <w:sz w:val="28"/>
          <w:szCs w:val="28"/>
        </w:rPr>
      </w:pPr>
      <w:r w:rsidRPr="00161EC6">
        <w:rPr>
          <w:b/>
          <w:bCs/>
          <w:sz w:val="28"/>
          <w:szCs w:val="28"/>
        </w:rPr>
        <w:lastRenderedPageBreak/>
        <w:t>INSTITUTION RATING</w:t>
      </w:r>
    </w:p>
    <w:p w14:paraId="0CA88DF8" w14:textId="77777777" w:rsidR="0099672C" w:rsidRPr="00161EC6" w:rsidRDefault="0099672C" w:rsidP="00820FE2">
      <w:pPr>
        <w:rPr>
          <w:i/>
          <w:iCs/>
        </w:rPr>
      </w:pPr>
    </w:p>
    <w:p w14:paraId="395B1D64" w14:textId="77777777" w:rsidR="0099672C" w:rsidRPr="00161EC6" w:rsidRDefault="0099672C" w:rsidP="00820FE2">
      <w:pPr>
        <w:rPr>
          <w:b/>
          <w:bCs/>
          <w:sz w:val="28"/>
          <w:szCs w:val="28"/>
        </w:rPr>
      </w:pPr>
    </w:p>
    <w:p w14:paraId="778344F0" w14:textId="3B2DE1AB" w:rsidR="0099672C" w:rsidRPr="00161EC6" w:rsidRDefault="0099672C" w:rsidP="00B86059">
      <w:r w:rsidRPr="00161EC6">
        <w:rPr>
          <w:b/>
          <w:bCs/>
        </w:rPr>
        <w:t xml:space="preserve">INSTITUTION’S CRA RATING:  </w:t>
      </w:r>
      <w:r w:rsidRPr="00161EC6">
        <w:t>This institution is rated</w:t>
      </w:r>
      <w:r w:rsidRPr="00161EC6">
        <w:rPr>
          <w:b/>
          <w:bCs/>
        </w:rPr>
        <w:t xml:space="preserve"> </w:t>
      </w:r>
      <w:r w:rsidR="00340E78" w:rsidRPr="00D915EB">
        <w:rPr>
          <w:b/>
          <w:bCs/>
          <w:u w:val="single"/>
        </w:rPr>
        <w:t>Satisfactory</w:t>
      </w:r>
      <w:r w:rsidR="00D915EB">
        <w:rPr>
          <w:b/>
          <w:bCs/>
        </w:rPr>
        <w:t xml:space="preserve"> </w:t>
      </w:r>
      <w:r w:rsidR="00D915EB">
        <w:rPr>
          <w:bCs/>
        </w:rPr>
        <w:t>by the Division and the FDIC.  An institution in this group has a satisfactory record of helping meet the credit needs of its assessment area, including low- and moderate-income neighborhoods, in a manner consistent with its resources and capabilities.</w:t>
      </w:r>
      <w:r w:rsidRPr="00161EC6">
        <w:rPr>
          <w:b/>
          <w:bCs/>
        </w:rPr>
        <w:t xml:space="preserve">  </w:t>
      </w:r>
    </w:p>
    <w:p w14:paraId="01F8B390" w14:textId="77777777" w:rsidR="0099672C" w:rsidRDefault="0099672C" w:rsidP="00820FE2">
      <w:pPr>
        <w:rPr>
          <w:snapToGrid w:val="0"/>
        </w:rPr>
      </w:pPr>
    </w:p>
    <w:tbl>
      <w:tblPr>
        <w:tblW w:w="0" w:type="auto"/>
        <w:tblInd w:w="34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216" w:type="dxa"/>
          <w:right w:w="216" w:type="dxa"/>
        </w:tblCellMar>
        <w:tblLook w:val="04A0" w:firstRow="1" w:lastRow="0" w:firstColumn="1" w:lastColumn="0" w:noHBand="0" w:noVBand="1"/>
      </w:tblPr>
      <w:tblGrid>
        <w:gridCol w:w="2391"/>
        <w:gridCol w:w="2160"/>
        <w:gridCol w:w="2160"/>
        <w:gridCol w:w="1749"/>
      </w:tblGrid>
      <w:tr w:rsidR="0033456F" w14:paraId="7FAB0F98" w14:textId="77777777" w:rsidTr="00D915EB">
        <w:trPr>
          <w:cantSplit/>
          <w:trHeight w:val="922"/>
        </w:trPr>
        <w:tc>
          <w:tcPr>
            <w:tcW w:w="2391" w:type="dxa"/>
            <w:vAlign w:val="center"/>
          </w:tcPr>
          <w:p w14:paraId="00D8F1A9" w14:textId="77777777" w:rsidR="0033456F" w:rsidRDefault="0033456F" w:rsidP="0033456F">
            <w:pPr>
              <w:spacing w:line="216" w:lineRule="exact"/>
              <w:rPr>
                <w:sz w:val="20"/>
              </w:rPr>
            </w:pPr>
          </w:p>
          <w:p w14:paraId="1DBBA2DC" w14:textId="77777777" w:rsidR="0033456F" w:rsidRDefault="0033456F" w:rsidP="0033456F">
            <w:pPr>
              <w:keepNext/>
              <w:keepLines/>
              <w:rPr>
                <w:b/>
                <w:sz w:val="20"/>
              </w:rPr>
            </w:pPr>
            <w:r>
              <w:rPr>
                <w:b/>
                <w:sz w:val="20"/>
              </w:rPr>
              <w:t>PERFORMANCE LEVELS</w:t>
            </w:r>
          </w:p>
        </w:tc>
        <w:tc>
          <w:tcPr>
            <w:tcW w:w="6069" w:type="dxa"/>
            <w:gridSpan w:val="3"/>
            <w:vAlign w:val="center"/>
          </w:tcPr>
          <w:p w14:paraId="426389D2" w14:textId="77777777" w:rsidR="0033456F" w:rsidRDefault="0033456F" w:rsidP="0033456F">
            <w:pPr>
              <w:keepNext/>
              <w:keepLines/>
              <w:jc w:val="center"/>
              <w:rPr>
                <w:sz w:val="20"/>
              </w:rPr>
            </w:pPr>
            <w:r>
              <w:rPr>
                <w:b/>
                <w:sz w:val="20"/>
              </w:rPr>
              <w:t>PERFORMANCE TESTS</w:t>
            </w:r>
          </w:p>
        </w:tc>
      </w:tr>
      <w:tr w:rsidR="0033456F" w14:paraId="2592A02F" w14:textId="77777777" w:rsidTr="00D915EB">
        <w:tc>
          <w:tcPr>
            <w:tcW w:w="2391" w:type="dxa"/>
            <w:tcBorders>
              <w:top w:val="single" w:sz="8" w:space="0" w:color="000000"/>
              <w:bottom w:val="single" w:sz="8" w:space="0" w:color="000000"/>
            </w:tcBorders>
            <w:shd w:val="clear" w:color="000000" w:fill="auto"/>
            <w:vAlign w:val="bottom"/>
          </w:tcPr>
          <w:p w14:paraId="60823BB1" w14:textId="77777777" w:rsidR="0033456F" w:rsidRDefault="0033456F" w:rsidP="0033456F">
            <w:pPr>
              <w:spacing w:line="216" w:lineRule="exact"/>
              <w:rPr>
                <w:sz w:val="20"/>
              </w:rPr>
            </w:pPr>
          </w:p>
          <w:p w14:paraId="7F38F0B4" w14:textId="77777777" w:rsidR="0033456F" w:rsidRDefault="0033456F" w:rsidP="0033456F">
            <w:pPr>
              <w:keepNext/>
              <w:keepLines/>
              <w:jc w:val="center"/>
              <w:rPr>
                <w:b/>
                <w:sz w:val="20"/>
              </w:rPr>
            </w:pPr>
          </w:p>
        </w:tc>
        <w:tc>
          <w:tcPr>
            <w:tcW w:w="2160" w:type="dxa"/>
            <w:vAlign w:val="center"/>
          </w:tcPr>
          <w:p w14:paraId="46772FD0" w14:textId="77777777" w:rsidR="0033456F" w:rsidRDefault="0033456F" w:rsidP="0033456F">
            <w:pPr>
              <w:keepNext/>
              <w:keepLines/>
              <w:jc w:val="center"/>
              <w:rPr>
                <w:b/>
                <w:sz w:val="20"/>
              </w:rPr>
            </w:pPr>
            <w:r>
              <w:rPr>
                <w:b/>
                <w:sz w:val="20"/>
              </w:rPr>
              <w:t>Lending Test*</w:t>
            </w:r>
          </w:p>
        </w:tc>
        <w:tc>
          <w:tcPr>
            <w:tcW w:w="2160" w:type="dxa"/>
            <w:vAlign w:val="center"/>
          </w:tcPr>
          <w:p w14:paraId="6572134E" w14:textId="77777777" w:rsidR="0033456F" w:rsidRDefault="0033456F" w:rsidP="0033456F">
            <w:pPr>
              <w:keepNext/>
              <w:keepLines/>
              <w:jc w:val="center"/>
              <w:rPr>
                <w:b/>
                <w:sz w:val="20"/>
              </w:rPr>
            </w:pPr>
            <w:r>
              <w:rPr>
                <w:b/>
                <w:sz w:val="20"/>
              </w:rPr>
              <w:t>Investment Test</w:t>
            </w:r>
          </w:p>
        </w:tc>
        <w:tc>
          <w:tcPr>
            <w:tcW w:w="1749" w:type="dxa"/>
            <w:vAlign w:val="center"/>
          </w:tcPr>
          <w:p w14:paraId="645B81E2" w14:textId="77777777" w:rsidR="0033456F" w:rsidRDefault="0033456F" w:rsidP="0033456F">
            <w:pPr>
              <w:keepNext/>
              <w:keepLines/>
              <w:jc w:val="center"/>
              <w:rPr>
                <w:sz w:val="20"/>
              </w:rPr>
            </w:pPr>
            <w:r>
              <w:rPr>
                <w:b/>
                <w:sz w:val="20"/>
              </w:rPr>
              <w:t>Service Test</w:t>
            </w:r>
          </w:p>
        </w:tc>
      </w:tr>
      <w:tr w:rsidR="0033456F" w14:paraId="242FC7D4" w14:textId="77777777" w:rsidTr="00D915EB">
        <w:trPr>
          <w:trHeight w:val="511"/>
        </w:trPr>
        <w:tc>
          <w:tcPr>
            <w:tcW w:w="2391" w:type="dxa"/>
            <w:tcBorders>
              <w:top w:val="single" w:sz="8" w:space="0" w:color="000000"/>
            </w:tcBorders>
            <w:vAlign w:val="center"/>
            <w:hideMark/>
          </w:tcPr>
          <w:p w14:paraId="0517DFD4" w14:textId="77777777" w:rsidR="0033456F" w:rsidRDefault="0033456F" w:rsidP="0033456F">
            <w:pPr>
              <w:keepNext/>
              <w:keepLines/>
              <w:rPr>
                <w:sz w:val="20"/>
              </w:rPr>
            </w:pPr>
            <w:r>
              <w:rPr>
                <w:sz w:val="20"/>
              </w:rPr>
              <w:t>Outstanding</w:t>
            </w:r>
          </w:p>
        </w:tc>
        <w:tc>
          <w:tcPr>
            <w:tcW w:w="2160" w:type="dxa"/>
            <w:vAlign w:val="center"/>
          </w:tcPr>
          <w:p w14:paraId="7FF276B1" w14:textId="77777777" w:rsidR="0033456F" w:rsidRDefault="0033456F" w:rsidP="0033456F">
            <w:pPr>
              <w:keepNext/>
              <w:keepLines/>
              <w:jc w:val="center"/>
              <w:rPr>
                <w:sz w:val="20"/>
              </w:rPr>
            </w:pPr>
          </w:p>
        </w:tc>
        <w:tc>
          <w:tcPr>
            <w:tcW w:w="2160" w:type="dxa"/>
            <w:vAlign w:val="center"/>
          </w:tcPr>
          <w:p w14:paraId="13C06ABA" w14:textId="77777777" w:rsidR="0033456F" w:rsidRDefault="0033456F" w:rsidP="0033456F">
            <w:pPr>
              <w:keepNext/>
              <w:keepLines/>
              <w:jc w:val="center"/>
              <w:rPr>
                <w:sz w:val="20"/>
              </w:rPr>
            </w:pPr>
          </w:p>
        </w:tc>
        <w:tc>
          <w:tcPr>
            <w:tcW w:w="1749" w:type="dxa"/>
            <w:vAlign w:val="center"/>
          </w:tcPr>
          <w:p w14:paraId="57CB0FF3" w14:textId="77777777" w:rsidR="0033456F" w:rsidRDefault="0033456F" w:rsidP="0033456F">
            <w:pPr>
              <w:keepNext/>
              <w:keepLines/>
              <w:jc w:val="center"/>
              <w:rPr>
                <w:sz w:val="20"/>
              </w:rPr>
            </w:pPr>
          </w:p>
        </w:tc>
      </w:tr>
      <w:tr w:rsidR="0033456F" w14:paraId="0D7ACBEB" w14:textId="77777777" w:rsidTr="00D915EB">
        <w:trPr>
          <w:trHeight w:val="529"/>
        </w:trPr>
        <w:tc>
          <w:tcPr>
            <w:tcW w:w="2391" w:type="dxa"/>
            <w:vAlign w:val="center"/>
            <w:hideMark/>
          </w:tcPr>
          <w:p w14:paraId="5811CEBB" w14:textId="77777777" w:rsidR="0033456F" w:rsidRDefault="0033456F" w:rsidP="0033456F">
            <w:pPr>
              <w:keepNext/>
              <w:keepLines/>
              <w:rPr>
                <w:sz w:val="20"/>
              </w:rPr>
            </w:pPr>
            <w:r>
              <w:rPr>
                <w:sz w:val="20"/>
              </w:rPr>
              <w:t>High Satisfactory</w:t>
            </w:r>
          </w:p>
        </w:tc>
        <w:tc>
          <w:tcPr>
            <w:tcW w:w="2160" w:type="dxa"/>
            <w:vAlign w:val="center"/>
          </w:tcPr>
          <w:p w14:paraId="3E34B70C" w14:textId="77777777" w:rsidR="0033456F" w:rsidRDefault="006D4664" w:rsidP="0033456F">
            <w:pPr>
              <w:keepNext/>
              <w:keepLines/>
              <w:jc w:val="center"/>
              <w:rPr>
                <w:sz w:val="20"/>
              </w:rPr>
            </w:pPr>
            <w:r>
              <w:rPr>
                <w:sz w:val="20"/>
              </w:rPr>
              <w:t>X</w:t>
            </w:r>
          </w:p>
        </w:tc>
        <w:tc>
          <w:tcPr>
            <w:tcW w:w="2160" w:type="dxa"/>
            <w:vAlign w:val="center"/>
          </w:tcPr>
          <w:p w14:paraId="075F1C68" w14:textId="77777777" w:rsidR="0033456F" w:rsidRDefault="000B0017" w:rsidP="0033456F">
            <w:pPr>
              <w:keepNext/>
              <w:keepLines/>
              <w:jc w:val="center"/>
              <w:rPr>
                <w:sz w:val="20"/>
              </w:rPr>
            </w:pPr>
            <w:r>
              <w:rPr>
                <w:sz w:val="20"/>
              </w:rPr>
              <w:t>X</w:t>
            </w:r>
          </w:p>
        </w:tc>
        <w:tc>
          <w:tcPr>
            <w:tcW w:w="1749" w:type="dxa"/>
            <w:vAlign w:val="center"/>
          </w:tcPr>
          <w:p w14:paraId="66D17B79" w14:textId="77777777" w:rsidR="0033456F" w:rsidRDefault="0033456F" w:rsidP="0033456F">
            <w:pPr>
              <w:keepNext/>
              <w:keepLines/>
              <w:jc w:val="center"/>
              <w:rPr>
                <w:sz w:val="20"/>
              </w:rPr>
            </w:pPr>
          </w:p>
        </w:tc>
      </w:tr>
      <w:tr w:rsidR="0033456F" w14:paraId="50916896" w14:textId="77777777" w:rsidTr="00D915EB">
        <w:trPr>
          <w:trHeight w:val="511"/>
        </w:trPr>
        <w:tc>
          <w:tcPr>
            <w:tcW w:w="2391" w:type="dxa"/>
            <w:vAlign w:val="center"/>
            <w:hideMark/>
          </w:tcPr>
          <w:p w14:paraId="3AEDAC9F" w14:textId="6AC8C947" w:rsidR="0033456F" w:rsidRDefault="0033456F" w:rsidP="0033456F">
            <w:pPr>
              <w:keepNext/>
              <w:keepLines/>
              <w:rPr>
                <w:sz w:val="20"/>
              </w:rPr>
            </w:pPr>
            <w:r>
              <w:rPr>
                <w:sz w:val="20"/>
              </w:rPr>
              <w:t>Satisfactory</w:t>
            </w:r>
            <w:r w:rsidR="003873A8">
              <w:rPr>
                <w:sz w:val="20"/>
              </w:rPr>
              <w:t>*</w:t>
            </w:r>
            <w:r w:rsidR="001E6ED5">
              <w:rPr>
                <w:sz w:val="20"/>
              </w:rPr>
              <w:t>*</w:t>
            </w:r>
          </w:p>
        </w:tc>
        <w:tc>
          <w:tcPr>
            <w:tcW w:w="2160" w:type="dxa"/>
            <w:vAlign w:val="center"/>
          </w:tcPr>
          <w:p w14:paraId="4B0416B8" w14:textId="77777777" w:rsidR="0033456F" w:rsidRDefault="0033456F" w:rsidP="0033456F">
            <w:pPr>
              <w:keepNext/>
              <w:keepLines/>
              <w:jc w:val="center"/>
              <w:rPr>
                <w:sz w:val="20"/>
              </w:rPr>
            </w:pPr>
          </w:p>
        </w:tc>
        <w:tc>
          <w:tcPr>
            <w:tcW w:w="2160" w:type="dxa"/>
            <w:vAlign w:val="center"/>
          </w:tcPr>
          <w:p w14:paraId="76E86B34" w14:textId="77777777" w:rsidR="0033456F" w:rsidRDefault="0033456F" w:rsidP="0033456F">
            <w:pPr>
              <w:keepNext/>
              <w:keepLines/>
              <w:jc w:val="center"/>
              <w:rPr>
                <w:sz w:val="20"/>
              </w:rPr>
            </w:pPr>
          </w:p>
        </w:tc>
        <w:tc>
          <w:tcPr>
            <w:tcW w:w="1749" w:type="dxa"/>
            <w:vAlign w:val="center"/>
          </w:tcPr>
          <w:p w14:paraId="4D65AC57" w14:textId="4F0185A1" w:rsidR="0033456F" w:rsidRDefault="0030567B" w:rsidP="0033456F">
            <w:pPr>
              <w:keepNext/>
              <w:keepLines/>
              <w:jc w:val="center"/>
              <w:rPr>
                <w:sz w:val="20"/>
              </w:rPr>
            </w:pPr>
            <w:r>
              <w:rPr>
                <w:sz w:val="20"/>
              </w:rPr>
              <w:t>X</w:t>
            </w:r>
          </w:p>
        </w:tc>
      </w:tr>
      <w:tr w:rsidR="0033456F" w14:paraId="76875604" w14:textId="77777777" w:rsidTr="00D915EB">
        <w:trPr>
          <w:trHeight w:val="520"/>
        </w:trPr>
        <w:tc>
          <w:tcPr>
            <w:tcW w:w="2391" w:type="dxa"/>
            <w:vAlign w:val="center"/>
            <w:hideMark/>
          </w:tcPr>
          <w:p w14:paraId="75661A4E" w14:textId="77777777" w:rsidR="0033456F" w:rsidRDefault="0033456F" w:rsidP="0033456F">
            <w:pPr>
              <w:keepNext/>
              <w:keepLines/>
              <w:rPr>
                <w:sz w:val="20"/>
              </w:rPr>
            </w:pPr>
            <w:r>
              <w:rPr>
                <w:sz w:val="20"/>
              </w:rPr>
              <w:t>Needs to Improve</w:t>
            </w:r>
          </w:p>
        </w:tc>
        <w:tc>
          <w:tcPr>
            <w:tcW w:w="2160" w:type="dxa"/>
            <w:vAlign w:val="center"/>
          </w:tcPr>
          <w:p w14:paraId="690C1E0A" w14:textId="77777777" w:rsidR="0033456F" w:rsidRDefault="0033456F" w:rsidP="0033456F">
            <w:pPr>
              <w:keepNext/>
              <w:keepLines/>
              <w:jc w:val="center"/>
              <w:rPr>
                <w:sz w:val="20"/>
              </w:rPr>
            </w:pPr>
          </w:p>
        </w:tc>
        <w:tc>
          <w:tcPr>
            <w:tcW w:w="2160" w:type="dxa"/>
            <w:vAlign w:val="center"/>
          </w:tcPr>
          <w:p w14:paraId="10E961A4" w14:textId="77777777" w:rsidR="0033456F" w:rsidRDefault="0033456F" w:rsidP="0033456F">
            <w:pPr>
              <w:keepNext/>
              <w:keepLines/>
              <w:jc w:val="center"/>
              <w:rPr>
                <w:sz w:val="20"/>
              </w:rPr>
            </w:pPr>
          </w:p>
        </w:tc>
        <w:tc>
          <w:tcPr>
            <w:tcW w:w="1749" w:type="dxa"/>
            <w:vAlign w:val="center"/>
          </w:tcPr>
          <w:p w14:paraId="64539BA8" w14:textId="77777777" w:rsidR="0033456F" w:rsidRDefault="0033456F" w:rsidP="0033456F">
            <w:pPr>
              <w:keepNext/>
              <w:keepLines/>
              <w:jc w:val="center"/>
              <w:rPr>
                <w:sz w:val="20"/>
              </w:rPr>
            </w:pPr>
          </w:p>
        </w:tc>
      </w:tr>
      <w:tr w:rsidR="0033456F" w14:paraId="0914BE45" w14:textId="77777777" w:rsidTr="00D915EB">
        <w:trPr>
          <w:trHeight w:val="520"/>
        </w:trPr>
        <w:tc>
          <w:tcPr>
            <w:tcW w:w="2391" w:type="dxa"/>
            <w:tcBorders>
              <w:bottom w:val="single" w:sz="12" w:space="0" w:color="000000"/>
            </w:tcBorders>
            <w:vAlign w:val="center"/>
            <w:hideMark/>
          </w:tcPr>
          <w:p w14:paraId="40FBDD6D" w14:textId="77777777" w:rsidR="0033456F" w:rsidRDefault="0033456F" w:rsidP="0033456F">
            <w:pPr>
              <w:keepNext/>
              <w:keepLines/>
              <w:rPr>
                <w:sz w:val="20"/>
              </w:rPr>
            </w:pPr>
            <w:r>
              <w:rPr>
                <w:sz w:val="20"/>
              </w:rPr>
              <w:t>Substantial Noncompliance</w:t>
            </w:r>
          </w:p>
        </w:tc>
        <w:tc>
          <w:tcPr>
            <w:tcW w:w="2160" w:type="dxa"/>
            <w:tcBorders>
              <w:bottom w:val="single" w:sz="12" w:space="0" w:color="000000"/>
            </w:tcBorders>
            <w:vAlign w:val="center"/>
          </w:tcPr>
          <w:p w14:paraId="196A6FBF" w14:textId="77777777" w:rsidR="0033456F" w:rsidRDefault="0033456F" w:rsidP="0033456F">
            <w:pPr>
              <w:keepNext/>
              <w:keepLines/>
              <w:jc w:val="center"/>
              <w:rPr>
                <w:sz w:val="20"/>
              </w:rPr>
            </w:pPr>
          </w:p>
        </w:tc>
        <w:tc>
          <w:tcPr>
            <w:tcW w:w="2160" w:type="dxa"/>
            <w:tcBorders>
              <w:bottom w:val="single" w:sz="12" w:space="0" w:color="000000"/>
            </w:tcBorders>
            <w:vAlign w:val="center"/>
          </w:tcPr>
          <w:p w14:paraId="234DC15D" w14:textId="77777777" w:rsidR="0033456F" w:rsidRDefault="0033456F" w:rsidP="0033456F">
            <w:pPr>
              <w:keepNext/>
              <w:keepLines/>
              <w:jc w:val="center"/>
              <w:rPr>
                <w:sz w:val="20"/>
              </w:rPr>
            </w:pPr>
          </w:p>
        </w:tc>
        <w:tc>
          <w:tcPr>
            <w:tcW w:w="1749" w:type="dxa"/>
            <w:tcBorders>
              <w:bottom w:val="single" w:sz="12" w:space="0" w:color="000000"/>
            </w:tcBorders>
            <w:vAlign w:val="center"/>
          </w:tcPr>
          <w:p w14:paraId="78FFD17E" w14:textId="77777777" w:rsidR="0033456F" w:rsidRDefault="0033456F" w:rsidP="0033456F">
            <w:pPr>
              <w:keepNext/>
              <w:keepLines/>
              <w:jc w:val="center"/>
              <w:rPr>
                <w:sz w:val="20"/>
              </w:rPr>
            </w:pPr>
          </w:p>
        </w:tc>
      </w:tr>
      <w:tr w:rsidR="0033456F" w14:paraId="35DCB96B" w14:textId="77777777" w:rsidTr="00D915EB">
        <w:trPr>
          <w:trHeight w:val="520"/>
        </w:trPr>
        <w:tc>
          <w:tcPr>
            <w:tcW w:w="8460" w:type="dxa"/>
            <w:gridSpan w:val="4"/>
            <w:tcBorders>
              <w:top w:val="single" w:sz="12" w:space="0" w:color="000000"/>
              <w:left w:val="nil"/>
              <w:bottom w:val="nil"/>
              <w:right w:val="nil"/>
            </w:tcBorders>
            <w:vAlign w:val="center"/>
          </w:tcPr>
          <w:p w14:paraId="7BD41B54" w14:textId="77777777" w:rsidR="0033456F" w:rsidRDefault="0033456F" w:rsidP="0033456F">
            <w:pPr>
              <w:keepNext/>
              <w:keepLines/>
              <w:rPr>
                <w:i/>
                <w:sz w:val="20"/>
              </w:rPr>
            </w:pPr>
            <w:r>
              <w:rPr>
                <w:sz w:val="20"/>
              </w:rPr>
              <w:t xml:space="preserve">* </w:t>
            </w:r>
            <w:r w:rsidRPr="0033456F">
              <w:rPr>
                <w:i/>
                <w:sz w:val="20"/>
              </w:rPr>
              <w:t>The Lending Test is weighted more heavily than the Investment and Service Tests when arriving at an overall rating.</w:t>
            </w:r>
          </w:p>
          <w:p w14:paraId="1329638C" w14:textId="594E53BD" w:rsidR="003873A8" w:rsidRDefault="003873A8" w:rsidP="003873A8">
            <w:pPr>
              <w:keepNext/>
              <w:keepLines/>
              <w:rPr>
                <w:sz w:val="20"/>
              </w:rPr>
            </w:pPr>
            <w:r>
              <w:rPr>
                <w:i/>
                <w:iCs/>
                <w:sz w:val="20"/>
                <w:szCs w:val="20"/>
              </w:rPr>
              <w:t xml:space="preserve">** FDIC rules and regulations stipulate use of a “high satisfactory” and “low satisfactory” rating for the three tests.  This jointly issued public evaluation uses the term “satisfactory” in lieu of “low satisfactory” for the Lending, Investment, and Service Test ratings, as the Division does not have a “low </w:t>
            </w:r>
            <w:r w:rsidR="001E6ED5">
              <w:rPr>
                <w:i/>
                <w:iCs/>
                <w:sz w:val="20"/>
                <w:szCs w:val="20"/>
              </w:rPr>
              <w:t>s</w:t>
            </w:r>
            <w:r>
              <w:rPr>
                <w:i/>
                <w:iCs/>
                <w:sz w:val="20"/>
                <w:szCs w:val="20"/>
              </w:rPr>
              <w:t>atisfactory” rating</w:t>
            </w:r>
            <w:r w:rsidR="000401FB">
              <w:rPr>
                <w:i/>
                <w:iCs/>
                <w:sz w:val="20"/>
                <w:szCs w:val="20"/>
              </w:rPr>
              <w:t xml:space="preserve">.  </w:t>
            </w:r>
          </w:p>
        </w:tc>
      </w:tr>
    </w:tbl>
    <w:p w14:paraId="6FC20341" w14:textId="77777777" w:rsidR="00EA4565" w:rsidRDefault="00EA4565" w:rsidP="00EA4565">
      <w:pPr>
        <w:rPr>
          <w:b/>
          <w:bCs/>
        </w:rPr>
      </w:pPr>
    </w:p>
    <w:p w14:paraId="0103B619" w14:textId="77777777" w:rsidR="00EA4565" w:rsidRPr="00161EC6" w:rsidRDefault="00EA4565" w:rsidP="00EA4565">
      <w:pPr>
        <w:rPr>
          <w:b/>
          <w:bCs/>
        </w:rPr>
      </w:pPr>
      <w:r w:rsidRPr="00161EC6">
        <w:rPr>
          <w:b/>
          <w:bCs/>
        </w:rPr>
        <w:t xml:space="preserve">The Lending Test is rated </w:t>
      </w:r>
      <w:r w:rsidR="006D4664" w:rsidRPr="006D4664">
        <w:rPr>
          <w:b/>
          <w:bCs/>
          <w:u w:val="single"/>
        </w:rPr>
        <w:t>High Satisfactory</w:t>
      </w:r>
      <w:r w:rsidRPr="00161EC6">
        <w:rPr>
          <w:b/>
          <w:bCs/>
        </w:rPr>
        <w:t>.</w:t>
      </w:r>
    </w:p>
    <w:p w14:paraId="066D9CB3" w14:textId="77777777" w:rsidR="00EA4565" w:rsidRPr="00161EC6" w:rsidRDefault="00EA4565" w:rsidP="00EA4565">
      <w:pPr>
        <w:rPr>
          <w:snapToGrid w:val="0"/>
        </w:rPr>
      </w:pPr>
    </w:p>
    <w:p w14:paraId="36213AAC" w14:textId="362EBC9C" w:rsidR="005A53A3" w:rsidRDefault="005A53A3" w:rsidP="002E7B94">
      <w:pPr>
        <w:numPr>
          <w:ilvl w:val="0"/>
          <w:numId w:val="29"/>
        </w:numPr>
        <w:ind w:left="360"/>
        <w:rPr>
          <w:snapToGrid w:val="0"/>
        </w:rPr>
      </w:pPr>
      <w:r>
        <w:rPr>
          <w:snapToGrid w:val="0"/>
        </w:rPr>
        <w:t>Lending levels reflect adequate responsiveness to assessment area credit needs.</w:t>
      </w:r>
    </w:p>
    <w:p w14:paraId="33D4ADF0" w14:textId="77777777" w:rsidR="005A53A3" w:rsidRDefault="005A53A3">
      <w:pPr>
        <w:rPr>
          <w:snapToGrid w:val="0"/>
        </w:rPr>
      </w:pPr>
    </w:p>
    <w:p w14:paraId="0121956D" w14:textId="1CBAB203" w:rsidR="005A53A3" w:rsidRDefault="005A53A3">
      <w:pPr>
        <w:numPr>
          <w:ilvl w:val="0"/>
          <w:numId w:val="29"/>
        </w:numPr>
        <w:ind w:left="360"/>
        <w:rPr>
          <w:snapToGrid w:val="0"/>
        </w:rPr>
      </w:pPr>
      <w:r>
        <w:rPr>
          <w:snapToGrid w:val="0"/>
        </w:rPr>
        <w:t xml:space="preserve">The institution originated </w:t>
      </w:r>
      <w:r w:rsidR="00824BDC">
        <w:rPr>
          <w:snapToGrid w:val="0"/>
        </w:rPr>
        <w:t>an adequate</w:t>
      </w:r>
      <w:r>
        <w:rPr>
          <w:snapToGrid w:val="0"/>
        </w:rPr>
        <w:t xml:space="preserve"> percentage of loans within its assessment area. </w:t>
      </w:r>
    </w:p>
    <w:p w14:paraId="006E23C9" w14:textId="77777777" w:rsidR="005A53A3" w:rsidRDefault="005A53A3">
      <w:pPr>
        <w:rPr>
          <w:snapToGrid w:val="0"/>
        </w:rPr>
      </w:pPr>
    </w:p>
    <w:p w14:paraId="1C5F7771" w14:textId="478CDD4F" w:rsidR="005A53A3" w:rsidRPr="000335A9" w:rsidRDefault="005A53A3">
      <w:pPr>
        <w:numPr>
          <w:ilvl w:val="0"/>
          <w:numId w:val="29"/>
        </w:numPr>
        <w:ind w:left="360"/>
        <w:rPr>
          <w:snapToGrid w:val="0"/>
        </w:rPr>
      </w:pPr>
      <w:r>
        <w:rPr>
          <w:snapToGrid w:val="0"/>
        </w:rPr>
        <w:t xml:space="preserve">The geographic distribution of loans reflects excellent penetration throughout the assessment area. </w:t>
      </w:r>
      <w:r w:rsidR="005379B0">
        <w:rPr>
          <w:snapToGrid w:val="0"/>
        </w:rPr>
        <w:t xml:space="preserve"> </w:t>
      </w:r>
    </w:p>
    <w:p w14:paraId="1575E97A" w14:textId="77777777" w:rsidR="005A53A3" w:rsidRDefault="005A53A3">
      <w:pPr>
        <w:rPr>
          <w:snapToGrid w:val="0"/>
        </w:rPr>
      </w:pPr>
    </w:p>
    <w:p w14:paraId="678ABA15" w14:textId="2CEF614A" w:rsidR="005A53A3" w:rsidRPr="000335A9" w:rsidRDefault="005A53A3">
      <w:pPr>
        <w:numPr>
          <w:ilvl w:val="0"/>
          <w:numId w:val="29"/>
        </w:numPr>
        <w:ind w:left="360"/>
        <w:rPr>
          <w:snapToGrid w:val="0"/>
        </w:rPr>
      </w:pPr>
      <w:r>
        <w:rPr>
          <w:snapToGrid w:val="0"/>
        </w:rPr>
        <w:t xml:space="preserve">The distribution of borrowers reflects, given the product lines offered by the institution, adequate penetration among retail customers of different income levels and business customers of different size. </w:t>
      </w:r>
    </w:p>
    <w:p w14:paraId="5011A822" w14:textId="77777777" w:rsidR="005A53A3" w:rsidRDefault="005A53A3">
      <w:pPr>
        <w:rPr>
          <w:snapToGrid w:val="0"/>
        </w:rPr>
      </w:pPr>
    </w:p>
    <w:p w14:paraId="506C031B" w14:textId="76740F5F" w:rsidR="005A53A3" w:rsidRPr="000335A9" w:rsidRDefault="005A53A3">
      <w:pPr>
        <w:numPr>
          <w:ilvl w:val="0"/>
          <w:numId w:val="29"/>
        </w:numPr>
        <w:ind w:left="360"/>
        <w:rPr>
          <w:snapToGrid w:val="0"/>
        </w:rPr>
      </w:pPr>
      <w:r>
        <w:rPr>
          <w:snapToGrid w:val="0"/>
        </w:rPr>
        <w:t>The institution makes limited use of innovative and/or flexible lending practices in order to serve assessment area credit needs.</w:t>
      </w:r>
      <w:r w:rsidR="005379B0">
        <w:rPr>
          <w:snapToGrid w:val="0"/>
        </w:rPr>
        <w:t xml:space="preserve"> </w:t>
      </w:r>
    </w:p>
    <w:p w14:paraId="5AC00C15" w14:textId="77777777" w:rsidR="005A53A3" w:rsidRDefault="005A53A3">
      <w:pPr>
        <w:rPr>
          <w:snapToGrid w:val="0"/>
        </w:rPr>
      </w:pPr>
    </w:p>
    <w:p w14:paraId="149C6357" w14:textId="5DCEF298" w:rsidR="005A53A3" w:rsidRPr="002B7BD9" w:rsidRDefault="005A53A3">
      <w:pPr>
        <w:numPr>
          <w:ilvl w:val="0"/>
          <w:numId w:val="29"/>
        </w:numPr>
        <w:ind w:left="360"/>
        <w:rPr>
          <w:snapToGrid w:val="0"/>
        </w:rPr>
      </w:pPr>
      <w:r>
        <w:rPr>
          <w:snapToGrid w:val="0"/>
        </w:rPr>
        <w:t xml:space="preserve">The institution is a leader in making community development loans.   </w:t>
      </w:r>
    </w:p>
    <w:p w14:paraId="2EB4590E" w14:textId="77777777" w:rsidR="00340E78" w:rsidRPr="00340E78" w:rsidRDefault="00340E78" w:rsidP="00340E78">
      <w:r w:rsidRPr="00340E78">
        <w:rPr>
          <w:b/>
          <w:bCs/>
        </w:rPr>
        <w:lastRenderedPageBreak/>
        <w:t xml:space="preserve">The Investment Test is rated </w:t>
      </w:r>
      <w:r w:rsidRPr="00340E78">
        <w:rPr>
          <w:b/>
          <w:bCs/>
          <w:u w:val="single"/>
        </w:rPr>
        <w:t>High Satisfactory</w:t>
      </w:r>
      <w:r w:rsidRPr="00340E78">
        <w:rPr>
          <w:b/>
          <w:bCs/>
        </w:rPr>
        <w:t>.</w:t>
      </w:r>
    </w:p>
    <w:p w14:paraId="57C94663" w14:textId="77777777" w:rsidR="00340E78" w:rsidRPr="00340E78" w:rsidRDefault="00340E78" w:rsidP="00340E78"/>
    <w:p w14:paraId="5F9E336B" w14:textId="15510247" w:rsidR="00340E78" w:rsidRPr="00340E78" w:rsidRDefault="00340E78" w:rsidP="005379B0">
      <w:pPr>
        <w:numPr>
          <w:ilvl w:val="0"/>
          <w:numId w:val="14"/>
        </w:numPr>
        <w:spacing w:after="160"/>
        <w:rPr>
          <w:snapToGrid w:val="0"/>
        </w:rPr>
      </w:pPr>
      <w:r w:rsidRPr="00340E78">
        <w:rPr>
          <w:bCs/>
        </w:rPr>
        <w:t>The institution has a significant level of qualified community development investments and grants, occasionally in a leadership position, particularly those that are not routinely provided by private investors.</w:t>
      </w:r>
    </w:p>
    <w:p w14:paraId="2E05EF23" w14:textId="22250102" w:rsidR="00340E78" w:rsidRPr="00340E78" w:rsidRDefault="00340E78" w:rsidP="005379B0">
      <w:pPr>
        <w:numPr>
          <w:ilvl w:val="0"/>
          <w:numId w:val="14"/>
        </w:numPr>
        <w:spacing w:after="160"/>
        <w:rPr>
          <w:snapToGrid w:val="0"/>
        </w:rPr>
      </w:pPr>
      <w:r w:rsidRPr="00340E78">
        <w:rPr>
          <w:bCs/>
        </w:rPr>
        <w:t>The institution exhibits good responsiveness to credit and community economic development needs.</w:t>
      </w:r>
      <w:r w:rsidR="002014EB">
        <w:rPr>
          <w:bCs/>
        </w:rPr>
        <w:t xml:space="preserve"> </w:t>
      </w:r>
    </w:p>
    <w:p w14:paraId="75C513BA" w14:textId="6B5C2F04" w:rsidR="00340E78" w:rsidRPr="00340E78" w:rsidRDefault="00340E78" w:rsidP="005379B0">
      <w:pPr>
        <w:numPr>
          <w:ilvl w:val="0"/>
          <w:numId w:val="14"/>
        </w:numPr>
        <w:spacing w:after="160"/>
        <w:rPr>
          <w:snapToGrid w:val="0"/>
        </w:rPr>
      </w:pPr>
      <w:r w:rsidRPr="00340E78">
        <w:rPr>
          <w:snapToGrid w:val="0"/>
        </w:rPr>
        <w:t xml:space="preserve">The institution </w:t>
      </w:r>
      <w:r w:rsidR="002014EB">
        <w:rPr>
          <w:snapToGrid w:val="0"/>
        </w:rPr>
        <w:t xml:space="preserve">occasionally </w:t>
      </w:r>
      <w:r w:rsidR="005379B0" w:rsidRPr="00340E78">
        <w:rPr>
          <w:snapToGrid w:val="0"/>
        </w:rPr>
        <w:t>use</w:t>
      </w:r>
      <w:r w:rsidR="005379B0">
        <w:rPr>
          <w:snapToGrid w:val="0"/>
        </w:rPr>
        <w:t>s</w:t>
      </w:r>
      <w:r w:rsidR="005379B0" w:rsidRPr="00340E78">
        <w:rPr>
          <w:snapToGrid w:val="0"/>
        </w:rPr>
        <w:t xml:space="preserve"> innovative</w:t>
      </w:r>
      <w:r w:rsidRPr="00340E78">
        <w:rPr>
          <w:snapToGrid w:val="0"/>
        </w:rPr>
        <w:t xml:space="preserve"> and/or complex investments to support community development initiatives.</w:t>
      </w:r>
      <w:r w:rsidR="002014EB">
        <w:rPr>
          <w:snapToGrid w:val="0"/>
        </w:rPr>
        <w:t xml:space="preserve"> </w:t>
      </w:r>
    </w:p>
    <w:p w14:paraId="2F30BC79" w14:textId="77777777" w:rsidR="00340E78" w:rsidRPr="00340E78" w:rsidRDefault="00340E78" w:rsidP="00340E78">
      <w:r w:rsidRPr="00340E78">
        <w:rPr>
          <w:b/>
          <w:bCs/>
        </w:rPr>
        <w:t xml:space="preserve">The Service Test is rated </w:t>
      </w:r>
      <w:r w:rsidRPr="00340E78">
        <w:rPr>
          <w:b/>
          <w:bCs/>
          <w:u w:val="single"/>
        </w:rPr>
        <w:t>Satisfactory</w:t>
      </w:r>
      <w:r w:rsidRPr="00340E78">
        <w:rPr>
          <w:b/>
          <w:bCs/>
        </w:rPr>
        <w:t>.</w:t>
      </w:r>
    </w:p>
    <w:p w14:paraId="7BBB318A" w14:textId="77777777" w:rsidR="00340E78" w:rsidRPr="00340E78" w:rsidRDefault="00340E78" w:rsidP="00340E78">
      <w:pPr>
        <w:tabs>
          <w:tab w:val="left" w:pos="720"/>
          <w:tab w:val="left" w:pos="1440"/>
          <w:tab w:val="left" w:pos="2160"/>
          <w:tab w:val="left" w:pos="2880"/>
          <w:tab w:val="left" w:pos="3600"/>
          <w:tab w:val="left" w:pos="5328"/>
          <w:tab w:val="left" w:pos="11520"/>
        </w:tabs>
        <w:rPr>
          <w:b/>
          <w:bCs/>
          <w:spacing w:val="-3"/>
          <w:sz w:val="28"/>
          <w:szCs w:val="28"/>
        </w:rPr>
      </w:pPr>
    </w:p>
    <w:p w14:paraId="57687531" w14:textId="7E679989" w:rsidR="00340E78" w:rsidRPr="00340E78" w:rsidRDefault="00340E78" w:rsidP="005379B0">
      <w:pPr>
        <w:widowControl w:val="0"/>
        <w:numPr>
          <w:ilvl w:val="0"/>
          <w:numId w:val="30"/>
        </w:numPr>
        <w:tabs>
          <w:tab w:val="left" w:pos="720"/>
          <w:tab w:val="left" w:pos="1440"/>
          <w:tab w:val="left" w:pos="2160"/>
          <w:tab w:val="left" w:pos="2880"/>
          <w:tab w:val="left" w:pos="3600"/>
          <w:tab w:val="left" w:pos="5328"/>
          <w:tab w:val="left" w:pos="11520"/>
        </w:tabs>
        <w:spacing w:after="160"/>
        <w:rPr>
          <w:b/>
          <w:bCs/>
          <w:spacing w:val="-3"/>
          <w:sz w:val="32"/>
          <w:szCs w:val="28"/>
        </w:rPr>
      </w:pPr>
      <w:r w:rsidRPr="00340E78">
        <w:rPr>
          <w:bCs/>
          <w:spacing w:val="-3"/>
          <w:szCs w:val="28"/>
        </w:rPr>
        <w:t>The bank’s delivery systems are reasonably accessible to essentially all portions of the institutions assessment area.</w:t>
      </w:r>
    </w:p>
    <w:p w14:paraId="7A8AD63B" w14:textId="05930E0B" w:rsidR="00340E78" w:rsidRPr="00340E78" w:rsidRDefault="00340E78" w:rsidP="005379B0">
      <w:pPr>
        <w:widowControl w:val="0"/>
        <w:numPr>
          <w:ilvl w:val="0"/>
          <w:numId w:val="30"/>
        </w:numPr>
        <w:tabs>
          <w:tab w:val="left" w:pos="720"/>
          <w:tab w:val="left" w:pos="1440"/>
          <w:tab w:val="left" w:pos="2160"/>
          <w:tab w:val="left" w:pos="2880"/>
          <w:tab w:val="left" w:pos="3600"/>
          <w:tab w:val="left" w:pos="5328"/>
          <w:tab w:val="left" w:pos="11520"/>
        </w:tabs>
        <w:spacing w:after="160"/>
        <w:rPr>
          <w:b/>
          <w:bCs/>
          <w:spacing w:val="-3"/>
          <w:sz w:val="32"/>
          <w:szCs w:val="28"/>
        </w:rPr>
      </w:pPr>
      <w:r w:rsidRPr="00340E78">
        <w:rPr>
          <w:bCs/>
          <w:spacing w:val="-3"/>
          <w:szCs w:val="28"/>
        </w:rPr>
        <w:t xml:space="preserve">To the extent changes have been made, the institution’s opening and closing of branches has generally not adversely affected the accessibility of its delivery systems, particularly in low- and moderate-geographies and/or low- and moderate-income individuals. </w:t>
      </w:r>
    </w:p>
    <w:p w14:paraId="0FC7EDEF" w14:textId="4E8C29D8" w:rsidR="00340E78" w:rsidRPr="00340E78" w:rsidRDefault="00340E78" w:rsidP="005379B0">
      <w:pPr>
        <w:widowControl w:val="0"/>
        <w:numPr>
          <w:ilvl w:val="0"/>
          <w:numId w:val="30"/>
        </w:numPr>
        <w:tabs>
          <w:tab w:val="left" w:pos="720"/>
          <w:tab w:val="left" w:pos="1440"/>
          <w:tab w:val="left" w:pos="2160"/>
          <w:tab w:val="left" w:pos="2880"/>
          <w:tab w:val="left" w:pos="3600"/>
          <w:tab w:val="left" w:pos="5328"/>
          <w:tab w:val="left" w:pos="11520"/>
        </w:tabs>
        <w:spacing w:after="160"/>
        <w:rPr>
          <w:b/>
          <w:bCs/>
          <w:spacing w:val="-3"/>
          <w:sz w:val="32"/>
          <w:szCs w:val="28"/>
        </w:rPr>
      </w:pPr>
      <w:r w:rsidRPr="00340E78">
        <w:rPr>
          <w:bCs/>
          <w:spacing w:val="-3"/>
          <w:szCs w:val="28"/>
        </w:rPr>
        <w:t>Services, including business hours, do not vary in a way that inconveniences portions of the assessment area, particularly low- and moderate-income geographies and/or individuals.</w:t>
      </w:r>
      <w:r w:rsidR="002E7B94">
        <w:rPr>
          <w:bCs/>
          <w:spacing w:val="-3"/>
          <w:szCs w:val="28"/>
        </w:rPr>
        <w:t xml:space="preserve"> </w:t>
      </w:r>
    </w:p>
    <w:p w14:paraId="12A6358F" w14:textId="11C2A12B" w:rsidR="00C3119B" w:rsidRDefault="00340E78" w:rsidP="005379B0">
      <w:pPr>
        <w:widowControl w:val="0"/>
        <w:numPr>
          <w:ilvl w:val="0"/>
          <w:numId w:val="30"/>
        </w:numPr>
        <w:tabs>
          <w:tab w:val="left" w:pos="720"/>
          <w:tab w:val="left" w:pos="1440"/>
          <w:tab w:val="left" w:pos="2160"/>
          <w:tab w:val="left" w:pos="2880"/>
          <w:tab w:val="left" w:pos="3600"/>
          <w:tab w:val="left" w:pos="5328"/>
          <w:tab w:val="left" w:pos="11520"/>
        </w:tabs>
        <w:spacing w:after="160" w:line="259" w:lineRule="auto"/>
        <w:rPr>
          <w:b/>
          <w:bCs/>
          <w:spacing w:val="-3"/>
          <w:sz w:val="28"/>
          <w:szCs w:val="28"/>
        </w:rPr>
        <w:sectPr w:rsidR="00C3119B" w:rsidSect="006362FE">
          <w:headerReference w:type="default" r:id="rId18"/>
          <w:footerReference w:type="default" r:id="rId19"/>
          <w:pgSz w:w="12240" w:h="15840"/>
          <w:pgMar w:top="1440" w:right="1440" w:bottom="1440" w:left="1440" w:header="720" w:footer="720" w:gutter="0"/>
          <w:pgNumType w:start="1"/>
          <w:cols w:space="720"/>
          <w:docGrid w:linePitch="360"/>
        </w:sectPr>
      </w:pPr>
      <w:r w:rsidRPr="00340E78">
        <w:rPr>
          <w:bCs/>
          <w:spacing w:val="-3"/>
          <w:szCs w:val="28"/>
        </w:rPr>
        <w:t>The institution provides a relatively high level of community development services</w:t>
      </w:r>
      <w:r w:rsidR="005379B0" w:rsidRPr="00340E78">
        <w:rPr>
          <w:bCs/>
          <w:spacing w:val="-3"/>
          <w:szCs w:val="28"/>
        </w:rPr>
        <w:t>.</w:t>
      </w:r>
      <w:r w:rsidR="005379B0">
        <w:rPr>
          <w:b/>
          <w:bCs/>
          <w:spacing w:val="-3"/>
          <w:sz w:val="28"/>
          <w:szCs w:val="28"/>
        </w:rPr>
        <w:t xml:space="preserve">  </w:t>
      </w:r>
    </w:p>
    <w:p w14:paraId="0D616C65" w14:textId="77777777" w:rsidR="00B4706B" w:rsidRPr="00161EC6" w:rsidRDefault="00B4706B" w:rsidP="001F64B6">
      <w:pPr>
        <w:tabs>
          <w:tab w:val="left" w:pos="720"/>
          <w:tab w:val="left" w:pos="1440"/>
          <w:tab w:val="left" w:pos="2160"/>
          <w:tab w:val="left" w:pos="2880"/>
          <w:tab w:val="left" w:pos="3600"/>
          <w:tab w:val="left" w:pos="5328"/>
          <w:tab w:val="left" w:pos="11520"/>
        </w:tabs>
        <w:jc w:val="center"/>
        <w:rPr>
          <w:b/>
          <w:bCs/>
          <w:spacing w:val="-3"/>
          <w:sz w:val="28"/>
          <w:szCs w:val="28"/>
        </w:rPr>
      </w:pPr>
      <w:r w:rsidRPr="00161EC6">
        <w:rPr>
          <w:b/>
          <w:bCs/>
          <w:spacing w:val="-3"/>
          <w:sz w:val="28"/>
          <w:szCs w:val="28"/>
        </w:rPr>
        <w:lastRenderedPageBreak/>
        <w:t>SCOPE OF EVALUATION</w:t>
      </w:r>
    </w:p>
    <w:p w14:paraId="6D881011" w14:textId="77777777" w:rsidR="00B4706B" w:rsidRPr="00161EC6" w:rsidRDefault="00B4706B" w:rsidP="00B4706B">
      <w:pPr>
        <w:pStyle w:val="Heading1"/>
        <w:jc w:val="left"/>
        <w:rPr>
          <w:rFonts w:ascii="Times New Roman" w:hAnsi="Times New Roman"/>
        </w:rPr>
      </w:pPr>
    </w:p>
    <w:p w14:paraId="17DD50EB" w14:textId="77777777" w:rsidR="00B4706B" w:rsidRPr="00AD3C42" w:rsidRDefault="00B4706B" w:rsidP="00B4706B">
      <w:pPr>
        <w:tabs>
          <w:tab w:val="left" w:pos="1260"/>
        </w:tabs>
        <w:rPr>
          <w:b/>
          <w:bCs/>
          <w:iCs/>
          <w:u w:val="single"/>
        </w:rPr>
      </w:pPr>
      <w:r w:rsidRPr="00AD3C42">
        <w:rPr>
          <w:b/>
          <w:bCs/>
          <w:iCs/>
          <w:u w:val="single"/>
        </w:rPr>
        <w:t>General Information</w:t>
      </w:r>
    </w:p>
    <w:p w14:paraId="2075FAD9" w14:textId="77777777" w:rsidR="00B4706B" w:rsidRDefault="00B4706B" w:rsidP="00B4706B">
      <w:pPr>
        <w:tabs>
          <w:tab w:val="left" w:pos="1260"/>
        </w:tabs>
        <w:rPr>
          <w:b/>
          <w:bCs/>
          <w:i/>
          <w:iCs/>
        </w:rPr>
      </w:pPr>
    </w:p>
    <w:p w14:paraId="69252880" w14:textId="07353309" w:rsidR="009D25E2" w:rsidRPr="00B41022" w:rsidRDefault="009D25E2" w:rsidP="009D25E2">
      <w:pPr>
        <w:tabs>
          <w:tab w:val="left" w:pos="1260"/>
        </w:tabs>
        <w:rPr>
          <w:bCs/>
          <w:iCs/>
        </w:rPr>
      </w:pPr>
      <w:r w:rsidRPr="00B41022">
        <w:rPr>
          <w:bCs/>
          <w:iCs/>
        </w:rPr>
        <w:t xml:space="preserve">This evaluation covers the period from the </w:t>
      </w:r>
      <w:r>
        <w:rPr>
          <w:bCs/>
          <w:iCs/>
        </w:rPr>
        <w:t>prior evaluation dated June 19</w:t>
      </w:r>
      <w:r w:rsidRPr="00B41022">
        <w:rPr>
          <w:bCs/>
          <w:iCs/>
        </w:rPr>
        <w:t xml:space="preserve">, 2017, to the current evaluation dated </w:t>
      </w:r>
      <w:r>
        <w:rPr>
          <w:bCs/>
          <w:iCs/>
        </w:rPr>
        <w:t>December 7</w:t>
      </w:r>
      <w:r w:rsidRPr="00B41022">
        <w:rPr>
          <w:bCs/>
          <w:iCs/>
        </w:rPr>
        <w:t xml:space="preserve">, 2020.  Examiners used the Interagency Large Institution Examination Procedures to evaluate </w:t>
      </w:r>
      <w:r w:rsidR="008A7AEB">
        <w:rPr>
          <w:bCs/>
          <w:iCs/>
        </w:rPr>
        <w:t>East Boston Savings Bank’s (EBSB)</w:t>
      </w:r>
      <w:r w:rsidRPr="00B41022">
        <w:rPr>
          <w:bCs/>
          <w:iCs/>
        </w:rPr>
        <w:t xml:space="preserve"> performance.  </w:t>
      </w:r>
    </w:p>
    <w:p w14:paraId="518FB641" w14:textId="77777777" w:rsidR="009D25E2" w:rsidRPr="00B41022" w:rsidRDefault="009D25E2" w:rsidP="009D25E2">
      <w:pPr>
        <w:tabs>
          <w:tab w:val="left" w:pos="1260"/>
        </w:tabs>
        <w:rPr>
          <w:bCs/>
          <w:iCs/>
        </w:rPr>
      </w:pPr>
    </w:p>
    <w:p w14:paraId="114FA9D7" w14:textId="77777777" w:rsidR="009D25E2" w:rsidRPr="00B41022" w:rsidRDefault="009D25E2" w:rsidP="009D25E2">
      <w:pPr>
        <w:tabs>
          <w:tab w:val="left" w:pos="1260"/>
        </w:tabs>
        <w:rPr>
          <w:bCs/>
          <w:iCs/>
        </w:rPr>
      </w:pPr>
      <w:r w:rsidRPr="00B41022">
        <w:rPr>
          <w:bCs/>
          <w:iCs/>
        </w:rPr>
        <w:t>The Lending Test considered the institution’s performance according to the following criteria.</w:t>
      </w:r>
    </w:p>
    <w:p w14:paraId="383368DC" w14:textId="77777777" w:rsidR="009D25E2" w:rsidRPr="00B41022" w:rsidRDefault="009D25E2" w:rsidP="009D25E2">
      <w:pPr>
        <w:tabs>
          <w:tab w:val="left" w:pos="1260"/>
        </w:tabs>
        <w:rPr>
          <w:bCs/>
          <w:iCs/>
        </w:rPr>
      </w:pPr>
    </w:p>
    <w:p w14:paraId="274A8BE7" w14:textId="77777777" w:rsidR="009D25E2" w:rsidRPr="00B41022" w:rsidRDefault="009D25E2" w:rsidP="009D25E2">
      <w:pPr>
        <w:widowControl w:val="0"/>
        <w:numPr>
          <w:ilvl w:val="0"/>
          <w:numId w:val="13"/>
        </w:numPr>
        <w:tabs>
          <w:tab w:val="clear" w:pos="360"/>
          <w:tab w:val="left" w:pos="720"/>
        </w:tabs>
        <w:ind w:left="720"/>
        <w:rPr>
          <w:bCs/>
          <w:iCs/>
        </w:rPr>
      </w:pPr>
      <w:r w:rsidRPr="00B41022">
        <w:rPr>
          <w:bCs/>
          <w:iCs/>
        </w:rPr>
        <w:t>Lending activity</w:t>
      </w:r>
    </w:p>
    <w:p w14:paraId="71E5D76F"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Assessment area concentration</w:t>
      </w:r>
    </w:p>
    <w:p w14:paraId="1986B836"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Geographic distribution</w:t>
      </w:r>
    </w:p>
    <w:p w14:paraId="60559EE5"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Borrower profile</w:t>
      </w:r>
    </w:p>
    <w:p w14:paraId="4FBDA8A2"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Innovative and</w:t>
      </w:r>
      <w:r>
        <w:rPr>
          <w:bCs/>
          <w:iCs/>
        </w:rPr>
        <w:t>/or</w:t>
      </w:r>
      <w:r w:rsidRPr="00B41022">
        <w:rPr>
          <w:bCs/>
          <w:iCs/>
        </w:rPr>
        <w:t xml:space="preserve"> flexible lending practices</w:t>
      </w:r>
    </w:p>
    <w:p w14:paraId="39FB28D7"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Community development loans</w:t>
      </w:r>
    </w:p>
    <w:p w14:paraId="735A9FB6" w14:textId="77777777" w:rsidR="009D25E2" w:rsidRPr="00B41022" w:rsidRDefault="009D25E2" w:rsidP="009D25E2">
      <w:pPr>
        <w:widowControl w:val="0"/>
        <w:tabs>
          <w:tab w:val="left" w:pos="720"/>
        </w:tabs>
        <w:ind w:left="720"/>
        <w:rPr>
          <w:bCs/>
          <w:iCs/>
        </w:rPr>
      </w:pPr>
    </w:p>
    <w:p w14:paraId="76AE00A0" w14:textId="77777777" w:rsidR="009D25E2" w:rsidRPr="00B41022" w:rsidRDefault="009D25E2" w:rsidP="009D25E2">
      <w:pPr>
        <w:widowControl w:val="0"/>
        <w:tabs>
          <w:tab w:val="left" w:pos="0"/>
        </w:tabs>
        <w:ind w:left="720" w:hanging="720"/>
        <w:rPr>
          <w:bCs/>
          <w:iCs/>
        </w:rPr>
      </w:pPr>
      <w:r w:rsidRPr="00B41022">
        <w:rPr>
          <w:bCs/>
          <w:iCs/>
        </w:rPr>
        <w:t>The Investment Test considered the following criteria.</w:t>
      </w:r>
    </w:p>
    <w:p w14:paraId="0C5AEF8B" w14:textId="77777777" w:rsidR="009D25E2" w:rsidRPr="00B41022" w:rsidRDefault="009D25E2" w:rsidP="009D25E2">
      <w:pPr>
        <w:widowControl w:val="0"/>
        <w:tabs>
          <w:tab w:val="left" w:pos="0"/>
        </w:tabs>
        <w:ind w:left="720" w:hanging="720"/>
        <w:rPr>
          <w:bCs/>
          <w:iCs/>
        </w:rPr>
      </w:pPr>
    </w:p>
    <w:p w14:paraId="17A44CE3"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Number and dollar amount of qualified investments</w:t>
      </w:r>
    </w:p>
    <w:p w14:paraId="15266C72" w14:textId="77777777" w:rsidR="009D25E2" w:rsidRPr="00B41022" w:rsidRDefault="009D25E2" w:rsidP="009D25E2">
      <w:pPr>
        <w:widowControl w:val="0"/>
        <w:numPr>
          <w:ilvl w:val="0"/>
          <w:numId w:val="13"/>
        </w:numPr>
        <w:tabs>
          <w:tab w:val="clear" w:pos="360"/>
        </w:tabs>
        <w:ind w:left="720"/>
        <w:rPr>
          <w:rFonts w:ascii="Courier" w:hAnsi="Courier" w:cs="Courier"/>
          <w:bCs/>
          <w:iCs/>
        </w:rPr>
      </w:pPr>
      <w:r w:rsidRPr="00B41022">
        <w:rPr>
          <w:bCs/>
          <w:iCs/>
        </w:rPr>
        <w:t>Responsiveness to credit and community development needs</w:t>
      </w:r>
    </w:p>
    <w:p w14:paraId="7E1B0BEE"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Innovativeness or complexity of qualified investments</w:t>
      </w:r>
    </w:p>
    <w:p w14:paraId="6EA5A457" w14:textId="77777777" w:rsidR="009D25E2" w:rsidRPr="00B41022" w:rsidRDefault="009D25E2" w:rsidP="009D25E2">
      <w:pPr>
        <w:tabs>
          <w:tab w:val="left" w:pos="1260"/>
        </w:tabs>
        <w:rPr>
          <w:bCs/>
          <w:iCs/>
        </w:rPr>
      </w:pPr>
    </w:p>
    <w:p w14:paraId="639E999C" w14:textId="77777777" w:rsidR="009D25E2" w:rsidRPr="00B41022" w:rsidRDefault="009D25E2" w:rsidP="009D25E2">
      <w:pPr>
        <w:tabs>
          <w:tab w:val="left" w:pos="1260"/>
        </w:tabs>
        <w:rPr>
          <w:bCs/>
          <w:iCs/>
        </w:rPr>
      </w:pPr>
      <w:r w:rsidRPr="00B41022">
        <w:rPr>
          <w:bCs/>
          <w:iCs/>
        </w:rPr>
        <w:t>The Service Test considered the following criteria.</w:t>
      </w:r>
    </w:p>
    <w:p w14:paraId="5677E730" w14:textId="77777777" w:rsidR="009D25E2" w:rsidRPr="00B41022" w:rsidRDefault="009D25E2" w:rsidP="009D25E2">
      <w:pPr>
        <w:tabs>
          <w:tab w:val="left" w:pos="1260"/>
        </w:tabs>
        <w:rPr>
          <w:bCs/>
          <w:iCs/>
        </w:rPr>
      </w:pPr>
    </w:p>
    <w:p w14:paraId="50ECFD65"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Accessibility of delivery systems</w:t>
      </w:r>
    </w:p>
    <w:p w14:paraId="2EC1E72E"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Changes in branch locations</w:t>
      </w:r>
    </w:p>
    <w:p w14:paraId="5FCEA13B"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Reasonableness of business hours and services</w:t>
      </w:r>
    </w:p>
    <w:p w14:paraId="150C4641" w14:textId="77777777" w:rsidR="009D25E2" w:rsidRPr="00B41022" w:rsidRDefault="009D25E2" w:rsidP="009D25E2">
      <w:pPr>
        <w:widowControl w:val="0"/>
        <w:numPr>
          <w:ilvl w:val="0"/>
          <w:numId w:val="13"/>
        </w:numPr>
        <w:tabs>
          <w:tab w:val="clear" w:pos="360"/>
          <w:tab w:val="left" w:pos="720"/>
        </w:tabs>
        <w:ind w:left="720"/>
        <w:rPr>
          <w:rFonts w:ascii="Courier" w:hAnsi="Courier" w:cs="Courier"/>
          <w:bCs/>
          <w:iCs/>
        </w:rPr>
      </w:pPr>
      <w:r w:rsidRPr="00B41022">
        <w:rPr>
          <w:bCs/>
          <w:iCs/>
        </w:rPr>
        <w:t>Community development services</w:t>
      </w:r>
    </w:p>
    <w:p w14:paraId="12EFDBB8" w14:textId="77777777" w:rsidR="009D25E2" w:rsidRPr="00B41022" w:rsidRDefault="009D25E2" w:rsidP="009D25E2">
      <w:pPr>
        <w:tabs>
          <w:tab w:val="left" w:pos="1260"/>
        </w:tabs>
        <w:rPr>
          <w:bCs/>
          <w:iCs/>
        </w:rPr>
      </w:pPr>
    </w:p>
    <w:p w14:paraId="16CCECDA" w14:textId="77777777" w:rsidR="009D25E2" w:rsidRPr="00B41022" w:rsidRDefault="009D25E2" w:rsidP="009D25E2">
      <w:pPr>
        <w:tabs>
          <w:tab w:val="left" w:pos="1260"/>
        </w:tabs>
        <w:rPr>
          <w:bCs/>
          <w:iCs/>
        </w:rPr>
      </w:pPr>
      <w:r w:rsidRPr="00B41022">
        <w:rPr>
          <w:bCs/>
          <w:iCs/>
        </w:rPr>
        <w:t xml:space="preserve">An institution must achieve at least a Satisfactory rating on the Lending Test to obtain an overall Satisfactory rating.  This evaluation does not include any lending activity performed by affiliates.  </w:t>
      </w:r>
    </w:p>
    <w:p w14:paraId="4EA713DA" w14:textId="77777777" w:rsidR="009D25E2" w:rsidRPr="00EA4565" w:rsidRDefault="009D25E2" w:rsidP="00B4706B">
      <w:pPr>
        <w:tabs>
          <w:tab w:val="left" w:pos="1260"/>
        </w:tabs>
        <w:rPr>
          <w:b/>
          <w:bCs/>
          <w:i/>
          <w:iCs/>
        </w:rPr>
      </w:pPr>
    </w:p>
    <w:p w14:paraId="7AB175EC" w14:textId="77777777" w:rsidR="00414AF3" w:rsidRDefault="00B4706B" w:rsidP="00414AF3">
      <w:pPr>
        <w:tabs>
          <w:tab w:val="left" w:pos="1260"/>
        </w:tabs>
        <w:rPr>
          <w:b/>
          <w:bCs/>
          <w:iCs/>
          <w:u w:val="single"/>
        </w:rPr>
      </w:pPr>
      <w:r w:rsidRPr="00AD3C42">
        <w:rPr>
          <w:b/>
          <w:bCs/>
          <w:iCs/>
          <w:u w:val="single"/>
        </w:rPr>
        <w:t>Loan Products Reviewed</w:t>
      </w:r>
    </w:p>
    <w:p w14:paraId="0505D5E0" w14:textId="77777777" w:rsidR="00414AF3" w:rsidRDefault="00414AF3" w:rsidP="00414AF3">
      <w:pPr>
        <w:tabs>
          <w:tab w:val="left" w:pos="1260"/>
        </w:tabs>
        <w:rPr>
          <w:b/>
          <w:bCs/>
          <w:iCs/>
          <w:u w:val="single"/>
        </w:rPr>
      </w:pPr>
    </w:p>
    <w:p w14:paraId="4BEA9EA8" w14:textId="2BF61139" w:rsidR="00414AF3" w:rsidRPr="00F2269E" w:rsidRDefault="00414AF3" w:rsidP="00414AF3">
      <w:pPr>
        <w:rPr>
          <w:color w:val="000000"/>
        </w:rPr>
      </w:pPr>
      <w:r w:rsidRPr="00F2269E">
        <w:rPr>
          <w:color w:val="000000"/>
        </w:rPr>
        <w:t xml:space="preserve">Examiners determined the bank’s two major product lines are home mortgage and small business loans.  This conclusion considered the bank’s business strategy and the number and dollar volume of originations during the evaluation period.  </w:t>
      </w:r>
    </w:p>
    <w:p w14:paraId="02D57A49" w14:textId="77777777" w:rsidR="00414AF3" w:rsidRPr="00CE24CA" w:rsidRDefault="00414AF3" w:rsidP="00414AF3">
      <w:pPr>
        <w:rPr>
          <w:color w:val="000000"/>
          <w:highlight w:val="yellow"/>
        </w:rPr>
      </w:pPr>
    </w:p>
    <w:p w14:paraId="52C10189" w14:textId="4BB7B9AB" w:rsidR="00414AF3" w:rsidRPr="006B5465" w:rsidRDefault="00414AF3" w:rsidP="00414AF3">
      <w:pPr>
        <w:rPr>
          <w:color w:val="000000"/>
        </w:rPr>
      </w:pPr>
      <w:r w:rsidRPr="00F2269E">
        <w:rPr>
          <w:color w:val="000000"/>
        </w:rPr>
        <w:t xml:space="preserve">The bank’s record of originating home mortgage loans contributed more weight to overall conclusions due to the larger volume of originations compared to small business lending during the evaluation period.  </w:t>
      </w:r>
      <w:r w:rsidRPr="006B5465">
        <w:rPr>
          <w:color w:val="000000"/>
        </w:rPr>
        <w:t xml:space="preserve">No other loan types, such as small farm or consumer loans, represent a major product line.  </w:t>
      </w:r>
      <w:r w:rsidR="003A0C0E">
        <w:rPr>
          <w:color w:val="000000"/>
        </w:rPr>
        <w:t>T</w:t>
      </w:r>
      <w:r w:rsidRPr="006B5465">
        <w:rPr>
          <w:color w:val="000000"/>
        </w:rPr>
        <w:t>hey provided no material support for conclusions or ratings</w:t>
      </w:r>
      <w:r w:rsidR="00342464">
        <w:rPr>
          <w:color w:val="000000"/>
        </w:rPr>
        <w:t>;</w:t>
      </w:r>
      <w:r w:rsidR="003A0C0E">
        <w:rPr>
          <w:color w:val="000000"/>
        </w:rPr>
        <w:t xml:space="preserve"> t</w:t>
      </w:r>
      <w:r w:rsidR="003A0C0E" w:rsidRPr="006B5465">
        <w:rPr>
          <w:color w:val="000000"/>
        </w:rPr>
        <w:t>herefore,</w:t>
      </w:r>
      <w:r w:rsidR="003A0C0E">
        <w:rPr>
          <w:color w:val="000000"/>
        </w:rPr>
        <w:t xml:space="preserve"> examiners did not present the</w:t>
      </w:r>
      <w:r w:rsidR="00CA1657">
        <w:rPr>
          <w:color w:val="000000"/>
        </w:rPr>
        <w:t>m</w:t>
      </w:r>
      <w:r w:rsidR="003A0C0E">
        <w:rPr>
          <w:color w:val="000000"/>
        </w:rPr>
        <w:t xml:space="preserve">.  </w:t>
      </w:r>
      <w:r w:rsidRPr="006B5465">
        <w:rPr>
          <w:color w:val="000000"/>
        </w:rPr>
        <w:t xml:space="preserve">  </w:t>
      </w:r>
    </w:p>
    <w:p w14:paraId="5164B565" w14:textId="77777777" w:rsidR="00414AF3" w:rsidRPr="00CE24CA" w:rsidRDefault="00414AF3" w:rsidP="00414AF3">
      <w:pPr>
        <w:tabs>
          <w:tab w:val="left" w:pos="1260"/>
        </w:tabs>
        <w:rPr>
          <w:bCs/>
          <w:iCs/>
          <w:highlight w:val="yellow"/>
        </w:rPr>
      </w:pPr>
    </w:p>
    <w:p w14:paraId="1F8FBF42" w14:textId="625AB82D" w:rsidR="00414AF3" w:rsidRPr="006B5465" w:rsidRDefault="00414AF3" w:rsidP="00414AF3">
      <w:pPr>
        <w:rPr>
          <w:color w:val="000000"/>
        </w:rPr>
      </w:pPr>
      <w:r w:rsidRPr="006B5465">
        <w:rPr>
          <w:color w:val="000000"/>
        </w:rPr>
        <w:lastRenderedPageBreak/>
        <w:t xml:space="preserve">Examiners considered all home mortgage loans reported on the bank’s </w:t>
      </w:r>
      <w:r w:rsidR="006B5465" w:rsidRPr="006B5465">
        <w:rPr>
          <w:color w:val="000000"/>
        </w:rPr>
        <w:t xml:space="preserve">2017, </w:t>
      </w:r>
      <w:r w:rsidRPr="006B5465">
        <w:rPr>
          <w:color w:val="000000"/>
        </w:rPr>
        <w:t>2018</w:t>
      </w:r>
      <w:r w:rsidR="00342464">
        <w:rPr>
          <w:color w:val="000000"/>
        </w:rPr>
        <w:t>,</w:t>
      </w:r>
      <w:r w:rsidRPr="006B5465">
        <w:rPr>
          <w:color w:val="000000"/>
        </w:rPr>
        <w:t xml:space="preserve"> and 2019 Home Mortgage Disclosure Act</w:t>
      </w:r>
      <w:r w:rsidR="00342464">
        <w:rPr>
          <w:color w:val="000000"/>
        </w:rPr>
        <w:t xml:space="preserve"> (HMDA)</w:t>
      </w:r>
      <w:r w:rsidRPr="006B5465">
        <w:rPr>
          <w:color w:val="000000"/>
        </w:rPr>
        <w:t xml:space="preserve"> Loan Application Registers</w:t>
      </w:r>
      <w:r w:rsidR="00342464">
        <w:rPr>
          <w:color w:val="000000"/>
        </w:rPr>
        <w:t xml:space="preserve"> (LARs)</w:t>
      </w:r>
      <w:r w:rsidRPr="006B5465">
        <w:rPr>
          <w:color w:val="000000"/>
        </w:rPr>
        <w:t xml:space="preserve">.  </w:t>
      </w:r>
      <w:r w:rsidR="006B5465" w:rsidRPr="006B5465">
        <w:rPr>
          <w:color w:val="000000"/>
        </w:rPr>
        <w:t>The bank reported 504 loans totaling $514.2 million in 2017, 408</w:t>
      </w:r>
      <w:r w:rsidRPr="006B5465">
        <w:rPr>
          <w:color w:val="000000"/>
        </w:rPr>
        <w:t xml:space="preserve"> loans totaling $</w:t>
      </w:r>
      <w:r w:rsidR="006B5465" w:rsidRPr="006B5465">
        <w:rPr>
          <w:color w:val="000000"/>
        </w:rPr>
        <w:t>521.2</w:t>
      </w:r>
      <w:r w:rsidRPr="006B5465">
        <w:rPr>
          <w:color w:val="000000"/>
        </w:rPr>
        <w:t xml:space="preserve"> million in 201</w:t>
      </w:r>
      <w:r w:rsidR="006B5465" w:rsidRPr="006B5465">
        <w:rPr>
          <w:color w:val="000000"/>
        </w:rPr>
        <w:t>8</w:t>
      </w:r>
      <w:r w:rsidRPr="006B5465">
        <w:rPr>
          <w:color w:val="000000"/>
        </w:rPr>
        <w:t xml:space="preserve">, </w:t>
      </w:r>
      <w:r w:rsidR="006B5465" w:rsidRPr="006B5465">
        <w:rPr>
          <w:color w:val="000000"/>
        </w:rPr>
        <w:t>and 390</w:t>
      </w:r>
      <w:r w:rsidRPr="006B5465">
        <w:rPr>
          <w:color w:val="000000"/>
        </w:rPr>
        <w:t xml:space="preserve"> loans totaling $</w:t>
      </w:r>
      <w:r w:rsidR="006B5465" w:rsidRPr="006B5465">
        <w:rPr>
          <w:color w:val="000000"/>
        </w:rPr>
        <w:t>398.7</w:t>
      </w:r>
      <w:r w:rsidRPr="006B5465">
        <w:rPr>
          <w:color w:val="000000"/>
        </w:rPr>
        <w:t xml:space="preserve"> million</w:t>
      </w:r>
      <w:r w:rsidR="006B5465" w:rsidRPr="006B5465">
        <w:rPr>
          <w:color w:val="000000"/>
        </w:rPr>
        <w:t xml:space="preserve"> in 2019</w:t>
      </w:r>
      <w:r w:rsidRPr="006B5465">
        <w:rPr>
          <w:color w:val="000000"/>
        </w:rPr>
        <w:t xml:space="preserve">.  Examiners compared the bank’s 2018 </w:t>
      </w:r>
      <w:r w:rsidR="006B5465" w:rsidRPr="006B5465">
        <w:rPr>
          <w:color w:val="000000"/>
        </w:rPr>
        <w:t xml:space="preserve">and 2019 </w:t>
      </w:r>
      <w:r w:rsidRPr="006B5465">
        <w:rPr>
          <w:color w:val="000000"/>
        </w:rPr>
        <w:t>performance under the Geographic Distribution and Borrower Profile criteria to aggregate data.  Examiners also compared the bank’s 2018 and 2019 home mortgage performance to the 2015 American Community Survey (ACS) de</w:t>
      </w:r>
      <w:r w:rsidR="0010114F">
        <w:rPr>
          <w:color w:val="000000"/>
        </w:rPr>
        <w:t>mographic data</w:t>
      </w:r>
      <w:r w:rsidR="000401FB">
        <w:rPr>
          <w:color w:val="000000"/>
        </w:rPr>
        <w:t>.</w:t>
      </w:r>
      <w:r w:rsidR="0010114F">
        <w:rPr>
          <w:color w:val="000000"/>
        </w:rPr>
        <w:t xml:space="preserve"> </w:t>
      </w:r>
    </w:p>
    <w:p w14:paraId="68A8F91A" w14:textId="77777777" w:rsidR="00414AF3" w:rsidRPr="00CE24CA" w:rsidRDefault="00414AF3" w:rsidP="00414AF3">
      <w:pPr>
        <w:rPr>
          <w:color w:val="000000"/>
          <w:highlight w:val="yellow"/>
        </w:rPr>
      </w:pPr>
    </w:p>
    <w:p w14:paraId="35694824" w14:textId="1F04ABAE" w:rsidR="00414AF3" w:rsidRPr="0010114F" w:rsidRDefault="00414AF3" w:rsidP="00414AF3">
      <w:pPr>
        <w:rPr>
          <w:color w:val="000000"/>
        </w:rPr>
      </w:pPr>
      <w:r w:rsidRPr="0010114F">
        <w:rPr>
          <w:color w:val="000000"/>
        </w:rPr>
        <w:t xml:space="preserve">Examiners also considered all small business loans reported on the bank’s </w:t>
      </w:r>
      <w:r w:rsidR="0010114F" w:rsidRPr="0010114F">
        <w:rPr>
          <w:color w:val="000000"/>
        </w:rPr>
        <w:t xml:space="preserve">2017, </w:t>
      </w:r>
      <w:r w:rsidRPr="0010114F">
        <w:rPr>
          <w:color w:val="000000"/>
        </w:rPr>
        <w:t>2018</w:t>
      </w:r>
      <w:r w:rsidR="00F84495">
        <w:rPr>
          <w:color w:val="000000"/>
        </w:rPr>
        <w:t>,</w:t>
      </w:r>
      <w:r w:rsidRPr="0010114F">
        <w:rPr>
          <w:color w:val="000000"/>
        </w:rPr>
        <w:t xml:space="preserve"> and 2019 Community Reinvestment Act (CRA) Loan Registers.  </w:t>
      </w:r>
      <w:r w:rsidR="0010114F" w:rsidRPr="0010114F">
        <w:rPr>
          <w:color w:val="000000"/>
        </w:rPr>
        <w:t>The bank reported 103 loans totaling $38.5 million in 2017, 111 loans totaling $43.0 million in</w:t>
      </w:r>
      <w:r w:rsidR="0010114F" w:rsidRPr="006B5465">
        <w:rPr>
          <w:color w:val="000000"/>
        </w:rPr>
        <w:t xml:space="preserve"> 2018, and </w:t>
      </w:r>
      <w:r w:rsidR="0010114F">
        <w:rPr>
          <w:color w:val="000000"/>
        </w:rPr>
        <w:t>75</w:t>
      </w:r>
      <w:r w:rsidR="0010114F" w:rsidRPr="006B5465">
        <w:rPr>
          <w:color w:val="000000"/>
        </w:rPr>
        <w:t xml:space="preserve"> loans totaling $</w:t>
      </w:r>
      <w:r w:rsidR="0010114F">
        <w:rPr>
          <w:color w:val="000000"/>
        </w:rPr>
        <w:t>27.8</w:t>
      </w:r>
      <w:r w:rsidR="0010114F" w:rsidRPr="006B5465">
        <w:rPr>
          <w:color w:val="000000"/>
        </w:rPr>
        <w:t xml:space="preserve"> million in 2019.  </w:t>
      </w:r>
      <w:r w:rsidRPr="0010114F">
        <w:rPr>
          <w:color w:val="000000"/>
        </w:rPr>
        <w:t>Examiners compared the bank’s 2018 small business lending performance under the Geographic Distribution and Borrower Profile criteria to aggregate data.  Aggregate data is not yet available for 2019.  Examiners also compared 2018 and 2019 small business lending performance to</w:t>
      </w:r>
      <w:r w:rsidR="0010114F">
        <w:rPr>
          <w:color w:val="000000"/>
        </w:rPr>
        <w:t xml:space="preserve"> D&amp;B business demographic data</w:t>
      </w:r>
      <w:r w:rsidR="00594A18">
        <w:rPr>
          <w:color w:val="000000"/>
        </w:rPr>
        <w:t>.</w:t>
      </w:r>
      <w:r w:rsidR="0010114F">
        <w:rPr>
          <w:color w:val="000000"/>
        </w:rPr>
        <w:t xml:space="preserve"> </w:t>
      </w:r>
    </w:p>
    <w:p w14:paraId="230163EC" w14:textId="77777777" w:rsidR="00414AF3" w:rsidRDefault="00414AF3" w:rsidP="00414AF3">
      <w:pPr>
        <w:rPr>
          <w:color w:val="000000"/>
          <w:highlight w:val="yellow"/>
        </w:rPr>
      </w:pPr>
    </w:p>
    <w:p w14:paraId="07631C38" w14:textId="77777777" w:rsidR="001502F5" w:rsidRDefault="001502F5" w:rsidP="001502F5">
      <w:pPr>
        <w:rPr>
          <w:color w:val="000000"/>
        </w:rPr>
      </w:pPr>
      <w:r w:rsidRPr="00BD5190">
        <w:rPr>
          <w:color w:val="000000"/>
        </w:rPr>
        <w:t>Although examiners analyzed 2017 home mortgage and small business lending, 2017 lending was similar to 2018 and 2019 performance; therefore, examiners did not present 2017 performance under the Geographic Distribution and Borrower Profile criteria.</w:t>
      </w:r>
      <w:r>
        <w:rPr>
          <w:color w:val="000000"/>
        </w:rPr>
        <w:t xml:space="preserve">  </w:t>
      </w:r>
    </w:p>
    <w:p w14:paraId="003E4EC3" w14:textId="77777777" w:rsidR="001502F5" w:rsidRPr="00CE24CA" w:rsidRDefault="001502F5" w:rsidP="00414AF3">
      <w:pPr>
        <w:rPr>
          <w:color w:val="000000"/>
          <w:highlight w:val="yellow"/>
        </w:rPr>
      </w:pPr>
    </w:p>
    <w:p w14:paraId="71604E14" w14:textId="13C073FE" w:rsidR="00414AF3" w:rsidRPr="00E81C00" w:rsidRDefault="00414AF3" w:rsidP="00414AF3">
      <w:pPr>
        <w:rPr>
          <w:color w:val="000000"/>
        </w:rPr>
      </w:pPr>
      <w:r w:rsidRPr="00E81C00">
        <w:rPr>
          <w:color w:val="000000"/>
        </w:rPr>
        <w:t xml:space="preserve">For the Lending Test, examiners reviewed the number and dollar volume of loans.  </w:t>
      </w:r>
      <w:r w:rsidR="00594A18">
        <w:rPr>
          <w:color w:val="000000"/>
        </w:rPr>
        <w:t>Although number and dollar volume are presented, e</w:t>
      </w:r>
      <w:r w:rsidRPr="00E81C00">
        <w:rPr>
          <w:color w:val="000000"/>
        </w:rPr>
        <w:t xml:space="preserve">xaminers emphasized performance by number of </w:t>
      </w:r>
      <w:r w:rsidR="00CA1651" w:rsidRPr="00E81C00">
        <w:rPr>
          <w:color w:val="000000"/>
        </w:rPr>
        <w:t>loans</w:t>
      </w:r>
      <w:r w:rsidRPr="00E81C00">
        <w:rPr>
          <w:color w:val="000000"/>
        </w:rPr>
        <w:t xml:space="preserve"> as it is a better indicator of the number of businesses and individuals served.  </w:t>
      </w:r>
    </w:p>
    <w:p w14:paraId="16A03ACC" w14:textId="77777777" w:rsidR="00414AF3" w:rsidRPr="00E81C00" w:rsidRDefault="00414AF3" w:rsidP="00414AF3">
      <w:pPr>
        <w:rPr>
          <w:color w:val="000000"/>
        </w:rPr>
      </w:pPr>
    </w:p>
    <w:p w14:paraId="1BFC6AC5" w14:textId="77777777" w:rsidR="00414AF3" w:rsidRDefault="00414AF3" w:rsidP="00414AF3">
      <w:r w:rsidRPr="00E81C00">
        <w:rPr>
          <w:color w:val="000000"/>
        </w:rPr>
        <w:t xml:space="preserve">Examiners also reviewed community development loans, investments, and services, as well as innovative and/or flexible lending practices since the prior evaluation date of </w:t>
      </w:r>
      <w:r w:rsidR="00E81C00" w:rsidRPr="00E81C00">
        <w:rPr>
          <w:color w:val="000000"/>
        </w:rPr>
        <w:t>June 19</w:t>
      </w:r>
      <w:r w:rsidRPr="00E81C00">
        <w:rPr>
          <w:color w:val="000000"/>
        </w:rPr>
        <w:t>, 2017.</w:t>
      </w:r>
    </w:p>
    <w:p w14:paraId="3D98C60F" w14:textId="77777777" w:rsidR="00414AF3" w:rsidRPr="00414AF3" w:rsidRDefault="00414AF3" w:rsidP="00414AF3">
      <w:pPr>
        <w:tabs>
          <w:tab w:val="left" w:pos="1260"/>
        </w:tabs>
        <w:rPr>
          <w:b/>
          <w:bCs/>
          <w:iCs/>
          <w:u w:val="single"/>
        </w:rPr>
        <w:sectPr w:rsidR="00414AF3" w:rsidRPr="00414AF3" w:rsidSect="006362FE">
          <w:pgSz w:w="12240" w:h="15840"/>
          <w:pgMar w:top="1440" w:right="1440" w:bottom="1440" w:left="1440" w:header="720" w:footer="720" w:gutter="0"/>
          <w:cols w:space="720"/>
          <w:docGrid w:linePitch="360"/>
        </w:sectPr>
      </w:pPr>
    </w:p>
    <w:p w14:paraId="28F2F3A9" w14:textId="77777777" w:rsidR="007B2663" w:rsidRPr="00161EC6" w:rsidRDefault="007B2663" w:rsidP="001F64B6">
      <w:pPr>
        <w:pStyle w:val="QuickFormat1"/>
        <w:rPr>
          <w:b w:val="0"/>
          <w:bCs/>
          <w:sz w:val="24"/>
          <w:szCs w:val="24"/>
        </w:rPr>
      </w:pPr>
      <w:r w:rsidRPr="00161EC6">
        <w:rPr>
          <w:color w:val="auto"/>
          <w:sz w:val="28"/>
          <w:szCs w:val="28"/>
        </w:rPr>
        <w:lastRenderedPageBreak/>
        <w:t>DESCRIPTION OF INSTITUTION</w:t>
      </w:r>
    </w:p>
    <w:p w14:paraId="0B7A5571" w14:textId="77777777" w:rsidR="007B2663" w:rsidRPr="00161EC6" w:rsidRDefault="007B2663" w:rsidP="007B2663"/>
    <w:p w14:paraId="6F2C889E" w14:textId="77777777" w:rsidR="007B2663" w:rsidRPr="00AD3C42" w:rsidRDefault="007B2663" w:rsidP="007B2663">
      <w:pPr>
        <w:rPr>
          <w:b/>
          <w:bCs/>
          <w:iCs/>
          <w:color w:val="000000"/>
          <w:u w:val="single"/>
        </w:rPr>
      </w:pPr>
      <w:r w:rsidRPr="00AD3C42">
        <w:rPr>
          <w:b/>
          <w:bCs/>
          <w:iCs/>
          <w:color w:val="000000"/>
          <w:u w:val="single"/>
        </w:rPr>
        <w:t>Background</w:t>
      </w:r>
    </w:p>
    <w:p w14:paraId="1A821AEC" w14:textId="77777777" w:rsidR="007B2663" w:rsidRDefault="007B2663" w:rsidP="007B2663">
      <w:pPr>
        <w:rPr>
          <w:b/>
          <w:bCs/>
          <w:iCs/>
          <w:color w:val="000000"/>
          <w:u w:val="single"/>
        </w:rPr>
      </w:pPr>
    </w:p>
    <w:p w14:paraId="0C4F9D97" w14:textId="4F2D220E" w:rsidR="002178EE" w:rsidRDefault="00CE24CA" w:rsidP="00CE24CA">
      <w:pPr>
        <w:autoSpaceDE w:val="0"/>
        <w:autoSpaceDN w:val="0"/>
        <w:adjustRightInd w:val="0"/>
        <w:spacing w:after="200"/>
        <w:rPr>
          <w:rFonts w:eastAsia="Calibri"/>
        </w:rPr>
      </w:pPr>
      <w:r>
        <w:rPr>
          <w:rFonts w:eastAsia="Calibri"/>
        </w:rPr>
        <w:t>EBSB</w:t>
      </w:r>
      <w:r w:rsidRPr="00FD65FC">
        <w:rPr>
          <w:rFonts w:eastAsia="Calibri"/>
        </w:rPr>
        <w:t xml:space="preserve"> is a state chartered bank </w:t>
      </w:r>
      <w:r w:rsidR="00594A18">
        <w:rPr>
          <w:rFonts w:eastAsia="Calibri"/>
        </w:rPr>
        <w:t>that</w:t>
      </w:r>
      <w:r w:rsidR="00594A18" w:rsidRPr="00FD65FC">
        <w:rPr>
          <w:rFonts w:eastAsia="Calibri"/>
        </w:rPr>
        <w:t xml:space="preserve"> operates</w:t>
      </w:r>
      <w:r w:rsidR="002178EE" w:rsidRPr="00FD65FC">
        <w:rPr>
          <w:rFonts w:eastAsia="Calibri"/>
        </w:rPr>
        <w:t xml:space="preserve"> in </w:t>
      </w:r>
      <w:r w:rsidR="002178EE">
        <w:rPr>
          <w:rFonts w:eastAsia="Calibri"/>
        </w:rPr>
        <w:t xml:space="preserve">Suffolk, </w:t>
      </w:r>
      <w:r w:rsidR="002178EE" w:rsidRPr="00FD65FC">
        <w:rPr>
          <w:rFonts w:eastAsia="Calibri"/>
        </w:rPr>
        <w:t>Middlesex,</w:t>
      </w:r>
      <w:r w:rsidR="002178EE">
        <w:rPr>
          <w:rFonts w:eastAsia="Calibri"/>
        </w:rPr>
        <w:t xml:space="preserve"> Essex, and</w:t>
      </w:r>
      <w:r w:rsidR="002178EE" w:rsidRPr="00FD65FC">
        <w:rPr>
          <w:rFonts w:eastAsia="Calibri"/>
        </w:rPr>
        <w:t xml:space="preserve"> Norfolk</w:t>
      </w:r>
      <w:r w:rsidR="002178EE">
        <w:rPr>
          <w:rFonts w:eastAsia="Calibri"/>
        </w:rPr>
        <w:t xml:space="preserve"> counties in </w:t>
      </w:r>
      <w:r w:rsidR="00CA1651">
        <w:rPr>
          <w:rFonts w:eastAsia="Calibri"/>
        </w:rPr>
        <w:t>Massachusetts</w:t>
      </w:r>
      <w:r w:rsidR="002178EE">
        <w:rPr>
          <w:rFonts w:eastAsia="Calibri"/>
        </w:rPr>
        <w:t xml:space="preserve"> (MA).  </w:t>
      </w:r>
      <w:r w:rsidR="00594A18">
        <w:rPr>
          <w:rFonts w:eastAsia="Calibri"/>
        </w:rPr>
        <w:t xml:space="preserve">The bank’s </w:t>
      </w:r>
      <w:r>
        <w:rPr>
          <w:rFonts w:eastAsia="Calibri"/>
        </w:rPr>
        <w:t>main office is located</w:t>
      </w:r>
      <w:r w:rsidRPr="00FD65FC">
        <w:rPr>
          <w:rFonts w:eastAsia="Calibri"/>
        </w:rPr>
        <w:t xml:space="preserve"> </w:t>
      </w:r>
      <w:r w:rsidR="007926FD" w:rsidRPr="00FD65FC">
        <w:rPr>
          <w:rFonts w:eastAsia="Calibri"/>
        </w:rPr>
        <w:t xml:space="preserve">in </w:t>
      </w:r>
      <w:r w:rsidR="007926FD">
        <w:rPr>
          <w:rFonts w:eastAsia="Calibri"/>
        </w:rPr>
        <w:t>East</w:t>
      </w:r>
      <w:r w:rsidR="00594A18">
        <w:rPr>
          <w:rFonts w:eastAsia="Calibri"/>
        </w:rPr>
        <w:t xml:space="preserve"> </w:t>
      </w:r>
      <w:r>
        <w:rPr>
          <w:rFonts w:eastAsia="Calibri"/>
        </w:rPr>
        <w:t>Boston</w:t>
      </w:r>
      <w:r w:rsidRPr="00FD65FC">
        <w:rPr>
          <w:rFonts w:eastAsia="Calibri"/>
        </w:rPr>
        <w:t xml:space="preserve">, </w:t>
      </w:r>
      <w:r w:rsidR="002178EE">
        <w:rPr>
          <w:rFonts w:eastAsia="Calibri"/>
        </w:rPr>
        <w:t xml:space="preserve">MA while its </w:t>
      </w:r>
      <w:r w:rsidRPr="00CE24CA">
        <w:rPr>
          <w:rFonts w:eastAsia="Calibri"/>
        </w:rPr>
        <w:t>corporate offices are located in Peabody, M</w:t>
      </w:r>
      <w:r w:rsidR="008033CD">
        <w:rPr>
          <w:rFonts w:eastAsia="Calibri"/>
        </w:rPr>
        <w:t>A</w:t>
      </w:r>
      <w:r w:rsidRPr="00CE24CA">
        <w:rPr>
          <w:rFonts w:eastAsia="Calibri"/>
        </w:rPr>
        <w:t xml:space="preserve">.  </w:t>
      </w:r>
    </w:p>
    <w:p w14:paraId="655D52C4" w14:textId="10C98C2F" w:rsidR="00CE24CA" w:rsidRPr="00FD65FC" w:rsidRDefault="00CE24CA" w:rsidP="00F52874">
      <w:pPr>
        <w:autoSpaceDE w:val="0"/>
        <w:autoSpaceDN w:val="0"/>
        <w:adjustRightInd w:val="0"/>
        <w:spacing w:after="200"/>
        <w:rPr>
          <w:rFonts w:eastAsia="Calibri"/>
        </w:rPr>
      </w:pPr>
      <w:r w:rsidRPr="00CE24CA">
        <w:rPr>
          <w:rFonts w:eastAsia="Calibri"/>
        </w:rPr>
        <w:t>EBSB is a wholly owned subsi</w:t>
      </w:r>
      <w:r w:rsidR="002178EE">
        <w:rPr>
          <w:rFonts w:eastAsia="Calibri"/>
        </w:rPr>
        <w:t xml:space="preserve">diary of Meridian Bancorp, </w:t>
      </w:r>
      <w:r w:rsidR="00D915EB">
        <w:rPr>
          <w:rFonts w:eastAsia="Calibri"/>
        </w:rPr>
        <w:t>Inc.</w:t>
      </w:r>
      <w:r w:rsidR="007926FD">
        <w:rPr>
          <w:rFonts w:eastAsia="Calibri"/>
        </w:rPr>
        <w:t xml:space="preserve">  </w:t>
      </w:r>
      <w:r w:rsidR="00594A18">
        <w:rPr>
          <w:rFonts w:eastAsia="Calibri"/>
        </w:rPr>
        <w:t xml:space="preserve">The bank’s subsidiaries </w:t>
      </w:r>
      <w:r w:rsidR="00205CA0">
        <w:rPr>
          <w:rFonts w:eastAsia="Calibri"/>
        </w:rPr>
        <w:t>include Prospect</w:t>
      </w:r>
      <w:r w:rsidR="002178EE" w:rsidRPr="002178EE">
        <w:rPr>
          <w:rFonts w:eastAsia="Calibri"/>
        </w:rPr>
        <w:t>, Inc.</w:t>
      </w:r>
      <w:r w:rsidR="00594A18">
        <w:rPr>
          <w:rFonts w:eastAsia="Calibri"/>
        </w:rPr>
        <w:t>, which</w:t>
      </w:r>
      <w:r w:rsidR="002178EE">
        <w:rPr>
          <w:rFonts w:eastAsia="Calibri"/>
        </w:rPr>
        <w:t xml:space="preserve"> </w:t>
      </w:r>
      <w:r w:rsidR="002178EE" w:rsidRPr="002178EE">
        <w:rPr>
          <w:rFonts w:eastAsia="Calibri"/>
        </w:rPr>
        <w:t>engages in</w:t>
      </w:r>
      <w:r w:rsidR="002178EE">
        <w:rPr>
          <w:rFonts w:eastAsia="Calibri"/>
        </w:rPr>
        <w:t xml:space="preserve"> </w:t>
      </w:r>
      <w:r w:rsidR="002178EE" w:rsidRPr="002178EE">
        <w:rPr>
          <w:rFonts w:eastAsia="Calibri"/>
        </w:rPr>
        <w:t>securities transactions on its own behalf</w:t>
      </w:r>
      <w:r w:rsidR="002178EE">
        <w:rPr>
          <w:rFonts w:eastAsia="Calibri"/>
        </w:rPr>
        <w:t xml:space="preserve"> and</w:t>
      </w:r>
      <w:r w:rsidR="002178EE" w:rsidRPr="002178EE">
        <w:rPr>
          <w:rFonts w:eastAsia="Calibri"/>
        </w:rPr>
        <w:t xml:space="preserve"> EBOSCO, LLC</w:t>
      </w:r>
      <w:r w:rsidR="00594A18">
        <w:rPr>
          <w:rFonts w:eastAsia="Calibri"/>
        </w:rPr>
        <w:t>, which holds</w:t>
      </w:r>
      <w:r w:rsidR="002178EE" w:rsidRPr="002178EE">
        <w:rPr>
          <w:rFonts w:eastAsia="Calibri"/>
        </w:rPr>
        <w:t xml:space="preserve"> foreclosed real estate</w:t>
      </w:r>
      <w:r w:rsidR="007926FD">
        <w:rPr>
          <w:rFonts w:eastAsia="Calibri"/>
        </w:rPr>
        <w:t xml:space="preserve">.  </w:t>
      </w:r>
      <w:r w:rsidR="002178EE" w:rsidRPr="002178EE">
        <w:rPr>
          <w:rFonts w:eastAsia="Calibri"/>
        </w:rPr>
        <w:t>East Boston</w:t>
      </w:r>
      <w:r w:rsidR="002178EE">
        <w:rPr>
          <w:rFonts w:eastAsia="Calibri"/>
        </w:rPr>
        <w:t xml:space="preserve"> </w:t>
      </w:r>
      <w:r w:rsidR="002178EE" w:rsidRPr="002178EE">
        <w:rPr>
          <w:rFonts w:eastAsia="Calibri"/>
        </w:rPr>
        <w:t>Investment Services, Inc.</w:t>
      </w:r>
      <w:r w:rsidR="00205CA0">
        <w:rPr>
          <w:rFonts w:eastAsia="Calibri"/>
        </w:rPr>
        <w:t>, used for</w:t>
      </w:r>
      <w:r w:rsidR="002178EE">
        <w:rPr>
          <w:rFonts w:eastAsia="Calibri"/>
        </w:rPr>
        <w:t xml:space="preserve"> </w:t>
      </w:r>
      <w:r w:rsidR="002178EE" w:rsidRPr="002178EE">
        <w:rPr>
          <w:rFonts w:eastAsia="Calibri"/>
        </w:rPr>
        <w:t>authorized third-party investment sales and</w:t>
      </w:r>
      <w:r w:rsidR="002178EE">
        <w:rPr>
          <w:rFonts w:eastAsia="Calibri"/>
        </w:rPr>
        <w:t xml:space="preserve"> </w:t>
      </w:r>
      <w:r w:rsidR="002178EE" w:rsidRPr="002178EE">
        <w:rPr>
          <w:rFonts w:eastAsia="Calibri"/>
        </w:rPr>
        <w:t>Investment in Affordable Home Ownership, LLC</w:t>
      </w:r>
      <w:r w:rsidR="00205CA0">
        <w:rPr>
          <w:rFonts w:eastAsia="Calibri"/>
        </w:rPr>
        <w:t>,</w:t>
      </w:r>
      <w:r w:rsidR="002178EE" w:rsidRPr="002178EE">
        <w:rPr>
          <w:rFonts w:eastAsia="Calibri"/>
        </w:rPr>
        <w:t xml:space="preserve"> authorized to form partnerships with agencies to</w:t>
      </w:r>
      <w:r w:rsidR="002178EE">
        <w:rPr>
          <w:rFonts w:eastAsia="Calibri"/>
        </w:rPr>
        <w:t xml:space="preserve"> </w:t>
      </w:r>
      <w:r w:rsidR="002178EE" w:rsidRPr="002178EE">
        <w:rPr>
          <w:rFonts w:eastAsia="Calibri"/>
        </w:rPr>
        <w:t xml:space="preserve">develop </w:t>
      </w:r>
      <w:r w:rsidR="00205CA0">
        <w:rPr>
          <w:rFonts w:eastAsia="Calibri"/>
        </w:rPr>
        <w:t>affordable housing projects, are currently inactive</w:t>
      </w:r>
      <w:r w:rsidR="005306E9">
        <w:rPr>
          <w:rFonts w:eastAsia="Calibri"/>
        </w:rPr>
        <w:t xml:space="preserve">.  </w:t>
      </w:r>
    </w:p>
    <w:p w14:paraId="483D09C9" w14:textId="77777777" w:rsidR="00CE24CA" w:rsidRPr="00FD65FC" w:rsidRDefault="00CE24CA" w:rsidP="00CE24CA">
      <w:pPr>
        <w:autoSpaceDE w:val="0"/>
        <w:autoSpaceDN w:val="0"/>
        <w:adjustRightInd w:val="0"/>
        <w:spacing w:after="200"/>
        <w:rPr>
          <w:rFonts w:eastAsia="Calibri"/>
          <w:b/>
          <w:bCs/>
          <w:u w:val="single"/>
        </w:rPr>
      </w:pPr>
      <w:r w:rsidRPr="00FD65FC">
        <w:rPr>
          <w:rFonts w:eastAsia="Calibri"/>
        </w:rPr>
        <w:t xml:space="preserve">The institution received a “Satisfactory” rating from the Division and FDIC during its prior joint evaluation dated </w:t>
      </w:r>
      <w:r w:rsidR="00935CCB">
        <w:rPr>
          <w:rFonts w:eastAsia="Calibri"/>
        </w:rPr>
        <w:t>June 19</w:t>
      </w:r>
      <w:r w:rsidRPr="00FD65FC">
        <w:rPr>
          <w:rFonts w:eastAsia="Calibri"/>
        </w:rPr>
        <w:t>, 2017, based on Interagency Large Institution Examination Procedures.</w:t>
      </w:r>
    </w:p>
    <w:p w14:paraId="68AD4307" w14:textId="77777777" w:rsidR="007B2663" w:rsidRPr="00AD3C42" w:rsidRDefault="007B2663" w:rsidP="007B2663">
      <w:pPr>
        <w:pStyle w:val="QuickFormat1"/>
        <w:jc w:val="left"/>
        <w:rPr>
          <w:iCs/>
          <w:sz w:val="24"/>
          <w:szCs w:val="24"/>
          <w:u w:val="single"/>
          <w:lang w:val="en-US"/>
        </w:rPr>
      </w:pPr>
      <w:r w:rsidRPr="00AD3C42">
        <w:rPr>
          <w:iCs/>
          <w:sz w:val="24"/>
          <w:szCs w:val="24"/>
          <w:u w:val="single"/>
        </w:rPr>
        <w:t>Operations</w:t>
      </w:r>
    </w:p>
    <w:p w14:paraId="59F149AB" w14:textId="77777777" w:rsidR="007B2663" w:rsidRDefault="007B2663" w:rsidP="007B2663">
      <w:pPr>
        <w:pStyle w:val="QuickFormat1"/>
        <w:jc w:val="left"/>
        <w:rPr>
          <w:iCs/>
          <w:sz w:val="24"/>
          <w:szCs w:val="24"/>
          <w:u w:val="single"/>
          <w:lang w:val="en-US"/>
        </w:rPr>
      </w:pPr>
    </w:p>
    <w:p w14:paraId="18A41511" w14:textId="605479B0" w:rsidR="005306E9" w:rsidRDefault="008033CD" w:rsidP="008A0CF5">
      <w:pPr>
        <w:pStyle w:val="ng-scope"/>
        <w:spacing w:before="0" w:beforeAutospacing="0" w:after="0" w:afterAutospacing="0"/>
        <w:rPr>
          <w:color w:val="000003"/>
        </w:rPr>
      </w:pPr>
      <w:r>
        <w:rPr>
          <w:rFonts w:eastAsia="Calibri"/>
        </w:rPr>
        <w:t>EBSB</w:t>
      </w:r>
      <w:r w:rsidR="005306E9">
        <w:rPr>
          <w:rFonts w:eastAsia="Calibri"/>
        </w:rPr>
        <w:t xml:space="preserve"> operates </w:t>
      </w:r>
      <w:r w:rsidR="00205CA0">
        <w:rPr>
          <w:rFonts w:eastAsia="Calibri"/>
        </w:rPr>
        <w:t xml:space="preserve">42 </w:t>
      </w:r>
      <w:r w:rsidR="005306E9">
        <w:rPr>
          <w:rFonts w:eastAsia="Calibri"/>
        </w:rPr>
        <w:t>full-</w:t>
      </w:r>
      <w:r w:rsidR="005306E9" w:rsidRPr="00FD65FC">
        <w:rPr>
          <w:rFonts w:eastAsia="Calibri"/>
        </w:rPr>
        <w:t xml:space="preserve">service branches throughout </w:t>
      </w:r>
      <w:r w:rsidR="005306E9">
        <w:rPr>
          <w:rFonts w:eastAsia="Calibri"/>
        </w:rPr>
        <w:t>eastern MA.  In December 2017, EBSB acquired</w:t>
      </w:r>
      <w:r w:rsidR="00C12580">
        <w:rPr>
          <w:rFonts w:eastAsia="Calibri"/>
        </w:rPr>
        <w:t xml:space="preserve"> </w:t>
      </w:r>
      <w:r w:rsidR="00B0577F">
        <w:rPr>
          <w:rFonts w:eastAsia="Calibri"/>
        </w:rPr>
        <w:t>two</w:t>
      </w:r>
      <w:r w:rsidR="00C12580">
        <w:rPr>
          <w:rFonts w:eastAsia="Calibri"/>
        </w:rPr>
        <w:t xml:space="preserve"> branches through </w:t>
      </w:r>
      <w:r w:rsidR="001E6ED5">
        <w:rPr>
          <w:rFonts w:eastAsia="Calibri"/>
        </w:rPr>
        <w:t xml:space="preserve">the </w:t>
      </w:r>
      <w:r w:rsidR="00C12580">
        <w:rPr>
          <w:rFonts w:eastAsia="Calibri"/>
        </w:rPr>
        <w:t xml:space="preserve">acquisition of </w:t>
      </w:r>
      <w:r w:rsidR="005306E9">
        <w:rPr>
          <w:rFonts w:eastAsia="Calibri"/>
        </w:rPr>
        <w:t>Meetinghouse Bank in Dorchester, MA</w:t>
      </w:r>
      <w:r w:rsidR="00C12580">
        <w:rPr>
          <w:rFonts w:eastAsia="Calibri"/>
        </w:rPr>
        <w:t>.</w:t>
      </w:r>
      <w:r w:rsidR="007042BE">
        <w:rPr>
          <w:rFonts w:eastAsia="Calibri"/>
        </w:rPr>
        <w:t xml:space="preserve">  EBSB </w:t>
      </w:r>
      <w:r w:rsidR="005306E9">
        <w:rPr>
          <w:rFonts w:eastAsia="Calibri"/>
        </w:rPr>
        <w:t xml:space="preserve">opened </w:t>
      </w:r>
      <w:r w:rsidR="007042BE">
        <w:rPr>
          <w:rFonts w:eastAsia="Calibri"/>
        </w:rPr>
        <w:t>nine additional branches</w:t>
      </w:r>
      <w:r>
        <w:rPr>
          <w:rFonts w:eastAsia="Calibri"/>
        </w:rPr>
        <w:t xml:space="preserve"> since the prior evaluation.  All new branches are in MA, in the cities of </w:t>
      </w:r>
      <w:r w:rsidR="007042BE">
        <w:rPr>
          <w:rFonts w:eastAsia="Calibri"/>
        </w:rPr>
        <w:t xml:space="preserve">Brookline, Woburn, Salem, Brighton </w:t>
      </w:r>
      <w:r w:rsidR="005306E9">
        <w:rPr>
          <w:rFonts w:eastAsia="Calibri"/>
        </w:rPr>
        <w:t>(</w:t>
      </w:r>
      <w:r w:rsidR="007042BE">
        <w:rPr>
          <w:rFonts w:eastAsia="Calibri"/>
        </w:rPr>
        <w:t>2), Cambridge</w:t>
      </w:r>
      <w:r w:rsidR="005306E9">
        <w:rPr>
          <w:rFonts w:eastAsia="Calibri"/>
        </w:rPr>
        <w:t xml:space="preserve">, </w:t>
      </w:r>
      <w:r w:rsidR="007042BE">
        <w:rPr>
          <w:rFonts w:eastAsia="Calibri"/>
        </w:rPr>
        <w:t>Lynnfield, Burlington, and Boston</w:t>
      </w:r>
      <w:r>
        <w:rPr>
          <w:rFonts w:eastAsia="Calibri"/>
        </w:rPr>
        <w:t xml:space="preserve">.  </w:t>
      </w:r>
      <w:r w:rsidR="000E4FF1" w:rsidRPr="000E4FF1">
        <w:rPr>
          <w:iCs/>
        </w:rPr>
        <w:t>The bank</w:t>
      </w:r>
      <w:r w:rsidR="000E4FF1">
        <w:rPr>
          <w:iCs/>
        </w:rPr>
        <w:t xml:space="preserve"> also</w:t>
      </w:r>
      <w:r w:rsidR="000E4FF1" w:rsidRPr="000E4FF1">
        <w:rPr>
          <w:iCs/>
        </w:rPr>
        <w:t xml:space="preserve"> operates a full-service mobile branch that operates throughout </w:t>
      </w:r>
      <w:r w:rsidR="00202CAE">
        <w:rPr>
          <w:iCs/>
        </w:rPr>
        <w:t>its assessment area</w:t>
      </w:r>
      <w:r w:rsidR="000E4FF1" w:rsidRPr="00CD6EF5">
        <w:rPr>
          <w:iCs/>
        </w:rPr>
        <w:t>.  The mobile branch serves the elderly and other populations that have limited mobility or means to visit the branches.</w:t>
      </w:r>
      <w:r w:rsidR="00205CA0">
        <w:rPr>
          <w:iCs/>
        </w:rPr>
        <w:t xml:space="preserve">  </w:t>
      </w:r>
      <w:r w:rsidR="00205CA0">
        <w:rPr>
          <w:rFonts w:eastAsia="Calibri"/>
        </w:rPr>
        <w:t>EBSB</w:t>
      </w:r>
      <w:r w:rsidR="00205CA0" w:rsidRPr="003F163D">
        <w:rPr>
          <w:iCs/>
        </w:rPr>
        <w:t xml:space="preserve"> offers </w:t>
      </w:r>
      <w:r w:rsidR="00205CA0">
        <w:rPr>
          <w:iCs/>
        </w:rPr>
        <w:t>five</w:t>
      </w:r>
      <w:r w:rsidR="00205CA0" w:rsidRPr="003F163D">
        <w:rPr>
          <w:iCs/>
        </w:rPr>
        <w:t xml:space="preserve"> stand-alone automated teller machines (ATMs) in Dorchester, Malden, Medford, Saugus, and Winthrop</w:t>
      </w:r>
      <w:r w:rsidR="00205CA0">
        <w:rPr>
          <w:iCs/>
        </w:rPr>
        <w:t xml:space="preserve">.  </w:t>
      </w:r>
      <w:r w:rsidR="00205CA0">
        <w:rPr>
          <w:rFonts w:eastAsia="Calibri"/>
        </w:rPr>
        <w:t>The b</w:t>
      </w:r>
      <w:r w:rsidR="00205CA0" w:rsidRPr="00FD65FC">
        <w:rPr>
          <w:rFonts w:eastAsia="Calibri"/>
        </w:rPr>
        <w:t xml:space="preserve">ank </w:t>
      </w:r>
      <w:r w:rsidR="00205CA0">
        <w:rPr>
          <w:rFonts w:eastAsia="Calibri"/>
        </w:rPr>
        <w:t>did not close any branches during the evaluation period.</w:t>
      </w:r>
    </w:p>
    <w:p w14:paraId="69C8EEE3" w14:textId="77777777" w:rsidR="005306E9" w:rsidRPr="00950851" w:rsidRDefault="005306E9" w:rsidP="005306E9">
      <w:pPr>
        <w:pStyle w:val="ng-scope"/>
        <w:shd w:val="clear" w:color="auto" w:fill="FEFEFE"/>
        <w:spacing w:before="0" w:beforeAutospacing="0" w:after="0" w:afterAutospacing="0"/>
        <w:rPr>
          <w:color w:val="000000"/>
        </w:rPr>
      </w:pPr>
    </w:p>
    <w:p w14:paraId="5C815FC4" w14:textId="629B7F84" w:rsidR="00606E23" w:rsidRPr="00CD02F1" w:rsidRDefault="00606E23" w:rsidP="00606E23">
      <w:pPr>
        <w:pStyle w:val="QuickFormat1"/>
        <w:jc w:val="left"/>
        <w:rPr>
          <w:b w:val="0"/>
          <w:iCs/>
          <w:sz w:val="24"/>
          <w:szCs w:val="24"/>
          <w:lang w:val="en-US"/>
        </w:rPr>
      </w:pPr>
      <w:r>
        <w:rPr>
          <w:b w:val="0"/>
          <w:iCs/>
          <w:sz w:val="24"/>
          <w:szCs w:val="24"/>
          <w:lang w:val="en-US"/>
        </w:rPr>
        <w:t>EBSB emphasizes commercial banking</w:t>
      </w:r>
      <w:r w:rsidR="001E6ED5">
        <w:rPr>
          <w:b w:val="0"/>
          <w:iCs/>
          <w:sz w:val="24"/>
          <w:szCs w:val="24"/>
          <w:lang w:val="en-US"/>
        </w:rPr>
        <w:t>,</w:t>
      </w:r>
      <w:r>
        <w:rPr>
          <w:b w:val="0"/>
          <w:iCs/>
          <w:sz w:val="24"/>
          <w:szCs w:val="24"/>
          <w:lang w:val="en-US"/>
        </w:rPr>
        <w:t xml:space="preserve"> but offers vari</w:t>
      </w:r>
      <w:r w:rsidR="007727B2">
        <w:rPr>
          <w:b w:val="0"/>
          <w:iCs/>
          <w:sz w:val="24"/>
          <w:szCs w:val="24"/>
          <w:lang w:val="en-US"/>
        </w:rPr>
        <w:t>ous</w:t>
      </w:r>
      <w:r>
        <w:rPr>
          <w:b w:val="0"/>
          <w:iCs/>
          <w:sz w:val="24"/>
          <w:szCs w:val="24"/>
          <w:lang w:val="en-US"/>
        </w:rPr>
        <w:t xml:space="preserve"> products and services that se</w:t>
      </w:r>
      <w:r w:rsidR="00C57208">
        <w:rPr>
          <w:b w:val="0"/>
          <w:iCs/>
          <w:sz w:val="24"/>
          <w:szCs w:val="24"/>
          <w:lang w:val="en-US"/>
        </w:rPr>
        <w:t>rve businesses as well as consumer</w:t>
      </w:r>
      <w:r>
        <w:rPr>
          <w:b w:val="0"/>
          <w:iCs/>
          <w:sz w:val="24"/>
          <w:szCs w:val="24"/>
          <w:lang w:val="en-US"/>
        </w:rPr>
        <w:t xml:space="preserve">s.  Business lending includes commercial real estate loans, construction loans, </w:t>
      </w:r>
      <w:r w:rsidR="00B203AE">
        <w:rPr>
          <w:b w:val="0"/>
          <w:iCs/>
          <w:sz w:val="24"/>
          <w:szCs w:val="24"/>
          <w:lang w:val="en-US"/>
        </w:rPr>
        <w:t xml:space="preserve">commercial term loans, commercial lines of credit, </w:t>
      </w:r>
      <w:r>
        <w:rPr>
          <w:b w:val="0"/>
          <w:iCs/>
          <w:sz w:val="24"/>
          <w:szCs w:val="24"/>
          <w:lang w:val="en-US"/>
        </w:rPr>
        <w:t xml:space="preserve">and </w:t>
      </w:r>
      <w:r w:rsidR="00B203AE">
        <w:rPr>
          <w:b w:val="0"/>
          <w:iCs/>
          <w:sz w:val="24"/>
          <w:szCs w:val="24"/>
          <w:lang w:val="en-US"/>
        </w:rPr>
        <w:t>institutional banking.  Co</w:t>
      </w:r>
      <w:r w:rsidR="00E456D0">
        <w:rPr>
          <w:b w:val="0"/>
          <w:iCs/>
          <w:sz w:val="24"/>
          <w:szCs w:val="24"/>
          <w:lang w:val="en-US"/>
        </w:rPr>
        <w:t>nsumer lending products include</w:t>
      </w:r>
      <w:r w:rsidR="00B203AE">
        <w:rPr>
          <w:b w:val="0"/>
          <w:iCs/>
          <w:sz w:val="24"/>
          <w:szCs w:val="24"/>
          <w:lang w:val="en-US"/>
        </w:rPr>
        <w:t xml:space="preserve"> home mortgage loans, home equity lines of credit, auto</w:t>
      </w:r>
      <w:r w:rsidR="001E6ED5">
        <w:rPr>
          <w:b w:val="0"/>
          <w:iCs/>
          <w:sz w:val="24"/>
          <w:szCs w:val="24"/>
          <w:lang w:val="en-US"/>
        </w:rPr>
        <w:t>mobile</w:t>
      </w:r>
      <w:r w:rsidR="00B203AE">
        <w:rPr>
          <w:b w:val="0"/>
          <w:iCs/>
          <w:sz w:val="24"/>
          <w:szCs w:val="24"/>
          <w:lang w:val="en-US"/>
        </w:rPr>
        <w:t xml:space="preserve"> loans, and credit builder installment loans.  </w:t>
      </w:r>
      <w:r>
        <w:rPr>
          <w:b w:val="0"/>
          <w:iCs/>
          <w:sz w:val="24"/>
          <w:szCs w:val="24"/>
          <w:lang w:val="en-US"/>
        </w:rPr>
        <w:t>Consumer deposit services include various</w:t>
      </w:r>
      <w:r w:rsidRPr="005F1721">
        <w:rPr>
          <w:rFonts w:eastAsia="Calibri"/>
          <w:b w:val="0"/>
          <w:sz w:val="24"/>
          <w:szCs w:val="24"/>
        </w:rPr>
        <w:t xml:space="preserve"> checking, savings, money market deposit accounts, certificates of deposit, and individual retirement account savings</w:t>
      </w:r>
      <w:r>
        <w:rPr>
          <w:rFonts w:eastAsia="Calibri"/>
          <w:b w:val="0"/>
          <w:sz w:val="24"/>
          <w:szCs w:val="24"/>
          <w:lang w:val="en-US"/>
        </w:rPr>
        <w:t xml:space="preserve">.  The bank also offers insurance </w:t>
      </w:r>
      <w:r w:rsidR="00B203AE">
        <w:rPr>
          <w:rFonts w:eastAsia="Calibri"/>
          <w:b w:val="0"/>
          <w:sz w:val="24"/>
          <w:szCs w:val="24"/>
          <w:lang w:val="en-US"/>
        </w:rPr>
        <w:t xml:space="preserve">sales through a partnership with </w:t>
      </w:r>
      <w:r w:rsidR="00B203AE" w:rsidRPr="00B203AE">
        <w:rPr>
          <w:rFonts w:eastAsia="Calibri"/>
          <w:b w:val="0"/>
          <w:sz w:val="24"/>
          <w:szCs w:val="24"/>
          <w:lang w:val="en-US"/>
        </w:rPr>
        <w:t>Starkweather &amp; Shepley Insurance Brokerage Inc.</w:t>
      </w:r>
      <w:r w:rsidR="00B203AE">
        <w:rPr>
          <w:rFonts w:eastAsia="Calibri"/>
          <w:b w:val="0"/>
          <w:sz w:val="24"/>
          <w:szCs w:val="24"/>
          <w:lang w:val="en-US"/>
        </w:rPr>
        <w:t xml:space="preserve">  </w:t>
      </w:r>
      <w:r>
        <w:rPr>
          <w:rFonts w:eastAsia="Calibri"/>
          <w:b w:val="0"/>
          <w:sz w:val="24"/>
          <w:szCs w:val="24"/>
          <w:lang w:val="en-US"/>
        </w:rPr>
        <w:t xml:space="preserve">Alternative banking services include </w:t>
      </w:r>
      <w:r w:rsidR="00B203AE">
        <w:rPr>
          <w:rFonts w:eastAsia="Calibri"/>
          <w:b w:val="0"/>
          <w:sz w:val="24"/>
          <w:szCs w:val="24"/>
          <w:lang w:val="en-US"/>
        </w:rPr>
        <w:t xml:space="preserve">personal </w:t>
      </w:r>
      <w:r>
        <w:rPr>
          <w:rFonts w:eastAsia="Calibri"/>
          <w:b w:val="0"/>
          <w:sz w:val="24"/>
          <w:szCs w:val="24"/>
          <w:lang w:val="en-US"/>
        </w:rPr>
        <w:t>online</w:t>
      </w:r>
      <w:r w:rsidR="00B203AE">
        <w:rPr>
          <w:rFonts w:eastAsia="Calibri"/>
          <w:b w:val="0"/>
          <w:sz w:val="24"/>
          <w:szCs w:val="24"/>
          <w:lang w:val="en-US"/>
        </w:rPr>
        <w:t xml:space="preserve"> and mobile</w:t>
      </w:r>
      <w:r>
        <w:rPr>
          <w:rFonts w:eastAsia="Calibri"/>
          <w:b w:val="0"/>
          <w:sz w:val="24"/>
          <w:szCs w:val="24"/>
          <w:lang w:val="en-US"/>
        </w:rPr>
        <w:t xml:space="preserve"> </w:t>
      </w:r>
      <w:r w:rsidR="00B203AE">
        <w:rPr>
          <w:rFonts w:eastAsia="Calibri"/>
          <w:b w:val="0"/>
          <w:sz w:val="24"/>
          <w:szCs w:val="24"/>
          <w:lang w:val="en-US"/>
        </w:rPr>
        <w:t xml:space="preserve">banking, </w:t>
      </w:r>
      <w:r w:rsidRPr="00B97EF2">
        <w:rPr>
          <w:rFonts w:eastAsia="Calibri"/>
          <w:b w:val="0"/>
          <w:sz w:val="24"/>
          <w:szCs w:val="24"/>
        </w:rPr>
        <w:t>mobile banking deposit,</w:t>
      </w:r>
      <w:r w:rsidR="00ED7E1D">
        <w:rPr>
          <w:rFonts w:eastAsia="Calibri"/>
          <w:b w:val="0"/>
          <w:sz w:val="24"/>
          <w:szCs w:val="24"/>
          <w:lang w:val="en-US"/>
        </w:rPr>
        <w:t xml:space="preserve"> </w:t>
      </w:r>
      <w:r w:rsidR="00EE552A">
        <w:rPr>
          <w:rFonts w:eastAsia="Calibri"/>
          <w:b w:val="0"/>
          <w:sz w:val="24"/>
          <w:szCs w:val="24"/>
          <w:lang w:val="en-US"/>
        </w:rPr>
        <w:t>peer-to-peer</w:t>
      </w:r>
      <w:r w:rsidR="00ED7E1D">
        <w:rPr>
          <w:rFonts w:eastAsia="Calibri"/>
          <w:b w:val="0"/>
          <w:sz w:val="24"/>
          <w:szCs w:val="24"/>
          <w:lang w:val="en-US"/>
        </w:rPr>
        <w:t xml:space="preserve"> payment service, and</w:t>
      </w:r>
      <w:r w:rsidR="00B203AE">
        <w:rPr>
          <w:rFonts w:eastAsia="Calibri"/>
          <w:b w:val="0"/>
          <w:sz w:val="24"/>
          <w:szCs w:val="24"/>
          <w:lang w:val="en-US"/>
        </w:rPr>
        <w:t xml:space="preserve"> </w:t>
      </w:r>
      <w:r w:rsidRPr="00B97EF2">
        <w:rPr>
          <w:rFonts w:eastAsia="Calibri"/>
          <w:b w:val="0"/>
          <w:sz w:val="24"/>
          <w:szCs w:val="24"/>
        </w:rPr>
        <w:t xml:space="preserve">business online </w:t>
      </w:r>
      <w:r w:rsidR="00B203AE">
        <w:rPr>
          <w:rFonts w:eastAsia="Calibri"/>
          <w:b w:val="0"/>
          <w:sz w:val="24"/>
          <w:szCs w:val="24"/>
          <w:lang w:val="en-US"/>
        </w:rPr>
        <w:t>and mobile</w:t>
      </w:r>
      <w:r w:rsidR="00ED7E1D">
        <w:rPr>
          <w:rFonts w:eastAsia="Calibri"/>
          <w:b w:val="0"/>
          <w:sz w:val="24"/>
          <w:szCs w:val="24"/>
          <w:lang w:val="en-US"/>
        </w:rPr>
        <w:t xml:space="preserve"> banking</w:t>
      </w:r>
      <w:r w:rsidR="00B203AE">
        <w:rPr>
          <w:rFonts w:eastAsia="Calibri"/>
          <w:b w:val="0"/>
          <w:sz w:val="24"/>
          <w:szCs w:val="24"/>
          <w:lang w:val="en-US"/>
        </w:rPr>
        <w:t xml:space="preserve">.  </w:t>
      </w:r>
    </w:p>
    <w:p w14:paraId="6A43D238" w14:textId="77777777" w:rsidR="007B2663" w:rsidRPr="00AD3C42" w:rsidRDefault="007B2663" w:rsidP="007B2663">
      <w:pPr>
        <w:pStyle w:val="QuickFormat1"/>
        <w:jc w:val="left"/>
        <w:rPr>
          <w:b w:val="0"/>
          <w:bCs/>
          <w:sz w:val="24"/>
          <w:szCs w:val="24"/>
          <w:u w:val="single"/>
        </w:rPr>
      </w:pPr>
    </w:p>
    <w:p w14:paraId="46E49D63" w14:textId="77777777" w:rsidR="007B2663" w:rsidRPr="00AD3C42" w:rsidRDefault="007B2663" w:rsidP="007B2663">
      <w:pPr>
        <w:pStyle w:val="QuickFormat1"/>
        <w:jc w:val="left"/>
        <w:rPr>
          <w:iCs/>
          <w:sz w:val="24"/>
          <w:szCs w:val="24"/>
          <w:u w:val="single"/>
          <w:lang w:val="en-US"/>
        </w:rPr>
      </w:pPr>
      <w:r w:rsidRPr="00AD3C42">
        <w:rPr>
          <w:iCs/>
          <w:sz w:val="24"/>
          <w:szCs w:val="24"/>
          <w:u w:val="single"/>
        </w:rPr>
        <w:t>Ability and Capacity</w:t>
      </w:r>
    </w:p>
    <w:p w14:paraId="4B76C025" w14:textId="77777777" w:rsidR="007B2663" w:rsidRDefault="007B2663" w:rsidP="007B2663">
      <w:pPr>
        <w:tabs>
          <w:tab w:val="left" w:pos="720"/>
          <w:tab w:val="left" w:pos="1440"/>
          <w:tab w:val="left" w:pos="2160"/>
          <w:tab w:val="left" w:pos="2880"/>
          <w:tab w:val="left" w:pos="3600"/>
          <w:tab w:val="left" w:pos="5328"/>
          <w:tab w:val="left" w:pos="11520"/>
        </w:tabs>
        <w:rPr>
          <w:b/>
          <w:bCs/>
          <w:spacing w:val="-3"/>
          <w:sz w:val="28"/>
          <w:szCs w:val="28"/>
        </w:rPr>
      </w:pPr>
    </w:p>
    <w:p w14:paraId="25B63BD6" w14:textId="77777777" w:rsidR="00ED7E1D" w:rsidRPr="00ED7E1D" w:rsidRDefault="00ED7E1D" w:rsidP="00ED7E1D">
      <w:pPr>
        <w:tabs>
          <w:tab w:val="left" w:pos="720"/>
          <w:tab w:val="left" w:pos="1440"/>
          <w:tab w:val="left" w:pos="2160"/>
          <w:tab w:val="left" w:pos="2880"/>
          <w:tab w:val="left" w:pos="3600"/>
          <w:tab w:val="left" w:pos="5328"/>
          <w:tab w:val="left" w:pos="11520"/>
        </w:tabs>
        <w:rPr>
          <w:rFonts w:eastAsia="Calibri"/>
          <w:snapToGrid w:val="0"/>
          <w:color w:val="000000"/>
          <w:lang w:eastAsia="x-none"/>
        </w:rPr>
      </w:pPr>
      <w:r w:rsidRPr="00ED7E1D">
        <w:rPr>
          <w:rFonts w:eastAsia="Calibri"/>
          <w:snapToGrid w:val="0"/>
          <w:color w:val="000000"/>
          <w:lang w:eastAsia="x-none"/>
        </w:rPr>
        <w:t xml:space="preserve">As of </w:t>
      </w:r>
      <w:r>
        <w:rPr>
          <w:rFonts w:eastAsia="Calibri"/>
          <w:snapToGrid w:val="0"/>
          <w:color w:val="000000"/>
          <w:lang w:eastAsia="x-none"/>
        </w:rPr>
        <w:t>September 30, 2020</w:t>
      </w:r>
      <w:r w:rsidRPr="00ED7E1D">
        <w:rPr>
          <w:rFonts w:eastAsia="Calibri"/>
          <w:snapToGrid w:val="0"/>
          <w:color w:val="000000"/>
          <w:lang w:eastAsia="x-none"/>
        </w:rPr>
        <w:t>, the bank had total assets of $</w:t>
      </w:r>
      <w:r>
        <w:rPr>
          <w:rFonts w:eastAsia="Calibri"/>
          <w:snapToGrid w:val="0"/>
          <w:color w:val="000000"/>
          <w:lang w:eastAsia="x-none"/>
        </w:rPr>
        <w:t>6.6</w:t>
      </w:r>
      <w:r w:rsidRPr="00ED7E1D">
        <w:rPr>
          <w:rFonts w:eastAsia="Calibri"/>
          <w:snapToGrid w:val="0"/>
          <w:color w:val="000000"/>
          <w:lang w:eastAsia="x-none"/>
        </w:rPr>
        <w:t xml:space="preserve"> billion, which included total loans of $</w:t>
      </w:r>
      <w:r>
        <w:rPr>
          <w:rFonts w:eastAsia="Calibri"/>
          <w:snapToGrid w:val="0"/>
          <w:color w:val="000000"/>
          <w:lang w:eastAsia="x-none"/>
        </w:rPr>
        <w:t>5.7</w:t>
      </w:r>
      <w:r w:rsidRPr="00ED7E1D">
        <w:rPr>
          <w:rFonts w:eastAsia="Calibri"/>
          <w:snapToGrid w:val="0"/>
          <w:color w:val="000000"/>
          <w:lang w:eastAsia="x-none"/>
        </w:rPr>
        <w:t xml:space="preserve"> billion </w:t>
      </w:r>
      <w:r>
        <w:rPr>
          <w:rFonts w:eastAsia="Calibri"/>
          <w:snapToGrid w:val="0"/>
          <w:color w:val="000000"/>
          <w:lang w:eastAsia="x-none"/>
        </w:rPr>
        <w:t xml:space="preserve">and total securities of $12.2 million.  </w:t>
      </w:r>
      <w:r w:rsidR="007C13D3">
        <w:rPr>
          <w:rFonts w:eastAsia="Calibri"/>
          <w:snapToGrid w:val="0"/>
          <w:color w:val="000000"/>
          <w:lang w:eastAsia="x-none"/>
        </w:rPr>
        <w:t xml:space="preserve">Due to the Meetinghouse Bank acquisition, assets increased 39.8 percent from $4.6 billion at the last evaluation to their current level.  </w:t>
      </w:r>
      <w:r w:rsidRPr="00ED7E1D">
        <w:rPr>
          <w:rFonts w:eastAsia="Calibri"/>
          <w:snapToGrid w:val="0"/>
          <w:color w:val="000000"/>
          <w:lang w:eastAsia="x-none"/>
        </w:rPr>
        <w:t xml:space="preserve">The following table illustrates the loan portfolio.  </w:t>
      </w:r>
    </w:p>
    <w:p w14:paraId="4CE07B7F" w14:textId="77777777" w:rsidR="00B236ED" w:rsidRDefault="00B236ED" w:rsidP="007B2663">
      <w:pPr>
        <w:tabs>
          <w:tab w:val="left" w:pos="1260"/>
        </w:tabs>
        <w:rPr>
          <w:b/>
          <w:bCs/>
          <w:spacing w:val="-4"/>
          <w:sz w:val="28"/>
          <w:szCs w:val="28"/>
        </w:rPr>
      </w:pP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890"/>
        <w:gridCol w:w="1738"/>
      </w:tblGrid>
      <w:tr w:rsidR="00A61A49" w:rsidRPr="004F627A" w14:paraId="0B25F08D" w14:textId="77777777" w:rsidTr="00A61A49">
        <w:trPr>
          <w:trHeight w:val="360"/>
          <w:tblHeader/>
          <w:jc w:val="center"/>
        </w:trPr>
        <w:tc>
          <w:tcPr>
            <w:tcW w:w="8668" w:type="dxa"/>
            <w:gridSpan w:val="3"/>
            <w:shd w:val="clear" w:color="auto" w:fill="auto"/>
            <w:vAlign w:val="center"/>
          </w:tcPr>
          <w:p w14:paraId="5AEE830A" w14:textId="77777777" w:rsidR="001223E8" w:rsidRPr="004F627A" w:rsidRDefault="001223E8" w:rsidP="00A61A49">
            <w:pPr>
              <w:keepNext/>
              <w:widowControl w:val="0"/>
              <w:spacing w:line="276" w:lineRule="auto"/>
              <w:jc w:val="center"/>
              <w:rPr>
                <w:b/>
                <w:sz w:val="20"/>
                <w:szCs w:val="20"/>
              </w:rPr>
            </w:pPr>
            <w:r w:rsidRPr="004F627A">
              <w:rPr>
                <w:sz w:val="20"/>
                <w:szCs w:val="20"/>
              </w:rPr>
              <w:lastRenderedPageBreak/>
              <w:br w:type="page"/>
            </w:r>
            <w:r w:rsidRPr="004F627A">
              <w:rPr>
                <w:sz w:val="20"/>
                <w:szCs w:val="20"/>
              </w:rPr>
              <w:br w:type="page"/>
            </w:r>
            <w:r w:rsidRPr="004F627A">
              <w:rPr>
                <w:sz w:val="20"/>
                <w:szCs w:val="20"/>
              </w:rPr>
              <w:br w:type="page"/>
            </w:r>
            <w:r w:rsidRPr="004F627A">
              <w:rPr>
                <w:b/>
                <w:sz w:val="20"/>
                <w:szCs w:val="20"/>
              </w:rPr>
              <w:br w:type="page"/>
              <w:t xml:space="preserve">Loan Portfolio Distribution as of </w:t>
            </w:r>
            <w:r w:rsidRPr="00A61A49">
              <w:rPr>
                <w:b/>
                <w:sz w:val="20"/>
                <w:szCs w:val="20"/>
              </w:rPr>
              <w:t>09</w:t>
            </w:r>
            <w:r w:rsidRPr="004F627A">
              <w:rPr>
                <w:b/>
                <w:sz w:val="20"/>
                <w:szCs w:val="20"/>
              </w:rPr>
              <w:t>/</w:t>
            </w:r>
            <w:r w:rsidRPr="00A61A49">
              <w:rPr>
                <w:b/>
                <w:sz w:val="20"/>
                <w:szCs w:val="20"/>
              </w:rPr>
              <w:t>30</w:t>
            </w:r>
            <w:r w:rsidRPr="004F627A">
              <w:rPr>
                <w:b/>
                <w:sz w:val="20"/>
                <w:szCs w:val="20"/>
              </w:rPr>
              <w:t>/</w:t>
            </w:r>
            <w:r w:rsidRPr="00A61A49">
              <w:rPr>
                <w:b/>
                <w:sz w:val="20"/>
                <w:szCs w:val="20"/>
              </w:rPr>
              <w:t>2020</w:t>
            </w:r>
          </w:p>
        </w:tc>
      </w:tr>
      <w:tr w:rsidR="00A61A49" w:rsidRPr="004F627A" w14:paraId="284F27DB" w14:textId="77777777" w:rsidTr="00A61A49">
        <w:trPr>
          <w:trHeight w:val="288"/>
          <w:jc w:val="center"/>
        </w:trPr>
        <w:tc>
          <w:tcPr>
            <w:tcW w:w="5040" w:type="dxa"/>
            <w:shd w:val="clear" w:color="auto" w:fill="auto"/>
            <w:vAlign w:val="center"/>
          </w:tcPr>
          <w:p w14:paraId="498A0380" w14:textId="77777777" w:rsidR="001223E8" w:rsidRPr="004F627A" w:rsidRDefault="001223E8" w:rsidP="00A61A49">
            <w:pPr>
              <w:keepNext/>
              <w:widowControl w:val="0"/>
              <w:rPr>
                <w:b/>
                <w:sz w:val="20"/>
                <w:szCs w:val="22"/>
              </w:rPr>
            </w:pPr>
            <w:r w:rsidRPr="004F627A">
              <w:rPr>
                <w:b/>
                <w:sz w:val="20"/>
                <w:szCs w:val="22"/>
              </w:rPr>
              <w:t>Loan Category</w:t>
            </w:r>
          </w:p>
        </w:tc>
        <w:tc>
          <w:tcPr>
            <w:tcW w:w="1890" w:type="dxa"/>
            <w:shd w:val="clear" w:color="auto" w:fill="auto"/>
            <w:vAlign w:val="center"/>
          </w:tcPr>
          <w:p w14:paraId="4EB51AC5" w14:textId="77777777" w:rsidR="001223E8" w:rsidRPr="004F627A" w:rsidRDefault="001223E8" w:rsidP="00A61A49">
            <w:pPr>
              <w:keepNext/>
              <w:widowControl w:val="0"/>
              <w:jc w:val="center"/>
              <w:rPr>
                <w:b/>
                <w:sz w:val="20"/>
                <w:szCs w:val="22"/>
              </w:rPr>
            </w:pPr>
            <w:r w:rsidRPr="004F627A">
              <w:rPr>
                <w:b/>
                <w:sz w:val="20"/>
                <w:szCs w:val="22"/>
              </w:rPr>
              <w:t>$(000s)</w:t>
            </w:r>
          </w:p>
        </w:tc>
        <w:tc>
          <w:tcPr>
            <w:tcW w:w="1738" w:type="dxa"/>
            <w:shd w:val="clear" w:color="auto" w:fill="auto"/>
            <w:vAlign w:val="center"/>
          </w:tcPr>
          <w:p w14:paraId="14D0C62B" w14:textId="77777777" w:rsidR="001223E8" w:rsidRPr="004F627A" w:rsidRDefault="001223E8" w:rsidP="00A61A49">
            <w:pPr>
              <w:keepNext/>
              <w:widowControl w:val="0"/>
              <w:jc w:val="center"/>
              <w:rPr>
                <w:b/>
                <w:sz w:val="20"/>
                <w:szCs w:val="22"/>
              </w:rPr>
            </w:pPr>
            <w:r w:rsidRPr="004F627A">
              <w:rPr>
                <w:b/>
                <w:sz w:val="20"/>
                <w:szCs w:val="22"/>
              </w:rPr>
              <w:t>%</w:t>
            </w:r>
          </w:p>
        </w:tc>
      </w:tr>
      <w:tr w:rsidR="00A61A49" w:rsidRPr="004F627A" w14:paraId="4D40BE23" w14:textId="77777777" w:rsidTr="00A61A49">
        <w:trPr>
          <w:trHeight w:val="288"/>
          <w:jc w:val="center"/>
        </w:trPr>
        <w:tc>
          <w:tcPr>
            <w:tcW w:w="5040" w:type="dxa"/>
            <w:shd w:val="clear" w:color="auto" w:fill="auto"/>
            <w:vAlign w:val="center"/>
          </w:tcPr>
          <w:p w14:paraId="7FB8B3ED" w14:textId="77777777" w:rsidR="001223E8" w:rsidRPr="004F627A" w:rsidRDefault="001223E8" w:rsidP="00A61A49">
            <w:pPr>
              <w:keepNext/>
              <w:widowControl w:val="0"/>
              <w:rPr>
                <w:sz w:val="20"/>
                <w:szCs w:val="22"/>
              </w:rPr>
            </w:pPr>
            <w:r w:rsidRPr="004F627A">
              <w:rPr>
                <w:sz w:val="20"/>
                <w:szCs w:val="22"/>
              </w:rPr>
              <w:t>Construction, Land Development, and Other Land Loans</w:t>
            </w:r>
          </w:p>
        </w:tc>
        <w:tc>
          <w:tcPr>
            <w:tcW w:w="1890" w:type="dxa"/>
            <w:shd w:val="clear" w:color="auto" w:fill="auto"/>
            <w:vAlign w:val="center"/>
          </w:tcPr>
          <w:p w14:paraId="6BDB9437" w14:textId="77777777" w:rsidR="001223E8" w:rsidRPr="004F627A" w:rsidRDefault="00982DB3" w:rsidP="00A61A49">
            <w:pPr>
              <w:keepNext/>
              <w:widowControl w:val="0"/>
              <w:jc w:val="center"/>
              <w:rPr>
                <w:sz w:val="20"/>
                <w:szCs w:val="22"/>
              </w:rPr>
            </w:pPr>
            <w:r>
              <w:rPr>
                <w:sz w:val="20"/>
                <w:szCs w:val="22"/>
              </w:rPr>
              <w:t>758,439</w:t>
            </w:r>
          </w:p>
        </w:tc>
        <w:tc>
          <w:tcPr>
            <w:tcW w:w="1738" w:type="dxa"/>
            <w:shd w:val="clear" w:color="auto" w:fill="auto"/>
            <w:vAlign w:val="center"/>
          </w:tcPr>
          <w:p w14:paraId="61D1EB67" w14:textId="77777777" w:rsidR="001223E8" w:rsidRPr="004F627A" w:rsidRDefault="001223E8" w:rsidP="00A61A49">
            <w:pPr>
              <w:keepNext/>
              <w:widowControl w:val="0"/>
              <w:jc w:val="center"/>
              <w:rPr>
                <w:sz w:val="20"/>
                <w:szCs w:val="22"/>
              </w:rPr>
            </w:pPr>
            <w:r w:rsidRPr="00A61A49">
              <w:rPr>
                <w:sz w:val="20"/>
                <w:szCs w:val="22"/>
              </w:rPr>
              <w:t>13.2</w:t>
            </w:r>
          </w:p>
        </w:tc>
      </w:tr>
      <w:tr w:rsidR="00A61A49" w:rsidRPr="004F627A" w14:paraId="1E85E254" w14:textId="77777777" w:rsidTr="00A61A49">
        <w:trPr>
          <w:trHeight w:val="288"/>
          <w:jc w:val="center"/>
        </w:trPr>
        <w:tc>
          <w:tcPr>
            <w:tcW w:w="5040" w:type="dxa"/>
            <w:shd w:val="clear" w:color="auto" w:fill="auto"/>
            <w:vAlign w:val="center"/>
          </w:tcPr>
          <w:p w14:paraId="47CB17E3" w14:textId="77777777" w:rsidR="001223E8" w:rsidRPr="004F627A" w:rsidRDefault="001223E8" w:rsidP="00A61A49">
            <w:pPr>
              <w:keepNext/>
              <w:widowControl w:val="0"/>
              <w:rPr>
                <w:sz w:val="20"/>
                <w:szCs w:val="22"/>
              </w:rPr>
            </w:pPr>
            <w:r w:rsidRPr="004F627A">
              <w:rPr>
                <w:sz w:val="20"/>
                <w:szCs w:val="22"/>
              </w:rPr>
              <w:t>Secured by Farmland</w:t>
            </w:r>
          </w:p>
        </w:tc>
        <w:tc>
          <w:tcPr>
            <w:tcW w:w="1890" w:type="dxa"/>
            <w:shd w:val="clear" w:color="auto" w:fill="auto"/>
            <w:vAlign w:val="center"/>
          </w:tcPr>
          <w:p w14:paraId="55602AC4" w14:textId="77777777" w:rsidR="001223E8" w:rsidRPr="004F627A" w:rsidRDefault="00202CAE" w:rsidP="00A61A49">
            <w:pPr>
              <w:keepNext/>
              <w:widowControl w:val="0"/>
              <w:jc w:val="center"/>
              <w:rPr>
                <w:sz w:val="20"/>
                <w:szCs w:val="22"/>
              </w:rPr>
            </w:pPr>
            <w:r>
              <w:rPr>
                <w:sz w:val="20"/>
                <w:szCs w:val="22"/>
              </w:rPr>
              <w:t>0</w:t>
            </w:r>
          </w:p>
        </w:tc>
        <w:tc>
          <w:tcPr>
            <w:tcW w:w="1738" w:type="dxa"/>
            <w:shd w:val="clear" w:color="auto" w:fill="auto"/>
            <w:vAlign w:val="center"/>
          </w:tcPr>
          <w:p w14:paraId="65559018" w14:textId="77777777" w:rsidR="001223E8" w:rsidRPr="004F627A" w:rsidRDefault="00202CAE" w:rsidP="00202CAE">
            <w:pPr>
              <w:keepNext/>
              <w:widowControl w:val="0"/>
              <w:jc w:val="center"/>
              <w:rPr>
                <w:sz w:val="20"/>
                <w:szCs w:val="22"/>
              </w:rPr>
            </w:pPr>
            <w:r>
              <w:rPr>
                <w:sz w:val="20"/>
                <w:szCs w:val="22"/>
              </w:rPr>
              <w:t>0.0</w:t>
            </w:r>
          </w:p>
        </w:tc>
      </w:tr>
      <w:tr w:rsidR="00A61A49" w:rsidRPr="004F627A" w14:paraId="589462E6" w14:textId="77777777" w:rsidTr="00A61A49">
        <w:trPr>
          <w:trHeight w:val="288"/>
          <w:jc w:val="center"/>
        </w:trPr>
        <w:tc>
          <w:tcPr>
            <w:tcW w:w="5040" w:type="dxa"/>
            <w:shd w:val="clear" w:color="auto" w:fill="auto"/>
            <w:vAlign w:val="center"/>
          </w:tcPr>
          <w:p w14:paraId="114882CA" w14:textId="77777777" w:rsidR="001223E8" w:rsidRPr="004F627A" w:rsidRDefault="001223E8" w:rsidP="00A61A49">
            <w:pPr>
              <w:keepNext/>
              <w:widowControl w:val="0"/>
              <w:rPr>
                <w:sz w:val="20"/>
                <w:szCs w:val="22"/>
              </w:rPr>
            </w:pPr>
            <w:r w:rsidRPr="004F627A">
              <w:rPr>
                <w:sz w:val="20"/>
                <w:szCs w:val="22"/>
              </w:rPr>
              <w:t>Secured by 1-4 Family Residential Properties</w:t>
            </w:r>
          </w:p>
        </w:tc>
        <w:tc>
          <w:tcPr>
            <w:tcW w:w="1890" w:type="dxa"/>
            <w:shd w:val="clear" w:color="auto" w:fill="auto"/>
            <w:vAlign w:val="center"/>
          </w:tcPr>
          <w:p w14:paraId="25CE43CB" w14:textId="77777777" w:rsidR="001223E8" w:rsidRPr="004F627A" w:rsidRDefault="00982DB3" w:rsidP="00A61A49">
            <w:pPr>
              <w:keepNext/>
              <w:widowControl w:val="0"/>
              <w:jc w:val="center"/>
              <w:rPr>
                <w:sz w:val="20"/>
                <w:szCs w:val="22"/>
              </w:rPr>
            </w:pPr>
            <w:r>
              <w:rPr>
                <w:sz w:val="20"/>
                <w:szCs w:val="22"/>
              </w:rPr>
              <w:t>714,749</w:t>
            </w:r>
          </w:p>
        </w:tc>
        <w:tc>
          <w:tcPr>
            <w:tcW w:w="1738" w:type="dxa"/>
            <w:shd w:val="clear" w:color="auto" w:fill="auto"/>
            <w:vAlign w:val="center"/>
          </w:tcPr>
          <w:p w14:paraId="750B965D" w14:textId="77777777" w:rsidR="001223E8" w:rsidRPr="004F627A" w:rsidRDefault="001223E8" w:rsidP="00A61A49">
            <w:pPr>
              <w:keepNext/>
              <w:widowControl w:val="0"/>
              <w:jc w:val="center"/>
              <w:rPr>
                <w:sz w:val="20"/>
                <w:szCs w:val="22"/>
              </w:rPr>
            </w:pPr>
            <w:r w:rsidRPr="00A61A49">
              <w:rPr>
                <w:sz w:val="20"/>
                <w:szCs w:val="22"/>
              </w:rPr>
              <w:t>12.5</w:t>
            </w:r>
          </w:p>
        </w:tc>
      </w:tr>
      <w:tr w:rsidR="00A61A49" w:rsidRPr="004F627A" w14:paraId="4E32B2D7" w14:textId="77777777" w:rsidTr="00A61A49">
        <w:trPr>
          <w:trHeight w:val="288"/>
          <w:jc w:val="center"/>
        </w:trPr>
        <w:tc>
          <w:tcPr>
            <w:tcW w:w="5040" w:type="dxa"/>
            <w:shd w:val="clear" w:color="auto" w:fill="auto"/>
            <w:vAlign w:val="center"/>
          </w:tcPr>
          <w:p w14:paraId="4FA2E7CC" w14:textId="77777777" w:rsidR="001223E8" w:rsidRPr="004F627A" w:rsidRDefault="001223E8" w:rsidP="00A61A49">
            <w:pPr>
              <w:keepNext/>
              <w:widowControl w:val="0"/>
              <w:rPr>
                <w:sz w:val="20"/>
                <w:szCs w:val="22"/>
              </w:rPr>
            </w:pPr>
            <w:r w:rsidRPr="004F627A">
              <w:rPr>
                <w:sz w:val="20"/>
                <w:szCs w:val="22"/>
              </w:rPr>
              <w:t>Secured by Multifamily (5 or more) Residential Properties</w:t>
            </w:r>
          </w:p>
        </w:tc>
        <w:tc>
          <w:tcPr>
            <w:tcW w:w="1890" w:type="dxa"/>
            <w:shd w:val="clear" w:color="auto" w:fill="auto"/>
            <w:vAlign w:val="center"/>
          </w:tcPr>
          <w:p w14:paraId="37A35992" w14:textId="77777777" w:rsidR="001223E8" w:rsidRPr="004F627A" w:rsidRDefault="00982DB3" w:rsidP="00A61A49">
            <w:pPr>
              <w:keepNext/>
              <w:widowControl w:val="0"/>
              <w:jc w:val="center"/>
              <w:rPr>
                <w:sz w:val="20"/>
                <w:szCs w:val="22"/>
              </w:rPr>
            </w:pPr>
            <w:r>
              <w:rPr>
                <w:sz w:val="20"/>
                <w:szCs w:val="22"/>
              </w:rPr>
              <w:t>941,922</w:t>
            </w:r>
          </w:p>
        </w:tc>
        <w:tc>
          <w:tcPr>
            <w:tcW w:w="1738" w:type="dxa"/>
            <w:shd w:val="clear" w:color="auto" w:fill="auto"/>
            <w:vAlign w:val="center"/>
          </w:tcPr>
          <w:p w14:paraId="10B0156D" w14:textId="77777777" w:rsidR="001223E8" w:rsidRPr="004F627A" w:rsidRDefault="001223E8" w:rsidP="00A61A49">
            <w:pPr>
              <w:keepNext/>
              <w:widowControl w:val="0"/>
              <w:jc w:val="center"/>
              <w:rPr>
                <w:sz w:val="20"/>
                <w:szCs w:val="22"/>
              </w:rPr>
            </w:pPr>
            <w:r w:rsidRPr="00A61A49">
              <w:rPr>
                <w:sz w:val="20"/>
                <w:szCs w:val="22"/>
              </w:rPr>
              <w:t>16.5</w:t>
            </w:r>
          </w:p>
        </w:tc>
      </w:tr>
      <w:tr w:rsidR="00A61A49" w:rsidRPr="004F627A" w14:paraId="75813B61" w14:textId="77777777" w:rsidTr="00A61A49">
        <w:trPr>
          <w:trHeight w:val="288"/>
          <w:jc w:val="center"/>
        </w:trPr>
        <w:tc>
          <w:tcPr>
            <w:tcW w:w="5040" w:type="dxa"/>
            <w:shd w:val="clear" w:color="auto" w:fill="auto"/>
            <w:vAlign w:val="center"/>
          </w:tcPr>
          <w:p w14:paraId="0A03BD72" w14:textId="77777777" w:rsidR="001223E8" w:rsidRPr="004F627A" w:rsidRDefault="001223E8" w:rsidP="00A61A49">
            <w:pPr>
              <w:keepNext/>
              <w:widowControl w:val="0"/>
              <w:rPr>
                <w:sz w:val="20"/>
                <w:szCs w:val="22"/>
              </w:rPr>
            </w:pPr>
            <w:r w:rsidRPr="004F627A">
              <w:rPr>
                <w:sz w:val="20"/>
                <w:szCs w:val="22"/>
              </w:rPr>
              <w:t>Secured by Nonfarm Nonresidential Properties</w:t>
            </w:r>
          </w:p>
        </w:tc>
        <w:tc>
          <w:tcPr>
            <w:tcW w:w="1890" w:type="dxa"/>
            <w:shd w:val="clear" w:color="auto" w:fill="auto"/>
            <w:vAlign w:val="center"/>
          </w:tcPr>
          <w:p w14:paraId="4C878200" w14:textId="77777777" w:rsidR="001223E8" w:rsidRPr="004F627A" w:rsidRDefault="00982DB3" w:rsidP="00A61A49">
            <w:pPr>
              <w:keepNext/>
              <w:widowControl w:val="0"/>
              <w:jc w:val="center"/>
              <w:rPr>
                <w:sz w:val="20"/>
                <w:szCs w:val="22"/>
              </w:rPr>
            </w:pPr>
            <w:r>
              <w:rPr>
                <w:sz w:val="20"/>
                <w:szCs w:val="22"/>
              </w:rPr>
              <w:t>2,733,</w:t>
            </w:r>
            <w:r w:rsidR="001223E8" w:rsidRPr="00A61A49">
              <w:rPr>
                <w:sz w:val="20"/>
                <w:szCs w:val="22"/>
              </w:rPr>
              <w:t>2</w:t>
            </w:r>
            <w:r>
              <w:rPr>
                <w:sz w:val="20"/>
                <w:szCs w:val="22"/>
              </w:rPr>
              <w:t>12</w:t>
            </w:r>
          </w:p>
        </w:tc>
        <w:tc>
          <w:tcPr>
            <w:tcW w:w="1738" w:type="dxa"/>
            <w:shd w:val="clear" w:color="auto" w:fill="auto"/>
            <w:vAlign w:val="center"/>
          </w:tcPr>
          <w:p w14:paraId="05930DB3" w14:textId="77777777" w:rsidR="001223E8" w:rsidRPr="004F627A" w:rsidRDefault="001223E8" w:rsidP="00A61A49">
            <w:pPr>
              <w:keepNext/>
              <w:widowControl w:val="0"/>
              <w:jc w:val="center"/>
              <w:rPr>
                <w:sz w:val="20"/>
                <w:szCs w:val="22"/>
              </w:rPr>
            </w:pPr>
            <w:r w:rsidRPr="00A61A49">
              <w:rPr>
                <w:sz w:val="20"/>
                <w:szCs w:val="22"/>
              </w:rPr>
              <w:t>47.8</w:t>
            </w:r>
          </w:p>
        </w:tc>
      </w:tr>
      <w:tr w:rsidR="00A61A49" w:rsidRPr="004F627A" w14:paraId="59C1127B" w14:textId="77777777" w:rsidTr="00A61A49">
        <w:trPr>
          <w:trHeight w:val="288"/>
          <w:jc w:val="center"/>
        </w:trPr>
        <w:tc>
          <w:tcPr>
            <w:tcW w:w="5040" w:type="dxa"/>
            <w:shd w:val="clear" w:color="auto" w:fill="auto"/>
            <w:vAlign w:val="center"/>
          </w:tcPr>
          <w:p w14:paraId="79CFF0A5" w14:textId="77777777" w:rsidR="001223E8" w:rsidRPr="004F627A" w:rsidRDefault="001223E8" w:rsidP="00A61A49">
            <w:pPr>
              <w:keepNext/>
              <w:widowControl w:val="0"/>
              <w:rPr>
                <w:b/>
                <w:sz w:val="20"/>
                <w:szCs w:val="22"/>
              </w:rPr>
            </w:pPr>
            <w:r w:rsidRPr="004F627A">
              <w:rPr>
                <w:b/>
                <w:sz w:val="20"/>
                <w:szCs w:val="22"/>
              </w:rPr>
              <w:t>Total Real Estate Loans</w:t>
            </w:r>
          </w:p>
        </w:tc>
        <w:tc>
          <w:tcPr>
            <w:tcW w:w="1890" w:type="dxa"/>
            <w:shd w:val="clear" w:color="auto" w:fill="auto"/>
            <w:vAlign w:val="center"/>
          </w:tcPr>
          <w:p w14:paraId="394FE640" w14:textId="77777777" w:rsidR="001223E8" w:rsidRPr="004F627A" w:rsidRDefault="00982DB3" w:rsidP="00A61A49">
            <w:pPr>
              <w:keepNext/>
              <w:widowControl w:val="0"/>
              <w:jc w:val="center"/>
              <w:rPr>
                <w:b/>
                <w:sz w:val="20"/>
                <w:szCs w:val="22"/>
              </w:rPr>
            </w:pPr>
            <w:r>
              <w:rPr>
                <w:b/>
                <w:sz w:val="20"/>
                <w:szCs w:val="22"/>
              </w:rPr>
              <w:t>5,148,322</w:t>
            </w:r>
          </w:p>
        </w:tc>
        <w:tc>
          <w:tcPr>
            <w:tcW w:w="1738" w:type="dxa"/>
            <w:shd w:val="clear" w:color="auto" w:fill="auto"/>
            <w:vAlign w:val="center"/>
          </w:tcPr>
          <w:p w14:paraId="4940E5EA" w14:textId="77777777" w:rsidR="001223E8" w:rsidRPr="004F627A" w:rsidRDefault="001223E8" w:rsidP="00A61A49">
            <w:pPr>
              <w:keepNext/>
              <w:widowControl w:val="0"/>
              <w:jc w:val="center"/>
              <w:rPr>
                <w:b/>
                <w:sz w:val="20"/>
                <w:szCs w:val="22"/>
              </w:rPr>
            </w:pPr>
            <w:r w:rsidRPr="00A61A49">
              <w:rPr>
                <w:b/>
                <w:sz w:val="20"/>
                <w:szCs w:val="22"/>
              </w:rPr>
              <w:t>90.0</w:t>
            </w:r>
          </w:p>
        </w:tc>
      </w:tr>
      <w:tr w:rsidR="00A61A49" w:rsidRPr="004F627A" w14:paraId="1C4730BC" w14:textId="77777777" w:rsidTr="00A61A49">
        <w:trPr>
          <w:trHeight w:val="288"/>
          <w:jc w:val="center"/>
        </w:trPr>
        <w:tc>
          <w:tcPr>
            <w:tcW w:w="5040" w:type="dxa"/>
            <w:shd w:val="clear" w:color="auto" w:fill="auto"/>
            <w:vAlign w:val="center"/>
          </w:tcPr>
          <w:p w14:paraId="5EEED5AB" w14:textId="77777777" w:rsidR="001223E8" w:rsidRPr="004F627A" w:rsidRDefault="001223E8" w:rsidP="00A61A49">
            <w:pPr>
              <w:keepNext/>
              <w:widowControl w:val="0"/>
              <w:rPr>
                <w:sz w:val="20"/>
                <w:szCs w:val="22"/>
              </w:rPr>
            </w:pPr>
            <w:r w:rsidRPr="004F627A">
              <w:rPr>
                <w:sz w:val="20"/>
                <w:szCs w:val="22"/>
              </w:rPr>
              <w:t>Commercial and Industrial Loans</w:t>
            </w:r>
          </w:p>
        </w:tc>
        <w:tc>
          <w:tcPr>
            <w:tcW w:w="1890" w:type="dxa"/>
            <w:shd w:val="clear" w:color="auto" w:fill="auto"/>
            <w:vAlign w:val="center"/>
          </w:tcPr>
          <w:p w14:paraId="0B87EAEC" w14:textId="77777777" w:rsidR="001223E8" w:rsidRPr="004F627A" w:rsidRDefault="00982DB3" w:rsidP="00A61A49">
            <w:pPr>
              <w:keepNext/>
              <w:widowControl w:val="0"/>
              <w:jc w:val="center"/>
              <w:rPr>
                <w:sz w:val="20"/>
                <w:szCs w:val="22"/>
              </w:rPr>
            </w:pPr>
            <w:r>
              <w:rPr>
                <w:sz w:val="20"/>
                <w:szCs w:val="22"/>
              </w:rPr>
              <w:t>200,648</w:t>
            </w:r>
          </w:p>
        </w:tc>
        <w:tc>
          <w:tcPr>
            <w:tcW w:w="1738" w:type="dxa"/>
            <w:shd w:val="clear" w:color="auto" w:fill="auto"/>
            <w:vAlign w:val="center"/>
          </w:tcPr>
          <w:p w14:paraId="784C257D" w14:textId="77777777" w:rsidR="001223E8" w:rsidRPr="004F627A" w:rsidRDefault="001223E8" w:rsidP="00A61A49">
            <w:pPr>
              <w:keepNext/>
              <w:widowControl w:val="0"/>
              <w:jc w:val="center"/>
              <w:rPr>
                <w:sz w:val="20"/>
                <w:szCs w:val="22"/>
              </w:rPr>
            </w:pPr>
            <w:r w:rsidRPr="00A61A49">
              <w:rPr>
                <w:sz w:val="20"/>
                <w:szCs w:val="22"/>
              </w:rPr>
              <w:t>3.5</w:t>
            </w:r>
          </w:p>
        </w:tc>
      </w:tr>
      <w:tr w:rsidR="00A61A49" w:rsidRPr="004F627A" w14:paraId="66AF8B50" w14:textId="77777777" w:rsidTr="00A61A49">
        <w:trPr>
          <w:trHeight w:val="288"/>
          <w:jc w:val="center"/>
        </w:trPr>
        <w:tc>
          <w:tcPr>
            <w:tcW w:w="5040" w:type="dxa"/>
            <w:shd w:val="clear" w:color="auto" w:fill="auto"/>
            <w:vAlign w:val="center"/>
          </w:tcPr>
          <w:p w14:paraId="72256DBE" w14:textId="77777777" w:rsidR="001223E8" w:rsidRPr="004F627A" w:rsidRDefault="001223E8" w:rsidP="00A61A49">
            <w:pPr>
              <w:keepNext/>
              <w:widowControl w:val="0"/>
              <w:rPr>
                <w:sz w:val="20"/>
                <w:szCs w:val="22"/>
              </w:rPr>
            </w:pPr>
            <w:r w:rsidRPr="004F627A">
              <w:rPr>
                <w:sz w:val="20"/>
                <w:szCs w:val="22"/>
              </w:rPr>
              <w:t>Agricultural Production and Other Loans to Farmers</w:t>
            </w:r>
          </w:p>
        </w:tc>
        <w:tc>
          <w:tcPr>
            <w:tcW w:w="1890" w:type="dxa"/>
            <w:shd w:val="clear" w:color="auto" w:fill="auto"/>
            <w:vAlign w:val="center"/>
          </w:tcPr>
          <w:p w14:paraId="20EFFCE0" w14:textId="77777777" w:rsidR="001223E8" w:rsidRPr="004F627A" w:rsidRDefault="00202CAE" w:rsidP="00A61A49">
            <w:pPr>
              <w:keepNext/>
              <w:widowControl w:val="0"/>
              <w:jc w:val="center"/>
              <w:rPr>
                <w:sz w:val="20"/>
                <w:szCs w:val="22"/>
              </w:rPr>
            </w:pPr>
            <w:r>
              <w:rPr>
                <w:sz w:val="20"/>
                <w:szCs w:val="22"/>
              </w:rPr>
              <w:t>0</w:t>
            </w:r>
          </w:p>
        </w:tc>
        <w:tc>
          <w:tcPr>
            <w:tcW w:w="1738" w:type="dxa"/>
            <w:shd w:val="clear" w:color="auto" w:fill="auto"/>
            <w:vAlign w:val="center"/>
          </w:tcPr>
          <w:p w14:paraId="31C4D1C0" w14:textId="77777777" w:rsidR="001223E8" w:rsidRPr="004F627A" w:rsidRDefault="00202CAE" w:rsidP="00202CAE">
            <w:pPr>
              <w:keepNext/>
              <w:widowControl w:val="0"/>
              <w:jc w:val="center"/>
              <w:rPr>
                <w:sz w:val="20"/>
                <w:szCs w:val="22"/>
              </w:rPr>
            </w:pPr>
            <w:r>
              <w:rPr>
                <w:sz w:val="20"/>
                <w:szCs w:val="22"/>
              </w:rPr>
              <w:t>0.0</w:t>
            </w:r>
          </w:p>
        </w:tc>
      </w:tr>
      <w:tr w:rsidR="00A61A49" w:rsidRPr="004F627A" w14:paraId="2CE889B4" w14:textId="77777777" w:rsidTr="00A61A49">
        <w:trPr>
          <w:trHeight w:val="288"/>
          <w:jc w:val="center"/>
        </w:trPr>
        <w:tc>
          <w:tcPr>
            <w:tcW w:w="5040" w:type="dxa"/>
            <w:shd w:val="clear" w:color="auto" w:fill="auto"/>
            <w:vAlign w:val="center"/>
          </w:tcPr>
          <w:p w14:paraId="778070B9" w14:textId="77777777" w:rsidR="001223E8" w:rsidRPr="004F627A" w:rsidRDefault="001223E8" w:rsidP="00A61A49">
            <w:pPr>
              <w:keepNext/>
              <w:widowControl w:val="0"/>
              <w:rPr>
                <w:sz w:val="20"/>
                <w:szCs w:val="22"/>
              </w:rPr>
            </w:pPr>
            <w:r w:rsidRPr="004F627A">
              <w:rPr>
                <w:sz w:val="20"/>
                <w:szCs w:val="22"/>
              </w:rPr>
              <w:t>Consumer Loans</w:t>
            </w:r>
          </w:p>
        </w:tc>
        <w:tc>
          <w:tcPr>
            <w:tcW w:w="1890" w:type="dxa"/>
            <w:shd w:val="clear" w:color="auto" w:fill="auto"/>
            <w:vAlign w:val="center"/>
          </w:tcPr>
          <w:p w14:paraId="1571624B" w14:textId="77777777" w:rsidR="001223E8" w:rsidRPr="004F627A" w:rsidRDefault="00982DB3" w:rsidP="00A61A49">
            <w:pPr>
              <w:keepNext/>
              <w:widowControl w:val="0"/>
              <w:jc w:val="center"/>
              <w:rPr>
                <w:sz w:val="20"/>
                <w:szCs w:val="22"/>
              </w:rPr>
            </w:pPr>
            <w:r>
              <w:rPr>
                <w:sz w:val="20"/>
                <w:szCs w:val="22"/>
              </w:rPr>
              <w:t>11,867</w:t>
            </w:r>
          </w:p>
        </w:tc>
        <w:tc>
          <w:tcPr>
            <w:tcW w:w="1738" w:type="dxa"/>
            <w:shd w:val="clear" w:color="auto" w:fill="auto"/>
            <w:vAlign w:val="center"/>
          </w:tcPr>
          <w:p w14:paraId="39D49F1A" w14:textId="77777777" w:rsidR="001223E8" w:rsidRPr="004F627A" w:rsidRDefault="001223E8" w:rsidP="00A61A49">
            <w:pPr>
              <w:keepNext/>
              <w:widowControl w:val="0"/>
              <w:jc w:val="center"/>
              <w:rPr>
                <w:sz w:val="20"/>
                <w:szCs w:val="22"/>
              </w:rPr>
            </w:pPr>
            <w:r w:rsidRPr="00A61A49">
              <w:rPr>
                <w:sz w:val="20"/>
                <w:szCs w:val="22"/>
              </w:rPr>
              <w:t>0.2</w:t>
            </w:r>
          </w:p>
        </w:tc>
      </w:tr>
      <w:tr w:rsidR="00A61A49" w:rsidRPr="004F627A" w14:paraId="2C6554D4" w14:textId="77777777" w:rsidTr="00A61A49">
        <w:trPr>
          <w:trHeight w:val="288"/>
          <w:jc w:val="center"/>
        </w:trPr>
        <w:tc>
          <w:tcPr>
            <w:tcW w:w="5040" w:type="dxa"/>
            <w:shd w:val="clear" w:color="auto" w:fill="auto"/>
            <w:vAlign w:val="center"/>
          </w:tcPr>
          <w:p w14:paraId="6FF78F63" w14:textId="77777777" w:rsidR="001223E8" w:rsidRPr="004F627A" w:rsidRDefault="001223E8" w:rsidP="00A61A49">
            <w:pPr>
              <w:keepNext/>
              <w:widowControl w:val="0"/>
              <w:rPr>
                <w:sz w:val="20"/>
                <w:szCs w:val="22"/>
              </w:rPr>
            </w:pPr>
            <w:r w:rsidRPr="004F627A">
              <w:rPr>
                <w:sz w:val="20"/>
                <w:szCs w:val="22"/>
              </w:rPr>
              <w:t>Obligations of State and Political Subdivisions in the U.S.</w:t>
            </w:r>
          </w:p>
        </w:tc>
        <w:tc>
          <w:tcPr>
            <w:tcW w:w="1890" w:type="dxa"/>
            <w:shd w:val="clear" w:color="auto" w:fill="auto"/>
            <w:vAlign w:val="center"/>
          </w:tcPr>
          <w:p w14:paraId="0744B05F" w14:textId="77777777" w:rsidR="001223E8" w:rsidRPr="004F627A" w:rsidRDefault="00982DB3" w:rsidP="00A61A49">
            <w:pPr>
              <w:keepNext/>
              <w:widowControl w:val="0"/>
              <w:jc w:val="center"/>
              <w:rPr>
                <w:sz w:val="20"/>
                <w:szCs w:val="22"/>
              </w:rPr>
            </w:pPr>
            <w:r>
              <w:rPr>
                <w:sz w:val="20"/>
                <w:szCs w:val="22"/>
              </w:rPr>
              <w:t>357,</w:t>
            </w:r>
            <w:r w:rsidR="001223E8" w:rsidRPr="00A61A49">
              <w:rPr>
                <w:sz w:val="20"/>
                <w:szCs w:val="22"/>
              </w:rPr>
              <w:t>7</w:t>
            </w:r>
            <w:r>
              <w:rPr>
                <w:sz w:val="20"/>
                <w:szCs w:val="22"/>
              </w:rPr>
              <w:t>02</w:t>
            </w:r>
          </w:p>
        </w:tc>
        <w:tc>
          <w:tcPr>
            <w:tcW w:w="1738" w:type="dxa"/>
            <w:shd w:val="clear" w:color="auto" w:fill="auto"/>
            <w:vAlign w:val="center"/>
          </w:tcPr>
          <w:p w14:paraId="712ED319" w14:textId="77777777" w:rsidR="001223E8" w:rsidRPr="004F627A" w:rsidRDefault="001223E8" w:rsidP="00A61A49">
            <w:pPr>
              <w:keepNext/>
              <w:widowControl w:val="0"/>
              <w:jc w:val="center"/>
              <w:rPr>
                <w:sz w:val="20"/>
                <w:szCs w:val="22"/>
              </w:rPr>
            </w:pPr>
            <w:r w:rsidRPr="00A61A49">
              <w:rPr>
                <w:sz w:val="20"/>
                <w:szCs w:val="22"/>
              </w:rPr>
              <w:t>6.3</w:t>
            </w:r>
          </w:p>
        </w:tc>
      </w:tr>
      <w:tr w:rsidR="00A61A49" w:rsidRPr="004F627A" w14:paraId="6F18CACC" w14:textId="77777777" w:rsidTr="00A61A49">
        <w:trPr>
          <w:trHeight w:val="288"/>
          <w:jc w:val="center"/>
        </w:trPr>
        <w:tc>
          <w:tcPr>
            <w:tcW w:w="5040" w:type="dxa"/>
            <w:shd w:val="clear" w:color="auto" w:fill="auto"/>
            <w:vAlign w:val="center"/>
          </w:tcPr>
          <w:p w14:paraId="46740E79" w14:textId="77777777" w:rsidR="001223E8" w:rsidRPr="004F627A" w:rsidRDefault="001223E8" w:rsidP="00A61A49">
            <w:pPr>
              <w:keepNext/>
              <w:widowControl w:val="0"/>
              <w:rPr>
                <w:sz w:val="20"/>
                <w:szCs w:val="22"/>
              </w:rPr>
            </w:pPr>
            <w:r w:rsidRPr="004F627A">
              <w:rPr>
                <w:sz w:val="20"/>
                <w:szCs w:val="22"/>
              </w:rPr>
              <w:t>Other Loans</w:t>
            </w:r>
          </w:p>
        </w:tc>
        <w:tc>
          <w:tcPr>
            <w:tcW w:w="1890" w:type="dxa"/>
            <w:shd w:val="clear" w:color="auto" w:fill="auto"/>
            <w:vAlign w:val="center"/>
          </w:tcPr>
          <w:p w14:paraId="6D5C2068" w14:textId="77777777" w:rsidR="001223E8" w:rsidRPr="004F627A" w:rsidRDefault="00982DB3" w:rsidP="00A61A49">
            <w:pPr>
              <w:keepNext/>
              <w:widowControl w:val="0"/>
              <w:jc w:val="center"/>
              <w:rPr>
                <w:sz w:val="20"/>
                <w:szCs w:val="22"/>
              </w:rPr>
            </w:pPr>
            <w:r>
              <w:rPr>
                <w:sz w:val="20"/>
                <w:szCs w:val="22"/>
              </w:rPr>
              <w:t>147</w:t>
            </w:r>
          </w:p>
        </w:tc>
        <w:tc>
          <w:tcPr>
            <w:tcW w:w="1738" w:type="dxa"/>
            <w:shd w:val="clear" w:color="auto" w:fill="auto"/>
            <w:vAlign w:val="center"/>
          </w:tcPr>
          <w:p w14:paraId="02541791" w14:textId="77777777" w:rsidR="001223E8" w:rsidRPr="004F627A" w:rsidRDefault="001223E8" w:rsidP="00A61A49">
            <w:pPr>
              <w:keepNext/>
              <w:widowControl w:val="0"/>
              <w:jc w:val="center"/>
              <w:rPr>
                <w:sz w:val="20"/>
                <w:szCs w:val="22"/>
              </w:rPr>
            </w:pPr>
            <w:r w:rsidRPr="00A61A49">
              <w:rPr>
                <w:sz w:val="20"/>
                <w:szCs w:val="22"/>
              </w:rPr>
              <w:t>0.0</w:t>
            </w:r>
          </w:p>
        </w:tc>
      </w:tr>
      <w:tr w:rsidR="00A61A49" w:rsidRPr="004F627A" w14:paraId="6B6920FA" w14:textId="77777777" w:rsidTr="00A61A49">
        <w:trPr>
          <w:trHeight w:val="288"/>
          <w:jc w:val="center"/>
        </w:trPr>
        <w:tc>
          <w:tcPr>
            <w:tcW w:w="5040" w:type="dxa"/>
            <w:shd w:val="clear" w:color="auto" w:fill="auto"/>
            <w:vAlign w:val="center"/>
          </w:tcPr>
          <w:p w14:paraId="2528EC00" w14:textId="77777777" w:rsidR="001223E8" w:rsidRPr="004F627A" w:rsidRDefault="001223E8" w:rsidP="00A61A49">
            <w:pPr>
              <w:keepNext/>
              <w:widowControl w:val="0"/>
              <w:rPr>
                <w:sz w:val="20"/>
                <w:szCs w:val="22"/>
              </w:rPr>
            </w:pPr>
            <w:r w:rsidRPr="004F627A">
              <w:rPr>
                <w:sz w:val="20"/>
                <w:szCs w:val="22"/>
              </w:rPr>
              <w:t xml:space="preserve">Lease Financing Receivable (net of unearned income) </w:t>
            </w:r>
          </w:p>
        </w:tc>
        <w:tc>
          <w:tcPr>
            <w:tcW w:w="1890" w:type="dxa"/>
            <w:shd w:val="clear" w:color="auto" w:fill="auto"/>
            <w:vAlign w:val="center"/>
          </w:tcPr>
          <w:p w14:paraId="2DF2782B" w14:textId="77777777" w:rsidR="001223E8" w:rsidRPr="004F627A" w:rsidRDefault="00202CAE" w:rsidP="00A61A49">
            <w:pPr>
              <w:keepNext/>
              <w:widowControl w:val="0"/>
              <w:jc w:val="center"/>
              <w:rPr>
                <w:sz w:val="20"/>
                <w:szCs w:val="22"/>
              </w:rPr>
            </w:pPr>
            <w:r>
              <w:rPr>
                <w:sz w:val="20"/>
                <w:szCs w:val="22"/>
              </w:rPr>
              <w:t>0</w:t>
            </w:r>
          </w:p>
        </w:tc>
        <w:tc>
          <w:tcPr>
            <w:tcW w:w="1738" w:type="dxa"/>
            <w:shd w:val="clear" w:color="auto" w:fill="auto"/>
            <w:vAlign w:val="center"/>
          </w:tcPr>
          <w:p w14:paraId="49F8DDFD" w14:textId="77777777" w:rsidR="001223E8" w:rsidRPr="004F627A" w:rsidRDefault="00202CAE" w:rsidP="00202CAE">
            <w:pPr>
              <w:keepNext/>
              <w:widowControl w:val="0"/>
              <w:jc w:val="center"/>
              <w:rPr>
                <w:sz w:val="20"/>
                <w:szCs w:val="22"/>
              </w:rPr>
            </w:pPr>
            <w:r>
              <w:rPr>
                <w:sz w:val="20"/>
                <w:szCs w:val="22"/>
              </w:rPr>
              <w:t>0.0</w:t>
            </w:r>
          </w:p>
        </w:tc>
      </w:tr>
      <w:tr w:rsidR="00A61A49" w:rsidRPr="004F627A" w14:paraId="0ADC1D15" w14:textId="77777777" w:rsidTr="00A61A49">
        <w:trPr>
          <w:trHeight w:val="288"/>
          <w:jc w:val="center"/>
        </w:trPr>
        <w:tc>
          <w:tcPr>
            <w:tcW w:w="5040" w:type="dxa"/>
            <w:shd w:val="clear" w:color="auto" w:fill="auto"/>
            <w:vAlign w:val="center"/>
          </w:tcPr>
          <w:p w14:paraId="3B231081" w14:textId="77777777" w:rsidR="001223E8" w:rsidRPr="004F627A" w:rsidRDefault="001223E8" w:rsidP="00A61A49">
            <w:pPr>
              <w:keepNext/>
              <w:widowControl w:val="0"/>
              <w:rPr>
                <w:sz w:val="20"/>
                <w:szCs w:val="22"/>
              </w:rPr>
            </w:pPr>
            <w:r w:rsidRPr="004F627A">
              <w:rPr>
                <w:sz w:val="20"/>
                <w:szCs w:val="22"/>
              </w:rPr>
              <w:t>Less: Unearned Income</w:t>
            </w:r>
          </w:p>
        </w:tc>
        <w:tc>
          <w:tcPr>
            <w:tcW w:w="1890" w:type="dxa"/>
            <w:shd w:val="clear" w:color="auto" w:fill="auto"/>
            <w:vAlign w:val="center"/>
          </w:tcPr>
          <w:p w14:paraId="4B3CFE1A" w14:textId="77777777" w:rsidR="001223E8" w:rsidRPr="004F627A" w:rsidRDefault="00202CAE" w:rsidP="00A61A49">
            <w:pPr>
              <w:keepNext/>
              <w:widowControl w:val="0"/>
              <w:jc w:val="center"/>
              <w:rPr>
                <w:sz w:val="20"/>
                <w:szCs w:val="22"/>
              </w:rPr>
            </w:pPr>
            <w:r>
              <w:rPr>
                <w:sz w:val="20"/>
                <w:szCs w:val="22"/>
              </w:rPr>
              <w:t>0</w:t>
            </w:r>
          </w:p>
        </w:tc>
        <w:tc>
          <w:tcPr>
            <w:tcW w:w="1738" w:type="dxa"/>
            <w:shd w:val="clear" w:color="auto" w:fill="auto"/>
            <w:vAlign w:val="center"/>
          </w:tcPr>
          <w:p w14:paraId="7DED1218" w14:textId="77777777" w:rsidR="001223E8" w:rsidRPr="004F627A" w:rsidRDefault="00202CAE" w:rsidP="00202CAE">
            <w:pPr>
              <w:keepNext/>
              <w:widowControl w:val="0"/>
              <w:jc w:val="center"/>
              <w:rPr>
                <w:sz w:val="20"/>
                <w:szCs w:val="22"/>
              </w:rPr>
            </w:pPr>
            <w:r>
              <w:rPr>
                <w:sz w:val="20"/>
                <w:szCs w:val="22"/>
              </w:rPr>
              <w:t>0.0</w:t>
            </w:r>
          </w:p>
        </w:tc>
      </w:tr>
      <w:tr w:rsidR="00A61A49" w:rsidRPr="004F627A" w14:paraId="01E476DF" w14:textId="77777777" w:rsidTr="00A61A49">
        <w:trPr>
          <w:trHeight w:val="288"/>
          <w:jc w:val="center"/>
        </w:trPr>
        <w:tc>
          <w:tcPr>
            <w:tcW w:w="5040" w:type="dxa"/>
            <w:shd w:val="clear" w:color="auto" w:fill="auto"/>
            <w:vAlign w:val="center"/>
          </w:tcPr>
          <w:p w14:paraId="39545392" w14:textId="77777777" w:rsidR="001223E8" w:rsidRPr="004F627A" w:rsidRDefault="001223E8" w:rsidP="00A61A49">
            <w:pPr>
              <w:keepNext/>
              <w:widowControl w:val="0"/>
              <w:rPr>
                <w:b/>
                <w:sz w:val="20"/>
                <w:szCs w:val="22"/>
              </w:rPr>
            </w:pPr>
            <w:r w:rsidRPr="004F627A">
              <w:rPr>
                <w:b/>
                <w:sz w:val="20"/>
                <w:szCs w:val="22"/>
              </w:rPr>
              <w:t>Total Loans</w:t>
            </w:r>
          </w:p>
        </w:tc>
        <w:tc>
          <w:tcPr>
            <w:tcW w:w="1890" w:type="dxa"/>
            <w:shd w:val="clear" w:color="auto" w:fill="auto"/>
            <w:vAlign w:val="center"/>
          </w:tcPr>
          <w:p w14:paraId="7316D091" w14:textId="77777777" w:rsidR="001223E8" w:rsidRPr="004F627A" w:rsidRDefault="00982DB3" w:rsidP="00A61A49">
            <w:pPr>
              <w:keepNext/>
              <w:widowControl w:val="0"/>
              <w:jc w:val="center"/>
              <w:rPr>
                <w:b/>
                <w:sz w:val="20"/>
                <w:szCs w:val="22"/>
              </w:rPr>
            </w:pPr>
            <w:r>
              <w:rPr>
                <w:b/>
                <w:sz w:val="20"/>
                <w:szCs w:val="22"/>
              </w:rPr>
              <w:t>5,718,686</w:t>
            </w:r>
          </w:p>
        </w:tc>
        <w:tc>
          <w:tcPr>
            <w:tcW w:w="1738" w:type="dxa"/>
            <w:shd w:val="clear" w:color="auto" w:fill="auto"/>
            <w:vAlign w:val="center"/>
          </w:tcPr>
          <w:p w14:paraId="4D4C4449" w14:textId="77777777" w:rsidR="001223E8" w:rsidRPr="004F627A" w:rsidRDefault="001223E8" w:rsidP="00A61A49">
            <w:pPr>
              <w:keepNext/>
              <w:widowControl w:val="0"/>
              <w:jc w:val="center"/>
              <w:rPr>
                <w:b/>
                <w:sz w:val="20"/>
                <w:szCs w:val="22"/>
              </w:rPr>
            </w:pPr>
            <w:r w:rsidRPr="00A61A49">
              <w:rPr>
                <w:b/>
                <w:sz w:val="20"/>
                <w:szCs w:val="22"/>
              </w:rPr>
              <w:t>100.0</w:t>
            </w:r>
          </w:p>
        </w:tc>
      </w:tr>
      <w:tr w:rsidR="00A61A49" w:rsidRPr="004F627A" w14:paraId="02A8520C" w14:textId="77777777" w:rsidTr="00A61A49">
        <w:trPr>
          <w:trHeight w:val="288"/>
          <w:jc w:val="center"/>
        </w:trPr>
        <w:tc>
          <w:tcPr>
            <w:tcW w:w="8668" w:type="dxa"/>
            <w:gridSpan w:val="3"/>
            <w:shd w:val="clear" w:color="auto" w:fill="auto"/>
            <w:vAlign w:val="center"/>
          </w:tcPr>
          <w:p w14:paraId="34B0EE07" w14:textId="77777777" w:rsidR="001223E8" w:rsidRPr="004F627A" w:rsidRDefault="001223E8" w:rsidP="00A61A49">
            <w:pPr>
              <w:keepNext/>
              <w:widowControl w:val="0"/>
              <w:rPr>
                <w:sz w:val="20"/>
                <w:szCs w:val="22"/>
              </w:rPr>
            </w:pPr>
            <w:r w:rsidRPr="004F627A">
              <w:rPr>
                <w:i/>
                <w:sz w:val="16"/>
                <w:szCs w:val="16"/>
              </w:rPr>
              <w:t>Source:  Reports of Condition and Income</w:t>
            </w:r>
          </w:p>
        </w:tc>
      </w:tr>
    </w:tbl>
    <w:p w14:paraId="0E605620" w14:textId="77777777" w:rsidR="001223E8" w:rsidRDefault="001223E8" w:rsidP="001223E8">
      <w:pPr>
        <w:tabs>
          <w:tab w:val="left" w:pos="720"/>
          <w:tab w:val="left" w:pos="1440"/>
          <w:tab w:val="left" w:pos="2160"/>
          <w:tab w:val="left" w:pos="2880"/>
          <w:tab w:val="left" w:pos="3600"/>
          <w:tab w:val="left" w:pos="5328"/>
          <w:tab w:val="left" w:pos="11520"/>
        </w:tabs>
        <w:rPr>
          <w:bCs/>
          <w:spacing w:val="-3"/>
        </w:rPr>
      </w:pPr>
    </w:p>
    <w:p w14:paraId="20D4D336" w14:textId="77777777" w:rsidR="001223E8" w:rsidRPr="00FD65FC" w:rsidRDefault="001223E8" w:rsidP="001223E8">
      <w:pPr>
        <w:tabs>
          <w:tab w:val="left" w:pos="720"/>
          <w:tab w:val="left" w:pos="1440"/>
          <w:tab w:val="left" w:pos="2160"/>
          <w:tab w:val="left" w:pos="2880"/>
          <w:tab w:val="left" w:pos="3600"/>
          <w:tab w:val="left" w:pos="5328"/>
          <w:tab w:val="left" w:pos="11520"/>
        </w:tabs>
        <w:rPr>
          <w:bCs/>
          <w:spacing w:val="-3"/>
        </w:rPr>
      </w:pPr>
      <w:r w:rsidRPr="00FD65FC">
        <w:rPr>
          <w:bCs/>
          <w:spacing w:val="-3"/>
        </w:rPr>
        <w:t>Examiners did not identify and financial, legal</w:t>
      </w:r>
      <w:r>
        <w:rPr>
          <w:bCs/>
          <w:spacing w:val="-3"/>
        </w:rPr>
        <w:t>,</w:t>
      </w:r>
      <w:r w:rsidRPr="00FD65FC">
        <w:rPr>
          <w:bCs/>
          <w:spacing w:val="-3"/>
        </w:rPr>
        <w:t xml:space="preserve"> or other impediments that affect the bank’s ability to meet assessment area credit needs.</w:t>
      </w:r>
    </w:p>
    <w:p w14:paraId="1FB770F9" w14:textId="77777777" w:rsidR="001223E8" w:rsidRDefault="001223E8" w:rsidP="007B2663">
      <w:pPr>
        <w:tabs>
          <w:tab w:val="left" w:pos="1260"/>
        </w:tabs>
        <w:rPr>
          <w:b/>
          <w:bCs/>
          <w:spacing w:val="-4"/>
          <w:sz w:val="28"/>
          <w:szCs w:val="28"/>
        </w:rPr>
      </w:pPr>
    </w:p>
    <w:p w14:paraId="5B75B654" w14:textId="77777777" w:rsidR="001223E8" w:rsidRDefault="001223E8" w:rsidP="007B2663">
      <w:pPr>
        <w:tabs>
          <w:tab w:val="left" w:pos="1260"/>
        </w:tabs>
        <w:rPr>
          <w:b/>
          <w:bCs/>
          <w:spacing w:val="-4"/>
          <w:sz w:val="28"/>
          <w:szCs w:val="28"/>
        </w:rPr>
      </w:pPr>
    </w:p>
    <w:p w14:paraId="4DE0A55B" w14:textId="77777777" w:rsidR="001223E8" w:rsidRDefault="001223E8" w:rsidP="007B2663">
      <w:pPr>
        <w:tabs>
          <w:tab w:val="left" w:pos="1260"/>
        </w:tabs>
        <w:rPr>
          <w:b/>
          <w:bCs/>
          <w:spacing w:val="-4"/>
          <w:sz w:val="28"/>
          <w:szCs w:val="28"/>
        </w:rPr>
      </w:pPr>
    </w:p>
    <w:p w14:paraId="3E348307" w14:textId="77777777" w:rsidR="00456E8E" w:rsidRDefault="00456E8E" w:rsidP="007B2663">
      <w:pPr>
        <w:tabs>
          <w:tab w:val="left" w:pos="1260"/>
        </w:tabs>
        <w:rPr>
          <w:b/>
          <w:bCs/>
          <w:spacing w:val="-4"/>
          <w:sz w:val="28"/>
          <w:szCs w:val="28"/>
        </w:rPr>
        <w:sectPr w:rsidR="00456E8E" w:rsidSect="006362FE">
          <w:pgSz w:w="12240" w:h="15840"/>
          <w:pgMar w:top="1440" w:right="1440" w:bottom="1440" w:left="1440" w:header="720" w:footer="720" w:gutter="0"/>
          <w:cols w:space="720"/>
          <w:docGrid w:linePitch="360"/>
        </w:sectPr>
      </w:pPr>
    </w:p>
    <w:p w14:paraId="7F937DC1" w14:textId="77777777" w:rsidR="0099672C" w:rsidRPr="00760303" w:rsidRDefault="007B2663" w:rsidP="001F64B6">
      <w:pPr>
        <w:tabs>
          <w:tab w:val="left" w:pos="1260"/>
        </w:tabs>
        <w:jc w:val="center"/>
        <w:rPr>
          <w:b/>
          <w:bCs/>
          <w:spacing w:val="-4"/>
          <w:sz w:val="28"/>
          <w:szCs w:val="28"/>
        </w:rPr>
      </w:pPr>
      <w:r>
        <w:rPr>
          <w:b/>
          <w:bCs/>
          <w:spacing w:val="-4"/>
          <w:sz w:val="28"/>
          <w:szCs w:val="28"/>
        </w:rPr>
        <w:lastRenderedPageBreak/>
        <w:t>DE</w:t>
      </w:r>
      <w:r w:rsidR="0099672C" w:rsidRPr="00161EC6">
        <w:rPr>
          <w:b/>
          <w:bCs/>
          <w:spacing w:val="-4"/>
          <w:sz w:val="28"/>
          <w:szCs w:val="28"/>
        </w:rPr>
        <w:t>SCRIPTION OF ASSESSMENT AREA</w:t>
      </w:r>
    </w:p>
    <w:p w14:paraId="584C49A0" w14:textId="77777777" w:rsidR="0099672C" w:rsidRDefault="0099672C" w:rsidP="00E02903">
      <w:pPr>
        <w:tabs>
          <w:tab w:val="center" w:pos="4680"/>
        </w:tabs>
      </w:pPr>
    </w:p>
    <w:p w14:paraId="01B16A5A" w14:textId="77777777" w:rsidR="00C12BFC" w:rsidRPr="00F041E5" w:rsidRDefault="00C12BFC" w:rsidP="00C12BFC">
      <w:pPr>
        <w:tabs>
          <w:tab w:val="center" w:pos="4680"/>
        </w:tabs>
      </w:pPr>
      <w:r w:rsidRPr="00F041E5">
        <w:t xml:space="preserve">The CRA requires each financial institution to define one or more assessment areas </w:t>
      </w:r>
      <w:r>
        <w:t>in</w:t>
      </w:r>
      <w:r w:rsidRPr="00F041E5">
        <w:t xml:space="preserve"> which</w:t>
      </w:r>
      <w:r>
        <w:t xml:space="preserve"> examiners will evaluate</w:t>
      </w:r>
      <w:r w:rsidRPr="00F041E5">
        <w:t xml:space="preserve"> </w:t>
      </w:r>
      <w:r>
        <w:t xml:space="preserve">the institution’s </w:t>
      </w:r>
      <w:r w:rsidRPr="00F041E5">
        <w:t xml:space="preserve">CRA performance.  </w:t>
      </w:r>
      <w:r>
        <w:t>EBSB</w:t>
      </w:r>
      <w:r w:rsidRPr="00F041E5">
        <w:t xml:space="preserve"> designated a single assessment area in the </w:t>
      </w:r>
      <w:r w:rsidRPr="00C12BFC">
        <w:t>Boston-Cambridge-Newton, MA-</w:t>
      </w:r>
      <w:r>
        <w:t>New Hampshire (</w:t>
      </w:r>
      <w:r w:rsidRPr="00C12BFC">
        <w:t>NH</w:t>
      </w:r>
      <w:r>
        <w:t>)</w:t>
      </w:r>
      <w:r w:rsidRPr="00C12BFC">
        <w:t xml:space="preserve"> Metropolitan Statistical Area </w:t>
      </w:r>
      <w:r w:rsidRPr="00F041E5">
        <w:t>(</w:t>
      </w:r>
      <w:r>
        <w:t>Boston MSA</w:t>
      </w:r>
      <w:r w:rsidRPr="00F041E5">
        <w:t xml:space="preserve">).  The following sections discuss demographic and economic information </w:t>
      </w:r>
      <w:r>
        <w:t>relevant to</w:t>
      </w:r>
      <w:r w:rsidRPr="00F041E5">
        <w:t xml:space="preserve"> the assessment area.  </w:t>
      </w:r>
    </w:p>
    <w:p w14:paraId="0E49AF67" w14:textId="77777777" w:rsidR="00C12BFC" w:rsidRDefault="00C12BFC" w:rsidP="00C12BFC">
      <w:pPr>
        <w:rPr>
          <w:b/>
          <w:u w:val="single"/>
        </w:rPr>
      </w:pPr>
    </w:p>
    <w:p w14:paraId="3BDAB872" w14:textId="77777777" w:rsidR="0099672C" w:rsidRPr="00AD3C42" w:rsidRDefault="0099672C" w:rsidP="00E02903">
      <w:pPr>
        <w:widowControl w:val="0"/>
        <w:ind w:right="-360"/>
        <w:rPr>
          <w:b/>
          <w:bCs/>
          <w:iCs/>
          <w:color w:val="000000"/>
          <w:u w:val="single"/>
        </w:rPr>
      </w:pPr>
      <w:r w:rsidRPr="00AD3C42">
        <w:rPr>
          <w:b/>
          <w:bCs/>
          <w:iCs/>
          <w:color w:val="000000"/>
          <w:u w:val="single"/>
        </w:rPr>
        <w:t>Economic and Demographic Data</w:t>
      </w:r>
    </w:p>
    <w:p w14:paraId="50E2B678" w14:textId="77777777" w:rsidR="00D75C34" w:rsidRPr="00AD3C42" w:rsidRDefault="00D75C34" w:rsidP="00E02903">
      <w:pPr>
        <w:widowControl w:val="0"/>
        <w:ind w:right="-360"/>
        <w:rPr>
          <w:b/>
          <w:bCs/>
          <w:iCs/>
          <w:color w:val="000000"/>
          <w:u w:val="single"/>
        </w:rPr>
      </w:pPr>
    </w:p>
    <w:p w14:paraId="247EF742" w14:textId="6D0F5F58" w:rsidR="00C12BFC" w:rsidRDefault="00C12BFC" w:rsidP="00C12BFC">
      <w:pPr>
        <w:widowControl w:val="0"/>
        <w:ind w:right="-360"/>
        <w:rPr>
          <w:bCs/>
          <w:iCs/>
          <w:color w:val="000000"/>
        </w:rPr>
      </w:pPr>
      <w:r>
        <w:rPr>
          <w:bCs/>
          <w:iCs/>
          <w:color w:val="000000"/>
        </w:rPr>
        <w:t xml:space="preserve">The </w:t>
      </w:r>
      <w:r w:rsidR="001745BB">
        <w:rPr>
          <w:bCs/>
          <w:iCs/>
          <w:color w:val="000000"/>
        </w:rPr>
        <w:t>assessment area</w:t>
      </w:r>
      <w:r>
        <w:rPr>
          <w:bCs/>
          <w:iCs/>
          <w:color w:val="000000"/>
        </w:rPr>
        <w:t xml:space="preserve"> includes </w:t>
      </w:r>
      <w:r w:rsidR="006D52EC">
        <w:rPr>
          <w:bCs/>
          <w:iCs/>
          <w:color w:val="000000"/>
        </w:rPr>
        <w:t>412</w:t>
      </w:r>
      <w:r>
        <w:rPr>
          <w:bCs/>
          <w:iCs/>
          <w:color w:val="000000"/>
        </w:rPr>
        <w:t xml:space="preserve"> census tracts located in Essex, Middlesex, Norfolk, and Suffolk Counties in MA.</w:t>
      </w:r>
      <w:r w:rsidR="00D915EB">
        <w:rPr>
          <w:bCs/>
          <w:iCs/>
          <w:color w:val="000000"/>
        </w:rPr>
        <w:t xml:space="preserve">  The following table details the cities and towns in the bank’s assessment area.</w:t>
      </w:r>
      <w:r>
        <w:rPr>
          <w:bCs/>
          <w:iCs/>
          <w:color w:val="000000"/>
        </w:rPr>
        <w:t xml:space="preserve">   </w:t>
      </w:r>
    </w:p>
    <w:p w14:paraId="35E05467" w14:textId="77777777" w:rsidR="00C12BFC" w:rsidRDefault="00C12BFC" w:rsidP="00C12BFC">
      <w:pPr>
        <w:widowControl w:val="0"/>
        <w:ind w:right="-360"/>
        <w:rPr>
          <w:bCs/>
          <w:iCs/>
          <w:color w:val="000000"/>
        </w:rPr>
      </w:pPr>
    </w:p>
    <w:tbl>
      <w:tblPr>
        <w:tblW w:w="0" w:type="auto"/>
        <w:jc w:val="center"/>
        <w:tblLook w:val="04A0" w:firstRow="1" w:lastRow="0" w:firstColumn="1" w:lastColumn="0" w:noHBand="0" w:noVBand="1"/>
      </w:tblPr>
      <w:tblGrid>
        <w:gridCol w:w="3150"/>
        <w:gridCol w:w="2950"/>
      </w:tblGrid>
      <w:tr w:rsidR="00C12BFC" w:rsidRPr="00C152C3" w14:paraId="3B87AF1C" w14:textId="77777777" w:rsidTr="006362FE">
        <w:trPr>
          <w:jc w:val="center"/>
        </w:trPr>
        <w:tc>
          <w:tcPr>
            <w:tcW w:w="6100" w:type="dxa"/>
            <w:gridSpan w:val="2"/>
            <w:shd w:val="clear" w:color="auto" w:fill="auto"/>
          </w:tcPr>
          <w:p w14:paraId="7A12BA72" w14:textId="77777777" w:rsidR="00C12BFC" w:rsidRPr="00EB5396" w:rsidRDefault="00C12BFC" w:rsidP="00E456D0">
            <w:pPr>
              <w:widowControl w:val="0"/>
              <w:ind w:right="-360"/>
              <w:jc w:val="center"/>
              <w:rPr>
                <w:b/>
                <w:bCs/>
                <w:iCs/>
                <w:sz w:val="20"/>
                <w:szCs w:val="20"/>
              </w:rPr>
            </w:pPr>
            <w:r w:rsidRPr="00EB5396">
              <w:rPr>
                <w:b/>
                <w:bCs/>
                <w:iCs/>
                <w:sz w:val="20"/>
                <w:szCs w:val="20"/>
              </w:rPr>
              <w:t>Assessment Area Cities and Towns</w:t>
            </w:r>
          </w:p>
        </w:tc>
      </w:tr>
      <w:tr w:rsidR="00C12BFC" w:rsidRPr="00C152C3" w14:paraId="727D0ADD" w14:textId="77777777" w:rsidTr="006362FE">
        <w:trPr>
          <w:jc w:val="center"/>
        </w:trPr>
        <w:tc>
          <w:tcPr>
            <w:tcW w:w="6100" w:type="dxa"/>
            <w:gridSpan w:val="2"/>
            <w:shd w:val="clear" w:color="auto" w:fill="auto"/>
          </w:tcPr>
          <w:p w14:paraId="5F559D36" w14:textId="77777777" w:rsidR="00C12BFC" w:rsidRPr="00EB5396" w:rsidRDefault="00C12BFC" w:rsidP="00E456D0">
            <w:pPr>
              <w:widowControl w:val="0"/>
              <w:ind w:right="-360"/>
              <w:jc w:val="center"/>
              <w:rPr>
                <w:b/>
                <w:bCs/>
                <w:iCs/>
                <w:sz w:val="20"/>
                <w:szCs w:val="20"/>
              </w:rPr>
            </w:pPr>
            <w:r w:rsidRPr="00EB5396">
              <w:rPr>
                <w:b/>
                <w:bCs/>
                <w:iCs/>
                <w:sz w:val="20"/>
                <w:szCs w:val="20"/>
              </w:rPr>
              <w:t>Essex County, MA</w:t>
            </w:r>
          </w:p>
        </w:tc>
      </w:tr>
      <w:tr w:rsidR="00C12BFC" w:rsidRPr="00C152C3" w14:paraId="73040429" w14:textId="77777777" w:rsidTr="006362FE">
        <w:trPr>
          <w:jc w:val="center"/>
        </w:trPr>
        <w:tc>
          <w:tcPr>
            <w:tcW w:w="3150" w:type="dxa"/>
            <w:shd w:val="clear" w:color="auto" w:fill="auto"/>
          </w:tcPr>
          <w:p w14:paraId="4216AFDB" w14:textId="77777777" w:rsidR="00C12BFC" w:rsidRPr="00EB5396" w:rsidRDefault="00C12BFC" w:rsidP="00E456D0">
            <w:pPr>
              <w:widowControl w:val="0"/>
              <w:ind w:right="-360"/>
              <w:rPr>
                <w:bCs/>
                <w:iCs/>
                <w:sz w:val="20"/>
                <w:szCs w:val="20"/>
              </w:rPr>
            </w:pPr>
            <w:r w:rsidRPr="00EB5396">
              <w:rPr>
                <w:bCs/>
                <w:iCs/>
                <w:sz w:val="20"/>
                <w:szCs w:val="20"/>
              </w:rPr>
              <w:t>Danvers</w:t>
            </w:r>
          </w:p>
        </w:tc>
        <w:tc>
          <w:tcPr>
            <w:tcW w:w="2950" w:type="dxa"/>
            <w:shd w:val="clear" w:color="auto" w:fill="auto"/>
          </w:tcPr>
          <w:p w14:paraId="7B6529DD" w14:textId="77777777" w:rsidR="00C12BFC" w:rsidRPr="00EB5396" w:rsidRDefault="00C12BFC" w:rsidP="00E456D0">
            <w:pPr>
              <w:widowControl w:val="0"/>
              <w:ind w:right="-360"/>
              <w:rPr>
                <w:bCs/>
                <w:iCs/>
                <w:sz w:val="20"/>
                <w:szCs w:val="20"/>
              </w:rPr>
            </w:pPr>
            <w:r>
              <w:rPr>
                <w:bCs/>
                <w:iCs/>
                <w:sz w:val="20"/>
                <w:szCs w:val="20"/>
              </w:rPr>
              <w:t>Peabody</w:t>
            </w:r>
          </w:p>
        </w:tc>
      </w:tr>
      <w:tr w:rsidR="00C12BFC" w:rsidRPr="00C152C3" w14:paraId="11B3A6D1" w14:textId="77777777" w:rsidTr="006362FE">
        <w:trPr>
          <w:jc w:val="center"/>
        </w:trPr>
        <w:tc>
          <w:tcPr>
            <w:tcW w:w="3150" w:type="dxa"/>
            <w:shd w:val="clear" w:color="auto" w:fill="auto"/>
          </w:tcPr>
          <w:p w14:paraId="7C2082EA" w14:textId="77777777" w:rsidR="00C12BFC" w:rsidRPr="00EB5396" w:rsidRDefault="00C12BFC" w:rsidP="00E456D0">
            <w:pPr>
              <w:widowControl w:val="0"/>
              <w:ind w:right="-360"/>
              <w:rPr>
                <w:bCs/>
                <w:iCs/>
                <w:sz w:val="20"/>
                <w:szCs w:val="20"/>
              </w:rPr>
            </w:pPr>
            <w:r>
              <w:rPr>
                <w:bCs/>
                <w:iCs/>
                <w:sz w:val="20"/>
                <w:szCs w:val="20"/>
              </w:rPr>
              <w:t>Lynn</w:t>
            </w:r>
          </w:p>
        </w:tc>
        <w:tc>
          <w:tcPr>
            <w:tcW w:w="2950" w:type="dxa"/>
            <w:shd w:val="clear" w:color="auto" w:fill="auto"/>
          </w:tcPr>
          <w:p w14:paraId="064B4C1D" w14:textId="77777777" w:rsidR="00C12BFC" w:rsidRPr="00EB5396" w:rsidRDefault="00C12BFC" w:rsidP="00E456D0">
            <w:pPr>
              <w:widowControl w:val="0"/>
              <w:ind w:right="-360"/>
              <w:rPr>
                <w:bCs/>
                <w:iCs/>
                <w:sz w:val="20"/>
                <w:szCs w:val="20"/>
              </w:rPr>
            </w:pPr>
            <w:r>
              <w:rPr>
                <w:bCs/>
                <w:iCs/>
                <w:sz w:val="20"/>
                <w:szCs w:val="20"/>
              </w:rPr>
              <w:t>Saugus</w:t>
            </w:r>
          </w:p>
        </w:tc>
      </w:tr>
      <w:tr w:rsidR="00C12BFC" w:rsidRPr="00C152C3" w14:paraId="73A5D869" w14:textId="77777777" w:rsidTr="006362FE">
        <w:trPr>
          <w:jc w:val="center"/>
        </w:trPr>
        <w:tc>
          <w:tcPr>
            <w:tcW w:w="3150" w:type="dxa"/>
            <w:shd w:val="clear" w:color="auto" w:fill="auto"/>
          </w:tcPr>
          <w:p w14:paraId="34134ED5" w14:textId="77777777" w:rsidR="00C12BFC" w:rsidRPr="00EB5396" w:rsidRDefault="00C12BFC" w:rsidP="00E456D0">
            <w:pPr>
              <w:widowControl w:val="0"/>
              <w:ind w:right="-360"/>
              <w:rPr>
                <w:bCs/>
                <w:iCs/>
                <w:sz w:val="20"/>
                <w:szCs w:val="20"/>
              </w:rPr>
            </w:pPr>
            <w:r>
              <w:rPr>
                <w:bCs/>
                <w:iCs/>
                <w:sz w:val="20"/>
                <w:szCs w:val="20"/>
              </w:rPr>
              <w:t>Lynnfield</w:t>
            </w:r>
          </w:p>
        </w:tc>
        <w:tc>
          <w:tcPr>
            <w:tcW w:w="2950" w:type="dxa"/>
            <w:shd w:val="clear" w:color="auto" w:fill="auto"/>
          </w:tcPr>
          <w:p w14:paraId="63C40FFA" w14:textId="77777777" w:rsidR="00C12BFC" w:rsidRPr="00EB5396" w:rsidRDefault="00C12BFC" w:rsidP="00E456D0">
            <w:pPr>
              <w:widowControl w:val="0"/>
              <w:ind w:right="-360"/>
              <w:rPr>
                <w:bCs/>
                <w:iCs/>
                <w:sz w:val="20"/>
                <w:szCs w:val="20"/>
              </w:rPr>
            </w:pPr>
            <w:r>
              <w:rPr>
                <w:bCs/>
                <w:iCs/>
                <w:sz w:val="20"/>
                <w:szCs w:val="20"/>
              </w:rPr>
              <w:t>Salem</w:t>
            </w:r>
            <w:r w:rsidR="006D52EC">
              <w:rPr>
                <w:bCs/>
                <w:iCs/>
                <w:sz w:val="20"/>
                <w:szCs w:val="20"/>
              </w:rPr>
              <w:t>*</w:t>
            </w:r>
          </w:p>
        </w:tc>
      </w:tr>
      <w:tr w:rsidR="00C12BFC" w:rsidRPr="00C152C3" w14:paraId="1EB6855B" w14:textId="77777777" w:rsidTr="006362FE">
        <w:trPr>
          <w:jc w:val="center"/>
        </w:trPr>
        <w:tc>
          <w:tcPr>
            <w:tcW w:w="6100" w:type="dxa"/>
            <w:gridSpan w:val="2"/>
            <w:shd w:val="clear" w:color="auto" w:fill="auto"/>
          </w:tcPr>
          <w:p w14:paraId="3C6C383E" w14:textId="77777777" w:rsidR="00C12BFC" w:rsidRPr="00EB5396" w:rsidRDefault="00C12BFC" w:rsidP="00E456D0">
            <w:pPr>
              <w:widowControl w:val="0"/>
              <w:ind w:right="-360"/>
              <w:jc w:val="center"/>
              <w:rPr>
                <w:bCs/>
                <w:iCs/>
                <w:sz w:val="20"/>
                <w:szCs w:val="20"/>
              </w:rPr>
            </w:pPr>
            <w:r w:rsidRPr="00EB5396">
              <w:rPr>
                <w:b/>
                <w:bCs/>
                <w:iCs/>
                <w:sz w:val="20"/>
                <w:szCs w:val="20"/>
              </w:rPr>
              <w:t>Middlesex County, MA</w:t>
            </w:r>
          </w:p>
        </w:tc>
      </w:tr>
      <w:tr w:rsidR="00C12BFC" w:rsidRPr="00C152C3" w14:paraId="6952E9BF" w14:textId="77777777" w:rsidTr="006362FE">
        <w:trPr>
          <w:jc w:val="center"/>
        </w:trPr>
        <w:tc>
          <w:tcPr>
            <w:tcW w:w="3150" w:type="dxa"/>
            <w:shd w:val="clear" w:color="auto" w:fill="auto"/>
          </w:tcPr>
          <w:p w14:paraId="5B26BDF0" w14:textId="77777777" w:rsidR="00C12BFC" w:rsidRPr="00EB5396" w:rsidRDefault="00C12BFC" w:rsidP="00E456D0">
            <w:pPr>
              <w:widowControl w:val="0"/>
              <w:ind w:right="-360"/>
              <w:rPr>
                <w:bCs/>
                <w:iCs/>
                <w:sz w:val="20"/>
                <w:szCs w:val="20"/>
              </w:rPr>
            </w:pPr>
            <w:r w:rsidRPr="00EB5396">
              <w:rPr>
                <w:bCs/>
                <w:iCs/>
                <w:sz w:val="20"/>
                <w:szCs w:val="20"/>
              </w:rPr>
              <w:t>Belmont</w:t>
            </w:r>
          </w:p>
        </w:tc>
        <w:tc>
          <w:tcPr>
            <w:tcW w:w="2950" w:type="dxa"/>
            <w:shd w:val="clear" w:color="auto" w:fill="auto"/>
          </w:tcPr>
          <w:p w14:paraId="78517DC5" w14:textId="77777777" w:rsidR="00C12BFC" w:rsidRPr="00EB5396" w:rsidRDefault="0043202E" w:rsidP="00E456D0">
            <w:pPr>
              <w:widowControl w:val="0"/>
              <w:ind w:right="-360"/>
              <w:rPr>
                <w:bCs/>
                <w:iCs/>
                <w:sz w:val="20"/>
                <w:szCs w:val="20"/>
              </w:rPr>
            </w:pPr>
            <w:r>
              <w:rPr>
                <w:bCs/>
                <w:iCs/>
                <w:sz w:val="20"/>
                <w:szCs w:val="20"/>
              </w:rPr>
              <w:t>Somerville</w:t>
            </w:r>
          </w:p>
        </w:tc>
      </w:tr>
      <w:tr w:rsidR="00C12BFC" w:rsidRPr="00C152C3" w14:paraId="5ABBCFDC" w14:textId="77777777" w:rsidTr="006362FE">
        <w:trPr>
          <w:jc w:val="center"/>
        </w:trPr>
        <w:tc>
          <w:tcPr>
            <w:tcW w:w="3150" w:type="dxa"/>
            <w:shd w:val="clear" w:color="auto" w:fill="auto"/>
          </w:tcPr>
          <w:p w14:paraId="2CDE35E8" w14:textId="77777777" w:rsidR="00C12BFC" w:rsidRPr="00EB5396" w:rsidRDefault="006D52EC" w:rsidP="00E456D0">
            <w:pPr>
              <w:widowControl w:val="0"/>
              <w:ind w:right="-360"/>
              <w:rPr>
                <w:bCs/>
                <w:iCs/>
                <w:sz w:val="20"/>
                <w:szCs w:val="20"/>
              </w:rPr>
            </w:pPr>
            <w:r>
              <w:rPr>
                <w:bCs/>
                <w:iCs/>
                <w:sz w:val="20"/>
                <w:szCs w:val="20"/>
              </w:rPr>
              <w:t>Burlington*</w:t>
            </w:r>
          </w:p>
        </w:tc>
        <w:tc>
          <w:tcPr>
            <w:tcW w:w="2950" w:type="dxa"/>
            <w:shd w:val="clear" w:color="auto" w:fill="auto"/>
          </w:tcPr>
          <w:p w14:paraId="63C6BFE0" w14:textId="77777777" w:rsidR="00C12BFC" w:rsidRPr="00EB5396" w:rsidRDefault="006D52EC" w:rsidP="00E456D0">
            <w:pPr>
              <w:widowControl w:val="0"/>
              <w:ind w:right="-360"/>
              <w:rPr>
                <w:bCs/>
                <w:iCs/>
                <w:sz w:val="20"/>
                <w:szCs w:val="20"/>
              </w:rPr>
            </w:pPr>
            <w:r>
              <w:rPr>
                <w:bCs/>
                <w:iCs/>
                <w:sz w:val="20"/>
                <w:szCs w:val="20"/>
              </w:rPr>
              <w:t>Stoneham*</w:t>
            </w:r>
          </w:p>
        </w:tc>
      </w:tr>
      <w:tr w:rsidR="006D52EC" w:rsidRPr="00C152C3" w14:paraId="28D71F36" w14:textId="77777777" w:rsidTr="006362FE">
        <w:trPr>
          <w:jc w:val="center"/>
        </w:trPr>
        <w:tc>
          <w:tcPr>
            <w:tcW w:w="3150" w:type="dxa"/>
            <w:shd w:val="clear" w:color="auto" w:fill="auto"/>
          </w:tcPr>
          <w:p w14:paraId="722222CE" w14:textId="77777777" w:rsidR="006D52EC" w:rsidRPr="00EB5396" w:rsidRDefault="006D52EC" w:rsidP="006D52EC">
            <w:pPr>
              <w:widowControl w:val="0"/>
              <w:ind w:right="-360"/>
              <w:rPr>
                <w:bCs/>
                <w:iCs/>
                <w:sz w:val="20"/>
                <w:szCs w:val="20"/>
              </w:rPr>
            </w:pPr>
            <w:r w:rsidRPr="00EB5396">
              <w:rPr>
                <w:bCs/>
                <w:iCs/>
                <w:sz w:val="20"/>
                <w:szCs w:val="20"/>
              </w:rPr>
              <w:t>Cambridge</w:t>
            </w:r>
          </w:p>
        </w:tc>
        <w:tc>
          <w:tcPr>
            <w:tcW w:w="2950" w:type="dxa"/>
            <w:shd w:val="clear" w:color="auto" w:fill="auto"/>
          </w:tcPr>
          <w:p w14:paraId="229E2AA7" w14:textId="77777777" w:rsidR="006D52EC" w:rsidRPr="00EB5396" w:rsidRDefault="006D52EC" w:rsidP="006D52EC">
            <w:pPr>
              <w:widowControl w:val="0"/>
              <w:ind w:right="-360"/>
              <w:rPr>
                <w:bCs/>
                <w:iCs/>
                <w:sz w:val="20"/>
                <w:szCs w:val="20"/>
              </w:rPr>
            </w:pPr>
            <w:r>
              <w:rPr>
                <w:bCs/>
                <w:iCs/>
                <w:sz w:val="20"/>
                <w:szCs w:val="20"/>
              </w:rPr>
              <w:t>Wakefield</w:t>
            </w:r>
          </w:p>
        </w:tc>
      </w:tr>
      <w:tr w:rsidR="006D52EC" w:rsidRPr="00C152C3" w14:paraId="2D5EAF38" w14:textId="77777777" w:rsidTr="006362FE">
        <w:trPr>
          <w:jc w:val="center"/>
        </w:trPr>
        <w:tc>
          <w:tcPr>
            <w:tcW w:w="3150" w:type="dxa"/>
            <w:shd w:val="clear" w:color="auto" w:fill="auto"/>
          </w:tcPr>
          <w:p w14:paraId="5FD52C96" w14:textId="77777777" w:rsidR="006D52EC" w:rsidRPr="00EB5396" w:rsidRDefault="006D52EC" w:rsidP="006D52EC">
            <w:pPr>
              <w:widowControl w:val="0"/>
              <w:ind w:right="-360"/>
              <w:rPr>
                <w:bCs/>
                <w:iCs/>
                <w:sz w:val="20"/>
                <w:szCs w:val="20"/>
              </w:rPr>
            </w:pPr>
            <w:r>
              <w:rPr>
                <w:bCs/>
                <w:iCs/>
                <w:sz w:val="20"/>
                <w:szCs w:val="20"/>
              </w:rPr>
              <w:t>Everett</w:t>
            </w:r>
          </w:p>
        </w:tc>
        <w:tc>
          <w:tcPr>
            <w:tcW w:w="2950" w:type="dxa"/>
            <w:shd w:val="clear" w:color="auto" w:fill="auto"/>
          </w:tcPr>
          <w:p w14:paraId="101C6BC2" w14:textId="77777777" w:rsidR="006D52EC" w:rsidRPr="00EB5396" w:rsidRDefault="006D52EC" w:rsidP="006D52EC">
            <w:pPr>
              <w:widowControl w:val="0"/>
              <w:ind w:right="-360"/>
              <w:rPr>
                <w:bCs/>
                <w:iCs/>
                <w:sz w:val="20"/>
                <w:szCs w:val="20"/>
              </w:rPr>
            </w:pPr>
            <w:r>
              <w:rPr>
                <w:bCs/>
                <w:iCs/>
                <w:sz w:val="20"/>
                <w:szCs w:val="20"/>
              </w:rPr>
              <w:t>Wilmington*</w:t>
            </w:r>
          </w:p>
        </w:tc>
      </w:tr>
      <w:tr w:rsidR="006D52EC" w:rsidRPr="00C152C3" w14:paraId="52D80025" w14:textId="77777777" w:rsidTr="006362FE">
        <w:trPr>
          <w:jc w:val="center"/>
        </w:trPr>
        <w:tc>
          <w:tcPr>
            <w:tcW w:w="3150" w:type="dxa"/>
            <w:shd w:val="clear" w:color="auto" w:fill="auto"/>
          </w:tcPr>
          <w:p w14:paraId="2474C499" w14:textId="77777777" w:rsidR="006D52EC" w:rsidRPr="00EB5396" w:rsidRDefault="006D52EC" w:rsidP="006D52EC">
            <w:pPr>
              <w:widowControl w:val="0"/>
              <w:ind w:right="-360"/>
              <w:rPr>
                <w:bCs/>
                <w:iCs/>
                <w:sz w:val="20"/>
                <w:szCs w:val="20"/>
              </w:rPr>
            </w:pPr>
            <w:r>
              <w:rPr>
                <w:bCs/>
                <w:iCs/>
                <w:sz w:val="20"/>
                <w:szCs w:val="20"/>
              </w:rPr>
              <w:t>Malden</w:t>
            </w:r>
          </w:p>
        </w:tc>
        <w:tc>
          <w:tcPr>
            <w:tcW w:w="2950" w:type="dxa"/>
            <w:shd w:val="clear" w:color="auto" w:fill="auto"/>
          </w:tcPr>
          <w:p w14:paraId="2EA6DF79" w14:textId="77777777" w:rsidR="006D52EC" w:rsidRPr="00EB5396" w:rsidRDefault="006D52EC" w:rsidP="006D52EC">
            <w:pPr>
              <w:widowControl w:val="0"/>
              <w:ind w:right="-360"/>
              <w:rPr>
                <w:bCs/>
                <w:iCs/>
                <w:sz w:val="20"/>
                <w:szCs w:val="20"/>
              </w:rPr>
            </w:pPr>
            <w:r>
              <w:rPr>
                <w:bCs/>
                <w:iCs/>
                <w:sz w:val="20"/>
                <w:szCs w:val="20"/>
              </w:rPr>
              <w:t>Winchester*</w:t>
            </w:r>
          </w:p>
        </w:tc>
      </w:tr>
      <w:tr w:rsidR="006D52EC" w:rsidRPr="00C152C3" w14:paraId="00F6393D" w14:textId="77777777" w:rsidTr="006362FE">
        <w:trPr>
          <w:jc w:val="center"/>
        </w:trPr>
        <w:tc>
          <w:tcPr>
            <w:tcW w:w="3150" w:type="dxa"/>
            <w:shd w:val="clear" w:color="auto" w:fill="auto"/>
          </w:tcPr>
          <w:p w14:paraId="438A6774" w14:textId="77777777" w:rsidR="006D52EC" w:rsidRPr="00EB5396" w:rsidRDefault="006D52EC" w:rsidP="006D52EC">
            <w:pPr>
              <w:widowControl w:val="0"/>
              <w:ind w:right="-360"/>
              <w:rPr>
                <w:bCs/>
                <w:iCs/>
                <w:sz w:val="20"/>
                <w:szCs w:val="20"/>
              </w:rPr>
            </w:pPr>
            <w:r>
              <w:rPr>
                <w:bCs/>
                <w:iCs/>
                <w:sz w:val="20"/>
                <w:szCs w:val="20"/>
              </w:rPr>
              <w:t>Medford</w:t>
            </w:r>
          </w:p>
        </w:tc>
        <w:tc>
          <w:tcPr>
            <w:tcW w:w="2950" w:type="dxa"/>
            <w:shd w:val="clear" w:color="auto" w:fill="auto"/>
          </w:tcPr>
          <w:p w14:paraId="2FAFA914" w14:textId="77777777" w:rsidR="006D52EC" w:rsidRPr="00EB5396" w:rsidRDefault="006D52EC" w:rsidP="006D52EC">
            <w:pPr>
              <w:widowControl w:val="0"/>
              <w:ind w:right="-360"/>
              <w:rPr>
                <w:bCs/>
                <w:iCs/>
                <w:sz w:val="20"/>
                <w:szCs w:val="20"/>
              </w:rPr>
            </w:pPr>
            <w:r>
              <w:rPr>
                <w:bCs/>
                <w:iCs/>
                <w:sz w:val="20"/>
                <w:szCs w:val="20"/>
              </w:rPr>
              <w:t>Woburn*</w:t>
            </w:r>
          </w:p>
        </w:tc>
      </w:tr>
      <w:tr w:rsidR="006D52EC" w:rsidRPr="00C152C3" w14:paraId="59623872" w14:textId="77777777" w:rsidTr="006362FE">
        <w:trPr>
          <w:jc w:val="center"/>
        </w:trPr>
        <w:tc>
          <w:tcPr>
            <w:tcW w:w="3150" w:type="dxa"/>
            <w:shd w:val="clear" w:color="auto" w:fill="auto"/>
          </w:tcPr>
          <w:p w14:paraId="00FE8BE4" w14:textId="77777777" w:rsidR="006D52EC" w:rsidRPr="00EB5396" w:rsidRDefault="006D52EC" w:rsidP="006D52EC">
            <w:pPr>
              <w:widowControl w:val="0"/>
              <w:ind w:right="-360"/>
              <w:rPr>
                <w:bCs/>
                <w:iCs/>
                <w:sz w:val="20"/>
                <w:szCs w:val="20"/>
              </w:rPr>
            </w:pPr>
            <w:r>
              <w:rPr>
                <w:bCs/>
                <w:iCs/>
                <w:sz w:val="20"/>
                <w:szCs w:val="20"/>
              </w:rPr>
              <w:t>Melrose</w:t>
            </w:r>
          </w:p>
        </w:tc>
        <w:tc>
          <w:tcPr>
            <w:tcW w:w="2950" w:type="dxa"/>
            <w:shd w:val="clear" w:color="auto" w:fill="auto"/>
          </w:tcPr>
          <w:p w14:paraId="40495C2E" w14:textId="77777777" w:rsidR="006D52EC" w:rsidRPr="00EB5396" w:rsidRDefault="006D52EC" w:rsidP="006D52EC">
            <w:pPr>
              <w:widowControl w:val="0"/>
              <w:ind w:right="-360"/>
              <w:rPr>
                <w:bCs/>
                <w:iCs/>
                <w:sz w:val="20"/>
                <w:szCs w:val="20"/>
              </w:rPr>
            </w:pPr>
          </w:p>
        </w:tc>
      </w:tr>
      <w:tr w:rsidR="006D52EC" w:rsidRPr="00C152C3" w14:paraId="6219C0EF" w14:textId="77777777" w:rsidTr="006362FE">
        <w:trPr>
          <w:jc w:val="center"/>
        </w:trPr>
        <w:tc>
          <w:tcPr>
            <w:tcW w:w="6100" w:type="dxa"/>
            <w:gridSpan w:val="2"/>
            <w:shd w:val="clear" w:color="auto" w:fill="auto"/>
          </w:tcPr>
          <w:p w14:paraId="281C55F1" w14:textId="77777777" w:rsidR="006D52EC" w:rsidRPr="00EB5396" w:rsidRDefault="006D52EC" w:rsidP="006D52EC">
            <w:pPr>
              <w:widowControl w:val="0"/>
              <w:ind w:right="-360"/>
              <w:jc w:val="center"/>
              <w:rPr>
                <w:bCs/>
                <w:iCs/>
                <w:sz w:val="20"/>
                <w:szCs w:val="20"/>
              </w:rPr>
            </w:pPr>
            <w:r w:rsidRPr="00EB5396">
              <w:rPr>
                <w:b/>
                <w:bCs/>
                <w:iCs/>
                <w:sz w:val="20"/>
                <w:szCs w:val="20"/>
              </w:rPr>
              <w:t>Norfolk County, MA</w:t>
            </w:r>
          </w:p>
        </w:tc>
      </w:tr>
      <w:tr w:rsidR="006D52EC" w:rsidRPr="00C152C3" w14:paraId="73DA8616" w14:textId="77777777" w:rsidTr="006362FE">
        <w:trPr>
          <w:jc w:val="center"/>
        </w:trPr>
        <w:tc>
          <w:tcPr>
            <w:tcW w:w="3150" w:type="dxa"/>
            <w:shd w:val="clear" w:color="auto" w:fill="auto"/>
          </w:tcPr>
          <w:p w14:paraId="110B8E7B" w14:textId="77777777" w:rsidR="006D52EC" w:rsidRPr="00EB5396" w:rsidRDefault="006D52EC" w:rsidP="006D52EC">
            <w:pPr>
              <w:widowControl w:val="0"/>
              <w:ind w:right="-360"/>
              <w:rPr>
                <w:bCs/>
                <w:iCs/>
                <w:sz w:val="20"/>
                <w:szCs w:val="20"/>
              </w:rPr>
            </w:pPr>
            <w:r w:rsidRPr="00EB5396">
              <w:rPr>
                <w:bCs/>
                <w:iCs/>
                <w:sz w:val="20"/>
                <w:szCs w:val="20"/>
              </w:rPr>
              <w:t>Brookline</w:t>
            </w:r>
          </w:p>
        </w:tc>
        <w:tc>
          <w:tcPr>
            <w:tcW w:w="2950" w:type="dxa"/>
            <w:shd w:val="clear" w:color="auto" w:fill="auto"/>
          </w:tcPr>
          <w:p w14:paraId="0365CF9E" w14:textId="77777777" w:rsidR="006D52EC" w:rsidRPr="00EB5396" w:rsidRDefault="006D52EC" w:rsidP="006D52EC">
            <w:pPr>
              <w:widowControl w:val="0"/>
              <w:ind w:right="-360"/>
              <w:rPr>
                <w:bCs/>
                <w:iCs/>
                <w:sz w:val="20"/>
                <w:szCs w:val="20"/>
              </w:rPr>
            </w:pPr>
            <w:r>
              <w:rPr>
                <w:bCs/>
                <w:iCs/>
                <w:sz w:val="20"/>
                <w:szCs w:val="20"/>
              </w:rPr>
              <w:t>Quincy*</w:t>
            </w:r>
          </w:p>
        </w:tc>
      </w:tr>
      <w:tr w:rsidR="006D52EC" w:rsidRPr="00C152C3" w14:paraId="1D22EC05" w14:textId="77777777" w:rsidTr="006362FE">
        <w:trPr>
          <w:jc w:val="center"/>
        </w:trPr>
        <w:tc>
          <w:tcPr>
            <w:tcW w:w="6100" w:type="dxa"/>
            <w:gridSpan w:val="2"/>
            <w:shd w:val="clear" w:color="auto" w:fill="auto"/>
          </w:tcPr>
          <w:p w14:paraId="2156E1D8" w14:textId="77777777" w:rsidR="006D52EC" w:rsidRPr="00EB5396" w:rsidRDefault="006D52EC" w:rsidP="006D52EC">
            <w:pPr>
              <w:widowControl w:val="0"/>
              <w:ind w:right="-360"/>
              <w:jc w:val="center"/>
              <w:rPr>
                <w:b/>
                <w:bCs/>
                <w:iCs/>
                <w:sz w:val="20"/>
                <w:szCs w:val="20"/>
              </w:rPr>
            </w:pPr>
            <w:r w:rsidRPr="00EB5396">
              <w:rPr>
                <w:b/>
                <w:bCs/>
                <w:iCs/>
                <w:sz w:val="20"/>
                <w:szCs w:val="20"/>
              </w:rPr>
              <w:t>Suffolk County, MA</w:t>
            </w:r>
          </w:p>
        </w:tc>
      </w:tr>
      <w:tr w:rsidR="006D52EC" w:rsidRPr="00C152C3" w14:paraId="02A7E501" w14:textId="77777777" w:rsidTr="006362FE">
        <w:trPr>
          <w:jc w:val="center"/>
        </w:trPr>
        <w:tc>
          <w:tcPr>
            <w:tcW w:w="3150" w:type="dxa"/>
            <w:shd w:val="clear" w:color="auto" w:fill="auto"/>
          </w:tcPr>
          <w:p w14:paraId="5FC53968" w14:textId="77777777" w:rsidR="006D52EC" w:rsidRPr="00EB5396" w:rsidRDefault="006D52EC" w:rsidP="006D52EC">
            <w:pPr>
              <w:widowControl w:val="0"/>
              <w:ind w:right="-360"/>
              <w:rPr>
                <w:bCs/>
                <w:iCs/>
                <w:sz w:val="20"/>
                <w:szCs w:val="20"/>
              </w:rPr>
            </w:pPr>
            <w:r w:rsidRPr="00EB5396">
              <w:rPr>
                <w:bCs/>
                <w:iCs/>
                <w:sz w:val="20"/>
                <w:szCs w:val="20"/>
              </w:rPr>
              <w:t>Boston</w:t>
            </w:r>
          </w:p>
        </w:tc>
        <w:tc>
          <w:tcPr>
            <w:tcW w:w="2950" w:type="dxa"/>
            <w:shd w:val="clear" w:color="auto" w:fill="auto"/>
          </w:tcPr>
          <w:p w14:paraId="2C383076" w14:textId="77777777" w:rsidR="006D52EC" w:rsidRPr="00EB5396" w:rsidRDefault="006D52EC" w:rsidP="006D52EC">
            <w:pPr>
              <w:widowControl w:val="0"/>
              <w:ind w:right="-360"/>
              <w:rPr>
                <w:bCs/>
                <w:iCs/>
                <w:sz w:val="20"/>
                <w:szCs w:val="20"/>
              </w:rPr>
            </w:pPr>
            <w:r w:rsidRPr="00EB5396">
              <w:rPr>
                <w:bCs/>
                <w:iCs/>
                <w:sz w:val="20"/>
                <w:szCs w:val="20"/>
              </w:rPr>
              <w:t>Chelsea</w:t>
            </w:r>
          </w:p>
        </w:tc>
      </w:tr>
      <w:tr w:rsidR="006D52EC" w:rsidRPr="00C152C3" w14:paraId="338B30E3" w14:textId="77777777" w:rsidTr="006362FE">
        <w:trPr>
          <w:jc w:val="center"/>
        </w:trPr>
        <w:tc>
          <w:tcPr>
            <w:tcW w:w="3150" w:type="dxa"/>
            <w:shd w:val="clear" w:color="auto" w:fill="auto"/>
          </w:tcPr>
          <w:p w14:paraId="7E090B6F" w14:textId="77777777" w:rsidR="006D52EC" w:rsidRPr="00EB5396" w:rsidRDefault="006D52EC" w:rsidP="006D52EC">
            <w:pPr>
              <w:widowControl w:val="0"/>
              <w:ind w:right="-360"/>
              <w:rPr>
                <w:bCs/>
                <w:iCs/>
                <w:sz w:val="20"/>
                <w:szCs w:val="20"/>
              </w:rPr>
            </w:pPr>
            <w:r w:rsidRPr="00EB5396">
              <w:rPr>
                <w:bCs/>
                <w:iCs/>
                <w:sz w:val="20"/>
                <w:szCs w:val="20"/>
              </w:rPr>
              <w:t>Revere</w:t>
            </w:r>
          </w:p>
        </w:tc>
        <w:tc>
          <w:tcPr>
            <w:tcW w:w="2950" w:type="dxa"/>
            <w:shd w:val="clear" w:color="auto" w:fill="auto"/>
          </w:tcPr>
          <w:p w14:paraId="3C08AABF" w14:textId="77777777" w:rsidR="006D52EC" w:rsidRPr="00EB5396" w:rsidRDefault="006D52EC" w:rsidP="006D52EC">
            <w:pPr>
              <w:widowControl w:val="0"/>
              <w:ind w:right="-360"/>
              <w:rPr>
                <w:bCs/>
                <w:iCs/>
                <w:sz w:val="20"/>
                <w:szCs w:val="20"/>
              </w:rPr>
            </w:pPr>
            <w:r w:rsidRPr="00EB5396">
              <w:rPr>
                <w:bCs/>
                <w:iCs/>
                <w:sz w:val="20"/>
                <w:szCs w:val="20"/>
              </w:rPr>
              <w:t>Winthrop</w:t>
            </w:r>
          </w:p>
        </w:tc>
      </w:tr>
    </w:tbl>
    <w:p w14:paraId="7DDF4396" w14:textId="77777777" w:rsidR="00C12BFC" w:rsidRPr="00042CDA" w:rsidRDefault="00C12BFC" w:rsidP="00C12BFC">
      <w:pPr>
        <w:widowControl w:val="0"/>
        <w:ind w:left="1440" w:right="-360"/>
        <w:rPr>
          <w:bCs/>
          <w:iCs/>
          <w:color w:val="000000"/>
          <w:sz w:val="20"/>
          <w:szCs w:val="20"/>
        </w:rPr>
      </w:pPr>
      <w:r>
        <w:rPr>
          <w:bCs/>
          <w:iCs/>
          <w:color w:val="000000"/>
          <w:sz w:val="20"/>
          <w:szCs w:val="20"/>
        </w:rPr>
        <w:t xml:space="preserve">    </w:t>
      </w:r>
      <w:r w:rsidRPr="00042CDA">
        <w:rPr>
          <w:bCs/>
          <w:iCs/>
          <w:color w:val="000000"/>
          <w:sz w:val="20"/>
          <w:szCs w:val="20"/>
        </w:rPr>
        <w:t xml:space="preserve">* Added </w:t>
      </w:r>
      <w:r w:rsidR="006D52EC">
        <w:rPr>
          <w:bCs/>
          <w:iCs/>
          <w:color w:val="000000"/>
          <w:sz w:val="20"/>
          <w:szCs w:val="20"/>
        </w:rPr>
        <w:t>since the previous evaluation</w:t>
      </w:r>
    </w:p>
    <w:p w14:paraId="7930CA80" w14:textId="77777777" w:rsidR="00C12BFC" w:rsidRDefault="00C12BFC" w:rsidP="00C12BFC">
      <w:pPr>
        <w:widowControl w:val="0"/>
        <w:ind w:left="2160" w:right="-360"/>
        <w:rPr>
          <w:bCs/>
          <w:iCs/>
          <w:color w:val="000000"/>
        </w:rPr>
      </w:pPr>
    </w:p>
    <w:p w14:paraId="5FD577D3" w14:textId="77777777" w:rsidR="00C12BFC" w:rsidRPr="00815E98" w:rsidRDefault="00C12BFC" w:rsidP="00C12BFC">
      <w:r>
        <w:rPr>
          <w:bCs/>
          <w:iCs/>
          <w:color w:val="000000"/>
        </w:rPr>
        <w:t xml:space="preserve">The cities and towns in Essex and Middlesex Counties are located in the </w:t>
      </w:r>
      <w:r w:rsidRPr="00C152C3">
        <w:rPr>
          <w:bCs/>
          <w:iCs/>
        </w:rPr>
        <w:t xml:space="preserve">Cambridge-Newton-Framingham, MA </w:t>
      </w:r>
      <w:r>
        <w:rPr>
          <w:bCs/>
          <w:iCs/>
        </w:rPr>
        <w:t xml:space="preserve">Metropolitan District (MD).  The cities and towns in Norfolk and Suffolk Counties are located in the Boston, MA MD.  Both MDs are part of the greater </w:t>
      </w:r>
      <w:r w:rsidRPr="00C152C3">
        <w:rPr>
          <w:bCs/>
          <w:iCs/>
        </w:rPr>
        <w:t xml:space="preserve">Boston-Cambridge-Newton, MA-NH </w:t>
      </w:r>
      <w:r>
        <w:rPr>
          <w:bCs/>
          <w:iCs/>
        </w:rPr>
        <w:t>M</w:t>
      </w:r>
      <w:r w:rsidRPr="00C152C3">
        <w:rPr>
          <w:bCs/>
          <w:iCs/>
        </w:rPr>
        <w:t>SA</w:t>
      </w:r>
      <w:r>
        <w:rPr>
          <w:bCs/>
          <w:iCs/>
        </w:rPr>
        <w:t xml:space="preserve">.  </w:t>
      </w:r>
      <w:r w:rsidRPr="00336BF8">
        <w:t>The bank does not have any branches ou</w:t>
      </w:r>
      <w:r>
        <w:t>tside of the Boston-Cambridge-</w:t>
      </w:r>
      <w:r w:rsidRPr="00336BF8">
        <w:t>Newton, MA-NH MSA</w:t>
      </w:r>
      <w:r>
        <w:t>.</w:t>
      </w:r>
    </w:p>
    <w:p w14:paraId="1B62C613" w14:textId="77777777" w:rsidR="00C12BFC" w:rsidRDefault="00C12BFC" w:rsidP="00C12BFC">
      <w:pPr>
        <w:widowControl w:val="0"/>
        <w:ind w:right="-360"/>
        <w:rPr>
          <w:bCs/>
          <w:iCs/>
        </w:rPr>
      </w:pPr>
    </w:p>
    <w:p w14:paraId="37559A60" w14:textId="77777777" w:rsidR="00C12BFC" w:rsidRDefault="00C12BFC" w:rsidP="00C12BFC">
      <w:pPr>
        <w:widowControl w:val="0"/>
        <w:ind w:right="-360"/>
        <w:rPr>
          <w:bCs/>
          <w:iCs/>
        </w:rPr>
      </w:pPr>
      <w:r>
        <w:rPr>
          <w:bCs/>
          <w:iCs/>
        </w:rPr>
        <w:t xml:space="preserve">The </w:t>
      </w:r>
      <w:r w:rsidR="006D52EC">
        <w:rPr>
          <w:bCs/>
          <w:iCs/>
        </w:rPr>
        <w:t>412</w:t>
      </w:r>
      <w:r>
        <w:rPr>
          <w:bCs/>
          <w:iCs/>
        </w:rPr>
        <w:t xml:space="preserve"> census tracts reflect the following income designations according to the 201</w:t>
      </w:r>
      <w:r w:rsidR="006D52EC">
        <w:rPr>
          <w:bCs/>
          <w:iCs/>
        </w:rPr>
        <w:t>5</w:t>
      </w:r>
      <w:r>
        <w:rPr>
          <w:bCs/>
          <w:iCs/>
        </w:rPr>
        <w:t xml:space="preserve"> </w:t>
      </w:r>
      <w:r w:rsidR="006D52EC">
        <w:rPr>
          <w:bCs/>
          <w:iCs/>
        </w:rPr>
        <w:t xml:space="preserve">American Community Survey (ACS) </w:t>
      </w:r>
      <w:r w:rsidR="00675204">
        <w:rPr>
          <w:bCs/>
          <w:iCs/>
        </w:rPr>
        <w:t xml:space="preserve">US </w:t>
      </w:r>
      <w:r>
        <w:rPr>
          <w:bCs/>
          <w:iCs/>
        </w:rPr>
        <w:t>Census:</w:t>
      </w:r>
    </w:p>
    <w:p w14:paraId="6A1015B0" w14:textId="77777777" w:rsidR="00C12BFC" w:rsidRDefault="00C12BFC" w:rsidP="00C12BFC">
      <w:pPr>
        <w:widowControl w:val="0"/>
        <w:ind w:right="-360"/>
        <w:rPr>
          <w:bCs/>
          <w:iCs/>
        </w:rPr>
      </w:pPr>
    </w:p>
    <w:p w14:paraId="061CDF5A" w14:textId="77777777" w:rsidR="00C12BFC" w:rsidRDefault="006D52EC" w:rsidP="00C12BFC">
      <w:pPr>
        <w:widowControl w:val="0"/>
        <w:numPr>
          <w:ilvl w:val="0"/>
          <w:numId w:val="24"/>
        </w:numPr>
        <w:ind w:right="-360"/>
        <w:rPr>
          <w:bCs/>
          <w:iCs/>
          <w:color w:val="000000"/>
        </w:rPr>
      </w:pPr>
      <w:r>
        <w:rPr>
          <w:bCs/>
          <w:iCs/>
          <w:color w:val="000000"/>
        </w:rPr>
        <w:t>70</w:t>
      </w:r>
      <w:r w:rsidR="00C12BFC">
        <w:rPr>
          <w:bCs/>
          <w:iCs/>
          <w:color w:val="000000"/>
        </w:rPr>
        <w:t xml:space="preserve"> low-income tracts,</w:t>
      </w:r>
    </w:p>
    <w:p w14:paraId="1CB12E14" w14:textId="77777777" w:rsidR="00C12BFC" w:rsidRDefault="00C12BFC" w:rsidP="00C12BFC">
      <w:pPr>
        <w:widowControl w:val="0"/>
        <w:numPr>
          <w:ilvl w:val="0"/>
          <w:numId w:val="24"/>
        </w:numPr>
        <w:ind w:right="-360"/>
        <w:rPr>
          <w:bCs/>
          <w:iCs/>
          <w:color w:val="000000"/>
        </w:rPr>
      </w:pPr>
      <w:r>
        <w:rPr>
          <w:bCs/>
          <w:iCs/>
          <w:color w:val="000000"/>
        </w:rPr>
        <w:t>1</w:t>
      </w:r>
      <w:r w:rsidR="006D52EC">
        <w:rPr>
          <w:bCs/>
          <w:iCs/>
          <w:color w:val="000000"/>
        </w:rPr>
        <w:t>17</w:t>
      </w:r>
      <w:r>
        <w:rPr>
          <w:bCs/>
          <w:iCs/>
          <w:color w:val="000000"/>
        </w:rPr>
        <w:t xml:space="preserve"> moderate-income tracts, </w:t>
      </w:r>
    </w:p>
    <w:p w14:paraId="54417973" w14:textId="77777777" w:rsidR="00C12BFC" w:rsidRDefault="00C12BFC" w:rsidP="00C12BFC">
      <w:pPr>
        <w:widowControl w:val="0"/>
        <w:numPr>
          <w:ilvl w:val="0"/>
          <w:numId w:val="24"/>
        </w:numPr>
        <w:ind w:right="-360"/>
        <w:rPr>
          <w:bCs/>
          <w:iCs/>
          <w:color w:val="000000"/>
        </w:rPr>
      </w:pPr>
      <w:r>
        <w:rPr>
          <w:bCs/>
          <w:iCs/>
          <w:color w:val="000000"/>
        </w:rPr>
        <w:t>1</w:t>
      </w:r>
      <w:r w:rsidR="006D52EC">
        <w:rPr>
          <w:bCs/>
          <w:iCs/>
          <w:color w:val="000000"/>
        </w:rPr>
        <w:t>34</w:t>
      </w:r>
      <w:r>
        <w:rPr>
          <w:bCs/>
          <w:iCs/>
          <w:color w:val="000000"/>
        </w:rPr>
        <w:t xml:space="preserve"> middle-income tracts, </w:t>
      </w:r>
    </w:p>
    <w:p w14:paraId="6EDD15DA" w14:textId="77777777" w:rsidR="00C12BFC" w:rsidRDefault="006D52EC" w:rsidP="00C12BFC">
      <w:pPr>
        <w:widowControl w:val="0"/>
        <w:numPr>
          <w:ilvl w:val="0"/>
          <w:numId w:val="24"/>
        </w:numPr>
        <w:ind w:right="-360"/>
        <w:rPr>
          <w:bCs/>
          <w:iCs/>
          <w:color w:val="000000"/>
        </w:rPr>
      </w:pPr>
      <w:r>
        <w:rPr>
          <w:bCs/>
          <w:iCs/>
          <w:color w:val="000000"/>
        </w:rPr>
        <w:t>78</w:t>
      </w:r>
      <w:r w:rsidR="00C12BFC">
        <w:rPr>
          <w:bCs/>
          <w:iCs/>
          <w:color w:val="000000"/>
        </w:rPr>
        <w:t xml:space="preserve"> upper-income tracts, and</w:t>
      </w:r>
    </w:p>
    <w:p w14:paraId="329C4DAC" w14:textId="77777777" w:rsidR="00C12BFC" w:rsidRPr="00DB0C65" w:rsidRDefault="00C12BFC" w:rsidP="00C12BFC">
      <w:pPr>
        <w:widowControl w:val="0"/>
        <w:numPr>
          <w:ilvl w:val="0"/>
          <w:numId w:val="24"/>
        </w:numPr>
        <w:ind w:right="-360"/>
        <w:rPr>
          <w:bCs/>
          <w:iCs/>
          <w:color w:val="000000"/>
        </w:rPr>
      </w:pPr>
      <w:r>
        <w:rPr>
          <w:bCs/>
          <w:iCs/>
        </w:rPr>
        <w:t>1</w:t>
      </w:r>
      <w:r w:rsidR="006D52EC">
        <w:rPr>
          <w:bCs/>
          <w:iCs/>
        </w:rPr>
        <w:t>3</w:t>
      </w:r>
      <w:r>
        <w:rPr>
          <w:bCs/>
          <w:iCs/>
        </w:rPr>
        <w:t xml:space="preserve"> </w:t>
      </w:r>
      <w:r w:rsidRPr="00C152C3">
        <w:rPr>
          <w:bCs/>
          <w:iCs/>
        </w:rPr>
        <w:t>census tract</w:t>
      </w:r>
      <w:r w:rsidR="00EE552A">
        <w:rPr>
          <w:bCs/>
          <w:iCs/>
        </w:rPr>
        <w:t>s</w:t>
      </w:r>
      <w:r w:rsidRPr="00C152C3">
        <w:rPr>
          <w:bCs/>
          <w:iCs/>
        </w:rPr>
        <w:t xml:space="preserve"> with no income designation</w:t>
      </w:r>
      <w:r>
        <w:rPr>
          <w:bCs/>
          <w:iCs/>
        </w:rPr>
        <w:t>.</w:t>
      </w:r>
    </w:p>
    <w:p w14:paraId="315C9487" w14:textId="77777777" w:rsidR="00C12BFC" w:rsidRPr="008C68C3" w:rsidRDefault="00C12BFC" w:rsidP="00C12BFC">
      <w:pPr>
        <w:widowControl w:val="0"/>
        <w:ind w:right="-360"/>
        <w:rPr>
          <w:bCs/>
          <w:iCs/>
          <w:color w:val="000000"/>
        </w:rPr>
      </w:pPr>
    </w:p>
    <w:p w14:paraId="7617576C" w14:textId="52DB5E88" w:rsidR="00816187" w:rsidRDefault="00621FC5" w:rsidP="00C12BFC">
      <w:pPr>
        <w:widowControl w:val="0"/>
        <w:ind w:right="-360"/>
        <w:rPr>
          <w:bCs/>
          <w:iCs/>
        </w:rPr>
      </w:pPr>
      <w:r>
        <w:rPr>
          <w:bCs/>
          <w:iCs/>
        </w:rPr>
        <w:t xml:space="preserve">The following </w:t>
      </w:r>
      <w:r w:rsidR="009D39B8">
        <w:rPr>
          <w:bCs/>
          <w:iCs/>
        </w:rPr>
        <w:t>areas have concentrated numbers of low</w:t>
      </w:r>
      <w:r w:rsidR="00C12BFC">
        <w:rPr>
          <w:bCs/>
          <w:iCs/>
        </w:rPr>
        <w:t>-</w:t>
      </w:r>
      <w:r w:rsidR="009D39B8">
        <w:rPr>
          <w:bCs/>
          <w:iCs/>
        </w:rPr>
        <w:t xml:space="preserve">and moderate-income </w:t>
      </w:r>
      <w:r w:rsidR="00C12BFC">
        <w:rPr>
          <w:bCs/>
          <w:iCs/>
        </w:rPr>
        <w:t>census tracts:</w:t>
      </w:r>
      <w:r w:rsidR="009D39B8">
        <w:rPr>
          <w:bCs/>
          <w:iCs/>
        </w:rPr>
        <w:t xml:space="preserve"> Allston, </w:t>
      </w:r>
      <w:r w:rsidR="009D39B8">
        <w:rPr>
          <w:bCs/>
          <w:iCs/>
        </w:rPr>
        <w:lastRenderedPageBreak/>
        <w:t>Brighton,</w:t>
      </w:r>
      <w:r w:rsidR="00C12BFC">
        <w:rPr>
          <w:bCs/>
          <w:iCs/>
        </w:rPr>
        <w:t xml:space="preserve"> </w:t>
      </w:r>
      <w:r>
        <w:rPr>
          <w:bCs/>
          <w:iCs/>
        </w:rPr>
        <w:t>Boston</w:t>
      </w:r>
      <w:r w:rsidR="00C12BFC">
        <w:rPr>
          <w:bCs/>
          <w:iCs/>
        </w:rPr>
        <w:t>, Cambridge, Chelsea,</w:t>
      </w:r>
      <w:r w:rsidR="009D39B8">
        <w:rPr>
          <w:bCs/>
          <w:iCs/>
        </w:rPr>
        <w:t xml:space="preserve"> Dorchester, </w:t>
      </w:r>
      <w:r w:rsidR="00952A36">
        <w:rPr>
          <w:bCs/>
          <w:iCs/>
        </w:rPr>
        <w:t>Everett,</w:t>
      </w:r>
      <w:r w:rsidR="009D39B8">
        <w:rPr>
          <w:bCs/>
          <w:iCs/>
        </w:rPr>
        <w:t xml:space="preserve"> Fenway, Jamaica Plain,</w:t>
      </w:r>
      <w:r w:rsidR="00C12BFC">
        <w:rPr>
          <w:bCs/>
          <w:iCs/>
        </w:rPr>
        <w:t xml:space="preserve"> Lynn, Malden, </w:t>
      </w:r>
      <w:r w:rsidR="005233C9">
        <w:rPr>
          <w:bCs/>
          <w:iCs/>
        </w:rPr>
        <w:t xml:space="preserve">Peabody, </w:t>
      </w:r>
      <w:r>
        <w:rPr>
          <w:bCs/>
          <w:iCs/>
        </w:rPr>
        <w:t xml:space="preserve">Quincy, </w:t>
      </w:r>
      <w:r w:rsidR="00C12BFC">
        <w:rPr>
          <w:bCs/>
          <w:iCs/>
        </w:rPr>
        <w:t>Revere,</w:t>
      </w:r>
      <w:r w:rsidR="009D39B8">
        <w:rPr>
          <w:bCs/>
          <w:iCs/>
        </w:rPr>
        <w:t xml:space="preserve"> Roxbury,</w:t>
      </w:r>
      <w:r>
        <w:rPr>
          <w:bCs/>
          <w:iCs/>
        </w:rPr>
        <w:t xml:space="preserve"> Salem,</w:t>
      </w:r>
      <w:r w:rsidR="00C12BFC">
        <w:rPr>
          <w:bCs/>
          <w:iCs/>
        </w:rPr>
        <w:t xml:space="preserve"> </w:t>
      </w:r>
      <w:r>
        <w:rPr>
          <w:bCs/>
          <w:iCs/>
        </w:rPr>
        <w:t>and</w:t>
      </w:r>
      <w:r w:rsidR="00C12BFC">
        <w:rPr>
          <w:bCs/>
          <w:iCs/>
        </w:rPr>
        <w:t xml:space="preserve"> Somerville</w:t>
      </w:r>
      <w:r>
        <w:rPr>
          <w:bCs/>
          <w:iCs/>
        </w:rPr>
        <w:t xml:space="preserve">.  </w:t>
      </w:r>
      <w:r w:rsidR="00C12BFC">
        <w:rPr>
          <w:bCs/>
          <w:iCs/>
        </w:rPr>
        <w:t>The census tracts with no income designation ar</w:t>
      </w:r>
      <w:r w:rsidR="0005749B">
        <w:rPr>
          <w:bCs/>
          <w:iCs/>
        </w:rPr>
        <w:t xml:space="preserve">e </w:t>
      </w:r>
      <w:r w:rsidR="0005749B" w:rsidRPr="0005749B">
        <w:rPr>
          <w:bCs/>
          <w:iCs/>
        </w:rPr>
        <w:t>Harbor Islands, Franklin Park</w:t>
      </w:r>
      <w:r w:rsidR="00D8104F">
        <w:rPr>
          <w:bCs/>
          <w:iCs/>
        </w:rPr>
        <w:t xml:space="preserve"> Zoo</w:t>
      </w:r>
      <w:r w:rsidR="00C12BFC" w:rsidRPr="0005749B">
        <w:rPr>
          <w:bCs/>
          <w:iCs/>
        </w:rPr>
        <w:t xml:space="preserve">, Stony Brook Reservation, Arnold Arboretum, Castle Island, </w:t>
      </w:r>
      <w:r w:rsidR="001B7F23" w:rsidRPr="0005749B">
        <w:rPr>
          <w:bCs/>
          <w:iCs/>
        </w:rPr>
        <w:t>Conley Terminal</w:t>
      </w:r>
      <w:r w:rsidR="00C12BFC" w:rsidRPr="0005749B">
        <w:rPr>
          <w:bCs/>
          <w:iCs/>
        </w:rPr>
        <w:t xml:space="preserve">, </w:t>
      </w:r>
      <w:r w:rsidR="0005749B" w:rsidRPr="0005749B">
        <w:rPr>
          <w:bCs/>
          <w:iCs/>
        </w:rPr>
        <w:t xml:space="preserve">South End (2), </w:t>
      </w:r>
      <w:r w:rsidR="00C12BFC" w:rsidRPr="0005749B">
        <w:rPr>
          <w:bCs/>
          <w:iCs/>
        </w:rPr>
        <w:t xml:space="preserve">Charles River, Suffolk Downs, Belle Isle Marsh Reservation, </w:t>
      </w:r>
      <w:r w:rsidR="006304B0" w:rsidRPr="0005749B">
        <w:rPr>
          <w:bCs/>
          <w:iCs/>
        </w:rPr>
        <w:t>Boston Common</w:t>
      </w:r>
      <w:r w:rsidR="00C12BFC" w:rsidRPr="0005749B">
        <w:rPr>
          <w:bCs/>
          <w:iCs/>
        </w:rPr>
        <w:t xml:space="preserve">, and </w:t>
      </w:r>
      <w:r w:rsidR="0005749B" w:rsidRPr="0005749B">
        <w:rPr>
          <w:bCs/>
          <w:iCs/>
        </w:rPr>
        <w:t>Boston Harbor</w:t>
      </w:r>
      <w:r w:rsidR="00C12BFC" w:rsidRPr="0005749B">
        <w:rPr>
          <w:bCs/>
          <w:iCs/>
        </w:rPr>
        <w:t>.</w:t>
      </w:r>
    </w:p>
    <w:p w14:paraId="77CFEB25" w14:textId="77777777" w:rsidR="00816187" w:rsidRDefault="00816187" w:rsidP="00C12BFC">
      <w:pPr>
        <w:widowControl w:val="0"/>
        <w:ind w:right="-360"/>
        <w:rPr>
          <w:bCs/>
          <w:iCs/>
        </w:rPr>
      </w:pPr>
    </w:p>
    <w:p w14:paraId="47BADF1A" w14:textId="7104C32D" w:rsidR="00C12BFC" w:rsidRPr="00815E98" w:rsidRDefault="00816187" w:rsidP="00DA4CA0">
      <w:pPr>
        <w:widowControl w:val="0"/>
        <w:ind w:right="-360"/>
        <w:rPr>
          <w:bCs/>
          <w:iCs/>
        </w:rPr>
      </w:pPr>
      <w:r w:rsidRPr="00816187">
        <w:rPr>
          <w:bCs/>
          <w:iCs/>
        </w:rPr>
        <w:t>There are no underserved or distressed nonmetropolitan middle-income geographies within the</w:t>
      </w:r>
      <w:r>
        <w:rPr>
          <w:bCs/>
          <w:iCs/>
        </w:rPr>
        <w:t xml:space="preserve"> </w:t>
      </w:r>
      <w:r w:rsidRPr="00816187">
        <w:rPr>
          <w:bCs/>
          <w:iCs/>
        </w:rPr>
        <w:t xml:space="preserve">assessment area. </w:t>
      </w:r>
      <w:r>
        <w:rPr>
          <w:bCs/>
          <w:iCs/>
        </w:rPr>
        <w:t xml:space="preserve"> </w:t>
      </w:r>
      <w:r w:rsidRPr="00816187">
        <w:rPr>
          <w:bCs/>
          <w:iCs/>
        </w:rPr>
        <w:t>There were two Federal Emergency Management Agency designated Major</w:t>
      </w:r>
      <w:r>
        <w:rPr>
          <w:bCs/>
          <w:iCs/>
        </w:rPr>
        <w:t xml:space="preserve"> </w:t>
      </w:r>
      <w:r w:rsidRPr="00816187">
        <w:rPr>
          <w:bCs/>
          <w:iCs/>
        </w:rPr>
        <w:t>Disaster declarations (DR -4372 -MA and DR -4379 -MA) in 2018 that impacted Essex,</w:t>
      </w:r>
      <w:r>
        <w:rPr>
          <w:bCs/>
          <w:iCs/>
        </w:rPr>
        <w:t xml:space="preserve"> </w:t>
      </w:r>
      <w:r w:rsidRPr="00816187">
        <w:rPr>
          <w:bCs/>
          <w:iCs/>
        </w:rPr>
        <w:t>Middlesex, Norfolk, and Suffolk counties.</w:t>
      </w:r>
      <w:r>
        <w:rPr>
          <w:bCs/>
          <w:iCs/>
        </w:rPr>
        <w:t xml:space="preserve">  </w:t>
      </w:r>
      <w:r w:rsidRPr="00816187">
        <w:rPr>
          <w:bCs/>
          <w:iCs/>
        </w:rPr>
        <w:t>Examiners consider bank activities related to disaster</w:t>
      </w:r>
      <w:r>
        <w:rPr>
          <w:bCs/>
          <w:iCs/>
        </w:rPr>
        <w:t xml:space="preserve"> </w:t>
      </w:r>
      <w:r w:rsidRPr="00816187">
        <w:rPr>
          <w:bCs/>
          <w:iCs/>
        </w:rPr>
        <w:t>recovery that revitalize or stabilize a designated disaster area for 36 months following the date of</w:t>
      </w:r>
      <w:r>
        <w:rPr>
          <w:bCs/>
          <w:iCs/>
        </w:rPr>
        <w:t xml:space="preserve"> </w:t>
      </w:r>
      <w:r w:rsidRPr="00816187">
        <w:rPr>
          <w:bCs/>
          <w:iCs/>
        </w:rPr>
        <w:t>designation</w:t>
      </w:r>
      <w:r w:rsidR="00DA4CA0" w:rsidRPr="00816187">
        <w:rPr>
          <w:bCs/>
          <w:iCs/>
        </w:rPr>
        <w:t>.</w:t>
      </w:r>
      <w:r w:rsidR="00DA4CA0">
        <w:rPr>
          <w:bCs/>
          <w:iCs/>
        </w:rPr>
        <w:t xml:space="preserve">  </w:t>
      </w:r>
      <w:r w:rsidR="00DA4CA0" w:rsidRPr="00DA4CA0">
        <w:rPr>
          <w:bCs/>
          <w:iCs/>
        </w:rPr>
        <w:t xml:space="preserve">Furthermore, there are </w:t>
      </w:r>
      <w:r w:rsidR="00DA4CA0">
        <w:rPr>
          <w:bCs/>
          <w:iCs/>
        </w:rPr>
        <w:t>14</w:t>
      </w:r>
      <w:r w:rsidR="00DA4CA0" w:rsidRPr="00DA4CA0">
        <w:rPr>
          <w:bCs/>
          <w:iCs/>
        </w:rPr>
        <w:t xml:space="preserve"> cities and towns throughout </w:t>
      </w:r>
      <w:r w:rsidR="00DA4CA0">
        <w:rPr>
          <w:bCs/>
          <w:iCs/>
        </w:rPr>
        <w:t xml:space="preserve">Essex, </w:t>
      </w:r>
      <w:r w:rsidR="00DA4CA0" w:rsidRPr="00DA4CA0">
        <w:rPr>
          <w:bCs/>
          <w:iCs/>
        </w:rPr>
        <w:t>Middlesex, Norfolk,</w:t>
      </w:r>
      <w:r w:rsidR="00DA4CA0">
        <w:rPr>
          <w:bCs/>
          <w:iCs/>
        </w:rPr>
        <w:t xml:space="preserve"> </w:t>
      </w:r>
      <w:r w:rsidR="00DA4CA0" w:rsidRPr="00DA4CA0">
        <w:rPr>
          <w:bCs/>
          <w:iCs/>
        </w:rPr>
        <w:t xml:space="preserve">and </w:t>
      </w:r>
      <w:r w:rsidR="00DA4CA0">
        <w:rPr>
          <w:bCs/>
          <w:iCs/>
        </w:rPr>
        <w:t>Suffolk</w:t>
      </w:r>
      <w:r w:rsidR="00DA4CA0" w:rsidRPr="00DA4CA0">
        <w:rPr>
          <w:bCs/>
          <w:iCs/>
        </w:rPr>
        <w:t xml:space="preserve"> counties that contain designated opportunity zones within the assessment area.</w:t>
      </w:r>
      <w:r w:rsidR="00DA4CA0">
        <w:rPr>
          <w:bCs/>
          <w:iCs/>
        </w:rPr>
        <w:t xml:space="preserve">  </w:t>
      </w:r>
      <w:r w:rsidR="00DA4CA0" w:rsidRPr="00DA4CA0">
        <w:rPr>
          <w:bCs/>
          <w:iCs/>
        </w:rPr>
        <w:t>The Opportunity Zone Program provides incentives for investing in certain census tracts to</w:t>
      </w:r>
      <w:r w:rsidR="00DA4CA0">
        <w:rPr>
          <w:bCs/>
          <w:iCs/>
        </w:rPr>
        <w:t xml:space="preserve"> </w:t>
      </w:r>
      <w:r w:rsidR="00DA4CA0" w:rsidRPr="00DA4CA0">
        <w:rPr>
          <w:bCs/>
          <w:iCs/>
        </w:rPr>
        <w:t>encourage growth in low-income areas.</w:t>
      </w:r>
      <w:r w:rsidR="00DA4CA0">
        <w:rPr>
          <w:bCs/>
          <w:iCs/>
        </w:rPr>
        <w:t xml:space="preserve"> </w:t>
      </w:r>
      <w:r w:rsidR="00C12BFC" w:rsidRPr="00815E98">
        <w:rPr>
          <w:bCs/>
          <w:iCs/>
        </w:rPr>
        <w:t xml:space="preserve">      </w:t>
      </w:r>
    </w:p>
    <w:p w14:paraId="670DBD0A" w14:textId="77777777" w:rsidR="00C12BFC" w:rsidRPr="00C56E2F" w:rsidRDefault="00C12BFC" w:rsidP="00C12BFC">
      <w:pPr>
        <w:widowControl w:val="0"/>
        <w:ind w:left="720" w:right="-360"/>
        <w:rPr>
          <w:bCs/>
          <w:iCs/>
          <w:color w:val="000000"/>
        </w:rPr>
      </w:pPr>
    </w:p>
    <w:p w14:paraId="151A053F" w14:textId="77777777" w:rsidR="00C12BFC" w:rsidRDefault="00C12BFC" w:rsidP="00C12BFC">
      <w:pPr>
        <w:ind w:right="-360"/>
        <w:rPr>
          <w:bCs/>
          <w:iCs/>
        </w:rPr>
      </w:pPr>
      <w:r w:rsidRPr="00C152C3">
        <w:rPr>
          <w:bCs/>
          <w:iCs/>
        </w:rPr>
        <w:t xml:space="preserve">The following table illustrates select demographic characteristics of the </w:t>
      </w:r>
      <w:r w:rsidR="001207D4">
        <w:rPr>
          <w:bCs/>
          <w:iCs/>
        </w:rPr>
        <w:t>assessment area</w:t>
      </w:r>
      <w:r w:rsidRPr="00C152C3">
        <w:rPr>
          <w:bCs/>
          <w:iCs/>
        </w:rPr>
        <w:t xml:space="preserve">.  </w:t>
      </w:r>
    </w:p>
    <w:p w14:paraId="224808D9" w14:textId="77777777" w:rsidR="0005749B" w:rsidRDefault="0005749B" w:rsidP="00C12BFC">
      <w:pPr>
        <w:ind w:right="-360"/>
        <w:rPr>
          <w:bCs/>
          <w:iCs/>
        </w:rPr>
      </w:pPr>
    </w:p>
    <w:tbl>
      <w:tblPr>
        <w:tblW w:w="10112" w:type="dxa"/>
        <w:jc w:val="center"/>
        <w:tblCellMar>
          <w:left w:w="0" w:type="dxa"/>
          <w:right w:w="0" w:type="dxa"/>
        </w:tblCellMar>
        <w:tblLook w:val="0000" w:firstRow="0" w:lastRow="0" w:firstColumn="0" w:lastColumn="0" w:noHBand="0" w:noVBand="0"/>
      </w:tblPr>
      <w:tblGrid>
        <w:gridCol w:w="3454"/>
        <w:gridCol w:w="1099"/>
        <w:gridCol w:w="1063"/>
        <w:gridCol w:w="1179"/>
        <w:gridCol w:w="1092"/>
        <w:gridCol w:w="1067"/>
        <w:gridCol w:w="1158"/>
      </w:tblGrid>
      <w:tr w:rsidR="001207D4" w:rsidRPr="001207D4" w14:paraId="41606777" w14:textId="77777777" w:rsidTr="001207D4">
        <w:trPr>
          <w:trHeight w:val="270"/>
          <w:jc w:val="center"/>
        </w:trPr>
        <w:tc>
          <w:tcPr>
            <w:tcW w:w="10112"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408820D5" w14:textId="77777777" w:rsidR="001207D4" w:rsidRPr="001207D4" w:rsidRDefault="001207D4" w:rsidP="001207D4">
            <w:pPr>
              <w:jc w:val="center"/>
              <w:rPr>
                <w:sz w:val="20"/>
                <w:szCs w:val="20"/>
              </w:rPr>
            </w:pPr>
            <w:r w:rsidRPr="001207D4">
              <w:rPr>
                <w:b/>
                <w:color w:val="000000"/>
                <w:sz w:val="20"/>
                <w:szCs w:val="20"/>
              </w:rPr>
              <w:t>Demographic Information of the Assessment Area</w:t>
            </w:r>
          </w:p>
        </w:tc>
      </w:tr>
      <w:tr w:rsidR="001207D4" w:rsidRPr="001207D4" w14:paraId="346C9A95" w14:textId="77777777" w:rsidTr="001207D4">
        <w:trPr>
          <w:trHeight w:val="408"/>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A6E2323" w14:textId="77777777" w:rsidR="001207D4" w:rsidRPr="001207D4" w:rsidRDefault="001207D4" w:rsidP="001207D4">
            <w:pPr>
              <w:rPr>
                <w:sz w:val="20"/>
                <w:szCs w:val="20"/>
              </w:rPr>
            </w:pPr>
            <w:r w:rsidRPr="001207D4">
              <w:rPr>
                <w:b/>
                <w:color w:val="000000"/>
                <w:sz w:val="20"/>
                <w:szCs w:val="20"/>
              </w:rPr>
              <w:t>Demographic Characteristics</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E46C690" w14:textId="77777777" w:rsidR="001207D4" w:rsidRPr="001207D4" w:rsidRDefault="001207D4" w:rsidP="001207D4">
            <w:pPr>
              <w:jc w:val="center"/>
              <w:rPr>
                <w:sz w:val="20"/>
                <w:szCs w:val="20"/>
              </w:rPr>
            </w:pPr>
            <w:r w:rsidRPr="001207D4">
              <w:rPr>
                <w:b/>
                <w:color w:val="000000"/>
                <w:sz w:val="20"/>
                <w:szCs w:val="20"/>
              </w:rPr>
              <w:t>#</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3C5BC7" w14:textId="77777777" w:rsidR="001207D4" w:rsidRPr="001207D4" w:rsidRDefault="001207D4" w:rsidP="001207D4">
            <w:pPr>
              <w:jc w:val="center"/>
              <w:rPr>
                <w:sz w:val="20"/>
                <w:szCs w:val="20"/>
              </w:rPr>
            </w:pPr>
            <w:r w:rsidRPr="001207D4">
              <w:rPr>
                <w:b/>
                <w:color w:val="000000"/>
                <w:sz w:val="20"/>
                <w:szCs w:val="20"/>
              </w:rPr>
              <w:t>Low</w:t>
            </w:r>
            <w:r w:rsidRPr="001207D4">
              <w:rPr>
                <w:b/>
                <w:color w:val="000000"/>
                <w:sz w:val="20"/>
                <w:szCs w:val="20"/>
              </w:rPr>
              <w:br/>
              <w:t xml:space="preserve"> % of #</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299B67D" w14:textId="77777777" w:rsidR="001207D4" w:rsidRPr="001207D4" w:rsidRDefault="001207D4" w:rsidP="001207D4">
            <w:pPr>
              <w:jc w:val="center"/>
              <w:rPr>
                <w:sz w:val="20"/>
                <w:szCs w:val="20"/>
              </w:rPr>
            </w:pPr>
            <w:r w:rsidRPr="001207D4">
              <w:rPr>
                <w:b/>
                <w:color w:val="000000"/>
                <w:sz w:val="20"/>
                <w:szCs w:val="20"/>
              </w:rPr>
              <w:t>Moderate</w:t>
            </w:r>
            <w:r w:rsidRPr="001207D4">
              <w:rPr>
                <w:b/>
                <w:color w:val="000000"/>
                <w:sz w:val="20"/>
                <w:szCs w:val="20"/>
              </w:rPr>
              <w:br/>
              <w:t xml:space="preserve"> % of #</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FAA10B" w14:textId="77777777" w:rsidR="001207D4" w:rsidRPr="001207D4" w:rsidRDefault="001207D4" w:rsidP="001207D4">
            <w:pPr>
              <w:jc w:val="center"/>
              <w:rPr>
                <w:sz w:val="20"/>
                <w:szCs w:val="20"/>
              </w:rPr>
            </w:pPr>
            <w:r w:rsidRPr="001207D4">
              <w:rPr>
                <w:b/>
                <w:color w:val="000000"/>
                <w:sz w:val="20"/>
                <w:szCs w:val="20"/>
              </w:rPr>
              <w:t>Middle</w:t>
            </w:r>
            <w:r w:rsidRPr="001207D4">
              <w:rPr>
                <w:b/>
                <w:color w:val="000000"/>
                <w:sz w:val="20"/>
                <w:szCs w:val="20"/>
              </w:rPr>
              <w:br/>
              <w:t xml:space="preserve"> % of #</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300EF5A" w14:textId="77777777" w:rsidR="001207D4" w:rsidRPr="001207D4" w:rsidRDefault="001207D4" w:rsidP="001207D4">
            <w:pPr>
              <w:jc w:val="center"/>
              <w:rPr>
                <w:sz w:val="20"/>
                <w:szCs w:val="20"/>
              </w:rPr>
            </w:pPr>
            <w:r w:rsidRPr="001207D4">
              <w:rPr>
                <w:b/>
                <w:color w:val="000000"/>
                <w:sz w:val="20"/>
                <w:szCs w:val="20"/>
              </w:rPr>
              <w:t>Upper</w:t>
            </w:r>
            <w:r w:rsidRPr="001207D4">
              <w:rPr>
                <w:b/>
                <w:color w:val="000000"/>
                <w:sz w:val="20"/>
                <w:szCs w:val="20"/>
              </w:rPr>
              <w:br/>
              <w:t>% of #</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5EB06B1" w14:textId="77777777" w:rsidR="001207D4" w:rsidRPr="001207D4" w:rsidRDefault="001207D4" w:rsidP="001207D4">
            <w:pPr>
              <w:jc w:val="center"/>
              <w:rPr>
                <w:sz w:val="20"/>
                <w:szCs w:val="20"/>
              </w:rPr>
            </w:pPr>
            <w:r w:rsidRPr="001207D4">
              <w:rPr>
                <w:b/>
                <w:color w:val="000000"/>
                <w:sz w:val="20"/>
                <w:szCs w:val="20"/>
              </w:rPr>
              <w:t xml:space="preserve">NA* </w:t>
            </w:r>
            <w:r w:rsidRPr="001207D4">
              <w:rPr>
                <w:b/>
                <w:color w:val="000000"/>
                <w:sz w:val="20"/>
                <w:szCs w:val="20"/>
              </w:rPr>
              <w:br/>
              <w:t>% of #</w:t>
            </w:r>
          </w:p>
        </w:tc>
      </w:tr>
      <w:tr w:rsidR="001207D4" w:rsidRPr="001207D4" w14:paraId="14CBEAE6"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45730E49" w14:textId="77777777" w:rsidR="001207D4" w:rsidRPr="001207D4" w:rsidRDefault="001207D4" w:rsidP="001207D4">
            <w:pPr>
              <w:rPr>
                <w:sz w:val="20"/>
                <w:szCs w:val="20"/>
              </w:rPr>
            </w:pPr>
            <w:r w:rsidRPr="001207D4">
              <w:rPr>
                <w:color w:val="000000"/>
                <w:sz w:val="20"/>
                <w:szCs w:val="20"/>
              </w:rPr>
              <w:t>Geographies (Census Tracts)</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F7DD49" w14:textId="77777777" w:rsidR="001207D4" w:rsidRPr="001207D4" w:rsidRDefault="001207D4" w:rsidP="001207D4">
            <w:pPr>
              <w:jc w:val="right"/>
              <w:rPr>
                <w:sz w:val="20"/>
                <w:szCs w:val="20"/>
              </w:rPr>
            </w:pPr>
            <w:r w:rsidRPr="001207D4">
              <w:rPr>
                <w:color w:val="000000"/>
                <w:sz w:val="20"/>
                <w:szCs w:val="20"/>
              </w:rPr>
              <w:t>412</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F12065" w14:textId="77777777" w:rsidR="001207D4" w:rsidRPr="001207D4" w:rsidRDefault="001207D4" w:rsidP="001207D4">
            <w:pPr>
              <w:jc w:val="right"/>
              <w:rPr>
                <w:sz w:val="20"/>
                <w:szCs w:val="20"/>
              </w:rPr>
            </w:pPr>
            <w:r w:rsidRPr="001207D4">
              <w:rPr>
                <w:color w:val="000000"/>
                <w:sz w:val="20"/>
                <w:szCs w:val="20"/>
              </w:rPr>
              <w:t>17.0</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4AB98" w14:textId="77777777" w:rsidR="001207D4" w:rsidRPr="001207D4" w:rsidRDefault="001207D4" w:rsidP="001207D4">
            <w:pPr>
              <w:jc w:val="right"/>
              <w:rPr>
                <w:sz w:val="20"/>
                <w:szCs w:val="20"/>
              </w:rPr>
            </w:pPr>
            <w:r w:rsidRPr="001207D4">
              <w:rPr>
                <w:color w:val="000000"/>
                <w:sz w:val="20"/>
                <w:szCs w:val="20"/>
              </w:rPr>
              <w:t>28.4</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7A515" w14:textId="77777777" w:rsidR="001207D4" w:rsidRPr="001207D4" w:rsidRDefault="001207D4" w:rsidP="001207D4">
            <w:pPr>
              <w:jc w:val="right"/>
              <w:rPr>
                <w:sz w:val="20"/>
                <w:szCs w:val="20"/>
              </w:rPr>
            </w:pPr>
            <w:r w:rsidRPr="001207D4">
              <w:rPr>
                <w:color w:val="000000"/>
                <w:sz w:val="20"/>
                <w:szCs w:val="20"/>
              </w:rPr>
              <w:t>32.5</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4FFAE" w14:textId="77777777" w:rsidR="001207D4" w:rsidRPr="001207D4" w:rsidRDefault="001207D4" w:rsidP="001207D4">
            <w:pPr>
              <w:jc w:val="right"/>
              <w:rPr>
                <w:sz w:val="20"/>
                <w:szCs w:val="20"/>
              </w:rPr>
            </w:pPr>
            <w:r w:rsidRPr="001207D4">
              <w:rPr>
                <w:color w:val="000000"/>
                <w:sz w:val="20"/>
                <w:szCs w:val="20"/>
              </w:rPr>
              <w:t>18.9</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C18303" w14:textId="77777777" w:rsidR="001207D4" w:rsidRPr="001207D4" w:rsidRDefault="001207D4" w:rsidP="001207D4">
            <w:pPr>
              <w:jc w:val="right"/>
              <w:rPr>
                <w:sz w:val="20"/>
                <w:szCs w:val="20"/>
              </w:rPr>
            </w:pPr>
            <w:r w:rsidRPr="001207D4">
              <w:rPr>
                <w:color w:val="000000"/>
                <w:sz w:val="20"/>
                <w:szCs w:val="20"/>
              </w:rPr>
              <w:t>3.2</w:t>
            </w:r>
          </w:p>
        </w:tc>
      </w:tr>
      <w:tr w:rsidR="001207D4" w:rsidRPr="001207D4" w14:paraId="0B80C57D"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6DFF471A" w14:textId="77777777" w:rsidR="001207D4" w:rsidRPr="001207D4" w:rsidRDefault="001207D4" w:rsidP="001207D4">
            <w:pPr>
              <w:rPr>
                <w:sz w:val="20"/>
                <w:szCs w:val="20"/>
              </w:rPr>
            </w:pPr>
            <w:r w:rsidRPr="001207D4">
              <w:rPr>
                <w:color w:val="000000"/>
                <w:sz w:val="20"/>
                <w:szCs w:val="20"/>
              </w:rPr>
              <w:t>Population by Geography</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57B092" w14:textId="77777777" w:rsidR="001207D4" w:rsidRPr="001207D4" w:rsidRDefault="001207D4" w:rsidP="001207D4">
            <w:pPr>
              <w:jc w:val="right"/>
              <w:rPr>
                <w:sz w:val="20"/>
                <w:szCs w:val="20"/>
              </w:rPr>
            </w:pPr>
            <w:r w:rsidRPr="001207D4">
              <w:rPr>
                <w:color w:val="000000"/>
                <w:sz w:val="20"/>
                <w:szCs w:val="20"/>
              </w:rPr>
              <w:t>1,723,566</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DC242" w14:textId="77777777" w:rsidR="001207D4" w:rsidRPr="001207D4" w:rsidRDefault="001207D4" w:rsidP="001207D4">
            <w:pPr>
              <w:jc w:val="right"/>
              <w:rPr>
                <w:sz w:val="20"/>
                <w:szCs w:val="20"/>
              </w:rPr>
            </w:pPr>
            <w:r w:rsidRPr="001207D4">
              <w:rPr>
                <w:color w:val="000000"/>
                <w:sz w:val="20"/>
                <w:szCs w:val="20"/>
              </w:rPr>
              <w:t>15.6</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B22322" w14:textId="77777777" w:rsidR="001207D4" w:rsidRPr="001207D4" w:rsidRDefault="001207D4" w:rsidP="001207D4">
            <w:pPr>
              <w:jc w:val="right"/>
              <w:rPr>
                <w:sz w:val="20"/>
                <w:szCs w:val="20"/>
              </w:rPr>
            </w:pPr>
            <w:r w:rsidRPr="001207D4">
              <w:rPr>
                <w:color w:val="000000"/>
                <w:sz w:val="20"/>
                <w:szCs w:val="20"/>
              </w:rPr>
              <w:t>31.1</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AC24A" w14:textId="77777777" w:rsidR="001207D4" w:rsidRPr="001207D4" w:rsidRDefault="001207D4" w:rsidP="001207D4">
            <w:pPr>
              <w:jc w:val="right"/>
              <w:rPr>
                <w:sz w:val="20"/>
                <w:szCs w:val="20"/>
              </w:rPr>
            </w:pPr>
            <w:r w:rsidRPr="001207D4">
              <w:rPr>
                <w:color w:val="000000"/>
                <w:sz w:val="20"/>
                <w:szCs w:val="20"/>
              </w:rPr>
              <w:t>36.1</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C8327" w14:textId="77777777" w:rsidR="001207D4" w:rsidRPr="001207D4" w:rsidRDefault="001207D4" w:rsidP="001207D4">
            <w:pPr>
              <w:jc w:val="right"/>
              <w:rPr>
                <w:sz w:val="20"/>
                <w:szCs w:val="20"/>
              </w:rPr>
            </w:pPr>
            <w:r w:rsidRPr="001207D4">
              <w:rPr>
                <w:color w:val="000000"/>
                <w:sz w:val="20"/>
                <w:szCs w:val="20"/>
              </w:rPr>
              <w:t>16.7</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022B7" w14:textId="77777777" w:rsidR="001207D4" w:rsidRPr="001207D4" w:rsidRDefault="001207D4" w:rsidP="001207D4">
            <w:pPr>
              <w:jc w:val="right"/>
              <w:rPr>
                <w:sz w:val="20"/>
                <w:szCs w:val="20"/>
              </w:rPr>
            </w:pPr>
            <w:r w:rsidRPr="001207D4">
              <w:rPr>
                <w:color w:val="000000"/>
                <w:sz w:val="20"/>
                <w:szCs w:val="20"/>
              </w:rPr>
              <w:t>0.5</w:t>
            </w:r>
          </w:p>
        </w:tc>
      </w:tr>
      <w:tr w:rsidR="001207D4" w:rsidRPr="001207D4" w14:paraId="0146BDD1"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6624FB50" w14:textId="77777777" w:rsidR="001207D4" w:rsidRPr="001207D4" w:rsidRDefault="001207D4" w:rsidP="001207D4">
            <w:pPr>
              <w:rPr>
                <w:sz w:val="20"/>
                <w:szCs w:val="20"/>
              </w:rPr>
            </w:pPr>
            <w:r w:rsidRPr="001207D4">
              <w:rPr>
                <w:color w:val="000000"/>
                <w:sz w:val="20"/>
                <w:szCs w:val="20"/>
              </w:rPr>
              <w:t>Housing Units by Geography</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CA2107" w14:textId="77777777" w:rsidR="001207D4" w:rsidRPr="001207D4" w:rsidRDefault="001207D4" w:rsidP="001207D4">
            <w:pPr>
              <w:jc w:val="right"/>
              <w:rPr>
                <w:sz w:val="20"/>
                <w:szCs w:val="20"/>
              </w:rPr>
            </w:pPr>
            <w:r w:rsidRPr="001207D4">
              <w:rPr>
                <w:color w:val="000000"/>
                <w:sz w:val="20"/>
                <w:szCs w:val="20"/>
              </w:rPr>
              <w:t>722,403</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61D1C5" w14:textId="77777777" w:rsidR="001207D4" w:rsidRPr="001207D4" w:rsidRDefault="001207D4" w:rsidP="001207D4">
            <w:pPr>
              <w:jc w:val="right"/>
              <w:rPr>
                <w:sz w:val="20"/>
                <w:szCs w:val="20"/>
              </w:rPr>
            </w:pPr>
            <w:r w:rsidRPr="001207D4">
              <w:rPr>
                <w:color w:val="000000"/>
                <w:sz w:val="20"/>
                <w:szCs w:val="20"/>
              </w:rPr>
              <w:t>14.3</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976A9" w14:textId="77777777" w:rsidR="001207D4" w:rsidRPr="001207D4" w:rsidRDefault="001207D4" w:rsidP="001207D4">
            <w:pPr>
              <w:jc w:val="right"/>
              <w:rPr>
                <w:sz w:val="20"/>
                <w:szCs w:val="20"/>
              </w:rPr>
            </w:pPr>
            <w:r w:rsidRPr="001207D4">
              <w:rPr>
                <w:color w:val="000000"/>
                <w:sz w:val="20"/>
                <w:szCs w:val="20"/>
              </w:rPr>
              <w:t>30.3</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0A3A98" w14:textId="77777777" w:rsidR="001207D4" w:rsidRPr="001207D4" w:rsidRDefault="001207D4" w:rsidP="001207D4">
            <w:pPr>
              <w:jc w:val="right"/>
              <w:rPr>
                <w:sz w:val="20"/>
                <w:szCs w:val="20"/>
              </w:rPr>
            </w:pPr>
            <w:r w:rsidRPr="001207D4">
              <w:rPr>
                <w:color w:val="000000"/>
                <w:sz w:val="20"/>
                <w:szCs w:val="20"/>
              </w:rPr>
              <w:t>36.3</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67CCF" w14:textId="77777777" w:rsidR="001207D4" w:rsidRPr="001207D4" w:rsidRDefault="001207D4" w:rsidP="001207D4">
            <w:pPr>
              <w:jc w:val="right"/>
              <w:rPr>
                <w:sz w:val="20"/>
                <w:szCs w:val="20"/>
              </w:rPr>
            </w:pPr>
            <w:r w:rsidRPr="001207D4">
              <w:rPr>
                <w:color w:val="000000"/>
                <w:sz w:val="20"/>
                <w:szCs w:val="20"/>
              </w:rPr>
              <w:t>18.6</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EF5C1" w14:textId="77777777" w:rsidR="001207D4" w:rsidRPr="001207D4" w:rsidRDefault="001207D4" w:rsidP="001207D4">
            <w:pPr>
              <w:jc w:val="right"/>
              <w:rPr>
                <w:sz w:val="20"/>
                <w:szCs w:val="20"/>
              </w:rPr>
            </w:pPr>
            <w:r w:rsidRPr="001207D4">
              <w:rPr>
                <w:color w:val="000000"/>
                <w:sz w:val="20"/>
                <w:szCs w:val="20"/>
              </w:rPr>
              <w:t>0.6</w:t>
            </w:r>
          </w:p>
        </w:tc>
      </w:tr>
      <w:tr w:rsidR="001207D4" w:rsidRPr="001207D4" w14:paraId="5C103C6B"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11ECA018" w14:textId="77777777" w:rsidR="001207D4" w:rsidRPr="001207D4" w:rsidRDefault="001207D4" w:rsidP="001207D4">
            <w:pPr>
              <w:rPr>
                <w:sz w:val="20"/>
                <w:szCs w:val="20"/>
              </w:rPr>
            </w:pPr>
            <w:r w:rsidRPr="001207D4">
              <w:rPr>
                <w:color w:val="000000"/>
                <w:sz w:val="20"/>
                <w:szCs w:val="20"/>
              </w:rPr>
              <w:t>Owner-Occupied Units by Geography</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66FCB" w14:textId="77777777" w:rsidR="001207D4" w:rsidRPr="001207D4" w:rsidRDefault="001207D4" w:rsidP="001207D4">
            <w:pPr>
              <w:jc w:val="right"/>
              <w:rPr>
                <w:sz w:val="20"/>
                <w:szCs w:val="20"/>
              </w:rPr>
            </w:pPr>
            <w:r w:rsidRPr="001207D4">
              <w:rPr>
                <w:color w:val="000000"/>
                <w:sz w:val="20"/>
                <w:szCs w:val="20"/>
              </w:rPr>
              <w:t>303,016</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B9122" w14:textId="77777777" w:rsidR="001207D4" w:rsidRPr="001207D4" w:rsidRDefault="001207D4" w:rsidP="001207D4">
            <w:pPr>
              <w:jc w:val="right"/>
              <w:rPr>
                <w:sz w:val="20"/>
                <w:szCs w:val="20"/>
              </w:rPr>
            </w:pPr>
            <w:r w:rsidRPr="001207D4">
              <w:rPr>
                <w:color w:val="000000"/>
                <w:sz w:val="20"/>
                <w:szCs w:val="20"/>
              </w:rPr>
              <w:t>6.9</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BB80FF" w14:textId="77777777" w:rsidR="001207D4" w:rsidRPr="001207D4" w:rsidRDefault="001207D4" w:rsidP="001207D4">
            <w:pPr>
              <w:jc w:val="right"/>
              <w:rPr>
                <w:sz w:val="20"/>
                <w:szCs w:val="20"/>
              </w:rPr>
            </w:pPr>
            <w:r w:rsidRPr="001207D4">
              <w:rPr>
                <w:color w:val="000000"/>
                <w:sz w:val="20"/>
                <w:szCs w:val="20"/>
              </w:rPr>
              <w:t>25.3</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508097" w14:textId="77777777" w:rsidR="001207D4" w:rsidRPr="001207D4" w:rsidRDefault="001207D4" w:rsidP="001207D4">
            <w:pPr>
              <w:jc w:val="right"/>
              <w:rPr>
                <w:sz w:val="20"/>
                <w:szCs w:val="20"/>
              </w:rPr>
            </w:pPr>
            <w:r w:rsidRPr="001207D4">
              <w:rPr>
                <w:color w:val="000000"/>
                <w:sz w:val="20"/>
                <w:szCs w:val="20"/>
              </w:rPr>
              <w:t>45.3</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6210DF" w14:textId="77777777" w:rsidR="001207D4" w:rsidRPr="001207D4" w:rsidRDefault="001207D4" w:rsidP="001207D4">
            <w:pPr>
              <w:jc w:val="right"/>
              <w:rPr>
                <w:sz w:val="20"/>
                <w:szCs w:val="20"/>
              </w:rPr>
            </w:pPr>
            <w:r w:rsidRPr="001207D4">
              <w:rPr>
                <w:color w:val="000000"/>
                <w:sz w:val="20"/>
                <w:szCs w:val="20"/>
              </w:rPr>
              <w:t>22.2</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2E2A0E" w14:textId="77777777" w:rsidR="001207D4" w:rsidRPr="001207D4" w:rsidRDefault="001207D4" w:rsidP="001207D4">
            <w:pPr>
              <w:jc w:val="right"/>
              <w:rPr>
                <w:sz w:val="20"/>
                <w:szCs w:val="20"/>
              </w:rPr>
            </w:pPr>
            <w:r w:rsidRPr="001207D4">
              <w:rPr>
                <w:color w:val="000000"/>
                <w:sz w:val="20"/>
                <w:szCs w:val="20"/>
              </w:rPr>
              <w:t>0.4</w:t>
            </w:r>
          </w:p>
        </w:tc>
      </w:tr>
      <w:tr w:rsidR="001207D4" w:rsidRPr="001207D4" w14:paraId="66F90C2A"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75EAACD5" w14:textId="77777777" w:rsidR="001207D4" w:rsidRPr="001207D4" w:rsidRDefault="001207D4" w:rsidP="001207D4">
            <w:pPr>
              <w:rPr>
                <w:sz w:val="20"/>
                <w:szCs w:val="20"/>
              </w:rPr>
            </w:pPr>
            <w:r w:rsidRPr="001207D4">
              <w:rPr>
                <w:color w:val="000000"/>
                <w:sz w:val="20"/>
                <w:szCs w:val="20"/>
              </w:rPr>
              <w:t>Occupied Rental Units by Geography</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F57106" w14:textId="77777777" w:rsidR="001207D4" w:rsidRPr="001207D4" w:rsidRDefault="001207D4" w:rsidP="001207D4">
            <w:pPr>
              <w:jc w:val="right"/>
              <w:rPr>
                <w:sz w:val="20"/>
                <w:szCs w:val="20"/>
              </w:rPr>
            </w:pPr>
            <w:r w:rsidRPr="001207D4">
              <w:rPr>
                <w:color w:val="000000"/>
                <w:sz w:val="20"/>
                <w:szCs w:val="20"/>
              </w:rPr>
              <w:t>371,242</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FDC094" w14:textId="77777777" w:rsidR="001207D4" w:rsidRPr="001207D4" w:rsidRDefault="001207D4" w:rsidP="001207D4">
            <w:pPr>
              <w:jc w:val="right"/>
              <w:rPr>
                <w:sz w:val="20"/>
                <w:szCs w:val="20"/>
              </w:rPr>
            </w:pPr>
            <w:r w:rsidRPr="001207D4">
              <w:rPr>
                <w:color w:val="000000"/>
                <w:sz w:val="20"/>
                <w:szCs w:val="20"/>
              </w:rPr>
              <w:t>20.1</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1DFF5" w14:textId="77777777" w:rsidR="001207D4" w:rsidRPr="001207D4" w:rsidRDefault="001207D4" w:rsidP="001207D4">
            <w:pPr>
              <w:jc w:val="right"/>
              <w:rPr>
                <w:sz w:val="20"/>
                <w:szCs w:val="20"/>
              </w:rPr>
            </w:pPr>
            <w:r w:rsidRPr="001207D4">
              <w:rPr>
                <w:color w:val="000000"/>
                <w:sz w:val="20"/>
                <w:szCs w:val="20"/>
              </w:rPr>
              <w:t>34.3</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98CF3" w14:textId="77777777" w:rsidR="001207D4" w:rsidRPr="001207D4" w:rsidRDefault="001207D4" w:rsidP="001207D4">
            <w:pPr>
              <w:jc w:val="right"/>
              <w:rPr>
                <w:sz w:val="20"/>
                <w:szCs w:val="20"/>
              </w:rPr>
            </w:pPr>
            <w:r w:rsidRPr="001207D4">
              <w:rPr>
                <w:color w:val="000000"/>
                <w:sz w:val="20"/>
                <w:szCs w:val="20"/>
              </w:rPr>
              <w:t>29.6</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F1230A" w14:textId="77777777" w:rsidR="001207D4" w:rsidRPr="001207D4" w:rsidRDefault="001207D4" w:rsidP="001207D4">
            <w:pPr>
              <w:jc w:val="right"/>
              <w:rPr>
                <w:sz w:val="20"/>
                <w:szCs w:val="20"/>
              </w:rPr>
            </w:pPr>
            <w:r w:rsidRPr="001207D4">
              <w:rPr>
                <w:color w:val="000000"/>
                <w:sz w:val="20"/>
                <w:szCs w:val="20"/>
              </w:rPr>
              <w:t>15.3</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A0B87" w14:textId="77777777" w:rsidR="001207D4" w:rsidRPr="001207D4" w:rsidRDefault="001207D4" w:rsidP="001207D4">
            <w:pPr>
              <w:jc w:val="right"/>
              <w:rPr>
                <w:sz w:val="20"/>
                <w:szCs w:val="20"/>
              </w:rPr>
            </w:pPr>
            <w:r w:rsidRPr="001207D4">
              <w:rPr>
                <w:color w:val="000000"/>
                <w:sz w:val="20"/>
                <w:szCs w:val="20"/>
              </w:rPr>
              <w:t>0.7</w:t>
            </w:r>
          </w:p>
        </w:tc>
      </w:tr>
      <w:tr w:rsidR="001207D4" w:rsidRPr="001207D4" w14:paraId="6B15DD8F"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7B548417" w14:textId="77777777" w:rsidR="001207D4" w:rsidRPr="001207D4" w:rsidRDefault="001207D4" w:rsidP="001207D4">
            <w:pPr>
              <w:rPr>
                <w:sz w:val="20"/>
                <w:szCs w:val="20"/>
              </w:rPr>
            </w:pPr>
            <w:r w:rsidRPr="001207D4">
              <w:rPr>
                <w:color w:val="000000"/>
                <w:sz w:val="20"/>
                <w:szCs w:val="20"/>
              </w:rPr>
              <w:t>Vacant Units by Geography</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5C6894" w14:textId="77777777" w:rsidR="001207D4" w:rsidRPr="001207D4" w:rsidRDefault="001207D4" w:rsidP="001207D4">
            <w:pPr>
              <w:jc w:val="right"/>
              <w:rPr>
                <w:sz w:val="20"/>
                <w:szCs w:val="20"/>
              </w:rPr>
            </w:pPr>
            <w:r w:rsidRPr="001207D4">
              <w:rPr>
                <w:color w:val="000000"/>
                <w:sz w:val="20"/>
                <w:szCs w:val="20"/>
              </w:rPr>
              <w:t>48,145</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4EA48" w14:textId="77777777" w:rsidR="001207D4" w:rsidRPr="001207D4" w:rsidRDefault="001207D4" w:rsidP="001207D4">
            <w:pPr>
              <w:jc w:val="right"/>
              <w:rPr>
                <w:sz w:val="20"/>
                <w:szCs w:val="20"/>
              </w:rPr>
            </w:pPr>
            <w:r w:rsidRPr="001207D4">
              <w:rPr>
                <w:color w:val="000000"/>
                <w:sz w:val="20"/>
                <w:szCs w:val="20"/>
              </w:rPr>
              <w:t>15.7</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3C9104" w14:textId="77777777" w:rsidR="001207D4" w:rsidRPr="001207D4" w:rsidRDefault="001207D4" w:rsidP="001207D4">
            <w:pPr>
              <w:jc w:val="right"/>
              <w:rPr>
                <w:sz w:val="20"/>
                <w:szCs w:val="20"/>
              </w:rPr>
            </w:pPr>
            <w:r w:rsidRPr="001207D4">
              <w:rPr>
                <w:color w:val="000000"/>
                <w:sz w:val="20"/>
                <w:szCs w:val="20"/>
              </w:rPr>
              <w:t>31.3</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41D85" w14:textId="77777777" w:rsidR="001207D4" w:rsidRPr="001207D4" w:rsidRDefault="001207D4" w:rsidP="001207D4">
            <w:pPr>
              <w:jc w:val="right"/>
              <w:rPr>
                <w:sz w:val="20"/>
                <w:szCs w:val="20"/>
              </w:rPr>
            </w:pPr>
            <w:r w:rsidRPr="001207D4">
              <w:rPr>
                <w:color w:val="000000"/>
                <w:sz w:val="20"/>
                <w:szCs w:val="20"/>
              </w:rPr>
              <w:t>31.0</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D53B3" w14:textId="77777777" w:rsidR="001207D4" w:rsidRPr="001207D4" w:rsidRDefault="001207D4" w:rsidP="001207D4">
            <w:pPr>
              <w:jc w:val="right"/>
              <w:rPr>
                <w:sz w:val="20"/>
                <w:szCs w:val="20"/>
              </w:rPr>
            </w:pPr>
            <w:r w:rsidRPr="001207D4">
              <w:rPr>
                <w:color w:val="000000"/>
                <w:sz w:val="20"/>
                <w:szCs w:val="20"/>
              </w:rPr>
              <w:t>21.1</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0F8CF" w14:textId="77777777" w:rsidR="001207D4" w:rsidRPr="001207D4" w:rsidRDefault="001207D4" w:rsidP="001207D4">
            <w:pPr>
              <w:jc w:val="right"/>
              <w:rPr>
                <w:sz w:val="20"/>
                <w:szCs w:val="20"/>
              </w:rPr>
            </w:pPr>
            <w:r w:rsidRPr="001207D4">
              <w:rPr>
                <w:color w:val="000000"/>
                <w:sz w:val="20"/>
                <w:szCs w:val="20"/>
              </w:rPr>
              <w:t>0.9</w:t>
            </w:r>
          </w:p>
        </w:tc>
      </w:tr>
      <w:tr w:rsidR="001207D4" w:rsidRPr="001207D4" w14:paraId="0290BEA3"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40E1B847" w14:textId="77777777" w:rsidR="001207D4" w:rsidRPr="001207D4" w:rsidRDefault="001207D4" w:rsidP="001207D4">
            <w:pPr>
              <w:rPr>
                <w:sz w:val="20"/>
                <w:szCs w:val="20"/>
              </w:rPr>
            </w:pPr>
            <w:r w:rsidRPr="001207D4">
              <w:rPr>
                <w:color w:val="000000"/>
                <w:sz w:val="20"/>
                <w:szCs w:val="20"/>
              </w:rPr>
              <w:t>Businesses by Geography</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7430D" w14:textId="77777777" w:rsidR="001207D4" w:rsidRPr="001207D4" w:rsidRDefault="001207D4" w:rsidP="001207D4">
            <w:pPr>
              <w:jc w:val="right"/>
              <w:rPr>
                <w:sz w:val="20"/>
                <w:szCs w:val="20"/>
              </w:rPr>
            </w:pPr>
            <w:r w:rsidRPr="001207D4">
              <w:rPr>
                <w:color w:val="000000"/>
                <w:sz w:val="20"/>
                <w:szCs w:val="20"/>
              </w:rPr>
              <w:t>147,116</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41999" w14:textId="77777777" w:rsidR="001207D4" w:rsidRPr="001207D4" w:rsidRDefault="001207D4" w:rsidP="001207D4">
            <w:pPr>
              <w:jc w:val="right"/>
              <w:rPr>
                <w:sz w:val="20"/>
                <w:szCs w:val="20"/>
              </w:rPr>
            </w:pPr>
            <w:r w:rsidRPr="001207D4">
              <w:rPr>
                <w:color w:val="000000"/>
                <w:sz w:val="20"/>
                <w:szCs w:val="20"/>
              </w:rPr>
              <w:t>11.2</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D6CE2F" w14:textId="77777777" w:rsidR="001207D4" w:rsidRPr="001207D4" w:rsidRDefault="001207D4" w:rsidP="001207D4">
            <w:pPr>
              <w:jc w:val="right"/>
              <w:rPr>
                <w:sz w:val="20"/>
                <w:szCs w:val="20"/>
              </w:rPr>
            </w:pPr>
            <w:r w:rsidRPr="001207D4">
              <w:rPr>
                <w:color w:val="000000"/>
                <w:sz w:val="20"/>
                <w:szCs w:val="20"/>
              </w:rPr>
              <w:t>21.9</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0C57A" w14:textId="77777777" w:rsidR="001207D4" w:rsidRPr="001207D4" w:rsidRDefault="001207D4" w:rsidP="001207D4">
            <w:pPr>
              <w:jc w:val="right"/>
              <w:rPr>
                <w:sz w:val="20"/>
                <w:szCs w:val="20"/>
              </w:rPr>
            </w:pPr>
            <w:r w:rsidRPr="001207D4">
              <w:rPr>
                <w:color w:val="000000"/>
                <w:sz w:val="20"/>
                <w:szCs w:val="20"/>
              </w:rPr>
              <w:t>34.2</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94C271" w14:textId="77777777" w:rsidR="001207D4" w:rsidRPr="001207D4" w:rsidRDefault="001207D4" w:rsidP="001207D4">
            <w:pPr>
              <w:jc w:val="right"/>
              <w:rPr>
                <w:sz w:val="20"/>
                <w:szCs w:val="20"/>
              </w:rPr>
            </w:pPr>
            <w:r w:rsidRPr="001207D4">
              <w:rPr>
                <w:color w:val="000000"/>
                <w:sz w:val="20"/>
                <w:szCs w:val="20"/>
              </w:rPr>
              <w:t>31.7</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F46342" w14:textId="77777777" w:rsidR="001207D4" w:rsidRPr="001207D4" w:rsidRDefault="001207D4" w:rsidP="001207D4">
            <w:pPr>
              <w:jc w:val="right"/>
              <w:rPr>
                <w:sz w:val="20"/>
                <w:szCs w:val="20"/>
              </w:rPr>
            </w:pPr>
            <w:r w:rsidRPr="001207D4">
              <w:rPr>
                <w:color w:val="000000"/>
                <w:sz w:val="20"/>
                <w:szCs w:val="20"/>
              </w:rPr>
              <w:t>1.0</w:t>
            </w:r>
          </w:p>
        </w:tc>
      </w:tr>
      <w:tr w:rsidR="001207D4" w:rsidRPr="001207D4" w14:paraId="01258C36"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05EE16A9" w14:textId="77777777" w:rsidR="001207D4" w:rsidRPr="001207D4" w:rsidRDefault="001207D4" w:rsidP="001207D4">
            <w:pPr>
              <w:rPr>
                <w:sz w:val="20"/>
                <w:szCs w:val="20"/>
              </w:rPr>
            </w:pPr>
            <w:r w:rsidRPr="001207D4">
              <w:rPr>
                <w:color w:val="000000"/>
                <w:sz w:val="20"/>
                <w:szCs w:val="20"/>
              </w:rPr>
              <w:t>Farms by Geography</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801A7" w14:textId="77777777" w:rsidR="001207D4" w:rsidRPr="001207D4" w:rsidRDefault="001207D4" w:rsidP="001207D4">
            <w:pPr>
              <w:jc w:val="right"/>
              <w:rPr>
                <w:sz w:val="20"/>
                <w:szCs w:val="20"/>
              </w:rPr>
            </w:pPr>
            <w:r w:rsidRPr="001207D4">
              <w:rPr>
                <w:color w:val="000000"/>
                <w:sz w:val="20"/>
                <w:szCs w:val="20"/>
              </w:rPr>
              <w:t>1,477</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942D3C" w14:textId="77777777" w:rsidR="001207D4" w:rsidRPr="001207D4" w:rsidRDefault="001207D4" w:rsidP="001207D4">
            <w:pPr>
              <w:jc w:val="right"/>
              <w:rPr>
                <w:sz w:val="20"/>
                <w:szCs w:val="20"/>
              </w:rPr>
            </w:pPr>
            <w:r w:rsidRPr="001207D4">
              <w:rPr>
                <w:color w:val="000000"/>
                <w:sz w:val="20"/>
                <w:szCs w:val="20"/>
              </w:rPr>
              <w:t>8.9</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9855FC" w14:textId="77777777" w:rsidR="001207D4" w:rsidRPr="001207D4" w:rsidRDefault="001207D4" w:rsidP="001207D4">
            <w:pPr>
              <w:jc w:val="right"/>
              <w:rPr>
                <w:sz w:val="20"/>
                <w:szCs w:val="20"/>
              </w:rPr>
            </w:pPr>
            <w:r w:rsidRPr="001207D4">
              <w:rPr>
                <w:color w:val="000000"/>
                <w:sz w:val="20"/>
                <w:szCs w:val="20"/>
              </w:rPr>
              <w:t>22.1</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279E75" w14:textId="77777777" w:rsidR="001207D4" w:rsidRPr="001207D4" w:rsidRDefault="001207D4" w:rsidP="001207D4">
            <w:pPr>
              <w:jc w:val="right"/>
              <w:rPr>
                <w:sz w:val="20"/>
                <w:szCs w:val="20"/>
              </w:rPr>
            </w:pPr>
            <w:r w:rsidRPr="001207D4">
              <w:rPr>
                <w:color w:val="000000"/>
                <w:sz w:val="20"/>
                <w:szCs w:val="20"/>
              </w:rPr>
              <w:t>47.2</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6B65D" w14:textId="77777777" w:rsidR="001207D4" w:rsidRPr="001207D4" w:rsidRDefault="001207D4" w:rsidP="001207D4">
            <w:pPr>
              <w:jc w:val="right"/>
              <w:rPr>
                <w:sz w:val="20"/>
                <w:szCs w:val="20"/>
              </w:rPr>
            </w:pPr>
            <w:r w:rsidRPr="001207D4">
              <w:rPr>
                <w:color w:val="000000"/>
                <w:sz w:val="20"/>
                <w:szCs w:val="20"/>
              </w:rPr>
              <w:t>21.7</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BEC8AE" w14:textId="77777777" w:rsidR="001207D4" w:rsidRPr="001207D4" w:rsidRDefault="001207D4" w:rsidP="001207D4">
            <w:pPr>
              <w:jc w:val="right"/>
              <w:rPr>
                <w:sz w:val="20"/>
                <w:szCs w:val="20"/>
              </w:rPr>
            </w:pPr>
            <w:r w:rsidRPr="001207D4">
              <w:rPr>
                <w:color w:val="000000"/>
                <w:sz w:val="20"/>
                <w:szCs w:val="20"/>
              </w:rPr>
              <w:t>0.2</w:t>
            </w:r>
          </w:p>
        </w:tc>
      </w:tr>
      <w:tr w:rsidR="001207D4" w:rsidRPr="001207D4" w14:paraId="72E5B3F4"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1880B4A8" w14:textId="77777777" w:rsidR="001207D4" w:rsidRPr="001207D4" w:rsidRDefault="001207D4" w:rsidP="001207D4">
            <w:pPr>
              <w:rPr>
                <w:sz w:val="20"/>
                <w:szCs w:val="20"/>
              </w:rPr>
            </w:pPr>
            <w:r w:rsidRPr="001207D4">
              <w:rPr>
                <w:color w:val="000000"/>
                <w:sz w:val="20"/>
                <w:szCs w:val="20"/>
              </w:rPr>
              <w:t>Family Distribution by Income Level</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F5DFC" w14:textId="77777777" w:rsidR="001207D4" w:rsidRPr="001207D4" w:rsidRDefault="001207D4" w:rsidP="001207D4">
            <w:pPr>
              <w:jc w:val="right"/>
              <w:rPr>
                <w:sz w:val="20"/>
                <w:szCs w:val="20"/>
              </w:rPr>
            </w:pPr>
            <w:r w:rsidRPr="001207D4">
              <w:rPr>
                <w:color w:val="000000"/>
                <w:sz w:val="20"/>
                <w:szCs w:val="20"/>
              </w:rPr>
              <w:t>368,505</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5606E" w14:textId="77777777" w:rsidR="001207D4" w:rsidRPr="001207D4" w:rsidRDefault="001207D4" w:rsidP="001207D4">
            <w:pPr>
              <w:jc w:val="right"/>
              <w:rPr>
                <w:sz w:val="20"/>
                <w:szCs w:val="20"/>
              </w:rPr>
            </w:pPr>
            <w:r w:rsidRPr="001207D4">
              <w:rPr>
                <w:color w:val="000000"/>
                <w:sz w:val="20"/>
                <w:szCs w:val="20"/>
              </w:rPr>
              <w:t>31.1</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12FEC" w14:textId="77777777" w:rsidR="001207D4" w:rsidRPr="001207D4" w:rsidRDefault="001207D4" w:rsidP="001207D4">
            <w:pPr>
              <w:jc w:val="right"/>
              <w:rPr>
                <w:sz w:val="20"/>
                <w:szCs w:val="20"/>
              </w:rPr>
            </w:pPr>
            <w:r w:rsidRPr="001207D4">
              <w:rPr>
                <w:color w:val="000000"/>
                <w:sz w:val="20"/>
                <w:szCs w:val="20"/>
              </w:rPr>
              <w:t>17.7</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88254B" w14:textId="77777777" w:rsidR="001207D4" w:rsidRPr="001207D4" w:rsidRDefault="001207D4" w:rsidP="001207D4">
            <w:pPr>
              <w:jc w:val="right"/>
              <w:rPr>
                <w:sz w:val="20"/>
                <w:szCs w:val="20"/>
              </w:rPr>
            </w:pPr>
            <w:r w:rsidRPr="001207D4">
              <w:rPr>
                <w:color w:val="000000"/>
                <w:sz w:val="20"/>
                <w:szCs w:val="20"/>
              </w:rPr>
              <w:t>18.7</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0BAB6B" w14:textId="77777777" w:rsidR="001207D4" w:rsidRPr="001207D4" w:rsidRDefault="001207D4" w:rsidP="001207D4">
            <w:pPr>
              <w:jc w:val="right"/>
              <w:rPr>
                <w:sz w:val="20"/>
                <w:szCs w:val="20"/>
              </w:rPr>
            </w:pPr>
            <w:r w:rsidRPr="001207D4">
              <w:rPr>
                <w:color w:val="000000"/>
                <w:sz w:val="20"/>
                <w:szCs w:val="20"/>
              </w:rPr>
              <w:t>32.5</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BBEFA8" w14:textId="77777777" w:rsidR="001207D4" w:rsidRPr="001207D4" w:rsidRDefault="001207D4" w:rsidP="001207D4">
            <w:pPr>
              <w:jc w:val="right"/>
              <w:rPr>
                <w:sz w:val="20"/>
                <w:szCs w:val="20"/>
              </w:rPr>
            </w:pPr>
            <w:r w:rsidRPr="001207D4">
              <w:rPr>
                <w:color w:val="000000"/>
                <w:sz w:val="20"/>
                <w:szCs w:val="20"/>
              </w:rPr>
              <w:t>0.0</w:t>
            </w:r>
          </w:p>
        </w:tc>
      </w:tr>
      <w:tr w:rsidR="001207D4" w:rsidRPr="001207D4" w14:paraId="00BBFEE1" w14:textId="77777777" w:rsidTr="001207D4">
        <w:trPr>
          <w:trHeight w:val="180"/>
          <w:jc w:val="center"/>
        </w:trPr>
        <w:tc>
          <w:tcPr>
            <w:tcW w:w="345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tcPr>
          <w:p w14:paraId="7135931F" w14:textId="77777777" w:rsidR="001207D4" w:rsidRPr="001207D4" w:rsidRDefault="001207D4" w:rsidP="001207D4">
            <w:pPr>
              <w:rPr>
                <w:sz w:val="20"/>
                <w:szCs w:val="20"/>
              </w:rPr>
            </w:pPr>
            <w:r w:rsidRPr="001207D4">
              <w:rPr>
                <w:color w:val="000000"/>
                <w:sz w:val="20"/>
                <w:szCs w:val="20"/>
              </w:rPr>
              <w:t>Household Distribution by Income Level</w:t>
            </w:r>
          </w:p>
        </w:tc>
        <w:tc>
          <w:tcPr>
            <w:tcW w:w="109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59F34A" w14:textId="77777777" w:rsidR="001207D4" w:rsidRPr="001207D4" w:rsidRDefault="001207D4" w:rsidP="001207D4">
            <w:pPr>
              <w:jc w:val="right"/>
              <w:rPr>
                <w:sz w:val="20"/>
                <w:szCs w:val="20"/>
              </w:rPr>
            </w:pPr>
            <w:r w:rsidRPr="001207D4">
              <w:rPr>
                <w:color w:val="000000"/>
                <w:sz w:val="20"/>
                <w:szCs w:val="20"/>
              </w:rPr>
              <w:t>674,258</w:t>
            </w:r>
          </w:p>
        </w:tc>
        <w:tc>
          <w:tcPr>
            <w:tcW w:w="10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D72E6F" w14:textId="77777777" w:rsidR="001207D4" w:rsidRPr="001207D4" w:rsidRDefault="001207D4" w:rsidP="001207D4">
            <w:pPr>
              <w:jc w:val="right"/>
              <w:rPr>
                <w:sz w:val="20"/>
                <w:szCs w:val="20"/>
              </w:rPr>
            </w:pPr>
            <w:r w:rsidRPr="001207D4">
              <w:rPr>
                <w:color w:val="000000"/>
                <w:sz w:val="20"/>
                <w:szCs w:val="20"/>
              </w:rPr>
              <w:t>31.7</w:t>
            </w:r>
          </w:p>
        </w:tc>
        <w:tc>
          <w:tcPr>
            <w:tcW w:w="117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D15EA" w14:textId="77777777" w:rsidR="001207D4" w:rsidRPr="001207D4" w:rsidRDefault="001207D4" w:rsidP="001207D4">
            <w:pPr>
              <w:jc w:val="right"/>
              <w:rPr>
                <w:sz w:val="20"/>
                <w:szCs w:val="20"/>
              </w:rPr>
            </w:pPr>
            <w:r w:rsidRPr="001207D4">
              <w:rPr>
                <w:color w:val="000000"/>
                <w:sz w:val="20"/>
                <w:szCs w:val="20"/>
              </w:rPr>
              <w:t>15.4</w:t>
            </w:r>
          </w:p>
        </w:tc>
        <w:tc>
          <w:tcPr>
            <w:tcW w:w="10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DE97B0" w14:textId="77777777" w:rsidR="001207D4" w:rsidRPr="001207D4" w:rsidRDefault="001207D4" w:rsidP="001207D4">
            <w:pPr>
              <w:jc w:val="right"/>
              <w:rPr>
                <w:sz w:val="20"/>
                <w:szCs w:val="20"/>
              </w:rPr>
            </w:pPr>
            <w:r w:rsidRPr="001207D4">
              <w:rPr>
                <w:color w:val="000000"/>
                <w:sz w:val="20"/>
                <w:szCs w:val="20"/>
              </w:rPr>
              <w:t>16.3</w:t>
            </w:r>
          </w:p>
        </w:tc>
        <w:tc>
          <w:tcPr>
            <w:tcW w:w="10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6E0112" w14:textId="77777777" w:rsidR="001207D4" w:rsidRPr="001207D4" w:rsidRDefault="001207D4" w:rsidP="001207D4">
            <w:pPr>
              <w:jc w:val="right"/>
              <w:rPr>
                <w:sz w:val="20"/>
                <w:szCs w:val="20"/>
              </w:rPr>
            </w:pPr>
            <w:r w:rsidRPr="001207D4">
              <w:rPr>
                <w:color w:val="000000"/>
                <w:sz w:val="20"/>
                <w:szCs w:val="20"/>
              </w:rPr>
              <w:t>36.6</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2BE9FB" w14:textId="77777777" w:rsidR="001207D4" w:rsidRPr="001207D4" w:rsidRDefault="001207D4" w:rsidP="001207D4">
            <w:pPr>
              <w:jc w:val="right"/>
              <w:rPr>
                <w:sz w:val="20"/>
                <w:szCs w:val="20"/>
              </w:rPr>
            </w:pPr>
            <w:r w:rsidRPr="001207D4">
              <w:rPr>
                <w:color w:val="000000"/>
                <w:sz w:val="20"/>
                <w:szCs w:val="20"/>
              </w:rPr>
              <w:t>0.0</w:t>
            </w:r>
          </w:p>
        </w:tc>
      </w:tr>
      <w:tr w:rsidR="001207D4" w:rsidRPr="001207D4" w14:paraId="5E2897EB" w14:textId="77777777" w:rsidTr="001207D4">
        <w:trPr>
          <w:trHeight w:val="180"/>
          <w:jc w:val="center"/>
        </w:trPr>
        <w:tc>
          <w:tcPr>
            <w:tcW w:w="3454" w:type="dxa"/>
            <w:tcBorders>
              <w:top w:val="single" w:sz="7" w:space="0" w:color="000000"/>
              <w:left w:val="single" w:sz="7" w:space="0" w:color="000000"/>
              <w:bottom w:val="single" w:sz="7" w:space="0" w:color="000000"/>
            </w:tcBorders>
            <w:tcMar>
              <w:top w:w="39" w:type="dxa"/>
              <w:left w:w="239" w:type="dxa"/>
              <w:bottom w:w="39" w:type="dxa"/>
              <w:right w:w="39" w:type="dxa"/>
            </w:tcMar>
          </w:tcPr>
          <w:p w14:paraId="472DB629" w14:textId="77777777" w:rsidR="001207D4" w:rsidRPr="001207D4" w:rsidRDefault="001207D4" w:rsidP="001207D4">
            <w:pPr>
              <w:rPr>
                <w:sz w:val="20"/>
                <w:szCs w:val="20"/>
              </w:rPr>
            </w:pPr>
            <w:r w:rsidRPr="001207D4">
              <w:rPr>
                <w:color w:val="000000"/>
                <w:sz w:val="20"/>
                <w:szCs w:val="20"/>
              </w:rPr>
              <w:t>Median Family Income MSA - 14454 Boston, MA</w:t>
            </w:r>
          </w:p>
        </w:tc>
        <w:tc>
          <w:tcPr>
            <w:tcW w:w="1099" w:type="dxa"/>
            <w:tcBorders>
              <w:top w:val="single" w:sz="7" w:space="0" w:color="000000"/>
              <w:bottom w:val="single" w:sz="7" w:space="0" w:color="000000"/>
            </w:tcBorders>
            <w:tcMar>
              <w:top w:w="39" w:type="dxa"/>
              <w:left w:w="239" w:type="dxa"/>
              <w:bottom w:w="39" w:type="dxa"/>
              <w:right w:w="39" w:type="dxa"/>
            </w:tcMar>
          </w:tcPr>
          <w:p w14:paraId="3FB2141E" w14:textId="77777777" w:rsidR="001207D4" w:rsidRPr="001207D4" w:rsidRDefault="001207D4" w:rsidP="001207D4">
            <w:pPr>
              <w:rPr>
                <w:sz w:val="20"/>
                <w:szCs w:val="20"/>
              </w:rPr>
            </w:pPr>
          </w:p>
        </w:tc>
        <w:tc>
          <w:tcPr>
            <w:tcW w:w="1063" w:type="dxa"/>
            <w:tcBorders>
              <w:top w:val="single" w:sz="7" w:space="0" w:color="000000"/>
              <w:left w:val="single" w:sz="7" w:space="0" w:color="000000"/>
              <w:bottom w:val="single" w:sz="7" w:space="0" w:color="000000"/>
            </w:tcBorders>
            <w:tcMar>
              <w:top w:w="39" w:type="dxa"/>
              <w:left w:w="39" w:type="dxa"/>
              <w:bottom w:w="39" w:type="dxa"/>
              <w:right w:w="39" w:type="dxa"/>
            </w:tcMar>
          </w:tcPr>
          <w:p w14:paraId="2DBAA44F" w14:textId="77777777" w:rsidR="001207D4" w:rsidRPr="001207D4" w:rsidRDefault="001207D4" w:rsidP="001207D4">
            <w:pPr>
              <w:jc w:val="right"/>
              <w:rPr>
                <w:sz w:val="20"/>
                <w:szCs w:val="20"/>
              </w:rPr>
            </w:pPr>
            <w:r w:rsidRPr="001207D4">
              <w:rPr>
                <w:color w:val="000000"/>
                <w:sz w:val="20"/>
                <w:szCs w:val="20"/>
              </w:rPr>
              <w:t>$90,699</w:t>
            </w:r>
          </w:p>
        </w:tc>
        <w:tc>
          <w:tcPr>
            <w:tcW w:w="3338"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3E2345" w14:textId="77777777" w:rsidR="001207D4" w:rsidRPr="001207D4" w:rsidRDefault="001207D4" w:rsidP="001207D4">
            <w:pPr>
              <w:rPr>
                <w:sz w:val="20"/>
                <w:szCs w:val="20"/>
              </w:rPr>
            </w:pPr>
            <w:r w:rsidRPr="001207D4">
              <w:rPr>
                <w:color w:val="000000"/>
                <w:sz w:val="20"/>
                <w:szCs w:val="20"/>
              </w:rPr>
              <w:t>Median Housing Value</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BED3A" w14:textId="77777777" w:rsidR="001207D4" w:rsidRPr="001207D4" w:rsidRDefault="001207D4" w:rsidP="001207D4">
            <w:pPr>
              <w:jc w:val="right"/>
              <w:rPr>
                <w:sz w:val="20"/>
                <w:szCs w:val="20"/>
              </w:rPr>
            </w:pPr>
            <w:r w:rsidRPr="001207D4">
              <w:rPr>
                <w:color w:val="000000"/>
                <w:sz w:val="20"/>
                <w:szCs w:val="20"/>
              </w:rPr>
              <w:t>$418,385</w:t>
            </w:r>
          </w:p>
        </w:tc>
      </w:tr>
      <w:tr w:rsidR="001207D4" w:rsidRPr="001207D4" w14:paraId="4A0D4170" w14:textId="77777777" w:rsidTr="001207D4">
        <w:trPr>
          <w:trHeight w:val="180"/>
          <w:jc w:val="center"/>
        </w:trPr>
        <w:tc>
          <w:tcPr>
            <w:tcW w:w="3454" w:type="dxa"/>
            <w:tcBorders>
              <w:top w:val="single" w:sz="7" w:space="0" w:color="000000"/>
              <w:left w:val="single" w:sz="7" w:space="0" w:color="000000"/>
            </w:tcBorders>
            <w:tcMar>
              <w:top w:w="39" w:type="dxa"/>
              <w:left w:w="239" w:type="dxa"/>
              <w:bottom w:w="39" w:type="dxa"/>
              <w:right w:w="39" w:type="dxa"/>
            </w:tcMar>
          </w:tcPr>
          <w:p w14:paraId="56590802" w14:textId="77777777" w:rsidR="001207D4" w:rsidRPr="001207D4" w:rsidRDefault="001207D4" w:rsidP="001207D4">
            <w:pPr>
              <w:rPr>
                <w:sz w:val="20"/>
                <w:szCs w:val="20"/>
              </w:rPr>
            </w:pPr>
            <w:r w:rsidRPr="001207D4">
              <w:rPr>
                <w:color w:val="000000"/>
                <w:sz w:val="20"/>
                <w:szCs w:val="20"/>
              </w:rPr>
              <w:t>Median Family Income MSA - 15764 Cambridge-Newton-Framingham, MA</w:t>
            </w:r>
          </w:p>
        </w:tc>
        <w:tc>
          <w:tcPr>
            <w:tcW w:w="1099" w:type="dxa"/>
            <w:tcBorders>
              <w:top w:val="single" w:sz="7" w:space="0" w:color="000000"/>
            </w:tcBorders>
            <w:tcMar>
              <w:top w:w="39" w:type="dxa"/>
              <w:left w:w="239" w:type="dxa"/>
              <w:bottom w:w="39" w:type="dxa"/>
              <w:right w:w="39" w:type="dxa"/>
            </w:tcMar>
          </w:tcPr>
          <w:p w14:paraId="3095154F" w14:textId="77777777" w:rsidR="001207D4" w:rsidRPr="001207D4" w:rsidRDefault="001207D4" w:rsidP="001207D4">
            <w:pPr>
              <w:rPr>
                <w:sz w:val="20"/>
                <w:szCs w:val="20"/>
              </w:rPr>
            </w:pPr>
          </w:p>
        </w:tc>
        <w:tc>
          <w:tcPr>
            <w:tcW w:w="1063" w:type="dxa"/>
            <w:tcBorders>
              <w:top w:val="single" w:sz="7" w:space="0" w:color="000000"/>
              <w:left w:val="single" w:sz="7" w:space="0" w:color="000000"/>
            </w:tcBorders>
            <w:tcMar>
              <w:top w:w="39" w:type="dxa"/>
              <w:left w:w="39" w:type="dxa"/>
              <w:bottom w:w="39" w:type="dxa"/>
              <w:right w:w="39" w:type="dxa"/>
            </w:tcMar>
          </w:tcPr>
          <w:p w14:paraId="625F56B5" w14:textId="77777777" w:rsidR="001207D4" w:rsidRPr="001207D4" w:rsidRDefault="001207D4" w:rsidP="001207D4">
            <w:pPr>
              <w:jc w:val="right"/>
              <w:rPr>
                <w:sz w:val="20"/>
                <w:szCs w:val="20"/>
              </w:rPr>
            </w:pPr>
            <w:r w:rsidRPr="001207D4">
              <w:rPr>
                <w:color w:val="000000"/>
                <w:sz w:val="20"/>
                <w:szCs w:val="20"/>
              </w:rPr>
              <w:t>$100,380</w:t>
            </w:r>
          </w:p>
        </w:tc>
        <w:tc>
          <w:tcPr>
            <w:tcW w:w="3338"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E43E1" w14:textId="77777777" w:rsidR="001207D4" w:rsidRPr="001207D4" w:rsidRDefault="001207D4" w:rsidP="001207D4">
            <w:pPr>
              <w:rPr>
                <w:sz w:val="20"/>
                <w:szCs w:val="20"/>
              </w:rPr>
            </w:pPr>
            <w:r w:rsidRPr="001207D4">
              <w:rPr>
                <w:color w:val="000000"/>
                <w:sz w:val="20"/>
                <w:szCs w:val="20"/>
              </w:rPr>
              <w:t>Median Gross Rent</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CEFEAF" w14:textId="77777777" w:rsidR="001207D4" w:rsidRPr="001207D4" w:rsidRDefault="001207D4" w:rsidP="001207D4">
            <w:pPr>
              <w:jc w:val="right"/>
              <w:rPr>
                <w:sz w:val="20"/>
                <w:szCs w:val="20"/>
              </w:rPr>
            </w:pPr>
            <w:r w:rsidRPr="001207D4">
              <w:rPr>
                <w:color w:val="000000"/>
                <w:sz w:val="20"/>
                <w:szCs w:val="20"/>
              </w:rPr>
              <w:t>$1,347</w:t>
            </w:r>
          </w:p>
        </w:tc>
      </w:tr>
      <w:tr w:rsidR="001207D4" w:rsidRPr="001207D4" w14:paraId="55350273" w14:textId="77777777" w:rsidTr="001207D4">
        <w:trPr>
          <w:trHeight w:val="180"/>
          <w:jc w:val="center"/>
        </w:trPr>
        <w:tc>
          <w:tcPr>
            <w:tcW w:w="3454" w:type="dxa"/>
            <w:tcBorders>
              <w:left w:val="single" w:sz="7" w:space="0" w:color="000000"/>
              <w:bottom w:val="single" w:sz="7" w:space="0" w:color="000000"/>
            </w:tcBorders>
            <w:tcMar>
              <w:top w:w="39" w:type="dxa"/>
              <w:left w:w="239" w:type="dxa"/>
              <w:bottom w:w="39" w:type="dxa"/>
              <w:right w:w="39" w:type="dxa"/>
            </w:tcMar>
          </w:tcPr>
          <w:p w14:paraId="79943290" w14:textId="77777777" w:rsidR="001207D4" w:rsidRPr="001207D4" w:rsidRDefault="001207D4" w:rsidP="001207D4">
            <w:pPr>
              <w:rPr>
                <w:sz w:val="20"/>
                <w:szCs w:val="20"/>
              </w:rPr>
            </w:pPr>
          </w:p>
        </w:tc>
        <w:tc>
          <w:tcPr>
            <w:tcW w:w="1099" w:type="dxa"/>
            <w:tcBorders>
              <w:bottom w:val="single" w:sz="7" w:space="0" w:color="000000"/>
            </w:tcBorders>
            <w:tcMar>
              <w:top w:w="39" w:type="dxa"/>
              <w:left w:w="239" w:type="dxa"/>
              <w:bottom w:w="39" w:type="dxa"/>
              <w:right w:w="39" w:type="dxa"/>
            </w:tcMar>
          </w:tcPr>
          <w:p w14:paraId="4564A617" w14:textId="77777777" w:rsidR="001207D4" w:rsidRPr="001207D4" w:rsidRDefault="001207D4" w:rsidP="001207D4">
            <w:pPr>
              <w:rPr>
                <w:sz w:val="20"/>
                <w:szCs w:val="20"/>
              </w:rPr>
            </w:pPr>
          </w:p>
        </w:tc>
        <w:tc>
          <w:tcPr>
            <w:tcW w:w="1063" w:type="dxa"/>
            <w:tcBorders>
              <w:left w:val="single" w:sz="7" w:space="0" w:color="000000"/>
              <w:bottom w:val="single" w:sz="7" w:space="0" w:color="000000"/>
            </w:tcBorders>
            <w:tcMar>
              <w:top w:w="39" w:type="dxa"/>
              <w:left w:w="39" w:type="dxa"/>
              <w:bottom w:w="39" w:type="dxa"/>
              <w:right w:w="39" w:type="dxa"/>
            </w:tcMar>
          </w:tcPr>
          <w:p w14:paraId="414489DC" w14:textId="77777777" w:rsidR="001207D4" w:rsidRPr="001207D4" w:rsidRDefault="001207D4" w:rsidP="001207D4">
            <w:pPr>
              <w:rPr>
                <w:sz w:val="20"/>
                <w:szCs w:val="20"/>
              </w:rPr>
            </w:pPr>
          </w:p>
        </w:tc>
        <w:tc>
          <w:tcPr>
            <w:tcW w:w="3338" w:type="dxa"/>
            <w:gridSpan w:val="3"/>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699E07" w14:textId="77777777" w:rsidR="001207D4" w:rsidRPr="001207D4" w:rsidRDefault="001207D4" w:rsidP="001207D4">
            <w:pPr>
              <w:rPr>
                <w:sz w:val="20"/>
                <w:szCs w:val="20"/>
              </w:rPr>
            </w:pPr>
            <w:r w:rsidRPr="001207D4">
              <w:rPr>
                <w:color w:val="000000"/>
                <w:sz w:val="20"/>
                <w:szCs w:val="20"/>
              </w:rPr>
              <w:t>Families Below Poverty Level</w:t>
            </w:r>
          </w:p>
        </w:tc>
        <w:tc>
          <w:tcPr>
            <w:tcW w:w="11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E05BF7" w14:textId="77777777" w:rsidR="001207D4" w:rsidRPr="001207D4" w:rsidRDefault="001207D4" w:rsidP="001207D4">
            <w:pPr>
              <w:jc w:val="right"/>
              <w:rPr>
                <w:sz w:val="20"/>
                <w:szCs w:val="20"/>
              </w:rPr>
            </w:pPr>
            <w:r w:rsidRPr="001207D4">
              <w:rPr>
                <w:color w:val="000000"/>
                <w:sz w:val="20"/>
                <w:szCs w:val="20"/>
              </w:rPr>
              <w:t>11.2%</w:t>
            </w:r>
          </w:p>
        </w:tc>
      </w:tr>
      <w:tr w:rsidR="001207D4" w:rsidRPr="001207D4" w14:paraId="1670B797" w14:textId="77777777" w:rsidTr="001207D4">
        <w:trPr>
          <w:trHeight w:val="666"/>
          <w:jc w:val="center"/>
        </w:trPr>
        <w:tc>
          <w:tcPr>
            <w:tcW w:w="10112" w:type="dxa"/>
            <w:gridSpan w:val="7"/>
            <w:tcBorders>
              <w:left w:val="single" w:sz="7" w:space="0" w:color="000000"/>
              <w:bottom w:val="single" w:sz="7" w:space="0" w:color="000000"/>
              <w:right w:val="single" w:sz="7" w:space="0" w:color="000000"/>
            </w:tcBorders>
            <w:tcMar>
              <w:top w:w="59" w:type="dxa"/>
              <w:left w:w="39" w:type="dxa"/>
              <w:bottom w:w="39" w:type="dxa"/>
              <w:right w:w="39" w:type="dxa"/>
            </w:tcMar>
          </w:tcPr>
          <w:p w14:paraId="6DABC8F2" w14:textId="77777777" w:rsidR="001207D4" w:rsidRPr="001207D4" w:rsidRDefault="001207D4" w:rsidP="001207D4">
            <w:pPr>
              <w:rPr>
                <w:sz w:val="20"/>
                <w:szCs w:val="20"/>
              </w:rPr>
            </w:pPr>
            <w:r w:rsidRPr="001207D4">
              <w:rPr>
                <w:i/>
                <w:color w:val="000000"/>
                <w:sz w:val="16"/>
                <w:szCs w:val="20"/>
              </w:rPr>
              <w:t>Source: 2015 ACS  and 2019 D&amp;B Data</w:t>
            </w:r>
          </w:p>
          <w:p w14:paraId="7248DD94" w14:textId="77777777" w:rsidR="001207D4" w:rsidRPr="001207D4" w:rsidRDefault="001207D4" w:rsidP="001207D4">
            <w:pPr>
              <w:rPr>
                <w:sz w:val="20"/>
                <w:szCs w:val="20"/>
              </w:rPr>
            </w:pPr>
            <w:r w:rsidRPr="001207D4">
              <w:rPr>
                <w:i/>
                <w:color w:val="000000"/>
                <w:sz w:val="16"/>
                <w:szCs w:val="20"/>
              </w:rPr>
              <w:t>Due to rounding, totals may not equal 100.0%</w:t>
            </w:r>
          </w:p>
          <w:p w14:paraId="706965BB" w14:textId="77777777" w:rsidR="001207D4" w:rsidRPr="001207D4" w:rsidRDefault="001207D4" w:rsidP="001207D4">
            <w:pPr>
              <w:rPr>
                <w:sz w:val="20"/>
                <w:szCs w:val="20"/>
              </w:rPr>
            </w:pPr>
            <w:r w:rsidRPr="001207D4">
              <w:rPr>
                <w:i/>
                <w:color w:val="000000"/>
                <w:sz w:val="16"/>
                <w:szCs w:val="20"/>
              </w:rPr>
              <w:t>(*) The NA category consists of geographies that have not been assigned an income classification.</w:t>
            </w:r>
          </w:p>
        </w:tc>
      </w:tr>
    </w:tbl>
    <w:p w14:paraId="7D3FCAAF" w14:textId="77777777" w:rsidR="0005749B" w:rsidRPr="00C152C3" w:rsidRDefault="0005749B" w:rsidP="00C12BFC">
      <w:pPr>
        <w:ind w:right="-360"/>
        <w:rPr>
          <w:bCs/>
          <w:iCs/>
        </w:rPr>
      </w:pPr>
    </w:p>
    <w:p w14:paraId="134F8992" w14:textId="5EC09C5E" w:rsidR="009E1BB5" w:rsidRPr="00FD65FC" w:rsidRDefault="009E1BB5" w:rsidP="009E1BB5">
      <w:pPr>
        <w:rPr>
          <w:bCs/>
          <w:spacing w:val="-3"/>
        </w:rPr>
      </w:pPr>
      <w:r w:rsidRPr="00FD65FC">
        <w:rPr>
          <w:bCs/>
          <w:spacing w:val="-3"/>
        </w:rPr>
        <w:t xml:space="preserve">According to 2019 D&amp;B data, there were </w:t>
      </w:r>
      <w:r>
        <w:rPr>
          <w:bCs/>
          <w:spacing w:val="-3"/>
        </w:rPr>
        <w:t>147,116</w:t>
      </w:r>
      <w:r w:rsidRPr="00FD65FC">
        <w:rPr>
          <w:bCs/>
          <w:spacing w:val="-3"/>
        </w:rPr>
        <w:t xml:space="preserve"> businesses in the assessment area.  Gross annual revenues (GARs) for these businesses </w:t>
      </w:r>
      <w:r w:rsidR="006362FE">
        <w:rPr>
          <w:bCs/>
          <w:spacing w:val="-3"/>
        </w:rPr>
        <w:t>follow</w:t>
      </w:r>
      <w:r w:rsidRPr="00FD65FC">
        <w:rPr>
          <w:bCs/>
          <w:spacing w:val="-3"/>
        </w:rPr>
        <w:t>.</w:t>
      </w:r>
    </w:p>
    <w:p w14:paraId="6D5D7263" w14:textId="77777777" w:rsidR="009E1BB5" w:rsidRPr="00FD65FC" w:rsidRDefault="009E1BB5" w:rsidP="009E1BB5">
      <w:pPr>
        <w:rPr>
          <w:bCs/>
          <w:spacing w:val="-3"/>
        </w:rPr>
      </w:pPr>
    </w:p>
    <w:p w14:paraId="34FA43B1" w14:textId="77777777" w:rsidR="009E1BB5" w:rsidRPr="00FD65FC" w:rsidRDefault="009E1BB5" w:rsidP="009E1BB5">
      <w:pPr>
        <w:numPr>
          <w:ilvl w:val="0"/>
          <w:numId w:val="25"/>
        </w:numPr>
        <w:spacing w:after="200"/>
        <w:contextualSpacing/>
        <w:rPr>
          <w:bCs/>
          <w:spacing w:val="-3"/>
        </w:rPr>
      </w:pPr>
      <w:r w:rsidRPr="00FD65FC">
        <w:rPr>
          <w:bCs/>
          <w:spacing w:val="-3"/>
        </w:rPr>
        <w:lastRenderedPageBreak/>
        <w:t>8</w:t>
      </w:r>
      <w:r>
        <w:rPr>
          <w:bCs/>
          <w:spacing w:val="-3"/>
        </w:rPr>
        <w:t>4.3</w:t>
      </w:r>
      <w:r w:rsidRPr="00FD65FC">
        <w:rPr>
          <w:bCs/>
          <w:spacing w:val="-3"/>
        </w:rPr>
        <w:t xml:space="preserve"> percent have $1 million or less</w:t>
      </w:r>
    </w:p>
    <w:p w14:paraId="00039D5E" w14:textId="77777777" w:rsidR="009E1BB5" w:rsidRPr="00FD65FC" w:rsidRDefault="009E1BB5" w:rsidP="009E1BB5">
      <w:pPr>
        <w:numPr>
          <w:ilvl w:val="0"/>
          <w:numId w:val="25"/>
        </w:numPr>
        <w:spacing w:after="200"/>
        <w:contextualSpacing/>
        <w:rPr>
          <w:bCs/>
          <w:spacing w:val="-3"/>
        </w:rPr>
      </w:pPr>
      <w:r w:rsidRPr="00FD65FC">
        <w:rPr>
          <w:bCs/>
          <w:spacing w:val="-3"/>
        </w:rPr>
        <w:t>6.</w:t>
      </w:r>
      <w:r>
        <w:rPr>
          <w:bCs/>
          <w:spacing w:val="-3"/>
        </w:rPr>
        <w:t>5</w:t>
      </w:r>
      <w:r w:rsidRPr="00FD65FC">
        <w:rPr>
          <w:bCs/>
          <w:spacing w:val="-3"/>
        </w:rPr>
        <w:t xml:space="preserve"> percent have more than $1 million</w:t>
      </w:r>
    </w:p>
    <w:p w14:paraId="25B8DE3D" w14:textId="77777777" w:rsidR="009E1BB5" w:rsidRPr="00713B46" w:rsidRDefault="009E1BB5" w:rsidP="009E1BB5">
      <w:pPr>
        <w:numPr>
          <w:ilvl w:val="0"/>
          <w:numId w:val="25"/>
        </w:numPr>
        <w:spacing w:after="200" w:line="276" w:lineRule="auto"/>
        <w:contextualSpacing/>
        <w:rPr>
          <w:rFonts w:eastAsia="Calibri"/>
          <w:bCs/>
          <w:spacing w:val="-3"/>
        </w:rPr>
      </w:pPr>
      <w:r>
        <w:rPr>
          <w:rFonts w:eastAsia="Calibri"/>
          <w:bCs/>
          <w:spacing w:val="-3"/>
        </w:rPr>
        <w:t>9.2</w:t>
      </w:r>
      <w:r w:rsidRPr="00713B46">
        <w:rPr>
          <w:rFonts w:eastAsia="Calibri"/>
          <w:bCs/>
          <w:spacing w:val="-3"/>
        </w:rPr>
        <w:t xml:space="preserve">  percent have unknown revenues</w:t>
      </w:r>
    </w:p>
    <w:p w14:paraId="4032A1C1" w14:textId="77777777" w:rsidR="009E1BB5" w:rsidRPr="00FD65FC" w:rsidRDefault="009E1BB5" w:rsidP="009E1BB5">
      <w:pPr>
        <w:tabs>
          <w:tab w:val="center" w:pos="4680"/>
        </w:tabs>
      </w:pPr>
    </w:p>
    <w:p w14:paraId="71743760" w14:textId="77777777" w:rsidR="009E1BB5" w:rsidRPr="00FD65FC" w:rsidRDefault="009E1BB5" w:rsidP="009E1BB5">
      <w:pPr>
        <w:rPr>
          <w:bCs/>
          <w:spacing w:val="-3"/>
        </w:rPr>
      </w:pPr>
      <w:r>
        <w:rPr>
          <w:bCs/>
          <w:spacing w:val="-3"/>
        </w:rPr>
        <w:t xml:space="preserve">The </w:t>
      </w:r>
      <w:r w:rsidRPr="00FD65FC">
        <w:rPr>
          <w:bCs/>
          <w:spacing w:val="-3"/>
        </w:rPr>
        <w:t>small business loan</w:t>
      </w:r>
      <w:r>
        <w:rPr>
          <w:bCs/>
          <w:spacing w:val="-3"/>
        </w:rPr>
        <w:t xml:space="preserve"> analysis</w:t>
      </w:r>
      <w:r w:rsidRPr="00FD65FC">
        <w:rPr>
          <w:bCs/>
          <w:spacing w:val="-3"/>
        </w:rPr>
        <w:t xml:space="preserve"> under the Borrower Profile criterion compares the distribution of businesses by GAR level.  D&amp;B demographic data indicates that as of 2019, </w:t>
      </w:r>
      <w:r>
        <w:rPr>
          <w:bCs/>
          <w:spacing w:val="-3"/>
        </w:rPr>
        <w:t>80.3</w:t>
      </w:r>
      <w:r w:rsidRPr="00FD65FC">
        <w:rPr>
          <w:bCs/>
          <w:spacing w:val="-3"/>
        </w:rPr>
        <w:t xml:space="preserve"> percent of businesses in the assessment area have GARs of less than $0.5 million, 6</w:t>
      </w:r>
      <w:r>
        <w:rPr>
          <w:bCs/>
          <w:spacing w:val="-3"/>
        </w:rPr>
        <w:t>2.8</w:t>
      </w:r>
      <w:r w:rsidRPr="00FD65FC">
        <w:rPr>
          <w:bCs/>
          <w:spacing w:val="-3"/>
        </w:rPr>
        <w:t xml:space="preserve"> percent of businesses have four or fewer employees, and </w:t>
      </w:r>
      <w:r>
        <w:rPr>
          <w:bCs/>
          <w:spacing w:val="-3"/>
        </w:rPr>
        <w:t>89.0</w:t>
      </w:r>
      <w:r w:rsidRPr="00FD65FC">
        <w:rPr>
          <w:bCs/>
          <w:spacing w:val="-3"/>
        </w:rPr>
        <w:t xml:space="preserve"> percent of businesses operate from a single location.  These factors indicate that the majority of businesses in the assessment area are very small.  Service industries represent the largest portion of businesses at 4</w:t>
      </w:r>
      <w:r w:rsidR="002F6AB7">
        <w:rPr>
          <w:bCs/>
          <w:spacing w:val="-3"/>
        </w:rPr>
        <w:t>3.4</w:t>
      </w:r>
      <w:r w:rsidRPr="00FD65FC">
        <w:rPr>
          <w:bCs/>
          <w:spacing w:val="-3"/>
        </w:rPr>
        <w:t xml:space="preserve"> percent; followed by non-classifiable establishments (</w:t>
      </w:r>
      <w:r w:rsidR="002F6AB7">
        <w:rPr>
          <w:bCs/>
          <w:spacing w:val="-3"/>
        </w:rPr>
        <w:t>16.1</w:t>
      </w:r>
      <w:r w:rsidRPr="00FD65FC">
        <w:rPr>
          <w:bCs/>
          <w:spacing w:val="-3"/>
        </w:rPr>
        <w:t xml:space="preserve"> percent); retail trade (</w:t>
      </w:r>
      <w:r w:rsidR="002F6AB7">
        <w:rPr>
          <w:bCs/>
          <w:spacing w:val="-3"/>
        </w:rPr>
        <w:t>12.1</w:t>
      </w:r>
      <w:r w:rsidRPr="00FD65FC">
        <w:rPr>
          <w:bCs/>
          <w:spacing w:val="-3"/>
        </w:rPr>
        <w:t xml:space="preserve"> percent);</w:t>
      </w:r>
      <w:r w:rsidR="002F6AB7">
        <w:rPr>
          <w:bCs/>
          <w:spacing w:val="-3"/>
        </w:rPr>
        <w:t xml:space="preserve"> and finance,</w:t>
      </w:r>
      <w:r w:rsidRPr="00FD65FC">
        <w:rPr>
          <w:bCs/>
          <w:spacing w:val="-3"/>
        </w:rPr>
        <w:t xml:space="preserve"> insurance, and real estate (</w:t>
      </w:r>
      <w:r w:rsidR="002F6AB7">
        <w:rPr>
          <w:bCs/>
          <w:spacing w:val="-3"/>
        </w:rPr>
        <w:t>1</w:t>
      </w:r>
      <w:r w:rsidR="004E05B0">
        <w:rPr>
          <w:bCs/>
          <w:spacing w:val="-3"/>
        </w:rPr>
        <w:t>1.6</w:t>
      </w:r>
      <w:r w:rsidR="002F6AB7">
        <w:rPr>
          <w:bCs/>
          <w:spacing w:val="-3"/>
        </w:rPr>
        <w:t xml:space="preserve"> percent).  </w:t>
      </w:r>
      <w:r w:rsidRPr="00FD65FC">
        <w:rPr>
          <w:bCs/>
          <w:spacing w:val="-3"/>
        </w:rPr>
        <w:t xml:space="preserve">  </w:t>
      </w:r>
    </w:p>
    <w:p w14:paraId="127D4055" w14:textId="77777777" w:rsidR="009E1BB5" w:rsidRPr="00FD65FC" w:rsidRDefault="009E1BB5" w:rsidP="009E1BB5">
      <w:pPr>
        <w:rPr>
          <w:bCs/>
          <w:spacing w:val="-3"/>
        </w:rPr>
      </w:pPr>
    </w:p>
    <w:p w14:paraId="6A19CA6D" w14:textId="77777777" w:rsidR="0099672C" w:rsidRPr="00AD3C42" w:rsidRDefault="00EE552A" w:rsidP="009E1BB5">
      <w:pPr>
        <w:rPr>
          <w:b/>
          <w:bCs/>
          <w:iCs/>
          <w:u w:val="single"/>
        </w:rPr>
      </w:pPr>
      <w:r>
        <w:rPr>
          <w:bCs/>
          <w:spacing w:val="-3"/>
        </w:rPr>
        <w:t>Examiners use t</w:t>
      </w:r>
      <w:r w:rsidR="009E1BB5" w:rsidRPr="00FD65FC">
        <w:rPr>
          <w:bCs/>
          <w:spacing w:val="-3"/>
        </w:rPr>
        <w:t>he Federal Financial Institutions Examination Council (FFIEC)-updated median family income levels to analyze home mortgage loans under the Borrower Profile criterion.  The following table presents the low-, moderate-, middle-, and upper-income categories</w:t>
      </w:r>
      <w:r w:rsidR="00726209">
        <w:rPr>
          <w:bCs/>
          <w:spacing w:val="-3"/>
        </w:rPr>
        <w:t xml:space="preserve">, which are </w:t>
      </w:r>
      <w:r w:rsidR="009E1BB5" w:rsidRPr="00FD65FC">
        <w:rPr>
          <w:bCs/>
          <w:spacing w:val="-3"/>
        </w:rPr>
        <w:t xml:space="preserve">based on the 2018 and 2019 FFIEC-updated </w:t>
      </w:r>
      <w:r w:rsidR="009E1BB5">
        <w:rPr>
          <w:bCs/>
          <w:spacing w:val="-3"/>
        </w:rPr>
        <w:t>median family income categories.</w:t>
      </w:r>
    </w:p>
    <w:p w14:paraId="7A77B7B9" w14:textId="77777777" w:rsidR="00B37074" w:rsidRDefault="00B37074" w:rsidP="00E02903">
      <w:pPr>
        <w:rPr>
          <w:b/>
          <w:bCs/>
          <w:iCs/>
          <w:u w:val="single"/>
        </w:rPr>
      </w:pPr>
    </w:p>
    <w:tbl>
      <w:tblPr>
        <w:tblW w:w="0" w:type="auto"/>
        <w:tblCellMar>
          <w:left w:w="0" w:type="dxa"/>
          <w:right w:w="0" w:type="dxa"/>
        </w:tblCellMar>
        <w:tblLook w:val="0000" w:firstRow="0" w:lastRow="0" w:firstColumn="0" w:lastColumn="0" w:noHBand="0" w:noVBand="0"/>
      </w:tblPr>
      <w:tblGrid>
        <w:gridCol w:w="2517"/>
        <w:gridCol w:w="1326"/>
        <w:gridCol w:w="2032"/>
        <w:gridCol w:w="2123"/>
        <w:gridCol w:w="1344"/>
      </w:tblGrid>
      <w:tr w:rsidR="00B37074" w14:paraId="1532CC05" w14:textId="77777777" w:rsidTr="00B37074">
        <w:trPr>
          <w:trHeight w:val="282"/>
        </w:trPr>
        <w:tc>
          <w:tcPr>
            <w:tcW w:w="10437" w:type="dxa"/>
            <w:gridSpan w:val="5"/>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DD02546" w14:textId="77777777" w:rsidR="00B37074" w:rsidRDefault="00B37074" w:rsidP="00E456D0">
            <w:pPr>
              <w:jc w:val="center"/>
            </w:pPr>
            <w:r>
              <w:rPr>
                <w:b/>
                <w:color w:val="000000"/>
                <w:sz w:val="20"/>
              </w:rPr>
              <w:t>Median Family Income Ranges</w:t>
            </w:r>
          </w:p>
        </w:tc>
      </w:tr>
      <w:tr w:rsidR="00B37074" w14:paraId="12672EB6" w14:textId="77777777" w:rsidTr="00E456D0">
        <w:trPr>
          <w:trHeight w:val="426"/>
        </w:trPr>
        <w:tc>
          <w:tcPr>
            <w:tcW w:w="28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8C98A45" w14:textId="77777777" w:rsidR="00B37074" w:rsidRDefault="00B37074" w:rsidP="00E456D0">
            <w:r>
              <w:rPr>
                <w:b/>
                <w:color w:val="000000"/>
                <w:sz w:val="20"/>
              </w:rPr>
              <w:t>Median Family Incomes</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CA6A95" w14:textId="77777777" w:rsidR="00B37074" w:rsidRDefault="00B37074" w:rsidP="00E456D0">
            <w:pPr>
              <w:jc w:val="center"/>
            </w:pPr>
            <w:r>
              <w:rPr>
                <w:b/>
                <w:color w:val="000000"/>
                <w:sz w:val="20"/>
              </w:rPr>
              <w:t>Low</w:t>
            </w:r>
            <w:r>
              <w:rPr>
                <w:b/>
                <w:color w:val="000000"/>
                <w:sz w:val="20"/>
              </w:rPr>
              <w:br/>
              <w:t xml:space="preserve"> &lt;50% </w:t>
            </w:r>
          </w:p>
        </w:tc>
        <w:tc>
          <w:tcPr>
            <w:tcW w:w="2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E67B716" w14:textId="77777777" w:rsidR="00B37074" w:rsidRDefault="00B37074" w:rsidP="00E456D0">
            <w:pPr>
              <w:jc w:val="center"/>
            </w:pPr>
            <w:r>
              <w:rPr>
                <w:b/>
                <w:color w:val="000000"/>
                <w:sz w:val="20"/>
              </w:rPr>
              <w:t>Moderate</w:t>
            </w:r>
            <w:r>
              <w:rPr>
                <w:b/>
                <w:color w:val="000000"/>
                <w:sz w:val="20"/>
              </w:rPr>
              <w:br/>
              <w:t>50% to &lt;80%</w:t>
            </w:r>
          </w:p>
        </w:tc>
        <w:tc>
          <w:tcPr>
            <w:tcW w:w="23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BE7A27B" w14:textId="77777777" w:rsidR="00B37074" w:rsidRDefault="00B37074" w:rsidP="00E456D0">
            <w:pPr>
              <w:jc w:val="center"/>
            </w:pPr>
            <w:r>
              <w:rPr>
                <w:b/>
                <w:color w:val="000000"/>
                <w:sz w:val="20"/>
              </w:rPr>
              <w:t>Middle</w:t>
            </w:r>
            <w:r>
              <w:rPr>
                <w:b/>
                <w:color w:val="000000"/>
                <w:sz w:val="20"/>
              </w:rPr>
              <w:br/>
              <w:t>80% to &lt;120%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511A35" w14:textId="77777777" w:rsidR="00B37074" w:rsidRDefault="00B37074" w:rsidP="00E456D0">
            <w:pPr>
              <w:jc w:val="center"/>
            </w:pPr>
            <w:r>
              <w:rPr>
                <w:b/>
                <w:color w:val="000000"/>
                <w:sz w:val="20"/>
              </w:rPr>
              <w:t>Upper</w:t>
            </w:r>
            <w:r>
              <w:rPr>
                <w:b/>
                <w:color w:val="000000"/>
                <w:sz w:val="20"/>
              </w:rPr>
              <w:br/>
              <w:t>≥120%</w:t>
            </w:r>
          </w:p>
        </w:tc>
      </w:tr>
      <w:tr w:rsidR="00B37074" w14:paraId="5916D1B6" w14:textId="77777777" w:rsidTr="00E456D0">
        <w:trPr>
          <w:trHeight w:val="181"/>
        </w:trPr>
        <w:tc>
          <w:tcPr>
            <w:tcW w:w="10437"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B77AC39" w14:textId="77777777" w:rsidR="00B37074" w:rsidRDefault="00B37074" w:rsidP="00E456D0">
            <w:pPr>
              <w:jc w:val="center"/>
            </w:pPr>
            <w:r>
              <w:rPr>
                <w:b/>
                <w:color w:val="000000"/>
                <w:sz w:val="20"/>
              </w:rPr>
              <w:t>Boston, MA MD Median Family Income (14454)</w:t>
            </w:r>
          </w:p>
        </w:tc>
      </w:tr>
      <w:tr w:rsidR="00B37074" w14:paraId="7C301755" w14:textId="77777777" w:rsidTr="00E456D0">
        <w:trPr>
          <w:trHeight w:val="188"/>
        </w:trPr>
        <w:tc>
          <w:tcPr>
            <w:tcW w:w="28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780623" w14:textId="77777777" w:rsidR="00B37074" w:rsidRDefault="00B37074" w:rsidP="00E456D0">
            <w:r>
              <w:rPr>
                <w:color w:val="000000"/>
                <w:sz w:val="20"/>
              </w:rPr>
              <w:t>2018 ($99,300)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905072" w14:textId="77777777" w:rsidR="00B37074" w:rsidRDefault="00B37074" w:rsidP="00E456D0">
            <w:pPr>
              <w:jc w:val="center"/>
            </w:pPr>
            <w:r>
              <w:rPr>
                <w:color w:val="000000"/>
                <w:sz w:val="20"/>
              </w:rPr>
              <w:t>&lt;$49,650</w:t>
            </w:r>
          </w:p>
        </w:tc>
        <w:tc>
          <w:tcPr>
            <w:tcW w:w="2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6AF631" w14:textId="77777777" w:rsidR="00B37074" w:rsidRDefault="00B37074" w:rsidP="00E456D0">
            <w:pPr>
              <w:jc w:val="center"/>
            </w:pPr>
            <w:r>
              <w:rPr>
                <w:color w:val="000000"/>
                <w:sz w:val="20"/>
              </w:rPr>
              <w:t>$49,650 to &lt;$79,440</w:t>
            </w:r>
          </w:p>
        </w:tc>
        <w:tc>
          <w:tcPr>
            <w:tcW w:w="23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7361EE" w14:textId="77777777" w:rsidR="00B37074" w:rsidRDefault="00B37074" w:rsidP="00E456D0">
            <w:pPr>
              <w:jc w:val="center"/>
            </w:pPr>
            <w:r>
              <w:rPr>
                <w:color w:val="000000"/>
                <w:sz w:val="20"/>
              </w:rPr>
              <w:t>$79,440 to &lt;$119,160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0E723" w14:textId="77777777" w:rsidR="00B37074" w:rsidRDefault="00B37074" w:rsidP="00E456D0">
            <w:pPr>
              <w:jc w:val="center"/>
            </w:pPr>
            <w:r>
              <w:rPr>
                <w:color w:val="000000"/>
                <w:sz w:val="20"/>
              </w:rPr>
              <w:t>≥$119,160</w:t>
            </w:r>
          </w:p>
        </w:tc>
      </w:tr>
      <w:tr w:rsidR="00B37074" w14:paraId="27616C69" w14:textId="77777777" w:rsidTr="00E456D0">
        <w:trPr>
          <w:trHeight w:val="188"/>
        </w:trPr>
        <w:tc>
          <w:tcPr>
            <w:tcW w:w="28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FC0E1D" w14:textId="77777777" w:rsidR="00B37074" w:rsidRDefault="00B37074" w:rsidP="00E456D0">
            <w:r>
              <w:rPr>
                <w:color w:val="000000"/>
                <w:sz w:val="20"/>
              </w:rPr>
              <w:t>2019 ($105,500)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660A6" w14:textId="77777777" w:rsidR="00B37074" w:rsidRDefault="00B37074" w:rsidP="00E456D0">
            <w:pPr>
              <w:jc w:val="center"/>
            </w:pPr>
            <w:r>
              <w:rPr>
                <w:color w:val="000000"/>
                <w:sz w:val="20"/>
              </w:rPr>
              <w:t>&lt;$52,750</w:t>
            </w:r>
          </w:p>
        </w:tc>
        <w:tc>
          <w:tcPr>
            <w:tcW w:w="2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6B2A5" w14:textId="77777777" w:rsidR="00B37074" w:rsidRDefault="00B37074" w:rsidP="00E456D0">
            <w:pPr>
              <w:jc w:val="center"/>
            </w:pPr>
            <w:r>
              <w:rPr>
                <w:color w:val="000000"/>
                <w:sz w:val="20"/>
              </w:rPr>
              <w:t>$52,750 to &lt;$84,400</w:t>
            </w:r>
          </w:p>
        </w:tc>
        <w:tc>
          <w:tcPr>
            <w:tcW w:w="23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044FA" w14:textId="77777777" w:rsidR="00B37074" w:rsidRDefault="00B37074" w:rsidP="00E456D0">
            <w:pPr>
              <w:jc w:val="center"/>
            </w:pPr>
            <w:r>
              <w:rPr>
                <w:color w:val="000000"/>
                <w:sz w:val="20"/>
              </w:rPr>
              <w:t>$84,400 to &lt;$126,600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2E6EA" w14:textId="77777777" w:rsidR="00B37074" w:rsidRDefault="00B37074" w:rsidP="00E456D0">
            <w:pPr>
              <w:jc w:val="center"/>
            </w:pPr>
            <w:r>
              <w:rPr>
                <w:color w:val="000000"/>
                <w:sz w:val="20"/>
              </w:rPr>
              <w:t>≥$126,600</w:t>
            </w:r>
          </w:p>
        </w:tc>
      </w:tr>
      <w:tr w:rsidR="00B37074" w14:paraId="1CD2FA68" w14:textId="77777777" w:rsidTr="00E456D0">
        <w:trPr>
          <w:trHeight w:val="181"/>
        </w:trPr>
        <w:tc>
          <w:tcPr>
            <w:tcW w:w="10437"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F88C3F8" w14:textId="77777777" w:rsidR="00B37074" w:rsidRDefault="00B37074" w:rsidP="00E456D0">
            <w:pPr>
              <w:jc w:val="center"/>
            </w:pPr>
            <w:r>
              <w:rPr>
                <w:b/>
                <w:color w:val="000000"/>
                <w:sz w:val="20"/>
              </w:rPr>
              <w:t>Cambridge-Newton-Framingham, MA MD Median Family Income (15764)</w:t>
            </w:r>
          </w:p>
        </w:tc>
      </w:tr>
      <w:tr w:rsidR="00B37074" w14:paraId="6E82DA74" w14:textId="77777777" w:rsidTr="00E456D0">
        <w:trPr>
          <w:trHeight w:val="188"/>
        </w:trPr>
        <w:tc>
          <w:tcPr>
            <w:tcW w:w="28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4DD1E2D" w14:textId="77777777" w:rsidR="00B37074" w:rsidRDefault="00B37074" w:rsidP="00E456D0">
            <w:r>
              <w:rPr>
                <w:color w:val="000000"/>
                <w:sz w:val="20"/>
              </w:rPr>
              <w:t>2018 ($110,300)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B9F9C" w14:textId="77777777" w:rsidR="00B37074" w:rsidRDefault="00B37074" w:rsidP="00E456D0">
            <w:pPr>
              <w:jc w:val="center"/>
            </w:pPr>
            <w:r>
              <w:rPr>
                <w:color w:val="000000"/>
                <w:sz w:val="20"/>
              </w:rPr>
              <w:t>&lt;$55,150</w:t>
            </w:r>
          </w:p>
        </w:tc>
        <w:tc>
          <w:tcPr>
            <w:tcW w:w="2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86CF6E" w14:textId="77777777" w:rsidR="00B37074" w:rsidRDefault="00B37074" w:rsidP="00E456D0">
            <w:pPr>
              <w:jc w:val="center"/>
            </w:pPr>
            <w:r>
              <w:rPr>
                <w:color w:val="000000"/>
                <w:sz w:val="20"/>
              </w:rPr>
              <w:t>$55,150 to &lt;$88,240</w:t>
            </w:r>
          </w:p>
        </w:tc>
        <w:tc>
          <w:tcPr>
            <w:tcW w:w="23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D08BCD" w14:textId="77777777" w:rsidR="00B37074" w:rsidRDefault="00B37074" w:rsidP="00E456D0">
            <w:pPr>
              <w:jc w:val="center"/>
            </w:pPr>
            <w:r>
              <w:rPr>
                <w:color w:val="000000"/>
                <w:sz w:val="20"/>
              </w:rPr>
              <w:t>$88,240 to &lt;$132,360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FECF9" w14:textId="77777777" w:rsidR="00B37074" w:rsidRDefault="00B37074" w:rsidP="00E456D0">
            <w:pPr>
              <w:jc w:val="center"/>
            </w:pPr>
            <w:r>
              <w:rPr>
                <w:color w:val="000000"/>
                <w:sz w:val="20"/>
              </w:rPr>
              <w:t>≥$132,360</w:t>
            </w:r>
          </w:p>
        </w:tc>
      </w:tr>
      <w:tr w:rsidR="00B37074" w14:paraId="6CF38131" w14:textId="77777777" w:rsidTr="00E456D0">
        <w:trPr>
          <w:trHeight w:val="188"/>
        </w:trPr>
        <w:tc>
          <w:tcPr>
            <w:tcW w:w="28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0397B7" w14:textId="77777777" w:rsidR="00B37074" w:rsidRDefault="00B37074" w:rsidP="00E456D0">
            <w:r>
              <w:rPr>
                <w:color w:val="000000"/>
                <w:sz w:val="20"/>
              </w:rPr>
              <w:t>2019 ($115,500)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E01FD1" w14:textId="77777777" w:rsidR="00B37074" w:rsidRDefault="00B37074" w:rsidP="00E456D0">
            <w:pPr>
              <w:jc w:val="center"/>
            </w:pPr>
            <w:r>
              <w:rPr>
                <w:color w:val="000000"/>
                <w:sz w:val="20"/>
              </w:rPr>
              <w:t>&lt;$57,750</w:t>
            </w:r>
          </w:p>
        </w:tc>
        <w:tc>
          <w:tcPr>
            <w:tcW w:w="2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319B0D" w14:textId="77777777" w:rsidR="00B37074" w:rsidRDefault="00B37074" w:rsidP="00E456D0">
            <w:pPr>
              <w:jc w:val="center"/>
            </w:pPr>
            <w:r>
              <w:rPr>
                <w:color w:val="000000"/>
                <w:sz w:val="20"/>
              </w:rPr>
              <w:t>$57,750 to &lt;$92,400</w:t>
            </w:r>
          </w:p>
        </w:tc>
        <w:tc>
          <w:tcPr>
            <w:tcW w:w="23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5FA97" w14:textId="77777777" w:rsidR="00B37074" w:rsidRDefault="00B37074" w:rsidP="00E456D0">
            <w:pPr>
              <w:jc w:val="center"/>
            </w:pPr>
            <w:r>
              <w:rPr>
                <w:color w:val="000000"/>
                <w:sz w:val="20"/>
              </w:rPr>
              <w:t>$92,400 to &lt;$138,600</w:t>
            </w:r>
          </w:p>
        </w:tc>
        <w:tc>
          <w:tcPr>
            <w:tcW w:w="14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3B6DE3" w14:textId="77777777" w:rsidR="00B37074" w:rsidRDefault="00B37074" w:rsidP="00E456D0">
            <w:pPr>
              <w:jc w:val="center"/>
            </w:pPr>
            <w:r>
              <w:rPr>
                <w:color w:val="000000"/>
                <w:sz w:val="20"/>
              </w:rPr>
              <w:t>≥$138,600</w:t>
            </w:r>
          </w:p>
        </w:tc>
      </w:tr>
      <w:tr w:rsidR="00B37074" w14:paraId="059548A2" w14:textId="77777777" w:rsidTr="00B37074">
        <w:trPr>
          <w:trHeight w:val="282"/>
        </w:trPr>
        <w:tc>
          <w:tcPr>
            <w:tcW w:w="10437" w:type="dxa"/>
            <w:gridSpan w:val="5"/>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4B02C03" w14:textId="77777777" w:rsidR="00B37074" w:rsidRDefault="00B37074" w:rsidP="00E456D0">
            <w:r>
              <w:rPr>
                <w:i/>
                <w:color w:val="000000"/>
                <w:sz w:val="16"/>
              </w:rPr>
              <w:t>Source: FFIEC</w:t>
            </w:r>
          </w:p>
        </w:tc>
      </w:tr>
    </w:tbl>
    <w:p w14:paraId="4B1024A6" w14:textId="77777777" w:rsidR="00B37074" w:rsidRDefault="00B37074" w:rsidP="00E02903">
      <w:pPr>
        <w:rPr>
          <w:b/>
          <w:bCs/>
          <w:iCs/>
          <w:u w:val="single"/>
        </w:rPr>
      </w:pPr>
    </w:p>
    <w:p w14:paraId="16698B44" w14:textId="50B1B423" w:rsidR="00DA4CA0" w:rsidRDefault="00DA4CA0" w:rsidP="00E02903">
      <w:r>
        <w:rPr>
          <w:bCs/>
          <w:iCs/>
        </w:rPr>
        <w:t>According to the mass.gov website, major</w:t>
      </w:r>
      <w:r w:rsidRPr="009C3022">
        <w:rPr>
          <w:bCs/>
          <w:iCs/>
        </w:rPr>
        <w:t xml:space="preserve"> employers </w:t>
      </w:r>
      <w:r>
        <w:rPr>
          <w:bCs/>
          <w:iCs/>
        </w:rPr>
        <w:t>in the assessment area include Brigham &amp; Women’s Hospital, Dana Farber Cancer Institute, and Massachusetts General Hospital, all located in Boston, MA.</w:t>
      </w:r>
    </w:p>
    <w:p w14:paraId="1009CA4E" w14:textId="77777777" w:rsidR="00DA4CA0" w:rsidRDefault="00DA4CA0" w:rsidP="00E02903"/>
    <w:p w14:paraId="455ADE2E" w14:textId="0DB14268" w:rsidR="008A5C03" w:rsidRDefault="00B234D7" w:rsidP="00E02903">
      <w:pPr>
        <w:rPr>
          <w:bCs/>
          <w:iCs/>
        </w:rPr>
      </w:pPr>
      <w:r w:rsidRPr="00EF5120">
        <w:t xml:space="preserve">According to the </w:t>
      </w:r>
      <w:r w:rsidR="00DA4CA0">
        <w:t xml:space="preserve">United States </w:t>
      </w:r>
      <w:r w:rsidRPr="00EF5120">
        <w:t>Bureau of Labor Statistics, the average unemployment rate in 201</w:t>
      </w:r>
      <w:r>
        <w:t>9</w:t>
      </w:r>
      <w:r w:rsidRPr="00EF5120">
        <w:t xml:space="preserve"> was 3.</w:t>
      </w:r>
      <w:r>
        <w:t>0</w:t>
      </w:r>
      <w:r w:rsidRPr="00EF5120">
        <w:t xml:space="preserve"> percent in Essex County, MA</w:t>
      </w:r>
      <w:r>
        <w:t>;</w:t>
      </w:r>
      <w:r w:rsidRPr="00EF5120">
        <w:t xml:space="preserve"> 2.</w:t>
      </w:r>
      <w:r>
        <w:t>3</w:t>
      </w:r>
      <w:r w:rsidRPr="00EF5120">
        <w:t xml:space="preserve"> percent in Middlesex County, MA; </w:t>
      </w:r>
      <w:r>
        <w:t>2.5 percent in Norfolk County, MA, and 2.6</w:t>
      </w:r>
      <w:r w:rsidRPr="00EF5120">
        <w:t xml:space="preserve"> percent in </w:t>
      </w:r>
      <w:r>
        <w:t xml:space="preserve">Suffolk </w:t>
      </w:r>
      <w:r w:rsidRPr="00EF5120">
        <w:t xml:space="preserve">County, </w:t>
      </w:r>
      <w:r>
        <w:t>MA.</w:t>
      </w:r>
      <w:r w:rsidRPr="00B234D7">
        <w:rPr>
          <w:bCs/>
          <w:iCs/>
        </w:rPr>
        <w:t xml:space="preserve"> </w:t>
      </w:r>
      <w:r>
        <w:rPr>
          <w:bCs/>
          <w:iCs/>
        </w:rPr>
        <w:t xml:space="preserve"> These levels were comparable to the MA state average of 2.9 percent and lower that the national rate of 3.7 percent.  The unemployment rates in the assessment area increased </w:t>
      </w:r>
      <w:r w:rsidR="00C6073F">
        <w:rPr>
          <w:bCs/>
          <w:iCs/>
        </w:rPr>
        <w:t>during</w:t>
      </w:r>
      <w:r>
        <w:rPr>
          <w:bCs/>
          <w:iCs/>
        </w:rPr>
        <w:t xml:space="preserve"> the </w:t>
      </w:r>
      <w:r w:rsidR="00C6073F">
        <w:rPr>
          <w:bCs/>
          <w:iCs/>
        </w:rPr>
        <w:t xml:space="preserve">COVID-19 </w:t>
      </w:r>
      <w:r>
        <w:rPr>
          <w:bCs/>
          <w:iCs/>
        </w:rPr>
        <w:t xml:space="preserve">pandemic in 2020.  In </w:t>
      </w:r>
      <w:r w:rsidR="00756B1C">
        <w:rPr>
          <w:bCs/>
          <w:iCs/>
        </w:rPr>
        <w:t>August</w:t>
      </w:r>
      <w:r>
        <w:rPr>
          <w:bCs/>
          <w:iCs/>
        </w:rPr>
        <w:t xml:space="preserve"> 2020, unemployment rates </w:t>
      </w:r>
      <w:r w:rsidR="005379B0">
        <w:rPr>
          <w:bCs/>
          <w:iCs/>
        </w:rPr>
        <w:t>rose to</w:t>
      </w:r>
      <w:r>
        <w:rPr>
          <w:bCs/>
          <w:iCs/>
        </w:rPr>
        <w:t xml:space="preserve"> </w:t>
      </w:r>
      <w:r w:rsidR="00756B1C">
        <w:rPr>
          <w:bCs/>
          <w:iCs/>
        </w:rPr>
        <w:t>12.5</w:t>
      </w:r>
      <w:r w:rsidR="00756B1C" w:rsidRPr="00EF5120">
        <w:t xml:space="preserve"> percent in Essex County, MA</w:t>
      </w:r>
      <w:r w:rsidR="00756B1C">
        <w:t>;</w:t>
      </w:r>
      <w:r w:rsidR="00756B1C" w:rsidRPr="00EF5120">
        <w:t xml:space="preserve"> </w:t>
      </w:r>
      <w:r w:rsidR="00756B1C">
        <w:t>9.4</w:t>
      </w:r>
      <w:r w:rsidR="00756B1C" w:rsidRPr="00EF5120">
        <w:t xml:space="preserve"> percent in Middlesex County, MA; </w:t>
      </w:r>
      <w:r w:rsidR="00756B1C">
        <w:t>10.7 percent in Norfolk County, MA, and 13.5</w:t>
      </w:r>
      <w:r w:rsidR="00756B1C" w:rsidRPr="00EF5120">
        <w:t xml:space="preserve"> percent in </w:t>
      </w:r>
      <w:r w:rsidR="00756B1C">
        <w:t xml:space="preserve">Suffolk </w:t>
      </w:r>
      <w:r w:rsidR="00756B1C" w:rsidRPr="00EF5120">
        <w:t xml:space="preserve">County, </w:t>
      </w:r>
      <w:r w:rsidR="00756B1C">
        <w:t>MA.</w:t>
      </w:r>
      <w:r w:rsidR="00756B1C" w:rsidRPr="00B234D7">
        <w:rPr>
          <w:bCs/>
          <w:iCs/>
        </w:rPr>
        <w:t xml:space="preserve"> </w:t>
      </w:r>
      <w:r w:rsidR="00756B1C">
        <w:rPr>
          <w:bCs/>
          <w:iCs/>
        </w:rPr>
        <w:t xml:space="preserve"> </w:t>
      </w:r>
      <w:r>
        <w:rPr>
          <w:bCs/>
          <w:iCs/>
        </w:rPr>
        <w:t xml:space="preserve">These rates were </w:t>
      </w:r>
      <w:r w:rsidR="008A5C03">
        <w:rPr>
          <w:bCs/>
          <w:iCs/>
        </w:rPr>
        <w:t>higher than</w:t>
      </w:r>
      <w:r>
        <w:rPr>
          <w:bCs/>
          <w:iCs/>
        </w:rPr>
        <w:t xml:space="preserve"> the national unemployment level of </w:t>
      </w:r>
      <w:r w:rsidR="00FB59F7">
        <w:rPr>
          <w:bCs/>
          <w:iCs/>
        </w:rPr>
        <w:t>8.4</w:t>
      </w:r>
      <w:r>
        <w:rPr>
          <w:bCs/>
          <w:iCs/>
        </w:rPr>
        <w:t xml:space="preserve"> percent in </w:t>
      </w:r>
      <w:r w:rsidR="00FB59F7">
        <w:rPr>
          <w:bCs/>
          <w:iCs/>
        </w:rPr>
        <w:t>August</w:t>
      </w:r>
      <w:r>
        <w:rPr>
          <w:bCs/>
          <w:iCs/>
        </w:rPr>
        <w:t xml:space="preserve"> 2020.        </w:t>
      </w:r>
    </w:p>
    <w:p w14:paraId="4A0A5770" w14:textId="77777777" w:rsidR="008A5C03" w:rsidRDefault="008A5C03" w:rsidP="00E02903">
      <w:pPr>
        <w:rPr>
          <w:bCs/>
          <w:iCs/>
        </w:rPr>
      </w:pPr>
    </w:p>
    <w:p w14:paraId="356F9CCD" w14:textId="77777777" w:rsidR="005379B0" w:rsidRDefault="005379B0" w:rsidP="00E02903">
      <w:pPr>
        <w:rPr>
          <w:b/>
          <w:bCs/>
          <w:iCs/>
          <w:u w:val="single"/>
        </w:rPr>
      </w:pPr>
    </w:p>
    <w:p w14:paraId="09C93D88" w14:textId="72334F21" w:rsidR="0099672C" w:rsidRPr="00AD3C42" w:rsidRDefault="0099672C" w:rsidP="00E02903">
      <w:pPr>
        <w:rPr>
          <w:b/>
          <w:bCs/>
          <w:iCs/>
          <w:u w:val="single"/>
        </w:rPr>
      </w:pPr>
      <w:r w:rsidRPr="00AD3C42">
        <w:rPr>
          <w:b/>
          <w:bCs/>
          <w:iCs/>
          <w:u w:val="single"/>
        </w:rPr>
        <w:lastRenderedPageBreak/>
        <w:t>Competition</w:t>
      </w:r>
    </w:p>
    <w:p w14:paraId="084A35B8" w14:textId="77777777" w:rsidR="00D75C34" w:rsidRPr="00AD3C42" w:rsidRDefault="00D75C34" w:rsidP="00E02903">
      <w:pPr>
        <w:rPr>
          <w:iCs/>
          <w:u w:val="single"/>
        </w:rPr>
      </w:pPr>
    </w:p>
    <w:p w14:paraId="21FB86DF" w14:textId="0D490251" w:rsidR="0053108B" w:rsidRPr="00406C85" w:rsidRDefault="0053108B" w:rsidP="0053108B">
      <w:pPr>
        <w:rPr>
          <w:b/>
          <w:bCs/>
          <w:iCs/>
          <w:highlight w:val="yellow"/>
        </w:rPr>
      </w:pPr>
      <w:r w:rsidRPr="00E76F51">
        <w:t>The bank operates in a competitive market for financial services.  According to FDIC Deposit Market Share data as of June 30, 20</w:t>
      </w:r>
      <w:r w:rsidR="00E76F51" w:rsidRPr="00E76F51">
        <w:t>20</w:t>
      </w:r>
      <w:r w:rsidRPr="00E76F51">
        <w:t xml:space="preserve">, </w:t>
      </w:r>
      <w:r w:rsidR="00E76F51" w:rsidRPr="00E76F51">
        <w:t>66</w:t>
      </w:r>
      <w:r w:rsidRPr="00E76F51">
        <w:t xml:space="preserve"> financial institutions operated </w:t>
      </w:r>
      <w:r w:rsidR="00E76F51" w:rsidRPr="00E76F51">
        <w:t>569</w:t>
      </w:r>
      <w:r w:rsidRPr="00E76F51">
        <w:t xml:space="preserve"> offices in the assessment area.  Of these, </w:t>
      </w:r>
      <w:r w:rsidR="00E76F51" w:rsidRPr="00E76F51">
        <w:t>EBSB</w:t>
      </w:r>
      <w:r w:rsidRPr="00E76F51">
        <w:t xml:space="preserve"> ranked </w:t>
      </w:r>
      <w:r w:rsidR="00E76F51" w:rsidRPr="00E76F51">
        <w:t>8</w:t>
      </w:r>
      <w:r w:rsidR="00E76F51" w:rsidRPr="00E76F51">
        <w:rPr>
          <w:vertAlign w:val="superscript"/>
        </w:rPr>
        <w:t>th</w:t>
      </w:r>
      <w:r w:rsidRPr="00E76F51">
        <w:t xml:space="preserve"> with </w:t>
      </w:r>
      <w:r w:rsidR="00E76F51" w:rsidRPr="00E76F51">
        <w:t>1.5</w:t>
      </w:r>
      <w:r w:rsidRPr="00E76F51">
        <w:t xml:space="preserve"> percent </w:t>
      </w:r>
      <w:r w:rsidR="00E85089">
        <w:t>deposit</w:t>
      </w:r>
      <w:r w:rsidRPr="00E76F51">
        <w:t xml:space="preserve"> market share.  </w:t>
      </w:r>
      <w:r w:rsidR="00E76F51">
        <w:t>The top three banks were State Street Bank and Trust</w:t>
      </w:r>
      <w:r w:rsidR="00E85089">
        <w:t xml:space="preserve"> Company</w:t>
      </w:r>
      <w:r w:rsidR="00E76F51">
        <w:t>, Bank of America</w:t>
      </w:r>
      <w:r w:rsidR="00E85089">
        <w:t xml:space="preserve">, </w:t>
      </w:r>
      <w:r w:rsidR="00E85089">
        <w:rPr>
          <w:bCs/>
          <w:spacing w:val="-3"/>
        </w:rPr>
        <w:t>National Association (N.A.)</w:t>
      </w:r>
      <w:r w:rsidR="00E76F51">
        <w:t>, and Citizens Bank</w:t>
      </w:r>
      <w:r w:rsidR="00E85089">
        <w:t>, N.A.</w:t>
      </w:r>
      <w:r w:rsidR="00E76F51">
        <w:t xml:space="preserve"> with </w:t>
      </w:r>
      <w:r w:rsidR="006362FE">
        <w:t xml:space="preserve">a </w:t>
      </w:r>
      <w:r w:rsidR="00E76F51">
        <w:t xml:space="preserve">collective market share of 75.1 percent.  </w:t>
      </w:r>
      <w:r w:rsidRPr="00406C85">
        <w:rPr>
          <w:b/>
          <w:bCs/>
          <w:iCs/>
          <w:highlight w:val="yellow"/>
        </w:rPr>
        <w:t xml:space="preserve">  </w:t>
      </w:r>
    </w:p>
    <w:p w14:paraId="4971E73D" w14:textId="77777777" w:rsidR="0099672C" w:rsidRPr="00406C85" w:rsidRDefault="0099672C" w:rsidP="00E02903">
      <w:pPr>
        <w:rPr>
          <w:iCs/>
          <w:highlight w:val="yellow"/>
          <w:u w:val="single"/>
        </w:rPr>
      </w:pPr>
    </w:p>
    <w:p w14:paraId="31C0DAEA" w14:textId="505A7555" w:rsidR="00E17F42" w:rsidRDefault="0053108B" w:rsidP="0053108B">
      <w:pPr>
        <w:rPr>
          <w:bCs/>
          <w:spacing w:val="-3"/>
        </w:rPr>
      </w:pPr>
      <w:r w:rsidRPr="00E17F42">
        <w:rPr>
          <w:bCs/>
          <w:spacing w:val="-3"/>
        </w:rPr>
        <w:t>The bank also operates in a compet</w:t>
      </w:r>
      <w:r w:rsidR="00E17F42" w:rsidRPr="00E17F42">
        <w:rPr>
          <w:bCs/>
          <w:spacing w:val="-3"/>
        </w:rPr>
        <w:t>itive market for loans.  In 2019</w:t>
      </w:r>
      <w:r w:rsidRPr="00E17F42">
        <w:rPr>
          <w:bCs/>
          <w:spacing w:val="-3"/>
        </w:rPr>
        <w:t xml:space="preserve">, </w:t>
      </w:r>
      <w:r w:rsidR="00E17F42" w:rsidRPr="00E17F42">
        <w:rPr>
          <w:bCs/>
          <w:spacing w:val="-3"/>
        </w:rPr>
        <w:t>528</w:t>
      </w:r>
      <w:r w:rsidRPr="00E17F42">
        <w:rPr>
          <w:bCs/>
          <w:spacing w:val="-3"/>
        </w:rPr>
        <w:t xml:space="preserve"> lenders originated or purchased </w:t>
      </w:r>
      <w:r w:rsidR="00E17F42" w:rsidRPr="00E17F42">
        <w:rPr>
          <w:bCs/>
          <w:spacing w:val="-3"/>
        </w:rPr>
        <w:t>58,902</w:t>
      </w:r>
      <w:r w:rsidRPr="00E17F42">
        <w:rPr>
          <w:bCs/>
          <w:spacing w:val="-3"/>
        </w:rPr>
        <w:t xml:space="preserve"> home mortgage loans in the bank’s assessment area.  The top five lenders</w:t>
      </w:r>
      <w:r w:rsidR="00E17F42" w:rsidRPr="00E17F42">
        <w:rPr>
          <w:bCs/>
          <w:spacing w:val="-3"/>
        </w:rPr>
        <w:t xml:space="preserve">, </w:t>
      </w:r>
      <w:r w:rsidR="00726209">
        <w:rPr>
          <w:bCs/>
          <w:spacing w:val="-3"/>
        </w:rPr>
        <w:t>Citizens</w:t>
      </w:r>
      <w:r w:rsidR="00EB52F8">
        <w:rPr>
          <w:bCs/>
          <w:spacing w:val="-3"/>
        </w:rPr>
        <w:t xml:space="preserve"> Bank</w:t>
      </w:r>
      <w:r w:rsidR="00E85089">
        <w:rPr>
          <w:bCs/>
          <w:spacing w:val="-3"/>
        </w:rPr>
        <w:t>, N.A.</w:t>
      </w:r>
      <w:r w:rsidR="006362FE">
        <w:rPr>
          <w:bCs/>
          <w:spacing w:val="-3"/>
        </w:rPr>
        <w:t>;</w:t>
      </w:r>
      <w:r w:rsidR="00E17F42" w:rsidRPr="00E17F42">
        <w:rPr>
          <w:bCs/>
          <w:spacing w:val="-3"/>
        </w:rPr>
        <w:t xml:space="preserve"> Wells Fargo Bank</w:t>
      </w:r>
      <w:r w:rsidR="00E85089">
        <w:rPr>
          <w:bCs/>
          <w:spacing w:val="-3"/>
        </w:rPr>
        <w:t>, N.A.</w:t>
      </w:r>
      <w:r w:rsidR="006362FE">
        <w:rPr>
          <w:bCs/>
          <w:spacing w:val="-3"/>
        </w:rPr>
        <w:t>;</w:t>
      </w:r>
      <w:r w:rsidR="00E17F42" w:rsidRPr="00E17F42">
        <w:rPr>
          <w:bCs/>
          <w:spacing w:val="-3"/>
        </w:rPr>
        <w:t xml:space="preserve"> Guaranteed Rate Inc.</w:t>
      </w:r>
      <w:r w:rsidR="006362FE">
        <w:rPr>
          <w:bCs/>
          <w:spacing w:val="-3"/>
        </w:rPr>
        <w:t>;</w:t>
      </w:r>
      <w:r w:rsidR="00E17F42" w:rsidRPr="00E17F42">
        <w:rPr>
          <w:bCs/>
          <w:spacing w:val="-3"/>
        </w:rPr>
        <w:t xml:space="preserve"> JPMorgan Chase Bank</w:t>
      </w:r>
      <w:r w:rsidR="00E85089">
        <w:rPr>
          <w:bCs/>
          <w:spacing w:val="-3"/>
        </w:rPr>
        <w:t>, N.A.</w:t>
      </w:r>
      <w:r w:rsidR="006362FE">
        <w:rPr>
          <w:bCs/>
          <w:spacing w:val="-3"/>
        </w:rPr>
        <w:t>;</w:t>
      </w:r>
      <w:r w:rsidR="00E17F42" w:rsidRPr="00E17F42">
        <w:rPr>
          <w:bCs/>
          <w:spacing w:val="-3"/>
        </w:rPr>
        <w:t xml:space="preserve"> and Leader Bank</w:t>
      </w:r>
      <w:r w:rsidR="00E85089">
        <w:rPr>
          <w:bCs/>
          <w:spacing w:val="-3"/>
        </w:rPr>
        <w:t>, N.A.</w:t>
      </w:r>
      <w:r w:rsidR="00E17F42" w:rsidRPr="00E17F42">
        <w:rPr>
          <w:bCs/>
          <w:spacing w:val="-3"/>
        </w:rPr>
        <w:t xml:space="preserve">, </w:t>
      </w:r>
      <w:r w:rsidRPr="00E17F42">
        <w:rPr>
          <w:bCs/>
          <w:spacing w:val="-3"/>
        </w:rPr>
        <w:t>captured 23.</w:t>
      </w:r>
      <w:r w:rsidR="00E17F42" w:rsidRPr="00E17F42">
        <w:rPr>
          <w:bCs/>
          <w:spacing w:val="-3"/>
        </w:rPr>
        <w:t>6</w:t>
      </w:r>
      <w:r w:rsidRPr="00E17F42">
        <w:rPr>
          <w:bCs/>
          <w:spacing w:val="-3"/>
        </w:rPr>
        <w:t xml:space="preserve"> percent of the market share</w:t>
      </w:r>
      <w:r w:rsidR="00E17F42" w:rsidRPr="00E17F42">
        <w:rPr>
          <w:bCs/>
          <w:spacing w:val="-3"/>
        </w:rPr>
        <w:t>.</w:t>
      </w:r>
      <w:r w:rsidRPr="00E17F42">
        <w:rPr>
          <w:bCs/>
          <w:spacing w:val="-3"/>
        </w:rPr>
        <w:t xml:space="preserve">  </w:t>
      </w:r>
      <w:r w:rsidR="00E17F42" w:rsidRPr="00E17F42">
        <w:rPr>
          <w:bCs/>
          <w:spacing w:val="-3"/>
        </w:rPr>
        <w:t>EBSB</w:t>
      </w:r>
      <w:r w:rsidRPr="00E17F42">
        <w:rPr>
          <w:bCs/>
          <w:spacing w:val="-3"/>
        </w:rPr>
        <w:t xml:space="preserve"> ranked </w:t>
      </w:r>
      <w:r w:rsidR="00E17F42" w:rsidRPr="00E17F42">
        <w:rPr>
          <w:bCs/>
          <w:spacing w:val="-3"/>
        </w:rPr>
        <w:t>46</w:t>
      </w:r>
      <w:r w:rsidRPr="00E17F42">
        <w:rPr>
          <w:bCs/>
          <w:spacing w:val="-3"/>
          <w:vertAlign w:val="superscript"/>
        </w:rPr>
        <w:t>th</w:t>
      </w:r>
      <w:r w:rsidRPr="00E17F42">
        <w:rPr>
          <w:bCs/>
          <w:spacing w:val="-3"/>
        </w:rPr>
        <w:t xml:space="preserve"> with </w:t>
      </w:r>
      <w:r w:rsidR="00E17F42" w:rsidRPr="00E17F42">
        <w:rPr>
          <w:bCs/>
          <w:spacing w:val="-3"/>
        </w:rPr>
        <w:t>0</w:t>
      </w:r>
      <w:r w:rsidRPr="00E17F42">
        <w:rPr>
          <w:bCs/>
          <w:spacing w:val="-3"/>
        </w:rPr>
        <w:t>.5 percent of the market share.</w:t>
      </w:r>
      <w:r w:rsidR="00F654F6">
        <w:rPr>
          <w:bCs/>
          <w:spacing w:val="-3"/>
        </w:rPr>
        <w:t xml:space="preserve">  </w:t>
      </w:r>
      <w:r w:rsidR="00E4091C" w:rsidRPr="00E17F42">
        <w:rPr>
          <w:bCs/>
          <w:spacing w:val="-3"/>
        </w:rPr>
        <w:t>In 201</w:t>
      </w:r>
      <w:r w:rsidR="00E4091C">
        <w:rPr>
          <w:bCs/>
          <w:spacing w:val="-3"/>
        </w:rPr>
        <w:t>8</w:t>
      </w:r>
      <w:r w:rsidR="00E4091C" w:rsidRPr="00E17F42">
        <w:rPr>
          <w:bCs/>
          <w:spacing w:val="-3"/>
        </w:rPr>
        <w:t xml:space="preserve">, </w:t>
      </w:r>
      <w:r w:rsidR="00E4091C">
        <w:rPr>
          <w:bCs/>
          <w:spacing w:val="-3"/>
        </w:rPr>
        <w:t>498</w:t>
      </w:r>
      <w:r w:rsidR="00E4091C" w:rsidRPr="00E17F42">
        <w:rPr>
          <w:bCs/>
          <w:spacing w:val="-3"/>
        </w:rPr>
        <w:t xml:space="preserve"> lenders originated or purchased </w:t>
      </w:r>
      <w:r w:rsidR="00E4091C">
        <w:rPr>
          <w:bCs/>
          <w:spacing w:val="-3"/>
        </w:rPr>
        <w:t>46,584</w:t>
      </w:r>
      <w:r w:rsidR="00E4091C" w:rsidRPr="00E17F42">
        <w:rPr>
          <w:bCs/>
          <w:spacing w:val="-3"/>
        </w:rPr>
        <w:t xml:space="preserve"> home mortgage loans in the bank’s assessment area.  The top five lenders, </w:t>
      </w:r>
      <w:r w:rsidR="00E4091C">
        <w:rPr>
          <w:bCs/>
          <w:spacing w:val="-3"/>
        </w:rPr>
        <w:t>Citizens Bank</w:t>
      </w:r>
      <w:r w:rsidR="00E85089">
        <w:rPr>
          <w:bCs/>
          <w:spacing w:val="-3"/>
        </w:rPr>
        <w:t>, (N.A.)</w:t>
      </w:r>
      <w:r w:rsidR="006362FE">
        <w:rPr>
          <w:bCs/>
          <w:spacing w:val="-3"/>
        </w:rPr>
        <w:t>;</w:t>
      </w:r>
      <w:r w:rsidR="00E4091C">
        <w:rPr>
          <w:bCs/>
          <w:spacing w:val="-3"/>
        </w:rPr>
        <w:t xml:space="preserve"> Wells Fargo</w:t>
      </w:r>
      <w:r w:rsidR="00EB52F8">
        <w:rPr>
          <w:bCs/>
          <w:spacing w:val="-3"/>
        </w:rPr>
        <w:t xml:space="preserve"> Bank</w:t>
      </w:r>
      <w:r w:rsidR="00E85089">
        <w:rPr>
          <w:bCs/>
          <w:spacing w:val="-3"/>
        </w:rPr>
        <w:t>, N.A.</w:t>
      </w:r>
      <w:r w:rsidR="006362FE">
        <w:rPr>
          <w:bCs/>
          <w:spacing w:val="-3"/>
        </w:rPr>
        <w:t>;</w:t>
      </w:r>
      <w:r w:rsidR="00E4091C">
        <w:rPr>
          <w:bCs/>
          <w:spacing w:val="-3"/>
        </w:rPr>
        <w:t xml:space="preserve"> Bank of America</w:t>
      </w:r>
      <w:r w:rsidR="00E85089">
        <w:rPr>
          <w:bCs/>
          <w:spacing w:val="-3"/>
        </w:rPr>
        <w:t>, N.A.</w:t>
      </w:r>
      <w:r w:rsidR="006362FE">
        <w:rPr>
          <w:bCs/>
          <w:spacing w:val="-3"/>
        </w:rPr>
        <w:t>;</w:t>
      </w:r>
      <w:r w:rsidR="00E4091C">
        <w:rPr>
          <w:bCs/>
          <w:spacing w:val="-3"/>
        </w:rPr>
        <w:t xml:space="preserve"> Guaranteed Rate Inc.</w:t>
      </w:r>
      <w:r w:rsidR="006362FE">
        <w:rPr>
          <w:bCs/>
          <w:spacing w:val="-3"/>
        </w:rPr>
        <w:t>;</w:t>
      </w:r>
      <w:r w:rsidR="00E4091C">
        <w:rPr>
          <w:bCs/>
          <w:spacing w:val="-3"/>
        </w:rPr>
        <w:t xml:space="preserve"> and Eastern Bank </w:t>
      </w:r>
      <w:r w:rsidR="00E4091C" w:rsidRPr="00E17F42">
        <w:rPr>
          <w:bCs/>
          <w:spacing w:val="-3"/>
        </w:rPr>
        <w:t>captured 23.</w:t>
      </w:r>
      <w:r w:rsidR="00E4091C">
        <w:rPr>
          <w:bCs/>
          <w:spacing w:val="-3"/>
        </w:rPr>
        <w:t>3</w:t>
      </w:r>
      <w:r w:rsidR="00E4091C" w:rsidRPr="00E17F42">
        <w:rPr>
          <w:bCs/>
          <w:spacing w:val="-3"/>
        </w:rPr>
        <w:t xml:space="preserve"> percent of the market share.  EBSB ranked 4</w:t>
      </w:r>
      <w:r w:rsidR="00E4091C">
        <w:rPr>
          <w:bCs/>
          <w:spacing w:val="-3"/>
        </w:rPr>
        <w:t>5</w:t>
      </w:r>
      <w:r w:rsidR="00E4091C" w:rsidRPr="00E17F42">
        <w:rPr>
          <w:bCs/>
          <w:spacing w:val="-3"/>
          <w:vertAlign w:val="superscript"/>
        </w:rPr>
        <w:t>th</w:t>
      </w:r>
      <w:r w:rsidR="00E4091C" w:rsidRPr="00E17F42">
        <w:rPr>
          <w:bCs/>
          <w:spacing w:val="-3"/>
        </w:rPr>
        <w:t xml:space="preserve"> with 0.</w:t>
      </w:r>
      <w:r w:rsidR="00E4091C">
        <w:rPr>
          <w:bCs/>
          <w:spacing w:val="-3"/>
        </w:rPr>
        <w:t>6</w:t>
      </w:r>
      <w:r w:rsidR="00E4091C" w:rsidRPr="00E17F42">
        <w:rPr>
          <w:bCs/>
          <w:spacing w:val="-3"/>
        </w:rPr>
        <w:t xml:space="preserve"> percent of the market share.</w:t>
      </w:r>
      <w:r w:rsidR="00E4091C">
        <w:rPr>
          <w:bCs/>
          <w:spacing w:val="-3"/>
        </w:rPr>
        <w:t xml:space="preserve">  </w:t>
      </w:r>
    </w:p>
    <w:p w14:paraId="4E9B0EFC" w14:textId="77777777" w:rsidR="00E4091C" w:rsidRPr="00406C85" w:rsidRDefault="00E4091C" w:rsidP="0053108B">
      <w:pPr>
        <w:rPr>
          <w:bCs/>
          <w:spacing w:val="-3"/>
          <w:highlight w:val="yellow"/>
        </w:rPr>
      </w:pPr>
    </w:p>
    <w:p w14:paraId="2D9ABA6E" w14:textId="545D8D5D" w:rsidR="0053108B" w:rsidRDefault="0053108B" w:rsidP="0053108B">
      <w:pPr>
        <w:rPr>
          <w:bCs/>
          <w:spacing w:val="-3"/>
        </w:rPr>
      </w:pPr>
      <w:r w:rsidRPr="005E15EB">
        <w:rPr>
          <w:bCs/>
          <w:spacing w:val="-3"/>
        </w:rPr>
        <w:t xml:space="preserve">Small business aggregate data reflects lending information for whole counties; therefore, the </w:t>
      </w:r>
      <w:r w:rsidR="00E85089">
        <w:rPr>
          <w:bCs/>
          <w:spacing w:val="-3"/>
        </w:rPr>
        <w:t>aggregate</w:t>
      </w:r>
      <w:r w:rsidR="00E85089" w:rsidRPr="005E15EB">
        <w:rPr>
          <w:bCs/>
          <w:spacing w:val="-3"/>
        </w:rPr>
        <w:t xml:space="preserve"> </w:t>
      </w:r>
      <w:r w:rsidRPr="005E15EB">
        <w:rPr>
          <w:bCs/>
          <w:spacing w:val="-3"/>
        </w:rPr>
        <w:t xml:space="preserve">small business data considers all lenders in </w:t>
      </w:r>
      <w:r w:rsidR="005E15EB" w:rsidRPr="005E15EB">
        <w:rPr>
          <w:bCs/>
          <w:spacing w:val="-3"/>
        </w:rPr>
        <w:t xml:space="preserve">Essex, </w:t>
      </w:r>
      <w:r w:rsidRPr="005E15EB">
        <w:rPr>
          <w:bCs/>
          <w:spacing w:val="-3"/>
        </w:rPr>
        <w:t xml:space="preserve">Middlesex, Norfolk, and </w:t>
      </w:r>
      <w:r w:rsidR="005E15EB" w:rsidRPr="005E15EB">
        <w:rPr>
          <w:bCs/>
          <w:spacing w:val="-3"/>
        </w:rPr>
        <w:t>Suffolk</w:t>
      </w:r>
      <w:r w:rsidRPr="005E15EB">
        <w:rPr>
          <w:bCs/>
          <w:spacing w:val="-3"/>
        </w:rPr>
        <w:t xml:space="preserve"> </w:t>
      </w:r>
      <w:r w:rsidR="00E85089">
        <w:rPr>
          <w:bCs/>
          <w:spacing w:val="-3"/>
        </w:rPr>
        <w:t>c</w:t>
      </w:r>
      <w:r w:rsidRPr="005E15EB">
        <w:rPr>
          <w:bCs/>
          <w:spacing w:val="-3"/>
        </w:rPr>
        <w:t xml:space="preserve">ounties.  Based on </w:t>
      </w:r>
      <w:r w:rsidR="005379B0">
        <w:rPr>
          <w:bCs/>
          <w:spacing w:val="-3"/>
        </w:rPr>
        <w:t xml:space="preserve">2018 </w:t>
      </w:r>
      <w:r w:rsidR="005379B0" w:rsidRPr="005E15EB">
        <w:rPr>
          <w:bCs/>
          <w:spacing w:val="-3"/>
        </w:rPr>
        <w:t>small</w:t>
      </w:r>
      <w:r w:rsidRPr="005E15EB">
        <w:rPr>
          <w:bCs/>
          <w:spacing w:val="-3"/>
        </w:rPr>
        <w:t xml:space="preserve"> business aggregate </w:t>
      </w:r>
      <w:r w:rsidR="005379B0" w:rsidRPr="005E15EB">
        <w:rPr>
          <w:bCs/>
          <w:spacing w:val="-3"/>
        </w:rPr>
        <w:t>data (</w:t>
      </w:r>
      <w:r w:rsidR="005E15EB" w:rsidRPr="005E15EB">
        <w:rPr>
          <w:bCs/>
          <w:spacing w:val="-3"/>
        </w:rPr>
        <w:t>the most recent year available)</w:t>
      </w:r>
      <w:r w:rsidRPr="005E15EB">
        <w:rPr>
          <w:bCs/>
          <w:spacing w:val="-3"/>
        </w:rPr>
        <w:t>, 1</w:t>
      </w:r>
      <w:r w:rsidR="005E15EB" w:rsidRPr="005E15EB">
        <w:rPr>
          <w:bCs/>
          <w:spacing w:val="-3"/>
        </w:rPr>
        <w:t>75</w:t>
      </w:r>
      <w:r w:rsidRPr="005E15EB">
        <w:rPr>
          <w:bCs/>
          <w:spacing w:val="-3"/>
        </w:rPr>
        <w:t xml:space="preserve"> lenders made </w:t>
      </w:r>
      <w:r w:rsidR="005E15EB" w:rsidRPr="005E15EB">
        <w:rPr>
          <w:bCs/>
          <w:spacing w:val="-3"/>
        </w:rPr>
        <w:t>100,169</w:t>
      </w:r>
      <w:r w:rsidRPr="005E15EB">
        <w:rPr>
          <w:bCs/>
          <w:spacing w:val="-3"/>
        </w:rPr>
        <w:t xml:space="preserve"> small business loans.  </w:t>
      </w:r>
      <w:r w:rsidR="005E15EB" w:rsidRPr="00F654F6">
        <w:rPr>
          <w:bCs/>
          <w:spacing w:val="-3"/>
        </w:rPr>
        <w:t>EB</w:t>
      </w:r>
      <w:r w:rsidR="00F654F6" w:rsidRPr="00F654F6">
        <w:rPr>
          <w:bCs/>
          <w:spacing w:val="-3"/>
        </w:rPr>
        <w:t>SB ranked 5</w:t>
      </w:r>
      <w:r w:rsidRPr="00F654F6">
        <w:rPr>
          <w:bCs/>
          <w:spacing w:val="-3"/>
        </w:rPr>
        <w:t>4</w:t>
      </w:r>
      <w:r w:rsidRPr="00F654F6">
        <w:rPr>
          <w:bCs/>
          <w:spacing w:val="-3"/>
          <w:vertAlign w:val="superscript"/>
        </w:rPr>
        <w:t>th</w:t>
      </w:r>
      <w:r w:rsidRPr="00F654F6">
        <w:rPr>
          <w:bCs/>
          <w:spacing w:val="-3"/>
        </w:rPr>
        <w:t xml:space="preserve"> out of t</w:t>
      </w:r>
      <w:r w:rsidR="00F654F6" w:rsidRPr="00F654F6">
        <w:rPr>
          <w:bCs/>
          <w:spacing w:val="-3"/>
        </w:rPr>
        <w:t>his group of lenders, with a 0.1</w:t>
      </w:r>
      <w:r w:rsidRPr="00F654F6">
        <w:rPr>
          <w:bCs/>
          <w:spacing w:val="-3"/>
        </w:rPr>
        <w:t xml:space="preserve"> percent market share.  The </w:t>
      </w:r>
      <w:r w:rsidR="00F654F6" w:rsidRPr="00F654F6">
        <w:rPr>
          <w:bCs/>
          <w:spacing w:val="-3"/>
        </w:rPr>
        <w:t>five</w:t>
      </w:r>
      <w:r w:rsidRPr="00F654F6">
        <w:rPr>
          <w:bCs/>
          <w:spacing w:val="-3"/>
        </w:rPr>
        <w:t xml:space="preserve"> most prominent small business lenders accounted for </w:t>
      </w:r>
      <w:r w:rsidR="00F654F6" w:rsidRPr="00F654F6">
        <w:rPr>
          <w:bCs/>
          <w:spacing w:val="-3"/>
        </w:rPr>
        <w:t>62.7</w:t>
      </w:r>
      <w:r w:rsidRPr="00F654F6">
        <w:rPr>
          <w:bCs/>
          <w:spacing w:val="-3"/>
        </w:rPr>
        <w:t xml:space="preserve"> percent of total market share including American Express</w:t>
      </w:r>
      <w:r w:rsidR="00E85089">
        <w:rPr>
          <w:bCs/>
          <w:spacing w:val="-3"/>
        </w:rPr>
        <w:t>, N.A.</w:t>
      </w:r>
      <w:r w:rsidR="006362FE">
        <w:rPr>
          <w:bCs/>
          <w:spacing w:val="-3"/>
        </w:rPr>
        <w:t>;</w:t>
      </w:r>
      <w:r w:rsidRPr="00F654F6">
        <w:rPr>
          <w:bCs/>
          <w:spacing w:val="-3"/>
        </w:rPr>
        <w:t xml:space="preserve"> Bank of America</w:t>
      </w:r>
      <w:r w:rsidR="00E85089">
        <w:rPr>
          <w:bCs/>
          <w:spacing w:val="-3"/>
        </w:rPr>
        <w:t>, N.A.</w:t>
      </w:r>
      <w:r w:rsidR="006362FE">
        <w:rPr>
          <w:bCs/>
          <w:spacing w:val="-3"/>
        </w:rPr>
        <w:t>;</w:t>
      </w:r>
      <w:r w:rsidRPr="00F654F6">
        <w:rPr>
          <w:bCs/>
          <w:spacing w:val="-3"/>
        </w:rPr>
        <w:t xml:space="preserve"> </w:t>
      </w:r>
      <w:r w:rsidR="00F654F6" w:rsidRPr="00F654F6">
        <w:rPr>
          <w:bCs/>
          <w:spacing w:val="-3"/>
        </w:rPr>
        <w:t>Chase Bank</w:t>
      </w:r>
      <w:r w:rsidR="00E85089">
        <w:rPr>
          <w:bCs/>
          <w:spacing w:val="-3"/>
        </w:rPr>
        <w:t xml:space="preserve"> USA, N.A.</w:t>
      </w:r>
      <w:r w:rsidR="006362FE">
        <w:rPr>
          <w:bCs/>
          <w:spacing w:val="-3"/>
        </w:rPr>
        <w:t>;</w:t>
      </w:r>
      <w:r w:rsidR="00F654F6" w:rsidRPr="00F654F6">
        <w:rPr>
          <w:bCs/>
          <w:spacing w:val="-3"/>
        </w:rPr>
        <w:t xml:space="preserve"> Citibank</w:t>
      </w:r>
      <w:r w:rsidR="00E85089">
        <w:rPr>
          <w:bCs/>
          <w:spacing w:val="-3"/>
        </w:rPr>
        <w:t>, N.A.</w:t>
      </w:r>
      <w:r w:rsidR="006362FE">
        <w:rPr>
          <w:bCs/>
          <w:spacing w:val="-3"/>
        </w:rPr>
        <w:t>;</w:t>
      </w:r>
      <w:r w:rsidR="00F654F6" w:rsidRPr="00F654F6">
        <w:rPr>
          <w:bCs/>
          <w:spacing w:val="-3"/>
        </w:rPr>
        <w:t xml:space="preserve"> and Capital One Bank</w:t>
      </w:r>
      <w:r w:rsidR="00E85089">
        <w:rPr>
          <w:bCs/>
          <w:spacing w:val="-3"/>
        </w:rPr>
        <w:t xml:space="preserve"> (USA), N.A.</w:t>
      </w:r>
      <w:r w:rsidR="00F654F6">
        <w:rPr>
          <w:bCs/>
          <w:spacing w:val="-3"/>
        </w:rPr>
        <w:t>.</w:t>
      </w:r>
    </w:p>
    <w:p w14:paraId="2326D310" w14:textId="215DF4F9" w:rsidR="001F64B6" w:rsidRDefault="001F64B6" w:rsidP="0053108B">
      <w:pPr>
        <w:rPr>
          <w:bCs/>
          <w:spacing w:val="-3"/>
        </w:rPr>
      </w:pPr>
    </w:p>
    <w:p w14:paraId="78C8AA4E" w14:textId="77777777" w:rsidR="001F64B6" w:rsidRPr="00AD3C42" w:rsidRDefault="001F64B6" w:rsidP="001F64B6">
      <w:pPr>
        <w:rPr>
          <w:b/>
          <w:bCs/>
          <w:iCs/>
          <w:u w:val="single"/>
        </w:rPr>
      </w:pPr>
      <w:r w:rsidRPr="00AD3C42">
        <w:rPr>
          <w:b/>
          <w:bCs/>
          <w:iCs/>
          <w:u w:val="single"/>
        </w:rPr>
        <w:t>Community Contact</w:t>
      </w:r>
    </w:p>
    <w:p w14:paraId="453A5DA2" w14:textId="77777777" w:rsidR="001F64B6" w:rsidRPr="00AD3C42" w:rsidRDefault="001F64B6" w:rsidP="001F64B6">
      <w:pPr>
        <w:rPr>
          <w:b/>
          <w:bCs/>
          <w:iCs/>
          <w:u w:val="single"/>
        </w:rPr>
      </w:pPr>
    </w:p>
    <w:p w14:paraId="6B26EDE2" w14:textId="01C999ED" w:rsidR="001F64B6" w:rsidRPr="00CF53DE" w:rsidRDefault="001F64B6" w:rsidP="001F64B6">
      <w:r w:rsidRPr="00CF53DE">
        <w:t>As part of the evaluation process, examiners contact third</w:t>
      </w:r>
      <w:r w:rsidR="001745BB">
        <w:t>-</w:t>
      </w:r>
      <w:r w:rsidRPr="00CF53DE">
        <w:t xml:space="preserve">parties active in the assessment area to assist in identifying credit and community development needs.  This information helps determine whether local financial institutions are responsive to these needs.  It also shows available credit and community development opportunities. </w:t>
      </w:r>
    </w:p>
    <w:p w14:paraId="4F80F5BB" w14:textId="77777777" w:rsidR="001F64B6" w:rsidRDefault="001F64B6" w:rsidP="001F64B6">
      <w:pPr>
        <w:rPr>
          <w:b/>
          <w:bCs/>
          <w:iCs/>
          <w:color w:val="000000"/>
          <w:u w:val="single"/>
        </w:rPr>
      </w:pPr>
    </w:p>
    <w:p w14:paraId="215FDFE0" w14:textId="7249D05F" w:rsidR="001F64B6" w:rsidRDefault="001F64B6" w:rsidP="001F64B6">
      <w:pPr>
        <w:rPr>
          <w:b/>
          <w:bCs/>
          <w:iCs/>
          <w:color w:val="000000"/>
          <w:u w:val="single"/>
        </w:rPr>
      </w:pPr>
      <w:r w:rsidRPr="00CF53DE">
        <w:t xml:space="preserve">Examiners relied on a recently completed community contact </w:t>
      </w:r>
      <w:r w:rsidR="005379B0">
        <w:t xml:space="preserve">with </w:t>
      </w:r>
      <w:r w:rsidR="005379B0" w:rsidRPr="00CF53DE">
        <w:t>a</w:t>
      </w:r>
      <w:r w:rsidRPr="00CF53DE">
        <w:t xml:space="preserve"> non-profit</w:t>
      </w:r>
      <w:r>
        <w:t xml:space="preserve"> housing</w:t>
      </w:r>
      <w:r w:rsidRPr="00CF53DE">
        <w:t xml:space="preserve"> organization serving neighborhoods within Boston.</w:t>
      </w:r>
      <w:r>
        <w:t xml:space="preserve">  The organization</w:t>
      </w:r>
      <w:r w:rsidRPr="00D2553A">
        <w:t xml:space="preserve"> provides homebuyer education programs to </w:t>
      </w:r>
      <w:r>
        <w:t xml:space="preserve">prospective </w:t>
      </w:r>
      <w:r w:rsidRPr="00D2553A">
        <w:t>low- and moderate-income consumers</w:t>
      </w:r>
      <w:r>
        <w:t xml:space="preserve"> and advocates </w:t>
      </w:r>
      <w:r w:rsidRPr="00D2553A">
        <w:t>support for affordable housing</w:t>
      </w:r>
      <w:r>
        <w:t xml:space="preserve">.  Education focuses on affordable housing financing options and various government support programs.  The contact noted that the high cost of housing in Boston and limited </w:t>
      </w:r>
      <w:r w:rsidR="005379B0">
        <w:t>number of</w:t>
      </w:r>
      <w:r>
        <w:t xml:space="preserve"> affordable housing options are discouraging homeownership, </w:t>
      </w:r>
      <w:r w:rsidR="005379B0">
        <w:t>particularly low</w:t>
      </w:r>
      <w:r>
        <w:t>- and moderate-income individuals.  Increasing volume of student debt is an additional factor in restricting home purchase options for potential borrowers.  Many renters are either leaving the area or remaining as renters.  The contact identified opportunities for institutions to participate in affordable housing programs and provide financial education to potential buyers.  Finally, the contact</w:t>
      </w:r>
      <w:r w:rsidRPr="00A95A5B">
        <w:t xml:space="preserve"> indicated that local financial institutions are active</w:t>
      </w:r>
      <w:r>
        <w:t xml:space="preserve"> in the area served by the organization.</w:t>
      </w:r>
    </w:p>
    <w:p w14:paraId="2C8BBAD1" w14:textId="77777777" w:rsidR="001F64B6" w:rsidRDefault="001F64B6" w:rsidP="0053108B">
      <w:pPr>
        <w:rPr>
          <w:iCs/>
          <w:u w:val="single"/>
        </w:rPr>
      </w:pPr>
    </w:p>
    <w:p w14:paraId="23EEE27B" w14:textId="77777777" w:rsidR="0053108B" w:rsidRPr="00AD3C42" w:rsidRDefault="0053108B" w:rsidP="00E02903">
      <w:pPr>
        <w:rPr>
          <w:iCs/>
          <w:u w:val="single"/>
        </w:rPr>
      </w:pPr>
    </w:p>
    <w:p w14:paraId="5BB83065" w14:textId="77777777" w:rsidR="005379B0" w:rsidRDefault="005379B0" w:rsidP="00F654F6">
      <w:pPr>
        <w:rPr>
          <w:b/>
          <w:bCs/>
          <w:iCs/>
          <w:color w:val="000000"/>
          <w:u w:val="single"/>
        </w:rPr>
      </w:pPr>
    </w:p>
    <w:p w14:paraId="70387EAE" w14:textId="44145972" w:rsidR="00B236ED" w:rsidRDefault="0099672C" w:rsidP="00F654F6">
      <w:pPr>
        <w:rPr>
          <w:b/>
          <w:bCs/>
          <w:iCs/>
          <w:color w:val="000000"/>
          <w:u w:val="single"/>
        </w:rPr>
      </w:pPr>
      <w:r w:rsidRPr="00AD3C42">
        <w:rPr>
          <w:b/>
          <w:bCs/>
          <w:iCs/>
          <w:color w:val="000000"/>
          <w:u w:val="single"/>
        </w:rPr>
        <w:lastRenderedPageBreak/>
        <w:t>Credit and Community Development Needs and Opportunities</w:t>
      </w:r>
    </w:p>
    <w:p w14:paraId="4260C8C8" w14:textId="77777777" w:rsidR="00F654F6" w:rsidRDefault="00F654F6" w:rsidP="00F654F6">
      <w:pPr>
        <w:rPr>
          <w:b/>
          <w:bCs/>
          <w:iCs/>
          <w:color w:val="000000"/>
          <w:u w:val="single"/>
        </w:rPr>
      </w:pPr>
    </w:p>
    <w:p w14:paraId="160365F8" w14:textId="703B4612" w:rsidR="00F654F6" w:rsidRPr="00F654F6" w:rsidRDefault="00A95A5B" w:rsidP="00F654F6">
      <w:pPr>
        <w:rPr>
          <w:bCs/>
          <w:iCs/>
          <w:color w:val="000000"/>
        </w:rPr>
        <w:sectPr w:rsidR="00F654F6" w:rsidRPr="00F654F6" w:rsidSect="006362FE">
          <w:pgSz w:w="12240" w:h="15840"/>
          <w:pgMar w:top="1440" w:right="1440" w:bottom="1440" w:left="1440" w:header="720" w:footer="720" w:gutter="0"/>
          <w:cols w:space="720"/>
          <w:docGrid w:linePitch="360"/>
        </w:sectPr>
      </w:pPr>
      <w:r w:rsidRPr="00B62E8B">
        <w:rPr>
          <w:bCs/>
          <w:spacing w:val="-3"/>
        </w:rPr>
        <w:t xml:space="preserve">Considering information from the community contact, bank management, and demographic and economic data, examiners determined </w:t>
      </w:r>
      <w:r w:rsidR="00A25C33">
        <w:rPr>
          <w:bCs/>
          <w:spacing w:val="-3"/>
        </w:rPr>
        <w:t xml:space="preserve">that </w:t>
      </w:r>
      <w:r w:rsidR="005379B0">
        <w:rPr>
          <w:bCs/>
          <w:spacing w:val="-3"/>
        </w:rPr>
        <w:t>financing affordable</w:t>
      </w:r>
      <w:r w:rsidRPr="00B62E8B">
        <w:rPr>
          <w:bCs/>
          <w:spacing w:val="-3"/>
        </w:rPr>
        <w:t xml:space="preserve"> housing</w:t>
      </w:r>
      <w:r>
        <w:rPr>
          <w:bCs/>
          <w:spacing w:val="-3"/>
        </w:rPr>
        <w:t xml:space="preserve"> </w:t>
      </w:r>
      <w:r w:rsidR="006362FE">
        <w:rPr>
          <w:bCs/>
          <w:spacing w:val="-3"/>
        </w:rPr>
        <w:t xml:space="preserve">construction </w:t>
      </w:r>
      <w:r w:rsidR="00A25C33">
        <w:rPr>
          <w:bCs/>
          <w:spacing w:val="-3"/>
        </w:rPr>
        <w:t xml:space="preserve">projects, participating in affordable housing lending programs, and providing </w:t>
      </w:r>
      <w:r>
        <w:rPr>
          <w:bCs/>
          <w:spacing w:val="-3"/>
        </w:rPr>
        <w:t xml:space="preserve">financial literacy education </w:t>
      </w:r>
      <w:r w:rsidRPr="00B62E8B">
        <w:rPr>
          <w:bCs/>
          <w:spacing w:val="-3"/>
        </w:rPr>
        <w:t>represent</w:t>
      </w:r>
      <w:r>
        <w:rPr>
          <w:bCs/>
          <w:spacing w:val="-3"/>
        </w:rPr>
        <w:t xml:space="preserve"> primary </w:t>
      </w:r>
      <w:r w:rsidR="00A25C33">
        <w:rPr>
          <w:bCs/>
          <w:spacing w:val="-3"/>
        </w:rPr>
        <w:t>needs</w:t>
      </w:r>
      <w:r>
        <w:rPr>
          <w:bCs/>
          <w:spacing w:val="-3"/>
        </w:rPr>
        <w:t xml:space="preserve"> </w:t>
      </w:r>
      <w:r w:rsidR="00A25C33">
        <w:rPr>
          <w:bCs/>
          <w:spacing w:val="-3"/>
        </w:rPr>
        <w:t>in</w:t>
      </w:r>
      <w:r>
        <w:rPr>
          <w:bCs/>
          <w:spacing w:val="-3"/>
        </w:rPr>
        <w:t xml:space="preserve"> the assessment area.</w:t>
      </w:r>
    </w:p>
    <w:p w14:paraId="1B6B8F3F" w14:textId="77777777" w:rsidR="000B5E7B" w:rsidRPr="000B5E7B" w:rsidRDefault="0099672C" w:rsidP="00874E0E">
      <w:pPr>
        <w:jc w:val="center"/>
        <w:rPr>
          <w:color w:val="000000"/>
        </w:rPr>
      </w:pPr>
      <w:r w:rsidRPr="00161EC6">
        <w:rPr>
          <w:b/>
          <w:bCs/>
          <w:color w:val="000000"/>
          <w:sz w:val="28"/>
          <w:szCs w:val="28"/>
        </w:rPr>
        <w:lastRenderedPageBreak/>
        <w:t>CONCLUSIONS ON PERFORMANCE CRITERIA</w:t>
      </w:r>
    </w:p>
    <w:p w14:paraId="0863278D" w14:textId="77777777" w:rsidR="0099672C" w:rsidRPr="00161EC6" w:rsidRDefault="0099672C" w:rsidP="00E02903">
      <w:pPr>
        <w:rPr>
          <w:color w:val="000000"/>
        </w:rPr>
      </w:pPr>
    </w:p>
    <w:p w14:paraId="5EF10085" w14:textId="77777777" w:rsidR="0099672C" w:rsidRPr="00161EC6" w:rsidRDefault="0099672C" w:rsidP="00E02903">
      <w:pPr>
        <w:rPr>
          <w:b/>
          <w:bCs/>
          <w:color w:val="000000"/>
          <w:u w:val="single"/>
        </w:rPr>
      </w:pPr>
      <w:r w:rsidRPr="00161EC6">
        <w:rPr>
          <w:b/>
          <w:bCs/>
          <w:color w:val="000000"/>
          <w:u w:val="single"/>
        </w:rPr>
        <w:t>LENDING TEST</w:t>
      </w:r>
    </w:p>
    <w:p w14:paraId="5EADE646" w14:textId="77777777" w:rsidR="0099672C" w:rsidRPr="00161EC6" w:rsidRDefault="0099672C" w:rsidP="00E02903">
      <w:pPr>
        <w:ind w:right="-360"/>
        <w:rPr>
          <w:i/>
          <w:iCs/>
          <w:color w:val="000000"/>
        </w:rPr>
      </w:pPr>
    </w:p>
    <w:p w14:paraId="50680437" w14:textId="3542A962" w:rsidR="009E10C3" w:rsidRDefault="009E10C3" w:rsidP="009E10C3">
      <w:pPr>
        <w:rPr>
          <w:bCs/>
          <w:spacing w:val="-3"/>
        </w:rPr>
      </w:pPr>
      <w:r>
        <w:rPr>
          <w:bCs/>
          <w:spacing w:val="-3"/>
        </w:rPr>
        <w:t xml:space="preserve">The bank’s </w:t>
      </w:r>
      <w:r w:rsidRPr="00103232">
        <w:rPr>
          <w:bCs/>
          <w:spacing w:val="-3"/>
        </w:rPr>
        <w:t xml:space="preserve">Lending Test performance is rated </w:t>
      </w:r>
      <w:r w:rsidR="009D2E05">
        <w:rPr>
          <w:bCs/>
          <w:spacing w:val="-3"/>
        </w:rPr>
        <w:t>High Satisfactory</w:t>
      </w:r>
      <w:r w:rsidRPr="00C72CEE">
        <w:rPr>
          <w:bCs/>
          <w:spacing w:val="-3"/>
        </w:rPr>
        <w:t>.</w:t>
      </w:r>
      <w:r w:rsidRPr="00103232">
        <w:rPr>
          <w:bCs/>
          <w:spacing w:val="-3"/>
        </w:rPr>
        <w:t xml:space="preserve">  The following sections discuss the bank’s performance under each criterion</w:t>
      </w:r>
      <w:r w:rsidR="004030EF" w:rsidRPr="00103232">
        <w:rPr>
          <w:bCs/>
          <w:spacing w:val="-3"/>
        </w:rPr>
        <w:t xml:space="preserve">.  </w:t>
      </w:r>
      <w:r w:rsidR="0043646A">
        <w:rPr>
          <w:bCs/>
          <w:spacing w:val="-3"/>
        </w:rPr>
        <w:t>This bank’s outstanding performance in both geographic distribution and community development lending primarily supports the bank’s rating.</w:t>
      </w:r>
    </w:p>
    <w:p w14:paraId="41768454" w14:textId="77777777" w:rsidR="009E10C3" w:rsidRPr="00161EC6" w:rsidRDefault="009E10C3" w:rsidP="00973AB5">
      <w:pPr>
        <w:rPr>
          <w:b/>
          <w:bCs/>
          <w:spacing w:val="-3"/>
          <w:u w:val="single"/>
        </w:rPr>
      </w:pPr>
    </w:p>
    <w:p w14:paraId="7ABF55E4" w14:textId="77777777" w:rsidR="00EA4565" w:rsidRDefault="00EA4565" w:rsidP="008A183B">
      <w:pPr>
        <w:outlineLvl w:val="2"/>
        <w:rPr>
          <w:b/>
          <w:bCs/>
          <w:spacing w:val="-3"/>
          <w:u w:val="single"/>
        </w:rPr>
      </w:pPr>
      <w:r>
        <w:rPr>
          <w:b/>
          <w:bCs/>
          <w:spacing w:val="-3"/>
          <w:u w:val="single"/>
        </w:rPr>
        <w:t>Lending Activity</w:t>
      </w:r>
    </w:p>
    <w:p w14:paraId="194F01B1" w14:textId="77777777" w:rsidR="00EA4565" w:rsidRDefault="00EA4565" w:rsidP="008A183B">
      <w:pPr>
        <w:outlineLvl w:val="2"/>
        <w:rPr>
          <w:b/>
          <w:bCs/>
          <w:spacing w:val="-3"/>
          <w:u w:val="single"/>
        </w:rPr>
      </w:pPr>
    </w:p>
    <w:p w14:paraId="0700B281" w14:textId="77777777" w:rsidR="00A62FE5" w:rsidRPr="009719E8" w:rsidRDefault="00A62FE5" w:rsidP="00A62FE5">
      <w:pPr>
        <w:outlineLvl w:val="2"/>
        <w:rPr>
          <w:bCs/>
          <w:spacing w:val="-3"/>
        </w:rPr>
      </w:pPr>
      <w:bookmarkStart w:id="0" w:name="_Toc34030825"/>
      <w:r w:rsidRPr="009719E8">
        <w:rPr>
          <w:bCs/>
          <w:spacing w:val="-3"/>
        </w:rPr>
        <w:t xml:space="preserve">The bank’s lending levels reflect </w:t>
      </w:r>
      <w:r w:rsidR="009719E8" w:rsidRPr="009719E8">
        <w:rPr>
          <w:bCs/>
          <w:spacing w:val="-3"/>
        </w:rPr>
        <w:t>adequate</w:t>
      </w:r>
      <w:r w:rsidRPr="009719E8">
        <w:rPr>
          <w:bCs/>
          <w:spacing w:val="-3"/>
        </w:rPr>
        <w:t xml:space="preserve"> responsiveness to assessment area credit needs.  In 2017</w:t>
      </w:r>
      <w:r w:rsidR="0047565B" w:rsidRPr="009719E8">
        <w:rPr>
          <w:bCs/>
          <w:spacing w:val="-3"/>
        </w:rPr>
        <w:t>, 2018, and</w:t>
      </w:r>
      <w:r w:rsidRPr="009719E8">
        <w:rPr>
          <w:bCs/>
          <w:spacing w:val="-3"/>
        </w:rPr>
        <w:t xml:space="preserve"> 201</w:t>
      </w:r>
      <w:r w:rsidR="0047565B" w:rsidRPr="009719E8">
        <w:rPr>
          <w:bCs/>
          <w:spacing w:val="-3"/>
        </w:rPr>
        <w:t>9</w:t>
      </w:r>
      <w:r w:rsidRPr="009719E8">
        <w:rPr>
          <w:bCs/>
          <w:spacing w:val="-3"/>
        </w:rPr>
        <w:t xml:space="preserve">, </w:t>
      </w:r>
      <w:r w:rsidR="0047565B" w:rsidRPr="009719E8">
        <w:rPr>
          <w:bCs/>
          <w:spacing w:val="-3"/>
        </w:rPr>
        <w:t>EBSB</w:t>
      </w:r>
      <w:r w:rsidRPr="009719E8">
        <w:rPr>
          <w:bCs/>
          <w:spacing w:val="-3"/>
        </w:rPr>
        <w:t xml:space="preserve"> originated and purchased 1,</w:t>
      </w:r>
      <w:r w:rsidR="0047565B" w:rsidRPr="009719E8">
        <w:rPr>
          <w:bCs/>
          <w:spacing w:val="-3"/>
        </w:rPr>
        <w:t>302</w:t>
      </w:r>
      <w:r w:rsidRPr="009719E8">
        <w:rPr>
          <w:bCs/>
          <w:spacing w:val="-3"/>
        </w:rPr>
        <w:t xml:space="preserve"> home mortgage loans totaling approximately $</w:t>
      </w:r>
      <w:r w:rsidR="0047565B" w:rsidRPr="009719E8">
        <w:rPr>
          <w:bCs/>
          <w:spacing w:val="-3"/>
        </w:rPr>
        <w:t>1.4</w:t>
      </w:r>
      <w:r w:rsidRPr="009719E8">
        <w:rPr>
          <w:bCs/>
          <w:spacing w:val="-3"/>
        </w:rPr>
        <w:t xml:space="preserve"> </w:t>
      </w:r>
      <w:r w:rsidR="0047565B" w:rsidRPr="009719E8">
        <w:rPr>
          <w:bCs/>
          <w:spacing w:val="-3"/>
        </w:rPr>
        <w:t>b</w:t>
      </w:r>
      <w:r w:rsidRPr="009719E8">
        <w:rPr>
          <w:bCs/>
          <w:spacing w:val="-3"/>
        </w:rPr>
        <w:t xml:space="preserve">illion and </w:t>
      </w:r>
      <w:r w:rsidR="0047565B" w:rsidRPr="009719E8">
        <w:rPr>
          <w:bCs/>
          <w:spacing w:val="-3"/>
        </w:rPr>
        <w:t>289</w:t>
      </w:r>
      <w:r w:rsidRPr="009719E8">
        <w:rPr>
          <w:bCs/>
          <w:spacing w:val="-3"/>
        </w:rPr>
        <w:t xml:space="preserve"> small business loans totaling approximately $</w:t>
      </w:r>
      <w:r w:rsidR="0047565B" w:rsidRPr="009719E8">
        <w:rPr>
          <w:bCs/>
          <w:spacing w:val="-3"/>
        </w:rPr>
        <w:t>109.3</w:t>
      </w:r>
      <w:r w:rsidRPr="009719E8">
        <w:rPr>
          <w:bCs/>
          <w:spacing w:val="-3"/>
        </w:rPr>
        <w:t xml:space="preserve"> million</w:t>
      </w:r>
      <w:r w:rsidR="0047565B" w:rsidRPr="009719E8">
        <w:rPr>
          <w:bCs/>
          <w:spacing w:val="-3"/>
        </w:rPr>
        <w:t xml:space="preserve">.  </w:t>
      </w:r>
      <w:r w:rsidRPr="009719E8">
        <w:rPr>
          <w:bCs/>
          <w:spacing w:val="-3"/>
        </w:rPr>
        <w:t xml:space="preserve">Of this total, </w:t>
      </w:r>
      <w:r w:rsidR="0047565B" w:rsidRPr="009719E8">
        <w:rPr>
          <w:bCs/>
          <w:spacing w:val="-3"/>
        </w:rPr>
        <w:t>891</w:t>
      </w:r>
      <w:r w:rsidRPr="009719E8">
        <w:rPr>
          <w:bCs/>
          <w:spacing w:val="-3"/>
        </w:rPr>
        <w:t xml:space="preserve"> home mortgage loans, totaling approximately $</w:t>
      </w:r>
      <w:r w:rsidR="0047565B" w:rsidRPr="009719E8">
        <w:rPr>
          <w:bCs/>
          <w:spacing w:val="-3"/>
        </w:rPr>
        <w:t>958.0</w:t>
      </w:r>
      <w:r w:rsidRPr="009719E8">
        <w:rPr>
          <w:bCs/>
          <w:spacing w:val="-3"/>
        </w:rPr>
        <w:t xml:space="preserve"> million and </w:t>
      </w:r>
      <w:r w:rsidR="0047565B" w:rsidRPr="009719E8">
        <w:rPr>
          <w:bCs/>
          <w:spacing w:val="-3"/>
        </w:rPr>
        <w:t>184</w:t>
      </w:r>
      <w:r w:rsidRPr="009719E8">
        <w:rPr>
          <w:bCs/>
          <w:spacing w:val="-3"/>
        </w:rPr>
        <w:t xml:space="preserve"> small business loans, totaling approximately $</w:t>
      </w:r>
      <w:r w:rsidR="0047565B" w:rsidRPr="009719E8">
        <w:rPr>
          <w:bCs/>
          <w:spacing w:val="-3"/>
        </w:rPr>
        <w:t>67.7</w:t>
      </w:r>
      <w:r w:rsidRPr="009719E8">
        <w:rPr>
          <w:bCs/>
          <w:spacing w:val="-3"/>
        </w:rPr>
        <w:t xml:space="preserve"> million, were inside the assessment area.</w:t>
      </w:r>
      <w:bookmarkEnd w:id="0"/>
    </w:p>
    <w:p w14:paraId="40CCB21D" w14:textId="77777777" w:rsidR="00A62FE5" w:rsidRPr="009719E8" w:rsidRDefault="00A62FE5" w:rsidP="00A62FE5">
      <w:pPr>
        <w:outlineLvl w:val="2"/>
        <w:rPr>
          <w:bCs/>
          <w:spacing w:val="-3"/>
        </w:rPr>
      </w:pPr>
    </w:p>
    <w:p w14:paraId="07D9E5AB" w14:textId="026BD846" w:rsidR="00A62FE5" w:rsidRPr="0079600C" w:rsidRDefault="009719E8" w:rsidP="008A183B">
      <w:pPr>
        <w:outlineLvl w:val="2"/>
        <w:rPr>
          <w:bCs/>
          <w:spacing w:val="-3"/>
        </w:rPr>
      </w:pPr>
      <w:r w:rsidRPr="007439CB">
        <w:rPr>
          <w:bCs/>
          <w:spacing w:val="-3"/>
        </w:rPr>
        <w:t>EBSB’s level of home mortgage originations inside assessment area declined from high of 347 in 2017 to 281 and 263</w:t>
      </w:r>
      <w:r w:rsidR="00CB52BF" w:rsidRPr="007439CB">
        <w:rPr>
          <w:bCs/>
          <w:spacing w:val="-3"/>
        </w:rPr>
        <w:t xml:space="preserve"> in 2018 and 2019</w:t>
      </w:r>
      <w:r w:rsidR="006362FE">
        <w:rPr>
          <w:bCs/>
          <w:spacing w:val="-3"/>
        </w:rPr>
        <w:t>,</w:t>
      </w:r>
      <w:r w:rsidR="00CB52BF" w:rsidRPr="007439CB">
        <w:rPr>
          <w:bCs/>
          <w:spacing w:val="-3"/>
        </w:rPr>
        <w:t xml:space="preserve"> respectively.  This decline coincided with a dec</w:t>
      </w:r>
      <w:r w:rsidR="006362FE">
        <w:rPr>
          <w:bCs/>
          <w:spacing w:val="-3"/>
        </w:rPr>
        <w:t>rease</w:t>
      </w:r>
      <w:r w:rsidR="00CB52BF" w:rsidRPr="007439CB">
        <w:rPr>
          <w:bCs/>
          <w:spacing w:val="-3"/>
        </w:rPr>
        <w:t xml:space="preserve"> in assessment area market share rankings of 45</w:t>
      </w:r>
      <w:r w:rsidR="00CB52BF" w:rsidRPr="007439CB">
        <w:rPr>
          <w:bCs/>
          <w:spacing w:val="-3"/>
          <w:vertAlign w:val="superscript"/>
        </w:rPr>
        <w:t>th</w:t>
      </w:r>
      <w:r w:rsidR="00CB52BF" w:rsidRPr="007439CB">
        <w:rPr>
          <w:bCs/>
          <w:spacing w:val="-3"/>
        </w:rPr>
        <w:t xml:space="preserve"> and 46</w:t>
      </w:r>
      <w:r w:rsidR="00CB52BF" w:rsidRPr="007439CB">
        <w:rPr>
          <w:bCs/>
          <w:spacing w:val="-3"/>
          <w:vertAlign w:val="superscript"/>
        </w:rPr>
        <w:t>th</w:t>
      </w:r>
      <w:r w:rsidR="006362FE">
        <w:rPr>
          <w:bCs/>
          <w:spacing w:val="-3"/>
        </w:rPr>
        <w:t xml:space="preserve">, </w:t>
      </w:r>
      <w:r w:rsidR="00CB52BF" w:rsidRPr="007439CB">
        <w:rPr>
          <w:bCs/>
          <w:spacing w:val="-3"/>
        </w:rPr>
        <w:t>respectively, as compared to 30</w:t>
      </w:r>
      <w:r w:rsidR="00CB52BF" w:rsidRPr="007439CB">
        <w:rPr>
          <w:bCs/>
          <w:spacing w:val="-3"/>
          <w:vertAlign w:val="superscript"/>
        </w:rPr>
        <w:t>th</w:t>
      </w:r>
      <w:r w:rsidR="00CB52BF" w:rsidRPr="007439CB">
        <w:rPr>
          <w:bCs/>
          <w:spacing w:val="-3"/>
        </w:rPr>
        <w:t xml:space="preserve"> in 2017 and 24</w:t>
      </w:r>
      <w:r w:rsidR="00CB52BF" w:rsidRPr="007439CB">
        <w:rPr>
          <w:bCs/>
          <w:spacing w:val="-3"/>
          <w:vertAlign w:val="superscript"/>
        </w:rPr>
        <w:t>th</w:t>
      </w:r>
      <w:r w:rsidR="00CB52BF" w:rsidRPr="007439CB">
        <w:rPr>
          <w:bCs/>
          <w:spacing w:val="-3"/>
        </w:rPr>
        <w:t xml:space="preserve"> in 2015 during the</w:t>
      </w:r>
      <w:r w:rsidR="00CB52BF">
        <w:rPr>
          <w:bCs/>
          <w:spacing w:val="-3"/>
        </w:rPr>
        <w:t xml:space="preserve"> prior evaluation.  </w:t>
      </w:r>
      <w:r w:rsidR="006362FE">
        <w:rPr>
          <w:bCs/>
          <w:spacing w:val="-3"/>
        </w:rPr>
        <w:t>S</w:t>
      </w:r>
      <w:r w:rsidR="00583816">
        <w:rPr>
          <w:bCs/>
          <w:spacing w:val="-3"/>
        </w:rPr>
        <w:t>mall business lending stayed generally consistent with the prior evaluation.  As described in the prior section, there is significant competition within EBSB’s assessment area for both home mortgage and small business lending; therefore, the bank’s overall lending activity is adequate.</w:t>
      </w:r>
      <w:r w:rsidR="00CB52BF">
        <w:rPr>
          <w:bCs/>
          <w:spacing w:val="-3"/>
        </w:rPr>
        <w:t xml:space="preserve">  </w:t>
      </w:r>
      <w:r>
        <w:rPr>
          <w:bCs/>
          <w:spacing w:val="-3"/>
        </w:rPr>
        <w:t xml:space="preserve">  </w:t>
      </w:r>
    </w:p>
    <w:p w14:paraId="4D4C9083" w14:textId="77777777" w:rsidR="0079600C" w:rsidRDefault="0079600C" w:rsidP="008A183B">
      <w:pPr>
        <w:outlineLvl w:val="2"/>
        <w:rPr>
          <w:b/>
          <w:bCs/>
          <w:spacing w:val="-3"/>
          <w:u w:val="single"/>
        </w:rPr>
      </w:pPr>
    </w:p>
    <w:p w14:paraId="0D50BEB2" w14:textId="77777777" w:rsidR="0099672C" w:rsidRPr="00161EC6" w:rsidRDefault="0099672C" w:rsidP="008A183B">
      <w:pPr>
        <w:outlineLvl w:val="2"/>
        <w:rPr>
          <w:b/>
          <w:bCs/>
          <w:u w:val="single"/>
        </w:rPr>
      </w:pPr>
      <w:r w:rsidRPr="00161EC6">
        <w:rPr>
          <w:b/>
          <w:bCs/>
          <w:u w:val="single"/>
        </w:rPr>
        <w:t>Assessment Area Concentration</w:t>
      </w:r>
    </w:p>
    <w:p w14:paraId="6DB0629E" w14:textId="77777777" w:rsidR="0099672C" w:rsidRDefault="0099672C" w:rsidP="008A183B">
      <w:pPr>
        <w:rPr>
          <w:b/>
          <w:i/>
          <w:iCs/>
        </w:rPr>
      </w:pPr>
    </w:p>
    <w:p w14:paraId="22C42AD5" w14:textId="63FCF8FD" w:rsidR="00A62FE5" w:rsidRDefault="00A62FE5" w:rsidP="00A62FE5">
      <w:pPr>
        <w:rPr>
          <w:iCs/>
        </w:rPr>
      </w:pPr>
      <w:r>
        <w:rPr>
          <w:iCs/>
        </w:rPr>
        <w:t>The bank made a</w:t>
      </w:r>
      <w:r w:rsidR="00824BDC">
        <w:rPr>
          <w:iCs/>
        </w:rPr>
        <w:t>n</w:t>
      </w:r>
      <w:r w:rsidR="006574F1">
        <w:rPr>
          <w:iCs/>
        </w:rPr>
        <w:t xml:space="preserve"> </w:t>
      </w:r>
      <w:r w:rsidR="00824BDC">
        <w:rPr>
          <w:iCs/>
        </w:rPr>
        <w:t>adequate</w:t>
      </w:r>
      <w:r w:rsidR="006574F1">
        <w:rPr>
          <w:iCs/>
        </w:rPr>
        <w:t xml:space="preserve"> percentage</w:t>
      </w:r>
      <w:r>
        <w:rPr>
          <w:iCs/>
        </w:rPr>
        <w:t xml:space="preserve"> of home mortgage and small business loans, by number and dollar volume, within its </w:t>
      </w:r>
      <w:r w:rsidR="006574F1">
        <w:rPr>
          <w:iCs/>
        </w:rPr>
        <w:t>assessment area</w:t>
      </w:r>
      <w:r>
        <w:rPr>
          <w:iCs/>
        </w:rPr>
        <w:t xml:space="preserve">.  See the following table.  </w:t>
      </w:r>
    </w:p>
    <w:p w14:paraId="5AABE25A" w14:textId="77777777" w:rsidR="005F6CBA" w:rsidRDefault="005F6CBA" w:rsidP="00A62FE5">
      <w:pPr>
        <w:rPr>
          <w:iCs/>
        </w:rPr>
      </w:pPr>
    </w:p>
    <w:p w14:paraId="0F1780A6" w14:textId="77777777" w:rsidR="005F6CBA" w:rsidRDefault="005F6CBA" w:rsidP="00A62FE5">
      <w:pPr>
        <w:rPr>
          <w:iCs/>
        </w:rPr>
      </w:pPr>
    </w:p>
    <w:p w14:paraId="13AF0DA4" w14:textId="77777777" w:rsidR="005F6CBA" w:rsidRDefault="005F6CBA" w:rsidP="00A62FE5">
      <w:pPr>
        <w:rPr>
          <w:iCs/>
        </w:rPr>
      </w:pPr>
    </w:p>
    <w:p w14:paraId="3DAAFBEF" w14:textId="77777777" w:rsidR="005F6CBA" w:rsidRDefault="005F6CBA" w:rsidP="00A62FE5">
      <w:pPr>
        <w:rPr>
          <w:iCs/>
        </w:rPr>
      </w:pPr>
    </w:p>
    <w:p w14:paraId="638FD1DE" w14:textId="77777777" w:rsidR="005F6CBA" w:rsidRDefault="005F6CBA" w:rsidP="00A62FE5">
      <w:pPr>
        <w:rPr>
          <w:iCs/>
        </w:rPr>
      </w:pPr>
    </w:p>
    <w:p w14:paraId="1F732DE2" w14:textId="77777777" w:rsidR="005F6CBA" w:rsidRDefault="005F6CBA" w:rsidP="00A62FE5">
      <w:pPr>
        <w:rPr>
          <w:iCs/>
        </w:rPr>
      </w:pPr>
    </w:p>
    <w:p w14:paraId="20B3F0B9" w14:textId="77777777" w:rsidR="005F6CBA" w:rsidRDefault="005F6CBA" w:rsidP="00A62FE5">
      <w:pPr>
        <w:rPr>
          <w:iCs/>
        </w:rPr>
      </w:pPr>
    </w:p>
    <w:p w14:paraId="3226B6D5" w14:textId="77777777" w:rsidR="005F6CBA" w:rsidRDefault="005F6CBA" w:rsidP="00A62FE5">
      <w:pPr>
        <w:rPr>
          <w:iCs/>
        </w:rPr>
      </w:pPr>
    </w:p>
    <w:p w14:paraId="1240EA1D" w14:textId="77777777" w:rsidR="005F6CBA" w:rsidRDefault="005F6CBA" w:rsidP="00A62FE5">
      <w:pPr>
        <w:rPr>
          <w:iCs/>
        </w:rPr>
      </w:pPr>
    </w:p>
    <w:p w14:paraId="5F62211E" w14:textId="77777777" w:rsidR="005F6CBA" w:rsidRDefault="005F6CBA" w:rsidP="00A62FE5">
      <w:pPr>
        <w:rPr>
          <w:iCs/>
        </w:rPr>
      </w:pPr>
    </w:p>
    <w:p w14:paraId="529D59C8" w14:textId="77777777" w:rsidR="005F6CBA" w:rsidRDefault="005F6CBA" w:rsidP="00A62FE5">
      <w:pPr>
        <w:rPr>
          <w:iCs/>
        </w:rPr>
      </w:pPr>
    </w:p>
    <w:p w14:paraId="798A3E58" w14:textId="77777777" w:rsidR="005F6CBA" w:rsidRDefault="005F6CBA" w:rsidP="00A62FE5">
      <w:pPr>
        <w:rPr>
          <w:iCs/>
        </w:rPr>
      </w:pPr>
    </w:p>
    <w:p w14:paraId="4786BD5D" w14:textId="77777777" w:rsidR="005F6CBA" w:rsidRDefault="005F6CBA" w:rsidP="00A62FE5">
      <w:pPr>
        <w:rPr>
          <w:iCs/>
        </w:rPr>
      </w:pPr>
    </w:p>
    <w:p w14:paraId="171B7B52" w14:textId="77777777" w:rsidR="005F6CBA" w:rsidRDefault="005F6CBA" w:rsidP="00A62FE5">
      <w:pPr>
        <w:rPr>
          <w:iCs/>
        </w:rPr>
      </w:pPr>
    </w:p>
    <w:p w14:paraId="1456A6CC" w14:textId="77777777" w:rsidR="005F6CBA" w:rsidRDefault="005F6CBA" w:rsidP="00A62FE5">
      <w:pPr>
        <w:rPr>
          <w:iCs/>
        </w:rPr>
      </w:pPr>
    </w:p>
    <w:p w14:paraId="5B49A7D0" w14:textId="77777777" w:rsidR="005F6CBA" w:rsidRDefault="005F6CBA" w:rsidP="00A62FE5">
      <w:pPr>
        <w:rPr>
          <w:iCs/>
        </w:rPr>
      </w:pPr>
    </w:p>
    <w:p w14:paraId="33B7D03F" w14:textId="77777777" w:rsidR="005F6CBA" w:rsidRDefault="005F6CBA" w:rsidP="00A62FE5">
      <w:pPr>
        <w:rPr>
          <w:iCs/>
        </w:rPr>
      </w:pPr>
    </w:p>
    <w:p w14:paraId="2DBCDA21" w14:textId="77777777" w:rsidR="005F6CBA" w:rsidRDefault="005F6CBA" w:rsidP="00A62FE5">
      <w:pPr>
        <w:rPr>
          <w:iCs/>
        </w:rPr>
      </w:pPr>
    </w:p>
    <w:p w14:paraId="4108E447" w14:textId="77777777" w:rsidR="00A62FE5" w:rsidRDefault="00A62FE5" w:rsidP="008A183B">
      <w:pPr>
        <w:rPr>
          <w:b/>
          <w:i/>
          <w:iCs/>
        </w:rPr>
      </w:pPr>
    </w:p>
    <w:tbl>
      <w:tblPr>
        <w:tblW w:w="0" w:type="auto"/>
        <w:tblCellMar>
          <w:left w:w="0" w:type="dxa"/>
          <w:right w:w="0" w:type="dxa"/>
        </w:tblCellMar>
        <w:tblLook w:val="0000" w:firstRow="0" w:lastRow="0" w:firstColumn="0" w:lastColumn="0" w:noHBand="0" w:noVBand="0"/>
      </w:tblPr>
      <w:tblGrid>
        <w:gridCol w:w="1667"/>
        <w:gridCol w:w="861"/>
        <w:gridCol w:w="573"/>
        <w:gridCol w:w="804"/>
        <w:gridCol w:w="573"/>
        <w:gridCol w:w="828"/>
        <w:gridCol w:w="994"/>
        <w:gridCol w:w="573"/>
        <w:gridCol w:w="937"/>
        <w:gridCol w:w="573"/>
        <w:gridCol w:w="959"/>
      </w:tblGrid>
      <w:tr w:rsidR="00A62FE5" w:rsidRPr="00A62FE5" w14:paraId="2AAA4F9D" w14:textId="77777777" w:rsidTr="000B14FC">
        <w:trPr>
          <w:trHeight w:val="282"/>
        </w:trPr>
        <w:tc>
          <w:tcPr>
            <w:tcW w:w="11083" w:type="dxa"/>
            <w:gridSpan w:val="11"/>
            <w:tcBorders>
              <w:top w:val="single" w:sz="7" w:space="0" w:color="000000"/>
              <w:left w:val="single" w:sz="7" w:space="0" w:color="000000"/>
              <w:right w:val="single" w:sz="7" w:space="0" w:color="000000"/>
            </w:tcBorders>
            <w:tcMar>
              <w:top w:w="39" w:type="dxa"/>
              <w:left w:w="39" w:type="dxa"/>
              <w:bottom w:w="39" w:type="dxa"/>
              <w:right w:w="39" w:type="dxa"/>
            </w:tcMar>
          </w:tcPr>
          <w:p w14:paraId="0D2A4BCA" w14:textId="77777777" w:rsidR="00A62FE5" w:rsidRPr="00A62FE5" w:rsidRDefault="00A62FE5" w:rsidP="00A62FE5">
            <w:pPr>
              <w:jc w:val="center"/>
              <w:rPr>
                <w:sz w:val="20"/>
                <w:szCs w:val="20"/>
              </w:rPr>
            </w:pPr>
            <w:r w:rsidRPr="00A62FE5">
              <w:rPr>
                <w:b/>
                <w:color w:val="000000"/>
                <w:sz w:val="20"/>
                <w:szCs w:val="20"/>
              </w:rPr>
              <w:t>Lending Inside and Outside of the Assessment Area</w:t>
            </w:r>
          </w:p>
        </w:tc>
      </w:tr>
      <w:tr w:rsidR="00A62FE5" w:rsidRPr="00A62FE5" w14:paraId="61D32DB1" w14:textId="77777777" w:rsidTr="000B14FC">
        <w:trPr>
          <w:trHeight w:val="210"/>
        </w:trPr>
        <w:tc>
          <w:tcPr>
            <w:tcW w:w="2159"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62BCFB98" w14:textId="77777777" w:rsidR="00A62FE5" w:rsidRPr="00A62FE5" w:rsidRDefault="00A62FE5" w:rsidP="00A62FE5">
            <w:pPr>
              <w:rPr>
                <w:sz w:val="20"/>
                <w:szCs w:val="20"/>
              </w:rPr>
            </w:pPr>
          </w:p>
        </w:tc>
        <w:tc>
          <w:tcPr>
            <w:tcW w:w="345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70CF3F4" w14:textId="77777777" w:rsidR="00A62FE5" w:rsidRPr="00A62FE5" w:rsidRDefault="00A62FE5" w:rsidP="00A62FE5">
            <w:pPr>
              <w:jc w:val="center"/>
              <w:rPr>
                <w:sz w:val="20"/>
                <w:szCs w:val="20"/>
              </w:rPr>
            </w:pPr>
            <w:r w:rsidRPr="00A62FE5">
              <w:rPr>
                <w:b/>
                <w:color w:val="000000"/>
                <w:sz w:val="20"/>
                <w:szCs w:val="20"/>
              </w:rPr>
              <w:t>Number of Loans</w:t>
            </w:r>
          </w:p>
        </w:tc>
        <w:tc>
          <w:tcPr>
            <w:tcW w:w="1008"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16F7832D" w14:textId="77777777" w:rsidR="00A62FE5" w:rsidRPr="00A62FE5" w:rsidRDefault="00A62FE5" w:rsidP="00A62FE5">
            <w:pPr>
              <w:rPr>
                <w:sz w:val="20"/>
                <w:szCs w:val="20"/>
              </w:rPr>
            </w:pPr>
          </w:p>
        </w:tc>
        <w:tc>
          <w:tcPr>
            <w:tcW w:w="3454" w:type="dxa"/>
            <w:gridSpan w:val="4"/>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0701D48" w14:textId="77777777" w:rsidR="00A62FE5" w:rsidRPr="00A62FE5" w:rsidRDefault="00A62FE5" w:rsidP="00A62FE5">
            <w:pPr>
              <w:jc w:val="center"/>
              <w:rPr>
                <w:sz w:val="20"/>
                <w:szCs w:val="20"/>
              </w:rPr>
            </w:pPr>
            <w:r w:rsidRPr="00A62FE5">
              <w:rPr>
                <w:b/>
                <w:color w:val="000000"/>
                <w:sz w:val="20"/>
                <w:szCs w:val="20"/>
              </w:rPr>
              <w:t>Dollar Amount of Loans $(000s)</w:t>
            </w:r>
          </w:p>
        </w:tc>
        <w:tc>
          <w:tcPr>
            <w:tcW w:w="1008" w:type="dxa"/>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8201504" w14:textId="77777777" w:rsidR="00A62FE5" w:rsidRPr="00A62FE5" w:rsidRDefault="00A62FE5" w:rsidP="00A62FE5">
            <w:pPr>
              <w:rPr>
                <w:sz w:val="20"/>
                <w:szCs w:val="20"/>
              </w:rPr>
            </w:pPr>
          </w:p>
        </w:tc>
      </w:tr>
      <w:tr w:rsidR="00A62FE5" w:rsidRPr="00A62FE5" w14:paraId="73011D0E" w14:textId="77777777" w:rsidTr="000B14FC">
        <w:trPr>
          <w:trHeight w:val="210"/>
        </w:trPr>
        <w:tc>
          <w:tcPr>
            <w:tcW w:w="2159" w:type="dxa"/>
            <w:tcBorders>
              <w:left w:val="single" w:sz="7" w:space="0" w:color="000000"/>
              <w:right w:val="single" w:sz="7" w:space="0" w:color="000000"/>
            </w:tcBorders>
            <w:tcMar>
              <w:top w:w="39" w:type="dxa"/>
              <w:left w:w="39" w:type="dxa"/>
              <w:bottom w:w="39" w:type="dxa"/>
              <w:right w:w="39" w:type="dxa"/>
            </w:tcMar>
            <w:vAlign w:val="center"/>
          </w:tcPr>
          <w:p w14:paraId="7D8CC713" w14:textId="77777777" w:rsidR="00A62FE5" w:rsidRPr="00A62FE5" w:rsidRDefault="00A62FE5" w:rsidP="00A62FE5">
            <w:pPr>
              <w:rPr>
                <w:sz w:val="20"/>
                <w:szCs w:val="20"/>
              </w:rPr>
            </w:pPr>
            <w:r w:rsidRPr="00A62FE5">
              <w:rPr>
                <w:b/>
                <w:color w:val="000000"/>
                <w:sz w:val="20"/>
                <w:szCs w:val="20"/>
              </w:rPr>
              <w:t>Loan Category</w:t>
            </w:r>
          </w:p>
        </w:tc>
        <w:tc>
          <w:tcPr>
            <w:tcW w:w="172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CBE13B3" w14:textId="77777777" w:rsidR="00A62FE5" w:rsidRPr="00A62FE5" w:rsidRDefault="00A62FE5" w:rsidP="00A62FE5">
            <w:pPr>
              <w:jc w:val="center"/>
              <w:rPr>
                <w:sz w:val="20"/>
                <w:szCs w:val="20"/>
              </w:rPr>
            </w:pPr>
            <w:r w:rsidRPr="00A62FE5">
              <w:rPr>
                <w:b/>
                <w:color w:val="000000"/>
                <w:sz w:val="20"/>
                <w:szCs w:val="20"/>
              </w:rPr>
              <w:t>Inside</w:t>
            </w:r>
          </w:p>
        </w:tc>
        <w:tc>
          <w:tcPr>
            <w:tcW w:w="172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066DCE" w14:textId="77777777" w:rsidR="00A62FE5" w:rsidRPr="00A62FE5" w:rsidRDefault="00A62FE5" w:rsidP="00A62FE5">
            <w:pPr>
              <w:jc w:val="center"/>
              <w:rPr>
                <w:sz w:val="20"/>
                <w:szCs w:val="20"/>
              </w:rPr>
            </w:pPr>
            <w:r w:rsidRPr="00A62FE5">
              <w:rPr>
                <w:b/>
                <w:color w:val="000000"/>
                <w:sz w:val="20"/>
                <w:szCs w:val="20"/>
              </w:rPr>
              <w:t>Outside</w:t>
            </w:r>
          </w:p>
        </w:tc>
        <w:tc>
          <w:tcPr>
            <w:tcW w:w="1008" w:type="dxa"/>
            <w:tcBorders>
              <w:left w:val="single" w:sz="7" w:space="0" w:color="000000"/>
              <w:right w:val="single" w:sz="7" w:space="0" w:color="000000"/>
            </w:tcBorders>
            <w:tcMar>
              <w:top w:w="0" w:type="dxa"/>
              <w:left w:w="39" w:type="dxa"/>
              <w:bottom w:w="39" w:type="dxa"/>
              <w:right w:w="39" w:type="dxa"/>
            </w:tcMar>
          </w:tcPr>
          <w:p w14:paraId="68AF3F04" w14:textId="77777777" w:rsidR="00A62FE5" w:rsidRPr="00A62FE5" w:rsidRDefault="00A62FE5" w:rsidP="00A62FE5">
            <w:pPr>
              <w:jc w:val="center"/>
              <w:rPr>
                <w:sz w:val="20"/>
                <w:szCs w:val="20"/>
              </w:rPr>
            </w:pPr>
            <w:r w:rsidRPr="00A62FE5">
              <w:rPr>
                <w:b/>
                <w:color w:val="000000"/>
                <w:sz w:val="20"/>
                <w:szCs w:val="20"/>
              </w:rPr>
              <w:t>Total</w:t>
            </w:r>
          </w:p>
        </w:tc>
        <w:tc>
          <w:tcPr>
            <w:tcW w:w="172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6116BB9" w14:textId="77777777" w:rsidR="00A62FE5" w:rsidRPr="00A62FE5" w:rsidRDefault="00A62FE5" w:rsidP="00A62FE5">
            <w:pPr>
              <w:jc w:val="center"/>
              <w:rPr>
                <w:sz w:val="20"/>
                <w:szCs w:val="20"/>
              </w:rPr>
            </w:pPr>
            <w:r w:rsidRPr="00A62FE5">
              <w:rPr>
                <w:b/>
                <w:color w:val="000000"/>
                <w:sz w:val="20"/>
                <w:szCs w:val="20"/>
              </w:rPr>
              <w:t>Inside</w:t>
            </w:r>
          </w:p>
        </w:tc>
        <w:tc>
          <w:tcPr>
            <w:tcW w:w="1727"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55E67EF" w14:textId="77777777" w:rsidR="00A62FE5" w:rsidRPr="00A62FE5" w:rsidRDefault="00A62FE5" w:rsidP="00A62FE5">
            <w:pPr>
              <w:jc w:val="center"/>
              <w:rPr>
                <w:sz w:val="20"/>
                <w:szCs w:val="20"/>
              </w:rPr>
            </w:pPr>
            <w:r w:rsidRPr="00A62FE5">
              <w:rPr>
                <w:b/>
                <w:color w:val="000000"/>
                <w:sz w:val="20"/>
                <w:szCs w:val="20"/>
              </w:rPr>
              <w:t>Outside</w:t>
            </w:r>
          </w:p>
        </w:tc>
        <w:tc>
          <w:tcPr>
            <w:tcW w:w="1008" w:type="dxa"/>
            <w:tcBorders>
              <w:left w:val="single" w:sz="7" w:space="0" w:color="000000"/>
              <w:right w:val="single" w:sz="7" w:space="0" w:color="000000"/>
            </w:tcBorders>
            <w:tcMar>
              <w:top w:w="0" w:type="dxa"/>
              <w:left w:w="39" w:type="dxa"/>
              <w:bottom w:w="39" w:type="dxa"/>
              <w:right w:w="39" w:type="dxa"/>
            </w:tcMar>
          </w:tcPr>
          <w:p w14:paraId="11C5F97E" w14:textId="77777777" w:rsidR="00A62FE5" w:rsidRPr="00A62FE5" w:rsidRDefault="00A62FE5" w:rsidP="00A62FE5">
            <w:pPr>
              <w:jc w:val="center"/>
              <w:rPr>
                <w:sz w:val="20"/>
                <w:szCs w:val="20"/>
              </w:rPr>
            </w:pPr>
            <w:r w:rsidRPr="00A62FE5">
              <w:rPr>
                <w:b/>
                <w:color w:val="000000"/>
                <w:sz w:val="20"/>
                <w:szCs w:val="20"/>
              </w:rPr>
              <w:t>Total</w:t>
            </w:r>
          </w:p>
        </w:tc>
      </w:tr>
      <w:tr w:rsidR="00A62FE5" w:rsidRPr="00A62FE5" w14:paraId="4539FC29" w14:textId="77777777" w:rsidTr="000B14FC">
        <w:trPr>
          <w:trHeight w:val="210"/>
        </w:trPr>
        <w:tc>
          <w:tcPr>
            <w:tcW w:w="2159" w:type="dxa"/>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0CC48A77" w14:textId="77777777" w:rsidR="00A62FE5" w:rsidRPr="00A62FE5" w:rsidRDefault="00A62FE5" w:rsidP="00A62FE5">
            <w:pPr>
              <w:rPr>
                <w:sz w:val="20"/>
                <w:szCs w:val="20"/>
              </w:rPr>
            </w:pP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B00ABC1" w14:textId="77777777" w:rsidR="00A62FE5" w:rsidRPr="00A62FE5" w:rsidRDefault="00A62FE5" w:rsidP="00A62FE5">
            <w:pPr>
              <w:jc w:val="center"/>
              <w:rPr>
                <w:sz w:val="20"/>
                <w:szCs w:val="20"/>
              </w:rPr>
            </w:pPr>
            <w:r w:rsidRPr="00A62FE5">
              <w:rPr>
                <w:b/>
                <w:color w:val="000000"/>
                <w:sz w:val="20"/>
                <w:szCs w:val="20"/>
              </w:rPr>
              <w:t>#</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C9F19E" w14:textId="77777777" w:rsidR="00A62FE5" w:rsidRPr="00A62FE5" w:rsidRDefault="00A62FE5" w:rsidP="00A62FE5">
            <w:pPr>
              <w:jc w:val="center"/>
              <w:rPr>
                <w:sz w:val="20"/>
                <w:szCs w:val="20"/>
              </w:rPr>
            </w:pPr>
            <w:r w:rsidRPr="00A62FE5">
              <w:rPr>
                <w:b/>
                <w:color w:val="000000"/>
                <w:sz w:val="20"/>
                <w:szCs w:val="20"/>
              </w:rPr>
              <w:t>%</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5470075" w14:textId="77777777" w:rsidR="00A62FE5" w:rsidRPr="00A62FE5" w:rsidRDefault="00A62FE5" w:rsidP="00A62FE5">
            <w:pPr>
              <w:jc w:val="center"/>
              <w:rPr>
                <w:sz w:val="20"/>
                <w:szCs w:val="20"/>
              </w:rPr>
            </w:pPr>
            <w:r w:rsidRPr="00A62FE5">
              <w:rPr>
                <w:b/>
                <w:color w:val="000000"/>
                <w:sz w:val="20"/>
                <w:szCs w:val="20"/>
              </w:rPr>
              <w:t>#</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FE95BF9" w14:textId="77777777" w:rsidR="00A62FE5" w:rsidRPr="00A62FE5" w:rsidRDefault="00A62FE5" w:rsidP="00A62FE5">
            <w:pPr>
              <w:jc w:val="center"/>
              <w:rPr>
                <w:sz w:val="20"/>
                <w:szCs w:val="20"/>
              </w:rPr>
            </w:pPr>
            <w:r w:rsidRPr="00A62FE5">
              <w:rPr>
                <w:b/>
                <w:color w:val="000000"/>
                <w:sz w:val="20"/>
                <w:szCs w:val="20"/>
              </w:rPr>
              <w:t>%</w:t>
            </w:r>
          </w:p>
        </w:tc>
        <w:tc>
          <w:tcPr>
            <w:tcW w:w="1008" w:type="dxa"/>
            <w:tcBorders>
              <w:left w:val="single" w:sz="7" w:space="0" w:color="000000"/>
              <w:bottom w:val="single" w:sz="7" w:space="0" w:color="000000"/>
              <w:right w:val="single" w:sz="7" w:space="0" w:color="000000"/>
            </w:tcBorders>
            <w:tcMar>
              <w:top w:w="0" w:type="dxa"/>
              <w:left w:w="39" w:type="dxa"/>
              <w:bottom w:w="39" w:type="dxa"/>
              <w:right w:w="39" w:type="dxa"/>
            </w:tcMar>
          </w:tcPr>
          <w:p w14:paraId="467A46A2" w14:textId="77777777" w:rsidR="00A62FE5" w:rsidRPr="00A62FE5" w:rsidRDefault="00A62FE5" w:rsidP="00A62FE5">
            <w:pPr>
              <w:jc w:val="center"/>
              <w:rPr>
                <w:sz w:val="20"/>
                <w:szCs w:val="20"/>
              </w:rPr>
            </w:pPr>
            <w:r w:rsidRPr="00A62FE5">
              <w:rPr>
                <w:b/>
                <w:color w:val="000000"/>
                <w:sz w:val="20"/>
                <w:szCs w:val="20"/>
              </w:rPr>
              <w:t>#</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F49343" w14:textId="77777777" w:rsidR="00A62FE5" w:rsidRPr="00A62FE5" w:rsidRDefault="00A62FE5" w:rsidP="00A62FE5">
            <w:pPr>
              <w:jc w:val="center"/>
              <w:rPr>
                <w:sz w:val="20"/>
                <w:szCs w:val="20"/>
              </w:rPr>
            </w:pPr>
            <w:r w:rsidRPr="00A62FE5">
              <w:rPr>
                <w:b/>
                <w:color w:val="000000"/>
                <w:sz w:val="20"/>
                <w:szCs w:val="20"/>
              </w:rPr>
              <w:t>$</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0C24615" w14:textId="77777777" w:rsidR="00A62FE5" w:rsidRPr="00A62FE5" w:rsidRDefault="00A62FE5" w:rsidP="00A62FE5">
            <w:pPr>
              <w:jc w:val="center"/>
              <w:rPr>
                <w:sz w:val="20"/>
                <w:szCs w:val="20"/>
              </w:rPr>
            </w:pPr>
            <w:r w:rsidRPr="00A62FE5">
              <w:rPr>
                <w:b/>
                <w:color w:val="000000"/>
                <w:sz w:val="20"/>
                <w:szCs w:val="20"/>
              </w:rPr>
              <w:t>%</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077E2D" w14:textId="77777777" w:rsidR="00A62FE5" w:rsidRPr="00A62FE5" w:rsidRDefault="00A62FE5" w:rsidP="00A62FE5">
            <w:pPr>
              <w:jc w:val="center"/>
              <w:rPr>
                <w:sz w:val="20"/>
                <w:szCs w:val="20"/>
              </w:rPr>
            </w:pPr>
            <w:r w:rsidRPr="00A62FE5">
              <w:rPr>
                <w:b/>
                <w:color w:val="000000"/>
                <w:sz w:val="20"/>
                <w:szCs w:val="20"/>
              </w:rPr>
              <w:t>$</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80696D" w14:textId="77777777" w:rsidR="00A62FE5" w:rsidRPr="00A62FE5" w:rsidRDefault="00A62FE5" w:rsidP="00A62FE5">
            <w:pPr>
              <w:jc w:val="center"/>
              <w:rPr>
                <w:sz w:val="20"/>
                <w:szCs w:val="20"/>
              </w:rPr>
            </w:pPr>
            <w:r w:rsidRPr="00A62FE5">
              <w:rPr>
                <w:b/>
                <w:color w:val="000000"/>
                <w:sz w:val="20"/>
                <w:szCs w:val="20"/>
              </w:rPr>
              <w:t>%</w:t>
            </w:r>
          </w:p>
        </w:tc>
        <w:tc>
          <w:tcPr>
            <w:tcW w:w="1008" w:type="dxa"/>
            <w:tcBorders>
              <w:left w:val="single" w:sz="7" w:space="0" w:color="000000"/>
              <w:bottom w:val="single" w:sz="7" w:space="0" w:color="000000"/>
              <w:right w:val="single" w:sz="7" w:space="0" w:color="000000"/>
            </w:tcBorders>
            <w:tcMar>
              <w:top w:w="0" w:type="dxa"/>
              <w:left w:w="39" w:type="dxa"/>
              <w:bottom w:w="39" w:type="dxa"/>
              <w:right w:w="39" w:type="dxa"/>
            </w:tcMar>
          </w:tcPr>
          <w:p w14:paraId="735955B5" w14:textId="77777777" w:rsidR="00A62FE5" w:rsidRPr="00A62FE5" w:rsidRDefault="00A62FE5" w:rsidP="00A62FE5">
            <w:pPr>
              <w:jc w:val="center"/>
              <w:rPr>
                <w:sz w:val="20"/>
                <w:szCs w:val="20"/>
              </w:rPr>
            </w:pPr>
            <w:r w:rsidRPr="00A62FE5">
              <w:rPr>
                <w:b/>
                <w:color w:val="000000"/>
                <w:sz w:val="20"/>
                <w:szCs w:val="20"/>
              </w:rPr>
              <w:t>$(000s)</w:t>
            </w:r>
          </w:p>
        </w:tc>
      </w:tr>
      <w:tr w:rsidR="00A62FE5" w:rsidRPr="00A62FE5" w14:paraId="6230054C" w14:textId="77777777" w:rsidTr="000B14FC">
        <w:trPr>
          <w:trHeight w:val="210"/>
        </w:trPr>
        <w:tc>
          <w:tcPr>
            <w:tcW w:w="21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8B9107" w14:textId="77777777" w:rsidR="00A62FE5" w:rsidRPr="00A62FE5" w:rsidRDefault="00A62FE5" w:rsidP="00A62FE5">
            <w:pPr>
              <w:rPr>
                <w:sz w:val="20"/>
                <w:szCs w:val="20"/>
              </w:rPr>
            </w:pPr>
            <w:r w:rsidRPr="00A62FE5">
              <w:rPr>
                <w:color w:val="000000"/>
                <w:sz w:val="20"/>
                <w:szCs w:val="20"/>
              </w:rPr>
              <w:t>Home Mortgage</w:t>
            </w:r>
          </w:p>
        </w:tc>
        <w:tc>
          <w:tcPr>
            <w:tcW w:w="8924"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47951A" w14:textId="77777777" w:rsidR="00A62FE5" w:rsidRPr="00A62FE5" w:rsidRDefault="00A62FE5" w:rsidP="00A62FE5">
            <w:pPr>
              <w:rPr>
                <w:sz w:val="20"/>
                <w:szCs w:val="20"/>
              </w:rPr>
            </w:pPr>
          </w:p>
        </w:tc>
      </w:tr>
      <w:tr w:rsidR="00A62FE5" w:rsidRPr="00A62FE5" w14:paraId="213F415E" w14:textId="77777777" w:rsidTr="000B14FC">
        <w:trPr>
          <w:trHeight w:val="181"/>
        </w:trPr>
        <w:tc>
          <w:tcPr>
            <w:tcW w:w="21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7482261" w14:textId="77777777" w:rsidR="00A62FE5" w:rsidRPr="00A62FE5" w:rsidRDefault="00A62FE5" w:rsidP="00A62FE5">
            <w:pPr>
              <w:jc w:val="right"/>
              <w:rPr>
                <w:sz w:val="20"/>
                <w:szCs w:val="20"/>
              </w:rPr>
            </w:pPr>
            <w:r w:rsidRPr="00A62FE5">
              <w:rPr>
                <w:color w:val="000000"/>
                <w:sz w:val="20"/>
                <w:szCs w:val="20"/>
              </w:rPr>
              <w:t>2017</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BC10C" w14:textId="77777777" w:rsidR="00A62FE5" w:rsidRPr="00A62FE5" w:rsidRDefault="00A62FE5" w:rsidP="00A62FE5">
            <w:pPr>
              <w:jc w:val="center"/>
              <w:rPr>
                <w:sz w:val="20"/>
                <w:szCs w:val="20"/>
              </w:rPr>
            </w:pPr>
            <w:r w:rsidRPr="00A62FE5">
              <w:rPr>
                <w:color w:val="000000"/>
                <w:sz w:val="20"/>
                <w:szCs w:val="20"/>
              </w:rPr>
              <w:t>347</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09D315" w14:textId="77777777" w:rsidR="00A62FE5" w:rsidRPr="00A62FE5" w:rsidRDefault="00A62FE5" w:rsidP="00A62FE5">
            <w:pPr>
              <w:jc w:val="center"/>
              <w:rPr>
                <w:sz w:val="20"/>
                <w:szCs w:val="20"/>
              </w:rPr>
            </w:pPr>
            <w:r w:rsidRPr="00A62FE5">
              <w:rPr>
                <w:color w:val="000000"/>
                <w:sz w:val="20"/>
                <w:szCs w:val="20"/>
              </w:rPr>
              <w:t>68.8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3B1C8" w14:textId="77777777" w:rsidR="00A62FE5" w:rsidRPr="00A62FE5" w:rsidRDefault="00A62FE5" w:rsidP="00A62FE5">
            <w:pPr>
              <w:jc w:val="center"/>
              <w:rPr>
                <w:sz w:val="20"/>
                <w:szCs w:val="20"/>
              </w:rPr>
            </w:pPr>
            <w:r w:rsidRPr="00A62FE5">
              <w:rPr>
                <w:color w:val="000000"/>
                <w:sz w:val="20"/>
                <w:szCs w:val="20"/>
              </w:rPr>
              <w:t>157</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F827BD" w14:textId="77777777" w:rsidR="00A62FE5" w:rsidRPr="00A62FE5" w:rsidRDefault="00A62FE5" w:rsidP="00A62FE5">
            <w:pPr>
              <w:jc w:val="center"/>
              <w:rPr>
                <w:sz w:val="20"/>
                <w:szCs w:val="20"/>
              </w:rPr>
            </w:pPr>
            <w:r w:rsidRPr="00A62FE5">
              <w:rPr>
                <w:color w:val="000000"/>
                <w:sz w:val="20"/>
                <w:szCs w:val="20"/>
              </w:rPr>
              <w:t>31.2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194E96" w14:textId="77777777" w:rsidR="00A62FE5" w:rsidRPr="00A62FE5" w:rsidRDefault="00A62FE5" w:rsidP="00A62FE5">
            <w:pPr>
              <w:jc w:val="center"/>
              <w:rPr>
                <w:sz w:val="20"/>
                <w:szCs w:val="20"/>
              </w:rPr>
            </w:pPr>
            <w:r w:rsidRPr="00A62FE5">
              <w:rPr>
                <w:color w:val="000000"/>
                <w:sz w:val="20"/>
                <w:szCs w:val="20"/>
              </w:rPr>
              <w:t>504</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E88A8F" w14:textId="77777777" w:rsidR="00A62FE5" w:rsidRPr="00A62FE5" w:rsidRDefault="00A62FE5" w:rsidP="00A62FE5">
            <w:pPr>
              <w:jc w:val="center"/>
              <w:rPr>
                <w:sz w:val="20"/>
                <w:szCs w:val="20"/>
              </w:rPr>
            </w:pPr>
            <w:r w:rsidRPr="00A62FE5">
              <w:rPr>
                <w:color w:val="000000"/>
                <w:sz w:val="20"/>
                <w:szCs w:val="20"/>
              </w:rPr>
              <w:t>389,685</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88763" w14:textId="77777777" w:rsidR="00A62FE5" w:rsidRPr="00A62FE5" w:rsidRDefault="00A62FE5" w:rsidP="00A62FE5">
            <w:pPr>
              <w:jc w:val="center"/>
              <w:rPr>
                <w:sz w:val="20"/>
                <w:szCs w:val="20"/>
              </w:rPr>
            </w:pPr>
            <w:r w:rsidRPr="00A62FE5">
              <w:rPr>
                <w:color w:val="000000"/>
                <w:sz w:val="20"/>
                <w:szCs w:val="20"/>
              </w:rPr>
              <w:t>75.8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EA8F8" w14:textId="77777777" w:rsidR="00A62FE5" w:rsidRPr="00A62FE5" w:rsidRDefault="00A62FE5" w:rsidP="00A62FE5">
            <w:pPr>
              <w:jc w:val="center"/>
              <w:rPr>
                <w:sz w:val="20"/>
                <w:szCs w:val="20"/>
              </w:rPr>
            </w:pPr>
            <w:r w:rsidRPr="00A62FE5">
              <w:rPr>
                <w:color w:val="000000"/>
                <w:sz w:val="20"/>
                <w:szCs w:val="20"/>
              </w:rPr>
              <w:t>124,516</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5214A" w14:textId="77777777" w:rsidR="00A62FE5" w:rsidRPr="00A62FE5" w:rsidRDefault="00A62FE5" w:rsidP="00A62FE5">
            <w:pPr>
              <w:jc w:val="center"/>
              <w:rPr>
                <w:sz w:val="20"/>
                <w:szCs w:val="20"/>
              </w:rPr>
            </w:pPr>
            <w:r w:rsidRPr="00A62FE5">
              <w:rPr>
                <w:color w:val="000000"/>
                <w:sz w:val="20"/>
                <w:szCs w:val="20"/>
              </w:rPr>
              <w:t>24.2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ADCA4" w14:textId="77777777" w:rsidR="00A62FE5" w:rsidRPr="00A62FE5" w:rsidRDefault="00A62FE5" w:rsidP="00A62FE5">
            <w:pPr>
              <w:jc w:val="center"/>
              <w:rPr>
                <w:sz w:val="20"/>
                <w:szCs w:val="20"/>
              </w:rPr>
            </w:pPr>
            <w:r w:rsidRPr="00A62FE5">
              <w:rPr>
                <w:color w:val="000000"/>
                <w:sz w:val="20"/>
                <w:szCs w:val="20"/>
              </w:rPr>
              <w:t>514,201</w:t>
            </w:r>
          </w:p>
        </w:tc>
      </w:tr>
      <w:tr w:rsidR="00A62FE5" w:rsidRPr="00A62FE5" w14:paraId="3EEE2C86" w14:textId="77777777" w:rsidTr="000B14FC">
        <w:trPr>
          <w:trHeight w:val="181"/>
        </w:trPr>
        <w:tc>
          <w:tcPr>
            <w:tcW w:w="21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2BB790F" w14:textId="77777777" w:rsidR="00A62FE5" w:rsidRPr="00A62FE5" w:rsidRDefault="00A62FE5" w:rsidP="00A62FE5">
            <w:pPr>
              <w:jc w:val="right"/>
              <w:rPr>
                <w:sz w:val="20"/>
                <w:szCs w:val="20"/>
              </w:rPr>
            </w:pPr>
            <w:r w:rsidRPr="00A62FE5">
              <w:rPr>
                <w:color w:val="000000"/>
                <w:sz w:val="20"/>
                <w:szCs w:val="20"/>
              </w:rPr>
              <w:t>2018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1FF9FC" w14:textId="77777777" w:rsidR="00A62FE5" w:rsidRPr="00A62FE5" w:rsidRDefault="00A62FE5" w:rsidP="00A62FE5">
            <w:pPr>
              <w:jc w:val="center"/>
              <w:rPr>
                <w:sz w:val="20"/>
                <w:szCs w:val="20"/>
              </w:rPr>
            </w:pPr>
            <w:r w:rsidRPr="00A62FE5">
              <w:rPr>
                <w:color w:val="000000"/>
                <w:sz w:val="20"/>
                <w:szCs w:val="20"/>
              </w:rPr>
              <w:t>281</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6019B" w14:textId="77777777" w:rsidR="00A62FE5" w:rsidRPr="00A62FE5" w:rsidRDefault="00A62FE5" w:rsidP="00A62FE5">
            <w:pPr>
              <w:jc w:val="center"/>
              <w:rPr>
                <w:sz w:val="20"/>
                <w:szCs w:val="20"/>
              </w:rPr>
            </w:pPr>
            <w:r w:rsidRPr="00A62FE5">
              <w:rPr>
                <w:color w:val="000000"/>
                <w:sz w:val="20"/>
                <w:szCs w:val="20"/>
              </w:rPr>
              <w:t>68.9</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384E9B" w14:textId="77777777" w:rsidR="00A62FE5" w:rsidRPr="00A62FE5" w:rsidRDefault="00A62FE5" w:rsidP="00A62FE5">
            <w:pPr>
              <w:jc w:val="center"/>
              <w:rPr>
                <w:sz w:val="20"/>
                <w:szCs w:val="20"/>
              </w:rPr>
            </w:pPr>
            <w:r w:rsidRPr="00A62FE5">
              <w:rPr>
                <w:color w:val="000000"/>
                <w:sz w:val="20"/>
                <w:szCs w:val="20"/>
              </w:rPr>
              <w:t>127</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2C6C18" w14:textId="77777777" w:rsidR="00A62FE5" w:rsidRPr="00A62FE5" w:rsidRDefault="00A62FE5" w:rsidP="00A62FE5">
            <w:pPr>
              <w:jc w:val="center"/>
              <w:rPr>
                <w:sz w:val="20"/>
                <w:szCs w:val="20"/>
              </w:rPr>
            </w:pPr>
            <w:r w:rsidRPr="00A62FE5">
              <w:rPr>
                <w:color w:val="000000"/>
                <w:sz w:val="20"/>
                <w:szCs w:val="20"/>
              </w:rPr>
              <w:t>31.1</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3BC21D" w14:textId="77777777" w:rsidR="00A62FE5" w:rsidRPr="00A62FE5" w:rsidRDefault="00A62FE5" w:rsidP="00A62FE5">
            <w:pPr>
              <w:jc w:val="center"/>
              <w:rPr>
                <w:sz w:val="20"/>
                <w:szCs w:val="20"/>
              </w:rPr>
            </w:pPr>
            <w:r w:rsidRPr="00A62FE5">
              <w:rPr>
                <w:color w:val="000000"/>
                <w:sz w:val="20"/>
                <w:szCs w:val="20"/>
              </w:rPr>
              <w:t>408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2B3DE" w14:textId="77777777" w:rsidR="00A62FE5" w:rsidRPr="00A62FE5" w:rsidRDefault="00A62FE5" w:rsidP="00A62FE5">
            <w:pPr>
              <w:jc w:val="center"/>
              <w:rPr>
                <w:sz w:val="20"/>
                <w:szCs w:val="20"/>
              </w:rPr>
            </w:pPr>
            <w:r w:rsidRPr="00A62FE5">
              <w:rPr>
                <w:color w:val="000000"/>
                <w:sz w:val="20"/>
                <w:szCs w:val="20"/>
              </w:rPr>
              <w:t>290,635</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0B239D" w14:textId="77777777" w:rsidR="00A62FE5" w:rsidRPr="00A62FE5" w:rsidRDefault="00A62FE5" w:rsidP="00A62FE5">
            <w:pPr>
              <w:jc w:val="center"/>
              <w:rPr>
                <w:sz w:val="20"/>
                <w:szCs w:val="20"/>
              </w:rPr>
            </w:pPr>
            <w:r w:rsidRPr="00A62FE5">
              <w:rPr>
                <w:color w:val="000000"/>
                <w:sz w:val="20"/>
                <w:szCs w:val="20"/>
              </w:rPr>
              <w:t>55.8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22151" w14:textId="77777777" w:rsidR="00A62FE5" w:rsidRPr="00A62FE5" w:rsidRDefault="00A62FE5" w:rsidP="00A62FE5">
            <w:pPr>
              <w:jc w:val="center"/>
              <w:rPr>
                <w:sz w:val="20"/>
                <w:szCs w:val="20"/>
              </w:rPr>
            </w:pPr>
            <w:r w:rsidRPr="00A62FE5">
              <w:rPr>
                <w:color w:val="000000"/>
                <w:sz w:val="20"/>
                <w:szCs w:val="20"/>
              </w:rPr>
              <w:t>230,535</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4EDC1" w14:textId="77777777" w:rsidR="00A62FE5" w:rsidRPr="00A62FE5" w:rsidRDefault="00A62FE5" w:rsidP="00A62FE5">
            <w:pPr>
              <w:jc w:val="center"/>
              <w:rPr>
                <w:sz w:val="20"/>
                <w:szCs w:val="20"/>
              </w:rPr>
            </w:pPr>
            <w:r w:rsidRPr="00A62FE5">
              <w:rPr>
                <w:color w:val="000000"/>
                <w:sz w:val="20"/>
                <w:szCs w:val="20"/>
              </w:rPr>
              <w:t>44.2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41C9F8" w14:textId="77777777" w:rsidR="00A62FE5" w:rsidRPr="00A62FE5" w:rsidRDefault="00A62FE5" w:rsidP="00A62FE5">
            <w:pPr>
              <w:jc w:val="center"/>
              <w:rPr>
                <w:sz w:val="20"/>
                <w:szCs w:val="20"/>
              </w:rPr>
            </w:pPr>
            <w:r w:rsidRPr="00A62FE5">
              <w:rPr>
                <w:color w:val="000000"/>
                <w:sz w:val="20"/>
                <w:szCs w:val="20"/>
              </w:rPr>
              <w:t>521,169</w:t>
            </w:r>
          </w:p>
        </w:tc>
      </w:tr>
      <w:tr w:rsidR="00A62FE5" w:rsidRPr="00A62FE5" w14:paraId="1E15E52B" w14:textId="77777777" w:rsidTr="000B14FC">
        <w:trPr>
          <w:trHeight w:val="181"/>
        </w:trPr>
        <w:tc>
          <w:tcPr>
            <w:tcW w:w="21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22EED11" w14:textId="77777777" w:rsidR="00A62FE5" w:rsidRPr="00A62FE5" w:rsidRDefault="00A62FE5" w:rsidP="00A62FE5">
            <w:pPr>
              <w:jc w:val="right"/>
              <w:rPr>
                <w:sz w:val="20"/>
                <w:szCs w:val="20"/>
              </w:rPr>
            </w:pPr>
            <w:r w:rsidRPr="00A62FE5">
              <w:rPr>
                <w:color w:val="000000"/>
                <w:sz w:val="20"/>
                <w:szCs w:val="20"/>
              </w:rPr>
              <w:t>2019</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97D97" w14:textId="77777777" w:rsidR="00A62FE5" w:rsidRPr="00A62FE5" w:rsidRDefault="00A62FE5" w:rsidP="00A62FE5">
            <w:pPr>
              <w:jc w:val="center"/>
              <w:rPr>
                <w:sz w:val="20"/>
                <w:szCs w:val="20"/>
              </w:rPr>
            </w:pPr>
            <w:r w:rsidRPr="00A62FE5">
              <w:rPr>
                <w:color w:val="000000"/>
                <w:sz w:val="20"/>
                <w:szCs w:val="20"/>
              </w:rPr>
              <w:t>263</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63F095" w14:textId="77777777" w:rsidR="00A62FE5" w:rsidRPr="00A62FE5" w:rsidRDefault="00A62FE5" w:rsidP="00A62FE5">
            <w:pPr>
              <w:jc w:val="center"/>
              <w:rPr>
                <w:sz w:val="20"/>
                <w:szCs w:val="20"/>
              </w:rPr>
            </w:pPr>
            <w:r w:rsidRPr="00A62FE5">
              <w:rPr>
                <w:color w:val="000000"/>
                <w:sz w:val="20"/>
                <w:szCs w:val="20"/>
              </w:rPr>
              <w:t>67.4</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115F2C" w14:textId="77777777" w:rsidR="00A62FE5" w:rsidRPr="00A62FE5" w:rsidRDefault="00A62FE5" w:rsidP="00A62FE5">
            <w:pPr>
              <w:jc w:val="center"/>
              <w:rPr>
                <w:sz w:val="20"/>
                <w:szCs w:val="20"/>
              </w:rPr>
            </w:pPr>
            <w:r w:rsidRPr="00A62FE5">
              <w:rPr>
                <w:color w:val="000000"/>
                <w:sz w:val="20"/>
                <w:szCs w:val="20"/>
              </w:rPr>
              <w:t>127</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7CC2B3" w14:textId="77777777" w:rsidR="00A62FE5" w:rsidRPr="00A62FE5" w:rsidRDefault="00A62FE5" w:rsidP="00A62FE5">
            <w:pPr>
              <w:jc w:val="center"/>
              <w:rPr>
                <w:sz w:val="20"/>
                <w:szCs w:val="20"/>
              </w:rPr>
            </w:pPr>
            <w:r w:rsidRPr="00A62FE5">
              <w:rPr>
                <w:color w:val="000000"/>
                <w:sz w:val="20"/>
                <w:szCs w:val="20"/>
              </w:rPr>
              <w:t>32.6</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460AD8" w14:textId="77777777" w:rsidR="00A62FE5" w:rsidRPr="00A62FE5" w:rsidRDefault="00A62FE5" w:rsidP="00A62FE5">
            <w:pPr>
              <w:jc w:val="center"/>
              <w:rPr>
                <w:sz w:val="20"/>
                <w:szCs w:val="20"/>
              </w:rPr>
            </w:pPr>
            <w:r w:rsidRPr="00A62FE5">
              <w:rPr>
                <w:color w:val="000000"/>
                <w:sz w:val="20"/>
                <w:szCs w:val="20"/>
              </w:rPr>
              <w:t>390</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1AD4B1" w14:textId="77777777" w:rsidR="00A62FE5" w:rsidRPr="00A62FE5" w:rsidRDefault="00A62FE5" w:rsidP="00A62FE5">
            <w:pPr>
              <w:jc w:val="center"/>
              <w:rPr>
                <w:sz w:val="20"/>
                <w:szCs w:val="20"/>
              </w:rPr>
            </w:pPr>
            <w:r w:rsidRPr="00A62FE5">
              <w:rPr>
                <w:color w:val="000000"/>
                <w:sz w:val="20"/>
                <w:szCs w:val="20"/>
              </w:rPr>
              <w:t>277,641</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5E4413" w14:textId="77777777" w:rsidR="00A62FE5" w:rsidRPr="00A62FE5" w:rsidRDefault="00A62FE5" w:rsidP="00A62FE5">
            <w:pPr>
              <w:jc w:val="center"/>
              <w:rPr>
                <w:sz w:val="20"/>
                <w:szCs w:val="20"/>
              </w:rPr>
            </w:pPr>
            <w:r w:rsidRPr="00A62FE5">
              <w:rPr>
                <w:color w:val="000000"/>
                <w:sz w:val="20"/>
                <w:szCs w:val="20"/>
              </w:rPr>
              <w:t>69.6</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66421A" w14:textId="77777777" w:rsidR="00A62FE5" w:rsidRPr="00A62FE5" w:rsidRDefault="00A62FE5" w:rsidP="00A62FE5">
            <w:pPr>
              <w:jc w:val="center"/>
              <w:rPr>
                <w:sz w:val="20"/>
                <w:szCs w:val="20"/>
              </w:rPr>
            </w:pPr>
            <w:r w:rsidRPr="00A62FE5">
              <w:rPr>
                <w:color w:val="000000"/>
                <w:sz w:val="20"/>
                <w:szCs w:val="20"/>
              </w:rPr>
              <w:t>121,053</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02C652" w14:textId="77777777" w:rsidR="00A62FE5" w:rsidRPr="00A62FE5" w:rsidRDefault="00A62FE5" w:rsidP="00A62FE5">
            <w:pPr>
              <w:jc w:val="center"/>
              <w:rPr>
                <w:sz w:val="20"/>
                <w:szCs w:val="20"/>
              </w:rPr>
            </w:pPr>
            <w:r w:rsidRPr="00A62FE5">
              <w:rPr>
                <w:color w:val="000000"/>
                <w:sz w:val="20"/>
                <w:szCs w:val="20"/>
              </w:rPr>
              <w:t>30.4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7F20B0" w14:textId="77777777" w:rsidR="00A62FE5" w:rsidRPr="00A62FE5" w:rsidRDefault="00A62FE5" w:rsidP="00A62FE5">
            <w:pPr>
              <w:jc w:val="center"/>
              <w:rPr>
                <w:sz w:val="20"/>
                <w:szCs w:val="20"/>
              </w:rPr>
            </w:pPr>
            <w:r w:rsidRPr="00A62FE5">
              <w:rPr>
                <w:color w:val="000000"/>
                <w:sz w:val="20"/>
                <w:szCs w:val="20"/>
              </w:rPr>
              <w:t>398,695</w:t>
            </w:r>
          </w:p>
        </w:tc>
      </w:tr>
      <w:tr w:rsidR="00A62FE5" w:rsidRPr="00A62FE5" w14:paraId="0991597E" w14:textId="77777777" w:rsidTr="000B14FC">
        <w:trPr>
          <w:trHeight w:val="210"/>
        </w:trPr>
        <w:tc>
          <w:tcPr>
            <w:tcW w:w="21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9056562" w14:textId="77777777" w:rsidR="00A62FE5" w:rsidRPr="00A62FE5" w:rsidRDefault="00A62FE5" w:rsidP="00A62FE5">
            <w:pPr>
              <w:rPr>
                <w:sz w:val="20"/>
                <w:szCs w:val="20"/>
              </w:rPr>
            </w:pPr>
            <w:r w:rsidRPr="00A62FE5">
              <w:rPr>
                <w:b/>
                <w:color w:val="000000"/>
                <w:sz w:val="20"/>
                <w:szCs w:val="20"/>
              </w:rPr>
              <w:t>Subtotal</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F345E" w14:textId="77777777" w:rsidR="00A62FE5" w:rsidRPr="00A62FE5" w:rsidRDefault="00A62FE5" w:rsidP="00A62FE5">
            <w:pPr>
              <w:jc w:val="center"/>
              <w:rPr>
                <w:sz w:val="20"/>
                <w:szCs w:val="20"/>
              </w:rPr>
            </w:pPr>
            <w:r w:rsidRPr="00A62FE5">
              <w:rPr>
                <w:b/>
                <w:color w:val="000000"/>
                <w:sz w:val="20"/>
                <w:szCs w:val="20"/>
              </w:rPr>
              <w:t>891</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8FD33" w14:textId="77777777" w:rsidR="00A62FE5" w:rsidRPr="00A62FE5" w:rsidRDefault="00A62FE5" w:rsidP="00A62FE5">
            <w:pPr>
              <w:jc w:val="center"/>
              <w:rPr>
                <w:sz w:val="20"/>
                <w:szCs w:val="20"/>
              </w:rPr>
            </w:pPr>
            <w:r w:rsidRPr="00A62FE5">
              <w:rPr>
                <w:b/>
                <w:color w:val="000000"/>
                <w:sz w:val="20"/>
                <w:szCs w:val="20"/>
              </w:rPr>
              <w:t>68.4</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65B87" w14:textId="77777777" w:rsidR="00A62FE5" w:rsidRPr="00A62FE5" w:rsidRDefault="00A62FE5" w:rsidP="00A62FE5">
            <w:pPr>
              <w:jc w:val="center"/>
              <w:rPr>
                <w:sz w:val="20"/>
                <w:szCs w:val="20"/>
              </w:rPr>
            </w:pPr>
            <w:r w:rsidRPr="00A62FE5">
              <w:rPr>
                <w:b/>
                <w:color w:val="000000"/>
                <w:sz w:val="20"/>
                <w:szCs w:val="20"/>
              </w:rPr>
              <w:t>411</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22741" w14:textId="77777777" w:rsidR="00A62FE5" w:rsidRPr="00A62FE5" w:rsidRDefault="00A62FE5" w:rsidP="00A62FE5">
            <w:pPr>
              <w:jc w:val="center"/>
              <w:rPr>
                <w:sz w:val="20"/>
                <w:szCs w:val="20"/>
              </w:rPr>
            </w:pPr>
            <w:r w:rsidRPr="00A62FE5">
              <w:rPr>
                <w:b/>
                <w:color w:val="000000"/>
                <w:sz w:val="20"/>
                <w:szCs w:val="20"/>
              </w:rPr>
              <w:t>31.6</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48C0F4" w14:textId="77777777" w:rsidR="00A62FE5" w:rsidRPr="00A62FE5" w:rsidRDefault="00A62FE5" w:rsidP="00A62FE5">
            <w:pPr>
              <w:jc w:val="center"/>
              <w:rPr>
                <w:sz w:val="20"/>
                <w:szCs w:val="20"/>
              </w:rPr>
            </w:pPr>
            <w:r w:rsidRPr="00A62FE5">
              <w:rPr>
                <w:b/>
                <w:color w:val="000000"/>
                <w:sz w:val="20"/>
                <w:szCs w:val="20"/>
              </w:rPr>
              <w:t>1,302</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F3066" w14:textId="77777777" w:rsidR="00A62FE5" w:rsidRPr="00A62FE5" w:rsidRDefault="00A62FE5" w:rsidP="00A62FE5">
            <w:pPr>
              <w:jc w:val="center"/>
              <w:rPr>
                <w:sz w:val="20"/>
                <w:szCs w:val="20"/>
              </w:rPr>
            </w:pPr>
            <w:r w:rsidRPr="00A62FE5">
              <w:rPr>
                <w:b/>
                <w:color w:val="000000"/>
                <w:sz w:val="20"/>
                <w:szCs w:val="20"/>
              </w:rPr>
              <w:t>957,961</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09823" w14:textId="77777777" w:rsidR="00A62FE5" w:rsidRPr="00A62FE5" w:rsidRDefault="00A62FE5" w:rsidP="00A62FE5">
            <w:pPr>
              <w:jc w:val="center"/>
              <w:rPr>
                <w:sz w:val="20"/>
                <w:szCs w:val="20"/>
              </w:rPr>
            </w:pPr>
            <w:r w:rsidRPr="00A62FE5">
              <w:rPr>
                <w:b/>
                <w:color w:val="000000"/>
                <w:sz w:val="20"/>
                <w:szCs w:val="20"/>
              </w:rPr>
              <w:t>66.8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2963D1" w14:textId="77777777" w:rsidR="00A62FE5" w:rsidRPr="00A62FE5" w:rsidRDefault="00A62FE5" w:rsidP="00A62FE5">
            <w:pPr>
              <w:jc w:val="center"/>
              <w:rPr>
                <w:sz w:val="20"/>
                <w:szCs w:val="20"/>
              </w:rPr>
            </w:pPr>
            <w:r w:rsidRPr="00A62FE5">
              <w:rPr>
                <w:b/>
                <w:color w:val="000000"/>
                <w:sz w:val="20"/>
                <w:szCs w:val="20"/>
              </w:rPr>
              <w:t>476,104</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E6E805" w14:textId="77777777" w:rsidR="00A62FE5" w:rsidRPr="00A62FE5" w:rsidRDefault="00A62FE5" w:rsidP="00A62FE5">
            <w:pPr>
              <w:jc w:val="center"/>
              <w:rPr>
                <w:sz w:val="20"/>
                <w:szCs w:val="20"/>
              </w:rPr>
            </w:pPr>
            <w:r w:rsidRPr="00A62FE5">
              <w:rPr>
                <w:b/>
                <w:color w:val="000000"/>
                <w:sz w:val="20"/>
                <w:szCs w:val="20"/>
              </w:rPr>
              <w:t>33.2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FF044" w14:textId="77777777" w:rsidR="00A62FE5" w:rsidRPr="00A62FE5" w:rsidRDefault="00A62FE5" w:rsidP="00A62FE5">
            <w:pPr>
              <w:jc w:val="center"/>
              <w:rPr>
                <w:sz w:val="20"/>
                <w:szCs w:val="20"/>
              </w:rPr>
            </w:pPr>
            <w:r w:rsidRPr="00A62FE5">
              <w:rPr>
                <w:b/>
                <w:color w:val="000000"/>
                <w:sz w:val="20"/>
                <w:szCs w:val="20"/>
              </w:rPr>
              <w:t>1,434,065</w:t>
            </w:r>
          </w:p>
        </w:tc>
      </w:tr>
      <w:tr w:rsidR="00A62FE5" w:rsidRPr="00A62FE5" w14:paraId="126E5C10" w14:textId="77777777" w:rsidTr="000B14FC">
        <w:trPr>
          <w:trHeight w:val="210"/>
        </w:trPr>
        <w:tc>
          <w:tcPr>
            <w:tcW w:w="21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822E2C2" w14:textId="77777777" w:rsidR="00A62FE5" w:rsidRPr="00A62FE5" w:rsidRDefault="00A62FE5" w:rsidP="00A62FE5">
            <w:pPr>
              <w:rPr>
                <w:sz w:val="20"/>
                <w:szCs w:val="20"/>
              </w:rPr>
            </w:pPr>
            <w:r w:rsidRPr="00A62FE5">
              <w:rPr>
                <w:color w:val="000000"/>
                <w:sz w:val="20"/>
                <w:szCs w:val="20"/>
              </w:rPr>
              <w:t>Small Business</w:t>
            </w:r>
          </w:p>
        </w:tc>
        <w:tc>
          <w:tcPr>
            <w:tcW w:w="8924" w:type="dxa"/>
            <w:gridSpan w:val="10"/>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61F7DA" w14:textId="77777777" w:rsidR="00A62FE5" w:rsidRPr="00A62FE5" w:rsidRDefault="00A62FE5" w:rsidP="00A62FE5">
            <w:pPr>
              <w:rPr>
                <w:sz w:val="20"/>
                <w:szCs w:val="20"/>
              </w:rPr>
            </w:pPr>
          </w:p>
        </w:tc>
      </w:tr>
      <w:tr w:rsidR="00A62FE5" w:rsidRPr="00A62FE5" w14:paraId="059C28A4" w14:textId="77777777" w:rsidTr="000B14FC">
        <w:trPr>
          <w:trHeight w:val="181"/>
        </w:trPr>
        <w:tc>
          <w:tcPr>
            <w:tcW w:w="21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ECE7A93" w14:textId="77777777" w:rsidR="00A62FE5" w:rsidRPr="00A62FE5" w:rsidRDefault="00A62FE5" w:rsidP="00A62FE5">
            <w:pPr>
              <w:jc w:val="right"/>
              <w:rPr>
                <w:sz w:val="20"/>
                <w:szCs w:val="20"/>
              </w:rPr>
            </w:pPr>
            <w:r w:rsidRPr="00A62FE5">
              <w:rPr>
                <w:color w:val="000000"/>
                <w:sz w:val="20"/>
                <w:szCs w:val="20"/>
              </w:rPr>
              <w:t>2017</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412C0C" w14:textId="77777777" w:rsidR="00A62FE5" w:rsidRPr="00A62FE5" w:rsidRDefault="00A62FE5" w:rsidP="00A62FE5">
            <w:pPr>
              <w:jc w:val="center"/>
              <w:rPr>
                <w:sz w:val="20"/>
                <w:szCs w:val="20"/>
              </w:rPr>
            </w:pPr>
            <w:r w:rsidRPr="00A62FE5">
              <w:rPr>
                <w:color w:val="000000"/>
                <w:sz w:val="20"/>
                <w:szCs w:val="20"/>
              </w:rPr>
              <w:t>65</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43AF9C" w14:textId="77777777" w:rsidR="00A62FE5" w:rsidRPr="00A62FE5" w:rsidRDefault="00A62FE5" w:rsidP="00A62FE5">
            <w:pPr>
              <w:jc w:val="center"/>
              <w:rPr>
                <w:sz w:val="20"/>
                <w:szCs w:val="20"/>
              </w:rPr>
            </w:pPr>
            <w:r w:rsidRPr="00A62FE5">
              <w:rPr>
                <w:color w:val="000000"/>
                <w:sz w:val="20"/>
                <w:szCs w:val="20"/>
              </w:rPr>
              <w:t>63.1</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B4D90E" w14:textId="77777777" w:rsidR="00A62FE5" w:rsidRPr="00A62FE5" w:rsidRDefault="00A62FE5" w:rsidP="00A62FE5">
            <w:pPr>
              <w:jc w:val="center"/>
              <w:rPr>
                <w:sz w:val="20"/>
                <w:szCs w:val="20"/>
              </w:rPr>
            </w:pPr>
            <w:r w:rsidRPr="00A62FE5">
              <w:rPr>
                <w:color w:val="000000"/>
                <w:sz w:val="20"/>
                <w:szCs w:val="20"/>
              </w:rPr>
              <w:t>38</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79858" w14:textId="77777777" w:rsidR="00A62FE5" w:rsidRPr="00A62FE5" w:rsidRDefault="00A62FE5" w:rsidP="00A62FE5">
            <w:pPr>
              <w:jc w:val="center"/>
              <w:rPr>
                <w:sz w:val="20"/>
                <w:szCs w:val="20"/>
              </w:rPr>
            </w:pPr>
            <w:r w:rsidRPr="00A62FE5">
              <w:rPr>
                <w:color w:val="000000"/>
                <w:sz w:val="20"/>
                <w:szCs w:val="20"/>
              </w:rPr>
              <w:t>36.9</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9C52E4" w14:textId="77777777" w:rsidR="00A62FE5" w:rsidRPr="00A62FE5" w:rsidRDefault="00A62FE5" w:rsidP="00A62FE5">
            <w:pPr>
              <w:jc w:val="center"/>
              <w:rPr>
                <w:sz w:val="20"/>
                <w:szCs w:val="20"/>
              </w:rPr>
            </w:pPr>
            <w:r w:rsidRPr="00A62FE5">
              <w:rPr>
                <w:color w:val="000000"/>
                <w:sz w:val="20"/>
                <w:szCs w:val="20"/>
              </w:rPr>
              <w:t>103</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24D677" w14:textId="77777777" w:rsidR="00A62FE5" w:rsidRPr="00A62FE5" w:rsidRDefault="00A62FE5" w:rsidP="00A62FE5">
            <w:pPr>
              <w:jc w:val="center"/>
              <w:rPr>
                <w:sz w:val="20"/>
                <w:szCs w:val="20"/>
              </w:rPr>
            </w:pPr>
            <w:r w:rsidRPr="00A62FE5">
              <w:rPr>
                <w:color w:val="000000"/>
                <w:sz w:val="20"/>
                <w:szCs w:val="20"/>
              </w:rPr>
              <w:t>24,056</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43A57" w14:textId="77777777" w:rsidR="00A62FE5" w:rsidRPr="00A62FE5" w:rsidRDefault="00A62FE5" w:rsidP="00A62FE5">
            <w:pPr>
              <w:jc w:val="center"/>
              <w:rPr>
                <w:sz w:val="20"/>
                <w:szCs w:val="20"/>
              </w:rPr>
            </w:pPr>
            <w:r w:rsidRPr="00A62FE5">
              <w:rPr>
                <w:color w:val="000000"/>
                <w:sz w:val="20"/>
                <w:szCs w:val="20"/>
              </w:rPr>
              <w:t>62.5</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7F14C4" w14:textId="77777777" w:rsidR="00A62FE5" w:rsidRPr="00A62FE5" w:rsidRDefault="00A62FE5" w:rsidP="00A62FE5">
            <w:pPr>
              <w:jc w:val="center"/>
              <w:rPr>
                <w:sz w:val="20"/>
                <w:szCs w:val="20"/>
              </w:rPr>
            </w:pPr>
            <w:r w:rsidRPr="00A62FE5">
              <w:rPr>
                <w:color w:val="000000"/>
                <w:sz w:val="20"/>
                <w:szCs w:val="20"/>
              </w:rPr>
              <w:t>14,406</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4C7DA4" w14:textId="77777777" w:rsidR="00A62FE5" w:rsidRPr="00A62FE5" w:rsidRDefault="00A62FE5" w:rsidP="00A62FE5">
            <w:pPr>
              <w:jc w:val="center"/>
              <w:rPr>
                <w:sz w:val="20"/>
                <w:szCs w:val="20"/>
              </w:rPr>
            </w:pPr>
            <w:r w:rsidRPr="00A62FE5">
              <w:rPr>
                <w:color w:val="000000"/>
                <w:sz w:val="20"/>
                <w:szCs w:val="20"/>
              </w:rPr>
              <w:t>37.5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CDFA2" w14:textId="77777777" w:rsidR="00A62FE5" w:rsidRPr="00A62FE5" w:rsidRDefault="00A62FE5" w:rsidP="00A62FE5">
            <w:pPr>
              <w:jc w:val="center"/>
              <w:rPr>
                <w:sz w:val="20"/>
                <w:szCs w:val="20"/>
              </w:rPr>
            </w:pPr>
            <w:r w:rsidRPr="00A62FE5">
              <w:rPr>
                <w:color w:val="000000"/>
                <w:sz w:val="20"/>
                <w:szCs w:val="20"/>
              </w:rPr>
              <w:t>38,462</w:t>
            </w:r>
          </w:p>
        </w:tc>
      </w:tr>
      <w:tr w:rsidR="00A62FE5" w:rsidRPr="00A62FE5" w14:paraId="0CCCF04C" w14:textId="77777777" w:rsidTr="000B14FC">
        <w:trPr>
          <w:trHeight w:val="181"/>
        </w:trPr>
        <w:tc>
          <w:tcPr>
            <w:tcW w:w="21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2CFC670" w14:textId="77777777" w:rsidR="00A62FE5" w:rsidRPr="00A62FE5" w:rsidRDefault="00A62FE5" w:rsidP="00A62FE5">
            <w:pPr>
              <w:jc w:val="right"/>
              <w:rPr>
                <w:sz w:val="20"/>
                <w:szCs w:val="20"/>
              </w:rPr>
            </w:pPr>
            <w:r w:rsidRPr="00A62FE5">
              <w:rPr>
                <w:color w:val="000000"/>
                <w:sz w:val="20"/>
                <w:szCs w:val="20"/>
              </w:rPr>
              <w:t>2018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FC8CA2" w14:textId="77777777" w:rsidR="00A62FE5" w:rsidRPr="00A62FE5" w:rsidRDefault="00A62FE5" w:rsidP="00A62FE5">
            <w:pPr>
              <w:jc w:val="center"/>
              <w:rPr>
                <w:sz w:val="20"/>
                <w:szCs w:val="20"/>
              </w:rPr>
            </w:pPr>
            <w:r w:rsidRPr="00A62FE5">
              <w:rPr>
                <w:color w:val="000000"/>
                <w:sz w:val="20"/>
                <w:szCs w:val="20"/>
              </w:rPr>
              <w:t>68</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ABE370" w14:textId="77777777" w:rsidR="00A62FE5" w:rsidRPr="00A62FE5" w:rsidRDefault="00A62FE5" w:rsidP="00A62FE5">
            <w:pPr>
              <w:jc w:val="center"/>
              <w:rPr>
                <w:sz w:val="20"/>
                <w:szCs w:val="20"/>
              </w:rPr>
            </w:pPr>
            <w:r w:rsidRPr="00A62FE5">
              <w:rPr>
                <w:color w:val="000000"/>
                <w:sz w:val="20"/>
                <w:szCs w:val="20"/>
              </w:rPr>
              <w:t>61.3</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412F8F" w14:textId="77777777" w:rsidR="00A62FE5" w:rsidRPr="00A62FE5" w:rsidRDefault="00A62FE5" w:rsidP="00A62FE5">
            <w:pPr>
              <w:jc w:val="center"/>
              <w:rPr>
                <w:sz w:val="20"/>
                <w:szCs w:val="20"/>
              </w:rPr>
            </w:pPr>
            <w:r w:rsidRPr="00A62FE5">
              <w:rPr>
                <w:color w:val="000000"/>
                <w:sz w:val="20"/>
                <w:szCs w:val="20"/>
              </w:rPr>
              <w:t>43</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CA3BC5" w14:textId="77777777" w:rsidR="00A62FE5" w:rsidRPr="00A62FE5" w:rsidRDefault="00A62FE5" w:rsidP="00A62FE5">
            <w:pPr>
              <w:jc w:val="center"/>
              <w:rPr>
                <w:sz w:val="20"/>
                <w:szCs w:val="20"/>
              </w:rPr>
            </w:pPr>
            <w:r w:rsidRPr="00A62FE5">
              <w:rPr>
                <w:color w:val="000000"/>
                <w:sz w:val="20"/>
                <w:szCs w:val="20"/>
              </w:rPr>
              <w:t>38.7</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3BE98" w14:textId="77777777" w:rsidR="00A62FE5" w:rsidRPr="00A62FE5" w:rsidRDefault="00A62FE5" w:rsidP="00A62FE5">
            <w:pPr>
              <w:jc w:val="center"/>
              <w:rPr>
                <w:sz w:val="20"/>
                <w:szCs w:val="20"/>
              </w:rPr>
            </w:pPr>
            <w:r w:rsidRPr="00A62FE5">
              <w:rPr>
                <w:color w:val="000000"/>
                <w:sz w:val="20"/>
                <w:szCs w:val="20"/>
              </w:rPr>
              <w:t>111</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93B8BD" w14:textId="77777777" w:rsidR="00A62FE5" w:rsidRPr="00A62FE5" w:rsidRDefault="00A62FE5" w:rsidP="00A62FE5">
            <w:pPr>
              <w:jc w:val="center"/>
              <w:rPr>
                <w:sz w:val="20"/>
                <w:szCs w:val="20"/>
              </w:rPr>
            </w:pPr>
            <w:r w:rsidRPr="00A62FE5">
              <w:rPr>
                <w:color w:val="000000"/>
                <w:sz w:val="20"/>
                <w:szCs w:val="20"/>
              </w:rPr>
              <w:t>24,873</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31D99" w14:textId="77777777" w:rsidR="00A62FE5" w:rsidRPr="00A62FE5" w:rsidRDefault="00A62FE5" w:rsidP="00A62FE5">
            <w:pPr>
              <w:jc w:val="center"/>
              <w:rPr>
                <w:sz w:val="20"/>
                <w:szCs w:val="20"/>
              </w:rPr>
            </w:pPr>
            <w:r w:rsidRPr="00A62FE5">
              <w:rPr>
                <w:color w:val="000000"/>
                <w:sz w:val="20"/>
                <w:szCs w:val="20"/>
              </w:rPr>
              <w:t>57.8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336900" w14:textId="77777777" w:rsidR="00A62FE5" w:rsidRPr="00A62FE5" w:rsidRDefault="00A62FE5" w:rsidP="00A62FE5">
            <w:pPr>
              <w:jc w:val="center"/>
              <w:rPr>
                <w:sz w:val="20"/>
                <w:szCs w:val="20"/>
              </w:rPr>
            </w:pPr>
            <w:r w:rsidRPr="00A62FE5">
              <w:rPr>
                <w:color w:val="000000"/>
                <w:sz w:val="20"/>
                <w:szCs w:val="20"/>
              </w:rPr>
              <w:t>18,172</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4FE67C" w14:textId="77777777" w:rsidR="00A62FE5" w:rsidRPr="00A62FE5" w:rsidRDefault="00A62FE5" w:rsidP="00A62FE5">
            <w:pPr>
              <w:jc w:val="center"/>
              <w:rPr>
                <w:sz w:val="20"/>
                <w:szCs w:val="20"/>
              </w:rPr>
            </w:pPr>
            <w:r w:rsidRPr="00A62FE5">
              <w:rPr>
                <w:color w:val="000000"/>
                <w:sz w:val="20"/>
                <w:szCs w:val="20"/>
              </w:rPr>
              <w:t>42.2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4A19CF" w14:textId="77777777" w:rsidR="00A62FE5" w:rsidRPr="00A62FE5" w:rsidRDefault="00A62FE5" w:rsidP="00A62FE5">
            <w:pPr>
              <w:jc w:val="center"/>
              <w:rPr>
                <w:sz w:val="20"/>
                <w:szCs w:val="20"/>
              </w:rPr>
            </w:pPr>
            <w:r w:rsidRPr="00A62FE5">
              <w:rPr>
                <w:color w:val="000000"/>
                <w:sz w:val="20"/>
                <w:szCs w:val="20"/>
              </w:rPr>
              <w:t>43,045</w:t>
            </w:r>
          </w:p>
        </w:tc>
      </w:tr>
      <w:tr w:rsidR="00A62FE5" w:rsidRPr="00A62FE5" w14:paraId="6C4CB31F" w14:textId="77777777" w:rsidTr="000B14FC">
        <w:trPr>
          <w:trHeight w:val="181"/>
        </w:trPr>
        <w:tc>
          <w:tcPr>
            <w:tcW w:w="2159"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D2B3BC6" w14:textId="77777777" w:rsidR="00A62FE5" w:rsidRPr="00A62FE5" w:rsidRDefault="00A62FE5" w:rsidP="00A62FE5">
            <w:pPr>
              <w:jc w:val="right"/>
              <w:rPr>
                <w:sz w:val="20"/>
                <w:szCs w:val="20"/>
              </w:rPr>
            </w:pPr>
            <w:r w:rsidRPr="00A62FE5">
              <w:rPr>
                <w:color w:val="000000"/>
                <w:sz w:val="20"/>
                <w:szCs w:val="20"/>
              </w:rPr>
              <w:t>2019</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0DC31" w14:textId="77777777" w:rsidR="00A62FE5" w:rsidRPr="00A62FE5" w:rsidRDefault="00A62FE5" w:rsidP="00A62FE5">
            <w:pPr>
              <w:jc w:val="center"/>
              <w:rPr>
                <w:sz w:val="20"/>
                <w:szCs w:val="20"/>
              </w:rPr>
            </w:pPr>
            <w:r w:rsidRPr="00A62FE5">
              <w:rPr>
                <w:color w:val="000000"/>
                <w:sz w:val="20"/>
                <w:szCs w:val="20"/>
              </w:rPr>
              <w:t>51</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2C25A9" w14:textId="77777777" w:rsidR="00A62FE5" w:rsidRPr="00A62FE5" w:rsidRDefault="00A62FE5" w:rsidP="00A62FE5">
            <w:pPr>
              <w:jc w:val="center"/>
              <w:rPr>
                <w:sz w:val="20"/>
                <w:szCs w:val="20"/>
              </w:rPr>
            </w:pPr>
            <w:r w:rsidRPr="00A62FE5">
              <w:rPr>
                <w:color w:val="000000"/>
                <w:sz w:val="20"/>
                <w:szCs w:val="20"/>
              </w:rPr>
              <w:t>68.0</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AD8090" w14:textId="77777777" w:rsidR="00A62FE5" w:rsidRPr="00A62FE5" w:rsidRDefault="00A62FE5" w:rsidP="00A62FE5">
            <w:pPr>
              <w:jc w:val="center"/>
              <w:rPr>
                <w:sz w:val="20"/>
                <w:szCs w:val="20"/>
              </w:rPr>
            </w:pPr>
            <w:r w:rsidRPr="00A62FE5">
              <w:rPr>
                <w:color w:val="000000"/>
                <w:sz w:val="20"/>
                <w:szCs w:val="20"/>
              </w:rPr>
              <w:t>24</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9E8AE" w14:textId="77777777" w:rsidR="00A62FE5" w:rsidRPr="00A62FE5" w:rsidRDefault="00A62FE5" w:rsidP="00A62FE5">
            <w:pPr>
              <w:jc w:val="center"/>
              <w:rPr>
                <w:sz w:val="20"/>
                <w:szCs w:val="20"/>
              </w:rPr>
            </w:pPr>
            <w:r w:rsidRPr="00A62FE5">
              <w:rPr>
                <w:color w:val="000000"/>
                <w:sz w:val="20"/>
                <w:szCs w:val="20"/>
              </w:rPr>
              <w:t>32.0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D04949" w14:textId="77777777" w:rsidR="00A62FE5" w:rsidRPr="00A62FE5" w:rsidRDefault="00A62FE5" w:rsidP="00A62FE5">
            <w:pPr>
              <w:jc w:val="center"/>
              <w:rPr>
                <w:sz w:val="20"/>
                <w:szCs w:val="20"/>
              </w:rPr>
            </w:pPr>
            <w:r w:rsidRPr="00A62FE5">
              <w:rPr>
                <w:color w:val="000000"/>
                <w:sz w:val="20"/>
                <w:szCs w:val="20"/>
              </w:rPr>
              <w:t>75</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98228E" w14:textId="77777777" w:rsidR="00A62FE5" w:rsidRPr="00A62FE5" w:rsidRDefault="00A62FE5" w:rsidP="00A62FE5">
            <w:pPr>
              <w:jc w:val="center"/>
              <w:rPr>
                <w:sz w:val="20"/>
                <w:szCs w:val="20"/>
              </w:rPr>
            </w:pPr>
            <w:r w:rsidRPr="00A62FE5">
              <w:rPr>
                <w:color w:val="000000"/>
                <w:sz w:val="20"/>
                <w:szCs w:val="20"/>
              </w:rPr>
              <w:t>18,818</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25B6E" w14:textId="77777777" w:rsidR="00A62FE5" w:rsidRPr="00A62FE5" w:rsidRDefault="00A62FE5" w:rsidP="00A62FE5">
            <w:pPr>
              <w:jc w:val="center"/>
              <w:rPr>
                <w:sz w:val="20"/>
                <w:szCs w:val="20"/>
              </w:rPr>
            </w:pPr>
            <w:r w:rsidRPr="00A62FE5">
              <w:rPr>
                <w:color w:val="000000"/>
                <w:sz w:val="20"/>
                <w:szCs w:val="20"/>
              </w:rPr>
              <w:t>67.8</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A6D7E" w14:textId="77777777" w:rsidR="00A62FE5" w:rsidRPr="00A62FE5" w:rsidRDefault="00A62FE5" w:rsidP="00A62FE5">
            <w:pPr>
              <w:jc w:val="center"/>
              <w:rPr>
                <w:sz w:val="20"/>
                <w:szCs w:val="20"/>
              </w:rPr>
            </w:pPr>
            <w:r w:rsidRPr="00A62FE5">
              <w:rPr>
                <w:color w:val="000000"/>
                <w:sz w:val="20"/>
                <w:szCs w:val="20"/>
              </w:rPr>
              <w:t>8,940</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74F26" w14:textId="77777777" w:rsidR="00A62FE5" w:rsidRPr="00A62FE5" w:rsidRDefault="00A62FE5" w:rsidP="00A62FE5">
            <w:pPr>
              <w:jc w:val="center"/>
              <w:rPr>
                <w:sz w:val="20"/>
                <w:szCs w:val="20"/>
              </w:rPr>
            </w:pPr>
            <w:r w:rsidRPr="00A62FE5">
              <w:rPr>
                <w:color w:val="000000"/>
                <w:sz w:val="20"/>
                <w:szCs w:val="20"/>
              </w:rPr>
              <w:t>32.2</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40625" w14:textId="77777777" w:rsidR="00A62FE5" w:rsidRPr="00A62FE5" w:rsidRDefault="00A62FE5" w:rsidP="00A62FE5">
            <w:pPr>
              <w:jc w:val="center"/>
              <w:rPr>
                <w:sz w:val="20"/>
                <w:szCs w:val="20"/>
              </w:rPr>
            </w:pPr>
            <w:r w:rsidRPr="00A62FE5">
              <w:rPr>
                <w:color w:val="000000"/>
                <w:sz w:val="20"/>
                <w:szCs w:val="20"/>
              </w:rPr>
              <w:t>27,758</w:t>
            </w:r>
          </w:p>
        </w:tc>
      </w:tr>
      <w:tr w:rsidR="00A62FE5" w:rsidRPr="00A62FE5" w14:paraId="2F634139" w14:textId="77777777" w:rsidTr="000B14FC">
        <w:trPr>
          <w:trHeight w:val="210"/>
        </w:trPr>
        <w:tc>
          <w:tcPr>
            <w:tcW w:w="21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580ABDD" w14:textId="77777777" w:rsidR="00A62FE5" w:rsidRPr="00A62FE5" w:rsidRDefault="00A62FE5" w:rsidP="00A62FE5">
            <w:pPr>
              <w:rPr>
                <w:sz w:val="20"/>
                <w:szCs w:val="20"/>
              </w:rPr>
            </w:pPr>
            <w:r w:rsidRPr="00A62FE5">
              <w:rPr>
                <w:b/>
                <w:color w:val="000000"/>
                <w:sz w:val="20"/>
                <w:szCs w:val="20"/>
              </w:rPr>
              <w:t>Subtotal</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4E2403" w14:textId="77777777" w:rsidR="00A62FE5" w:rsidRPr="00A62FE5" w:rsidRDefault="00A62FE5" w:rsidP="00A62FE5">
            <w:pPr>
              <w:jc w:val="center"/>
              <w:rPr>
                <w:sz w:val="20"/>
                <w:szCs w:val="20"/>
              </w:rPr>
            </w:pPr>
            <w:r w:rsidRPr="00A62FE5">
              <w:rPr>
                <w:b/>
                <w:color w:val="000000"/>
                <w:sz w:val="20"/>
                <w:szCs w:val="20"/>
              </w:rPr>
              <w:t>184</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C8620F" w14:textId="77777777" w:rsidR="00A62FE5" w:rsidRPr="00A62FE5" w:rsidRDefault="00A62FE5" w:rsidP="00A62FE5">
            <w:pPr>
              <w:jc w:val="center"/>
              <w:rPr>
                <w:sz w:val="20"/>
                <w:szCs w:val="20"/>
              </w:rPr>
            </w:pPr>
            <w:r w:rsidRPr="00A62FE5">
              <w:rPr>
                <w:b/>
                <w:color w:val="000000"/>
                <w:sz w:val="20"/>
                <w:szCs w:val="20"/>
              </w:rPr>
              <w:t>63.7</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667A32" w14:textId="77777777" w:rsidR="00A62FE5" w:rsidRPr="00A62FE5" w:rsidRDefault="00A62FE5" w:rsidP="00A62FE5">
            <w:pPr>
              <w:jc w:val="center"/>
              <w:rPr>
                <w:sz w:val="20"/>
                <w:szCs w:val="20"/>
              </w:rPr>
            </w:pPr>
            <w:r w:rsidRPr="00A62FE5">
              <w:rPr>
                <w:b/>
                <w:color w:val="000000"/>
                <w:sz w:val="20"/>
                <w:szCs w:val="20"/>
              </w:rPr>
              <w:t>105</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A9219" w14:textId="77777777" w:rsidR="00A62FE5" w:rsidRPr="00A62FE5" w:rsidRDefault="00A62FE5" w:rsidP="00A62FE5">
            <w:pPr>
              <w:jc w:val="center"/>
              <w:rPr>
                <w:sz w:val="20"/>
                <w:szCs w:val="20"/>
              </w:rPr>
            </w:pPr>
            <w:r w:rsidRPr="00A62FE5">
              <w:rPr>
                <w:b/>
                <w:color w:val="000000"/>
                <w:sz w:val="20"/>
                <w:szCs w:val="20"/>
              </w:rPr>
              <w:t>36.3</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3C34A" w14:textId="77777777" w:rsidR="00A62FE5" w:rsidRPr="00A62FE5" w:rsidRDefault="00A62FE5" w:rsidP="00A62FE5">
            <w:pPr>
              <w:jc w:val="center"/>
              <w:rPr>
                <w:sz w:val="20"/>
                <w:szCs w:val="20"/>
              </w:rPr>
            </w:pPr>
            <w:r w:rsidRPr="00A62FE5">
              <w:rPr>
                <w:b/>
                <w:color w:val="000000"/>
                <w:sz w:val="20"/>
                <w:szCs w:val="20"/>
              </w:rPr>
              <w:t>289</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7D19C" w14:textId="77777777" w:rsidR="00A62FE5" w:rsidRPr="00A62FE5" w:rsidRDefault="00A62FE5" w:rsidP="00A62FE5">
            <w:pPr>
              <w:jc w:val="center"/>
              <w:rPr>
                <w:sz w:val="20"/>
                <w:szCs w:val="20"/>
              </w:rPr>
            </w:pPr>
            <w:r w:rsidRPr="00A62FE5">
              <w:rPr>
                <w:b/>
                <w:color w:val="000000"/>
                <w:sz w:val="20"/>
                <w:szCs w:val="20"/>
              </w:rPr>
              <w:t>67,747</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D144CE" w14:textId="77777777" w:rsidR="00A62FE5" w:rsidRPr="00A62FE5" w:rsidRDefault="00A62FE5" w:rsidP="00A62FE5">
            <w:pPr>
              <w:jc w:val="center"/>
              <w:rPr>
                <w:sz w:val="20"/>
                <w:szCs w:val="20"/>
              </w:rPr>
            </w:pPr>
            <w:r w:rsidRPr="00A62FE5">
              <w:rPr>
                <w:b/>
                <w:color w:val="000000"/>
                <w:sz w:val="20"/>
                <w:szCs w:val="20"/>
              </w:rPr>
              <w:t>62.0</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498BD9" w14:textId="77777777" w:rsidR="00A62FE5" w:rsidRPr="00A62FE5" w:rsidRDefault="00A62FE5" w:rsidP="00A62FE5">
            <w:pPr>
              <w:jc w:val="center"/>
              <w:rPr>
                <w:sz w:val="20"/>
                <w:szCs w:val="20"/>
              </w:rPr>
            </w:pPr>
            <w:r w:rsidRPr="00A62FE5">
              <w:rPr>
                <w:b/>
                <w:color w:val="000000"/>
                <w:sz w:val="20"/>
                <w:szCs w:val="20"/>
              </w:rPr>
              <w:t>41,518</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6C4CC" w14:textId="77777777" w:rsidR="00A62FE5" w:rsidRPr="00A62FE5" w:rsidRDefault="00A62FE5" w:rsidP="00A62FE5">
            <w:pPr>
              <w:jc w:val="center"/>
              <w:rPr>
                <w:sz w:val="20"/>
                <w:szCs w:val="20"/>
              </w:rPr>
            </w:pPr>
            <w:r w:rsidRPr="00A62FE5">
              <w:rPr>
                <w:b/>
                <w:color w:val="000000"/>
                <w:sz w:val="20"/>
                <w:szCs w:val="20"/>
              </w:rPr>
              <w:t>38.0</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88C17" w14:textId="77777777" w:rsidR="00A62FE5" w:rsidRPr="00A62FE5" w:rsidRDefault="00A62FE5" w:rsidP="00A62FE5">
            <w:pPr>
              <w:jc w:val="center"/>
              <w:rPr>
                <w:sz w:val="20"/>
                <w:szCs w:val="20"/>
              </w:rPr>
            </w:pPr>
            <w:r w:rsidRPr="00A62FE5">
              <w:rPr>
                <w:b/>
                <w:color w:val="000000"/>
                <w:sz w:val="20"/>
                <w:szCs w:val="20"/>
              </w:rPr>
              <w:t>109,265</w:t>
            </w:r>
          </w:p>
        </w:tc>
      </w:tr>
      <w:tr w:rsidR="00A62FE5" w:rsidRPr="00A62FE5" w14:paraId="1027B0E2" w14:textId="77777777" w:rsidTr="000B14FC">
        <w:trPr>
          <w:trHeight w:val="210"/>
        </w:trPr>
        <w:tc>
          <w:tcPr>
            <w:tcW w:w="21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C9ECA5" w14:textId="77777777" w:rsidR="00A62FE5" w:rsidRPr="00A62FE5" w:rsidRDefault="00A62FE5" w:rsidP="00A62FE5">
            <w:pPr>
              <w:rPr>
                <w:sz w:val="20"/>
                <w:szCs w:val="20"/>
              </w:rPr>
            </w:pPr>
            <w:r w:rsidRPr="00A62FE5">
              <w:rPr>
                <w:b/>
                <w:color w:val="000000"/>
                <w:sz w:val="20"/>
                <w:szCs w:val="20"/>
              </w:rPr>
              <w:t>Total</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82D9E" w14:textId="77777777" w:rsidR="00A62FE5" w:rsidRPr="00A62FE5" w:rsidRDefault="00A62FE5" w:rsidP="00A62FE5">
            <w:pPr>
              <w:jc w:val="center"/>
              <w:rPr>
                <w:sz w:val="20"/>
                <w:szCs w:val="20"/>
              </w:rPr>
            </w:pPr>
            <w:r w:rsidRPr="00A62FE5">
              <w:rPr>
                <w:b/>
                <w:color w:val="000000"/>
                <w:sz w:val="20"/>
                <w:szCs w:val="20"/>
              </w:rPr>
              <w:t>1,075</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AB84E" w14:textId="77777777" w:rsidR="00A62FE5" w:rsidRPr="00A62FE5" w:rsidRDefault="00A62FE5" w:rsidP="00A62FE5">
            <w:pPr>
              <w:jc w:val="center"/>
              <w:rPr>
                <w:sz w:val="20"/>
                <w:szCs w:val="20"/>
              </w:rPr>
            </w:pPr>
            <w:r w:rsidRPr="00A62FE5">
              <w:rPr>
                <w:b/>
                <w:color w:val="000000"/>
                <w:sz w:val="20"/>
                <w:szCs w:val="20"/>
              </w:rPr>
              <w:t>67.6</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D3AC4" w14:textId="77777777" w:rsidR="00A62FE5" w:rsidRPr="00A62FE5" w:rsidRDefault="00A62FE5" w:rsidP="00A62FE5">
            <w:pPr>
              <w:jc w:val="center"/>
              <w:rPr>
                <w:sz w:val="20"/>
                <w:szCs w:val="20"/>
              </w:rPr>
            </w:pPr>
            <w:r w:rsidRPr="00A62FE5">
              <w:rPr>
                <w:b/>
                <w:color w:val="000000"/>
                <w:sz w:val="20"/>
                <w:szCs w:val="20"/>
              </w:rPr>
              <w:t>516</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42E0D" w14:textId="77777777" w:rsidR="00A62FE5" w:rsidRPr="00A62FE5" w:rsidRDefault="00A62FE5" w:rsidP="00A62FE5">
            <w:pPr>
              <w:jc w:val="center"/>
              <w:rPr>
                <w:sz w:val="20"/>
                <w:szCs w:val="20"/>
              </w:rPr>
            </w:pPr>
            <w:r w:rsidRPr="00A62FE5">
              <w:rPr>
                <w:b/>
                <w:color w:val="000000"/>
                <w:sz w:val="20"/>
                <w:szCs w:val="20"/>
              </w:rPr>
              <w:t>32.4</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375438" w14:textId="77777777" w:rsidR="00A62FE5" w:rsidRPr="00A62FE5" w:rsidRDefault="00A62FE5" w:rsidP="00A62FE5">
            <w:pPr>
              <w:jc w:val="center"/>
              <w:rPr>
                <w:sz w:val="20"/>
                <w:szCs w:val="20"/>
              </w:rPr>
            </w:pPr>
            <w:r w:rsidRPr="00A62FE5">
              <w:rPr>
                <w:b/>
                <w:color w:val="000000"/>
                <w:sz w:val="20"/>
                <w:szCs w:val="20"/>
              </w:rPr>
              <w:t>1,591</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A6BFF8" w14:textId="77777777" w:rsidR="00A62FE5" w:rsidRPr="00A62FE5" w:rsidRDefault="00A62FE5" w:rsidP="00A62FE5">
            <w:pPr>
              <w:jc w:val="center"/>
              <w:rPr>
                <w:sz w:val="20"/>
                <w:szCs w:val="20"/>
              </w:rPr>
            </w:pPr>
            <w:r w:rsidRPr="00A62FE5">
              <w:rPr>
                <w:b/>
                <w:color w:val="000000"/>
                <w:sz w:val="20"/>
                <w:szCs w:val="20"/>
              </w:rPr>
              <w:t>1,025,708</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F8A8F" w14:textId="77777777" w:rsidR="00A62FE5" w:rsidRPr="00A62FE5" w:rsidRDefault="00A62FE5" w:rsidP="00A62FE5">
            <w:pPr>
              <w:jc w:val="center"/>
              <w:rPr>
                <w:sz w:val="20"/>
                <w:szCs w:val="20"/>
              </w:rPr>
            </w:pPr>
            <w:r w:rsidRPr="00A62FE5">
              <w:rPr>
                <w:b/>
                <w:color w:val="000000"/>
                <w:sz w:val="20"/>
                <w:szCs w:val="20"/>
              </w:rPr>
              <w:t>66.5</w:t>
            </w:r>
          </w:p>
        </w:tc>
        <w:tc>
          <w:tcPr>
            <w:tcW w:w="10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3830A" w14:textId="77777777" w:rsidR="00A62FE5" w:rsidRPr="00A62FE5" w:rsidRDefault="00A62FE5" w:rsidP="00A62FE5">
            <w:pPr>
              <w:jc w:val="center"/>
              <w:rPr>
                <w:sz w:val="20"/>
                <w:szCs w:val="20"/>
              </w:rPr>
            </w:pPr>
            <w:r w:rsidRPr="00A62FE5">
              <w:rPr>
                <w:b/>
                <w:color w:val="000000"/>
                <w:sz w:val="20"/>
                <w:szCs w:val="20"/>
              </w:rPr>
              <w:t>517,622</w:t>
            </w:r>
          </w:p>
        </w:tc>
        <w:tc>
          <w:tcPr>
            <w:tcW w:w="66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96F079" w14:textId="77777777" w:rsidR="00A62FE5" w:rsidRPr="00A62FE5" w:rsidRDefault="00A62FE5" w:rsidP="00A62FE5">
            <w:pPr>
              <w:jc w:val="center"/>
              <w:rPr>
                <w:sz w:val="20"/>
                <w:szCs w:val="20"/>
              </w:rPr>
            </w:pPr>
            <w:r w:rsidRPr="00A62FE5">
              <w:rPr>
                <w:b/>
                <w:color w:val="000000"/>
                <w:sz w:val="20"/>
                <w:szCs w:val="20"/>
              </w:rPr>
              <w:t>33.5</w:t>
            </w:r>
          </w:p>
        </w:tc>
        <w:tc>
          <w:tcPr>
            <w:tcW w:w="100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423A1" w14:textId="77777777" w:rsidR="00A62FE5" w:rsidRPr="00A62FE5" w:rsidRDefault="00A62FE5" w:rsidP="00A62FE5">
            <w:pPr>
              <w:jc w:val="center"/>
              <w:rPr>
                <w:sz w:val="20"/>
                <w:szCs w:val="20"/>
              </w:rPr>
            </w:pPr>
            <w:r w:rsidRPr="00A62FE5">
              <w:rPr>
                <w:b/>
                <w:color w:val="000000"/>
                <w:sz w:val="20"/>
                <w:szCs w:val="20"/>
              </w:rPr>
              <w:t>1,543,330</w:t>
            </w:r>
          </w:p>
        </w:tc>
      </w:tr>
      <w:tr w:rsidR="00A62FE5" w:rsidRPr="00A62FE5" w14:paraId="2DEF7107" w14:textId="77777777" w:rsidTr="00933859">
        <w:trPr>
          <w:trHeight w:val="491"/>
        </w:trPr>
        <w:tc>
          <w:tcPr>
            <w:tcW w:w="11083" w:type="dxa"/>
            <w:gridSpan w:val="11"/>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5DB975F6" w14:textId="77777777" w:rsidR="00A62FE5" w:rsidRPr="00A62FE5" w:rsidRDefault="00A62FE5" w:rsidP="00A62FE5">
            <w:pPr>
              <w:rPr>
                <w:sz w:val="20"/>
                <w:szCs w:val="20"/>
              </w:rPr>
            </w:pPr>
            <w:r w:rsidRPr="00A62FE5">
              <w:rPr>
                <w:i/>
                <w:color w:val="000000"/>
                <w:sz w:val="16"/>
                <w:szCs w:val="20"/>
              </w:rPr>
              <w:t>Source: Bank Data</w:t>
            </w:r>
          </w:p>
          <w:p w14:paraId="2EEF507C" w14:textId="77777777" w:rsidR="00A62FE5" w:rsidRPr="00A62FE5" w:rsidRDefault="00A62FE5" w:rsidP="00933859">
            <w:pPr>
              <w:rPr>
                <w:sz w:val="20"/>
                <w:szCs w:val="20"/>
              </w:rPr>
            </w:pPr>
            <w:r w:rsidRPr="00A62FE5">
              <w:rPr>
                <w:i/>
                <w:color w:val="000000"/>
                <w:sz w:val="16"/>
                <w:szCs w:val="20"/>
              </w:rPr>
              <w:t>Due to rounding, totals may not equal 100.0%</w:t>
            </w:r>
          </w:p>
        </w:tc>
      </w:tr>
    </w:tbl>
    <w:p w14:paraId="55CFD410" w14:textId="77777777" w:rsidR="00A62FE5" w:rsidRDefault="00A62FE5" w:rsidP="008A183B">
      <w:pPr>
        <w:rPr>
          <w:b/>
          <w:i/>
          <w:iCs/>
        </w:rPr>
      </w:pPr>
    </w:p>
    <w:p w14:paraId="21073E55" w14:textId="77777777" w:rsidR="0099672C" w:rsidRPr="00161EC6" w:rsidRDefault="0099672C" w:rsidP="008A183B">
      <w:pPr>
        <w:ind w:right="-270"/>
        <w:rPr>
          <w:b/>
          <w:bCs/>
          <w:color w:val="000000"/>
          <w:u w:val="single"/>
        </w:rPr>
      </w:pPr>
      <w:r w:rsidRPr="00161EC6">
        <w:rPr>
          <w:b/>
          <w:bCs/>
          <w:color w:val="000000"/>
          <w:u w:val="single"/>
        </w:rPr>
        <w:t>Geographic Distribution</w:t>
      </w:r>
    </w:p>
    <w:p w14:paraId="2DEF1886" w14:textId="77777777" w:rsidR="0099672C" w:rsidRPr="00161EC6" w:rsidRDefault="0099672C" w:rsidP="008A183B"/>
    <w:p w14:paraId="488C97C2" w14:textId="77777777" w:rsidR="00D3131D" w:rsidRPr="00FD65FC" w:rsidRDefault="00D3131D" w:rsidP="00D3131D">
      <w:pPr>
        <w:ind w:right="-270"/>
        <w:rPr>
          <w:bCs/>
          <w:color w:val="000000"/>
        </w:rPr>
      </w:pPr>
      <w:r w:rsidRPr="00FD65FC">
        <w:rPr>
          <w:bCs/>
          <w:color w:val="000000"/>
        </w:rPr>
        <w:t xml:space="preserve">The geographic distribution of loans reflects </w:t>
      </w:r>
      <w:r w:rsidR="00EB52F8">
        <w:rPr>
          <w:bCs/>
          <w:color w:val="000000"/>
        </w:rPr>
        <w:t>excellent</w:t>
      </w:r>
      <w:r w:rsidRPr="00FD65FC">
        <w:rPr>
          <w:bCs/>
          <w:color w:val="000000"/>
        </w:rPr>
        <w:t xml:space="preserve"> penetrati</w:t>
      </w:r>
      <w:r>
        <w:rPr>
          <w:bCs/>
          <w:color w:val="000000"/>
        </w:rPr>
        <w:t>on throughout the assessment area</w:t>
      </w:r>
      <w:r w:rsidRPr="00FD65FC">
        <w:rPr>
          <w:bCs/>
          <w:color w:val="000000"/>
        </w:rPr>
        <w:t xml:space="preserve">.  The bank’s </w:t>
      </w:r>
      <w:r w:rsidR="00EB52F8">
        <w:rPr>
          <w:bCs/>
          <w:color w:val="000000"/>
        </w:rPr>
        <w:t>excellent</w:t>
      </w:r>
      <w:r w:rsidRPr="00FD65FC">
        <w:rPr>
          <w:bCs/>
          <w:color w:val="000000"/>
        </w:rPr>
        <w:t xml:space="preserve"> performance of home mortgage </w:t>
      </w:r>
      <w:r w:rsidR="00EB52F8">
        <w:rPr>
          <w:bCs/>
          <w:color w:val="000000"/>
        </w:rPr>
        <w:t xml:space="preserve">lending and good performance of small business lending </w:t>
      </w:r>
      <w:r w:rsidRPr="00FD65FC">
        <w:rPr>
          <w:bCs/>
          <w:color w:val="000000"/>
        </w:rPr>
        <w:t>support this conclusion</w:t>
      </w:r>
      <w:r w:rsidR="00EB52F8">
        <w:rPr>
          <w:bCs/>
          <w:color w:val="000000"/>
        </w:rPr>
        <w:t xml:space="preserve">, as examiners placed greater weight on home mortgage.  </w:t>
      </w:r>
      <w:r w:rsidRPr="00FD65FC">
        <w:rPr>
          <w:bCs/>
          <w:color w:val="000000"/>
        </w:rPr>
        <w:t xml:space="preserve">Examiners focused on the percentage of loans in low- and moderate-income census tracts by number.  </w:t>
      </w:r>
    </w:p>
    <w:p w14:paraId="54A6C777" w14:textId="77777777" w:rsidR="00B86059" w:rsidRDefault="00B86059" w:rsidP="00E41020">
      <w:pPr>
        <w:rPr>
          <w:b/>
          <w:bCs/>
          <w:u w:val="single"/>
        </w:rPr>
      </w:pPr>
    </w:p>
    <w:p w14:paraId="1D3EFFD7" w14:textId="77777777" w:rsidR="00D3131D" w:rsidRPr="00FD65FC" w:rsidRDefault="00D3131D" w:rsidP="00D3131D">
      <w:pPr>
        <w:ind w:right="-270"/>
        <w:rPr>
          <w:b/>
          <w:bCs/>
          <w:i/>
          <w:color w:val="000000"/>
        </w:rPr>
      </w:pPr>
      <w:r w:rsidRPr="00FD65FC">
        <w:rPr>
          <w:b/>
          <w:bCs/>
          <w:i/>
          <w:color w:val="000000"/>
        </w:rPr>
        <w:t>Home Mortgage Loans</w:t>
      </w:r>
    </w:p>
    <w:p w14:paraId="14E9AC41" w14:textId="142992E8" w:rsidR="00CD683B" w:rsidRDefault="0027336F" w:rsidP="00E41020">
      <w:pPr>
        <w:rPr>
          <w:bCs/>
          <w:color w:val="000000"/>
        </w:rPr>
      </w:pPr>
      <w:r w:rsidRPr="0027336F">
        <w:rPr>
          <w:bCs/>
          <w:color w:val="000000"/>
        </w:rPr>
        <w:t xml:space="preserve">The geographic distribution of home mortgage loans reflects </w:t>
      </w:r>
      <w:r>
        <w:rPr>
          <w:bCs/>
          <w:color w:val="000000"/>
        </w:rPr>
        <w:t xml:space="preserve">excellent </w:t>
      </w:r>
      <w:r w:rsidR="00E804C2">
        <w:rPr>
          <w:bCs/>
          <w:color w:val="000000"/>
        </w:rPr>
        <w:t>penetration</w:t>
      </w:r>
      <w:r w:rsidRPr="0027336F">
        <w:rPr>
          <w:bCs/>
          <w:color w:val="000000"/>
        </w:rPr>
        <w:t xml:space="preserve"> throughout the assessment area.  In </w:t>
      </w:r>
      <w:r>
        <w:rPr>
          <w:bCs/>
          <w:color w:val="000000"/>
        </w:rPr>
        <w:t>each year analyzed, EBSB</w:t>
      </w:r>
      <w:r w:rsidRPr="0027336F">
        <w:rPr>
          <w:bCs/>
          <w:color w:val="000000"/>
        </w:rPr>
        <w:t xml:space="preserve">’s lending performance </w:t>
      </w:r>
      <w:r w:rsidR="00824BDC">
        <w:rPr>
          <w:bCs/>
          <w:color w:val="000000"/>
        </w:rPr>
        <w:t>significantly</w:t>
      </w:r>
      <w:r>
        <w:rPr>
          <w:bCs/>
          <w:color w:val="000000"/>
        </w:rPr>
        <w:t xml:space="preserve"> exceeded aggregate and demographic data in</w:t>
      </w:r>
      <w:r w:rsidRPr="0027336F">
        <w:rPr>
          <w:bCs/>
          <w:color w:val="000000"/>
        </w:rPr>
        <w:t xml:space="preserve"> low-</w:t>
      </w:r>
      <w:r>
        <w:rPr>
          <w:bCs/>
          <w:color w:val="000000"/>
        </w:rPr>
        <w:t xml:space="preserve"> and moderate-</w:t>
      </w:r>
      <w:r w:rsidRPr="0027336F">
        <w:rPr>
          <w:bCs/>
          <w:color w:val="000000"/>
        </w:rPr>
        <w:t xml:space="preserve">income </w:t>
      </w:r>
      <w:r>
        <w:rPr>
          <w:bCs/>
          <w:color w:val="000000"/>
        </w:rPr>
        <w:t xml:space="preserve">census </w:t>
      </w:r>
      <w:r w:rsidRPr="0027336F">
        <w:rPr>
          <w:bCs/>
          <w:color w:val="000000"/>
        </w:rPr>
        <w:t>tracts</w:t>
      </w:r>
      <w:r>
        <w:rPr>
          <w:bCs/>
          <w:color w:val="000000"/>
        </w:rPr>
        <w:t xml:space="preserve">.  The bank’s overall performance in this area improved from the previous evaluation.    </w:t>
      </w:r>
      <w:r w:rsidRPr="0027336F">
        <w:rPr>
          <w:bCs/>
          <w:color w:val="000000"/>
        </w:rPr>
        <w:t xml:space="preserve">  </w:t>
      </w:r>
    </w:p>
    <w:p w14:paraId="63820896" w14:textId="77777777" w:rsidR="005A45CB" w:rsidRDefault="005A45CB" w:rsidP="00E41020">
      <w:pPr>
        <w:rPr>
          <w:bCs/>
          <w:color w:val="000000"/>
        </w:rPr>
      </w:pPr>
    </w:p>
    <w:p w14:paraId="0E904D91" w14:textId="77777777" w:rsidR="005A45CB" w:rsidRDefault="005A45CB" w:rsidP="00E41020">
      <w:pPr>
        <w:rPr>
          <w:bCs/>
          <w:color w:val="000000"/>
        </w:rPr>
      </w:pPr>
    </w:p>
    <w:p w14:paraId="50FC7CCE" w14:textId="77777777" w:rsidR="005A45CB" w:rsidRDefault="005A45CB" w:rsidP="00E41020">
      <w:pPr>
        <w:rPr>
          <w:bCs/>
          <w:color w:val="000000"/>
        </w:rPr>
      </w:pPr>
    </w:p>
    <w:p w14:paraId="014CCF78" w14:textId="77777777" w:rsidR="005A45CB" w:rsidRDefault="005A45CB" w:rsidP="00E41020">
      <w:pPr>
        <w:rPr>
          <w:bCs/>
          <w:color w:val="000000"/>
        </w:rPr>
      </w:pPr>
    </w:p>
    <w:p w14:paraId="7ABFDFE5" w14:textId="77777777" w:rsidR="005A45CB" w:rsidRDefault="005A45CB" w:rsidP="00E41020">
      <w:pPr>
        <w:rPr>
          <w:bCs/>
          <w:color w:val="000000"/>
        </w:rPr>
      </w:pPr>
    </w:p>
    <w:p w14:paraId="2DFD41F7" w14:textId="77777777" w:rsidR="005A45CB" w:rsidRDefault="005A45CB" w:rsidP="00E41020">
      <w:pPr>
        <w:rPr>
          <w:bCs/>
          <w:color w:val="000000"/>
        </w:rPr>
      </w:pPr>
    </w:p>
    <w:p w14:paraId="67D863CA" w14:textId="77777777" w:rsidR="005A45CB" w:rsidRDefault="005A45CB" w:rsidP="00E41020">
      <w:pPr>
        <w:rPr>
          <w:bCs/>
          <w:color w:val="000000"/>
        </w:rPr>
      </w:pPr>
    </w:p>
    <w:p w14:paraId="73792C06" w14:textId="77777777" w:rsidR="005A45CB" w:rsidRDefault="005A45CB" w:rsidP="00E41020">
      <w:pPr>
        <w:rPr>
          <w:bCs/>
          <w:color w:val="000000"/>
        </w:rPr>
      </w:pPr>
    </w:p>
    <w:p w14:paraId="0A9AD4C0" w14:textId="77777777" w:rsidR="005A45CB" w:rsidRDefault="005A45CB" w:rsidP="00E41020">
      <w:pPr>
        <w:rPr>
          <w:bCs/>
          <w:color w:val="000000"/>
        </w:rPr>
      </w:pPr>
    </w:p>
    <w:p w14:paraId="70E072E2" w14:textId="77777777" w:rsidR="005A45CB" w:rsidRDefault="005A45CB" w:rsidP="00E41020">
      <w:pPr>
        <w:rPr>
          <w:bCs/>
          <w:color w:val="000000"/>
        </w:rPr>
      </w:pPr>
    </w:p>
    <w:p w14:paraId="50DB9C80" w14:textId="77777777" w:rsidR="0027336F" w:rsidRDefault="0027336F" w:rsidP="00E41020">
      <w:pPr>
        <w:rPr>
          <w:b/>
          <w:bCs/>
          <w:u w:val="single"/>
        </w:rPr>
      </w:pPr>
    </w:p>
    <w:tbl>
      <w:tblPr>
        <w:tblW w:w="0" w:type="auto"/>
        <w:tblCellMar>
          <w:left w:w="0" w:type="dxa"/>
          <w:right w:w="0" w:type="dxa"/>
        </w:tblCellMar>
        <w:tblLook w:val="0000" w:firstRow="0" w:lastRow="0" w:firstColumn="0" w:lastColumn="0" w:noHBand="0" w:noVBand="0"/>
      </w:tblPr>
      <w:tblGrid>
        <w:gridCol w:w="2496"/>
        <w:gridCol w:w="1546"/>
        <w:gridCol w:w="1427"/>
        <w:gridCol w:w="1193"/>
        <w:gridCol w:w="851"/>
        <w:gridCol w:w="1012"/>
        <w:gridCol w:w="817"/>
      </w:tblGrid>
      <w:tr w:rsidR="00CD683B" w:rsidRPr="00CD683B" w14:paraId="3B8BA800" w14:textId="77777777" w:rsidTr="00CD683B">
        <w:trPr>
          <w:trHeight w:val="282"/>
        </w:trPr>
        <w:tc>
          <w:tcPr>
            <w:tcW w:w="9438"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140FC1D4" w14:textId="77777777" w:rsidR="00CD683B" w:rsidRPr="00CD683B" w:rsidRDefault="00CD683B" w:rsidP="00CD683B">
            <w:pPr>
              <w:jc w:val="center"/>
              <w:rPr>
                <w:sz w:val="20"/>
                <w:szCs w:val="20"/>
              </w:rPr>
            </w:pPr>
            <w:r w:rsidRPr="00CD683B">
              <w:rPr>
                <w:b/>
                <w:color w:val="000000"/>
                <w:sz w:val="20"/>
                <w:szCs w:val="20"/>
              </w:rPr>
              <w:lastRenderedPageBreak/>
              <w:t>Geographic Distribution of Home Mortgage Loans</w:t>
            </w:r>
          </w:p>
        </w:tc>
      </w:tr>
      <w:tr w:rsidR="00CD683B" w:rsidRPr="00CD683B" w14:paraId="6365D0BA" w14:textId="77777777" w:rsidTr="00CD683B">
        <w:trPr>
          <w:trHeight w:val="498"/>
        </w:trPr>
        <w:tc>
          <w:tcPr>
            <w:tcW w:w="25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7B8D480" w14:textId="77777777" w:rsidR="00CD683B" w:rsidRPr="00CD683B" w:rsidRDefault="00CD683B" w:rsidP="00CD683B">
            <w:pPr>
              <w:rPr>
                <w:sz w:val="20"/>
                <w:szCs w:val="20"/>
              </w:rPr>
            </w:pPr>
            <w:r w:rsidRPr="00CD683B">
              <w:rPr>
                <w:b/>
                <w:color w:val="000000"/>
                <w:sz w:val="20"/>
                <w:szCs w:val="20"/>
              </w:rPr>
              <w:t>Tract Income Level</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8BD1DCD" w14:textId="77777777" w:rsidR="00CD683B" w:rsidRPr="00CD683B" w:rsidRDefault="00CD683B" w:rsidP="00CD683B">
            <w:pPr>
              <w:jc w:val="center"/>
              <w:rPr>
                <w:sz w:val="20"/>
                <w:szCs w:val="20"/>
              </w:rPr>
            </w:pPr>
            <w:r w:rsidRPr="00CD683B">
              <w:rPr>
                <w:b/>
                <w:color w:val="000000"/>
                <w:sz w:val="20"/>
                <w:szCs w:val="20"/>
              </w:rPr>
              <w:t>% of  Owner-Occupied Housing Units</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2CF925" w14:textId="77777777" w:rsidR="00CD683B" w:rsidRPr="00CD683B" w:rsidRDefault="00CD683B" w:rsidP="00CD683B">
            <w:pPr>
              <w:jc w:val="center"/>
              <w:rPr>
                <w:sz w:val="20"/>
                <w:szCs w:val="20"/>
              </w:rPr>
            </w:pPr>
            <w:r w:rsidRPr="00CD683B">
              <w:rPr>
                <w:b/>
                <w:color w:val="000000"/>
                <w:sz w:val="20"/>
                <w:szCs w:val="20"/>
              </w:rPr>
              <w:t>Aggregate Performance</w:t>
            </w:r>
            <w:r w:rsidRPr="00CD683B">
              <w:rPr>
                <w:b/>
                <w:color w:val="000000"/>
                <w:sz w:val="20"/>
                <w:szCs w:val="20"/>
              </w:rPr>
              <w:br/>
              <w:t>% of #</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5ED8B6" w14:textId="77777777" w:rsidR="00CD683B" w:rsidRPr="00CD683B" w:rsidRDefault="00CD683B" w:rsidP="00CD683B">
            <w:pPr>
              <w:jc w:val="center"/>
              <w:rPr>
                <w:sz w:val="20"/>
                <w:szCs w:val="20"/>
              </w:rPr>
            </w:pPr>
            <w:r w:rsidRPr="00CD683B">
              <w:rPr>
                <w:b/>
                <w:color w:val="000000"/>
                <w:sz w:val="20"/>
                <w:szCs w:val="20"/>
              </w:rPr>
              <w:t>#</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3AC708B" w14:textId="77777777" w:rsidR="00CD683B" w:rsidRPr="00CD683B" w:rsidRDefault="00CD683B" w:rsidP="00CD683B">
            <w:pPr>
              <w:jc w:val="center"/>
              <w:rPr>
                <w:sz w:val="20"/>
                <w:szCs w:val="20"/>
              </w:rPr>
            </w:pPr>
            <w:r w:rsidRPr="00CD683B">
              <w:rPr>
                <w:b/>
                <w:color w:val="000000"/>
                <w:sz w:val="20"/>
                <w:szCs w:val="20"/>
              </w:rPr>
              <w:t>%</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96667B4" w14:textId="77777777" w:rsidR="00CD683B" w:rsidRPr="00CD683B" w:rsidRDefault="00CD683B" w:rsidP="00CD683B">
            <w:pPr>
              <w:jc w:val="center"/>
              <w:rPr>
                <w:sz w:val="20"/>
                <w:szCs w:val="20"/>
              </w:rPr>
            </w:pPr>
            <w:r w:rsidRPr="00CD683B">
              <w:rPr>
                <w:b/>
                <w:color w:val="000000"/>
                <w:sz w:val="20"/>
                <w:szCs w:val="20"/>
              </w:rPr>
              <w:t>$(000s)</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8A52AC0" w14:textId="77777777" w:rsidR="00CD683B" w:rsidRPr="00CD683B" w:rsidRDefault="00CD683B" w:rsidP="00CD683B">
            <w:pPr>
              <w:jc w:val="center"/>
              <w:rPr>
                <w:sz w:val="20"/>
                <w:szCs w:val="20"/>
              </w:rPr>
            </w:pPr>
            <w:r w:rsidRPr="00CD683B">
              <w:rPr>
                <w:b/>
                <w:color w:val="000000"/>
                <w:sz w:val="20"/>
                <w:szCs w:val="20"/>
              </w:rPr>
              <w:t>%</w:t>
            </w:r>
          </w:p>
        </w:tc>
      </w:tr>
      <w:tr w:rsidR="00CD683B" w:rsidRPr="00CD683B" w14:paraId="7CCB1DEC" w14:textId="77777777" w:rsidTr="00CD683B">
        <w:trPr>
          <w:trHeight w:val="195"/>
        </w:trPr>
        <w:tc>
          <w:tcPr>
            <w:tcW w:w="25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4056CA0" w14:textId="77777777" w:rsidR="00CD683B" w:rsidRPr="00CD683B" w:rsidRDefault="00CD683B" w:rsidP="00CD683B">
            <w:pPr>
              <w:rPr>
                <w:sz w:val="20"/>
                <w:szCs w:val="20"/>
              </w:rPr>
            </w:pPr>
            <w:r w:rsidRPr="00CD683B">
              <w:rPr>
                <w:color w:val="000000"/>
                <w:sz w:val="20"/>
                <w:szCs w:val="20"/>
              </w:rPr>
              <w:t>Low</w:t>
            </w:r>
          </w:p>
        </w:tc>
        <w:tc>
          <w:tcPr>
            <w:tcW w:w="6904"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251608" w14:textId="77777777" w:rsidR="00CD683B" w:rsidRPr="00CD683B" w:rsidRDefault="00CD683B" w:rsidP="00CD683B">
            <w:pPr>
              <w:rPr>
                <w:sz w:val="20"/>
                <w:szCs w:val="20"/>
              </w:rPr>
            </w:pPr>
          </w:p>
        </w:tc>
      </w:tr>
      <w:tr w:rsidR="00CD683B" w:rsidRPr="00CD683B" w14:paraId="3E8B3812"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747F207" w14:textId="77777777" w:rsidR="00CD683B" w:rsidRPr="00CD683B" w:rsidRDefault="00CD683B" w:rsidP="00CD683B">
            <w:pPr>
              <w:jc w:val="right"/>
              <w:rPr>
                <w:sz w:val="20"/>
                <w:szCs w:val="20"/>
              </w:rPr>
            </w:pPr>
            <w:r w:rsidRPr="00CD683B">
              <w:rPr>
                <w:color w:val="000000"/>
                <w:sz w:val="20"/>
                <w:szCs w:val="20"/>
              </w:rPr>
              <w:t>2018</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1CC3CB" w14:textId="77777777" w:rsidR="00CD683B" w:rsidRPr="00CD683B" w:rsidRDefault="00CD683B" w:rsidP="00CD683B">
            <w:pPr>
              <w:jc w:val="center"/>
              <w:rPr>
                <w:sz w:val="20"/>
                <w:szCs w:val="20"/>
              </w:rPr>
            </w:pPr>
            <w:r w:rsidRPr="00CD683B">
              <w:rPr>
                <w:color w:val="000000"/>
                <w:sz w:val="20"/>
                <w:szCs w:val="20"/>
              </w:rPr>
              <w:t>6.9</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9026FF" w14:textId="77777777" w:rsidR="00CD683B" w:rsidRPr="00CD683B" w:rsidRDefault="001D7B45" w:rsidP="00CD683B">
            <w:pPr>
              <w:jc w:val="center"/>
              <w:rPr>
                <w:sz w:val="20"/>
                <w:szCs w:val="20"/>
              </w:rPr>
            </w:pPr>
            <w:r>
              <w:rPr>
                <w:color w:val="000000"/>
                <w:sz w:val="20"/>
                <w:szCs w:val="20"/>
              </w:rPr>
              <w:t>8.5</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350630" w14:textId="77777777" w:rsidR="00CD683B" w:rsidRPr="00CD683B" w:rsidRDefault="00CD683B" w:rsidP="00CD683B">
            <w:pPr>
              <w:jc w:val="center"/>
              <w:rPr>
                <w:sz w:val="20"/>
                <w:szCs w:val="20"/>
              </w:rPr>
            </w:pPr>
            <w:r w:rsidRPr="00CD683B">
              <w:rPr>
                <w:color w:val="000000"/>
                <w:sz w:val="20"/>
                <w:szCs w:val="20"/>
              </w:rPr>
              <w:t>38</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3B3B86" w14:textId="77777777" w:rsidR="00CD683B" w:rsidRPr="00CD683B" w:rsidRDefault="00CD683B" w:rsidP="00CD683B">
            <w:pPr>
              <w:jc w:val="center"/>
              <w:rPr>
                <w:sz w:val="20"/>
                <w:szCs w:val="20"/>
              </w:rPr>
            </w:pPr>
            <w:r w:rsidRPr="00CD683B">
              <w:rPr>
                <w:color w:val="000000"/>
                <w:sz w:val="20"/>
                <w:szCs w:val="20"/>
              </w:rPr>
              <w:t>13.5</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676697" w14:textId="77777777" w:rsidR="00CD683B" w:rsidRPr="00CD683B" w:rsidRDefault="00CD683B" w:rsidP="00CD683B">
            <w:pPr>
              <w:jc w:val="center"/>
              <w:rPr>
                <w:sz w:val="20"/>
                <w:szCs w:val="20"/>
              </w:rPr>
            </w:pPr>
            <w:r w:rsidRPr="00CD683B">
              <w:rPr>
                <w:color w:val="000000"/>
                <w:sz w:val="20"/>
                <w:szCs w:val="20"/>
              </w:rPr>
              <w:t>41,744</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D75956" w14:textId="77777777" w:rsidR="00CD683B" w:rsidRPr="00CD683B" w:rsidRDefault="00CD683B" w:rsidP="00CD683B">
            <w:pPr>
              <w:jc w:val="center"/>
              <w:rPr>
                <w:sz w:val="20"/>
                <w:szCs w:val="20"/>
              </w:rPr>
            </w:pPr>
            <w:r w:rsidRPr="00CD683B">
              <w:rPr>
                <w:color w:val="000000"/>
                <w:sz w:val="20"/>
                <w:szCs w:val="20"/>
              </w:rPr>
              <w:t>14.4</w:t>
            </w:r>
          </w:p>
        </w:tc>
      </w:tr>
      <w:tr w:rsidR="00CD683B" w:rsidRPr="00CD683B" w14:paraId="7132AAAC"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DF2EB45" w14:textId="77777777" w:rsidR="00CD683B" w:rsidRPr="00CD683B" w:rsidRDefault="00CD683B" w:rsidP="00CD683B">
            <w:pPr>
              <w:jc w:val="right"/>
              <w:rPr>
                <w:sz w:val="20"/>
                <w:szCs w:val="20"/>
              </w:rPr>
            </w:pPr>
            <w:r w:rsidRPr="00CD683B">
              <w:rPr>
                <w:color w:val="000000"/>
                <w:sz w:val="20"/>
                <w:szCs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38A303" w14:textId="77777777" w:rsidR="00CD683B" w:rsidRPr="00CD683B" w:rsidRDefault="00CD683B" w:rsidP="00CD683B">
            <w:pPr>
              <w:jc w:val="center"/>
              <w:rPr>
                <w:sz w:val="20"/>
                <w:szCs w:val="20"/>
              </w:rPr>
            </w:pPr>
            <w:r w:rsidRPr="00CD683B">
              <w:rPr>
                <w:color w:val="000000"/>
                <w:sz w:val="20"/>
                <w:szCs w:val="20"/>
              </w:rPr>
              <w:t>6.9</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D2881F" w14:textId="77777777" w:rsidR="00CD683B" w:rsidRPr="00CD683B" w:rsidRDefault="00CD683B" w:rsidP="00CD683B">
            <w:pPr>
              <w:jc w:val="center"/>
              <w:rPr>
                <w:sz w:val="20"/>
                <w:szCs w:val="20"/>
              </w:rPr>
            </w:pPr>
            <w:r w:rsidRPr="00CD683B">
              <w:rPr>
                <w:color w:val="000000"/>
                <w:sz w:val="20"/>
                <w:szCs w:val="20"/>
              </w:rPr>
              <w:t>7.9</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D0BF8" w14:textId="77777777" w:rsidR="00CD683B" w:rsidRPr="00CD683B" w:rsidRDefault="00CD683B" w:rsidP="00CD683B">
            <w:pPr>
              <w:jc w:val="center"/>
              <w:rPr>
                <w:sz w:val="20"/>
                <w:szCs w:val="20"/>
              </w:rPr>
            </w:pPr>
            <w:r w:rsidRPr="00CD683B">
              <w:rPr>
                <w:color w:val="000000"/>
                <w:sz w:val="20"/>
                <w:szCs w:val="20"/>
              </w:rPr>
              <w:t>31</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0E290" w14:textId="77777777" w:rsidR="00CD683B" w:rsidRPr="00CD683B" w:rsidRDefault="00CD683B" w:rsidP="00CD683B">
            <w:pPr>
              <w:jc w:val="center"/>
              <w:rPr>
                <w:sz w:val="20"/>
                <w:szCs w:val="20"/>
              </w:rPr>
            </w:pPr>
            <w:r w:rsidRPr="00CD683B">
              <w:rPr>
                <w:color w:val="000000"/>
                <w:sz w:val="20"/>
                <w:szCs w:val="20"/>
              </w:rPr>
              <w:t>11.8</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80945E" w14:textId="77777777" w:rsidR="00CD683B" w:rsidRPr="00CD683B" w:rsidRDefault="00CD683B" w:rsidP="00CD683B">
            <w:pPr>
              <w:jc w:val="center"/>
              <w:rPr>
                <w:sz w:val="20"/>
                <w:szCs w:val="20"/>
              </w:rPr>
            </w:pPr>
            <w:r w:rsidRPr="00CD683B">
              <w:rPr>
                <w:color w:val="000000"/>
                <w:sz w:val="20"/>
                <w:szCs w:val="20"/>
              </w:rPr>
              <w:t>33,838</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C89CC2" w14:textId="77777777" w:rsidR="00CD683B" w:rsidRPr="00CD683B" w:rsidRDefault="00CD683B" w:rsidP="00CD683B">
            <w:pPr>
              <w:jc w:val="center"/>
              <w:rPr>
                <w:sz w:val="20"/>
                <w:szCs w:val="20"/>
              </w:rPr>
            </w:pPr>
            <w:r w:rsidRPr="00CD683B">
              <w:rPr>
                <w:color w:val="000000"/>
                <w:sz w:val="20"/>
                <w:szCs w:val="20"/>
              </w:rPr>
              <w:t>12.2</w:t>
            </w:r>
          </w:p>
        </w:tc>
      </w:tr>
      <w:tr w:rsidR="00CD683B" w:rsidRPr="00CD683B" w14:paraId="11F81EBC" w14:textId="77777777" w:rsidTr="00CD683B">
        <w:trPr>
          <w:trHeight w:val="195"/>
        </w:trPr>
        <w:tc>
          <w:tcPr>
            <w:tcW w:w="25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FCA6D6A" w14:textId="77777777" w:rsidR="00CD683B" w:rsidRPr="00CD683B" w:rsidRDefault="00CD683B" w:rsidP="00CD683B">
            <w:pPr>
              <w:rPr>
                <w:sz w:val="20"/>
                <w:szCs w:val="20"/>
              </w:rPr>
            </w:pPr>
            <w:r w:rsidRPr="00CD683B">
              <w:rPr>
                <w:color w:val="000000"/>
                <w:sz w:val="20"/>
                <w:szCs w:val="20"/>
              </w:rPr>
              <w:t>Moderate</w:t>
            </w:r>
          </w:p>
        </w:tc>
        <w:tc>
          <w:tcPr>
            <w:tcW w:w="6904"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448C2" w14:textId="77777777" w:rsidR="00CD683B" w:rsidRPr="00CD683B" w:rsidRDefault="00CD683B" w:rsidP="00CD683B">
            <w:pPr>
              <w:rPr>
                <w:sz w:val="20"/>
                <w:szCs w:val="20"/>
              </w:rPr>
            </w:pPr>
          </w:p>
        </w:tc>
      </w:tr>
      <w:tr w:rsidR="00CD683B" w:rsidRPr="00CD683B" w14:paraId="14141328"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6BFC71E" w14:textId="77777777" w:rsidR="00CD683B" w:rsidRPr="00CD683B" w:rsidRDefault="00CD683B" w:rsidP="00CD683B">
            <w:pPr>
              <w:jc w:val="right"/>
              <w:rPr>
                <w:sz w:val="20"/>
                <w:szCs w:val="20"/>
              </w:rPr>
            </w:pPr>
            <w:r w:rsidRPr="00CD683B">
              <w:rPr>
                <w:color w:val="000000"/>
                <w:sz w:val="20"/>
                <w:szCs w:val="20"/>
              </w:rPr>
              <w:t>2018</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6CC46" w14:textId="77777777" w:rsidR="00CD683B" w:rsidRPr="00CD683B" w:rsidRDefault="00CD683B" w:rsidP="00CD683B">
            <w:pPr>
              <w:jc w:val="center"/>
              <w:rPr>
                <w:sz w:val="20"/>
                <w:szCs w:val="20"/>
              </w:rPr>
            </w:pPr>
            <w:r w:rsidRPr="00CD683B">
              <w:rPr>
                <w:color w:val="000000"/>
                <w:sz w:val="20"/>
                <w:szCs w:val="20"/>
              </w:rPr>
              <w:t>25.3</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7755E" w14:textId="77777777" w:rsidR="00CD683B" w:rsidRPr="00CD683B" w:rsidRDefault="001D7B45" w:rsidP="00CD683B">
            <w:pPr>
              <w:jc w:val="center"/>
              <w:rPr>
                <w:sz w:val="20"/>
                <w:szCs w:val="20"/>
              </w:rPr>
            </w:pPr>
            <w:r>
              <w:rPr>
                <w:sz w:val="20"/>
                <w:szCs w:val="20"/>
              </w:rPr>
              <w:t>27.9</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E6C1D" w14:textId="77777777" w:rsidR="00CD683B" w:rsidRPr="00CD683B" w:rsidRDefault="00CD683B" w:rsidP="00CD683B">
            <w:pPr>
              <w:jc w:val="center"/>
              <w:rPr>
                <w:sz w:val="20"/>
                <w:szCs w:val="20"/>
              </w:rPr>
            </w:pPr>
            <w:r w:rsidRPr="00CD683B">
              <w:rPr>
                <w:color w:val="000000"/>
                <w:sz w:val="20"/>
                <w:szCs w:val="20"/>
              </w:rPr>
              <w:t>99</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693FD" w14:textId="77777777" w:rsidR="00CD683B" w:rsidRPr="00CD683B" w:rsidRDefault="00CD683B" w:rsidP="00CD683B">
            <w:pPr>
              <w:jc w:val="center"/>
              <w:rPr>
                <w:sz w:val="20"/>
                <w:szCs w:val="20"/>
              </w:rPr>
            </w:pPr>
            <w:r w:rsidRPr="00CD683B">
              <w:rPr>
                <w:color w:val="000000"/>
                <w:sz w:val="20"/>
                <w:szCs w:val="20"/>
              </w:rPr>
              <w:t>35.2</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E829B3" w14:textId="77777777" w:rsidR="00CD683B" w:rsidRPr="00CD683B" w:rsidRDefault="00CD683B" w:rsidP="00CD683B">
            <w:pPr>
              <w:jc w:val="center"/>
              <w:rPr>
                <w:sz w:val="20"/>
                <w:szCs w:val="20"/>
              </w:rPr>
            </w:pPr>
            <w:r w:rsidRPr="00CD683B">
              <w:rPr>
                <w:color w:val="000000"/>
                <w:sz w:val="20"/>
                <w:szCs w:val="20"/>
              </w:rPr>
              <w:t>93,681</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49B3C" w14:textId="77777777" w:rsidR="00CD683B" w:rsidRPr="00CD683B" w:rsidRDefault="00CD683B" w:rsidP="00CD683B">
            <w:pPr>
              <w:jc w:val="center"/>
              <w:rPr>
                <w:sz w:val="20"/>
                <w:szCs w:val="20"/>
              </w:rPr>
            </w:pPr>
            <w:r w:rsidRPr="00CD683B">
              <w:rPr>
                <w:color w:val="000000"/>
                <w:sz w:val="20"/>
                <w:szCs w:val="20"/>
              </w:rPr>
              <w:t>32.2</w:t>
            </w:r>
          </w:p>
        </w:tc>
      </w:tr>
      <w:tr w:rsidR="00CD683B" w:rsidRPr="00CD683B" w14:paraId="7CA2357F"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12FAE82" w14:textId="77777777" w:rsidR="00CD683B" w:rsidRPr="00CD683B" w:rsidRDefault="00CD683B" w:rsidP="00CD683B">
            <w:pPr>
              <w:jc w:val="right"/>
              <w:rPr>
                <w:sz w:val="20"/>
                <w:szCs w:val="20"/>
              </w:rPr>
            </w:pPr>
            <w:r w:rsidRPr="00CD683B">
              <w:rPr>
                <w:color w:val="000000"/>
                <w:sz w:val="20"/>
                <w:szCs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6AE47" w14:textId="77777777" w:rsidR="00CD683B" w:rsidRPr="00CD683B" w:rsidRDefault="00CD683B" w:rsidP="00CD683B">
            <w:pPr>
              <w:jc w:val="center"/>
              <w:rPr>
                <w:sz w:val="20"/>
                <w:szCs w:val="20"/>
              </w:rPr>
            </w:pPr>
            <w:r w:rsidRPr="00CD683B">
              <w:rPr>
                <w:color w:val="000000"/>
                <w:sz w:val="20"/>
                <w:szCs w:val="20"/>
              </w:rPr>
              <w:t>25.3</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98E011" w14:textId="77777777" w:rsidR="00CD683B" w:rsidRPr="00CD683B" w:rsidRDefault="00CD683B" w:rsidP="00CD683B">
            <w:pPr>
              <w:jc w:val="center"/>
              <w:rPr>
                <w:sz w:val="20"/>
                <w:szCs w:val="20"/>
              </w:rPr>
            </w:pPr>
            <w:r w:rsidRPr="00CD683B">
              <w:rPr>
                <w:color w:val="000000"/>
                <w:sz w:val="20"/>
                <w:szCs w:val="20"/>
              </w:rPr>
              <w:t>26.7</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8B2D5" w14:textId="77777777" w:rsidR="00CD683B" w:rsidRPr="00CD683B" w:rsidRDefault="00CD683B" w:rsidP="00CD683B">
            <w:pPr>
              <w:jc w:val="center"/>
              <w:rPr>
                <w:sz w:val="20"/>
                <w:szCs w:val="20"/>
              </w:rPr>
            </w:pPr>
            <w:r w:rsidRPr="00CD683B">
              <w:rPr>
                <w:color w:val="000000"/>
                <w:sz w:val="20"/>
                <w:szCs w:val="20"/>
              </w:rPr>
              <w:t>90</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517A3B" w14:textId="77777777" w:rsidR="00CD683B" w:rsidRPr="00CD683B" w:rsidRDefault="00CD683B" w:rsidP="00CD683B">
            <w:pPr>
              <w:jc w:val="center"/>
              <w:rPr>
                <w:sz w:val="20"/>
                <w:szCs w:val="20"/>
              </w:rPr>
            </w:pPr>
            <w:r w:rsidRPr="00CD683B">
              <w:rPr>
                <w:color w:val="000000"/>
                <w:sz w:val="20"/>
                <w:szCs w:val="20"/>
              </w:rPr>
              <w:t>34.2</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CB1600" w14:textId="77777777" w:rsidR="00CD683B" w:rsidRPr="00CD683B" w:rsidRDefault="00CD683B" w:rsidP="00CD683B">
            <w:pPr>
              <w:jc w:val="center"/>
              <w:rPr>
                <w:sz w:val="20"/>
                <w:szCs w:val="20"/>
              </w:rPr>
            </w:pPr>
            <w:r w:rsidRPr="00CD683B">
              <w:rPr>
                <w:color w:val="000000"/>
                <w:sz w:val="20"/>
                <w:szCs w:val="20"/>
              </w:rPr>
              <w:t>58,871</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1805C5" w14:textId="77777777" w:rsidR="00CD683B" w:rsidRPr="00CD683B" w:rsidRDefault="00CD683B" w:rsidP="00CD683B">
            <w:pPr>
              <w:jc w:val="center"/>
              <w:rPr>
                <w:sz w:val="20"/>
                <w:szCs w:val="20"/>
              </w:rPr>
            </w:pPr>
            <w:r w:rsidRPr="00CD683B">
              <w:rPr>
                <w:color w:val="000000"/>
                <w:sz w:val="20"/>
                <w:szCs w:val="20"/>
              </w:rPr>
              <w:t>21.2</w:t>
            </w:r>
          </w:p>
        </w:tc>
      </w:tr>
      <w:tr w:rsidR="00CD683B" w:rsidRPr="00CD683B" w14:paraId="212C7B3D" w14:textId="77777777" w:rsidTr="00CD683B">
        <w:trPr>
          <w:trHeight w:val="195"/>
        </w:trPr>
        <w:tc>
          <w:tcPr>
            <w:tcW w:w="25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5EB4EA8" w14:textId="77777777" w:rsidR="00CD683B" w:rsidRPr="00CD683B" w:rsidRDefault="00CD683B" w:rsidP="00CD683B">
            <w:pPr>
              <w:rPr>
                <w:sz w:val="20"/>
                <w:szCs w:val="20"/>
              </w:rPr>
            </w:pPr>
            <w:r w:rsidRPr="00CD683B">
              <w:rPr>
                <w:color w:val="000000"/>
                <w:sz w:val="20"/>
                <w:szCs w:val="20"/>
              </w:rPr>
              <w:t>Middle</w:t>
            </w:r>
          </w:p>
        </w:tc>
        <w:tc>
          <w:tcPr>
            <w:tcW w:w="6904"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5773E" w14:textId="77777777" w:rsidR="00CD683B" w:rsidRPr="00CD683B" w:rsidRDefault="00CD683B" w:rsidP="00CD683B">
            <w:pPr>
              <w:rPr>
                <w:sz w:val="20"/>
                <w:szCs w:val="20"/>
              </w:rPr>
            </w:pPr>
          </w:p>
        </w:tc>
      </w:tr>
      <w:tr w:rsidR="00CD683B" w:rsidRPr="00CD683B" w14:paraId="0CBC22B5"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2809459" w14:textId="77777777" w:rsidR="00CD683B" w:rsidRPr="00CD683B" w:rsidRDefault="00CD683B" w:rsidP="00CD683B">
            <w:pPr>
              <w:jc w:val="right"/>
              <w:rPr>
                <w:sz w:val="20"/>
                <w:szCs w:val="20"/>
              </w:rPr>
            </w:pPr>
            <w:r w:rsidRPr="00CD683B">
              <w:rPr>
                <w:color w:val="000000"/>
                <w:sz w:val="20"/>
                <w:szCs w:val="20"/>
              </w:rPr>
              <w:t>2018</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7F538" w14:textId="77777777" w:rsidR="00CD683B" w:rsidRPr="00CD683B" w:rsidRDefault="00CD683B" w:rsidP="00CD683B">
            <w:pPr>
              <w:jc w:val="center"/>
              <w:rPr>
                <w:sz w:val="20"/>
                <w:szCs w:val="20"/>
              </w:rPr>
            </w:pPr>
            <w:r w:rsidRPr="00CD683B">
              <w:rPr>
                <w:color w:val="000000"/>
                <w:sz w:val="20"/>
                <w:szCs w:val="20"/>
              </w:rPr>
              <w:t>45.3</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174BD8" w14:textId="77777777" w:rsidR="00CD683B" w:rsidRPr="00CD683B" w:rsidRDefault="001D7B45" w:rsidP="00CD683B">
            <w:pPr>
              <w:jc w:val="center"/>
              <w:rPr>
                <w:sz w:val="20"/>
                <w:szCs w:val="20"/>
              </w:rPr>
            </w:pPr>
            <w:r>
              <w:rPr>
                <w:sz w:val="20"/>
                <w:szCs w:val="20"/>
              </w:rPr>
              <w:t>42.8</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589E5" w14:textId="77777777" w:rsidR="00CD683B" w:rsidRPr="00CD683B" w:rsidRDefault="00CD683B" w:rsidP="00CD683B">
            <w:pPr>
              <w:jc w:val="center"/>
              <w:rPr>
                <w:sz w:val="20"/>
                <w:szCs w:val="20"/>
              </w:rPr>
            </w:pPr>
            <w:r w:rsidRPr="00CD683B">
              <w:rPr>
                <w:color w:val="000000"/>
                <w:sz w:val="20"/>
                <w:szCs w:val="20"/>
              </w:rPr>
              <w:t>106</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47C34C" w14:textId="77777777" w:rsidR="00CD683B" w:rsidRPr="00CD683B" w:rsidRDefault="00CD683B" w:rsidP="00CD683B">
            <w:pPr>
              <w:jc w:val="center"/>
              <w:rPr>
                <w:sz w:val="20"/>
                <w:szCs w:val="20"/>
              </w:rPr>
            </w:pPr>
            <w:r w:rsidRPr="00CD683B">
              <w:rPr>
                <w:color w:val="000000"/>
                <w:sz w:val="20"/>
                <w:szCs w:val="20"/>
              </w:rPr>
              <w:t>37.7</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C21C8" w14:textId="77777777" w:rsidR="00CD683B" w:rsidRPr="00CD683B" w:rsidRDefault="00CD683B" w:rsidP="00CD683B">
            <w:pPr>
              <w:jc w:val="center"/>
              <w:rPr>
                <w:sz w:val="20"/>
                <w:szCs w:val="20"/>
              </w:rPr>
            </w:pPr>
            <w:r w:rsidRPr="00CD683B">
              <w:rPr>
                <w:color w:val="000000"/>
                <w:sz w:val="20"/>
                <w:szCs w:val="20"/>
              </w:rPr>
              <w:t>123,608</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48FA6D" w14:textId="77777777" w:rsidR="00CD683B" w:rsidRPr="00CD683B" w:rsidRDefault="00CD683B" w:rsidP="00CD683B">
            <w:pPr>
              <w:jc w:val="center"/>
              <w:rPr>
                <w:sz w:val="20"/>
                <w:szCs w:val="20"/>
              </w:rPr>
            </w:pPr>
            <w:r w:rsidRPr="00CD683B">
              <w:rPr>
                <w:color w:val="000000"/>
                <w:sz w:val="20"/>
                <w:szCs w:val="20"/>
              </w:rPr>
              <w:t>42.5</w:t>
            </w:r>
          </w:p>
        </w:tc>
      </w:tr>
      <w:tr w:rsidR="00CD683B" w:rsidRPr="00CD683B" w14:paraId="628CBA19"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88C3DF1" w14:textId="77777777" w:rsidR="00CD683B" w:rsidRPr="00CD683B" w:rsidRDefault="00CD683B" w:rsidP="00CD683B">
            <w:pPr>
              <w:jc w:val="right"/>
              <w:rPr>
                <w:sz w:val="20"/>
                <w:szCs w:val="20"/>
              </w:rPr>
            </w:pPr>
            <w:r w:rsidRPr="00CD683B">
              <w:rPr>
                <w:color w:val="000000"/>
                <w:sz w:val="20"/>
                <w:szCs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10545" w14:textId="77777777" w:rsidR="00CD683B" w:rsidRPr="00CD683B" w:rsidRDefault="00CD683B" w:rsidP="00CD683B">
            <w:pPr>
              <w:jc w:val="center"/>
              <w:rPr>
                <w:sz w:val="20"/>
                <w:szCs w:val="20"/>
              </w:rPr>
            </w:pPr>
            <w:r w:rsidRPr="00CD683B">
              <w:rPr>
                <w:color w:val="000000"/>
                <w:sz w:val="20"/>
                <w:szCs w:val="20"/>
              </w:rPr>
              <w:t>45.3</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A3DCD1" w14:textId="77777777" w:rsidR="00CD683B" w:rsidRPr="00CD683B" w:rsidRDefault="00CD683B" w:rsidP="00CD683B">
            <w:pPr>
              <w:jc w:val="center"/>
              <w:rPr>
                <w:sz w:val="20"/>
                <w:szCs w:val="20"/>
              </w:rPr>
            </w:pPr>
            <w:r w:rsidRPr="00CD683B">
              <w:rPr>
                <w:color w:val="000000"/>
                <w:sz w:val="20"/>
                <w:szCs w:val="20"/>
              </w:rPr>
              <w:t>44.0</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B12F9" w14:textId="77777777" w:rsidR="00CD683B" w:rsidRPr="00CD683B" w:rsidRDefault="00CD683B" w:rsidP="00CD683B">
            <w:pPr>
              <w:jc w:val="center"/>
              <w:rPr>
                <w:sz w:val="20"/>
                <w:szCs w:val="20"/>
              </w:rPr>
            </w:pPr>
            <w:r w:rsidRPr="00CD683B">
              <w:rPr>
                <w:color w:val="000000"/>
                <w:sz w:val="20"/>
                <w:szCs w:val="20"/>
              </w:rPr>
              <w:t>97</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39427" w14:textId="77777777" w:rsidR="00CD683B" w:rsidRPr="00CD683B" w:rsidRDefault="00CD683B" w:rsidP="00CD683B">
            <w:pPr>
              <w:jc w:val="center"/>
              <w:rPr>
                <w:sz w:val="20"/>
                <w:szCs w:val="20"/>
              </w:rPr>
            </w:pPr>
            <w:r w:rsidRPr="00CD683B">
              <w:rPr>
                <w:color w:val="000000"/>
                <w:sz w:val="20"/>
                <w:szCs w:val="20"/>
              </w:rPr>
              <w:t>36.9</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8770C4" w14:textId="77777777" w:rsidR="00CD683B" w:rsidRPr="00CD683B" w:rsidRDefault="00CD683B" w:rsidP="00CD683B">
            <w:pPr>
              <w:jc w:val="center"/>
              <w:rPr>
                <w:sz w:val="20"/>
                <w:szCs w:val="20"/>
              </w:rPr>
            </w:pPr>
            <w:r w:rsidRPr="00CD683B">
              <w:rPr>
                <w:color w:val="000000"/>
                <w:sz w:val="20"/>
                <w:szCs w:val="20"/>
              </w:rPr>
              <w:t>55,113</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DC574" w14:textId="77777777" w:rsidR="00CD683B" w:rsidRPr="00CD683B" w:rsidRDefault="00CD683B" w:rsidP="00CD683B">
            <w:pPr>
              <w:jc w:val="center"/>
              <w:rPr>
                <w:sz w:val="20"/>
                <w:szCs w:val="20"/>
              </w:rPr>
            </w:pPr>
            <w:r w:rsidRPr="00CD683B">
              <w:rPr>
                <w:color w:val="000000"/>
                <w:sz w:val="20"/>
                <w:szCs w:val="20"/>
              </w:rPr>
              <w:t>19.9</w:t>
            </w:r>
          </w:p>
        </w:tc>
      </w:tr>
      <w:tr w:rsidR="00CD683B" w:rsidRPr="00CD683B" w14:paraId="3AD36168" w14:textId="77777777" w:rsidTr="00CD683B">
        <w:trPr>
          <w:trHeight w:val="195"/>
        </w:trPr>
        <w:tc>
          <w:tcPr>
            <w:tcW w:w="25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BCC2B72" w14:textId="77777777" w:rsidR="00CD683B" w:rsidRPr="00CD683B" w:rsidRDefault="00CD683B" w:rsidP="00CD683B">
            <w:pPr>
              <w:rPr>
                <w:sz w:val="20"/>
                <w:szCs w:val="20"/>
              </w:rPr>
            </w:pPr>
            <w:r w:rsidRPr="00CD683B">
              <w:rPr>
                <w:color w:val="000000"/>
                <w:sz w:val="20"/>
                <w:szCs w:val="20"/>
              </w:rPr>
              <w:t>Upper</w:t>
            </w:r>
          </w:p>
        </w:tc>
        <w:tc>
          <w:tcPr>
            <w:tcW w:w="6904"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AB9080" w14:textId="77777777" w:rsidR="00CD683B" w:rsidRPr="00CD683B" w:rsidRDefault="00CD683B" w:rsidP="00CD683B">
            <w:pPr>
              <w:rPr>
                <w:sz w:val="20"/>
                <w:szCs w:val="20"/>
              </w:rPr>
            </w:pPr>
          </w:p>
        </w:tc>
      </w:tr>
      <w:tr w:rsidR="00CD683B" w:rsidRPr="00CD683B" w14:paraId="02A658AE"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A4CA3A1" w14:textId="77777777" w:rsidR="00CD683B" w:rsidRPr="00CD683B" w:rsidRDefault="00CD683B" w:rsidP="00CD683B">
            <w:pPr>
              <w:jc w:val="right"/>
              <w:rPr>
                <w:sz w:val="20"/>
                <w:szCs w:val="20"/>
              </w:rPr>
            </w:pPr>
            <w:r w:rsidRPr="00CD683B">
              <w:rPr>
                <w:color w:val="000000"/>
                <w:sz w:val="20"/>
                <w:szCs w:val="20"/>
              </w:rPr>
              <w:t>2018</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2E30F4" w14:textId="77777777" w:rsidR="00CD683B" w:rsidRPr="00CD683B" w:rsidRDefault="00CD683B" w:rsidP="00CD683B">
            <w:pPr>
              <w:jc w:val="center"/>
              <w:rPr>
                <w:sz w:val="20"/>
                <w:szCs w:val="20"/>
              </w:rPr>
            </w:pPr>
            <w:r w:rsidRPr="00CD683B">
              <w:rPr>
                <w:color w:val="000000"/>
                <w:sz w:val="20"/>
                <w:szCs w:val="20"/>
              </w:rPr>
              <w:t>22.2</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18D5D6" w14:textId="77777777" w:rsidR="00CD683B" w:rsidRPr="00CD683B" w:rsidRDefault="001D7B45" w:rsidP="00CD683B">
            <w:pPr>
              <w:jc w:val="center"/>
              <w:rPr>
                <w:sz w:val="20"/>
                <w:szCs w:val="20"/>
              </w:rPr>
            </w:pPr>
            <w:r>
              <w:rPr>
                <w:color w:val="000000"/>
                <w:sz w:val="20"/>
                <w:szCs w:val="20"/>
              </w:rPr>
              <w:t>20.3</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D03A60" w14:textId="77777777" w:rsidR="00CD683B" w:rsidRPr="00CD683B" w:rsidRDefault="00CD683B" w:rsidP="00CD683B">
            <w:pPr>
              <w:jc w:val="center"/>
              <w:rPr>
                <w:sz w:val="20"/>
                <w:szCs w:val="20"/>
              </w:rPr>
            </w:pPr>
            <w:r w:rsidRPr="00CD683B">
              <w:rPr>
                <w:color w:val="000000"/>
                <w:sz w:val="20"/>
                <w:szCs w:val="20"/>
              </w:rPr>
              <w:t>38</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C413A" w14:textId="77777777" w:rsidR="00CD683B" w:rsidRPr="00CD683B" w:rsidRDefault="00CD683B" w:rsidP="00CD683B">
            <w:pPr>
              <w:jc w:val="center"/>
              <w:rPr>
                <w:sz w:val="20"/>
                <w:szCs w:val="20"/>
              </w:rPr>
            </w:pPr>
            <w:r w:rsidRPr="00CD683B">
              <w:rPr>
                <w:color w:val="000000"/>
                <w:sz w:val="20"/>
                <w:szCs w:val="20"/>
              </w:rPr>
              <w:t>13.5</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F2B6F" w14:textId="77777777" w:rsidR="00CD683B" w:rsidRPr="00CD683B" w:rsidRDefault="00CD683B" w:rsidP="00CD683B">
            <w:pPr>
              <w:jc w:val="center"/>
              <w:rPr>
                <w:sz w:val="20"/>
                <w:szCs w:val="20"/>
              </w:rPr>
            </w:pPr>
            <w:r w:rsidRPr="00CD683B">
              <w:rPr>
                <w:color w:val="000000"/>
                <w:sz w:val="20"/>
                <w:szCs w:val="20"/>
              </w:rPr>
              <w:t>31,602</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2013C" w14:textId="77777777" w:rsidR="00CD683B" w:rsidRPr="00CD683B" w:rsidRDefault="00CD683B" w:rsidP="00CD683B">
            <w:pPr>
              <w:jc w:val="center"/>
              <w:rPr>
                <w:sz w:val="20"/>
                <w:szCs w:val="20"/>
              </w:rPr>
            </w:pPr>
            <w:r w:rsidRPr="00CD683B">
              <w:rPr>
                <w:color w:val="000000"/>
                <w:sz w:val="20"/>
                <w:szCs w:val="20"/>
              </w:rPr>
              <w:t>10.9</w:t>
            </w:r>
          </w:p>
        </w:tc>
      </w:tr>
      <w:tr w:rsidR="00CD683B" w:rsidRPr="00CD683B" w14:paraId="7B20B83E"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2A4C4AE" w14:textId="77777777" w:rsidR="00CD683B" w:rsidRPr="00CD683B" w:rsidRDefault="00CD683B" w:rsidP="00CD683B">
            <w:pPr>
              <w:jc w:val="right"/>
              <w:rPr>
                <w:sz w:val="20"/>
                <w:szCs w:val="20"/>
              </w:rPr>
            </w:pPr>
            <w:r w:rsidRPr="00CD683B">
              <w:rPr>
                <w:color w:val="000000"/>
                <w:sz w:val="20"/>
                <w:szCs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A2D44" w14:textId="77777777" w:rsidR="00CD683B" w:rsidRPr="00CD683B" w:rsidRDefault="00CD683B" w:rsidP="00CD683B">
            <w:pPr>
              <w:jc w:val="center"/>
              <w:rPr>
                <w:sz w:val="20"/>
                <w:szCs w:val="20"/>
              </w:rPr>
            </w:pPr>
            <w:r w:rsidRPr="00CD683B">
              <w:rPr>
                <w:color w:val="000000"/>
                <w:sz w:val="20"/>
                <w:szCs w:val="20"/>
              </w:rPr>
              <w:t>22.2</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76350" w14:textId="77777777" w:rsidR="00CD683B" w:rsidRPr="00CD683B" w:rsidRDefault="00CD683B" w:rsidP="00CD683B">
            <w:pPr>
              <w:jc w:val="center"/>
              <w:rPr>
                <w:sz w:val="20"/>
                <w:szCs w:val="20"/>
              </w:rPr>
            </w:pPr>
            <w:r w:rsidRPr="00CD683B">
              <w:rPr>
                <w:color w:val="000000"/>
                <w:sz w:val="20"/>
                <w:szCs w:val="20"/>
              </w:rPr>
              <w:t>20.9</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9FD8E" w14:textId="77777777" w:rsidR="00CD683B" w:rsidRPr="00CD683B" w:rsidRDefault="00CD683B" w:rsidP="00CD683B">
            <w:pPr>
              <w:jc w:val="center"/>
              <w:rPr>
                <w:sz w:val="20"/>
                <w:szCs w:val="20"/>
              </w:rPr>
            </w:pPr>
            <w:r w:rsidRPr="00CD683B">
              <w:rPr>
                <w:color w:val="000000"/>
                <w:sz w:val="20"/>
                <w:szCs w:val="20"/>
              </w:rPr>
              <w:t>45</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1166A" w14:textId="77777777" w:rsidR="00CD683B" w:rsidRPr="00CD683B" w:rsidRDefault="00CD683B" w:rsidP="00CD683B">
            <w:pPr>
              <w:jc w:val="center"/>
              <w:rPr>
                <w:sz w:val="20"/>
                <w:szCs w:val="20"/>
              </w:rPr>
            </w:pPr>
            <w:r w:rsidRPr="00CD683B">
              <w:rPr>
                <w:color w:val="000000"/>
                <w:sz w:val="20"/>
                <w:szCs w:val="20"/>
              </w:rPr>
              <w:t>17.1</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5B493" w14:textId="77777777" w:rsidR="00CD683B" w:rsidRPr="00CD683B" w:rsidRDefault="00CD683B" w:rsidP="00CD683B">
            <w:pPr>
              <w:jc w:val="center"/>
              <w:rPr>
                <w:sz w:val="20"/>
                <w:szCs w:val="20"/>
              </w:rPr>
            </w:pPr>
            <w:r w:rsidRPr="00CD683B">
              <w:rPr>
                <w:color w:val="000000"/>
                <w:sz w:val="20"/>
                <w:szCs w:val="20"/>
              </w:rPr>
              <w:t>129,820</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ED63F7" w14:textId="77777777" w:rsidR="00CD683B" w:rsidRPr="00CD683B" w:rsidRDefault="00CD683B" w:rsidP="00CD683B">
            <w:pPr>
              <w:jc w:val="center"/>
              <w:rPr>
                <w:sz w:val="20"/>
                <w:szCs w:val="20"/>
              </w:rPr>
            </w:pPr>
            <w:r w:rsidRPr="00CD683B">
              <w:rPr>
                <w:color w:val="000000"/>
                <w:sz w:val="20"/>
                <w:szCs w:val="20"/>
              </w:rPr>
              <w:t>46.8</w:t>
            </w:r>
          </w:p>
        </w:tc>
      </w:tr>
      <w:tr w:rsidR="00CD683B" w:rsidRPr="00CD683B" w14:paraId="118B05CF" w14:textId="77777777" w:rsidTr="00CD683B">
        <w:trPr>
          <w:trHeight w:val="195"/>
        </w:trPr>
        <w:tc>
          <w:tcPr>
            <w:tcW w:w="25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1492799" w14:textId="77777777" w:rsidR="00CD683B" w:rsidRPr="00CD683B" w:rsidRDefault="00CD683B" w:rsidP="00CD683B">
            <w:pPr>
              <w:rPr>
                <w:sz w:val="20"/>
                <w:szCs w:val="20"/>
              </w:rPr>
            </w:pPr>
            <w:r w:rsidRPr="00CD683B">
              <w:rPr>
                <w:color w:val="000000"/>
                <w:sz w:val="20"/>
                <w:szCs w:val="20"/>
              </w:rPr>
              <w:t>Not Available</w:t>
            </w:r>
          </w:p>
        </w:tc>
        <w:tc>
          <w:tcPr>
            <w:tcW w:w="6904"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0E2D6" w14:textId="77777777" w:rsidR="00CD683B" w:rsidRPr="00CD683B" w:rsidRDefault="00CD683B" w:rsidP="00CD683B">
            <w:pPr>
              <w:rPr>
                <w:sz w:val="20"/>
                <w:szCs w:val="20"/>
              </w:rPr>
            </w:pPr>
          </w:p>
        </w:tc>
      </w:tr>
      <w:tr w:rsidR="00CD683B" w:rsidRPr="00CD683B" w14:paraId="76591A6A"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D6A966A" w14:textId="77777777" w:rsidR="00CD683B" w:rsidRPr="00CD683B" w:rsidRDefault="00CD683B" w:rsidP="00CD683B">
            <w:pPr>
              <w:jc w:val="right"/>
              <w:rPr>
                <w:sz w:val="20"/>
                <w:szCs w:val="20"/>
              </w:rPr>
            </w:pPr>
            <w:r w:rsidRPr="00CD683B">
              <w:rPr>
                <w:color w:val="000000"/>
                <w:sz w:val="20"/>
                <w:szCs w:val="20"/>
              </w:rPr>
              <w:t>2018</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192D89" w14:textId="77777777" w:rsidR="00CD683B" w:rsidRPr="00CD683B" w:rsidRDefault="00CD683B" w:rsidP="00CD683B">
            <w:pPr>
              <w:jc w:val="center"/>
              <w:rPr>
                <w:sz w:val="20"/>
                <w:szCs w:val="20"/>
              </w:rPr>
            </w:pPr>
            <w:r w:rsidRPr="00CD683B">
              <w:rPr>
                <w:color w:val="000000"/>
                <w:sz w:val="20"/>
                <w:szCs w:val="20"/>
              </w:rPr>
              <w:t>0.4</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F4B01E" w14:textId="77777777" w:rsidR="00CD683B" w:rsidRPr="00CD683B" w:rsidRDefault="001D7B45" w:rsidP="00CD683B">
            <w:pPr>
              <w:jc w:val="center"/>
              <w:rPr>
                <w:sz w:val="20"/>
                <w:szCs w:val="20"/>
              </w:rPr>
            </w:pPr>
            <w:r>
              <w:rPr>
                <w:color w:val="000000"/>
                <w:sz w:val="20"/>
                <w:szCs w:val="20"/>
              </w:rPr>
              <w:t>0.5</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155672" w14:textId="77777777" w:rsidR="00CD683B" w:rsidRPr="00CD683B" w:rsidRDefault="00CD683B" w:rsidP="00CD683B">
            <w:pPr>
              <w:jc w:val="center"/>
              <w:rPr>
                <w:sz w:val="20"/>
                <w:szCs w:val="20"/>
              </w:rPr>
            </w:pPr>
            <w:r w:rsidRPr="00CD683B">
              <w:rPr>
                <w:color w:val="000000"/>
                <w:sz w:val="20"/>
                <w:szCs w:val="20"/>
              </w:rPr>
              <w:t>0</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A254AB" w14:textId="77777777" w:rsidR="00CD683B" w:rsidRPr="00CD683B" w:rsidRDefault="00CD683B" w:rsidP="00CD683B">
            <w:pPr>
              <w:jc w:val="center"/>
              <w:rPr>
                <w:sz w:val="20"/>
                <w:szCs w:val="20"/>
              </w:rPr>
            </w:pPr>
            <w:r w:rsidRPr="00CD683B">
              <w:rPr>
                <w:color w:val="000000"/>
                <w:sz w:val="20"/>
                <w:szCs w:val="20"/>
              </w:rPr>
              <w:t>0.0</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6E455" w14:textId="77777777" w:rsidR="00CD683B" w:rsidRPr="00CD683B" w:rsidRDefault="00CD683B" w:rsidP="00CD683B">
            <w:pPr>
              <w:jc w:val="center"/>
              <w:rPr>
                <w:sz w:val="20"/>
                <w:szCs w:val="20"/>
              </w:rPr>
            </w:pPr>
            <w:r w:rsidRPr="00CD683B">
              <w:rPr>
                <w:color w:val="000000"/>
                <w:sz w:val="20"/>
                <w:szCs w:val="20"/>
              </w:rPr>
              <w:t>0</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28445" w14:textId="77777777" w:rsidR="00CD683B" w:rsidRPr="00CD683B" w:rsidRDefault="00CD683B" w:rsidP="00CD683B">
            <w:pPr>
              <w:jc w:val="center"/>
              <w:rPr>
                <w:sz w:val="20"/>
                <w:szCs w:val="20"/>
              </w:rPr>
            </w:pPr>
            <w:r w:rsidRPr="00CD683B">
              <w:rPr>
                <w:color w:val="000000"/>
                <w:sz w:val="20"/>
                <w:szCs w:val="20"/>
              </w:rPr>
              <w:t>0.0</w:t>
            </w:r>
          </w:p>
        </w:tc>
      </w:tr>
      <w:tr w:rsidR="00CD683B" w:rsidRPr="00CD683B" w14:paraId="23428F18" w14:textId="77777777" w:rsidTr="00CD683B">
        <w:trPr>
          <w:trHeight w:val="181"/>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3573C0F" w14:textId="77777777" w:rsidR="00CD683B" w:rsidRPr="00CD683B" w:rsidRDefault="00CD683B" w:rsidP="00CD683B">
            <w:pPr>
              <w:jc w:val="right"/>
              <w:rPr>
                <w:sz w:val="20"/>
                <w:szCs w:val="20"/>
              </w:rPr>
            </w:pPr>
            <w:r w:rsidRPr="00CD683B">
              <w:rPr>
                <w:color w:val="000000"/>
                <w:sz w:val="20"/>
                <w:szCs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A7E67C" w14:textId="77777777" w:rsidR="00CD683B" w:rsidRPr="00CD683B" w:rsidRDefault="00CD683B" w:rsidP="00CD683B">
            <w:pPr>
              <w:jc w:val="center"/>
              <w:rPr>
                <w:sz w:val="20"/>
                <w:szCs w:val="20"/>
              </w:rPr>
            </w:pPr>
            <w:r w:rsidRPr="00CD683B">
              <w:rPr>
                <w:color w:val="000000"/>
                <w:sz w:val="20"/>
                <w:szCs w:val="20"/>
              </w:rPr>
              <w:t>0.4</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2177C" w14:textId="77777777" w:rsidR="00CD683B" w:rsidRPr="00CD683B" w:rsidRDefault="00CD683B" w:rsidP="00CD683B">
            <w:pPr>
              <w:jc w:val="center"/>
              <w:rPr>
                <w:sz w:val="20"/>
                <w:szCs w:val="20"/>
              </w:rPr>
            </w:pPr>
            <w:r w:rsidRPr="00CD683B">
              <w:rPr>
                <w:color w:val="000000"/>
                <w:sz w:val="20"/>
                <w:szCs w:val="20"/>
              </w:rPr>
              <w:t>0.5</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BD43A" w14:textId="77777777" w:rsidR="00CD683B" w:rsidRPr="00CD683B" w:rsidRDefault="00CD683B" w:rsidP="00CD683B">
            <w:pPr>
              <w:jc w:val="center"/>
              <w:rPr>
                <w:sz w:val="20"/>
                <w:szCs w:val="20"/>
              </w:rPr>
            </w:pPr>
            <w:r w:rsidRPr="00CD683B">
              <w:rPr>
                <w:color w:val="000000"/>
                <w:sz w:val="20"/>
                <w:szCs w:val="20"/>
              </w:rPr>
              <w:t>0</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9894A" w14:textId="77777777" w:rsidR="00CD683B" w:rsidRPr="00CD683B" w:rsidRDefault="00CD683B" w:rsidP="00CD683B">
            <w:pPr>
              <w:jc w:val="center"/>
              <w:rPr>
                <w:sz w:val="20"/>
                <w:szCs w:val="20"/>
              </w:rPr>
            </w:pPr>
            <w:r w:rsidRPr="00CD683B">
              <w:rPr>
                <w:color w:val="000000"/>
                <w:sz w:val="20"/>
                <w:szCs w:val="20"/>
              </w:rPr>
              <w:t>0.0</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F4BC03" w14:textId="77777777" w:rsidR="00CD683B" w:rsidRPr="00CD683B" w:rsidRDefault="00CD683B" w:rsidP="00CD683B">
            <w:pPr>
              <w:jc w:val="center"/>
              <w:rPr>
                <w:sz w:val="20"/>
                <w:szCs w:val="20"/>
              </w:rPr>
            </w:pPr>
            <w:r w:rsidRPr="00CD683B">
              <w:rPr>
                <w:color w:val="000000"/>
                <w:sz w:val="20"/>
                <w:szCs w:val="20"/>
              </w:rPr>
              <w:t>0</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DC104" w14:textId="77777777" w:rsidR="00CD683B" w:rsidRPr="00CD683B" w:rsidRDefault="00CD683B" w:rsidP="00CD683B">
            <w:pPr>
              <w:jc w:val="center"/>
              <w:rPr>
                <w:sz w:val="20"/>
                <w:szCs w:val="20"/>
              </w:rPr>
            </w:pPr>
            <w:r w:rsidRPr="00CD683B">
              <w:rPr>
                <w:color w:val="000000"/>
                <w:sz w:val="20"/>
                <w:szCs w:val="20"/>
              </w:rPr>
              <w:t>0.0</w:t>
            </w:r>
          </w:p>
        </w:tc>
      </w:tr>
      <w:tr w:rsidR="00CD683B" w:rsidRPr="00CD683B" w14:paraId="4440A1D2" w14:textId="77777777" w:rsidTr="00CD683B">
        <w:trPr>
          <w:trHeight w:val="210"/>
        </w:trPr>
        <w:tc>
          <w:tcPr>
            <w:tcW w:w="25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B7860FD" w14:textId="77777777" w:rsidR="00CD683B" w:rsidRPr="00CD683B" w:rsidRDefault="00CD683B" w:rsidP="00CD683B">
            <w:pPr>
              <w:rPr>
                <w:sz w:val="20"/>
                <w:szCs w:val="20"/>
              </w:rPr>
            </w:pPr>
            <w:r w:rsidRPr="00CD683B">
              <w:rPr>
                <w:b/>
                <w:color w:val="000000"/>
                <w:sz w:val="20"/>
                <w:szCs w:val="20"/>
              </w:rPr>
              <w:t>Totals</w:t>
            </w:r>
          </w:p>
        </w:tc>
        <w:tc>
          <w:tcPr>
            <w:tcW w:w="6904"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2D9882" w14:textId="77777777" w:rsidR="00CD683B" w:rsidRPr="00CD683B" w:rsidRDefault="00CD683B" w:rsidP="00CD683B">
            <w:pPr>
              <w:rPr>
                <w:sz w:val="20"/>
                <w:szCs w:val="20"/>
              </w:rPr>
            </w:pPr>
          </w:p>
        </w:tc>
      </w:tr>
      <w:tr w:rsidR="00CD683B" w:rsidRPr="00CD683B" w14:paraId="5F84D74B" w14:textId="77777777" w:rsidTr="00CD683B">
        <w:trPr>
          <w:trHeight w:val="195"/>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E8CD305" w14:textId="77777777" w:rsidR="00CD683B" w:rsidRPr="00CD683B" w:rsidRDefault="00CD683B" w:rsidP="00CD683B">
            <w:pPr>
              <w:jc w:val="right"/>
              <w:rPr>
                <w:sz w:val="20"/>
                <w:szCs w:val="20"/>
              </w:rPr>
            </w:pPr>
            <w:r w:rsidRPr="00CD683B">
              <w:rPr>
                <w:b/>
                <w:color w:val="000000"/>
                <w:sz w:val="20"/>
                <w:szCs w:val="20"/>
              </w:rPr>
              <w:t>2018</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886FEF" w14:textId="77777777" w:rsidR="00CD683B" w:rsidRPr="00CD683B" w:rsidRDefault="00CD683B" w:rsidP="00CD683B">
            <w:pPr>
              <w:jc w:val="center"/>
              <w:rPr>
                <w:sz w:val="20"/>
                <w:szCs w:val="20"/>
              </w:rPr>
            </w:pPr>
            <w:r w:rsidRPr="00CD683B">
              <w:rPr>
                <w:b/>
                <w:color w:val="000000"/>
                <w:sz w:val="20"/>
                <w:szCs w:val="20"/>
              </w:rPr>
              <w:t>100.0</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3B0D40" w14:textId="77777777" w:rsidR="00CD683B" w:rsidRPr="00610976" w:rsidRDefault="00610976" w:rsidP="00CD683B">
            <w:pPr>
              <w:jc w:val="center"/>
              <w:rPr>
                <w:b/>
                <w:sz w:val="20"/>
                <w:szCs w:val="20"/>
              </w:rPr>
            </w:pPr>
            <w:r w:rsidRPr="00610976">
              <w:rPr>
                <w:b/>
                <w:sz w:val="20"/>
                <w:szCs w:val="20"/>
              </w:rPr>
              <w:t>100.0</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8199B" w14:textId="77777777" w:rsidR="00CD683B" w:rsidRPr="00CD683B" w:rsidRDefault="00CD683B" w:rsidP="00CD683B">
            <w:pPr>
              <w:jc w:val="center"/>
              <w:rPr>
                <w:sz w:val="20"/>
                <w:szCs w:val="20"/>
              </w:rPr>
            </w:pPr>
            <w:r w:rsidRPr="00CD683B">
              <w:rPr>
                <w:b/>
                <w:color w:val="000000"/>
                <w:sz w:val="20"/>
                <w:szCs w:val="20"/>
              </w:rPr>
              <w:t>281</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B227A" w14:textId="77777777" w:rsidR="00CD683B" w:rsidRPr="00CD683B" w:rsidRDefault="00CD683B" w:rsidP="00CD683B">
            <w:pPr>
              <w:jc w:val="center"/>
              <w:rPr>
                <w:sz w:val="20"/>
                <w:szCs w:val="20"/>
              </w:rPr>
            </w:pPr>
            <w:r w:rsidRPr="00CD683B">
              <w:rPr>
                <w:b/>
                <w:color w:val="000000"/>
                <w:sz w:val="20"/>
                <w:szCs w:val="20"/>
              </w:rPr>
              <w:t>100.0</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693FD" w14:textId="77777777" w:rsidR="00CD683B" w:rsidRPr="00CD683B" w:rsidRDefault="00CD683B" w:rsidP="00CD683B">
            <w:pPr>
              <w:jc w:val="center"/>
              <w:rPr>
                <w:sz w:val="20"/>
                <w:szCs w:val="20"/>
              </w:rPr>
            </w:pPr>
            <w:r w:rsidRPr="00CD683B">
              <w:rPr>
                <w:b/>
                <w:color w:val="000000"/>
                <w:sz w:val="20"/>
                <w:szCs w:val="20"/>
              </w:rPr>
              <w:t>290,635</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C81970" w14:textId="77777777" w:rsidR="00CD683B" w:rsidRPr="00CD683B" w:rsidRDefault="00CD683B" w:rsidP="00CD683B">
            <w:pPr>
              <w:jc w:val="center"/>
              <w:rPr>
                <w:sz w:val="20"/>
                <w:szCs w:val="20"/>
              </w:rPr>
            </w:pPr>
            <w:r w:rsidRPr="00CD683B">
              <w:rPr>
                <w:b/>
                <w:color w:val="000000"/>
                <w:sz w:val="20"/>
                <w:szCs w:val="20"/>
              </w:rPr>
              <w:t>100.0</w:t>
            </w:r>
          </w:p>
        </w:tc>
      </w:tr>
      <w:tr w:rsidR="00CD683B" w:rsidRPr="00CD683B" w14:paraId="7F7402CE" w14:textId="77777777" w:rsidTr="00CD683B">
        <w:trPr>
          <w:trHeight w:val="195"/>
        </w:trPr>
        <w:tc>
          <w:tcPr>
            <w:tcW w:w="2534"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64450E2" w14:textId="77777777" w:rsidR="00CD683B" w:rsidRPr="00CD683B" w:rsidRDefault="00CD683B" w:rsidP="00CD683B">
            <w:pPr>
              <w:jc w:val="right"/>
              <w:rPr>
                <w:sz w:val="20"/>
                <w:szCs w:val="20"/>
              </w:rPr>
            </w:pPr>
            <w:r w:rsidRPr="00CD683B">
              <w:rPr>
                <w:b/>
                <w:color w:val="000000"/>
                <w:sz w:val="20"/>
                <w:szCs w:val="20"/>
              </w:rPr>
              <w:t>2019</w:t>
            </w:r>
          </w:p>
        </w:tc>
        <w:tc>
          <w:tcPr>
            <w:tcW w:w="156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DFB284" w14:textId="77777777" w:rsidR="00CD683B" w:rsidRPr="00CD683B" w:rsidRDefault="00CD683B" w:rsidP="00CD683B">
            <w:pPr>
              <w:jc w:val="center"/>
              <w:rPr>
                <w:sz w:val="20"/>
                <w:szCs w:val="20"/>
              </w:rPr>
            </w:pPr>
            <w:r w:rsidRPr="00CD683B">
              <w:rPr>
                <w:b/>
                <w:color w:val="000000"/>
                <w:sz w:val="20"/>
                <w:szCs w:val="20"/>
              </w:rPr>
              <w:t>100.0</w:t>
            </w:r>
          </w:p>
        </w:tc>
        <w:tc>
          <w:tcPr>
            <w:tcW w:w="143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D01F35" w14:textId="77777777" w:rsidR="00CD683B" w:rsidRPr="00CD683B" w:rsidRDefault="00CD683B" w:rsidP="00CD683B">
            <w:pPr>
              <w:jc w:val="center"/>
              <w:rPr>
                <w:sz w:val="20"/>
                <w:szCs w:val="20"/>
              </w:rPr>
            </w:pPr>
            <w:r w:rsidRPr="00CD683B">
              <w:rPr>
                <w:b/>
                <w:color w:val="000000"/>
                <w:sz w:val="20"/>
                <w:szCs w:val="20"/>
              </w:rPr>
              <w:t>100.0</w:t>
            </w:r>
          </w:p>
        </w:tc>
        <w:tc>
          <w:tcPr>
            <w:tcW w:w="121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4A295E" w14:textId="77777777" w:rsidR="00CD683B" w:rsidRPr="00CD683B" w:rsidRDefault="00CD683B" w:rsidP="00CD683B">
            <w:pPr>
              <w:jc w:val="center"/>
              <w:rPr>
                <w:sz w:val="20"/>
                <w:szCs w:val="20"/>
              </w:rPr>
            </w:pPr>
            <w:r w:rsidRPr="00CD683B">
              <w:rPr>
                <w:b/>
                <w:color w:val="000000"/>
                <w:sz w:val="20"/>
                <w:szCs w:val="20"/>
              </w:rPr>
              <w:t>263</w:t>
            </w:r>
          </w:p>
        </w:tc>
        <w:tc>
          <w:tcPr>
            <w:tcW w:w="85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21D164" w14:textId="77777777" w:rsidR="00CD683B" w:rsidRPr="00CD683B" w:rsidRDefault="00CD683B" w:rsidP="00CD683B">
            <w:pPr>
              <w:jc w:val="center"/>
              <w:rPr>
                <w:sz w:val="20"/>
                <w:szCs w:val="20"/>
              </w:rPr>
            </w:pPr>
            <w:r w:rsidRPr="00CD683B">
              <w:rPr>
                <w:b/>
                <w:color w:val="000000"/>
                <w:sz w:val="20"/>
                <w:szCs w:val="20"/>
              </w:rPr>
              <w:t>100.0</w:t>
            </w:r>
          </w:p>
        </w:tc>
        <w:tc>
          <w:tcPr>
            <w:tcW w:w="10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6AC5CB" w14:textId="77777777" w:rsidR="00CD683B" w:rsidRPr="00CD683B" w:rsidRDefault="00CD683B" w:rsidP="00CD683B">
            <w:pPr>
              <w:jc w:val="center"/>
              <w:rPr>
                <w:sz w:val="20"/>
                <w:szCs w:val="20"/>
              </w:rPr>
            </w:pPr>
            <w:r w:rsidRPr="00CD683B">
              <w:rPr>
                <w:b/>
                <w:color w:val="000000"/>
                <w:sz w:val="20"/>
                <w:szCs w:val="20"/>
              </w:rPr>
              <w:t>277,641</w:t>
            </w:r>
          </w:p>
        </w:tc>
        <w:tc>
          <w:tcPr>
            <w:tcW w:w="8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32B5C4" w14:textId="77777777" w:rsidR="00CD683B" w:rsidRPr="00CD683B" w:rsidRDefault="00CD683B" w:rsidP="00CD683B">
            <w:pPr>
              <w:jc w:val="center"/>
              <w:rPr>
                <w:sz w:val="20"/>
                <w:szCs w:val="20"/>
              </w:rPr>
            </w:pPr>
            <w:r w:rsidRPr="00CD683B">
              <w:rPr>
                <w:b/>
                <w:color w:val="000000"/>
                <w:sz w:val="20"/>
                <w:szCs w:val="20"/>
              </w:rPr>
              <w:t>100.0</w:t>
            </w:r>
          </w:p>
        </w:tc>
      </w:tr>
      <w:tr w:rsidR="00CD683B" w:rsidRPr="00CD683B" w14:paraId="0BBE3D6A" w14:textId="77777777" w:rsidTr="00CD683B">
        <w:trPr>
          <w:trHeight w:val="509"/>
        </w:trPr>
        <w:tc>
          <w:tcPr>
            <w:tcW w:w="9438"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209C9A8A" w14:textId="77777777" w:rsidR="00CD683B" w:rsidRPr="00CD683B" w:rsidRDefault="00CD683B" w:rsidP="00CD683B">
            <w:pPr>
              <w:rPr>
                <w:sz w:val="20"/>
                <w:szCs w:val="20"/>
              </w:rPr>
            </w:pPr>
            <w:r w:rsidRPr="00CD683B">
              <w:rPr>
                <w:i/>
                <w:color w:val="000000"/>
                <w:sz w:val="16"/>
                <w:szCs w:val="20"/>
              </w:rPr>
              <w:t>Source: 2015 ACS; Bank Data, 2019 HMDA Aggregate Data, "--" data not available.</w:t>
            </w:r>
          </w:p>
          <w:p w14:paraId="32E163CB" w14:textId="77777777" w:rsidR="00CD683B" w:rsidRPr="00CD683B" w:rsidRDefault="00CD683B" w:rsidP="00CD683B">
            <w:pPr>
              <w:rPr>
                <w:sz w:val="20"/>
                <w:szCs w:val="20"/>
              </w:rPr>
            </w:pPr>
            <w:r w:rsidRPr="00CD683B">
              <w:rPr>
                <w:i/>
                <w:color w:val="000000"/>
                <w:sz w:val="16"/>
                <w:szCs w:val="20"/>
              </w:rPr>
              <w:t>Due to rounding, totals may not equal 100.0%</w:t>
            </w:r>
          </w:p>
        </w:tc>
      </w:tr>
    </w:tbl>
    <w:p w14:paraId="1C46B6BE" w14:textId="77777777" w:rsidR="00CD683B" w:rsidRDefault="00CD683B" w:rsidP="00E41020">
      <w:pPr>
        <w:rPr>
          <w:b/>
          <w:bCs/>
          <w:u w:val="single"/>
        </w:rPr>
      </w:pPr>
    </w:p>
    <w:p w14:paraId="5FDD6971" w14:textId="77777777" w:rsidR="000C640D" w:rsidRPr="00E804C2" w:rsidRDefault="000C640D" w:rsidP="000C640D">
      <w:pPr>
        <w:autoSpaceDE w:val="0"/>
        <w:autoSpaceDN w:val="0"/>
        <w:adjustRightInd w:val="0"/>
        <w:rPr>
          <w:color w:val="000000"/>
        </w:rPr>
      </w:pPr>
      <w:r w:rsidRPr="00E804C2">
        <w:rPr>
          <w:b/>
          <w:bCs/>
          <w:i/>
          <w:iCs/>
          <w:color w:val="000000"/>
        </w:rPr>
        <w:t xml:space="preserve">Small Business Loans </w:t>
      </w:r>
    </w:p>
    <w:p w14:paraId="4C230CC3" w14:textId="5E94436B" w:rsidR="000C640D" w:rsidRDefault="000C640D" w:rsidP="000C640D">
      <w:pPr>
        <w:contextualSpacing/>
      </w:pPr>
      <w:r w:rsidRPr="00005E3A">
        <w:t xml:space="preserve">The geographic distribution of small business loans reflects </w:t>
      </w:r>
      <w:r w:rsidR="00E804C2" w:rsidRPr="00005E3A">
        <w:t xml:space="preserve">good </w:t>
      </w:r>
      <w:r w:rsidR="005379B0" w:rsidRPr="00005E3A">
        <w:t>penetration throughout</w:t>
      </w:r>
      <w:r w:rsidR="00E804C2" w:rsidRPr="00005E3A">
        <w:t xml:space="preserve"> the assessment area</w:t>
      </w:r>
      <w:r w:rsidRPr="00005E3A">
        <w:t xml:space="preserve">.  </w:t>
      </w:r>
      <w:r w:rsidR="00E804C2" w:rsidRPr="00005E3A">
        <w:t>EBSB’s lending performance</w:t>
      </w:r>
      <w:r w:rsidR="00005E3A">
        <w:t xml:space="preserve"> consistently</w:t>
      </w:r>
      <w:r w:rsidR="00E804C2" w:rsidRPr="00005E3A">
        <w:t xml:space="preserve"> exceeded </w:t>
      </w:r>
      <w:r w:rsidRPr="00005E3A">
        <w:t>aggregate and demographic data</w:t>
      </w:r>
      <w:r w:rsidR="00E804C2" w:rsidRPr="00005E3A">
        <w:t xml:space="preserve"> in moderate-income census tracts for all years analyzed.  </w:t>
      </w:r>
      <w:r w:rsidRPr="00005E3A">
        <w:t xml:space="preserve">In </w:t>
      </w:r>
      <w:r w:rsidR="00E804C2" w:rsidRPr="00005E3A">
        <w:t>low</w:t>
      </w:r>
      <w:r w:rsidRPr="00005E3A">
        <w:t xml:space="preserve">-income tracts, lending </w:t>
      </w:r>
      <w:r w:rsidR="00E804C2" w:rsidRPr="00005E3A">
        <w:t>performance exceeded</w:t>
      </w:r>
      <w:r w:rsidRPr="00005E3A">
        <w:t xml:space="preserve"> aggregate and the demographics in </w:t>
      </w:r>
      <w:r w:rsidR="00E804C2" w:rsidRPr="00005E3A">
        <w:t>2018</w:t>
      </w:r>
      <w:r w:rsidR="00EF7310">
        <w:t>,</w:t>
      </w:r>
      <w:r w:rsidR="00E804C2" w:rsidRPr="00005E3A">
        <w:t xml:space="preserve"> </w:t>
      </w:r>
      <w:r w:rsidR="005379B0" w:rsidRPr="00005E3A">
        <w:t>but declined</w:t>
      </w:r>
      <w:r w:rsidR="00E804C2" w:rsidRPr="00005E3A">
        <w:t xml:space="preserve"> to 3.4 percent</w:t>
      </w:r>
      <w:r w:rsidR="00E804C2">
        <w:t xml:space="preserve"> below demographic data in 2019 (aggregate data is not available for comparison)</w:t>
      </w:r>
      <w:r w:rsidR="00005E3A">
        <w:t>.  Performance in this area generally aligns with that of the previous evaluation except</w:t>
      </w:r>
      <w:r w:rsidR="005379B0">
        <w:t xml:space="preserve"> for the</w:t>
      </w:r>
      <w:r w:rsidR="00005E3A">
        <w:t xml:space="preserve"> decline in low-income census tracts observed in 2019.</w:t>
      </w:r>
      <w:r>
        <w:t xml:space="preserve">  </w:t>
      </w:r>
    </w:p>
    <w:p w14:paraId="77AD6037" w14:textId="77777777" w:rsidR="000C640D" w:rsidRDefault="000C640D" w:rsidP="000C640D">
      <w:pPr>
        <w:contextualSpacing/>
      </w:pPr>
    </w:p>
    <w:p w14:paraId="515113D8" w14:textId="77777777" w:rsidR="005A45CB" w:rsidRDefault="005A45CB" w:rsidP="000C640D">
      <w:pPr>
        <w:contextualSpacing/>
      </w:pPr>
    </w:p>
    <w:p w14:paraId="2E7314AB" w14:textId="77777777" w:rsidR="005A45CB" w:rsidRDefault="005A45CB" w:rsidP="000C640D">
      <w:pPr>
        <w:contextualSpacing/>
      </w:pPr>
    </w:p>
    <w:p w14:paraId="0FECBDBD" w14:textId="77777777" w:rsidR="005A45CB" w:rsidRDefault="005A45CB" w:rsidP="000C640D">
      <w:pPr>
        <w:contextualSpacing/>
      </w:pPr>
    </w:p>
    <w:p w14:paraId="0837B86E" w14:textId="77777777" w:rsidR="005A45CB" w:rsidRDefault="005A45CB" w:rsidP="000C640D">
      <w:pPr>
        <w:contextualSpacing/>
      </w:pPr>
    </w:p>
    <w:p w14:paraId="5CAB1359" w14:textId="77777777" w:rsidR="005A45CB" w:rsidRDefault="005A45CB" w:rsidP="000C640D">
      <w:pPr>
        <w:contextualSpacing/>
      </w:pPr>
    </w:p>
    <w:p w14:paraId="2A1230CC" w14:textId="77777777" w:rsidR="005A45CB" w:rsidRDefault="005A45CB" w:rsidP="000C640D">
      <w:pPr>
        <w:contextualSpacing/>
      </w:pPr>
    </w:p>
    <w:p w14:paraId="16E6D86E" w14:textId="77777777" w:rsidR="005A45CB" w:rsidRDefault="005A45CB" w:rsidP="000C640D">
      <w:pPr>
        <w:contextualSpacing/>
      </w:pPr>
    </w:p>
    <w:p w14:paraId="3109B107" w14:textId="77777777" w:rsidR="005A45CB" w:rsidRDefault="005A45CB" w:rsidP="000C640D">
      <w:pPr>
        <w:contextualSpacing/>
      </w:pPr>
    </w:p>
    <w:tbl>
      <w:tblPr>
        <w:tblW w:w="0" w:type="auto"/>
        <w:tblCellMar>
          <w:left w:w="0" w:type="dxa"/>
          <w:right w:w="0" w:type="dxa"/>
        </w:tblCellMar>
        <w:tblLook w:val="0000" w:firstRow="0" w:lastRow="0" w:firstColumn="0" w:lastColumn="0" w:noHBand="0" w:noVBand="0"/>
      </w:tblPr>
      <w:tblGrid>
        <w:gridCol w:w="2529"/>
        <w:gridCol w:w="1423"/>
        <w:gridCol w:w="1431"/>
        <w:gridCol w:w="981"/>
        <w:gridCol w:w="991"/>
        <w:gridCol w:w="996"/>
        <w:gridCol w:w="991"/>
      </w:tblGrid>
      <w:tr w:rsidR="000C640D" w:rsidRPr="000C640D" w14:paraId="36CBA5D1" w14:textId="77777777" w:rsidTr="000C640D">
        <w:trPr>
          <w:trHeight w:val="282"/>
        </w:trPr>
        <w:tc>
          <w:tcPr>
            <w:tcW w:w="9438"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BD934CE" w14:textId="77777777" w:rsidR="000C640D" w:rsidRPr="000C640D" w:rsidRDefault="000C640D" w:rsidP="000C640D">
            <w:pPr>
              <w:jc w:val="center"/>
              <w:rPr>
                <w:sz w:val="20"/>
                <w:szCs w:val="20"/>
              </w:rPr>
            </w:pPr>
            <w:r w:rsidRPr="000C640D">
              <w:rPr>
                <w:b/>
                <w:color w:val="000000"/>
                <w:sz w:val="20"/>
                <w:szCs w:val="20"/>
              </w:rPr>
              <w:lastRenderedPageBreak/>
              <w:t>Geographic Distribution of Small Business Loans</w:t>
            </w:r>
          </w:p>
        </w:tc>
      </w:tr>
      <w:tr w:rsidR="000C640D" w:rsidRPr="000C640D" w14:paraId="2C38F6D0" w14:textId="77777777" w:rsidTr="000C640D">
        <w:trPr>
          <w:trHeight w:val="498"/>
        </w:trPr>
        <w:tc>
          <w:tcPr>
            <w:tcW w:w="2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DA51ABE" w14:textId="77777777" w:rsidR="000C640D" w:rsidRPr="000C640D" w:rsidRDefault="000C640D" w:rsidP="000C640D">
            <w:pPr>
              <w:rPr>
                <w:sz w:val="20"/>
                <w:szCs w:val="20"/>
              </w:rPr>
            </w:pPr>
            <w:r w:rsidRPr="000C640D">
              <w:rPr>
                <w:b/>
                <w:color w:val="000000"/>
                <w:sz w:val="20"/>
                <w:szCs w:val="20"/>
              </w:rPr>
              <w:t>Tract Income Level</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1FFC05F" w14:textId="77777777" w:rsidR="000C640D" w:rsidRPr="000C640D" w:rsidRDefault="000C640D" w:rsidP="000C640D">
            <w:pPr>
              <w:jc w:val="center"/>
              <w:rPr>
                <w:sz w:val="20"/>
                <w:szCs w:val="20"/>
              </w:rPr>
            </w:pPr>
            <w:r w:rsidRPr="000C640D">
              <w:rPr>
                <w:b/>
                <w:color w:val="000000"/>
                <w:sz w:val="20"/>
                <w:szCs w:val="20"/>
              </w:rPr>
              <w:t>% of  Businesses</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B83ABB7" w14:textId="77777777" w:rsidR="000C640D" w:rsidRPr="000C640D" w:rsidRDefault="000C640D" w:rsidP="000C640D">
            <w:pPr>
              <w:jc w:val="center"/>
              <w:rPr>
                <w:sz w:val="20"/>
                <w:szCs w:val="20"/>
              </w:rPr>
            </w:pPr>
            <w:r w:rsidRPr="000C640D">
              <w:rPr>
                <w:b/>
                <w:color w:val="000000"/>
                <w:sz w:val="20"/>
                <w:szCs w:val="20"/>
              </w:rPr>
              <w:t>Aggregate Performance</w:t>
            </w:r>
            <w:r w:rsidRPr="000C640D">
              <w:rPr>
                <w:b/>
                <w:color w:val="000000"/>
                <w:sz w:val="20"/>
                <w:szCs w:val="20"/>
              </w:rPr>
              <w:br/>
              <w:t>% of #</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55F75F5" w14:textId="77777777" w:rsidR="000C640D" w:rsidRPr="000C640D" w:rsidRDefault="000C640D" w:rsidP="000C640D">
            <w:pPr>
              <w:jc w:val="center"/>
              <w:rPr>
                <w:sz w:val="20"/>
                <w:szCs w:val="20"/>
              </w:rPr>
            </w:pPr>
            <w:r w:rsidRPr="000C640D">
              <w:rPr>
                <w:b/>
                <w:color w:val="000000"/>
                <w:sz w:val="20"/>
                <w:szCs w:val="20"/>
              </w:rPr>
              <w:t>#</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3D06C2" w14:textId="77777777" w:rsidR="000C640D" w:rsidRPr="000C640D" w:rsidRDefault="000C640D" w:rsidP="000C640D">
            <w:pPr>
              <w:jc w:val="center"/>
              <w:rPr>
                <w:sz w:val="20"/>
                <w:szCs w:val="20"/>
              </w:rPr>
            </w:pPr>
            <w:r w:rsidRPr="000C640D">
              <w:rPr>
                <w:b/>
                <w:color w:val="000000"/>
                <w:sz w:val="20"/>
                <w:szCs w:val="20"/>
              </w:rPr>
              <w:t>%</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38F047" w14:textId="77777777" w:rsidR="000C640D" w:rsidRPr="000C640D" w:rsidRDefault="000C640D" w:rsidP="000C640D">
            <w:pPr>
              <w:jc w:val="center"/>
              <w:rPr>
                <w:sz w:val="20"/>
                <w:szCs w:val="20"/>
              </w:rPr>
            </w:pPr>
            <w:r w:rsidRPr="000C640D">
              <w:rPr>
                <w:b/>
                <w:color w:val="000000"/>
                <w:sz w:val="20"/>
                <w:szCs w:val="20"/>
              </w:rPr>
              <w:t>$(000s)</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D66CFA6" w14:textId="77777777" w:rsidR="000C640D" w:rsidRPr="000C640D" w:rsidRDefault="000C640D" w:rsidP="000C640D">
            <w:pPr>
              <w:jc w:val="center"/>
              <w:rPr>
                <w:sz w:val="20"/>
                <w:szCs w:val="20"/>
              </w:rPr>
            </w:pPr>
            <w:r w:rsidRPr="000C640D">
              <w:rPr>
                <w:b/>
                <w:color w:val="000000"/>
                <w:sz w:val="20"/>
                <w:szCs w:val="20"/>
              </w:rPr>
              <w:t>%</w:t>
            </w:r>
          </w:p>
        </w:tc>
      </w:tr>
      <w:tr w:rsidR="000C640D" w:rsidRPr="000C640D" w14:paraId="07822F7C" w14:textId="77777777" w:rsidTr="000C640D">
        <w:trPr>
          <w:trHeight w:val="181"/>
        </w:trPr>
        <w:tc>
          <w:tcPr>
            <w:tcW w:w="2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61456F" w14:textId="77777777" w:rsidR="000C640D" w:rsidRPr="000C640D" w:rsidRDefault="000C640D" w:rsidP="000C640D">
            <w:pPr>
              <w:rPr>
                <w:sz w:val="20"/>
                <w:szCs w:val="20"/>
              </w:rPr>
            </w:pPr>
            <w:r w:rsidRPr="000C640D">
              <w:rPr>
                <w:color w:val="000000"/>
                <w:sz w:val="20"/>
                <w:szCs w:val="20"/>
              </w:rPr>
              <w:t>Low</w:t>
            </w:r>
          </w:p>
        </w:tc>
        <w:tc>
          <w:tcPr>
            <w:tcW w:w="687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16BD2" w14:textId="77777777" w:rsidR="000C640D" w:rsidRPr="000C640D" w:rsidRDefault="000C640D" w:rsidP="000C640D">
            <w:pPr>
              <w:rPr>
                <w:sz w:val="20"/>
                <w:szCs w:val="20"/>
              </w:rPr>
            </w:pPr>
          </w:p>
        </w:tc>
      </w:tr>
      <w:tr w:rsidR="000C640D" w:rsidRPr="000C640D" w14:paraId="7F2912E6"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8645382" w14:textId="77777777" w:rsidR="000C640D" w:rsidRPr="000C640D" w:rsidRDefault="000C640D" w:rsidP="000C640D">
            <w:pPr>
              <w:jc w:val="right"/>
              <w:rPr>
                <w:sz w:val="20"/>
                <w:szCs w:val="20"/>
              </w:rPr>
            </w:pPr>
            <w:r w:rsidRPr="000C640D">
              <w:rPr>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E46331" w14:textId="77777777" w:rsidR="000C640D" w:rsidRPr="000C640D" w:rsidRDefault="000C640D" w:rsidP="000C640D">
            <w:pPr>
              <w:jc w:val="center"/>
              <w:rPr>
                <w:sz w:val="20"/>
                <w:szCs w:val="20"/>
              </w:rPr>
            </w:pPr>
            <w:r w:rsidRPr="000C640D">
              <w:rPr>
                <w:color w:val="000000"/>
                <w:sz w:val="20"/>
                <w:szCs w:val="20"/>
              </w:rPr>
              <w:t>11.3</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E14C8" w14:textId="77777777" w:rsidR="000C640D" w:rsidRPr="000C640D" w:rsidRDefault="000C640D" w:rsidP="000C640D">
            <w:pPr>
              <w:jc w:val="center"/>
              <w:rPr>
                <w:sz w:val="20"/>
                <w:szCs w:val="20"/>
              </w:rPr>
            </w:pPr>
            <w:r w:rsidRPr="000C640D">
              <w:rPr>
                <w:color w:val="000000"/>
                <w:sz w:val="20"/>
                <w:szCs w:val="20"/>
              </w:rPr>
              <w:t>10.5</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302F85" w14:textId="77777777" w:rsidR="000C640D" w:rsidRPr="000C640D" w:rsidRDefault="000C640D" w:rsidP="000C640D">
            <w:pPr>
              <w:jc w:val="center"/>
              <w:rPr>
                <w:sz w:val="20"/>
                <w:szCs w:val="20"/>
              </w:rPr>
            </w:pPr>
            <w:r w:rsidRPr="000C640D">
              <w:rPr>
                <w:color w:val="000000"/>
                <w:sz w:val="20"/>
                <w:szCs w:val="20"/>
              </w:rPr>
              <w:t>12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9BECAF" w14:textId="77777777" w:rsidR="000C640D" w:rsidRPr="000C640D" w:rsidRDefault="000C640D" w:rsidP="000C640D">
            <w:pPr>
              <w:jc w:val="center"/>
              <w:rPr>
                <w:sz w:val="20"/>
                <w:szCs w:val="20"/>
              </w:rPr>
            </w:pPr>
            <w:r w:rsidRPr="000C640D">
              <w:rPr>
                <w:color w:val="000000"/>
                <w:sz w:val="20"/>
                <w:szCs w:val="20"/>
              </w:rPr>
              <w:t>17.6</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400F0" w14:textId="77777777" w:rsidR="000C640D" w:rsidRPr="000C640D" w:rsidRDefault="000C640D" w:rsidP="000C640D">
            <w:pPr>
              <w:jc w:val="center"/>
              <w:rPr>
                <w:sz w:val="20"/>
                <w:szCs w:val="20"/>
              </w:rPr>
            </w:pPr>
            <w:r w:rsidRPr="000C640D">
              <w:rPr>
                <w:color w:val="000000"/>
                <w:sz w:val="20"/>
                <w:szCs w:val="20"/>
              </w:rPr>
              <w:t>4,892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34F1B1" w14:textId="77777777" w:rsidR="000C640D" w:rsidRPr="000C640D" w:rsidRDefault="000C640D" w:rsidP="000C640D">
            <w:pPr>
              <w:jc w:val="center"/>
              <w:rPr>
                <w:sz w:val="20"/>
                <w:szCs w:val="20"/>
              </w:rPr>
            </w:pPr>
            <w:r w:rsidRPr="000C640D">
              <w:rPr>
                <w:color w:val="000000"/>
                <w:sz w:val="20"/>
                <w:szCs w:val="20"/>
              </w:rPr>
              <w:t>19.7</w:t>
            </w:r>
          </w:p>
        </w:tc>
      </w:tr>
      <w:tr w:rsidR="000C640D" w:rsidRPr="000C640D" w14:paraId="796B1F3F"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5C70EA5" w14:textId="77777777" w:rsidR="000C640D" w:rsidRPr="000C640D" w:rsidRDefault="000C640D" w:rsidP="000C640D">
            <w:pPr>
              <w:jc w:val="right"/>
              <w:rPr>
                <w:sz w:val="20"/>
                <w:szCs w:val="20"/>
              </w:rPr>
            </w:pPr>
            <w:r w:rsidRPr="000C640D">
              <w:rPr>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9AAFB" w14:textId="77777777" w:rsidR="000C640D" w:rsidRPr="000C640D" w:rsidRDefault="000C640D" w:rsidP="000C640D">
            <w:pPr>
              <w:jc w:val="center"/>
              <w:rPr>
                <w:sz w:val="20"/>
                <w:szCs w:val="20"/>
              </w:rPr>
            </w:pPr>
            <w:r w:rsidRPr="000C640D">
              <w:rPr>
                <w:color w:val="000000"/>
                <w:sz w:val="20"/>
                <w:szCs w:val="20"/>
              </w:rPr>
              <w:t>11.2</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12D42" w14:textId="77777777" w:rsidR="000C640D" w:rsidRPr="000C640D" w:rsidRDefault="000C640D" w:rsidP="000C640D">
            <w:pPr>
              <w:jc w:val="center"/>
              <w:rPr>
                <w:sz w:val="20"/>
                <w:szCs w:val="20"/>
              </w:rPr>
            </w:pPr>
            <w:r w:rsidRPr="000C640D">
              <w:rPr>
                <w:color w:val="000000"/>
                <w:sz w:val="20"/>
                <w:szCs w:val="20"/>
              </w:rPr>
              <w:t>--</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E22127" w14:textId="77777777" w:rsidR="000C640D" w:rsidRPr="000C640D" w:rsidRDefault="000C640D" w:rsidP="000C640D">
            <w:pPr>
              <w:jc w:val="center"/>
              <w:rPr>
                <w:sz w:val="20"/>
                <w:szCs w:val="20"/>
              </w:rPr>
            </w:pPr>
            <w:r w:rsidRPr="000C640D">
              <w:rPr>
                <w:color w:val="000000"/>
                <w:sz w:val="20"/>
                <w:szCs w:val="20"/>
              </w:rPr>
              <w:t>4</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ECFC1" w14:textId="77777777" w:rsidR="000C640D" w:rsidRPr="000C640D" w:rsidRDefault="000C640D" w:rsidP="000C640D">
            <w:pPr>
              <w:jc w:val="center"/>
              <w:rPr>
                <w:sz w:val="20"/>
                <w:szCs w:val="20"/>
              </w:rPr>
            </w:pPr>
            <w:r w:rsidRPr="000C640D">
              <w:rPr>
                <w:color w:val="000000"/>
                <w:sz w:val="20"/>
                <w:szCs w:val="20"/>
              </w:rPr>
              <w:t>7.8</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4D8E2" w14:textId="77777777" w:rsidR="000C640D" w:rsidRPr="000C640D" w:rsidRDefault="000C640D" w:rsidP="000C640D">
            <w:pPr>
              <w:jc w:val="center"/>
              <w:rPr>
                <w:sz w:val="20"/>
                <w:szCs w:val="20"/>
              </w:rPr>
            </w:pPr>
            <w:r w:rsidRPr="000C640D">
              <w:rPr>
                <w:color w:val="000000"/>
                <w:sz w:val="20"/>
                <w:szCs w:val="20"/>
              </w:rPr>
              <w:t>1,580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131AA" w14:textId="77777777" w:rsidR="000C640D" w:rsidRPr="000C640D" w:rsidRDefault="000C640D" w:rsidP="000C640D">
            <w:pPr>
              <w:jc w:val="center"/>
              <w:rPr>
                <w:sz w:val="20"/>
                <w:szCs w:val="20"/>
              </w:rPr>
            </w:pPr>
            <w:r w:rsidRPr="000C640D">
              <w:rPr>
                <w:color w:val="000000"/>
                <w:sz w:val="20"/>
                <w:szCs w:val="20"/>
              </w:rPr>
              <w:t>8.4</w:t>
            </w:r>
          </w:p>
        </w:tc>
      </w:tr>
      <w:tr w:rsidR="000C640D" w:rsidRPr="000C640D" w14:paraId="3579C2F1" w14:textId="77777777" w:rsidTr="000C640D">
        <w:trPr>
          <w:trHeight w:val="181"/>
        </w:trPr>
        <w:tc>
          <w:tcPr>
            <w:tcW w:w="2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D9AA196" w14:textId="77777777" w:rsidR="000C640D" w:rsidRPr="000C640D" w:rsidRDefault="000C640D" w:rsidP="000C640D">
            <w:pPr>
              <w:rPr>
                <w:sz w:val="20"/>
                <w:szCs w:val="20"/>
              </w:rPr>
            </w:pPr>
            <w:r w:rsidRPr="000C640D">
              <w:rPr>
                <w:color w:val="000000"/>
                <w:sz w:val="20"/>
                <w:szCs w:val="20"/>
              </w:rPr>
              <w:t>Moderate</w:t>
            </w:r>
          </w:p>
        </w:tc>
        <w:tc>
          <w:tcPr>
            <w:tcW w:w="687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35A7F8" w14:textId="77777777" w:rsidR="000C640D" w:rsidRPr="000C640D" w:rsidRDefault="000C640D" w:rsidP="000C640D">
            <w:pPr>
              <w:rPr>
                <w:sz w:val="20"/>
                <w:szCs w:val="20"/>
              </w:rPr>
            </w:pPr>
          </w:p>
        </w:tc>
      </w:tr>
      <w:tr w:rsidR="000C640D" w:rsidRPr="000C640D" w14:paraId="66261CD3"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B3855F8" w14:textId="77777777" w:rsidR="000C640D" w:rsidRPr="000C640D" w:rsidRDefault="000C640D" w:rsidP="000C640D">
            <w:pPr>
              <w:jc w:val="right"/>
              <w:rPr>
                <w:sz w:val="20"/>
                <w:szCs w:val="20"/>
              </w:rPr>
            </w:pPr>
            <w:r w:rsidRPr="000C640D">
              <w:rPr>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6CA55" w14:textId="77777777" w:rsidR="000C640D" w:rsidRPr="000C640D" w:rsidRDefault="000C640D" w:rsidP="000C640D">
            <w:pPr>
              <w:jc w:val="center"/>
              <w:rPr>
                <w:sz w:val="20"/>
                <w:szCs w:val="20"/>
              </w:rPr>
            </w:pPr>
            <w:r w:rsidRPr="000C640D">
              <w:rPr>
                <w:color w:val="000000"/>
                <w:sz w:val="20"/>
                <w:szCs w:val="20"/>
              </w:rPr>
              <w:t>21.5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D0468" w14:textId="77777777" w:rsidR="000C640D" w:rsidRPr="000C640D" w:rsidRDefault="000C640D" w:rsidP="000C640D">
            <w:pPr>
              <w:jc w:val="center"/>
              <w:rPr>
                <w:sz w:val="20"/>
                <w:szCs w:val="20"/>
              </w:rPr>
            </w:pPr>
            <w:r w:rsidRPr="000C640D">
              <w:rPr>
                <w:color w:val="000000"/>
                <w:sz w:val="20"/>
                <w:szCs w:val="20"/>
              </w:rPr>
              <w:t>23.2</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2EE857" w14:textId="77777777" w:rsidR="000C640D" w:rsidRPr="000C640D" w:rsidRDefault="000C640D" w:rsidP="000C640D">
            <w:pPr>
              <w:jc w:val="center"/>
              <w:rPr>
                <w:sz w:val="20"/>
                <w:szCs w:val="20"/>
              </w:rPr>
            </w:pPr>
            <w:r w:rsidRPr="000C640D">
              <w:rPr>
                <w:color w:val="000000"/>
                <w:sz w:val="20"/>
                <w:szCs w:val="20"/>
              </w:rPr>
              <w:t>22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943449" w14:textId="77777777" w:rsidR="000C640D" w:rsidRPr="000C640D" w:rsidRDefault="000C640D" w:rsidP="000C640D">
            <w:pPr>
              <w:jc w:val="center"/>
              <w:rPr>
                <w:sz w:val="20"/>
                <w:szCs w:val="20"/>
              </w:rPr>
            </w:pPr>
            <w:r w:rsidRPr="000C640D">
              <w:rPr>
                <w:color w:val="000000"/>
                <w:sz w:val="20"/>
                <w:szCs w:val="20"/>
              </w:rPr>
              <w:t>32.4</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A6B6D3" w14:textId="77777777" w:rsidR="000C640D" w:rsidRPr="000C640D" w:rsidRDefault="000C640D" w:rsidP="000C640D">
            <w:pPr>
              <w:jc w:val="center"/>
              <w:rPr>
                <w:sz w:val="20"/>
                <w:szCs w:val="20"/>
              </w:rPr>
            </w:pPr>
            <w:r w:rsidRPr="000C640D">
              <w:rPr>
                <w:color w:val="000000"/>
                <w:sz w:val="20"/>
                <w:szCs w:val="20"/>
              </w:rPr>
              <w:t>9,456</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C0A27B" w14:textId="77777777" w:rsidR="000C640D" w:rsidRPr="000C640D" w:rsidRDefault="000C640D" w:rsidP="000C640D">
            <w:pPr>
              <w:jc w:val="center"/>
              <w:rPr>
                <w:sz w:val="20"/>
                <w:szCs w:val="20"/>
              </w:rPr>
            </w:pPr>
            <w:r w:rsidRPr="000C640D">
              <w:rPr>
                <w:color w:val="000000"/>
                <w:sz w:val="20"/>
                <w:szCs w:val="20"/>
              </w:rPr>
              <w:t>38.0</w:t>
            </w:r>
          </w:p>
        </w:tc>
      </w:tr>
      <w:tr w:rsidR="000C640D" w:rsidRPr="000C640D" w14:paraId="582C31EF"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F2CCA2E" w14:textId="77777777" w:rsidR="000C640D" w:rsidRPr="000C640D" w:rsidRDefault="000C640D" w:rsidP="000C640D">
            <w:pPr>
              <w:jc w:val="right"/>
              <w:rPr>
                <w:sz w:val="20"/>
                <w:szCs w:val="20"/>
              </w:rPr>
            </w:pPr>
            <w:r w:rsidRPr="000C640D">
              <w:rPr>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552665" w14:textId="77777777" w:rsidR="000C640D" w:rsidRPr="000C640D" w:rsidRDefault="000C640D" w:rsidP="000C640D">
            <w:pPr>
              <w:jc w:val="center"/>
              <w:rPr>
                <w:sz w:val="20"/>
                <w:szCs w:val="20"/>
              </w:rPr>
            </w:pPr>
            <w:r w:rsidRPr="000C640D">
              <w:rPr>
                <w:color w:val="000000"/>
                <w:sz w:val="20"/>
                <w:szCs w:val="20"/>
              </w:rPr>
              <w:t>21.9</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AEC8CE" w14:textId="77777777" w:rsidR="000C640D" w:rsidRPr="000C640D" w:rsidRDefault="000C640D" w:rsidP="000C640D">
            <w:pPr>
              <w:jc w:val="center"/>
              <w:rPr>
                <w:sz w:val="20"/>
                <w:szCs w:val="20"/>
              </w:rPr>
            </w:pPr>
            <w:r w:rsidRPr="000C640D">
              <w:rPr>
                <w:color w:val="000000"/>
                <w:sz w:val="20"/>
                <w:szCs w:val="20"/>
              </w:rPr>
              <w:t>--</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5A780E" w14:textId="77777777" w:rsidR="000C640D" w:rsidRPr="000C640D" w:rsidRDefault="000C640D" w:rsidP="000C640D">
            <w:pPr>
              <w:jc w:val="center"/>
              <w:rPr>
                <w:sz w:val="20"/>
                <w:szCs w:val="20"/>
              </w:rPr>
            </w:pPr>
            <w:r w:rsidRPr="000C640D">
              <w:rPr>
                <w:color w:val="000000"/>
                <w:sz w:val="20"/>
                <w:szCs w:val="20"/>
              </w:rPr>
              <w:t>17</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C762B" w14:textId="77777777" w:rsidR="000C640D" w:rsidRPr="000C640D" w:rsidRDefault="000C640D" w:rsidP="000C640D">
            <w:pPr>
              <w:jc w:val="center"/>
              <w:rPr>
                <w:sz w:val="20"/>
                <w:szCs w:val="20"/>
              </w:rPr>
            </w:pPr>
            <w:r w:rsidRPr="000C640D">
              <w:rPr>
                <w:color w:val="000000"/>
                <w:sz w:val="20"/>
                <w:szCs w:val="20"/>
              </w:rPr>
              <w:t>33.3</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E3B98" w14:textId="77777777" w:rsidR="000C640D" w:rsidRPr="000C640D" w:rsidRDefault="000C640D" w:rsidP="000C640D">
            <w:pPr>
              <w:jc w:val="center"/>
              <w:rPr>
                <w:sz w:val="20"/>
                <w:szCs w:val="20"/>
              </w:rPr>
            </w:pPr>
            <w:r w:rsidRPr="000C640D">
              <w:rPr>
                <w:color w:val="000000"/>
                <w:sz w:val="20"/>
                <w:szCs w:val="20"/>
              </w:rPr>
              <w:t>6,298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110651" w14:textId="77777777" w:rsidR="000C640D" w:rsidRPr="000C640D" w:rsidRDefault="000C640D" w:rsidP="000C640D">
            <w:pPr>
              <w:jc w:val="center"/>
              <w:rPr>
                <w:sz w:val="20"/>
                <w:szCs w:val="20"/>
              </w:rPr>
            </w:pPr>
            <w:r w:rsidRPr="000C640D">
              <w:rPr>
                <w:color w:val="000000"/>
                <w:sz w:val="20"/>
                <w:szCs w:val="20"/>
              </w:rPr>
              <w:t>33.5</w:t>
            </w:r>
          </w:p>
        </w:tc>
      </w:tr>
      <w:tr w:rsidR="000C640D" w:rsidRPr="000C640D" w14:paraId="0F6B15FA" w14:textId="77777777" w:rsidTr="000C640D">
        <w:trPr>
          <w:trHeight w:val="181"/>
        </w:trPr>
        <w:tc>
          <w:tcPr>
            <w:tcW w:w="2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28475DE" w14:textId="77777777" w:rsidR="000C640D" w:rsidRPr="000C640D" w:rsidRDefault="000C640D" w:rsidP="000C640D">
            <w:pPr>
              <w:rPr>
                <w:sz w:val="20"/>
                <w:szCs w:val="20"/>
              </w:rPr>
            </w:pPr>
            <w:r w:rsidRPr="000C640D">
              <w:rPr>
                <w:color w:val="000000"/>
                <w:sz w:val="20"/>
                <w:szCs w:val="20"/>
              </w:rPr>
              <w:t>Middle</w:t>
            </w:r>
          </w:p>
        </w:tc>
        <w:tc>
          <w:tcPr>
            <w:tcW w:w="687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AA8989" w14:textId="77777777" w:rsidR="000C640D" w:rsidRPr="000C640D" w:rsidRDefault="000C640D" w:rsidP="000C640D">
            <w:pPr>
              <w:rPr>
                <w:sz w:val="20"/>
                <w:szCs w:val="20"/>
              </w:rPr>
            </w:pPr>
          </w:p>
        </w:tc>
      </w:tr>
      <w:tr w:rsidR="000C640D" w:rsidRPr="000C640D" w14:paraId="38AE656B"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A36DD0F" w14:textId="77777777" w:rsidR="000C640D" w:rsidRPr="000C640D" w:rsidRDefault="000C640D" w:rsidP="000C640D">
            <w:pPr>
              <w:jc w:val="right"/>
              <w:rPr>
                <w:sz w:val="20"/>
                <w:szCs w:val="20"/>
              </w:rPr>
            </w:pPr>
            <w:r w:rsidRPr="000C640D">
              <w:rPr>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B35A2" w14:textId="77777777" w:rsidR="000C640D" w:rsidRPr="000C640D" w:rsidRDefault="000C640D" w:rsidP="000C640D">
            <w:pPr>
              <w:jc w:val="center"/>
              <w:rPr>
                <w:sz w:val="20"/>
                <w:szCs w:val="20"/>
              </w:rPr>
            </w:pPr>
            <w:r w:rsidRPr="000C640D">
              <w:rPr>
                <w:color w:val="000000"/>
                <w:sz w:val="20"/>
                <w:szCs w:val="20"/>
              </w:rPr>
              <w:t>34.5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54FA3" w14:textId="77777777" w:rsidR="000C640D" w:rsidRPr="000C640D" w:rsidRDefault="000C640D" w:rsidP="000C640D">
            <w:pPr>
              <w:jc w:val="center"/>
              <w:rPr>
                <w:sz w:val="20"/>
                <w:szCs w:val="20"/>
              </w:rPr>
            </w:pPr>
            <w:r w:rsidRPr="000C640D">
              <w:rPr>
                <w:color w:val="000000"/>
                <w:sz w:val="20"/>
                <w:szCs w:val="20"/>
              </w:rPr>
              <w:t>36.7</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CD424" w14:textId="77777777" w:rsidR="000C640D" w:rsidRPr="000C640D" w:rsidRDefault="000C640D" w:rsidP="000C640D">
            <w:pPr>
              <w:jc w:val="center"/>
              <w:rPr>
                <w:sz w:val="20"/>
                <w:szCs w:val="20"/>
              </w:rPr>
            </w:pPr>
            <w:r w:rsidRPr="000C640D">
              <w:rPr>
                <w:color w:val="000000"/>
                <w:sz w:val="20"/>
                <w:szCs w:val="20"/>
              </w:rPr>
              <w:t>25</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433E32" w14:textId="77777777" w:rsidR="000C640D" w:rsidRPr="000C640D" w:rsidRDefault="000C640D" w:rsidP="000C640D">
            <w:pPr>
              <w:jc w:val="center"/>
              <w:rPr>
                <w:sz w:val="20"/>
                <w:szCs w:val="20"/>
              </w:rPr>
            </w:pPr>
            <w:r w:rsidRPr="000C640D">
              <w:rPr>
                <w:color w:val="000000"/>
                <w:sz w:val="20"/>
                <w:szCs w:val="20"/>
              </w:rPr>
              <w:t>36.8</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B5EB30" w14:textId="77777777" w:rsidR="000C640D" w:rsidRPr="000C640D" w:rsidRDefault="000C640D" w:rsidP="000C640D">
            <w:pPr>
              <w:jc w:val="center"/>
              <w:rPr>
                <w:sz w:val="20"/>
                <w:szCs w:val="20"/>
              </w:rPr>
            </w:pPr>
            <w:r w:rsidRPr="000C640D">
              <w:rPr>
                <w:color w:val="000000"/>
                <w:sz w:val="20"/>
                <w:szCs w:val="20"/>
              </w:rPr>
              <w:t>7,482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C8746" w14:textId="77777777" w:rsidR="000C640D" w:rsidRPr="000C640D" w:rsidRDefault="000C640D" w:rsidP="000C640D">
            <w:pPr>
              <w:jc w:val="center"/>
              <w:rPr>
                <w:sz w:val="20"/>
                <w:szCs w:val="20"/>
              </w:rPr>
            </w:pPr>
            <w:r w:rsidRPr="000C640D">
              <w:rPr>
                <w:color w:val="000000"/>
                <w:sz w:val="20"/>
                <w:szCs w:val="20"/>
              </w:rPr>
              <w:t>30.1</w:t>
            </w:r>
          </w:p>
        </w:tc>
      </w:tr>
      <w:tr w:rsidR="000C640D" w:rsidRPr="000C640D" w14:paraId="3E27CD88"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5757D4F" w14:textId="77777777" w:rsidR="000C640D" w:rsidRPr="000C640D" w:rsidRDefault="000C640D" w:rsidP="000C640D">
            <w:pPr>
              <w:jc w:val="right"/>
              <w:rPr>
                <w:sz w:val="20"/>
                <w:szCs w:val="20"/>
              </w:rPr>
            </w:pPr>
            <w:r w:rsidRPr="000C640D">
              <w:rPr>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50575" w14:textId="77777777" w:rsidR="000C640D" w:rsidRPr="000C640D" w:rsidRDefault="000C640D" w:rsidP="000C640D">
            <w:pPr>
              <w:jc w:val="center"/>
              <w:rPr>
                <w:sz w:val="20"/>
                <w:szCs w:val="20"/>
              </w:rPr>
            </w:pPr>
            <w:r w:rsidRPr="000C640D">
              <w:rPr>
                <w:color w:val="000000"/>
                <w:sz w:val="20"/>
                <w:szCs w:val="20"/>
              </w:rPr>
              <w:t>34.2</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BF3776" w14:textId="77777777" w:rsidR="000C640D" w:rsidRPr="000C640D" w:rsidRDefault="000C640D" w:rsidP="000C640D">
            <w:pPr>
              <w:jc w:val="center"/>
              <w:rPr>
                <w:sz w:val="20"/>
                <w:szCs w:val="20"/>
              </w:rPr>
            </w:pPr>
            <w:r w:rsidRPr="000C640D">
              <w:rPr>
                <w:color w:val="000000"/>
                <w:sz w:val="20"/>
                <w:szCs w:val="20"/>
              </w:rPr>
              <w:t>--</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BFA188" w14:textId="77777777" w:rsidR="000C640D" w:rsidRPr="000C640D" w:rsidRDefault="000C640D" w:rsidP="000C640D">
            <w:pPr>
              <w:jc w:val="center"/>
              <w:rPr>
                <w:sz w:val="20"/>
                <w:szCs w:val="20"/>
              </w:rPr>
            </w:pPr>
            <w:r w:rsidRPr="000C640D">
              <w:rPr>
                <w:color w:val="000000"/>
                <w:sz w:val="20"/>
                <w:szCs w:val="20"/>
              </w:rPr>
              <w:t>22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A49508" w14:textId="77777777" w:rsidR="000C640D" w:rsidRPr="000C640D" w:rsidRDefault="000C640D" w:rsidP="000C640D">
            <w:pPr>
              <w:jc w:val="center"/>
              <w:rPr>
                <w:sz w:val="20"/>
                <w:szCs w:val="20"/>
              </w:rPr>
            </w:pPr>
            <w:r w:rsidRPr="000C640D">
              <w:rPr>
                <w:color w:val="000000"/>
                <w:sz w:val="20"/>
                <w:szCs w:val="20"/>
              </w:rPr>
              <w:t>43.1</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61758" w14:textId="77777777" w:rsidR="000C640D" w:rsidRPr="000C640D" w:rsidRDefault="000C640D" w:rsidP="000C640D">
            <w:pPr>
              <w:jc w:val="center"/>
              <w:rPr>
                <w:sz w:val="20"/>
                <w:szCs w:val="20"/>
              </w:rPr>
            </w:pPr>
            <w:r w:rsidRPr="000C640D">
              <w:rPr>
                <w:color w:val="000000"/>
                <w:sz w:val="20"/>
                <w:szCs w:val="20"/>
              </w:rPr>
              <w:t>8,294</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A50BA" w14:textId="77777777" w:rsidR="000C640D" w:rsidRPr="000C640D" w:rsidRDefault="000C640D" w:rsidP="000C640D">
            <w:pPr>
              <w:jc w:val="center"/>
              <w:rPr>
                <w:sz w:val="20"/>
                <w:szCs w:val="20"/>
              </w:rPr>
            </w:pPr>
            <w:r w:rsidRPr="000C640D">
              <w:rPr>
                <w:color w:val="000000"/>
                <w:sz w:val="20"/>
                <w:szCs w:val="20"/>
              </w:rPr>
              <w:t>44.1</w:t>
            </w:r>
          </w:p>
        </w:tc>
      </w:tr>
      <w:tr w:rsidR="000C640D" w:rsidRPr="000C640D" w14:paraId="453E6DCE" w14:textId="77777777" w:rsidTr="000C640D">
        <w:trPr>
          <w:trHeight w:val="181"/>
        </w:trPr>
        <w:tc>
          <w:tcPr>
            <w:tcW w:w="2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804ABB5" w14:textId="77777777" w:rsidR="000C640D" w:rsidRPr="000C640D" w:rsidRDefault="000C640D" w:rsidP="000C640D">
            <w:pPr>
              <w:rPr>
                <w:sz w:val="20"/>
                <w:szCs w:val="20"/>
              </w:rPr>
            </w:pPr>
            <w:r w:rsidRPr="000C640D">
              <w:rPr>
                <w:color w:val="000000"/>
                <w:sz w:val="20"/>
                <w:szCs w:val="20"/>
              </w:rPr>
              <w:t>Upper</w:t>
            </w:r>
          </w:p>
        </w:tc>
        <w:tc>
          <w:tcPr>
            <w:tcW w:w="687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3BF54E" w14:textId="77777777" w:rsidR="000C640D" w:rsidRPr="000C640D" w:rsidRDefault="000C640D" w:rsidP="000C640D">
            <w:pPr>
              <w:rPr>
                <w:sz w:val="20"/>
                <w:szCs w:val="20"/>
              </w:rPr>
            </w:pPr>
          </w:p>
        </w:tc>
      </w:tr>
      <w:tr w:rsidR="000C640D" w:rsidRPr="000C640D" w14:paraId="473362FA"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70741B8" w14:textId="77777777" w:rsidR="000C640D" w:rsidRPr="000C640D" w:rsidRDefault="000C640D" w:rsidP="000C640D">
            <w:pPr>
              <w:jc w:val="right"/>
              <w:rPr>
                <w:sz w:val="20"/>
                <w:szCs w:val="20"/>
              </w:rPr>
            </w:pPr>
            <w:r w:rsidRPr="000C640D">
              <w:rPr>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70E711" w14:textId="77777777" w:rsidR="000C640D" w:rsidRPr="000C640D" w:rsidRDefault="000C640D" w:rsidP="000C640D">
            <w:pPr>
              <w:jc w:val="center"/>
              <w:rPr>
                <w:sz w:val="20"/>
                <w:szCs w:val="20"/>
              </w:rPr>
            </w:pPr>
            <w:r w:rsidRPr="000C640D">
              <w:rPr>
                <w:color w:val="000000"/>
                <w:sz w:val="20"/>
                <w:szCs w:val="20"/>
              </w:rPr>
              <w:t>31.8</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5D4BFE" w14:textId="77777777" w:rsidR="000C640D" w:rsidRPr="000C640D" w:rsidRDefault="000C640D" w:rsidP="000C640D">
            <w:pPr>
              <w:jc w:val="center"/>
              <w:rPr>
                <w:sz w:val="20"/>
                <w:szCs w:val="20"/>
              </w:rPr>
            </w:pPr>
            <w:r w:rsidRPr="000C640D">
              <w:rPr>
                <w:color w:val="000000"/>
                <w:sz w:val="20"/>
                <w:szCs w:val="20"/>
              </w:rPr>
              <w:t>28.7</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3940CA" w14:textId="77777777" w:rsidR="000C640D" w:rsidRPr="000C640D" w:rsidRDefault="000C640D" w:rsidP="000C640D">
            <w:pPr>
              <w:jc w:val="center"/>
              <w:rPr>
                <w:sz w:val="20"/>
                <w:szCs w:val="20"/>
              </w:rPr>
            </w:pPr>
            <w:r w:rsidRPr="000C640D">
              <w:rPr>
                <w:color w:val="000000"/>
                <w:sz w:val="20"/>
                <w:szCs w:val="20"/>
              </w:rPr>
              <w:t>9</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776658" w14:textId="77777777" w:rsidR="000C640D" w:rsidRPr="000C640D" w:rsidRDefault="000C640D" w:rsidP="000C640D">
            <w:pPr>
              <w:jc w:val="center"/>
              <w:rPr>
                <w:sz w:val="20"/>
                <w:szCs w:val="20"/>
              </w:rPr>
            </w:pPr>
            <w:r w:rsidRPr="000C640D">
              <w:rPr>
                <w:color w:val="000000"/>
                <w:sz w:val="20"/>
                <w:szCs w:val="20"/>
              </w:rPr>
              <w:t>13.2</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DF317" w14:textId="77777777" w:rsidR="000C640D" w:rsidRPr="000C640D" w:rsidRDefault="000C640D" w:rsidP="000C640D">
            <w:pPr>
              <w:jc w:val="center"/>
              <w:rPr>
                <w:sz w:val="20"/>
                <w:szCs w:val="20"/>
              </w:rPr>
            </w:pPr>
            <w:r w:rsidRPr="000C640D">
              <w:rPr>
                <w:color w:val="000000"/>
                <w:sz w:val="20"/>
                <w:szCs w:val="20"/>
              </w:rPr>
              <w:t>3,043</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83B13E" w14:textId="77777777" w:rsidR="000C640D" w:rsidRPr="000C640D" w:rsidRDefault="000C640D" w:rsidP="000C640D">
            <w:pPr>
              <w:jc w:val="center"/>
              <w:rPr>
                <w:sz w:val="20"/>
                <w:szCs w:val="20"/>
              </w:rPr>
            </w:pPr>
            <w:r w:rsidRPr="000C640D">
              <w:rPr>
                <w:color w:val="000000"/>
                <w:sz w:val="20"/>
                <w:szCs w:val="20"/>
              </w:rPr>
              <w:t>12.2</w:t>
            </w:r>
          </w:p>
        </w:tc>
      </w:tr>
      <w:tr w:rsidR="000C640D" w:rsidRPr="000C640D" w14:paraId="03B70E9B"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968E74A" w14:textId="77777777" w:rsidR="000C640D" w:rsidRPr="000C640D" w:rsidRDefault="000C640D" w:rsidP="000C640D">
            <w:pPr>
              <w:jc w:val="right"/>
              <w:rPr>
                <w:sz w:val="20"/>
                <w:szCs w:val="20"/>
              </w:rPr>
            </w:pPr>
            <w:r w:rsidRPr="000C640D">
              <w:rPr>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DCCE2" w14:textId="77777777" w:rsidR="000C640D" w:rsidRPr="000C640D" w:rsidRDefault="000C640D" w:rsidP="000C640D">
            <w:pPr>
              <w:jc w:val="center"/>
              <w:rPr>
                <w:sz w:val="20"/>
                <w:szCs w:val="20"/>
              </w:rPr>
            </w:pPr>
            <w:r w:rsidRPr="000C640D">
              <w:rPr>
                <w:color w:val="000000"/>
                <w:sz w:val="20"/>
                <w:szCs w:val="20"/>
              </w:rPr>
              <w:t>31.7</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9F37C" w14:textId="77777777" w:rsidR="000C640D" w:rsidRPr="000C640D" w:rsidRDefault="000C640D" w:rsidP="000C640D">
            <w:pPr>
              <w:jc w:val="center"/>
              <w:rPr>
                <w:sz w:val="20"/>
                <w:szCs w:val="20"/>
              </w:rPr>
            </w:pPr>
            <w:r w:rsidRPr="000C640D">
              <w:rPr>
                <w:color w:val="000000"/>
                <w:sz w:val="20"/>
                <w:szCs w:val="20"/>
              </w:rPr>
              <w:t>--</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6EBFC8" w14:textId="77777777" w:rsidR="000C640D" w:rsidRPr="000C640D" w:rsidRDefault="000C640D" w:rsidP="000C640D">
            <w:pPr>
              <w:jc w:val="center"/>
              <w:rPr>
                <w:sz w:val="20"/>
                <w:szCs w:val="20"/>
              </w:rPr>
            </w:pPr>
            <w:r w:rsidRPr="000C640D">
              <w:rPr>
                <w:color w:val="000000"/>
                <w:sz w:val="20"/>
                <w:szCs w:val="20"/>
              </w:rPr>
              <w:t>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00610" w14:textId="77777777" w:rsidR="000C640D" w:rsidRPr="000C640D" w:rsidRDefault="000C640D" w:rsidP="000C640D">
            <w:pPr>
              <w:jc w:val="center"/>
              <w:rPr>
                <w:sz w:val="20"/>
                <w:szCs w:val="20"/>
              </w:rPr>
            </w:pPr>
            <w:r w:rsidRPr="000C640D">
              <w:rPr>
                <w:color w:val="000000"/>
                <w:sz w:val="20"/>
                <w:szCs w:val="20"/>
              </w:rPr>
              <w:t>15.7</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58CAD" w14:textId="77777777" w:rsidR="000C640D" w:rsidRPr="000C640D" w:rsidRDefault="000C640D" w:rsidP="000C640D">
            <w:pPr>
              <w:jc w:val="center"/>
              <w:rPr>
                <w:sz w:val="20"/>
                <w:szCs w:val="20"/>
              </w:rPr>
            </w:pPr>
            <w:r w:rsidRPr="000C640D">
              <w:rPr>
                <w:color w:val="000000"/>
                <w:sz w:val="20"/>
                <w:szCs w:val="20"/>
              </w:rPr>
              <w:t>2,646</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27BDF" w14:textId="77777777" w:rsidR="000C640D" w:rsidRPr="000C640D" w:rsidRDefault="000C640D" w:rsidP="000C640D">
            <w:pPr>
              <w:jc w:val="center"/>
              <w:rPr>
                <w:sz w:val="20"/>
                <w:szCs w:val="20"/>
              </w:rPr>
            </w:pPr>
            <w:r w:rsidRPr="000C640D">
              <w:rPr>
                <w:color w:val="000000"/>
                <w:sz w:val="20"/>
                <w:szCs w:val="20"/>
              </w:rPr>
              <w:t>14.1</w:t>
            </w:r>
          </w:p>
        </w:tc>
      </w:tr>
      <w:tr w:rsidR="000C640D" w:rsidRPr="000C640D" w14:paraId="255C273F" w14:textId="77777777" w:rsidTr="000C640D">
        <w:trPr>
          <w:trHeight w:val="181"/>
        </w:trPr>
        <w:tc>
          <w:tcPr>
            <w:tcW w:w="2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B7F5B3" w14:textId="77777777" w:rsidR="000C640D" w:rsidRPr="000C640D" w:rsidRDefault="000C640D" w:rsidP="000C640D">
            <w:pPr>
              <w:rPr>
                <w:sz w:val="20"/>
                <w:szCs w:val="20"/>
              </w:rPr>
            </w:pPr>
            <w:r w:rsidRPr="000C640D">
              <w:rPr>
                <w:color w:val="000000"/>
                <w:sz w:val="20"/>
                <w:szCs w:val="20"/>
              </w:rPr>
              <w:t>Not Available</w:t>
            </w:r>
          </w:p>
        </w:tc>
        <w:tc>
          <w:tcPr>
            <w:tcW w:w="687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59A001" w14:textId="77777777" w:rsidR="000C640D" w:rsidRPr="000C640D" w:rsidRDefault="000C640D" w:rsidP="000C640D">
            <w:pPr>
              <w:rPr>
                <w:sz w:val="20"/>
                <w:szCs w:val="20"/>
              </w:rPr>
            </w:pPr>
          </w:p>
        </w:tc>
      </w:tr>
      <w:tr w:rsidR="000C640D" w:rsidRPr="000C640D" w14:paraId="18574620"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B5A7068" w14:textId="77777777" w:rsidR="000C640D" w:rsidRPr="000C640D" w:rsidRDefault="000C640D" w:rsidP="000C640D">
            <w:pPr>
              <w:jc w:val="right"/>
              <w:rPr>
                <w:sz w:val="20"/>
                <w:szCs w:val="20"/>
              </w:rPr>
            </w:pPr>
            <w:r w:rsidRPr="000C640D">
              <w:rPr>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71B6D" w14:textId="77777777" w:rsidR="000C640D" w:rsidRPr="000C640D" w:rsidRDefault="000C640D" w:rsidP="000C640D">
            <w:pPr>
              <w:jc w:val="center"/>
              <w:rPr>
                <w:sz w:val="20"/>
                <w:szCs w:val="20"/>
              </w:rPr>
            </w:pPr>
            <w:r w:rsidRPr="000C640D">
              <w:rPr>
                <w:color w:val="000000"/>
                <w:sz w:val="20"/>
                <w:szCs w:val="20"/>
              </w:rPr>
              <w:t>1.0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3EFAD" w14:textId="77777777" w:rsidR="000C640D" w:rsidRPr="000C640D" w:rsidRDefault="000C640D" w:rsidP="000C640D">
            <w:pPr>
              <w:jc w:val="center"/>
              <w:rPr>
                <w:sz w:val="20"/>
                <w:szCs w:val="20"/>
              </w:rPr>
            </w:pPr>
            <w:r w:rsidRPr="000C640D">
              <w:rPr>
                <w:color w:val="000000"/>
                <w:sz w:val="20"/>
                <w:szCs w:val="20"/>
              </w:rPr>
              <w:t>0.9</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E99D7" w14:textId="77777777" w:rsidR="000C640D" w:rsidRPr="000C640D" w:rsidRDefault="000C640D" w:rsidP="000C640D">
            <w:pPr>
              <w:jc w:val="center"/>
              <w:rPr>
                <w:sz w:val="20"/>
                <w:szCs w:val="20"/>
              </w:rPr>
            </w:pPr>
            <w:r w:rsidRPr="000C640D">
              <w:rPr>
                <w:color w:val="000000"/>
                <w:sz w:val="20"/>
                <w:szCs w:val="20"/>
              </w:rPr>
              <w:t>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0865A" w14:textId="77777777" w:rsidR="000C640D" w:rsidRPr="000C640D" w:rsidRDefault="000C640D" w:rsidP="000C640D">
            <w:pPr>
              <w:jc w:val="center"/>
              <w:rPr>
                <w:sz w:val="20"/>
                <w:szCs w:val="20"/>
              </w:rPr>
            </w:pPr>
            <w:r w:rsidRPr="000C640D">
              <w:rPr>
                <w:color w:val="000000"/>
                <w:sz w:val="20"/>
                <w:szCs w:val="20"/>
              </w:rPr>
              <w:t>0.0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9EFBD9" w14:textId="77777777" w:rsidR="000C640D" w:rsidRPr="000C640D" w:rsidRDefault="000C640D" w:rsidP="000C640D">
            <w:pPr>
              <w:jc w:val="center"/>
              <w:rPr>
                <w:sz w:val="20"/>
                <w:szCs w:val="20"/>
              </w:rPr>
            </w:pPr>
            <w:r w:rsidRPr="000C640D">
              <w:rPr>
                <w:color w:val="000000"/>
                <w:sz w:val="20"/>
                <w:szCs w:val="20"/>
              </w:rPr>
              <w:t>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305C71" w14:textId="77777777" w:rsidR="000C640D" w:rsidRPr="000C640D" w:rsidRDefault="000C640D" w:rsidP="000C640D">
            <w:pPr>
              <w:jc w:val="center"/>
              <w:rPr>
                <w:sz w:val="20"/>
                <w:szCs w:val="20"/>
              </w:rPr>
            </w:pPr>
            <w:r w:rsidRPr="000C640D">
              <w:rPr>
                <w:color w:val="000000"/>
                <w:sz w:val="20"/>
                <w:szCs w:val="20"/>
              </w:rPr>
              <w:t>0.0</w:t>
            </w:r>
          </w:p>
        </w:tc>
      </w:tr>
      <w:tr w:rsidR="000C640D" w:rsidRPr="000C640D" w14:paraId="343DDD51" w14:textId="77777777" w:rsidTr="000C640D">
        <w:trPr>
          <w:trHeight w:val="166"/>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72A02C1" w14:textId="77777777" w:rsidR="000C640D" w:rsidRPr="000C640D" w:rsidRDefault="000C640D" w:rsidP="000C640D">
            <w:pPr>
              <w:jc w:val="right"/>
              <w:rPr>
                <w:sz w:val="20"/>
                <w:szCs w:val="20"/>
              </w:rPr>
            </w:pPr>
            <w:r w:rsidRPr="000C640D">
              <w:rPr>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88ABE" w14:textId="77777777" w:rsidR="000C640D" w:rsidRPr="000C640D" w:rsidRDefault="000C640D" w:rsidP="000C640D">
            <w:pPr>
              <w:jc w:val="center"/>
              <w:rPr>
                <w:sz w:val="20"/>
                <w:szCs w:val="20"/>
              </w:rPr>
            </w:pPr>
            <w:r w:rsidRPr="000C640D">
              <w:rPr>
                <w:color w:val="000000"/>
                <w:sz w:val="20"/>
                <w:szCs w:val="20"/>
              </w:rPr>
              <w:t>1.0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F72B1" w14:textId="77777777" w:rsidR="000C640D" w:rsidRPr="000C640D" w:rsidRDefault="000C640D" w:rsidP="000C640D">
            <w:pPr>
              <w:jc w:val="center"/>
              <w:rPr>
                <w:sz w:val="20"/>
                <w:szCs w:val="20"/>
              </w:rPr>
            </w:pPr>
            <w:r w:rsidRPr="000C640D">
              <w:rPr>
                <w:color w:val="000000"/>
                <w:sz w:val="20"/>
                <w:szCs w:val="20"/>
              </w:rPr>
              <w:t>--</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CFB7B4" w14:textId="77777777" w:rsidR="000C640D" w:rsidRPr="000C640D" w:rsidRDefault="000C640D" w:rsidP="000C640D">
            <w:pPr>
              <w:jc w:val="center"/>
              <w:rPr>
                <w:sz w:val="20"/>
                <w:szCs w:val="20"/>
              </w:rPr>
            </w:pPr>
            <w:r w:rsidRPr="000C640D">
              <w:rPr>
                <w:color w:val="000000"/>
                <w:sz w:val="20"/>
                <w:szCs w:val="20"/>
              </w:rPr>
              <w:t>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77890" w14:textId="77777777" w:rsidR="000C640D" w:rsidRPr="000C640D" w:rsidRDefault="000C640D" w:rsidP="000C640D">
            <w:pPr>
              <w:jc w:val="center"/>
              <w:rPr>
                <w:sz w:val="20"/>
                <w:szCs w:val="20"/>
              </w:rPr>
            </w:pPr>
            <w:r w:rsidRPr="000C640D">
              <w:rPr>
                <w:color w:val="000000"/>
                <w:sz w:val="20"/>
                <w:szCs w:val="20"/>
              </w:rPr>
              <w:t>0.0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69160A" w14:textId="77777777" w:rsidR="000C640D" w:rsidRPr="000C640D" w:rsidRDefault="000C640D" w:rsidP="000C640D">
            <w:pPr>
              <w:jc w:val="center"/>
              <w:rPr>
                <w:sz w:val="20"/>
                <w:szCs w:val="20"/>
              </w:rPr>
            </w:pPr>
            <w:r w:rsidRPr="000C640D">
              <w:rPr>
                <w:color w:val="000000"/>
                <w:sz w:val="20"/>
                <w:szCs w:val="20"/>
              </w:rPr>
              <w:t>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7F3C6D" w14:textId="77777777" w:rsidR="000C640D" w:rsidRPr="000C640D" w:rsidRDefault="000C640D" w:rsidP="000C640D">
            <w:pPr>
              <w:jc w:val="center"/>
              <w:rPr>
                <w:sz w:val="20"/>
                <w:szCs w:val="20"/>
              </w:rPr>
            </w:pPr>
            <w:r w:rsidRPr="000C640D">
              <w:rPr>
                <w:color w:val="000000"/>
                <w:sz w:val="20"/>
                <w:szCs w:val="20"/>
              </w:rPr>
              <w:t>0.0</w:t>
            </w:r>
          </w:p>
        </w:tc>
      </w:tr>
      <w:tr w:rsidR="000C640D" w:rsidRPr="000C640D" w14:paraId="174CB347" w14:textId="77777777" w:rsidTr="000C640D">
        <w:trPr>
          <w:trHeight w:val="181"/>
        </w:trPr>
        <w:tc>
          <w:tcPr>
            <w:tcW w:w="25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4603D59" w14:textId="77777777" w:rsidR="000C640D" w:rsidRPr="000C640D" w:rsidRDefault="000C640D" w:rsidP="000C640D">
            <w:pPr>
              <w:rPr>
                <w:sz w:val="20"/>
                <w:szCs w:val="20"/>
              </w:rPr>
            </w:pPr>
            <w:r w:rsidRPr="000C640D">
              <w:rPr>
                <w:b/>
                <w:color w:val="000000"/>
                <w:sz w:val="20"/>
                <w:szCs w:val="20"/>
              </w:rPr>
              <w:t>Totals</w:t>
            </w:r>
          </w:p>
        </w:tc>
        <w:tc>
          <w:tcPr>
            <w:tcW w:w="6871"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E5FC4" w14:textId="77777777" w:rsidR="000C640D" w:rsidRPr="000C640D" w:rsidRDefault="000C640D" w:rsidP="000C640D">
            <w:pPr>
              <w:rPr>
                <w:sz w:val="20"/>
                <w:szCs w:val="20"/>
              </w:rPr>
            </w:pPr>
          </w:p>
        </w:tc>
      </w:tr>
      <w:tr w:rsidR="000C640D" w:rsidRPr="000C640D" w14:paraId="665448FF" w14:textId="77777777" w:rsidTr="000C640D">
        <w:trPr>
          <w:trHeight w:val="181"/>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48672CC" w14:textId="77777777" w:rsidR="000C640D" w:rsidRPr="000C640D" w:rsidRDefault="000C640D" w:rsidP="000C640D">
            <w:pPr>
              <w:jc w:val="right"/>
              <w:rPr>
                <w:sz w:val="20"/>
                <w:szCs w:val="20"/>
              </w:rPr>
            </w:pPr>
            <w:r w:rsidRPr="000C640D">
              <w:rPr>
                <w:b/>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EEB4D" w14:textId="77777777" w:rsidR="000C640D" w:rsidRPr="000C640D" w:rsidRDefault="000C640D" w:rsidP="000C640D">
            <w:pPr>
              <w:jc w:val="center"/>
              <w:rPr>
                <w:sz w:val="20"/>
                <w:szCs w:val="20"/>
              </w:rPr>
            </w:pPr>
            <w:r w:rsidRPr="000C640D">
              <w:rPr>
                <w:b/>
                <w:color w:val="000000"/>
                <w:sz w:val="20"/>
                <w:szCs w:val="20"/>
              </w:rPr>
              <w:t>100.0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C5D818" w14:textId="77777777" w:rsidR="000C640D" w:rsidRPr="000C640D" w:rsidRDefault="000C640D" w:rsidP="000C640D">
            <w:pPr>
              <w:jc w:val="center"/>
              <w:rPr>
                <w:sz w:val="20"/>
                <w:szCs w:val="20"/>
              </w:rPr>
            </w:pPr>
            <w:r w:rsidRPr="000C640D">
              <w:rPr>
                <w:b/>
                <w:color w:val="000000"/>
                <w:sz w:val="20"/>
                <w:szCs w:val="20"/>
              </w:rPr>
              <w:t>100.0</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FFD282" w14:textId="77777777" w:rsidR="000C640D" w:rsidRPr="000C640D" w:rsidRDefault="000C640D" w:rsidP="000C640D">
            <w:pPr>
              <w:jc w:val="center"/>
              <w:rPr>
                <w:sz w:val="20"/>
                <w:szCs w:val="20"/>
              </w:rPr>
            </w:pPr>
            <w:r w:rsidRPr="000C640D">
              <w:rPr>
                <w:b/>
                <w:color w:val="000000"/>
                <w:sz w:val="20"/>
                <w:szCs w:val="20"/>
              </w:rPr>
              <w:t>68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3B8B22" w14:textId="77777777" w:rsidR="000C640D" w:rsidRPr="000C640D" w:rsidRDefault="000C640D" w:rsidP="000C640D">
            <w:pPr>
              <w:jc w:val="center"/>
              <w:rPr>
                <w:sz w:val="20"/>
                <w:szCs w:val="20"/>
              </w:rPr>
            </w:pPr>
            <w:r w:rsidRPr="000C640D">
              <w:rPr>
                <w:b/>
                <w:color w:val="000000"/>
                <w:sz w:val="20"/>
                <w:szCs w:val="20"/>
              </w:rPr>
              <w:t>100.0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58341" w14:textId="77777777" w:rsidR="000C640D" w:rsidRPr="000C640D" w:rsidRDefault="000C640D" w:rsidP="000C640D">
            <w:pPr>
              <w:jc w:val="center"/>
              <w:rPr>
                <w:sz w:val="20"/>
                <w:szCs w:val="20"/>
              </w:rPr>
            </w:pPr>
            <w:r w:rsidRPr="000C640D">
              <w:rPr>
                <w:b/>
                <w:color w:val="000000"/>
                <w:sz w:val="20"/>
                <w:szCs w:val="20"/>
              </w:rPr>
              <w:t>24,873</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98F74E" w14:textId="77777777" w:rsidR="000C640D" w:rsidRPr="000C640D" w:rsidRDefault="000C640D" w:rsidP="000C640D">
            <w:pPr>
              <w:jc w:val="center"/>
              <w:rPr>
                <w:sz w:val="20"/>
                <w:szCs w:val="20"/>
              </w:rPr>
            </w:pPr>
            <w:r w:rsidRPr="000C640D">
              <w:rPr>
                <w:b/>
                <w:color w:val="000000"/>
                <w:sz w:val="20"/>
                <w:szCs w:val="20"/>
              </w:rPr>
              <w:t>100.0</w:t>
            </w:r>
          </w:p>
        </w:tc>
      </w:tr>
      <w:tr w:rsidR="000C640D" w:rsidRPr="000C640D" w14:paraId="0950B6A7" w14:textId="77777777" w:rsidTr="000C640D">
        <w:trPr>
          <w:trHeight w:val="181"/>
        </w:trPr>
        <w:tc>
          <w:tcPr>
            <w:tcW w:w="2567"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A8148CF" w14:textId="77777777" w:rsidR="000C640D" w:rsidRPr="000C640D" w:rsidRDefault="000C640D" w:rsidP="000C640D">
            <w:pPr>
              <w:jc w:val="right"/>
              <w:rPr>
                <w:sz w:val="20"/>
                <w:szCs w:val="20"/>
              </w:rPr>
            </w:pPr>
            <w:r w:rsidRPr="000C640D">
              <w:rPr>
                <w:b/>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D315CC" w14:textId="77777777" w:rsidR="000C640D" w:rsidRPr="000C640D" w:rsidRDefault="000C640D" w:rsidP="000C640D">
            <w:pPr>
              <w:jc w:val="center"/>
              <w:rPr>
                <w:sz w:val="20"/>
                <w:szCs w:val="20"/>
              </w:rPr>
            </w:pPr>
            <w:r w:rsidRPr="000C640D">
              <w:rPr>
                <w:b/>
                <w:color w:val="000000"/>
                <w:sz w:val="20"/>
                <w:szCs w:val="20"/>
              </w:rPr>
              <w:t>100.0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822D4" w14:textId="77777777" w:rsidR="000C640D" w:rsidRPr="000C640D" w:rsidRDefault="000C640D" w:rsidP="000C640D">
            <w:pPr>
              <w:jc w:val="center"/>
              <w:rPr>
                <w:sz w:val="20"/>
                <w:szCs w:val="20"/>
              </w:rPr>
            </w:pPr>
            <w:r w:rsidRPr="000C640D">
              <w:rPr>
                <w:b/>
                <w:color w:val="000000"/>
                <w:sz w:val="20"/>
                <w:szCs w:val="20"/>
              </w:rPr>
              <w:t>--</w:t>
            </w:r>
          </w:p>
        </w:tc>
        <w:tc>
          <w:tcPr>
            <w:tcW w:w="99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5CF22F" w14:textId="77777777" w:rsidR="000C640D" w:rsidRPr="000C640D" w:rsidRDefault="000C640D" w:rsidP="000C640D">
            <w:pPr>
              <w:jc w:val="center"/>
              <w:rPr>
                <w:sz w:val="20"/>
                <w:szCs w:val="20"/>
              </w:rPr>
            </w:pPr>
            <w:r w:rsidRPr="000C640D">
              <w:rPr>
                <w:b/>
                <w:color w:val="000000"/>
                <w:sz w:val="20"/>
                <w:szCs w:val="20"/>
              </w:rPr>
              <w:t>51</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3E6BD" w14:textId="77777777" w:rsidR="000C640D" w:rsidRPr="000C640D" w:rsidRDefault="000C640D" w:rsidP="000C640D">
            <w:pPr>
              <w:jc w:val="center"/>
              <w:rPr>
                <w:sz w:val="20"/>
                <w:szCs w:val="20"/>
              </w:rPr>
            </w:pPr>
            <w:r w:rsidRPr="000C640D">
              <w:rPr>
                <w:b/>
                <w:color w:val="000000"/>
                <w:sz w:val="20"/>
                <w:szCs w:val="20"/>
              </w:rPr>
              <w:t>100.0</w:t>
            </w:r>
          </w:p>
        </w:tc>
        <w:tc>
          <w:tcPr>
            <w:tcW w:w="10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7CF8E" w14:textId="77777777" w:rsidR="000C640D" w:rsidRPr="000C640D" w:rsidRDefault="000C640D" w:rsidP="000C640D">
            <w:pPr>
              <w:jc w:val="center"/>
              <w:rPr>
                <w:sz w:val="20"/>
                <w:szCs w:val="20"/>
              </w:rPr>
            </w:pPr>
            <w:r w:rsidRPr="000C640D">
              <w:rPr>
                <w:b/>
                <w:color w:val="000000"/>
                <w:sz w:val="20"/>
                <w:szCs w:val="20"/>
              </w:rPr>
              <w:t>18,818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24DD5" w14:textId="77777777" w:rsidR="000C640D" w:rsidRPr="000C640D" w:rsidRDefault="000C640D" w:rsidP="000C640D">
            <w:pPr>
              <w:jc w:val="center"/>
              <w:rPr>
                <w:sz w:val="20"/>
                <w:szCs w:val="20"/>
              </w:rPr>
            </w:pPr>
            <w:r w:rsidRPr="000C640D">
              <w:rPr>
                <w:b/>
                <w:color w:val="000000"/>
                <w:sz w:val="20"/>
                <w:szCs w:val="20"/>
              </w:rPr>
              <w:t>100.0</w:t>
            </w:r>
          </w:p>
        </w:tc>
      </w:tr>
      <w:tr w:rsidR="000C640D" w:rsidRPr="000C640D" w14:paraId="34690E37" w14:textId="77777777" w:rsidTr="00E804C2">
        <w:trPr>
          <w:trHeight w:val="464"/>
        </w:trPr>
        <w:tc>
          <w:tcPr>
            <w:tcW w:w="9438"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787BE913" w14:textId="27B7AF19" w:rsidR="000C640D" w:rsidRPr="000C640D" w:rsidRDefault="001F64B6" w:rsidP="000C640D">
            <w:pPr>
              <w:rPr>
                <w:sz w:val="20"/>
                <w:szCs w:val="20"/>
              </w:rPr>
            </w:pPr>
            <w:r>
              <w:rPr>
                <w:i/>
                <w:color w:val="000000"/>
                <w:sz w:val="16"/>
                <w:szCs w:val="20"/>
              </w:rPr>
              <w:t>Source: 2018 &amp; 2019 D&amp;B Data;</w:t>
            </w:r>
            <w:r w:rsidR="000C640D" w:rsidRPr="000C640D">
              <w:rPr>
                <w:i/>
                <w:color w:val="000000"/>
                <w:sz w:val="16"/>
                <w:szCs w:val="20"/>
              </w:rPr>
              <w:t xml:space="preserve"> Bank Data; 2018 CRA Aggregate Data, "--" data not available.</w:t>
            </w:r>
          </w:p>
          <w:p w14:paraId="44A977E3" w14:textId="77777777" w:rsidR="000C640D" w:rsidRPr="000C640D" w:rsidRDefault="000C640D" w:rsidP="00E804C2">
            <w:pPr>
              <w:rPr>
                <w:sz w:val="20"/>
                <w:szCs w:val="20"/>
              </w:rPr>
            </w:pPr>
            <w:r w:rsidRPr="000C640D">
              <w:rPr>
                <w:i/>
                <w:color w:val="000000"/>
                <w:sz w:val="16"/>
                <w:szCs w:val="20"/>
              </w:rPr>
              <w:t>Due to rounding, totals may not equal 100.0%</w:t>
            </w:r>
          </w:p>
        </w:tc>
      </w:tr>
    </w:tbl>
    <w:p w14:paraId="3D532A26" w14:textId="77777777" w:rsidR="000C640D" w:rsidRDefault="000C640D" w:rsidP="00E41020">
      <w:pPr>
        <w:rPr>
          <w:b/>
          <w:bCs/>
          <w:u w:val="single"/>
        </w:rPr>
      </w:pPr>
    </w:p>
    <w:p w14:paraId="3A84C94C" w14:textId="77777777" w:rsidR="0099672C" w:rsidRDefault="0099672C" w:rsidP="00E41020">
      <w:pPr>
        <w:rPr>
          <w:b/>
          <w:bCs/>
          <w:u w:val="single"/>
        </w:rPr>
      </w:pPr>
      <w:r w:rsidRPr="00161EC6">
        <w:rPr>
          <w:b/>
          <w:bCs/>
          <w:u w:val="single"/>
        </w:rPr>
        <w:t>Borrower Profile</w:t>
      </w:r>
    </w:p>
    <w:p w14:paraId="132B4C1E" w14:textId="77777777" w:rsidR="00EA4565" w:rsidRDefault="00EA4565" w:rsidP="00E41020">
      <w:pPr>
        <w:rPr>
          <w:b/>
          <w:bCs/>
          <w:u w:val="single"/>
        </w:rPr>
      </w:pPr>
    </w:p>
    <w:p w14:paraId="7F13D6C3" w14:textId="77777777" w:rsidR="000B14FC" w:rsidRDefault="000B14FC" w:rsidP="00E41020">
      <w:pPr>
        <w:rPr>
          <w:b/>
          <w:bCs/>
          <w:u w:val="single"/>
        </w:rPr>
      </w:pPr>
      <w:r w:rsidRPr="00FD65FC">
        <w:rPr>
          <w:bCs/>
        </w:rPr>
        <w:t xml:space="preserve">The distribution of borrowers reflects </w:t>
      </w:r>
      <w:r w:rsidR="009079E3">
        <w:rPr>
          <w:bCs/>
        </w:rPr>
        <w:t>adequate</w:t>
      </w:r>
      <w:r w:rsidRPr="00FD65FC">
        <w:rPr>
          <w:bCs/>
        </w:rPr>
        <w:t xml:space="preserve"> penetration among individuals of different income levels and business</w:t>
      </w:r>
      <w:r>
        <w:rPr>
          <w:bCs/>
        </w:rPr>
        <w:t>es of different sizes</w:t>
      </w:r>
      <w:r w:rsidRPr="00FD65FC">
        <w:rPr>
          <w:bCs/>
        </w:rPr>
        <w:t xml:space="preserve">.  The bank’s </w:t>
      </w:r>
      <w:r w:rsidR="009079E3">
        <w:rPr>
          <w:bCs/>
        </w:rPr>
        <w:t>adequate</w:t>
      </w:r>
      <w:r w:rsidRPr="00FD65FC">
        <w:rPr>
          <w:bCs/>
        </w:rPr>
        <w:t xml:space="preserve"> performance of home mortgage</w:t>
      </w:r>
      <w:r>
        <w:rPr>
          <w:bCs/>
        </w:rPr>
        <w:t xml:space="preserve"> </w:t>
      </w:r>
      <w:r w:rsidR="009079E3">
        <w:rPr>
          <w:bCs/>
        </w:rPr>
        <w:t>a</w:t>
      </w:r>
      <w:r w:rsidRPr="00FD65FC">
        <w:rPr>
          <w:bCs/>
        </w:rPr>
        <w:t>nd small business lending support this conclusion.  Examiners focused on home mortgage loans to low- and moderate-income borrowers and the percentage of small business loans by number to businesses with GARs of $1.0 million or less.</w:t>
      </w:r>
    </w:p>
    <w:p w14:paraId="3722FC10" w14:textId="77777777" w:rsidR="000B14FC" w:rsidRDefault="000B14FC" w:rsidP="00E41020">
      <w:pPr>
        <w:rPr>
          <w:b/>
          <w:bCs/>
          <w:u w:val="single"/>
        </w:rPr>
      </w:pPr>
    </w:p>
    <w:p w14:paraId="542CCA27" w14:textId="77777777" w:rsidR="000B14FC" w:rsidRPr="00FD65FC" w:rsidRDefault="000B14FC" w:rsidP="000B14FC">
      <w:pPr>
        <w:ind w:right="-270"/>
        <w:rPr>
          <w:b/>
          <w:bCs/>
          <w:i/>
          <w:color w:val="000000"/>
        </w:rPr>
      </w:pPr>
      <w:r w:rsidRPr="00FD65FC">
        <w:rPr>
          <w:b/>
          <w:bCs/>
          <w:i/>
          <w:color w:val="000000"/>
        </w:rPr>
        <w:t>Home Mortgage Loans</w:t>
      </w:r>
    </w:p>
    <w:p w14:paraId="555419ED" w14:textId="77777777" w:rsidR="000B14FC" w:rsidRPr="00FD65FC" w:rsidRDefault="000B14FC" w:rsidP="000B14FC">
      <w:pPr>
        <w:rPr>
          <w:bCs/>
        </w:rPr>
      </w:pPr>
      <w:r w:rsidRPr="00FD65FC">
        <w:rPr>
          <w:bCs/>
        </w:rPr>
        <w:t xml:space="preserve">The distribution of home mortgage loans reflects adequate penetration among individuals of different income levels, including low- and moderate-income borrowers.  </w:t>
      </w:r>
      <w:r w:rsidR="00715F85">
        <w:rPr>
          <w:bCs/>
        </w:rPr>
        <w:t>T</w:t>
      </w:r>
      <w:r w:rsidRPr="00FD65FC">
        <w:rPr>
          <w:bCs/>
        </w:rPr>
        <w:t xml:space="preserve">he bank’s lending to low-income borrowers </w:t>
      </w:r>
      <w:r>
        <w:rPr>
          <w:bCs/>
        </w:rPr>
        <w:t>was consistent with</w:t>
      </w:r>
      <w:r w:rsidRPr="00FD65FC">
        <w:rPr>
          <w:bCs/>
        </w:rPr>
        <w:t xml:space="preserve"> </w:t>
      </w:r>
      <w:r w:rsidR="00715F85">
        <w:rPr>
          <w:bCs/>
        </w:rPr>
        <w:t xml:space="preserve">aggregate performance in all years analyzed.  </w:t>
      </w:r>
      <w:r w:rsidRPr="00FD65FC">
        <w:rPr>
          <w:bCs/>
        </w:rPr>
        <w:t xml:space="preserve">Although </w:t>
      </w:r>
      <w:r>
        <w:rPr>
          <w:bCs/>
        </w:rPr>
        <w:t xml:space="preserve">the bank’s lending was </w:t>
      </w:r>
      <w:r w:rsidRPr="00FD65FC">
        <w:rPr>
          <w:bCs/>
        </w:rPr>
        <w:t>below the percentage of low-income families in 2018 and 2019, a low-income family in the assessment area, earning less than $</w:t>
      </w:r>
      <w:r w:rsidR="00715F85">
        <w:rPr>
          <w:bCs/>
        </w:rPr>
        <w:t>49,650</w:t>
      </w:r>
      <w:r w:rsidRPr="00FD65FC">
        <w:rPr>
          <w:bCs/>
        </w:rPr>
        <w:t>, may have difficulty qualifying for a mortgage under conventional underwriting standards, considering the median housing value of $</w:t>
      </w:r>
      <w:r w:rsidR="00715F85">
        <w:rPr>
          <w:bCs/>
        </w:rPr>
        <w:t>418,385</w:t>
      </w:r>
      <w:r w:rsidRPr="00FD65FC">
        <w:rPr>
          <w:bCs/>
        </w:rPr>
        <w:t xml:space="preserve">.  Additionally, </w:t>
      </w:r>
      <w:r w:rsidR="00715F85">
        <w:rPr>
          <w:bCs/>
        </w:rPr>
        <w:t>11.2</w:t>
      </w:r>
      <w:r w:rsidRPr="00FD65FC">
        <w:rPr>
          <w:bCs/>
        </w:rPr>
        <w:t xml:space="preserve"> percent of families in this assessment area are below the poverty level.  These factors help explain the disparity between lending to low-income families and the percentage of low-income families.</w:t>
      </w:r>
    </w:p>
    <w:p w14:paraId="66D669CE" w14:textId="1F4EBDA3" w:rsidR="000B14FC" w:rsidRPr="00FD65FC" w:rsidRDefault="00C062C4" w:rsidP="000B14FC">
      <w:pPr>
        <w:rPr>
          <w:bCs/>
        </w:rPr>
      </w:pPr>
      <w:r>
        <w:rPr>
          <w:bCs/>
        </w:rPr>
        <w:lastRenderedPageBreak/>
        <w:t xml:space="preserve"> </w:t>
      </w:r>
      <w:r w:rsidR="00715F85" w:rsidRPr="00276009">
        <w:rPr>
          <w:bCs/>
        </w:rPr>
        <w:t>T</w:t>
      </w:r>
      <w:r w:rsidR="000B14FC" w:rsidRPr="00276009">
        <w:rPr>
          <w:bCs/>
        </w:rPr>
        <w:t xml:space="preserve">he bank’s lending </w:t>
      </w:r>
      <w:r w:rsidR="00276009">
        <w:rPr>
          <w:bCs/>
        </w:rPr>
        <w:t xml:space="preserve">percentage </w:t>
      </w:r>
      <w:r w:rsidR="000B14FC" w:rsidRPr="00276009">
        <w:rPr>
          <w:bCs/>
        </w:rPr>
        <w:t xml:space="preserve">to moderate-income borrowers was below aggregate </w:t>
      </w:r>
      <w:r w:rsidR="00715F85" w:rsidRPr="00276009">
        <w:rPr>
          <w:bCs/>
        </w:rPr>
        <w:t>and demographics in 2018 and 2019.</w:t>
      </w:r>
      <w:r w:rsidR="005A45CB">
        <w:rPr>
          <w:bCs/>
        </w:rPr>
        <w:t xml:space="preserve">  The previously described high level of competition within the assessment area partially </w:t>
      </w:r>
      <w:r w:rsidR="005379B0">
        <w:rPr>
          <w:bCs/>
        </w:rPr>
        <w:t>explains this</w:t>
      </w:r>
      <w:r w:rsidR="005A45CB">
        <w:rPr>
          <w:bCs/>
        </w:rPr>
        <w:t xml:space="preserve"> discrepancy.</w:t>
      </w:r>
      <w:r w:rsidR="00276009">
        <w:rPr>
          <w:bCs/>
        </w:rPr>
        <w:t xml:space="preserve">  </w:t>
      </w:r>
      <w:r w:rsidR="00726209">
        <w:rPr>
          <w:bCs/>
        </w:rPr>
        <w:t>EBSB’s commercial focus</w:t>
      </w:r>
      <w:r w:rsidR="005A45CB">
        <w:rPr>
          <w:bCs/>
        </w:rPr>
        <w:t xml:space="preserve"> also influences the </w:t>
      </w:r>
      <w:r w:rsidR="00276009">
        <w:rPr>
          <w:bCs/>
        </w:rPr>
        <w:t>low</w:t>
      </w:r>
      <w:r w:rsidR="00A46F65">
        <w:rPr>
          <w:bCs/>
        </w:rPr>
        <w:t>er</w:t>
      </w:r>
      <w:r w:rsidR="00276009">
        <w:rPr>
          <w:bCs/>
        </w:rPr>
        <w:t xml:space="preserve"> lending percentage</w:t>
      </w:r>
      <w:r w:rsidR="00A46F65">
        <w:rPr>
          <w:bCs/>
        </w:rPr>
        <w:t xml:space="preserve"> to moderate-income borrowers</w:t>
      </w:r>
      <w:r w:rsidR="00276009">
        <w:rPr>
          <w:bCs/>
        </w:rPr>
        <w:t xml:space="preserve">.  </w:t>
      </w:r>
      <w:r w:rsidR="00EF7310">
        <w:rPr>
          <w:bCs/>
        </w:rPr>
        <w:t>Specifically, t</w:t>
      </w:r>
      <w:r w:rsidR="00D46256">
        <w:rPr>
          <w:bCs/>
        </w:rPr>
        <w:t>he large number of commercial borrowers</w:t>
      </w:r>
      <w:r w:rsidR="00C3119B">
        <w:rPr>
          <w:bCs/>
        </w:rPr>
        <w:t xml:space="preserve"> purchasing a residential dwelling </w:t>
      </w:r>
      <w:r w:rsidR="00D46256">
        <w:rPr>
          <w:bCs/>
        </w:rPr>
        <w:t xml:space="preserve">whose income is </w:t>
      </w:r>
      <w:r w:rsidR="002B59B9">
        <w:rPr>
          <w:bCs/>
        </w:rPr>
        <w:t xml:space="preserve">reported </w:t>
      </w:r>
      <w:r w:rsidR="00D46256">
        <w:rPr>
          <w:bCs/>
        </w:rPr>
        <w:t>as “not available” reduces the p</w:t>
      </w:r>
      <w:r w:rsidR="00276009">
        <w:rPr>
          <w:bCs/>
        </w:rPr>
        <w:t>ercentage of lending to all income levels</w:t>
      </w:r>
      <w:r w:rsidR="00D46256">
        <w:rPr>
          <w:bCs/>
        </w:rPr>
        <w:t xml:space="preserve"> as compared to the aggregate data.  </w:t>
      </w:r>
      <w:r w:rsidR="00276009">
        <w:rPr>
          <w:bCs/>
        </w:rPr>
        <w:t xml:space="preserve">Comparison against </w:t>
      </w:r>
      <w:r w:rsidR="00EF7310">
        <w:rPr>
          <w:bCs/>
        </w:rPr>
        <w:t xml:space="preserve">2018 and </w:t>
      </w:r>
      <w:r w:rsidR="005379B0">
        <w:rPr>
          <w:bCs/>
        </w:rPr>
        <w:t>2019 aggregate shows</w:t>
      </w:r>
      <w:r w:rsidR="00276009">
        <w:rPr>
          <w:bCs/>
        </w:rPr>
        <w:t xml:space="preserve"> that EBSB reported more than double the </w:t>
      </w:r>
      <w:r w:rsidR="005A45CB">
        <w:rPr>
          <w:bCs/>
        </w:rPr>
        <w:t>percentage</w:t>
      </w:r>
      <w:r w:rsidR="00276009">
        <w:rPr>
          <w:bCs/>
        </w:rPr>
        <w:t xml:space="preserve"> of originat</w:t>
      </w:r>
      <w:r w:rsidR="00EF7310">
        <w:rPr>
          <w:bCs/>
        </w:rPr>
        <w:t>ions</w:t>
      </w:r>
      <w:r w:rsidR="00276009">
        <w:rPr>
          <w:bCs/>
        </w:rPr>
        <w:t xml:space="preserve"> in the “income not available” category.</w:t>
      </w:r>
      <w:r w:rsidR="00A46F65">
        <w:rPr>
          <w:bCs/>
        </w:rPr>
        <w:t xml:space="preserve">  Analysis of EBSB’s </w:t>
      </w:r>
      <w:r w:rsidR="005379B0">
        <w:rPr>
          <w:bCs/>
        </w:rPr>
        <w:t>residential originations</w:t>
      </w:r>
      <w:r w:rsidR="00A46F65">
        <w:rPr>
          <w:bCs/>
        </w:rPr>
        <w:t xml:space="preserve"> with HMDA reportable income levels indicates that the bank’s performance generally align</w:t>
      </w:r>
      <w:r w:rsidR="001472CC">
        <w:rPr>
          <w:bCs/>
        </w:rPr>
        <w:t>s</w:t>
      </w:r>
      <w:r w:rsidR="00A46F65">
        <w:rPr>
          <w:bCs/>
        </w:rPr>
        <w:t xml:space="preserve"> with the aggregate, thus supporting overall adequate performance.</w:t>
      </w:r>
      <w:r w:rsidR="00276009">
        <w:rPr>
          <w:bCs/>
        </w:rPr>
        <w:t xml:space="preserve">   </w:t>
      </w:r>
      <w:r w:rsidR="00715F85">
        <w:rPr>
          <w:bCs/>
        </w:rPr>
        <w:t xml:space="preserve">  </w:t>
      </w:r>
    </w:p>
    <w:p w14:paraId="4AA5EFA8" w14:textId="77777777" w:rsidR="000B14FC" w:rsidRDefault="000B14FC" w:rsidP="00E41020">
      <w:pPr>
        <w:rPr>
          <w:b/>
          <w:bCs/>
          <w:u w:val="single"/>
        </w:rPr>
      </w:pPr>
    </w:p>
    <w:tbl>
      <w:tblPr>
        <w:tblW w:w="0" w:type="auto"/>
        <w:tblCellMar>
          <w:left w:w="0" w:type="dxa"/>
          <w:right w:w="0" w:type="dxa"/>
        </w:tblCellMar>
        <w:tblLook w:val="0000" w:firstRow="0" w:lastRow="0" w:firstColumn="0" w:lastColumn="0" w:noHBand="0" w:noVBand="0"/>
      </w:tblPr>
      <w:tblGrid>
        <w:gridCol w:w="2252"/>
        <w:gridCol w:w="1417"/>
        <w:gridCol w:w="1431"/>
        <w:gridCol w:w="1123"/>
        <w:gridCol w:w="991"/>
        <w:gridCol w:w="1137"/>
        <w:gridCol w:w="991"/>
      </w:tblGrid>
      <w:tr w:rsidR="000B14FC" w:rsidRPr="000B14FC" w14:paraId="0DCE9878" w14:textId="77777777" w:rsidTr="00CA3E15">
        <w:trPr>
          <w:trHeight w:val="426"/>
        </w:trPr>
        <w:tc>
          <w:tcPr>
            <w:tcW w:w="9438"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5AE7E87B" w14:textId="77777777" w:rsidR="000B14FC" w:rsidRPr="000B14FC" w:rsidRDefault="000B14FC" w:rsidP="000B14FC">
            <w:pPr>
              <w:jc w:val="center"/>
              <w:rPr>
                <w:sz w:val="20"/>
                <w:szCs w:val="20"/>
              </w:rPr>
            </w:pPr>
            <w:r w:rsidRPr="000B14FC">
              <w:rPr>
                <w:b/>
                <w:color w:val="000000"/>
                <w:sz w:val="20"/>
                <w:szCs w:val="20"/>
              </w:rPr>
              <w:t>Distribution of Home Mortgage Loans by Borrower Income Level</w:t>
            </w:r>
          </w:p>
        </w:tc>
      </w:tr>
      <w:tr w:rsidR="000B14FC" w:rsidRPr="000B14FC" w14:paraId="75F1DF44" w14:textId="77777777" w:rsidTr="000B14FC">
        <w:trPr>
          <w:trHeight w:val="498"/>
        </w:trPr>
        <w:tc>
          <w:tcPr>
            <w:tcW w:w="22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9BBE8A5" w14:textId="77777777" w:rsidR="000B14FC" w:rsidRPr="000B14FC" w:rsidRDefault="000B14FC" w:rsidP="000B14FC">
            <w:pPr>
              <w:rPr>
                <w:sz w:val="20"/>
                <w:szCs w:val="20"/>
              </w:rPr>
            </w:pPr>
            <w:r w:rsidRPr="000B14FC">
              <w:rPr>
                <w:b/>
                <w:color w:val="000000"/>
                <w:sz w:val="20"/>
                <w:szCs w:val="20"/>
              </w:rPr>
              <w:t>Borrower Income Level</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D8CC7F" w14:textId="77777777" w:rsidR="000B14FC" w:rsidRPr="000B14FC" w:rsidRDefault="000B14FC" w:rsidP="000B14FC">
            <w:pPr>
              <w:jc w:val="center"/>
              <w:rPr>
                <w:sz w:val="20"/>
                <w:szCs w:val="20"/>
              </w:rPr>
            </w:pPr>
            <w:r w:rsidRPr="000B14FC">
              <w:rPr>
                <w:b/>
                <w:color w:val="000000"/>
                <w:sz w:val="20"/>
                <w:szCs w:val="20"/>
              </w:rPr>
              <w:t>% of  Families</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029F3B6" w14:textId="77777777" w:rsidR="000B14FC" w:rsidRPr="000B14FC" w:rsidRDefault="000B14FC" w:rsidP="000B14FC">
            <w:pPr>
              <w:jc w:val="center"/>
              <w:rPr>
                <w:sz w:val="20"/>
                <w:szCs w:val="20"/>
              </w:rPr>
            </w:pPr>
            <w:r w:rsidRPr="000B14FC">
              <w:rPr>
                <w:b/>
                <w:color w:val="000000"/>
                <w:sz w:val="20"/>
                <w:szCs w:val="20"/>
              </w:rPr>
              <w:t>Aggregate Performance</w:t>
            </w:r>
            <w:r w:rsidRPr="000B14FC">
              <w:rPr>
                <w:b/>
                <w:color w:val="000000"/>
                <w:sz w:val="20"/>
                <w:szCs w:val="20"/>
              </w:rPr>
              <w:br/>
              <w:t>% of #</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4776336" w14:textId="77777777" w:rsidR="000B14FC" w:rsidRPr="000B14FC" w:rsidRDefault="000B14FC" w:rsidP="000B14FC">
            <w:pPr>
              <w:jc w:val="center"/>
              <w:rPr>
                <w:sz w:val="20"/>
                <w:szCs w:val="20"/>
              </w:rPr>
            </w:pPr>
            <w:r w:rsidRPr="000B14FC">
              <w:rPr>
                <w:b/>
                <w:color w:val="000000"/>
                <w:sz w:val="20"/>
                <w:szCs w:val="20"/>
              </w:rPr>
              <w:t>#</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25DD25" w14:textId="77777777" w:rsidR="000B14FC" w:rsidRPr="000B14FC" w:rsidRDefault="000B14FC" w:rsidP="000B14FC">
            <w:pPr>
              <w:jc w:val="center"/>
              <w:rPr>
                <w:sz w:val="20"/>
                <w:szCs w:val="20"/>
              </w:rPr>
            </w:pPr>
            <w:r w:rsidRPr="000B14FC">
              <w:rPr>
                <w:b/>
                <w:color w:val="000000"/>
                <w:sz w:val="20"/>
                <w:szCs w:val="20"/>
              </w:rPr>
              <w:t>%</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A195B5" w14:textId="77777777" w:rsidR="000B14FC" w:rsidRPr="000B14FC" w:rsidRDefault="000B14FC" w:rsidP="000B14FC">
            <w:pPr>
              <w:jc w:val="center"/>
              <w:rPr>
                <w:sz w:val="20"/>
                <w:szCs w:val="20"/>
              </w:rPr>
            </w:pPr>
            <w:r w:rsidRPr="000B14FC">
              <w:rPr>
                <w:b/>
                <w:color w:val="000000"/>
                <w:sz w:val="20"/>
                <w:szCs w:val="20"/>
              </w:rPr>
              <w:t>$(000s)</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7F8FC40" w14:textId="77777777" w:rsidR="000B14FC" w:rsidRPr="000B14FC" w:rsidRDefault="000B14FC" w:rsidP="000B14FC">
            <w:pPr>
              <w:jc w:val="center"/>
              <w:rPr>
                <w:sz w:val="20"/>
                <w:szCs w:val="20"/>
              </w:rPr>
            </w:pPr>
            <w:r w:rsidRPr="000B14FC">
              <w:rPr>
                <w:b/>
                <w:color w:val="000000"/>
                <w:sz w:val="20"/>
                <w:szCs w:val="20"/>
              </w:rPr>
              <w:t>%</w:t>
            </w:r>
          </w:p>
        </w:tc>
      </w:tr>
      <w:tr w:rsidR="000B14FC" w:rsidRPr="000B14FC" w14:paraId="3EF17459" w14:textId="77777777" w:rsidTr="000B14FC">
        <w:trPr>
          <w:trHeight w:val="181"/>
        </w:trPr>
        <w:tc>
          <w:tcPr>
            <w:tcW w:w="22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0F207F" w14:textId="77777777" w:rsidR="000B14FC" w:rsidRPr="000B14FC" w:rsidRDefault="000B14FC" w:rsidP="000B14FC">
            <w:pPr>
              <w:rPr>
                <w:sz w:val="20"/>
                <w:szCs w:val="20"/>
              </w:rPr>
            </w:pPr>
            <w:r w:rsidRPr="000B14FC">
              <w:rPr>
                <w:color w:val="000000"/>
                <w:sz w:val="20"/>
                <w:szCs w:val="20"/>
              </w:rPr>
              <w:t>Low</w:t>
            </w:r>
          </w:p>
        </w:tc>
        <w:tc>
          <w:tcPr>
            <w:tcW w:w="715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E9E72" w14:textId="77777777" w:rsidR="000B14FC" w:rsidRPr="000B14FC" w:rsidRDefault="000B14FC" w:rsidP="000B14FC">
            <w:pPr>
              <w:rPr>
                <w:sz w:val="20"/>
                <w:szCs w:val="20"/>
              </w:rPr>
            </w:pPr>
          </w:p>
        </w:tc>
      </w:tr>
      <w:tr w:rsidR="000B14FC" w:rsidRPr="000B14FC" w14:paraId="3B111A40"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0095AC4" w14:textId="77777777" w:rsidR="000B14FC" w:rsidRPr="000B14FC" w:rsidRDefault="000B14FC" w:rsidP="000B14FC">
            <w:pPr>
              <w:jc w:val="right"/>
              <w:rPr>
                <w:sz w:val="20"/>
                <w:szCs w:val="20"/>
              </w:rPr>
            </w:pPr>
            <w:r w:rsidRPr="000B14FC">
              <w:rPr>
                <w:color w:val="000000"/>
                <w:sz w:val="20"/>
                <w:szCs w:val="20"/>
              </w:rPr>
              <w:t>2018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EBE247" w14:textId="77777777" w:rsidR="000B14FC" w:rsidRPr="000B14FC" w:rsidRDefault="000B14FC" w:rsidP="000B14FC">
            <w:pPr>
              <w:jc w:val="center"/>
              <w:rPr>
                <w:sz w:val="20"/>
                <w:szCs w:val="20"/>
              </w:rPr>
            </w:pPr>
            <w:r w:rsidRPr="000B14FC">
              <w:rPr>
                <w:color w:val="000000"/>
                <w:sz w:val="20"/>
                <w:szCs w:val="20"/>
              </w:rPr>
              <w:t>31.1</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5485CD" w14:textId="77777777" w:rsidR="000B14FC" w:rsidRPr="000B14FC" w:rsidRDefault="00CA3E15" w:rsidP="000B14FC">
            <w:pPr>
              <w:jc w:val="center"/>
              <w:rPr>
                <w:sz w:val="20"/>
                <w:szCs w:val="20"/>
              </w:rPr>
            </w:pPr>
            <w:r>
              <w:rPr>
                <w:sz w:val="20"/>
                <w:szCs w:val="20"/>
              </w:rPr>
              <w:t>5.3</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9DD24E" w14:textId="77777777" w:rsidR="000B14FC" w:rsidRPr="000B14FC" w:rsidRDefault="000B14FC" w:rsidP="000B14FC">
            <w:pPr>
              <w:jc w:val="center"/>
              <w:rPr>
                <w:sz w:val="20"/>
                <w:szCs w:val="20"/>
              </w:rPr>
            </w:pPr>
            <w:r w:rsidRPr="000B14FC">
              <w:rPr>
                <w:color w:val="000000"/>
                <w:sz w:val="20"/>
                <w:szCs w:val="20"/>
              </w:rPr>
              <w:t>14</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99C318" w14:textId="77777777" w:rsidR="000B14FC" w:rsidRPr="000B14FC" w:rsidRDefault="000B14FC" w:rsidP="000B14FC">
            <w:pPr>
              <w:jc w:val="center"/>
              <w:rPr>
                <w:sz w:val="20"/>
                <w:szCs w:val="20"/>
              </w:rPr>
            </w:pPr>
            <w:r w:rsidRPr="000B14FC">
              <w:rPr>
                <w:color w:val="000000"/>
                <w:sz w:val="20"/>
                <w:szCs w:val="20"/>
              </w:rPr>
              <w:t>5.0</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DE3182" w14:textId="77777777" w:rsidR="000B14FC" w:rsidRPr="000B14FC" w:rsidRDefault="000B14FC" w:rsidP="000B14FC">
            <w:pPr>
              <w:jc w:val="center"/>
              <w:rPr>
                <w:sz w:val="20"/>
                <w:szCs w:val="20"/>
              </w:rPr>
            </w:pPr>
            <w:r w:rsidRPr="000B14FC">
              <w:rPr>
                <w:color w:val="000000"/>
                <w:sz w:val="20"/>
                <w:szCs w:val="20"/>
              </w:rPr>
              <w:t>2,842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E0E23" w14:textId="77777777" w:rsidR="000B14FC" w:rsidRPr="000B14FC" w:rsidRDefault="000B14FC" w:rsidP="000B14FC">
            <w:pPr>
              <w:jc w:val="center"/>
              <w:rPr>
                <w:sz w:val="20"/>
                <w:szCs w:val="20"/>
              </w:rPr>
            </w:pPr>
            <w:r w:rsidRPr="000B14FC">
              <w:rPr>
                <w:color w:val="000000"/>
                <w:sz w:val="20"/>
                <w:szCs w:val="20"/>
              </w:rPr>
              <w:t>1.0</w:t>
            </w:r>
          </w:p>
        </w:tc>
      </w:tr>
      <w:tr w:rsidR="000B14FC" w:rsidRPr="000B14FC" w14:paraId="2A279898"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A28D24F" w14:textId="77777777" w:rsidR="000B14FC" w:rsidRPr="000B14FC" w:rsidRDefault="000B14FC" w:rsidP="000B14FC">
            <w:pPr>
              <w:jc w:val="right"/>
              <w:rPr>
                <w:sz w:val="20"/>
                <w:szCs w:val="20"/>
              </w:rPr>
            </w:pPr>
            <w:r w:rsidRPr="000B14FC">
              <w:rPr>
                <w:color w:val="000000"/>
                <w:sz w:val="20"/>
                <w:szCs w:val="20"/>
              </w:rPr>
              <w:t>2019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8D7FF" w14:textId="77777777" w:rsidR="000B14FC" w:rsidRPr="000B14FC" w:rsidRDefault="000B14FC" w:rsidP="000B14FC">
            <w:pPr>
              <w:jc w:val="center"/>
              <w:rPr>
                <w:sz w:val="20"/>
                <w:szCs w:val="20"/>
              </w:rPr>
            </w:pPr>
            <w:r w:rsidRPr="000B14FC">
              <w:rPr>
                <w:color w:val="000000"/>
                <w:sz w:val="20"/>
                <w:szCs w:val="20"/>
              </w:rPr>
              <w:t>31.1</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232D6C" w14:textId="77777777" w:rsidR="000B14FC" w:rsidRPr="000B14FC" w:rsidRDefault="000B14FC" w:rsidP="000B14FC">
            <w:pPr>
              <w:jc w:val="center"/>
              <w:rPr>
                <w:sz w:val="20"/>
                <w:szCs w:val="20"/>
              </w:rPr>
            </w:pPr>
            <w:r w:rsidRPr="000B14FC">
              <w:rPr>
                <w:color w:val="000000"/>
                <w:sz w:val="20"/>
                <w:szCs w:val="20"/>
              </w:rPr>
              <w:t>4.5</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275A2" w14:textId="77777777" w:rsidR="000B14FC" w:rsidRPr="000B14FC" w:rsidRDefault="000B14FC" w:rsidP="000B14FC">
            <w:pPr>
              <w:jc w:val="center"/>
              <w:rPr>
                <w:sz w:val="20"/>
                <w:szCs w:val="20"/>
              </w:rPr>
            </w:pPr>
            <w:r w:rsidRPr="000B14FC">
              <w:rPr>
                <w:color w:val="000000"/>
                <w:sz w:val="20"/>
                <w:szCs w:val="20"/>
              </w:rPr>
              <w:t>12</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B782D2" w14:textId="77777777" w:rsidR="000B14FC" w:rsidRPr="000B14FC" w:rsidRDefault="000B14FC" w:rsidP="000B14FC">
            <w:pPr>
              <w:jc w:val="center"/>
              <w:rPr>
                <w:sz w:val="20"/>
                <w:szCs w:val="20"/>
              </w:rPr>
            </w:pPr>
            <w:r w:rsidRPr="000B14FC">
              <w:rPr>
                <w:color w:val="000000"/>
                <w:sz w:val="20"/>
                <w:szCs w:val="20"/>
              </w:rPr>
              <w:t>4.6</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228A41" w14:textId="77777777" w:rsidR="000B14FC" w:rsidRPr="000B14FC" w:rsidRDefault="000B14FC" w:rsidP="000B14FC">
            <w:pPr>
              <w:jc w:val="center"/>
              <w:rPr>
                <w:sz w:val="20"/>
                <w:szCs w:val="20"/>
              </w:rPr>
            </w:pPr>
            <w:r w:rsidRPr="000B14FC">
              <w:rPr>
                <w:color w:val="000000"/>
                <w:sz w:val="20"/>
                <w:szCs w:val="20"/>
              </w:rPr>
              <w:t>2,371</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EC2E6" w14:textId="77777777" w:rsidR="000B14FC" w:rsidRPr="000B14FC" w:rsidRDefault="000B14FC" w:rsidP="000B14FC">
            <w:pPr>
              <w:jc w:val="center"/>
              <w:rPr>
                <w:sz w:val="20"/>
                <w:szCs w:val="20"/>
              </w:rPr>
            </w:pPr>
            <w:r w:rsidRPr="000B14FC">
              <w:rPr>
                <w:color w:val="000000"/>
                <w:sz w:val="20"/>
                <w:szCs w:val="20"/>
              </w:rPr>
              <w:t>0.9</w:t>
            </w:r>
          </w:p>
        </w:tc>
      </w:tr>
      <w:tr w:rsidR="000B14FC" w:rsidRPr="000B14FC" w14:paraId="63FDB318" w14:textId="77777777" w:rsidTr="000B14FC">
        <w:trPr>
          <w:trHeight w:val="181"/>
        </w:trPr>
        <w:tc>
          <w:tcPr>
            <w:tcW w:w="22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15CB0C" w14:textId="77777777" w:rsidR="000B14FC" w:rsidRPr="000B14FC" w:rsidRDefault="000B14FC" w:rsidP="000B14FC">
            <w:pPr>
              <w:rPr>
                <w:sz w:val="20"/>
                <w:szCs w:val="20"/>
              </w:rPr>
            </w:pPr>
            <w:r w:rsidRPr="000B14FC">
              <w:rPr>
                <w:color w:val="000000"/>
                <w:sz w:val="20"/>
                <w:szCs w:val="20"/>
              </w:rPr>
              <w:t>Moderate</w:t>
            </w:r>
          </w:p>
        </w:tc>
        <w:tc>
          <w:tcPr>
            <w:tcW w:w="715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1B5E4D" w14:textId="77777777" w:rsidR="000B14FC" w:rsidRPr="000B14FC" w:rsidRDefault="000B14FC" w:rsidP="000B14FC">
            <w:pPr>
              <w:rPr>
                <w:sz w:val="20"/>
                <w:szCs w:val="20"/>
              </w:rPr>
            </w:pPr>
          </w:p>
        </w:tc>
      </w:tr>
      <w:tr w:rsidR="000B14FC" w:rsidRPr="000B14FC" w14:paraId="5C2DA46D"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6CC9B21" w14:textId="77777777" w:rsidR="000B14FC" w:rsidRPr="000B14FC" w:rsidRDefault="000B14FC" w:rsidP="000B14FC">
            <w:pPr>
              <w:jc w:val="right"/>
              <w:rPr>
                <w:sz w:val="20"/>
                <w:szCs w:val="20"/>
              </w:rPr>
            </w:pPr>
            <w:r w:rsidRPr="000B14FC">
              <w:rPr>
                <w:color w:val="000000"/>
                <w:sz w:val="20"/>
                <w:szCs w:val="20"/>
              </w:rPr>
              <w:t>2018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67FAAF" w14:textId="77777777" w:rsidR="000B14FC" w:rsidRPr="000B14FC" w:rsidRDefault="000B14FC" w:rsidP="000B14FC">
            <w:pPr>
              <w:jc w:val="center"/>
              <w:rPr>
                <w:sz w:val="20"/>
                <w:szCs w:val="20"/>
              </w:rPr>
            </w:pPr>
            <w:r w:rsidRPr="000B14FC">
              <w:rPr>
                <w:color w:val="000000"/>
                <w:sz w:val="20"/>
                <w:szCs w:val="20"/>
              </w:rPr>
              <w:t>17.7</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08E02C" w14:textId="77777777" w:rsidR="000B14FC" w:rsidRPr="000B14FC" w:rsidRDefault="00CA3E15" w:rsidP="00CA3E15">
            <w:pPr>
              <w:jc w:val="center"/>
              <w:rPr>
                <w:sz w:val="20"/>
                <w:szCs w:val="20"/>
              </w:rPr>
            </w:pPr>
            <w:r>
              <w:rPr>
                <w:color w:val="000000"/>
                <w:sz w:val="20"/>
                <w:szCs w:val="20"/>
              </w:rPr>
              <w:t>16.2</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8CAE3C" w14:textId="77777777" w:rsidR="000B14FC" w:rsidRPr="000B14FC" w:rsidRDefault="000B14FC" w:rsidP="000B14FC">
            <w:pPr>
              <w:jc w:val="center"/>
              <w:rPr>
                <w:sz w:val="20"/>
                <w:szCs w:val="20"/>
              </w:rPr>
            </w:pPr>
            <w:r w:rsidRPr="000B14FC">
              <w:rPr>
                <w:color w:val="000000"/>
                <w:sz w:val="20"/>
                <w:szCs w:val="20"/>
              </w:rPr>
              <w:t>30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04FAC0" w14:textId="77777777" w:rsidR="000B14FC" w:rsidRPr="000B14FC" w:rsidRDefault="000B14FC" w:rsidP="000B14FC">
            <w:pPr>
              <w:jc w:val="center"/>
              <w:rPr>
                <w:sz w:val="20"/>
                <w:szCs w:val="20"/>
              </w:rPr>
            </w:pPr>
            <w:r w:rsidRPr="000B14FC">
              <w:rPr>
                <w:color w:val="000000"/>
                <w:sz w:val="20"/>
                <w:szCs w:val="20"/>
              </w:rPr>
              <w:t>10.7</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4987A" w14:textId="77777777" w:rsidR="000B14FC" w:rsidRPr="000B14FC" w:rsidRDefault="000B14FC" w:rsidP="000B14FC">
            <w:pPr>
              <w:jc w:val="center"/>
              <w:rPr>
                <w:sz w:val="20"/>
                <w:szCs w:val="20"/>
              </w:rPr>
            </w:pPr>
            <w:r w:rsidRPr="000B14FC">
              <w:rPr>
                <w:color w:val="000000"/>
                <w:sz w:val="20"/>
                <w:szCs w:val="20"/>
              </w:rPr>
              <w:t>8,271</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A5C90" w14:textId="77777777" w:rsidR="000B14FC" w:rsidRPr="000B14FC" w:rsidRDefault="000B14FC" w:rsidP="000B14FC">
            <w:pPr>
              <w:jc w:val="center"/>
              <w:rPr>
                <w:sz w:val="20"/>
                <w:szCs w:val="20"/>
              </w:rPr>
            </w:pPr>
            <w:r w:rsidRPr="000B14FC">
              <w:rPr>
                <w:color w:val="000000"/>
                <w:sz w:val="20"/>
                <w:szCs w:val="20"/>
              </w:rPr>
              <w:t>2.8</w:t>
            </w:r>
          </w:p>
        </w:tc>
      </w:tr>
      <w:tr w:rsidR="000B14FC" w:rsidRPr="000B14FC" w14:paraId="6B5141E8"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5E09D891" w14:textId="77777777" w:rsidR="000B14FC" w:rsidRPr="000B14FC" w:rsidRDefault="000B14FC" w:rsidP="000B14FC">
            <w:pPr>
              <w:jc w:val="right"/>
              <w:rPr>
                <w:sz w:val="20"/>
                <w:szCs w:val="20"/>
              </w:rPr>
            </w:pPr>
            <w:r w:rsidRPr="000B14FC">
              <w:rPr>
                <w:color w:val="000000"/>
                <w:sz w:val="20"/>
                <w:szCs w:val="20"/>
              </w:rPr>
              <w:t>2019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C60CE4" w14:textId="77777777" w:rsidR="000B14FC" w:rsidRPr="000B14FC" w:rsidRDefault="000B14FC" w:rsidP="000B14FC">
            <w:pPr>
              <w:jc w:val="center"/>
              <w:rPr>
                <w:sz w:val="20"/>
                <w:szCs w:val="20"/>
              </w:rPr>
            </w:pPr>
            <w:r w:rsidRPr="000B14FC">
              <w:rPr>
                <w:color w:val="000000"/>
                <w:sz w:val="20"/>
                <w:szCs w:val="20"/>
              </w:rPr>
              <w:t>17.7</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954FA" w14:textId="77777777" w:rsidR="000B14FC" w:rsidRPr="000B14FC" w:rsidRDefault="000B14FC" w:rsidP="000B14FC">
            <w:pPr>
              <w:jc w:val="center"/>
              <w:rPr>
                <w:sz w:val="20"/>
                <w:szCs w:val="20"/>
              </w:rPr>
            </w:pPr>
            <w:r w:rsidRPr="000B14FC">
              <w:rPr>
                <w:color w:val="000000"/>
                <w:sz w:val="20"/>
                <w:szCs w:val="20"/>
              </w:rPr>
              <w:t>16.9</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DE5F8" w14:textId="77777777" w:rsidR="000B14FC" w:rsidRPr="000B14FC" w:rsidRDefault="000B14FC" w:rsidP="000B14FC">
            <w:pPr>
              <w:jc w:val="center"/>
              <w:rPr>
                <w:sz w:val="20"/>
                <w:szCs w:val="20"/>
              </w:rPr>
            </w:pPr>
            <w:r w:rsidRPr="000B14FC">
              <w:rPr>
                <w:color w:val="000000"/>
                <w:sz w:val="20"/>
                <w:szCs w:val="20"/>
              </w:rPr>
              <w:t>31</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1C2B31" w14:textId="77777777" w:rsidR="000B14FC" w:rsidRPr="000B14FC" w:rsidRDefault="000B14FC" w:rsidP="000B14FC">
            <w:pPr>
              <w:jc w:val="center"/>
              <w:rPr>
                <w:sz w:val="20"/>
                <w:szCs w:val="20"/>
              </w:rPr>
            </w:pPr>
            <w:r w:rsidRPr="000B14FC">
              <w:rPr>
                <w:color w:val="000000"/>
                <w:sz w:val="20"/>
                <w:szCs w:val="20"/>
              </w:rPr>
              <w:t>11.8</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1D750" w14:textId="77777777" w:rsidR="000B14FC" w:rsidRPr="000B14FC" w:rsidRDefault="000B14FC" w:rsidP="000B14FC">
            <w:pPr>
              <w:jc w:val="center"/>
              <w:rPr>
                <w:sz w:val="20"/>
                <w:szCs w:val="20"/>
              </w:rPr>
            </w:pPr>
            <w:r w:rsidRPr="000B14FC">
              <w:rPr>
                <w:color w:val="000000"/>
                <w:sz w:val="20"/>
                <w:szCs w:val="20"/>
              </w:rPr>
              <w:t>7,727</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DC9BE" w14:textId="77777777" w:rsidR="000B14FC" w:rsidRPr="000B14FC" w:rsidRDefault="000B14FC" w:rsidP="000B14FC">
            <w:pPr>
              <w:jc w:val="center"/>
              <w:rPr>
                <w:sz w:val="20"/>
                <w:szCs w:val="20"/>
              </w:rPr>
            </w:pPr>
            <w:r w:rsidRPr="000B14FC">
              <w:rPr>
                <w:color w:val="000000"/>
                <w:sz w:val="20"/>
                <w:szCs w:val="20"/>
              </w:rPr>
              <w:t>2.8</w:t>
            </w:r>
          </w:p>
        </w:tc>
      </w:tr>
      <w:tr w:rsidR="000B14FC" w:rsidRPr="000B14FC" w14:paraId="7C3AAF60" w14:textId="77777777" w:rsidTr="000B14FC">
        <w:trPr>
          <w:trHeight w:val="181"/>
        </w:trPr>
        <w:tc>
          <w:tcPr>
            <w:tcW w:w="22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75A50DA" w14:textId="77777777" w:rsidR="000B14FC" w:rsidRPr="000B14FC" w:rsidRDefault="000B14FC" w:rsidP="000B14FC">
            <w:pPr>
              <w:rPr>
                <w:sz w:val="20"/>
                <w:szCs w:val="20"/>
              </w:rPr>
            </w:pPr>
            <w:r w:rsidRPr="000B14FC">
              <w:rPr>
                <w:color w:val="000000"/>
                <w:sz w:val="20"/>
                <w:szCs w:val="20"/>
              </w:rPr>
              <w:t>Middle</w:t>
            </w:r>
          </w:p>
        </w:tc>
        <w:tc>
          <w:tcPr>
            <w:tcW w:w="715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DC8081" w14:textId="77777777" w:rsidR="000B14FC" w:rsidRPr="000B14FC" w:rsidRDefault="000B14FC" w:rsidP="000B14FC">
            <w:pPr>
              <w:rPr>
                <w:sz w:val="20"/>
                <w:szCs w:val="20"/>
              </w:rPr>
            </w:pPr>
          </w:p>
        </w:tc>
      </w:tr>
      <w:tr w:rsidR="000B14FC" w:rsidRPr="000B14FC" w14:paraId="404E723D"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266DFE5" w14:textId="77777777" w:rsidR="000B14FC" w:rsidRPr="000B14FC" w:rsidRDefault="000B14FC" w:rsidP="000B14FC">
            <w:pPr>
              <w:jc w:val="right"/>
              <w:rPr>
                <w:sz w:val="20"/>
                <w:szCs w:val="20"/>
              </w:rPr>
            </w:pPr>
            <w:r w:rsidRPr="000B14FC">
              <w:rPr>
                <w:color w:val="000000"/>
                <w:sz w:val="20"/>
                <w:szCs w:val="20"/>
              </w:rPr>
              <w:t>2018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A8554A" w14:textId="77777777" w:rsidR="000B14FC" w:rsidRPr="000B14FC" w:rsidRDefault="000B14FC" w:rsidP="000B14FC">
            <w:pPr>
              <w:jc w:val="center"/>
              <w:rPr>
                <w:sz w:val="20"/>
                <w:szCs w:val="20"/>
              </w:rPr>
            </w:pPr>
            <w:r w:rsidRPr="000B14FC">
              <w:rPr>
                <w:color w:val="000000"/>
                <w:sz w:val="20"/>
                <w:szCs w:val="20"/>
              </w:rPr>
              <w:t>18.7</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DCF6E3" w14:textId="77777777" w:rsidR="000B14FC" w:rsidRPr="000B14FC" w:rsidRDefault="00CA3E15" w:rsidP="000B14FC">
            <w:pPr>
              <w:jc w:val="center"/>
              <w:rPr>
                <w:sz w:val="20"/>
                <w:szCs w:val="20"/>
              </w:rPr>
            </w:pPr>
            <w:r>
              <w:rPr>
                <w:sz w:val="20"/>
                <w:szCs w:val="20"/>
              </w:rPr>
              <w:t>23.4</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F837CE" w14:textId="77777777" w:rsidR="000B14FC" w:rsidRPr="000B14FC" w:rsidRDefault="000B14FC" w:rsidP="000B14FC">
            <w:pPr>
              <w:jc w:val="center"/>
              <w:rPr>
                <w:sz w:val="20"/>
                <w:szCs w:val="20"/>
              </w:rPr>
            </w:pPr>
            <w:r w:rsidRPr="000B14FC">
              <w:rPr>
                <w:color w:val="000000"/>
                <w:sz w:val="20"/>
                <w:szCs w:val="20"/>
              </w:rPr>
              <w:t>38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81D5C4" w14:textId="77777777" w:rsidR="000B14FC" w:rsidRPr="000B14FC" w:rsidRDefault="000B14FC" w:rsidP="000B14FC">
            <w:pPr>
              <w:jc w:val="center"/>
              <w:rPr>
                <w:sz w:val="20"/>
                <w:szCs w:val="20"/>
              </w:rPr>
            </w:pPr>
            <w:r w:rsidRPr="000B14FC">
              <w:rPr>
                <w:color w:val="000000"/>
                <w:sz w:val="20"/>
                <w:szCs w:val="20"/>
              </w:rPr>
              <w:t>13.5</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F2AAAC" w14:textId="77777777" w:rsidR="000B14FC" w:rsidRPr="000B14FC" w:rsidRDefault="000B14FC" w:rsidP="000B14FC">
            <w:pPr>
              <w:jc w:val="center"/>
              <w:rPr>
                <w:sz w:val="20"/>
                <w:szCs w:val="20"/>
              </w:rPr>
            </w:pPr>
            <w:r w:rsidRPr="000B14FC">
              <w:rPr>
                <w:color w:val="000000"/>
                <w:sz w:val="20"/>
                <w:szCs w:val="20"/>
              </w:rPr>
              <w:t>14,377</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A8CF5" w14:textId="77777777" w:rsidR="000B14FC" w:rsidRPr="000B14FC" w:rsidRDefault="000B14FC" w:rsidP="000B14FC">
            <w:pPr>
              <w:jc w:val="center"/>
              <w:rPr>
                <w:sz w:val="20"/>
                <w:szCs w:val="20"/>
              </w:rPr>
            </w:pPr>
            <w:r w:rsidRPr="000B14FC">
              <w:rPr>
                <w:color w:val="000000"/>
                <w:sz w:val="20"/>
                <w:szCs w:val="20"/>
              </w:rPr>
              <w:t>4.9</w:t>
            </w:r>
          </w:p>
        </w:tc>
      </w:tr>
      <w:tr w:rsidR="000B14FC" w:rsidRPr="000B14FC" w14:paraId="646C19B6"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C8162D5" w14:textId="77777777" w:rsidR="000B14FC" w:rsidRPr="000B14FC" w:rsidRDefault="000B14FC" w:rsidP="000B14FC">
            <w:pPr>
              <w:jc w:val="right"/>
              <w:rPr>
                <w:sz w:val="20"/>
                <w:szCs w:val="20"/>
              </w:rPr>
            </w:pPr>
            <w:r w:rsidRPr="000B14FC">
              <w:rPr>
                <w:color w:val="000000"/>
                <w:sz w:val="20"/>
                <w:szCs w:val="20"/>
              </w:rPr>
              <w:t>2019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94299" w14:textId="77777777" w:rsidR="000B14FC" w:rsidRPr="000B14FC" w:rsidRDefault="000B14FC" w:rsidP="000B14FC">
            <w:pPr>
              <w:jc w:val="center"/>
              <w:rPr>
                <w:sz w:val="20"/>
                <w:szCs w:val="20"/>
              </w:rPr>
            </w:pPr>
            <w:r w:rsidRPr="000B14FC">
              <w:rPr>
                <w:color w:val="000000"/>
                <w:sz w:val="20"/>
                <w:szCs w:val="20"/>
              </w:rPr>
              <w:t>18.7</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3CAA6C" w14:textId="77777777" w:rsidR="000B14FC" w:rsidRPr="000B14FC" w:rsidRDefault="000B14FC" w:rsidP="000B14FC">
            <w:pPr>
              <w:jc w:val="center"/>
              <w:rPr>
                <w:sz w:val="20"/>
                <w:szCs w:val="20"/>
              </w:rPr>
            </w:pPr>
            <w:r w:rsidRPr="000B14FC">
              <w:rPr>
                <w:color w:val="000000"/>
                <w:sz w:val="20"/>
                <w:szCs w:val="20"/>
              </w:rPr>
              <w:t>23.2</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62A59C" w14:textId="77777777" w:rsidR="000B14FC" w:rsidRPr="000B14FC" w:rsidRDefault="000B14FC" w:rsidP="000B14FC">
            <w:pPr>
              <w:jc w:val="center"/>
              <w:rPr>
                <w:sz w:val="20"/>
                <w:szCs w:val="20"/>
              </w:rPr>
            </w:pPr>
            <w:r w:rsidRPr="000B14FC">
              <w:rPr>
                <w:color w:val="000000"/>
                <w:sz w:val="20"/>
                <w:szCs w:val="20"/>
              </w:rPr>
              <w:t>39</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82A3D" w14:textId="77777777" w:rsidR="000B14FC" w:rsidRPr="000B14FC" w:rsidRDefault="000B14FC" w:rsidP="000B14FC">
            <w:pPr>
              <w:jc w:val="center"/>
              <w:rPr>
                <w:sz w:val="20"/>
                <w:szCs w:val="20"/>
              </w:rPr>
            </w:pPr>
            <w:r w:rsidRPr="000B14FC">
              <w:rPr>
                <w:color w:val="000000"/>
                <w:sz w:val="20"/>
                <w:szCs w:val="20"/>
              </w:rPr>
              <w:t>14.8</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93475" w14:textId="77777777" w:rsidR="000B14FC" w:rsidRPr="000B14FC" w:rsidRDefault="000B14FC" w:rsidP="000B14FC">
            <w:pPr>
              <w:jc w:val="center"/>
              <w:rPr>
                <w:sz w:val="20"/>
                <w:szCs w:val="20"/>
              </w:rPr>
            </w:pPr>
            <w:r w:rsidRPr="000B14FC">
              <w:rPr>
                <w:color w:val="000000"/>
                <w:sz w:val="20"/>
                <w:szCs w:val="20"/>
              </w:rPr>
              <w:t>12,709</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5E6596" w14:textId="77777777" w:rsidR="000B14FC" w:rsidRPr="000B14FC" w:rsidRDefault="000B14FC" w:rsidP="000B14FC">
            <w:pPr>
              <w:jc w:val="center"/>
              <w:rPr>
                <w:sz w:val="20"/>
                <w:szCs w:val="20"/>
              </w:rPr>
            </w:pPr>
            <w:r w:rsidRPr="000B14FC">
              <w:rPr>
                <w:color w:val="000000"/>
                <w:sz w:val="20"/>
                <w:szCs w:val="20"/>
              </w:rPr>
              <w:t>4.6</w:t>
            </w:r>
          </w:p>
        </w:tc>
      </w:tr>
      <w:tr w:rsidR="000B14FC" w:rsidRPr="000B14FC" w14:paraId="00DE5F4F" w14:textId="77777777" w:rsidTr="000B14FC">
        <w:trPr>
          <w:trHeight w:val="181"/>
        </w:trPr>
        <w:tc>
          <w:tcPr>
            <w:tcW w:w="22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233C74" w14:textId="77777777" w:rsidR="000B14FC" w:rsidRPr="000B14FC" w:rsidRDefault="000B14FC" w:rsidP="000B14FC">
            <w:pPr>
              <w:rPr>
                <w:sz w:val="20"/>
                <w:szCs w:val="20"/>
              </w:rPr>
            </w:pPr>
            <w:r w:rsidRPr="000B14FC">
              <w:rPr>
                <w:color w:val="000000"/>
                <w:sz w:val="20"/>
                <w:szCs w:val="20"/>
              </w:rPr>
              <w:t>Upper</w:t>
            </w:r>
          </w:p>
        </w:tc>
        <w:tc>
          <w:tcPr>
            <w:tcW w:w="715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2DFBE" w14:textId="77777777" w:rsidR="000B14FC" w:rsidRPr="000B14FC" w:rsidRDefault="000B14FC" w:rsidP="000B14FC">
            <w:pPr>
              <w:rPr>
                <w:sz w:val="20"/>
                <w:szCs w:val="20"/>
              </w:rPr>
            </w:pPr>
          </w:p>
        </w:tc>
      </w:tr>
      <w:tr w:rsidR="000B14FC" w:rsidRPr="000B14FC" w14:paraId="71104353"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DFB00A9" w14:textId="77777777" w:rsidR="000B14FC" w:rsidRPr="000B14FC" w:rsidRDefault="000B14FC" w:rsidP="000B14FC">
            <w:pPr>
              <w:jc w:val="right"/>
              <w:rPr>
                <w:sz w:val="20"/>
                <w:szCs w:val="20"/>
              </w:rPr>
            </w:pPr>
            <w:r w:rsidRPr="000B14FC">
              <w:rPr>
                <w:color w:val="000000"/>
                <w:sz w:val="20"/>
                <w:szCs w:val="20"/>
              </w:rPr>
              <w:t>2018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53E9E" w14:textId="77777777" w:rsidR="000B14FC" w:rsidRPr="000B14FC" w:rsidRDefault="000B14FC" w:rsidP="000B14FC">
            <w:pPr>
              <w:jc w:val="center"/>
              <w:rPr>
                <w:sz w:val="20"/>
                <w:szCs w:val="20"/>
              </w:rPr>
            </w:pPr>
            <w:r w:rsidRPr="000B14FC">
              <w:rPr>
                <w:color w:val="000000"/>
                <w:sz w:val="20"/>
                <w:szCs w:val="20"/>
              </w:rPr>
              <w:t>32.5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501614" w14:textId="77777777" w:rsidR="000B14FC" w:rsidRPr="000B14FC" w:rsidRDefault="00CA3E15" w:rsidP="000B14FC">
            <w:pPr>
              <w:jc w:val="center"/>
              <w:rPr>
                <w:sz w:val="20"/>
                <w:szCs w:val="20"/>
              </w:rPr>
            </w:pPr>
            <w:r>
              <w:rPr>
                <w:sz w:val="20"/>
                <w:szCs w:val="20"/>
              </w:rPr>
              <w:t>41.4</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BDF92" w14:textId="77777777" w:rsidR="000B14FC" w:rsidRPr="000B14FC" w:rsidRDefault="000B14FC" w:rsidP="000B14FC">
            <w:pPr>
              <w:jc w:val="center"/>
              <w:rPr>
                <w:sz w:val="20"/>
                <w:szCs w:val="20"/>
              </w:rPr>
            </w:pPr>
            <w:r w:rsidRPr="000B14FC">
              <w:rPr>
                <w:color w:val="000000"/>
                <w:sz w:val="20"/>
                <w:szCs w:val="20"/>
              </w:rPr>
              <w:t>113</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6CC9DE" w14:textId="77777777" w:rsidR="000B14FC" w:rsidRPr="000B14FC" w:rsidRDefault="000B14FC" w:rsidP="000B14FC">
            <w:pPr>
              <w:jc w:val="center"/>
              <w:rPr>
                <w:sz w:val="20"/>
                <w:szCs w:val="20"/>
              </w:rPr>
            </w:pPr>
            <w:r w:rsidRPr="000B14FC">
              <w:rPr>
                <w:color w:val="000000"/>
                <w:sz w:val="20"/>
                <w:szCs w:val="20"/>
              </w:rPr>
              <w:t>40.2</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891DCB" w14:textId="77777777" w:rsidR="000B14FC" w:rsidRPr="000B14FC" w:rsidRDefault="000B14FC" w:rsidP="000B14FC">
            <w:pPr>
              <w:jc w:val="center"/>
              <w:rPr>
                <w:sz w:val="20"/>
                <w:szCs w:val="20"/>
              </w:rPr>
            </w:pPr>
            <w:r w:rsidRPr="000B14FC">
              <w:rPr>
                <w:color w:val="000000"/>
                <w:sz w:val="20"/>
                <w:szCs w:val="20"/>
              </w:rPr>
              <w:t>65,565</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48CDE9" w14:textId="77777777" w:rsidR="000B14FC" w:rsidRPr="000B14FC" w:rsidRDefault="000B14FC" w:rsidP="000B14FC">
            <w:pPr>
              <w:jc w:val="center"/>
              <w:rPr>
                <w:sz w:val="20"/>
                <w:szCs w:val="20"/>
              </w:rPr>
            </w:pPr>
            <w:r w:rsidRPr="000B14FC">
              <w:rPr>
                <w:color w:val="000000"/>
                <w:sz w:val="20"/>
                <w:szCs w:val="20"/>
              </w:rPr>
              <w:t>22.6</w:t>
            </w:r>
          </w:p>
        </w:tc>
      </w:tr>
      <w:tr w:rsidR="000B14FC" w:rsidRPr="000B14FC" w14:paraId="1ACDC261"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7F3C5A2" w14:textId="77777777" w:rsidR="000B14FC" w:rsidRPr="000B14FC" w:rsidRDefault="000B14FC" w:rsidP="000B14FC">
            <w:pPr>
              <w:jc w:val="right"/>
              <w:rPr>
                <w:sz w:val="20"/>
                <w:szCs w:val="20"/>
              </w:rPr>
            </w:pPr>
            <w:r w:rsidRPr="000B14FC">
              <w:rPr>
                <w:color w:val="000000"/>
                <w:sz w:val="20"/>
                <w:szCs w:val="20"/>
              </w:rPr>
              <w:t>2019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F1A2B4" w14:textId="77777777" w:rsidR="000B14FC" w:rsidRPr="000B14FC" w:rsidRDefault="000B14FC" w:rsidP="000B14FC">
            <w:pPr>
              <w:jc w:val="center"/>
              <w:rPr>
                <w:sz w:val="20"/>
                <w:szCs w:val="20"/>
              </w:rPr>
            </w:pPr>
            <w:r w:rsidRPr="000B14FC">
              <w:rPr>
                <w:color w:val="000000"/>
                <w:sz w:val="20"/>
                <w:szCs w:val="20"/>
              </w:rPr>
              <w:t>32.5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FBBED7" w14:textId="77777777" w:rsidR="000B14FC" w:rsidRPr="000B14FC" w:rsidRDefault="000B14FC" w:rsidP="000B14FC">
            <w:pPr>
              <w:jc w:val="center"/>
              <w:rPr>
                <w:sz w:val="20"/>
                <w:szCs w:val="20"/>
              </w:rPr>
            </w:pPr>
            <w:r w:rsidRPr="000B14FC">
              <w:rPr>
                <w:color w:val="000000"/>
                <w:sz w:val="20"/>
                <w:szCs w:val="20"/>
              </w:rPr>
              <w:t>42.2</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D503DE" w14:textId="77777777" w:rsidR="000B14FC" w:rsidRPr="000B14FC" w:rsidRDefault="000B14FC" w:rsidP="000B14FC">
            <w:pPr>
              <w:jc w:val="center"/>
              <w:rPr>
                <w:sz w:val="20"/>
                <w:szCs w:val="20"/>
              </w:rPr>
            </w:pPr>
            <w:r w:rsidRPr="000B14FC">
              <w:rPr>
                <w:color w:val="000000"/>
                <w:sz w:val="20"/>
                <w:szCs w:val="20"/>
              </w:rPr>
              <w:t>93</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02133F" w14:textId="77777777" w:rsidR="000B14FC" w:rsidRPr="000B14FC" w:rsidRDefault="000B14FC" w:rsidP="000B14FC">
            <w:pPr>
              <w:jc w:val="center"/>
              <w:rPr>
                <w:sz w:val="20"/>
                <w:szCs w:val="20"/>
              </w:rPr>
            </w:pPr>
            <w:r w:rsidRPr="000B14FC">
              <w:rPr>
                <w:color w:val="000000"/>
                <w:sz w:val="20"/>
                <w:szCs w:val="20"/>
              </w:rPr>
              <w:t>35.4</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A92930" w14:textId="77777777" w:rsidR="000B14FC" w:rsidRPr="000B14FC" w:rsidRDefault="000B14FC" w:rsidP="000B14FC">
            <w:pPr>
              <w:jc w:val="center"/>
              <w:rPr>
                <w:sz w:val="20"/>
                <w:szCs w:val="20"/>
              </w:rPr>
            </w:pPr>
            <w:r w:rsidRPr="000B14FC">
              <w:rPr>
                <w:color w:val="000000"/>
                <w:sz w:val="20"/>
                <w:szCs w:val="20"/>
              </w:rPr>
              <w:t>61,815</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9DCCFD" w14:textId="77777777" w:rsidR="000B14FC" w:rsidRPr="000B14FC" w:rsidRDefault="000B14FC" w:rsidP="000B14FC">
            <w:pPr>
              <w:jc w:val="center"/>
              <w:rPr>
                <w:sz w:val="20"/>
                <w:szCs w:val="20"/>
              </w:rPr>
            </w:pPr>
            <w:r w:rsidRPr="000B14FC">
              <w:rPr>
                <w:color w:val="000000"/>
                <w:sz w:val="20"/>
                <w:szCs w:val="20"/>
              </w:rPr>
              <w:t>22.3</w:t>
            </w:r>
          </w:p>
        </w:tc>
      </w:tr>
      <w:tr w:rsidR="000B14FC" w:rsidRPr="000B14FC" w14:paraId="1165CADE" w14:textId="77777777" w:rsidTr="000B14FC">
        <w:trPr>
          <w:trHeight w:val="181"/>
        </w:trPr>
        <w:tc>
          <w:tcPr>
            <w:tcW w:w="22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A6CD1E" w14:textId="77777777" w:rsidR="000B14FC" w:rsidRPr="000B14FC" w:rsidRDefault="000B14FC" w:rsidP="000B14FC">
            <w:pPr>
              <w:rPr>
                <w:sz w:val="20"/>
                <w:szCs w:val="20"/>
              </w:rPr>
            </w:pPr>
            <w:r w:rsidRPr="000B14FC">
              <w:rPr>
                <w:color w:val="000000"/>
                <w:sz w:val="20"/>
                <w:szCs w:val="20"/>
              </w:rPr>
              <w:t>Not Available</w:t>
            </w:r>
          </w:p>
        </w:tc>
        <w:tc>
          <w:tcPr>
            <w:tcW w:w="715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7D57C" w14:textId="77777777" w:rsidR="000B14FC" w:rsidRPr="000B14FC" w:rsidRDefault="000B14FC" w:rsidP="000B14FC">
            <w:pPr>
              <w:rPr>
                <w:sz w:val="20"/>
                <w:szCs w:val="20"/>
              </w:rPr>
            </w:pPr>
          </w:p>
        </w:tc>
      </w:tr>
      <w:tr w:rsidR="000B14FC" w:rsidRPr="000B14FC" w14:paraId="2914E5BC"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92471CE" w14:textId="77777777" w:rsidR="000B14FC" w:rsidRPr="000B14FC" w:rsidRDefault="000B14FC" w:rsidP="000B14FC">
            <w:pPr>
              <w:jc w:val="right"/>
              <w:rPr>
                <w:sz w:val="20"/>
                <w:szCs w:val="20"/>
              </w:rPr>
            </w:pPr>
            <w:r w:rsidRPr="000B14FC">
              <w:rPr>
                <w:color w:val="000000"/>
                <w:sz w:val="20"/>
                <w:szCs w:val="20"/>
              </w:rPr>
              <w:t>2018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EA66E" w14:textId="77777777" w:rsidR="000B14FC" w:rsidRPr="000B14FC" w:rsidRDefault="000B14FC" w:rsidP="000B14FC">
            <w:pPr>
              <w:jc w:val="center"/>
              <w:rPr>
                <w:sz w:val="20"/>
                <w:szCs w:val="20"/>
              </w:rPr>
            </w:pPr>
            <w:r w:rsidRPr="000B14FC">
              <w:rPr>
                <w:color w:val="000000"/>
                <w:sz w:val="20"/>
                <w:szCs w:val="20"/>
              </w:rPr>
              <w:t>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3A573" w14:textId="77777777" w:rsidR="000B14FC" w:rsidRPr="000B14FC" w:rsidRDefault="00CA3E15" w:rsidP="000B14FC">
            <w:pPr>
              <w:jc w:val="center"/>
              <w:rPr>
                <w:sz w:val="20"/>
                <w:szCs w:val="20"/>
              </w:rPr>
            </w:pPr>
            <w:r>
              <w:rPr>
                <w:sz w:val="20"/>
                <w:szCs w:val="20"/>
              </w:rPr>
              <w:t>13.7</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EFE4D" w14:textId="77777777" w:rsidR="000B14FC" w:rsidRPr="000B14FC" w:rsidRDefault="000B14FC" w:rsidP="000B14FC">
            <w:pPr>
              <w:jc w:val="center"/>
              <w:rPr>
                <w:sz w:val="20"/>
                <w:szCs w:val="20"/>
              </w:rPr>
            </w:pPr>
            <w:r w:rsidRPr="000B14FC">
              <w:rPr>
                <w:color w:val="000000"/>
                <w:sz w:val="20"/>
                <w:szCs w:val="20"/>
              </w:rPr>
              <w:t>86</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CE9B6D" w14:textId="77777777" w:rsidR="000B14FC" w:rsidRPr="000B14FC" w:rsidRDefault="000B14FC" w:rsidP="000B14FC">
            <w:pPr>
              <w:jc w:val="center"/>
              <w:rPr>
                <w:sz w:val="20"/>
                <w:szCs w:val="20"/>
              </w:rPr>
            </w:pPr>
            <w:r w:rsidRPr="000B14FC">
              <w:rPr>
                <w:color w:val="000000"/>
                <w:sz w:val="20"/>
                <w:szCs w:val="20"/>
              </w:rPr>
              <w:t>30.6</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D7B11" w14:textId="77777777" w:rsidR="000B14FC" w:rsidRPr="000B14FC" w:rsidRDefault="000B14FC" w:rsidP="000B14FC">
            <w:pPr>
              <w:jc w:val="center"/>
              <w:rPr>
                <w:sz w:val="20"/>
                <w:szCs w:val="20"/>
              </w:rPr>
            </w:pPr>
            <w:r w:rsidRPr="000B14FC">
              <w:rPr>
                <w:color w:val="000000"/>
                <w:sz w:val="20"/>
                <w:szCs w:val="20"/>
              </w:rPr>
              <w:t>199,580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7062E" w14:textId="77777777" w:rsidR="000B14FC" w:rsidRPr="000B14FC" w:rsidRDefault="000B14FC" w:rsidP="000B14FC">
            <w:pPr>
              <w:jc w:val="center"/>
              <w:rPr>
                <w:sz w:val="20"/>
                <w:szCs w:val="20"/>
              </w:rPr>
            </w:pPr>
            <w:r w:rsidRPr="000B14FC">
              <w:rPr>
                <w:color w:val="000000"/>
                <w:sz w:val="20"/>
                <w:szCs w:val="20"/>
              </w:rPr>
              <w:t>68.7</w:t>
            </w:r>
          </w:p>
        </w:tc>
      </w:tr>
      <w:tr w:rsidR="000B14FC" w:rsidRPr="000B14FC" w14:paraId="12C9D180" w14:textId="77777777" w:rsidTr="000B14FC">
        <w:trPr>
          <w:trHeight w:val="166"/>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1BE1AAA" w14:textId="77777777" w:rsidR="000B14FC" w:rsidRPr="000B14FC" w:rsidRDefault="000B14FC" w:rsidP="000B14FC">
            <w:pPr>
              <w:jc w:val="right"/>
              <w:rPr>
                <w:sz w:val="20"/>
                <w:szCs w:val="20"/>
              </w:rPr>
            </w:pPr>
            <w:r w:rsidRPr="000B14FC">
              <w:rPr>
                <w:color w:val="000000"/>
                <w:sz w:val="20"/>
                <w:szCs w:val="20"/>
              </w:rPr>
              <w:t>2019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1BC89" w14:textId="77777777" w:rsidR="000B14FC" w:rsidRPr="000B14FC" w:rsidRDefault="000B14FC" w:rsidP="000B14FC">
            <w:pPr>
              <w:jc w:val="center"/>
              <w:rPr>
                <w:sz w:val="20"/>
                <w:szCs w:val="20"/>
              </w:rPr>
            </w:pPr>
            <w:r w:rsidRPr="000B14FC">
              <w:rPr>
                <w:color w:val="000000"/>
                <w:sz w:val="20"/>
                <w:szCs w:val="20"/>
              </w:rPr>
              <w:t>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A7FE7" w14:textId="77777777" w:rsidR="000B14FC" w:rsidRPr="000B14FC" w:rsidRDefault="000B14FC" w:rsidP="000B14FC">
            <w:pPr>
              <w:jc w:val="center"/>
              <w:rPr>
                <w:sz w:val="20"/>
                <w:szCs w:val="20"/>
              </w:rPr>
            </w:pPr>
            <w:r w:rsidRPr="000B14FC">
              <w:rPr>
                <w:color w:val="000000"/>
                <w:sz w:val="20"/>
                <w:szCs w:val="20"/>
              </w:rPr>
              <w:t>13.3</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99A3B" w14:textId="77777777" w:rsidR="000B14FC" w:rsidRPr="000B14FC" w:rsidRDefault="000B14FC" w:rsidP="000B14FC">
            <w:pPr>
              <w:jc w:val="center"/>
              <w:rPr>
                <w:sz w:val="20"/>
                <w:szCs w:val="20"/>
              </w:rPr>
            </w:pPr>
            <w:r w:rsidRPr="000B14FC">
              <w:rPr>
                <w:color w:val="000000"/>
                <w:sz w:val="20"/>
                <w:szCs w:val="20"/>
              </w:rPr>
              <w:t>88</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EEB70E" w14:textId="77777777" w:rsidR="000B14FC" w:rsidRPr="000B14FC" w:rsidRDefault="000B14FC" w:rsidP="000B14FC">
            <w:pPr>
              <w:jc w:val="center"/>
              <w:rPr>
                <w:sz w:val="20"/>
                <w:szCs w:val="20"/>
              </w:rPr>
            </w:pPr>
            <w:r w:rsidRPr="000B14FC">
              <w:rPr>
                <w:color w:val="000000"/>
                <w:sz w:val="20"/>
                <w:szCs w:val="20"/>
              </w:rPr>
              <w:t>33.5</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163F6" w14:textId="77777777" w:rsidR="000B14FC" w:rsidRPr="000B14FC" w:rsidRDefault="000B14FC" w:rsidP="000B14FC">
            <w:pPr>
              <w:jc w:val="center"/>
              <w:rPr>
                <w:sz w:val="20"/>
                <w:szCs w:val="20"/>
              </w:rPr>
            </w:pPr>
            <w:r w:rsidRPr="000B14FC">
              <w:rPr>
                <w:color w:val="000000"/>
                <w:sz w:val="20"/>
                <w:szCs w:val="20"/>
              </w:rPr>
              <w:t>193,020</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49FF8" w14:textId="77777777" w:rsidR="000B14FC" w:rsidRPr="000B14FC" w:rsidRDefault="000B14FC" w:rsidP="000B14FC">
            <w:pPr>
              <w:jc w:val="center"/>
              <w:rPr>
                <w:sz w:val="20"/>
                <w:szCs w:val="20"/>
              </w:rPr>
            </w:pPr>
            <w:r w:rsidRPr="000B14FC">
              <w:rPr>
                <w:color w:val="000000"/>
                <w:sz w:val="20"/>
                <w:szCs w:val="20"/>
              </w:rPr>
              <w:t>69.5</w:t>
            </w:r>
          </w:p>
        </w:tc>
      </w:tr>
      <w:tr w:rsidR="000B14FC" w:rsidRPr="000B14FC" w14:paraId="538E02DB" w14:textId="77777777" w:rsidTr="000B14FC">
        <w:trPr>
          <w:trHeight w:val="181"/>
        </w:trPr>
        <w:tc>
          <w:tcPr>
            <w:tcW w:w="228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376DE42" w14:textId="77777777" w:rsidR="000B14FC" w:rsidRPr="000B14FC" w:rsidRDefault="000B14FC" w:rsidP="000B14FC">
            <w:pPr>
              <w:rPr>
                <w:sz w:val="20"/>
                <w:szCs w:val="20"/>
              </w:rPr>
            </w:pPr>
            <w:r w:rsidRPr="000B14FC">
              <w:rPr>
                <w:b/>
                <w:color w:val="000000"/>
                <w:sz w:val="20"/>
                <w:szCs w:val="20"/>
              </w:rPr>
              <w:t>Totals</w:t>
            </w:r>
          </w:p>
        </w:tc>
        <w:tc>
          <w:tcPr>
            <w:tcW w:w="7155"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9841C" w14:textId="77777777" w:rsidR="000B14FC" w:rsidRPr="000B14FC" w:rsidRDefault="000B14FC" w:rsidP="000B14FC">
            <w:pPr>
              <w:rPr>
                <w:sz w:val="20"/>
                <w:szCs w:val="20"/>
              </w:rPr>
            </w:pPr>
          </w:p>
        </w:tc>
      </w:tr>
      <w:tr w:rsidR="000B14FC" w:rsidRPr="000B14FC" w14:paraId="46306AA1" w14:textId="77777777" w:rsidTr="000B14FC">
        <w:trPr>
          <w:trHeight w:val="181"/>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A107FDA" w14:textId="77777777" w:rsidR="000B14FC" w:rsidRPr="000B14FC" w:rsidRDefault="000B14FC" w:rsidP="000B14FC">
            <w:pPr>
              <w:jc w:val="right"/>
              <w:rPr>
                <w:sz w:val="20"/>
                <w:szCs w:val="20"/>
              </w:rPr>
            </w:pPr>
            <w:r w:rsidRPr="000B14FC">
              <w:rPr>
                <w:b/>
                <w:color w:val="000000"/>
                <w:sz w:val="20"/>
                <w:szCs w:val="20"/>
              </w:rPr>
              <w:t>2018</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57E13" w14:textId="77777777" w:rsidR="000B14FC" w:rsidRPr="000B14FC" w:rsidRDefault="000B14FC" w:rsidP="000B14FC">
            <w:pPr>
              <w:jc w:val="center"/>
              <w:rPr>
                <w:sz w:val="20"/>
                <w:szCs w:val="20"/>
              </w:rPr>
            </w:pPr>
            <w:r w:rsidRPr="000B14FC">
              <w:rPr>
                <w:b/>
                <w:color w:val="000000"/>
                <w:sz w:val="20"/>
                <w:szCs w:val="20"/>
              </w:rPr>
              <w:t>100.0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27B5E" w14:textId="77777777" w:rsidR="000B14FC" w:rsidRPr="000B14FC" w:rsidRDefault="00CA3E15" w:rsidP="00CA3E15">
            <w:pPr>
              <w:jc w:val="center"/>
              <w:rPr>
                <w:sz w:val="20"/>
                <w:szCs w:val="20"/>
              </w:rPr>
            </w:pPr>
            <w:r>
              <w:rPr>
                <w:b/>
                <w:color w:val="000000"/>
                <w:sz w:val="20"/>
                <w:szCs w:val="20"/>
              </w:rPr>
              <w:t>100.0</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037E2B" w14:textId="77777777" w:rsidR="000B14FC" w:rsidRPr="000B14FC" w:rsidRDefault="000B14FC" w:rsidP="000B14FC">
            <w:pPr>
              <w:jc w:val="center"/>
              <w:rPr>
                <w:sz w:val="20"/>
                <w:szCs w:val="20"/>
              </w:rPr>
            </w:pPr>
            <w:r w:rsidRPr="000B14FC">
              <w:rPr>
                <w:b/>
                <w:color w:val="000000"/>
                <w:sz w:val="20"/>
                <w:szCs w:val="20"/>
              </w:rPr>
              <w:t>281</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C1A3B" w14:textId="77777777" w:rsidR="000B14FC" w:rsidRPr="000B14FC" w:rsidRDefault="000B14FC" w:rsidP="000B14FC">
            <w:pPr>
              <w:jc w:val="center"/>
              <w:rPr>
                <w:sz w:val="20"/>
                <w:szCs w:val="20"/>
              </w:rPr>
            </w:pPr>
            <w:r w:rsidRPr="000B14FC">
              <w:rPr>
                <w:b/>
                <w:color w:val="000000"/>
                <w:sz w:val="20"/>
                <w:szCs w:val="20"/>
              </w:rPr>
              <w:t>100.0</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56FE68" w14:textId="77777777" w:rsidR="000B14FC" w:rsidRPr="000B14FC" w:rsidRDefault="000B14FC" w:rsidP="000B14FC">
            <w:pPr>
              <w:jc w:val="center"/>
              <w:rPr>
                <w:sz w:val="20"/>
                <w:szCs w:val="20"/>
              </w:rPr>
            </w:pPr>
            <w:r w:rsidRPr="000B14FC">
              <w:rPr>
                <w:b/>
                <w:color w:val="000000"/>
                <w:sz w:val="20"/>
                <w:szCs w:val="20"/>
              </w:rPr>
              <w:t>290,635</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AC5BB" w14:textId="77777777" w:rsidR="000B14FC" w:rsidRPr="000B14FC" w:rsidRDefault="000B14FC" w:rsidP="000B14FC">
            <w:pPr>
              <w:jc w:val="center"/>
              <w:rPr>
                <w:sz w:val="20"/>
                <w:szCs w:val="20"/>
              </w:rPr>
            </w:pPr>
            <w:r w:rsidRPr="000B14FC">
              <w:rPr>
                <w:b/>
                <w:color w:val="000000"/>
                <w:sz w:val="20"/>
                <w:szCs w:val="20"/>
              </w:rPr>
              <w:t>100.0</w:t>
            </w:r>
          </w:p>
        </w:tc>
      </w:tr>
      <w:tr w:rsidR="000B14FC" w:rsidRPr="000B14FC" w14:paraId="52BD2586" w14:textId="77777777" w:rsidTr="000B14FC">
        <w:trPr>
          <w:trHeight w:val="181"/>
        </w:trPr>
        <w:tc>
          <w:tcPr>
            <w:tcW w:w="2283"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A777835" w14:textId="77777777" w:rsidR="000B14FC" w:rsidRPr="000B14FC" w:rsidRDefault="000B14FC" w:rsidP="000B14FC">
            <w:pPr>
              <w:jc w:val="right"/>
              <w:rPr>
                <w:sz w:val="20"/>
                <w:szCs w:val="20"/>
              </w:rPr>
            </w:pPr>
            <w:r w:rsidRPr="000B14FC">
              <w:rPr>
                <w:b/>
                <w:color w:val="000000"/>
                <w:sz w:val="20"/>
                <w:szCs w:val="20"/>
              </w:rPr>
              <w:t>2019</w:t>
            </w:r>
          </w:p>
        </w:tc>
        <w:tc>
          <w:tcPr>
            <w:tcW w:w="14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B5B4C" w14:textId="77777777" w:rsidR="000B14FC" w:rsidRPr="000B14FC" w:rsidRDefault="000B14FC" w:rsidP="000B14FC">
            <w:pPr>
              <w:jc w:val="center"/>
              <w:rPr>
                <w:sz w:val="20"/>
                <w:szCs w:val="20"/>
              </w:rPr>
            </w:pPr>
            <w:r w:rsidRPr="000B14FC">
              <w:rPr>
                <w:b/>
                <w:color w:val="000000"/>
                <w:sz w:val="20"/>
                <w:szCs w:val="20"/>
              </w:rPr>
              <w:t>100.0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FA6ED7" w14:textId="77777777" w:rsidR="000B14FC" w:rsidRPr="000B14FC" w:rsidRDefault="000B14FC" w:rsidP="000B14FC">
            <w:pPr>
              <w:jc w:val="center"/>
              <w:rPr>
                <w:sz w:val="20"/>
                <w:szCs w:val="20"/>
              </w:rPr>
            </w:pPr>
            <w:r w:rsidRPr="000B14FC">
              <w:rPr>
                <w:b/>
                <w:color w:val="000000"/>
                <w:sz w:val="20"/>
                <w:szCs w:val="20"/>
              </w:rPr>
              <w:t>100.0</w:t>
            </w:r>
          </w:p>
        </w:tc>
        <w:tc>
          <w:tcPr>
            <w:tcW w:w="114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B0E16" w14:textId="77777777" w:rsidR="000B14FC" w:rsidRPr="000B14FC" w:rsidRDefault="000B14FC" w:rsidP="000B14FC">
            <w:pPr>
              <w:jc w:val="center"/>
              <w:rPr>
                <w:sz w:val="20"/>
                <w:szCs w:val="20"/>
              </w:rPr>
            </w:pPr>
            <w:r w:rsidRPr="000B14FC">
              <w:rPr>
                <w:b/>
                <w:color w:val="000000"/>
                <w:sz w:val="20"/>
                <w:szCs w:val="20"/>
              </w:rPr>
              <w:t>263</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855FC" w14:textId="77777777" w:rsidR="000B14FC" w:rsidRPr="000B14FC" w:rsidRDefault="000B14FC" w:rsidP="000B14FC">
            <w:pPr>
              <w:jc w:val="center"/>
              <w:rPr>
                <w:sz w:val="20"/>
                <w:szCs w:val="20"/>
              </w:rPr>
            </w:pPr>
            <w:r w:rsidRPr="000B14FC">
              <w:rPr>
                <w:b/>
                <w:color w:val="000000"/>
                <w:sz w:val="20"/>
                <w:szCs w:val="20"/>
              </w:rPr>
              <w:t>100.0</w:t>
            </w:r>
          </w:p>
        </w:tc>
        <w:tc>
          <w:tcPr>
            <w:tcW w:w="114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675EEA" w14:textId="77777777" w:rsidR="000B14FC" w:rsidRPr="000B14FC" w:rsidRDefault="000B14FC" w:rsidP="000B14FC">
            <w:pPr>
              <w:jc w:val="center"/>
              <w:rPr>
                <w:sz w:val="20"/>
                <w:szCs w:val="20"/>
              </w:rPr>
            </w:pPr>
            <w:r w:rsidRPr="000B14FC">
              <w:rPr>
                <w:b/>
                <w:color w:val="000000"/>
                <w:sz w:val="20"/>
                <w:szCs w:val="20"/>
              </w:rPr>
              <w:t>277,641</w:t>
            </w:r>
          </w:p>
        </w:tc>
        <w:tc>
          <w:tcPr>
            <w:tcW w:w="10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B123F5" w14:textId="77777777" w:rsidR="000B14FC" w:rsidRPr="000B14FC" w:rsidRDefault="000B14FC" w:rsidP="000B14FC">
            <w:pPr>
              <w:jc w:val="center"/>
              <w:rPr>
                <w:sz w:val="20"/>
                <w:szCs w:val="20"/>
              </w:rPr>
            </w:pPr>
            <w:r w:rsidRPr="000B14FC">
              <w:rPr>
                <w:b/>
                <w:color w:val="000000"/>
                <w:sz w:val="20"/>
                <w:szCs w:val="20"/>
              </w:rPr>
              <w:t>100.0</w:t>
            </w:r>
          </w:p>
        </w:tc>
      </w:tr>
      <w:tr w:rsidR="000B14FC" w:rsidRPr="000B14FC" w14:paraId="4480E5F4" w14:textId="77777777" w:rsidTr="00CA3E15">
        <w:trPr>
          <w:trHeight w:val="536"/>
        </w:trPr>
        <w:tc>
          <w:tcPr>
            <w:tcW w:w="9438"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3D55765F" w14:textId="77777777" w:rsidR="000B14FC" w:rsidRPr="000B14FC" w:rsidRDefault="000B14FC" w:rsidP="000B14FC">
            <w:pPr>
              <w:rPr>
                <w:sz w:val="20"/>
                <w:szCs w:val="20"/>
              </w:rPr>
            </w:pPr>
            <w:r w:rsidRPr="000B14FC">
              <w:rPr>
                <w:i/>
                <w:color w:val="000000"/>
                <w:sz w:val="16"/>
                <w:szCs w:val="20"/>
              </w:rPr>
              <w:t>Source: 2015 ACS; Bank Data, 2019 HMDA Aggregate Data, "--" data not available.</w:t>
            </w:r>
          </w:p>
          <w:p w14:paraId="12AAFB8C" w14:textId="77777777" w:rsidR="000B14FC" w:rsidRPr="000B14FC" w:rsidRDefault="000B14FC" w:rsidP="00CA3E15">
            <w:pPr>
              <w:rPr>
                <w:sz w:val="20"/>
                <w:szCs w:val="20"/>
              </w:rPr>
            </w:pPr>
            <w:r w:rsidRPr="000B14FC">
              <w:rPr>
                <w:i/>
                <w:color w:val="000000"/>
                <w:sz w:val="16"/>
                <w:szCs w:val="20"/>
              </w:rPr>
              <w:t>Due to rounding, totals may not equal 100.0%</w:t>
            </w:r>
          </w:p>
        </w:tc>
      </w:tr>
    </w:tbl>
    <w:p w14:paraId="20028F0B" w14:textId="77777777" w:rsidR="000B14FC" w:rsidRDefault="000B14FC" w:rsidP="00E41020">
      <w:pPr>
        <w:rPr>
          <w:b/>
          <w:bCs/>
          <w:u w:val="single"/>
        </w:rPr>
      </w:pPr>
    </w:p>
    <w:p w14:paraId="1D3664D3" w14:textId="77777777" w:rsidR="009079E3" w:rsidRPr="00FD65FC" w:rsidRDefault="009079E3" w:rsidP="009079E3">
      <w:pPr>
        <w:ind w:right="-270"/>
        <w:rPr>
          <w:bCs/>
          <w:color w:val="000000"/>
        </w:rPr>
      </w:pPr>
      <w:r w:rsidRPr="00FD65FC">
        <w:rPr>
          <w:b/>
          <w:bCs/>
          <w:i/>
          <w:color w:val="000000"/>
        </w:rPr>
        <w:t>Small Business Loans</w:t>
      </w:r>
    </w:p>
    <w:p w14:paraId="4AC6C599" w14:textId="4A8540BB" w:rsidR="009079E3" w:rsidRDefault="009079E3" w:rsidP="009079E3">
      <w:pPr>
        <w:rPr>
          <w:bCs/>
        </w:rPr>
      </w:pPr>
      <w:r w:rsidRPr="00FD65FC">
        <w:rPr>
          <w:bCs/>
        </w:rPr>
        <w:t xml:space="preserve">The distribution of small business loans reflects </w:t>
      </w:r>
      <w:r>
        <w:rPr>
          <w:bCs/>
        </w:rPr>
        <w:t>adequate</w:t>
      </w:r>
      <w:r w:rsidRPr="00FD65FC">
        <w:rPr>
          <w:bCs/>
        </w:rPr>
        <w:t xml:space="preserve"> penetration of loans to businesses with GARs of $1.0 million or less.  </w:t>
      </w:r>
      <w:r>
        <w:rPr>
          <w:bCs/>
        </w:rPr>
        <w:t>EBSB</w:t>
      </w:r>
      <w:r w:rsidRPr="00FD65FC">
        <w:rPr>
          <w:bCs/>
        </w:rPr>
        <w:t xml:space="preserve">’s performance exceeded </w:t>
      </w:r>
      <w:r w:rsidR="00EF7310">
        <w:rPr>
          <w:bCs/>
        </w:rPr>
        <w:t xml:space="preserve">2018 </w:t>
      </w:r>
      <w:r w:rsidRPr="00FD65FC">
        <w:rPr>
          <w:bCs/>
        </w:rPr>
        <w:t>aggregate data</w:t>
      </w:r>
      <w:r w:rsidR="00EF7310">
        <w:rPr>
          <w:bCs/>
        </w:rPr>
        <w:t>.</w:t>
      </w:r>
      <w:r w:rsidRPr="00FD65FC">
        <w:rPr>
          <w:bCs/>
        </w:rPr>
        <w:t xml:space="preserve">  </w:t>
      </w:r>
      <w:r>
        <w:rPr>
          <w:bCs/>
        </w:rPr>
        <w:t xml:space="preserve">Although </w:t>
      </w:r>
      <w:r w:rsidR="00EF7310">
        <w:rPr>
          <w:bCs/>
        </w:rPr>
        <w:t xml:space="preserve">2019 </w:t>
      </w:r>
      <w:r>
        <w:rPr>
          <w:bCs/>
        </w:rPr>
        <w:t xml:space="preserve">aggregate data is not </w:t>
      </w:r>
      <w:r w:rsidR="005379B0">
        <w:rPr>
          <w:bCs/>
        </w:rPr>
        <w:t>available, lending increased</w:t>
      </w:r>
      <w:r>
        <w:rPr>
          <w:bCs/>
        </w:rPr>
        <w:t xml:space="preserve"> slightly over 2018, indicating a consistent performance.  Although </w:t>
      </w:r>
      <w:r w:rsidR="005379B0">
        <w:rPr>
          <w:bCs/>
        </w:rPr>
        <w:t>lending was</w:t>
      </w:r>
      <w:r>
        <w:rPr>
          <w:bCs/>
        </w:rPr>
        <w:t xml:space="preserve"> below demographics in both years, examiners place greater </w:t>
      </w:r>
      <w:r>
        <w:rPr>
          <w:bCs/>
        </w:rPr>
        <w:lastRenderedPageBreak/>
        <w:t>weight on comparison against the aggregate, which is a better measure of performance in this area.</w:t>
      </w:r>
    </w:p>
    <w:p w14:paraId="46975B58" w14:textId="77777777" w:rsidR="000B14FC" w:rsidRDefault="000B14FC" w:rsidP="00E41020">
      <w:pPr>
        <w:rPr>
          <w:b/>
          <w:bCs/>
          <w:u w:val="single"/>
        </w:rPr>
      </w:pPr>
    </w:p>
    <w:tbl>
      <w:tblPr>
        <w:tblW w:w="0" w:type="auto"/>
        <w:tblCellMar>
          <w:left w:w="0" w:type="dxa"/>
          <w:right w:w="0" w:type="dxa"/>
        </w:tblCellMar>
        <w:tblLook w:val="0000" w:firstRow="0" w:lastRow="0" w:firstColumn="0" w:lastColumn="0" w:noHBand="0" w:noVBand="0"/>
      </w:tblPr>
      <w:tblGrid>
        <w:gridCol w:w="2260"/>
        <w:gridCol w:w="1422"/>
        <w:gridCol w:w="1430"/>
        <w:gridCol w:w="1118"/>
        <w:gridCol w:w="989"/>
        <w:gridCol w:w="1134"/>
        <w:gridCol w:w="989"/>
      </w:tblGrid>
      <w:tr w:rsidR="009079E3" w:rsidRPr="009079E3" w14:paraId="603ED768" w14:textId="77777777" w:rsidTr="009079E3">
        <w:trPr>
          <w:trHeight w:val="354"/>
        </w:trPr>
        <w:tc>
          <w:tcPr>
            <w:tcW w:w="9438" w:type="dxa"/>
            <w:gridSpan w:val="7"/>
            <w:tcBorders>
              <w:top w:val="single" w:sz="7" w:space="0" w:color="000000"/>
              <w:left w:val="single" w:sz="7" w:space="0" w:color="000000"/>
              <w:right w:val="single" w:sz="7" w:space="0" w:color="000000"/>
            </w:tcBorders>
            <w:tcMar>
              <w:top w:w="39" w:type="dxa"/>
              <w:left w:w="39" w:type="dxa"/>
              <w:bottom w:w="39" w:type="dxa"/>
              <w:right w:w="39" w:type="dxa"/>
            </w:tcMar>
            <w:vAlign w:val="center"/>
          </w:tcPr>
          <w:p w14:paraId="379813DD" w14:textId="77777777" w:rsidR="009079E3" w:rsidRPr="009079E3" w:rsidRDefault="009079E3" w:rsidP="009079E3">
            <w:pPr>
              <w:jc w:val="center"/>
              <w:rPr>
                <w:sz w:val="20"/>
                <w:szCs w:val="20"/>
              </w:rPr>
            </w:pPr>
            <w:r w:rsidRPr="009079E3">
              <w:rPr>
                <w:b/>
                <w:color w:val="000000"/>
                <w:sz w:val="20"/>
                <w:szCs w:val="20"/>
              </w:rPr>
              <w:t>Distribution of Small Business Loans by Gross Annual Revenue Category</w:t>
            </w:r>
          </w:p>
        </w:tc>
      </w:tr>
      <w:tr w:rsidR="009079E3" w:rsidRPr="009079E3" w14:paraId="2697A260" w14:textId="77777777" w:rsidTr="009079E3">
        <w:trPr>
          <w:trHeight w:val="498"/>
        </w:trPr>
        <w:tc>
          <w:tcPr>
            <w:tcW w:w="22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5DA8D9E" w14:textId="77777777" w:rsidR="009079E3" w:rsidRPr="009079E3" w:rsidRDefault="009079E3" w:rsidP="009079E3">
            <w:pPr>
              <w:rPr>
                <w:sz w:val="20"/>
                <w:szCs w:val="20"/>
              </w:rPr>
            </w:pPr>
            <w:r w:rsidRPr="009079E3">
              <w:rPr>
                <w:b/>
                <w:color w:val="000000"/>
                <w:sz w:val="20"/>
                <w:szCs w:val="20"/>
              </w:rPr>
              <w:t>Gross Revenue Level</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C77C244" w14:textId="77777777" w:rsidR="009079E3" w:rsidRPr="009079E3" w:rsidRDefault="009079E3" w:rsidP="009079E3">
            <w:pPr>
              <w:jc w:val="center"/>
              <w:rPr>
                <w:sz w:val="20"/>
                <w:szCs w:val="20"/>
              </w:rPr>
            </w:pPr>
            <w:r w:rsidRPr="009079E3">
              <w:rPr>
                <w:b/>
                <w:color w:val="000000"/>
                <w:sz w:val="20"/>
                <w:szCs w:val="20"/>
              </w:rPr>
              <w:t>% of  Businesses</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645257" w14:textId="77777777" w:rsidR="009079E3" w:rsidRPr="009079E3" w:rsidRDefault="009079E3" w:rsidP="009079E3">
            <w:pPr>
              <w:jc w:val="center"/>
              <w:rPr>
                <w:sz w:val="20"/>
                <w:szCs w:val="20"/>
              </w:rPr>
            </w:pPr>
            <w:r w:rsidRPr="009079E3">
              <w:rPr>
                <w:b/>
                <w:color w:val="000000"/>
                <w:sz w:val="20"/>
                <w:szCs w:val="20"/>
              </w:rPr>
              <w:t>Aggregate Performance</w:t>
            </w:r>
            <w:r w:rsidRPr="009079E3">
              <w:rPr>
                <w:b/>
                <w:color w:val="000000"/>
                <w:sz w:val="20"/>
                <w:szCs w:val="20"/>
              </w:rPr>
              <w:br/>
              <w:t>% of #</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B7B0D1" w14:textId="77777777" w:rsidR="009079E3" w:rsidRPr="009079E3" w:rsidRDefault="009079E3" w:rsidP="009079E3">
            <w:pPr>
              <w:jc w:val="center"/>
              <w:rPr>
                <w:sz w:val="20"/>
                <w:szCs w:val="20"/>
              </w:rPr>
            </w:pPr>
            <w:r w:rsidRPr="009079E3">
              <w:rPr>
                <w:b/>
                <w:color w:val="000000"/>
                <w:sz w:val="20"/>
                <w:szCs w:val="20"/>
              </w:rPr>
              <w:t>#</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A071A44" w14:textId="77777777" w:rsidR="009079E3" w:rsidRPr="009079E3" w:rsidRDefault="009079E3" w:rsidP="009079E3">
            <w:pPr>
              <w:jc w:val="center"/>
              <w:rPr>
                <w:sz w:val="20"/>
                <w:szCs w:val="20"/>
              </w:rPr>
            </w:pPr>
            <w:r w:rsidRPr="009079E3">
              <w:rPr>
                <w:b/>
                <w:color w:val="000000"/>
                <w:sz w:val="20"/>
                <w:szCs w:val="20"/>
              </w:rPr>
              <w:t>%</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878277" w14:textId="77777777" w:rsidR="009079E3" w:rsidRPr="009079E3" w:rsidRDefault="009079E3" w:rsidP="009079E3">
            <w:pPr>
              <w:jc w:val="center"/>
              <w:rPr>
                <w:sz w:val="20"/>
                <w:szCs w:val="20"/>
              </w:rPr>
            </w:pPr>
            <w:r w:rsidRPr="009079E3">
              <w:rPr>
                <w:b/>
                <w:color w:val="000000"/>
                <w:sz w:val="20"/>
                <w:szCs w:val="20"/>
              </w:rPr>
              <w:t>$(000s)</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A4C7F4" w14:textId="77777777" w:rsidR="009079E3" w:rsidRPr="009079E3" w:rsidRDefault="009079E3" w:rsidP="009079E3">
            <w:pPr>
              <w:jc w:val="center"/>
              <w:rPr>
                <w:sz w:val="20"/>
                <w:szCs w:val="20"/>
              </w:rPr>
            </w:pPr>
            <w:r w:rsidRPr="009079E3">
              <w:rPr>
                <w:b/>
                <w:color w:val="000000"/>
                <w:sz w:val="20"/>
                <w:szCs w:val="20"/>
              </w:rPr>
              <w:t>%</w:t>
            </w:r>
          </w:p>
        </w:tc>
      </w:tr>
      <w:tr w:rsidR="009079E3" w:rsidRPr="009079E3" w14:paraId="2C48FB4C" w14:textId="77777777" w:rsidTr="009079E3">
        <w:trPr>
          <w:trHeight w:val="181"/>
        </w:trPr>
        <w:tc>
          <w:tcPr>
            <w:tcW w:w="22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23D0256" w14:textId="77777777" w:rsidR="009079E3" w:rsidRPr="009079E3" w:rsidRDefault="009079E3" w:rsidP="009079E3">
            <w:pPr>
              <w:rPr>
                <w:sz w:val="20"/>
                <w:szCs w:val="20"/>
              </w:rPr>
            </w:pPr>
            <w:r w:rsidRPr="009079E3">
              <w:rPr>
                <w:color w:val="000000"/>
                <w:sz w:val="20"/>
                <w:szCs w:val="20"/>
              </w:rPr>
              <w:t>&lt;=$1,000,000</w:t>
            </w:r>
          </w:p>
        </w:tc>
        <w:tc>
          <w:tcPr>
            <w:tcW w:w="71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F5F55" w14:textId="77777777" w:rsidR="009079E3" w:rsidRPr="009079E3" w:rsidRDefault="009079E3" w:rsidP="009079E3">
            <w:pPr>
              <w:rPr>
                <w:sz w:val="20"/>
                <w:szCs w:val="20"/>
              </w:rPr>
            </w:pPr>
          </w:p>
        </w:tc>
      </w:tr>
      <w:tr w:rsidR="009079E3" w:rsidRPr="009079E3" w14:paraId="1A59F9EB" w14:textId="77777777" w:rsidTr="009079E3">
        <w:trPr>
          <w:trHeight w:val="166"/>
        </w:trPr>
        <w:tc>
          <w:tcPr>
            <w:tcW w:w="228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6DD6E07" w14:textId="77777777" w:rsidR="009079E3" w:rsidRPr="009079E3" w:rsidRDefault="009079E3" w:rsidP="009079E3">
            <w:pPr>
              <w:jc w:val="right"/>
              <w:rPr>
                <w:sz w:val="20"/>
                <w:szCs w:val="20"/>
              </w:rPr>
            </w:pPr>
            <w:r w:rsidRPr="009079E3">
              <w:rPr>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2A6BB" w14:textId="77777777" w:rsidR="009079E3" w:rsidRPr="009079E3" w:rsidRDefault="009079E3" w:rsidP="009079E3">
            <w:pPr>
              <w:jc w:val="center"/>
              <w:rPr>
                <w:sz w:val="20"/>
                <w:szCs w:val="20"/>
              </w:rPr>
            </w:pPr>
            <w:r w:rsidRPr="009079E3">
              <w:rPr>
                <w:color w:val="000000"/>
                <w:sz w:val="20"/>
                <w:szCs w:val="20"/>
              </w:rPr>
              <w:t>82.3</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349DE" w14:textId="77777777" w:rsidR="009079E3" w:rsidRPr="009079E3" w:rsidRDefault="009079E3" w:rsidP="009079E3">
            <w:pPr>
              <w:jc w:val="center"/>
              <w:rPr>
                <w:sz w:val="20"/>
                <w:szCs w:val="20"/>
              </w:rPr>
            </w:pPr>
            <w:r w:rsidRPr="009079E3">
              <w:rPr>
                <w:color w:val="000000"/>
                <w:sz w:val="20"/>
                <w:szCs w:val="20"/>
              </w:rPr>
              <w:t>38.8</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5C642" w14:textId="77777777" w:rsidR="009079E3" w:rsidRPr="009079E3" w:rsidRDefault="009079E3" w:rsidP="009079E3">
            <w:pPr>
              <w:jc w:val="center"/>
              <w:rPr>
                <w:sz w:val="20"/>
                <w:szCs w:val="20"/>
              </w:rPr>
            </w:pPr>
            <w:r w:rsidRPr="009079E3">
              <w:rPr>
                <w:color w:val="000000"/>
                <w:sz w:val="20"/>
                <w:szCs w:val="20"/>
              </w:rPr>
              <w:t>28</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38813" w14:textId="77777777" w:rsidR="009079E3" w:rsidRPr="009079E3" w:rsidRDefault="009079E3" w:rsidP="009079E3">
            <w:pPr>
              <w:jc w:val="center"/>
              <w:rPr>
                <w:sz w:val="20"/>
                <w:szCs w:val="20"/>
              </w:rPr>
            </w:pPr>
            <w:r w:rsidRPr="009079E3">
              <w:rPr>
                <w:color w:val="000000"/>
                <w:sz w:val="20"/>
                <w:szCs w:val="20"/>
              </w:rPr>
              <w:t>41.2</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8204A" w14:textId="77777777" w:rsidR="009079E3" w:rsidRPr="009079E3" w:rsidRDefault="009079E3" w:rsidP="009079E3">
            <w:pPr>
              <w:jc w:val="center"/>
              <w:rPr>
                <w:sz w:val="20"/>
                <w:szCs w:val="20"/>
              </w:rPr>
            </w:pPr>
            <w:r w:rsidRPr="009079E3">
              <w:rPr>
                <w:color w:val="000000"/>
                <w:sz w:val="20"/>
                <w:szCs w:val="20"/>
              </w:rPr>
              <w:t>10,725</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9B7EBD" w14:textId="77777777" w:rsidR="009079E3" w:rsidRPr="009079E3" w:rsidRDefault="009079E3" w:rsidP="009079E3">
            <w:pPr>
              <w:jc w:val="center"/>
              <w:rPr>
                <w:sz w:val="20"/>
                <w:szCs w:val="20"/>
              </w:rPr>
            </w:pPr>
            <w:r w:rsidRPr="009079E3">
              <w:rPr>
                <w:color w:val="000000"/>
                <w:sz w:val="20"/>
                <w:szCs w:val="20"/>
              </w:rPr>
              <w:t>43.1</w:t>
            </w:r>
          </w:p>
        </w:tc>
      </w:tr>
      <w:tr w:rsidR="009079E3" w:rsidRPr="009079E3" w14:paraId="74CDE7DC" w14:textId="77777777" w:rsidTr="009079E3">
        <w:trPr>
          <w:trHeight w:val="166"/>
        </w:trPr>
        <w:tc>
          <w:tcPr>
            <w:tcW w:w="228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08D57D5F" w14:textId="77777777" w:rsidR="009079E3" w:rsidRPr="009079E3" w:rsidRDefault="009079E3" w:rsidP="009079E3">
            <w:pPr>
              <w:jc w:val="right"/>
              <w:rPr>
                <w:sz w:val="20"/>
                <w:szCs w:val="20"/>
              </w:rPr>
            </w:pPr>
            <w:r w:rsidRPr="009079E3">
              <w:rPr>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37668E" w14:textId="77777777" w:rsidR="009079E3" w:rsidRPr="009079E3" w:rsidRDefault="009079E3" w:rsidP="009079E3">
            <w:pPr>
              <w:jc w:val="center"/>
              <w:rPr>
                <w:sz w:val="20"/>
                <w:szCs w:val="20"/>
              </w:rPr>
            </w:pPr>
            <w:r w:rsidRPr="009079E3">
              <w:rPr>
                <w:color w:val="000000"/>
                <w:sz w:val="20"/>
                <w:szCs w:val="20"/>
              </w:rPr>
              <w:t>84.3</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65FC2D" w14:textId="77777777" w:rsidR="009079E3" w:rsidRPr="009079E3" w:rsidRDefault="009079E3" w:rsidP="009079E3">
            <w:pPr>
              <w:jc w:val="center"/>
              <w:rPr>
                <w:sz w:val="20"/>
                <w:szCs w:val="20"/>
              </w:rPr>
            </w:pPr>
            <w:r w:rsidRPr="009079E3">
              <w:rPr>
                <w:color w:val="000000"/>
                <w:sz w:val="20"/>
                <w:szCs w:val="20"/>
              </w:rPr>
              <w:t>--</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8812BA" w14:textId="77777777" w:rsidR="009079E3" w:rsidRPr="009079E3" w:rsidRDefault="009079E3" w:rsidP="009079E3">
            <w:pPr>
              <w:jc w:val="center"/>
              <w:rPr>
                <w:sz w:val="20"/>
                <w:szCs w:val="20"/>
              </w:rPr>
            </w:pPr>
            <w:r w:rsidRPr="009079E3">
              <w:rPr>
                <w:color w:val="000000"/>
                <w:sz w:val="20"/>
                <w:szCs w:val="20"/>
              </w:rPr>
              <w:t>22</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4360B5" w14:textId="77777777" w:rsidR="009079E3" w:rsidRPr="009079E3" w:rsidRDefault="009079E3" w:rsidP="009079E3">
            <w:pPr>
              <w:jc w:val="center"/>
              <w:rPr>
                <w:sz w:val="20"/>
                <w:szCs w:val="20"/>
              </w:rPr>
            </w:pPr>
            <w:r w:rsidRPr="009079E3">
              <w:rPr>
                <w:color w:val="000000"/>
                <w:sz w:val="20"/>
                <w:szCs w:val="20"/>
              </w:rPr>
              <w:t>43.1</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1D266" w14:textId="77777777" w:rsidR="009079E3" w:rsidRPr="009079E3" w:rsidRDefault="009079E3" w:rsidP="009079E3">
            <w:pPr>
              <w:jc w:val="center"/>
              <w:rPr>
                <w:sz w:val="20"/>
                <w:szCs w:val="20"/>
              </w:rPr>
            </w:pPr>
            <w:r w:rsidRPr="009079E3">
              <w:rPr>
                <w:color w:val="000000"/>
                <w:sz w:val="20"/>
                <w:szCs w:val="20"/>
              </w:rPr>
              <w:t>9,174</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517A4E" w14:textId="77777777" w:rsidR="009079E3" w:rsidRPr="009079E3" w:rsidRDefault="009079E3" w:rsidP="009079E3">
            <w:pPr>
              <w:jc w:val="center"/>
              <w:rPr>
                <w:sz w:val="20"/>
                <w:szCs w:val="20"/>
              </w:rPr>
            </w:pPr>
            <w:r w:rsidRPr="009079E3">
              <w:rPr>
                <w:color w:val="000000"/>
                <w:sz w:val="20"/>
                <w:szCs w:val="20"/>
              </w:rPr>
              <w:t>48.8</w:t>
            </w:r>
          </w:p>
        </w:tc>
      </w:tr>
      <w:tr w:rsidR="009079E3" w:rsidRPr="009079E3" w14:paraId="7816D9DE" w14:textId="77777777" w:rsidTr="009079E3">
        <w:trPr>
          <w:trHeight w:val="181"/>
        </w:trPr>
        <w:tc>
          <w:tcPr>
            <w:tcW w:w="22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A44E7EC" w14:textId="403F1C1C" w:rsidR="009079E3" w:rsidRPr="009079E3" w:rsidRDefault="009079E3" w:rsidP="009079E3">
            <w:pPr>
              <w:rPr>
                <w:sz w:val="20"/>
                <w:szCs w:val="20"/>
              </w:rPr>
            </w:pPr>
            <w:r w:rsidRPr="009079E3">
              <w:rPr>
                <w:color w:val="000000"/>
                <w:sz w:val="20"/>
                <w:szCs w:val="20"/>
              </w:rPr>
              <w:t>&gt;</w:t>
            </w:r>
            <w:r w:rsidR="00EF7310">
              <w:rPr>
                <w:color w:val="000000"/>
                <w:sz w:val="20"/>
                <w:szCs w:val="20"/>
              </w:rPr>
              <w:t>$</w:t>
            </w:r>
            <w:r w:rsidRPr="009079E3">
              <w:rPr>
                <w:color w:val="000000"/>
                <w:sz w:val="20"/>
                <w:szCs w:val="20"/>
              </w:rPr>
              <w:t>1,000,000</w:t>
            </w:r>
          </w:p>
        </w:tc>
        <w:tc>
          <w:tcPr>
            <w:tcW w:w="71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20C18" w14:textId="77777777" w:rsidR="009079E3" w:rsidRPr="009079E3" w:rsidRDefault="009079E3" w:rsidP="009079E3">
            <w:pPr>
              <w:rPr>
                <w:sz w:val="20"/>
                <w:szCs w:val="20"/>
              </w:rPr>
            </w:pPr>
          </w:p>
        </w:tc>
      </w:tr>
      <w:tr w:rsidR="009079E3" w:rsidRPr="009079E3" w14:paraId="2D429FFC" w14:textId="77777777" w:rsidTr="009079E3">
        <w:trPr>
          <w:trHeight w:val="166"/>
        </w:trPr>
        <w:tc>
          <w:tcPr>
            <w:tcW w:w="228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FB12218" w14:textId="77777777" w:rsidR="009079E3" w:rsidRPr="009079E3" w:rsidRDefault="009079E3" w:rsidP="009079E3">
            <w:pPr>
              <w:jc w:val="right"/>
              <w:rPr>
                <w:sz w:val="20"/>
                <w:szCs w:val="20"/>
              </w:rPr>
            </w:pPr>
            <w:r w:rsidRPr="009079E3">
              <w:rPr>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5C3B7" w14:textId="77777777" w:rsidR="009079E3" w:rsidRPr="009079E3" w:rsidRDefault="009079E3" w:rsidP="009079E3">
            <w:pPr>
              <w:jc w:val="center"/>
              <w:rPr>
                <w:sz w:val="20"/>
                <w:szCs w:val="20"/>
              </w:rPr>
            </w:pPr>
            <w:r w:rsidRPr="009079E3">
              <w:rPr>
                <w:color w:val="000000"/>
                <w:sz w:val="20"/>
                <w:szCs w:val="20"/>
              </w:rPr>
              <w:t>7.5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E22AE1" w14:textId="77777777" w:rsidR="009079E3" w:rsidRPr="009079E3" w:rsidRDefault="009079E3" w:rsidP="009079E3">
            <w:pPr>
              <w:jc w:val="center"/>
              <w:rPr>
                <w:sz w:val="20"/>
                <w:szCs w:val="20"/>
              </w:rPr>
            </w:pPr>
            <w:r w:rsidRPr="009079E3">
              <w:rPr>
                <w:color w:val="000000"/>
                <w:sz w:val="20"/>
                <w:szCs w:val="20"/>
              </w:rPr>
              <w:t>--</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3ED0E" w14:textId="77777777" w:rsidR="009079E3" w:rsidRPr="009079E3" w:rsidRDefault="009079E3" w:rsidP="009079E3">
            <w:pPr>
              <w:jc w:val="center"/>
              <w:rPr>
                <w:sz w:val="20"/>
                <w:szCs w:val="20"/>
              </w:rPr>
            </w:pPr>
            <w:r w:rsidRPr="009079E3">
              <w:rPr>
                <w:color w:val="000000"/>
                <w:sz w:val="20"/>
                <w:szCs w:val="20"/>
              </w:rPr>
              <w:t>40</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9FA78" w14:textId="77777777" w:rsidR="009079E3" w:rsidRPr="009079E3" w:rsidRDefault="009079E3" w:rsidP="009079E3">
            <w:pPr>
              <w:jc w:val="center"/>
              <w:rPr>
                <w:sz w:val="20"/>
                <w:szCs w:val="20"/>
              </w:rPr>
            </w:pPr>
            <w:r w:rsidRPr="009079E3">
              <w:rPr>
                <w:color w:val="000000"/>
                <w:sz w:val="20"/>
                <w:szCs w:val="20"/>
              </w:rPr>
              <w:t>58.8</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A92E7" w14:textId="77777777" w:rsidR="009079E3" w:rsidRPr="009079E3" w:rsidRDefault="009079E3" w:rsidP="009079E3">
            <w:pPr>
              <w:jc w:val="center"/>
              <w:rPr>
                <w:sz w:val="20"/>
                <w:szCs w:val="20"/>
              </w:rPr>
            </w:pPr>
            <w:r w:rsidRPr="009079E3">
              <w:rPr>
                <w:color w:val="000000"/>
                <w:sz w:val="20"/>
                <w:szCs w:val="20"/>
              </w:rPr>
              <w:t>14,148</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B2826E" w14:textId="77777777" w:rsidR="009079E3" w:rsidRPr="009079E3" w:rsidRDefault="009079E3" w:rsidP="009079E3">
            <w:pPr>
              <w:jc w:val="center"/>
              <w:rPr>
                <w:sz w:val="20"/>
                <w:szCs w:val="20"/>
              </w:rPr>
            </w:pPr>
            <w:r w:rsidRPr="009079E3">
              <w:rPr>
                <w:color w:val="000000"/>
                <w:sz w:val="20"/>
                <w:szCs w:val="20"/>
              </w:rPr>
              <w:t>56.9</w:t>
            </w:r>
          </w:p>
        </w:tc>
      </w:tr>
      <w:tr w:rsidR="009079E3" w:rsidRPr="009079E3" w14:paraId="49BF436B" w14:textId="77777777" w:rsidTr="009079E3">
        <w:trPr>
          <w:trHeight w:val="166"/>
        </w:trPr>
        <w:tc>
          <w:tcPr>
            <w:tcW w:w="228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70006148" w14:textId="77777777" w:rsidR="009079E3" w:rsidRPr="009079E3" w:rsidRDefault="009079E3" w:rsidP="009079E3">
            <w:pPr>
              <w:jc w:val="right"/>
              <w:rPr>
                <w:sz w:val="20"/>
                <w:szCs w:val="20"/>
              </w:rPr>
            </w:pPr>
            <w:r w:rsidRPr="009079E3">
              <w:rPr>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A10615" w14:textId="77777777" w:rsidR="009079E3" w:rsidRPr="009079E3" w:rsidRDefault="009079E3" w:rsidP="009079E3">
            <w:pPr>
              <w:jc w:val="center"/>
              <w:rPr>
                <w:sz w:val="20"/>
                <w:szCs w:val="20"/>
              </w:rPr>
            </w:pPr>
            <w:r w:rsidRPr="009079E3">
              <w:rPr>
                <w:color w:val="000000"/>
                <w:sz w:val="20"/>
                <w:szCs w:val="20"/>
              </w:rPr>
              <w:t>6.5</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734872" w14:textId="77777777" w:rsidR="009079E3" w:rsidRPr="009079E3" w:rsidRDefault="009079E3" w:rsidP="009079E3">
            <w:pPr>
              <w:jc w:val="center"/>
              <w:rPr>
                <w:sz w:val="20"/>
                <w:szCs w:val="20"/>
              </w:rPr>
            </w:pPr>
            <w:r w:rsidRPr="009079E3">
              <w:rPr>
                <w:color w:val="000000"/>
                <w:sz w:val="20"/>
                <w:szCs w:val="20"/>
              </w:rPr>
              <w:t>--</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EF7B6" w14:textId="77777777" w:rsidR="009079E3" w:rsidRPr="009079E3" w:rsidRDefault="009079E3" w:rsidP="009079E3">
            <w:pPr>
              <w:jc w:val="center"/>
              <w:rPr>
                <w:sz w:val="20"/>
                <w:szCs w:val="20"/>
              </w:rPr>
            </w:pPr>
            <w:r w:rsidRPr="009079E3">
              <w:rPr>
                <w:color w:val="000000"/>
                <w:sz w:val="20"/>
                <w:szCs w:val="20"/>
              </w:rPr>
              <w:t>29</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61C0BB" w14:textId="77777777" w:rsidR="009079E3" w:rsidRPr="009079E3" w:rsidRDefault="009079E3" w:rsidP="009079E3">
            <w:pPr>
              <w:jc w:val="center"/>
              <w:rPr>
                <w:sz w:val="20"/>
                <w:szCs w:val="20"/>
              </w:rPr>
            </w:pPr>
            <w:r w:rsidRPr="009079E3">
              <w:rPr>
                <w:color w:val="000000"/>
                <w:sz w:val="20"/>
                <w:szCs w:val="20"/>
              </w:rPr>
              <w:t>56.9</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BA7F0" w14:textId="77777777" w:rsidR="009079E3" w:rsidRPr="009079E3" w:rsidRDefault="009079E3" w:rsidP="009079E3">
            <w:pPr>
              <w:jc w:val="center"/>
              <w:rPr>
                <w:sz w:val="20"/>
                <w:szCs w:val="20"/>
              </w:rPr>
            </w:pPr>
            <w:r w:rsidRPr="009079E3">
              <w:rPr>
                <w:color w:val="000000"/>
                <w:sz w:val="20"/>
                <w:szCs w:val="20"/>
              </w:rPr>
              <w:t>9,644</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D69282" w14:textId="77777777" w:rsidR="009079E3" w:rsidRPr="009079E3" w:rsidRDefault="009079E3" w:rsidP="009079E3">
            <w:pPr>
              <w:jc w:val="center"/>
              <w:rPr>
                <w:sz w:val="20"/>
                <w:szCs w:val="20"/>
              </w:rPr>
            </w:pPr>
            <w:r w:rsidRPr="009079E3">
              <w:rPr>
                <w:color w:val="000000"/>
                <w:sz w:val="20"/>
                <w:szCs w:val="20"/>
              </w:rPr>
              <w:t>51.2</w:t>
            </w:r>
          </w:p>
        </w:tc>
      </w:tr>
      <w:tr w:rsidR="009079E3" w:rsidRPr="009079E3" w14:paraId="2F32C41D" w14:textId="77777777" w:rsidTr="009079E3">
        <w:trPr>
          <w:trHeight w:val="181"/>
        </w:trPr>
        <w:tc>
          <w:tcPr>
            <w:tcW w:w="22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98A3092" w14:textId="77777777" w:rsidR="009079E3" w:rsidRPr="009079E3" w:rsidRDefault="009079E3" w:rsidP="009079E3">
            <w:pPr>
              <w:rPr>
                <w:sz w:val="20"/>
                <w:szCs w:val="20"/>
              </w:rPr>
            </w:pPr>
            <w:r w:rsidRPr="009079E3">
              <w:rPr>
                <w:color w:val="000000"/>
                <w:sz w:val="20"/>
                <w:szCs w:val="20"/>
              </w:rPr>
              <w:t>Revenue Not Available</w:t>
            </w:r>
          </w:p>
        </w:tc>
        <w:tc>
          <w:tcPr>
            <w:tcW w:w="71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761C91" w14:textId="77777777" w:rsidR="009079E3" w:rsidRPr="009079E3" w:rsidRDefault="009079E3" w:rsidP="009079E3">
            <w:pPr>
              <w:rPr>
                <w:sz w:val="20"/>
                <w:szCs w:val="20"/>
              </w:rPr>
            </w:pPr>
          </w:p>
        </w:tc>
      </w:tr>
      <w:tr w:rsidR="009079E3" w:rsidRPr="009079E3" w14:paraId="6AB44DBC" w14:textId="77777777" w:rsidTr="009079E3">
        <w:trPr>
          <w:trHeight w:val="166"/>
        </w:trPr>
        <w:tc>
          <w:tcPr>
            <w:tcW w:w="228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499A536B" w14:textId="77777777" w:rsidR="009079E3" w:rsidRPr="009079E3" w:rsidRDefault="009079E3" w:rsidP="009079E3">
            <w:pPr>
              <w:jc w:val="right"/>
              <w:rPr>
                <w:sz w:val="20"/>
                <w:szCs w:val="20"/>
              </w:rPr>
            </w:pPr>
            <w:r w:rsidRPr="009079E3">
              <w:rPr>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7F0344" w14:textId="77777777" w:rsidR="009079E3" w:rsidRPr="009079E3" w:rsidRDefault="009079E3" w:rsidP="009079E3">
            <w:pPr>
              <w:jc w:val="center"/>
              <w:rPr>
                <w:sz w:val="20"/>
                <w:szCs w:val="20"/>
              </w:rPr>
            </w:pPr>
            <w:r w:rsidRPr="009079E3">
              <w:rPr>
                <w:color w:val="000000"/>
                <w:sz w:val="20"/>
                <w:szCs w:val="20"/>
              </w:rPr>
              <w:t>10.2</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D27E9" w14:textId="77777777" w:rsidR="009079E3" w:rsidRPr="009079E3" w:rsidRDefault="009079E3" w:rsidP="009079E3">
            <w:pPr>
              <w:jc w:val="center"/>
              <w:rPr>
                <w:sz w:val="20"/>
                <w:szCs w:val="20"/>
              </w:rPr>
            </w:pPr>
            <w:r w:rsidRPr="009079E3">
              <w:rPr>
                <w:color w:val="000000"/>
                <w:sz w:val="20"/>
                <w:szCs w:val="20"/>
              </w:rPr>
              <w:t>--</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E0F82E" w14:textId="77777777" w:rsidR="009079E3" w:rsidRPr="009079E3" w:rsidRDefault="009079E3" w:rsidP="009079E3">
            <w:pPr>
              <w:jc w:val="center"/>
              <w:rPr>
                <w:sz w:val="20"/>
                <w:szCs w:val="20"/>
              </w:rPr>
            </w:pPr>
            <w:r w:rsidRPr="009079E3">
              <w:rPr>
                <w:color w:val="000000"/>
                <w:sz w:val="20"/>
                <w:szCs w:val="20"/>
              </w:rPr>
              <w:t>0</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DAAB8" w14:textId="77777777" w:rsidR="009079E3" w:rsidRPr="009079E3" w:rsidRDefault="009079E3" w:rsidP="009079E3">
            <w:pPr>
              <w:jc w:val="center"/>
              <w:rPr>
                <w:sz w:val="20"/>
                <w:szCs w:val="20"/>
              </w:rPr>
            </w:pPr>
            <w:r w:rsidRPr="009079E3">
              <w:rPr>
                <w:color w:val="000000"/>
                <w:sz w:val="20"/>
                <w:szCs w:val="20"/>
              </w:rPr>
              <w:t>0.0</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B1C8D" w14:textId="77777777" w:rsidR="009079E3" w:rsidRPr="009079E3" w:rsidRDefault="009079E3" w:rsidP="009079E3">
            <w:pPr>
              <w:jc w:val="center"/>
              <w:rPr>
                <w:sz w:val="20"/>
                <w:szCs w:val="20"/>
              </w:rPr>
            </w:pPr>
            <w:r w:rsidRPr="009079E3">
              <w:rPr>
                <w:color w:val="000000"/>
                <w:sz w:val="20"/>
                <w:szCs w:val="20"/>
              </w:rPr>
              <w:t>0</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73208B" w14:textId="77777777" w:rsidR="009079E3" w:rsidRPr="009079E3" w:rsidRDefault="009079E3" w:rsidP="009079E3">
            <w:pPr>
              <w:jc w:val="center"/>
              <w:rPr>
                <w:sz w:val="20"/>
                <w:szCs w:val="20"/>
              </w:rPr>
            </w:pPr>
            <w:r w:rsidRPr="009079E3">
              <w:rPr>
                <w:color w:val="000000"/>
                <w:sz w:val="20"/>
                <w:szCs w:val="20"/>
              </w:rPr>
              <w:t>0.0</w:t>
            </w:r>
          </w:p>
        </w:tc>
      </w:tr>
      <w:tr w:rsidR="009079E3" w:rsidRPr="009079E3" w14:paraId="0E876A22" w14:textId="77777777" w:rsidTr="009079E3">
        <w:trPr>
          <w:trHeight w:val="166"/>
        </w:trPr>
        <w:tc>
          <w:tcPr>
            <w:tcW w:w="228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22170BF3" w14:textId="77777777" w:rsidR="009079E3" w:rsidRPr="009079E3" w:rsidRDefault="009079E3" w:rsidP="009079E3">
            <w:pPr>
              <w:jc w:val="right"/>
              <w:rPr>
                <w:sz w:val="20"/>
                <w:szCs w:val="20"/>
              </w:rPr>
            </w:pPr>
            <w:r w:rsidRPr="009079E3">
              <w:rPr>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323D45" w14:textId="77777777" w:rsidR="009079E3" w:rsidRPr="009079E3" w:rsidRDefault="009079E3" w:rsidP="009079E3">
            <w:pPr>
              <w:jc w:val="center"/>
              <w:rPr>
                <w:sz w:val="20"/>
                <w:szCs w:val="20"/>
              </w:rPr>
            </w:pPr>
            <w:r w:rsidRPr="009079E3">
              <w:rPr>
                <w:color w:val="000000"/>
                <w:sz w:val="20"/>
                <w:szCs w:val="20"/>
              </w:rPr>
              <w:t>9.2</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571A8" w14:textId="77777777" w:rsidR="009079E3" w:rsidRPr="009079E3" w:rsidRDefault="009079E3" w:rsidP="009079E3">
            <w:pPr>
              <w:jc w:val="center"/>
              <w:rPr>
                <w:sz w:val="20"/>
                <w:szCs w:val="20"/>
              </w:rPr>
            </w:pPr>
            <w:r w:rsidRPr="009079E3">
              <w:rPr>
                <w:color w:val="000000"/>
                <w:sz w:val="20"/>
                <w:szCs w:val="20"/>
              </w:rPr>
              <w:t>--</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C621F6" w14:textId="77777777" w:rsidR="009079E3" w:rsidRPr="009079E3" w:rsidRDefault="009079E3" w:rsidP="009079E3">
            <w:pPr>
              <w:jc w:val="center"/>
              <w:rPr>
                <w:sz w:val="20"/>
                <w:szCs w:val="20"/>
              </w:rPr>
            </w:pPr>
            <w:r w:rsidRPr="009079E3">
              <w:rPr>
                <w:color w:val="000000"/>
                <w:sz w:val="20"/>
                <w:szCs w:val="20"/>
              </w:rPr>
              <w:t>0</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18B5E" w14:textId="77777777" w:rsidR="009079E3" w:rsidRPr="009079E3" w:rsidRDefault="009079E3" w:rsidP="009079E3">
            <w:pPr>
              <w:jc w:val="center"/>
              <w:rPr>
                <w:sz w:val="20"/>
                <w:szCs w:val="20"/>
              </w:rPr>
            </w:pPr>
            <w:r w:rsidRPr="009079E3">
              <w:rPr>
                <w:color w:val="000000"/>
                <w:sz w:val="20"/>
                <w:szCs w:val="20"/>
              </w:rPr>
              <w:t>0.0</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1C8D68" w14:textId="77777777" w:rsidR="009079E3" w:rsidRPr="009079E3" w:rsidRDefault="009079E3" w:rsidP="009079E3">
            <w:pPr>
              <w:jc w:val="center"/>
              <w:rPr>
                <w:sz w:val="20"/>
                <w:szCs w:val="20"/>
              </w:rPr>
            </w:pPr>
            <w:r w:rsidRPr="009079E3">
              <w:rPr>
                <w:color w:val="000000"/>
                <w:sz w:val="20"/>
                <w:szCs w:val="20"/>
              </w:rPr>
              <w:t>0</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69BD13" w14:textId="77777777" w:rsidR="009079E3" w:rsidRPr="009079E3" w:rsidRDefault="009079E3" w:rsidP="009079E3">
            <w:pPr>
              <w:jc w:val="center"/>
              <w:rPr>
                <w:sz w:val="20"/>
                <w:szCs w:val="20"/>
              </w:rPr>
            </w:pPr>
            <w:r w:rsidRPr="009079E3">
              <w:rPr>
                <w:color w:val="000000"/>
                <w:sz w:val="20"/>
                <w:szCs w:val="20"/>
              </w:rPr>
              <w:t>0.0</w:t>
            </w:r>
          </w:p>
        </w:tc>
      </w:tr>
      <w:tr w:rsidR="009079E3" w:rsidRPr="009079E3" w14:paraId="5D549D51" w14:textId="77777777" w:rsidTr="009079E3">
        <w:trPr>
          <w:trHeight w:val="181"/>
        </w:trPr>
        <w:tc>
          <w:tcPr>
            <w:tcW w:w="22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BFF40DD" w14:textId="77777777" w:rsidR="009079E3" w:rsidRPr="009079E3" w:rsidRDefault="009079E3" w:rsidP="009079E3">
            <w:pPr>
              <w:rPr>
                <w:sz w:val="20"/>
                <w:szCs w:val="20"/>
              </w:rPr>
            </w:pPr>
            <w:r w:rsidRPr="009079E3">
              <w:rPr>
                <w:b/>
                <w:color w:val="000000"/>
                <w:sz w:val="20"/>
                <w:szCs w:val="20"/>
              </w:rPr>
              <w:t>Totals</w:t>
            </w:r>
          </w:p>
        </w:tc>
        <w:tc>
          <w:tcPr>
            <w:tcW w:w="7152" w:type="dxa"/>
            <w:gridSpan w:val="6"/>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84610" w14:textId="77777777" w:rsidR="009079E3" w:rsidRPr="009079E3" w:rsidRDefault="009079E3" w:rsidP="009079E3">
            <w:pPr>
              <w:rPr>
                <w:sz w:val="20"/>
                <w:szCs w:val="20"/>
              </w:rPr>
            </w:pPr>
          </w:p>
        </w:tc>
      </w:tr>
      <w:tr w:rsidR="009079E3" w:rsidRPr="009079E3" w14:paraId="5D56EC9E" w14:textId="77777777" w:rsidTr="009079E3">
        <w:trPr>
          <w:trHeight w:val="181"/>
        </w:trPr>
        <w:tc>
          <w:tcPr>
            <w:tcW w:w="228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12240D89" w14:textId="77777777" w:rsidR="009079E3" w:rsidRPr="009079E3" w:rsidRDefault="009079E3" w:rsidP="009079E3">
            <w:pPr>
              <w:jc w:val="right"/>
              <w:rPr>
                <w:sz w:val="20"/>
                <w:szCs w:val="20"/>
              </w:rPr>
            </w:pPr>
            <w:r w:rsidRPr="009079E3">
              <w:rPr>
                <w:b/>
                <w:color w:val="000000"/>
                <w:sz w:val="20"/>
                <w:szCs w:val="20"/>
              </w:rPr>
              <w:t>2018</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803D5" w14:textId="77777777" w:rsidR="009079E3" w:rsidRPr="009079E3" w:rsidRDefault="009079E3" w:rsidP="009079E3">
            <w:pPr>
              <w:jc w:val="center"/>
              <w:rPr>
                <w:sz w:val="20"/>
                <w:szCs w:val="20"/>
              </w:rPr>
            </w:pPr>
            <w:r w:rsidRPr="009079E3">
              <w:rPr>
                <w:b/>
                <w:color w:val="000000"/>
                <w:sz w:val="20"/>
                <w:szCs w:val="20"/>
              </w:rPr>
              <w:t>100.0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7CBA8" w14:textId="77777777" w:rsidR="009079E3" w:rsidRPr="009079E3" w:rsidRDefault="009079E3" w:rsidP="009079E3">
            <w:pPr>
              <w:jc w:val="center"/>
              <w:rPr>
                <w:sz w:val="20"/>
                <w:szCs w:val="20"/>
              </w:rPr>
            </w:pPr>
            <w:r w:rsidRPr="009079E3">
              <w:rPr>
                <w:b/>
                <w:color w:val="000000"/>
                <w:sz w:val="20"/>
                <w:szCs w:val="20"/>
              </w:rPr>
              <w:t>100.0</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CDE98" w14:textId="77777777" w:rsidR="009079E3" w:rsidRPr="009079E3" w:rsidRDefault="009079E3" w:rsidP="009079E3">
            <w:pPr>
              <w:jc w:val="center"/>
              <w:rPr>
                <w:sz w:val="20"/>
                <w:szCs w:val="20"/>
              </w:rPr>
            </w:pPr>
            <w:r w:rsidRPr="009079E3">
              <w:rPr>
                <w:b/>
                <w:color w:val="000000"/>
                <w:sz w:val="20"/>
                <w:szCs w:val="20"/>
              </w:rPr>
              <w:t>68</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46315" w14:textId="77777777" w:rsidR="009079E3" w:rsidRPr="009079E3" w:rsidRDefault="009079E3" w:rsidP="009079E3">
            <w:pPr>
              <w:jc w:val="center"/>
              <w:rPr>
                <w:sz w:val="20"/>
                <w:szCs w:val="20"/>
              </w:rPr>
            </w:pPr>
            <w:r w:rsidRPr="009079E3">
              <w:rPr>
                <w:b/>
                <w:color w:val="000000"/>
                <w:sz w:val="20"/>
                <w:szCs w:val="20"/>
              </w:rPr>
              <w:t>100.0</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9EBD5" w14:textId="77777777" w:rsidR="009079E3" w:rsidRPr="009079E3" w:rsidRDefault="009079E3" w:rsidP="009079E3">
            <w:pPr>
              <w:jc w:val="center"/>
              <w:rPr>
                <w:sz w:val="20"/>
                <w:szCs w:val="20"/>
              </w:rPr>
            </w:pPr>
            <w:r w:rsidRPr="009079E3">
              <w:rPr>
                <w:b/>
                <w:color w:val="000000"/>
                <w:sz w:val="20"/>
                <w:szCs w:val="20"/>
              </w:rPr>
              <w:t>24,873</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E8FDA1" w14:textId="77777777" w:rsidR="009079E3" w:rsidRPr="009079E3" w:rsidRDefault="009079E3" w:rsidP="009079E3">
            <w:pPr>
              <w:jc w:val="center"/>
              <w:rPr>
                <w:sz w:val="20"/>
                <w:szCs w:val="20"/>
              </w:rPr>
            </w:pPr>
            <w:r w:rsidRPr="009079E3">
              <w:rPr>
                <w:b/>
                <w:color w:val="000000"/>
                <w:sz w:val="20"/>
                <w:szCs w:val="20"/>
              </w:rPr>
              <w:t>100.0</w:t>
            </w:r>
          </w:p>
        </w:tc>
      </w:tr>
      <w:tr w:rsidR="009079E3" w:rsidRPr="009079E3" w14:paraId="64478525" w14:textId="77777777" w:rsidTr="009079E3">
        <w:trPr>
          <w:trHeight w:val="181"/>
        </w:trPr>
        <w:tc>
          <w:tcPr>
            <w:tcW w:w="2286" w:type="dxa"/>
            <w:tcBorders>
              <w:top w:val="single" w:sz="7" w:space="0" w:color="000000"/>
              <w:left w:val="single" w:sz="7" w:space="0" w:color="000000"/>
              <w:bottom w:val="single" w:sz="7" w:space="0" w:color="000000"/>
              <w:right w:val="single" w:sz="7" w:space="0" w:color="000000"/>
            </w:tcBorders>
            <w:tcMar>
              <w:top w:w="39" w:type="dxa"/>
              <w:left w:w="239" w:type="dxa"/>
              <w:bottom w:w="39" w:type="dxa"/>
              <w:right w:w="39" w:type="dxa"/>
            </w:tcMar>
            <w:vAlign w:val="center"/>
          </w:tcPr>
          <w:p w14:paraId="6AC04F26" w14:textId="77777777" w:rsidR="009079E3" w:rsidRPr="009079E3" w:rsidRDefault="009079E3" w:rsidP="009079E3">
            <w:pPr>
              <w:jc w:val="right"/>
              <w:rPr>
                <w:sz w:val="20"/>
                <w:szCs w:val="20"/>
              </w:rPr>
            </w:pPr>
            <w:r w:rsidRPr="009079E3">
              <w:rPr>
                <w:b/>
                <w:color w:val="000000"/>
                <w:sz w:val="20"/>
                <w:szCs w:val="20"/>
              </w:rPr>
              <w:t>2019</w:t>
            </w:r>
          </w:p>
        </w:tc>
        <w:tc>
          <w:tcPr>
            <w:tcW w:w="14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95844" w14:textId="77777777" w:rsidR="009079E3" w:rsidRPr="009079E3" w:rsidRDefault="009079E3" w:rsidP="009079E3">
            <w:pPr>
              <w:jc w:val="center"/>
              <w:rPr>
                <w:sz w:val="20"/>
                <w:szCs w:val="20"/>
              </w:rPr>
            </w:pPr>
            <w:r w:rsidRPr="009079E3">
              <w:rPr>
                <w:b/>
                <w:color w:val="000000"/>
                <w:sz w:val="20"/>
                <w:szCs w:val="20"/>
              </w:rPr>
              <w:t>100.0</w:t>
            </w:r>
          </w:p>
        </w:tc>
        <w:tc>
          <w:tcPr>
            <w:tcW w:w="14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C2562" w14:textId="77777777" w:rsidR="009079E3" w:rsidRPr="009079E3" w:rsidRDefault="009079E3" w:rsidP="009079E3">
            <w:pPr>
              <w:jc w:val="center"/>
              <w:rPr>
                <w:sz w:val="20"/>
                <w:szCs w:val="20"/>
              </w:rPr>
            </w:pPr>
            <w:r w:rsidRPr="009079E3">
              <w:rPr>
                <w:b/>
                <w:color w:val="000000"/>
                <w:sz w:val="20"/>
                <w:szCs w:val="20"/>
              </w:rPr>
              <w:t>--</w:t>
            </w:r>
          </w:p>
        </w:tc>
        <w:tc>
          <w:tcPr>
            <w:tcW w:w="11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230407" w14:textId="77777777" w:rsidR="009079E3" w:rsidRPr="009079E3" w:rsidRDefault="009079E3" w:rsidP="009079E3">
            <w:pPr>
              <w:jc w:val="center"/>
              <w:rPr>
                <w:sz w:val="20"/>
                <w:szCs w:val="20"/>
              </w:rPr>
            </w:pPr>
            <w:r w:rsidRPr="009079E3">
              <w:rPr>
                <w:b/>
                <w:color w:val="000000"/>
                <w:sz w:val="20"/>
                <w:szCs w:val="20"/>
              </w:rPr>
              <w:t>51</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5E823E" w14:textId="77777777" w:rsidR="009079E3" w:rsidRPr="009079E3" w:rsidRDefault="009079E3" w:rsidP="009079E3">
            <w:pPr>
              <w:jc w:val="center"/>
              <w:rPr>
                <w:sz w:val="20"/>
                <w:szCs w:val="20"/>
              </w:rPr>
            </w:pPr>
            <w:r w:rsidRPr="009079E3">
              <w:rPr>
                <w:b/>
                <w:color w:val="000000"/>
                <w:sz w:val="20"/>
                <w:szCs w:val="20"/>
              </w:rPr>
              <w:t>100.0</w:t>
            </w:r>
          </w:p>
        </w:tc>
        <w:tc>
          <w:tcPr>
            <w:tcW w:w="11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76E8D" w14:textId="77777777" w:rsidR="009079E3" w:rsidRPr="009079E3" w:rsidRDefault="009079E3" w:rsidP="009079E3">
            <w:pPr>
              <w:jc w:val="center"/>
              <w:rPr>
                <w:sz w:val="20"/>
                <w:szCs w:val="20"/>
              </w:rPr>
            </w:pPr>
            <w:r w:rsidRPr="009079E3">
              <w:rPr>
                <w:b/>
                <w:color w:val="000000"/>
                <w:sz w:val="20"/>
                <w:szCs w:val="20"/>
              </w:rPr>
              <w:t>18,818</w:t>
            </w:r>
          </w:p>
        </w:tc>
        <w:tc>
          <w:tcPr>
            <w:tcW w:w="10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8CB99" w14:textId="77777777" w:rsidR="009079E3" w:rsidRPr="009079E3" w:rsidRDefault="009079E3" w:rsidP="009079E3">
            <w:pPr>
              <w:jc w:val="center"/>
              <w:rPr>
                <w:sz w:val="20"/>
                <w:szCs w:val="20"/>
              </w:rPr>
            </w:pPr>
            <w:r w:rsidRPr="009079E3">
              <w:rPr>
                <w:b/>
                <w:color w:val="000000"/>
                <w:sz w:val="20"/>
                <w:szCs w:val="20"/>
              </w:rPr>
              <w:t>100.0</w:t>
            </w:r>
          </w:p>
        </w:tc>
      </w:tr>
      <w:tr w:rsidR="009079E3" w:rsidRPr="009079E3" w14:paraId="4F89E843" w14:textId="77777777" w:rsidTr="009079E3">
        <w:trPr>
          <w:trHeight w:val="527"/>
        </w:trPr>
        <w:tc>
          <w:tcPr>
            <w:tcW w:w="9438" w:type="dxa"/>
            <w:gridSpan w:val="7"/>
            <w:tcBorders>
              <w:top w:val="single" w:sz="7" w:space="0" w:color="000000"/>
              <w:left w:val="single" w:sz="7" w:space="0" w:color="000000"/>
              <w:bottom w:val="single" w:sz="7" w:space="0" w:color="000000"/>
              <w:right w:val="single" w:sz="7" w:space="0" w:color="000000"/>
            </w:tcBorders>
            <w:tcMar>
              <w:top w:w="59" w:type="dxa"/>
              <w:left w:w="39" w:type="dxa"/>
              <w:bottom w:w="39" w:type="dxa"/>
              <w:right w:w="39" w:type="dxa"/>
            </w:tcMar>
          </w:tcPr>
          <w:p w14:paraId="26CBD11B" w14:textId="1E5F194A" w:rsidR="009079E3" w:rsidRPr="009079E3" w:rsidRDefault="001F64B6" w:rsidP="009079E3">
            <w:pPr>
              <w:rPr>
                <w:sz w:val="20"/>
                <w:szCs w:val="20"/>
              </w:rPr>
            </w:pPr>
            <w:r>
              <w:rPr>
                <w:i/>
                <w:color w:val="000000"/>
                <w:sz w:val="16"/>
                <w:szCs w:val="20"/>
              </w:rPr>
              <w:t xml:space="preserve">Source: 2018 &amp; 2019 D&amp;B Data; </w:t>
            </w:r>
            <w:r w:rsidR="009079E3" w:rsidRPr="009079E3">
              <w:rPr>
                <w:i/>
                <w:color w:val="000000"/>
                <w:sz w:val="16"/>
                <w:szCs w:val="20"/>
              </w:rPr>
              <w:t>Bank Data; 2018 CRA Aggregate Data; "--" data not available.</w:t>
            </w:r>
          </w:p>
          <w:p w14:paraId="7421CB87" w14:textId="77777777" w:rsidR="009079E3" w:rsidRPr="009079E3" w:rsidRDefault="009079E3" w:rsidP="009079E3">
            <w:pPr>
              <w:rPr>
                <w:sz w:val="20"/>
                <w:szCs w:val="20"/>
              </w:rPr>
            </w:pPr>
            <w:r w:rsidRPr="009079E3">
              <w:rPr>
                <w:i/>
                <w:color w:val="000000"/>
                <w:sz w:val="16"/>
                <w:szCs w:val="20"/>
              </w:rPr>
              <w:t>Due to rounding, totals may not equal 100.0%</w:t>
            </w:r>
          </w:p>
        </w:tc>
      </w:tr>
    </w:tbl>
    <w:p w14:paraId="78A033AB" w14:textId="77777777" w:rsidR="009079E3" w:rsidRDefault="009079E3" w:rsidP="00E41020">
      <w:pPr>
        <w:rPr>
          <w:b/>
          <w:bCs/>
          <w:u w:val="single"/>
        </w:rPr>
      </w:pPr>
    </w:p>
    <w:p w14:paraId="34EB2574" w14:textId="77777777" w:rsidR="00EA4565" w:rsidRDefault="00EA4565" w:rsidP="00E41020">
      <w:pPr>
        <w:rPr>
          <w:b/>
          <w:bCs/>
          <w:u w:val="single"/>
        </w:rPr>
      </w:pPr>
      <w:r>
        <w:rPr>
          <w:b/>
          <w:bCs/>
          <w:u w:val="single"/>
        </w:rPr>
        <w:t>Innovative and Flexible Lending</w:t>
      </w:r>
    </w:p>
    <w:p w14:paraId="3C089035" w14:textId="77777777" w:rsidR="00EA4565" w:rsidRDefault="00EA4565" w:rsidP="00E41020">
      <w:pPr>
        <w:rPr>
          <w:b/>
          <w:bCs/>
          <w:u w:val="single"/>
        </w:rPr>
      </w:pPr>
    </w:p>
    <w:p w14:paraId="2F911C85" w14:textId="2174FFCA" w:rsidR="00F659A1" w:rsidRDefault="00875F98" w:rsidP="00F659A1">
      <w:pPr>
        <w:tabs>
          <w:tab w:val="center" w:pos="4680"/>
        </w:tabs>
        <w:rPr>
          <w:rFonts w:eastAsia="Calibri"/>
          <w:spacing w:val="-4"/>
        </w:rPr>
      </w:pPr>
      <w:r w:rsidRPr="00C152C1">
        <w:rPr>
          <w:bCs/>
        </w:rPr>
        <w:t xml:space="preserve">The bank makes limited use of innovative and/or flexible lending programs to serve assessment area credit needs.  </w:t>
      </w:r>
      <w:r w:rsidR="00D72A19">
        <w:rPr>
          <w:rFonts w:eastAsia="Calibri"/>
          <w:spacing w:val="-4"/>
        </w:rPr>
        <w:t>P</w:t>
      </w:r>
      <w:r w:rsidR="00D72A19" w:rsidRPr="00B07521">
        <w:rPr>
          <w:rFonts w:eastAsia="Calibri"/>
          <w:spacing w:val="-4"/>
        </w:rPr>
        <w:t>rograms involve government-related su</w:t>
      </w:r>
      <w:r w:rsidR="00D72A19">
        <w:rPr>
          <w:rFonts w:eastAsia="Calibri"/>
          <w:spacing w:val="-4"/>
        </w:rPr>
        <w:t>bsidies and guarantees</w:t>
      </w:r>
      <w:r w:rsidR="00D72A19" w:rsidRPr="00B07521">
        <w:rPr>
          <w:rFonts w:eastAsia="Calibri"/>
          <w:spacing w:val="-4"/>
        </w:rPr>
        <w:t>.</w:t>
      </w:r>
      <w:r w:rsidR="00D72A19">
        <w:rPr>
          <w:rFonts w:eastAsia="Calibri"/>
          <w:spacing w:val="-4"/>
        </w:rPr>
        <w:t xml:space="preserve">  The bank originated </w:t>
      </w:r>
      <w:r w:rsidR="00F659A1">
        <w:rPr>
          <w:rFonts w:eastAsia="Calibri"/>
          <w:spacing w:val="-4"/>
        </w:rPr>
        <w:t>451</w:t>
      </w:r>
      <w:r w:rsidR="00D72A19">
        <w:rPr>
          <w:rFonts w:eastAsia="Calibri"/>
          <w:spacing w:val="-4"/>
        </w:rPr>
        <w:t xml:space="preserve"> innovative and flexible loans, totaling </w:t>
      </w:r>
      <w:r w:rsidR="00D72A19" w:rsidRPr="00F659A1">
        <w:rPr>
          <w:rFonts w:eastAsia="Calibri"/>
          <w:spacing w:val="-4"/>
        </w:rPr>
        <w:t>$</w:t>
      </w:r>
      <w:r w:rsidR="00F659A1">
        <w:rPr>
          <w:rFonts w:eastAsia="Calibri"/>
          <w:spacing w:val="-4"/>
        </w:rPr>
        <w:t>147.1</w:t>
      </w:r>
      <w:r w:rsidR="00D72A19">
        <w:rPr>
          <w:rFonts w:eastAsia="Calibri"/>
          <w:spacing w:val="-4"/>
        </w:rPr>
        <w:t xml:space="preserve"> million, to individuals and businesses during the evaluation period.  </w:t>
      </w:r>
      <w:r w:rsidR="00F659A1" w:rsidRPr="00AE348A">
        <w:rPr>
          <w:rFonts w:eastAsia="Calibri"/>
          <w:spacing w:val="-4"/>
        </w:rPr>
        <w:t>Of these innovative and fl</w:t>
      </w:r>
      <w:r w:rsidR="00F659A1">
        <w:rPr>
          <w:rFonts w:eastAsia="Calibri"/>
          <w:spacing w:val="-4"/>
        </w:rPr>
        <w:t>exible loans, the bank made 28 loans for $6.7</w:t>
      </w:r>
      <w:r w:rsidR="00F659A1" w:rsidRPr="00AE348A">
        <w:rPr>
          <w:rFonts w:eastAsia="Calibri"/>
          <w:spacing w:val="-4"/>
        </w:rPr>
        <w:t xml:space="preserve"> million through affor</w:t>
      </w:r>
      <w:r w:rsidR="00F659A1">
        <w:rPr>
          <w:rFonts w:eastAsia="Calibri"/>
          <w:spacing w:val="-4"/>
        </w:rPr>
        <w:t>dable housing programs, 22 loans for $16.8</w:t>
      </w:r>
      <w:r w:rsidR="00F659A1" w:rsidRPr="00AE348A">
        <w:rPr>
          <w:rFonts w:eastAsia="Calibri"/>
          <w:spacing w:val="-4"/>
        </w:rPr>
        <w:t xml:space="preserve"> million through small business lending programs</w:t>
      </w:r>
      <w:r w:rsidR="00F659A1">
        <w:rPr>
          <w:rFonts w:eastAsia="Calibri"/>
          <w:spacing w:val="-4"/>
        </w:rPr>
        <w:t>, and 401 loans for $</w:t>
      </w:r>
      <w:r w:rsidR="003F53DA">
        <w:rPr>
          <w:rFonts w:eastAsia="Calibri"/>
          <w:spacing w:val="-4"/>
        </w:rPr>
        <w:t xml:space="preserve">123.6 million </w:t>
      </w:r>
      <w:r w:rsidR="00F659A1">
        <w:rPr>
          <w:rFonts w:eastAsia="Calibri"/>
          <w:spacing w:val="-4"/>
        </w:rPr>
        <w:t>through the S</w:t>
      </w:r>
      <w:r w:rsidR="00DD6846">
        <w:rPr>
          <w:rFonts w:eastAsia="Calibri"/>
          <w:spacing w:val="-4"/>
        </w:rPr>
        <w:t xml:space="preserve">mall </w:t>
      </w:r>
      <w:r w:rsidR="00F659A1">
        <w:rPr>
          <w:rFonts w:eastAsia="Calibri"/>
          <w:spacing w:val="-4"/>
        </w:rPr>
        <w:t>B</w:t>
      </w:r>
      <w:r w:rsidR="00DD6846">
        <w:rPr>
          <w:rFonts w:eastAsia="Calibri"/>
          <w:spacing w:val="-4"/>
        </w:rPr>
        <w:t xml:space="preserve">usiness </w:t>
      </w:r>
      <w:r w:rsidR="00F659A1">
        <w:rPr>
          <w:rFonts w:eastAsia="Calibri"/>
          <w:spacing w:val="-4"/>
        </w:rPr>
        <w:t>A</w:t>
      </w:r>
      <w:r w:rsidR="00DD6846">
        <w:rPr>
          <w:rFonts w:eastAsia="Calibri"/>
          <w:spacing w:val="-4"/>
        </w:rPr>
        <w:t>dministration (SBA)</w:t>
      </w:r>
      <w:r w:rsidR="00F659A1">
        <w:rPr>
          <w:rFonts w:eastAsia="Calibri"/>
          <w:spacing w:val="-4"/>
        </w:rPr>
        <w:t xml:space="preserve"> P</w:t>
      </w:r>
      <w:r w:rsidR="003F53DA">
        <w:rPr>
          <w:rFonts w:eastAsia="Calibri"/>
          <w:spacing w:val="-4"/>
        </w:rPr>
        <w:t xml:space="preserve">aycheck </w:t>
      </w:r>
      <w:r w:rsidR="00F659A1">
        <w:rPr>
          <w:rFonts w:eastAsia="Calibri"/>
          <w:spacing w:val="-4"/>
        </w:rPr>
        <w:t>P</w:t>
      </w:r>
      <w:r w:rsidR="003F53DA">
        <w:rPr>
          <w:rFonts w:eastAsia="Calibri"/>
          <w:spacing w:val="-4"/>
        </w:rPr>
        <w:t xml:space="preserve">rotection </w:t>
      </w:r>
      <w:r w:rsidR="00F659A1">
        <w:rPr>
          <w:rFonts w:eastAsia="Calibri"/>
          <w:spacing w:val="-4"/>
        </w:rPr>
        <w:t>P</w:t>
      </w:r>
      <w:r w:rsidR="003F53DA">
        <w:rPr>
          <w:rFonts w:eastAsia="Calibri"/>
          <w:spacing w:val="-4"/>
        </w:rPr>
        <w:t>rogram (PPP)</w:t>
      </w:r>
      <w:r w:rsidR="00F659A1" w:rsidRPr="00AE348A">
        <w:rPr>
          <w:rFonts w:eastAsia="Calibri"/>
          <w:spacing w:val="-4"/>
        </w:rPr>
        <w:t xml:space="preserve">.  </w:t>
      </w:r>
    </w:p>
    <w:p w14:paraId="6CFFD6EE" w14:textId="77777777" w:rsidR="00F659A1" w:rsidRDefault="00F659A1" w:rsidP="00F659A1">
      <w:pPr>
        <w:tabs>
          <w:tab w:val="center" w:pos="4680"/>
        </w:tabs>
        <w:rPr>
          <w:rFonts w:eastAsia="Calibri"/>
          <w:spacing w:val="-4"/>
        </w:rPr>
      </w:pPr>
    </w:p>
    <w:p w14:paraId="2DE566A4" w14:textId="77777777" w:rsidR="00875F98" w:rsidRDefault="00F659A1" w:rsidP="00F659A1">
      <w:pPr>
        <w:tabs>
          <w:tab w:val="center" w:pos="4680"/>
        </w:tabs>
        <w:rPr>
          <w:rFonts w:eastAsia="Calibri"/>
          <w:spacing w:val="-4"/>
        </w:rPr>
      </w:pPr>
      <w:r>
        <w:rPr>
          <w:rFonts w:eastAsia="Calibri"/>
          <w:spacing w:val="-4"/>
        </w:rPr>
        <w:t>Total loan volume during this evaluation significantly increased since the previous evaluation</w:t>
      </w:r>
      <w:r w:rsidR="00875F98">
        <w:rPr>
          <w:rFonts w:eastAsia="Calibri"/>
          <w:spacing w:val="-4"/>
        </w:rPr>
        <w:t xml:space="preserve"> due to SBA PPP loans in 2020</w:t>
      </w:r>
      <w:r>
        <w:rPr>
          <w:rFonts w:eastAsia="Calibri"/>
          <w:spacing w:val="-4"/>
        </w:rPr>
        <w:t xml:space="preserve">.  </w:t>
      </w:r>
      <w:r w:rsidR="00875F98">
        <w:rPr>
          <w:rFonts w:eastAsia="Calibri"/>
          <w:spacing w:val="-4"/>
        </w:rPr>
        <w:t xml:space="preserve">However, aside from PPP lending, the bank </w:t>
      </w:r>
      <w:r>
        <w:rPr>
          <w:rFonts w:eastAsia="Calibri"/>
          <w:spacing w:val="-4"/>
        </w:rPr>
        <w:t>originated</w:t>
      </w:r>
      <w:r w:rsidRPr="00AE348A">
        <w:rPr>
          <w:rFonts w:eastAsia="Calibri"/>
          <w:spacing w:val="-4"/>
        </w:rPr>
        <w:t xml:space="preserve"> </w:t>
      </w:r>
      <w:r w:rsidR="00875F98">
        <w:rPr>
          <w:rFonts w:eastAsia="Calibri"/>
          <w:spacing w:val="-4"/>
        </w:rPr>
        <w:t>50</w:t>
      </w:r>
      <w:r w:rsidRPr="00AE348A">
        <w:rPr>
          <w:rFonts w:eastAsia="Calibri"/>
          <w:spacing w:val="-4"/>
        </w:rPr>
        <w:t xml:space="preserve"> innovative and flexible loans, totaling $23.</w:t>
      </w:r>
      <w:r w:rsidR="00875F98">
        <w:rPr>
          <w:rFonts w:eastAsia="Calibri"/>
          <w:spacing w:val="-4"/>
        </w:rPr>
        <w:t>5</w:t>
      </w:r>
      <w:r w:rsidRPr="00AE348A">
        <w:rPr>
          <w:rFonts w:eastAsia="Calibri"/>
          <w:spacing w:val="-4"/>
        </w:rPr>
        <w:t xml:space="preserve"> million</w:t>
      </w:r>
      <w:r w:rsidR="00875F98">
        <w:rPr>
          <w:rFonts w:eastAsia="Calibri"/>
          <w:spacing w:val="-4"/>
        </w:rPr>
        <w:t>, to individuals and businesses.  This volume represents a decrease from the previous evaluation, when the bank made 131 innovative and flexible loans, totaling $36.3 million, to individuals and businesses.</w:t>
      </w:r>
    </w:p>
    <w:p w14:paraId="549F76EC" w14:textId="77777777" w:rsidR="00875F98" w:rsidRDefault="00875F98" w:rsidP="00F659A1">
      <w:pPr>
        <w:tabs>
          <w:tab w:val="center" w:pos="4680"/>
        </w:tabs>
        <w:rPr>
          <w:rFonts w:eastAsia="Calibri"/>
          <w:spacing w:val="-4"/>
        </w:rPr>
      </w:pPr>
    </w:p>
    <w:p w14:paraId="04A2114E" w14:textId="77777777" w:rsidR="00875F98" w:rsidRPr="006215DC" w:rsidRDefault="00875F98" w:rsidP="00875F98">
      <w:pPr>
        <w:rPr>
          <w:bCs/>
        </w:rPr>
      </w:pPr>
      <w:r w:rsidRPr="006215DC">
        <w:rPr>
          <w:bCs/>
        </w:rPr>
        <w:t xml:space="preserve">The following highlights the various innovative and flexible loan programs offered by the bank. </w:t>
      </w:r>
    </w:p>
    <w:p w14:paraId="587EA172" w14:textId="77777777" w:rsidR="00875F98" w:rsidRPr="006215DC" w:rsidRDefault="00875F98" w:rsidP="00875F98">
      <w:pPr>
        <w:rPr>
          <w:bCs/>
        </w:rPr>
      </w:pPr>
    </w:p>
    <w:p w14:paraId="3A70343C" w14:textId="77777777" w:rsidR="005379B0" w:rsidRDefault="005379B0" w:rsidP="00875F98">
      <w:pPr>
        <w:rPr>
          <w:bCs/>
          <w:u w:val="single"/>
        </w:rPr>
      </w:pPr>
    </w:p>
    <w:p w14:paraId="5BFBBC30" w14:textId="77777777" w:rsidR="005379B0" w:rsidRDefault="005379B0" w:rsidP="00875F98">
      <w:pPr>
        <w:rPr>
          <w:bCs/>
          <w:u w:val="single"/>
        </w:rPr>
      </w:pPr>
    </w:p>
    <w:p w14:paraId="7C41C74F" w14:textId="77777777" w:rsidR="005379B0" w:rsidRDefault="005379B0" w:rsidP="00875F98">
      <w:pPr>
        <w:rPr>
          <w:bCs/>
          <w:u w:val="single"/>
        </w:rPr>
      </w:pPr>
    </w:p>
    <w:p w14:paraId="0D047087" w14:textId="225399D8" w:rsidR="00875F98" w:rsidRDefault="00875F98" w:rsidP="00875F98">
      <w:pPr>
        <w:rPr>
          <w:bCs/>
          <w:u w:val="single"/>
        </w:rPr>
      </w:pPr>
      <w:r w:rsidRPr="006215DC">
        <w:rPr>
          <w:bCs/>
          <w:u w:val="single"/>
        </w:rPr>
        <w:lastRenderedPageBreak/>
        <w:t>Home Mortgage Lending Programs</w:t>
      </w:r>
    </w:p>
    <w:p w14:paraId="7E5DA3E9" w14:textId="77777777" w:rsidR="001D203D" w:rsidRDefault="001D203D" w:rsidP="00875F98">
      <w:pPr>
        <w:rPr>
          <w:bCs/>
          <w:u w:val="single"/>
        </w:rPr>
      </w:pPr>
    </w:p>
    <w:p w14:paraId="69661CAD" w14:textId="77777777" w:rsidR="001D203D" w:rsidRDefault="001D203D" w:rsidP="001D203D">
      <w:pPr>
        <w:numPr>
          <w:ilvl w:val="0"/>
          <w:numId w:val="26"/>
        </w:numPr>
        <w:rPr>
          <w:snapToGrid w:val="0"/>
          <w:color w:val="000000"/>
        </w:rPr>
      </w:pPr>
      <w:r w:rsidRPr="001D203D">
        <w:rPr>
          <w:b/>
          <w:snapToGrid w:val="0"/>
          <w:color w:val="000000"/>
        </w:rPr>
        <w:t>MassHousing First Time Home Buyer Programs -</w:t>
      </w:r>
      <w:r>
        <w:rPr>
          <w:snapToGrid w:val="0"/>
          <w:color w:val="000000"/>
        </w:rPr>
        <w:t xml:space="preserve"> The bank offers several first-time homebuyer programs through MassHousing.  These loans are fixed-rate portfolio loans to borrowers of modest incomes.  </w:t>
      </w:r>
      <w:r w:rsidRPr="00563D6C">
        <w:rPr>
          <w:snapToGrid w:val="0"/>
          <w:color w:val="000000"/>
        </w:rPr>
        <w:t xml:space="preserve">During the </w:t>
      </w:r>
      <w:r>
        <w:rPr>
          <w:snapToGrid w:val="0"/>
          <w:color w:val="000000"/>
        </w:rPr>
        <w:t>review period, the bank originated 23</w:t>
      </w:r>
      <w:r w:rsidRPr="00563D6C">
        <w:rPr>
          <w:snapToGrid w:val="0"/>
          <w:color w:val="000000"/>
        </w:rPr>
        <w:t xml:space="preserve"> loans </w:t>
      </w:r>
      <w:r>
        <w:rPr>
          <w:snapToGrid w:val="0"/>
          <w:color w:val="000000"/>
        </w:rPr>
        <w:t xml:space="preserve">under these programs </w:t>
      </w:r>
      <w:r w:rsidRPr="00563D6C">
        <w:rPr>
          <w:snapToGrid w:val="0"/>
          <w:color w:val="000000"/>
        </w:rPr>
        <w:t>for</w:t>
      </w:r>
      <w:r>
        <w:rPr>
          <w:snapToGrid w:val="0"/>
          <w:color w:val="000000"/>
        </w:rPr>
        <w:t xml:space="preserve"> </w:t>
      </w:r>
      <w:r w:rsidRPr="00563D6C">
        <w:rPr>
          <w:snapToGrid w:val="0"/>
          <w:color w:val="000000"/>
        </w:rPr>
        <w:t>$</w:t>
      </w:r>
      <w:r>
        <w:rPr>
          <w:snapToGrid w:val="0"/>
          <w:color w:val="000000"/>
        </w:rPr>
        <w:t>4.4 million</w:t>
      </w:r>
      <w:r w:rsidRPr="00563D6C">
        <w:rPr>
          <w:snapToGrid w:val="0"/>
          <w:color w:val="000000"/>
        </w:rPr>
        <w:t>.</w:t>
      </w:r>
      <w:r>
        <w:rPr>
          <w:snapToGrid w:val="0"/>
          <w:color w:val="000000"/>
        </w:rPr>
        <w:t xml:space="preserve">  </w:t>
      </w:r>
      <w:r w:rsidRPr="001D203D">
        <w:rPr>
          <w:snapToGrid w:val="0"/>
          <w:color w:val="000000"/>
        </w:rPr>
        <w:t xml:space="preserve">This includes </w:t>
      </w:r>
      <w:r w:rsidR="00621D00">
        <w:rPr>
          <w:snapToGrid w:val="0"/>
          <w:color w:val="000000"/>
        </w:rPr>
        <w:t>seven</w:t>
      </w:r>
      <w:r w:rsidRPr="001D203D">
        <w:rPr>
          <w:snapToGrid w:val="0"/>
          <w:color w:val="000000"/>
        </w:rPr>
        <w:t xml:space="preserve"> MassHousing down payment assistance loans.</w:t>
      </w:r>
    </w:p>
    <w:p w14:paraId="0D66FC95" w14:textId="77777777" w:rsidR="001D203D" w:rsidRPr="001D203D" w:rsidRDefault="001D203D" w:rsidP="001D203D">
      <w:pPr>
        <w:ind w:left="720"/>
        <w:rPr>
          <w:snapToGrid w:val="0"/>
          <w:color w:val="000000"/>
        </w:rPr>
      </w:pPr>
    </w:p>
    <w:p w14:paraId="42F48A8A" w14:textId="77777777" w:rsidR="001D203D" w:rsidRPr="007923DA" w:rsidRDefault="001D203D" w:rsidP="001D203D">
      <w:pPr>
        <w:widowControl w:val="0"/>
        <w:numPr>
          <w:ilvl w:val="0"/>
          <w:numId w:val="26"/>
        </w:numPr>
        <w:outlineLvl w:val="0"/>
        <w:rPr>
          <w:snapToGrid w:val="0"/>
          <w:color w:val="000000"/>
        </w:rPr>
      </w:pPr>
      <w:r w:rsidRPr="001D203D">
        <w:rPr>
          <w:b/>
          <w:snapToGrid w:val="0"/>
          <w:color w:val="000000"/>
        </w:rPr>
        <w:t xml:space="preserve">MassHousing </w:t>
      </w:r>
      <w:r w:rsidRPr="001D203D">
        <w:rPr>
          <w:b/>
          <w:color w:val="222222"/>
          <w:shd w:val="clear" w:color="auto" w:fill="FFFFFF"/>
        </w:rPr>
        <w:t>Federal Housing Administration</w:t>
      </w:r>
      <w:r w:rsidRPr="001D203D">
        <w:rPr>
          <w:b/>
          <w:snapToGrid w:val="0"/>
          <w:color w:val="000000"/>
        </w:rPr>
        <w:t xml:space="preserve"> (FHA) Loans -</w:t>
      </w:r>
      <w:r>
        <w:rPr>
          <w:i/>
          <w:snapToGrid w:val="0"/>
          <w:color w:val="000000"/>
        </w:rPr>
        <w:t xml:space="preserve"> </w:t>
      </w:r>
      <w:r>
        <w:rPr>
          <w:snapToGrid w:val="0"/>
          <w:color w:val="000000"/>
        </w:rPr>
        <w:t xml:space="preserve">These loans feature a reduced mortgage insurance premium for low- and moderate-income borrowers.  During the review period, the bank originated </w:t>
      </w:r>
      <w:r w:rsidR="00A447C9">
        <w:rPr>
          <w:snapToGrid w:val="0"/>
          <w:color w:val="000000"/>
        </w:rPr>
        <w:t>five</w:t>
      </w:r>
      <w:r>
        <w:rPr>
          <w:snapToGrid w:val="0"/>
          <w:color w:val="000000"/>
        </w:rPr>
        <w:t xml:space="preserve"> loans for $2.3 million.</w:t>
      </w:r>
    </w:p>
    <w:p w14:paraId="3A73A2A1" w14:textId="77777777" w:rsidR="001D203D" w:rsidRPr="00E43440" w:rsidRDefault="001D203D" w:rsidP="001D203D">
      <w:pPr>
        <w:spacing w:before="240"/>
        <w:rPr>
          <w:bCs/>
          <w:u w:val="single"/>
        </w:rPr>
      </w:pPr>
      <w:r>
        <w:rPr>
          <w:bCs/>
          <w:u w:val="single"/>
        </w:rPr>
        <w:t>S</w:t>
      </w:r>
      <w:r w:rsidRPr="00E43440">
        <w:rPr>
          <w:bCs/>
          <w:u w:val="single"/>
        </w:rPr>
        <w:t>mall Business Lending Programs</w:t>
      </w:r>
    </w:p>
    <w:p w14:paraId="0132D3CF" w14:textId="77777777" w:rsidR="001D203D" w:rsidRDefault="001D203D" w:rsidP="001D203D">
      <w:pPr>
        <w:rPr>
          <w:bCs/>
        </w:rPr>
      </w:pPr>
    </w:p>
    <w:p w14:paraId="15F44D18" w14:textId="2D924AC8" w:rsidR="009E752E" w:rsidRPr="009E752E" w:rsidRDefault="009E752E" w:rsidP="0074778A">
      <w:pPr>
        <w:widowControl w:val="0"/>
        <w:numPr>
          <w:ilvl w:val="0"/>
          <w:numId w:val="26"/>
        </w:numPr>
        <w:outlineLvl w:val="0"/>
        <w:rPr>
          <w:bCs/>
        </w:rPr>
      </w:pPr>
      <w:r w:rsidRPr="009E752E">
        <w:rPr>
          <w:b/>
          <w:snapToGrid w:val="0"/>
          <w:color w:val="000000"/>
        </w:rPr>
        <w:t>SBA 7a Loan Programs -</w:t>
      </w:r>
      <w:r w:rsidRPr="005B6C99">
        <w:rPr>
          <w:i/>
          <w:snapToGrid w:val="0"/>
          <w:color w:val="000000"/>
        </w:rPr>
        <w:t xml:space="preserve"> </w:t>
      </w:r>
      <w:r w:rsidRPr="005B6C99">
        <w:rPr>
          <w:snapToGrid w:val="0"/>
          <w:color w:val="000000"/>
        </w:rPr>
        <w:t>The maximum loan amount is $5 million and the SBA guarantees 75.0 percent of the value of most loans</w:t>
      </w:r>
      <w:r w:rsidR="0074778A">
        <w:rPr>
          <w:snapToGrid w:val="0"/>
          <w:color w:val="000000"/>
        </w:rPr>
        <w:t xml:space="preserve">; </w:t>
      </w:r>
      <w:r w:rsidR="0074778A" w:rsidRPr="0074778A">
        <w:rPr>
          <w:snapToGrid w:val="0"/>
          <w:color w:val="000000"/>
        </w:rPr>
        <w:t>85</w:t>
      </w:r>
      <w:r w:rsidR="00C062C4">
        <w:rPr>
          <w:snapToGrid w:val="0"/>
          <w:color w:val="000000"/>
        </w:rPr>
        <w:t xml:space="preserve"> percent</w:t>
      </w:r>
      <w:r w:rsidR="0074778A" w:rsidRPr="0074778A">
        <w:rPr>
          <w:snapToGrid w:val="0"/>
          <w:color w:val="000000"/>
        </w:rPr>
        <w:t xml:space="preserve"> guaranty for loans up to $150,000.</w:t>
      </w:r>
      <w:r w:rsidR="0074778A">
        <w:rPr>
          <w:snapToGrid w:val="0"/>
          <w:color w:val="000000"/>
        </w:rPr>
        <w:t xml:space="preserve">  </w:t>
      </w:r>
      <w:r w:rsidR="00990224">
        <w:rPr>
          <w:snapToGrid w:val="0"/>
          <w:color w:val="000000"/>
        </w:rPr>
        <w:t>During the review period, t</w:t>
      </w:r>
      <w:r>
        <w:rPr>
          <w:snapToGrid w:val="0"/>
          <w:color w:val="000000"/>
        </w:rPr>
        <w:t>he bank originated 1</w:t>
      </w:r>
      <w:r w:rsidR="0074778A">
        <w:rPr>
          <w:snapToGrid w:val="0"/>
          <w:color w:val="000000"/>
        </w:rPr>
        <w:t>0</w:t>
      </w:r>
      <w:r>
        <w:rPr>
          <w:snapToGrid w:val="0"/>
          <w:color w:val="000000"/>
        </w:rPr>
        <w:t xml:space="preserve"> loans for </w:t>
      </w:r>
      <w:r w:rsidR="0074778A">
        <w:rPr>
          <w:snapToGrid w:val="0"/>
          <w:color w:val="000000"/>
        </w:rPr>
        <w:t>$6.4</w:t>
      </w:r>
      <w:r>
        <w:rPr>
          <w:snapToGrid w:val="0"/>
          <w:color w:val="000000"/>
        </w:rPr>
        <w:t xml:space="preserve"> million.</w:t>
      </w:r>
    </w:p>
    <w:p w14:paraId="583E6198" w14:textId="77777777" w:rsidR="009E752E" w:rsidRPr="00567014" w:rsidRDefault="009E752E" w:rsidP="009E752E">
      <w:pPr>
        <w:widowControl w:val="0"/>
        <w:ind w:left="720"/>
        <w:outlineLvl w:val="0"/>
        <w:rPr>
          <w:bCs/>
        </w:rPr>
      </w:pPr>
    </w:p>
    <w:p w14:paraId="6C32DB52" w14:textId="6ECB5F96" w:rsidR="009E752E" w:rsidRPr="00990224" w:rsidRDefault="009E752E" w:rsidP="009E752E">
      <w:pPr>
        <w:widowControl w:val="0"/>
        <w:numPr>
          <w:ilvl w:val="0"/>
          <w:numId w:val="26"/>
        </w:numPr>
        <w:outlineLvl w:val="0"/>
        <w:rPr>
          <w:bCs/>
        </w:rPr>
      </w:pPr>
      <w:r w:rsidRPr="009E752E">
        <w:rPr>
          <w:b/>
          <w:snapToGrid w:val="0"/>
          <w:color w:val="000000"/>
        </w:rPr>
        <w:t>SBA Express Loan Program -</w:t>
      </w:r>
      <w:r w:rsidRPr="005B6C99">
        <w:rPr>
          <w:i/>
          <w:snapToGrid w:val="0"/>
          <w:color w:val="000000"/>
        </w:rPr>
        <w:t xml:space="preserve"> </w:t>
      </w:r>
      <w:r w:rsidRPr="005B6C99">
        <w:rPr>
          <w:snapToGrid w:val="0"/>
          <w:color w:val="000000"/>
        </w:rPr>
        <w:t>This program offers borrowers an accelerated</w:t>
      </w:r>
      <w:r w:rsidR="00C062C4">
        <w:rPr>
          <w:snapToGrid w:val="0"/>
          <w:color w:val="000000"/>
        </w:rPr>
        <w:t xml:space="preserve"> approval</w:t>
      </w:r>
      <w:r w:rsidRPr="005B6C99">
        <w:rPr>
          <w:snapToGrid w:val="0"/>
          <w:color w:val="000000"/>
        </w:rPr>
        <w:t xml:space="preserve"> turnaround time on loan amounts up to $350,000.  The SBA provides a maximum guaranty of 50.0 percent</w:t>
      </w:r>
      <w:r>
        <w:rPr>
          <w:snapToGrid w:val="0"/>
          <w:color w:val="000000"/>
        </w:rPr>
        <w:t xml:space="preserve">.  </w:t>
      </w:r>
      <w:r w:rsidR="00990224">
        <w:rPr>
          <w:snapToGrid w:val="0"/>
          <w:color w:val="000000"/>
        </w:rPr>
        <w:t>During the review period, t</w:t>
      </w:r>
      <w:r>
        <w:rPr>
          <w:snapToGrid w:val="0"/>
          <w:color w:val="000000"/>
        </w:rPr>
        <w:t xml:space="preserve">he bank originated </w:t>
      </w:r>
      <w:r w:rsidR="00A447C9">
        <w:rPr>
          <w:snapToGrid w:val="0"/>
          <w:color w:val="000000"/>
        </w:rPr>
        <w:t>two</w:t>
      </w:r>
      <w:r>
        <w:rPr>
          <w:snapToGrid w:val="0"/>
          <w:color w:val="000000"/>
        </w:rPr>
        <w:t xml:space="preserve"> loans for $</w:t>
      </w:r>
      <w:r w:rsidR="00990224">
        <w:rPr>
          <w:snapToGrid w:val="0"/>
          <w:color w:val="000000"/>
        </w:rPr>
        <w:t>400,000.</w:t>
      </w:r>
    </w:p>
    <w:p w14:paraId="7614CBE0" w14:textId="77777777" w:rsidR="00990224" w:rsidRDefault="00990224" w:rsidP="00990224">
      <w:pPr>
        <w:pStyle w:val="ListParagraph"/>
        <w:rPr>
          <w:bCs/>
        </w:rPr>
      </w:pPr>
    </w:p>
    <w:p w14:paraId="16DE5095" w14:textId="77777777" w:rsidR="00990224" w:rsidRDefault="00990224" w:rsidP="00990224">
      <w:pPr>
        <w:numPr>
          <w:ilvl w:val="0"/>
          <w:numId w:val="27"/>
        </w:numPr>
        <w:rPr>
          <w:bCs/>
        </w:rPr>
      </w:pPr>
      <w:r w:rsidRPr="00990224">
        <w:rPr>
          <w:b/>
          <w:bCs/>
        </w:rPr>
        <w:t>SBA 504 Certified Development Company (CDC) Program -</w:t>
      </w:r>
      <w:r w:rsidRPr="00990224">
        <w:rPr>
          <w:bCs/>
        </w:rPr>
        <w:t xml:space="preserve"> </w:t>
      </w:r>
      <w:r w:rsidRPr="00754930">
        <w:rPr>
          <w:bCs/>
        </w:rPr>
        <w:t xml:space="preserve">The SBA 504 CDC Program is an economic development program offering small business financing while creating jobs and promoting job growth.  The program provides approved small businesses with long-term, fixed-rate financing for major fixed assets.  </w:t>
      </w:r>
      <w:r>
        <w:rPr>
          <w:bCs/>
        </w:rPr>
        <w:t>During the review period, t</w:t>
      </w:r>
      <w:r w:rsidRPr="00754930">
        <w:rPr>
          <w:bCs/>
        </w:rPr>
        <w:t xml:space="preserve">he bank originated </w:t>
      </w:r>
      <w:r>
        <w:rPr>
          <w:bCs/>
        </w:rPr>
        <w:t>10</w:t>
      </w:r>
      <w:r w:rsidRPr="00754930">
        <w:rPr>
          <w:bCs/>
        </w:rPr>
        <w:t xml:space="preserve"> SBA 504 loan</w:t>
      </w:r>
      <w:r>
        <w:rPr>
          <w:bCs/>
        </w:rPr>
        <w:t>s</w:t>
      </w:r>
      <w:r w:rsidRPr="00754930">
        <w:rPr>
          <w:bCs/>
        </w:rPr>
        <w:t xml:space="preserve"> totaling $10</w:t>
      </w:r>
      <w:r w:rsidR="00EC0F7D">
        <w:rPr>
          <w:bCs/>
        </w:rPr>
        <w:t>.0</w:t>
      </w:r>
      <w:r>
        <w:rPr>
          <w:bCs/>
        </w:rPr>
        <w:t xml:space="preserve"> million</w:t>
      </w:r>
      <w:r w:rsidRPr="00754930">
        <w:rPr>
          <w:bCs/>
        </w:rPr>
        <w:t>.</w:t>
      </w:r>
    </w:p>
    <w:p w14:paraId="69C60F83" w14:textId="77777777" w:rsidR="00990224" w:rsidRPr="00754930" w:rsidRDefault="00990224" w:rsidP="00990224">
      <w:pPr>
        <w:ind w:left="720"/>
        <w:rPr>
          <w:bCs/>
        </w:rPr>
      </w:pPr>
    </w:p>
    <w:p w14:paraId="6E4DF4F2" w14:textId="77777777" w:rsidR="00990224" w:rsidRPr="00990224" w:rsidRDefault="0048723C" w:rsidP="0048723C">
      <w:pPr>
        <w:widowControl w:val="0"/>
        <w:outlineLvl w:val="0"/>
        <w:rPr>
          <w:bCs/>
        </w:rPr>
      </w:pPr>
      <w:r w:rsidRPr="00754930">
        <w:rPr>
          <w:bCs/>
        </w:rPr>
        <w:t xml:space="preserve">In </w:t>
      </w:r>
      <w:r>
        <w:rPr>
          <w:bCs/>
        </w:rPr>
        <w:t xml:space="preserve">addition to the </w:t>
      </w:r>
      <w:r w:rsidR="00A447C9">
        <w:rPr>
          <w:bCs/>
        </w:rPr>
        <w:t>previously mentioned</w:t>
      </w:r>
      <w:r>
        <w:rPr>
          <w:bCs/>
        </w:rPr>
        <w:t xml:space="preserve"> SBA-</w:t>
      </w:r>
      <w:r w:rsidR="00A447C9">
        <w:rPr>
          <w:bCs/>
        </w:rPr>
        <w:t>guaranteed</w:t>
      </w:r>
      <w:r>
        <w:rPr>
          <w:bCs/>
        </w:rPr>
        <w:t xml:space="preserve"> program, </w:t>
      </w:r>
      <w:r w:rsidR="00EC0F7D">
        <w:rPr>
          <w:bCs/>
        </w:rPr>
        <w:t>EBSB</w:t>
      </w:r>
      <w:r w:rsidRPr="00754930">
        <w:rPr>
          <w:bCs/>
        </w:rPr>
        <w:t xml:space="preserve"> </w:t>
      </w:r>
      <w:r>
        <w:rPr>
          <w:bCs/>
        </w:rPr>
        <w:t>respon</w:t>
      </w:r>
      <w:r w:rsidR="00EC0F7D">
        <w:rPr>
          <w:bCs/>
        </w:rPr>
        <w:t>ded</w:t>
      </w:r>
      <w:r>
        <w:rPr>
          <w:bCs/>
        </w:rPr>
        <w:t xml:space="preserve"> to the COVID-19 pandemic </w:t>
      </w:r>
      <w:r w:rsidR="00EC0F7D">
        <w:rPr>
          <w:bCs/>
        </w:rPr>
        <w:t xml:space="preserve">by </w:t>
      </w:r>
      <w:r w:rsidRPr="00754930">
        <w:rPr>
          <w:bCs/>
        </w:rPr>
        <w:t>offer</w:t>
      </w:r>
      <w:r w:rsidR="00EC0F7D">
        <w:rPr>
          <w:bCs/>
        </w:rPr>
        <w:t>ing</w:t>
      </w:r>
      <w:r w:rsidRPr="00754930">
        <w:rPr>
          <w:bCs/>
        </w:rPr>
        <w:t xml:space="preserve"> the SBA PPP in</w:t>
      </w:r>
      <w:r w:rsidR="00EC0F7D">
        <w:rPr>
          <w:bCs/>
        </w:rPr>
        <w:t xml:space="preserve"> early</w:t>
      </w:r>
      <w:r w:rsidRPr="00754930">
        <w:rPr>
          <w:bCs/>
        </w:rPr>
        <w:t xml:space="preserve"> 2020.  The</w:t>
      </w:r>
      <w:r w:rsidRPr="00754930">
        <w:rPr>
          <w:b/>
          <w:bCs/>
        </w:rPr>
        <w:t xml:space="preserve"> </w:t>
      </w:r>
      <w:r w:rsidRPr="00754930">
        <w:rPr>
          <w:bCs/>
        </w:rPr>
        <w:t>PPP incentivize</w:t>
      </w:r>
      <w:r w:rsidR="00A447C9">
        <w:rPr>
          <w:bCs/>
        </w:rPr>
        <w:t>d</w:t>
      </w:r>
      <w:r w:rsidRPr="00754930">
        <w:rPr>
          <w:bCs/>
        </w:rPr>
        <w:t xml:space="preserve"> small businesses to keep workers employed during the pandemic</w:t>
      </w:r>
      <w:r w:rsidR="00A447C9">
        <w:rPr>
          <w:bCs/>
        </w:rPr>
        <w:t xml:space="preserve"> related shutdown</w:t>
      </w:r>
      <w:r w:rsidRPr="00754930">
        <w:rPr>
          <w:bCs/>
        </w:rPr>
        <w:t xml:space="preserve">.  The bank originated approximately </w:t>
      </w:r>
      <w:r>
        <w:rPr>
          <w:bCs/>
        </w:rPr>
        <w:t>401</w:t>
      </w:r>
      <w:r w:rsidRPr="00754930">
        <w:rPr>
          <w:bCs/>
        </w:rPr>
        <w:t xml:space="preserve"> loans totaling approximat</w:t>
      </w:r>
      <w:r>
        <w:rPr>
          <w:bCs/>
        </w:rPr>
        <w:t>ely $123.6 million through the PPP.</w:t>
      </w:r>
    </w:p>
    <w:p w14:paraId="3FBAD862" w14:textId="77777777" w:rsidR="00EA4565" w:rsidRDefault="00EA4565" w:rsidP="00E41020">
      <w:pPr>
        <w:rPr>
          <w:b/>
          <w:bCs/>
          <w:u w:val="single"/>
        </w:rPr>
      </w:pPr>
    </w:p>
    <w:p w14:paraId="7E0BF3CD" w14:textId="77777777" w:rsidR="00EA4565" w:rsidRPr="00161EC6" w:rsidRDefault="00EA4565" w:rsidP="00E41020">
      <w:pPr>
        <w:rPr>
          <w:b/>
          <w:bCs/>
          <w:u w:val="single"/>
        </w:rPr>
      </w:pPr>
      <w:r>
        <w:rPr>
          <w:b/>
          <w:bCs/>
          <w:u w:val="single"/>
        </w:rPr>
        <w:t>Community Development Lending</w:t>
      </w:r>
    </w:p>
    <w:p w14:paraId="2B94F543" w14:textId="77777777" w:rsidR="0099672C" w:rsidRPr="00161EC6" w:rsidRDefault="0099672C" w:rsidP="00E41020">
      <w:pPr>
        <w:rPr>
          <w:i/>
          <w:iCs/>
          <w:color w:val="000000"/>
        </w:rPr>
      </w:pPr>
    </w:p>
    <w:p w14:paraId="0C91D380" w14:textId="74420FD9" w:rsidR="00412838" w:rsidRDefault="00412838" w:rsidP="00412838">
      <w:r>
        <w:t>EBSB</w:t>
      </w:r>
      <w:r w:rsidRPr="00776698">
        <w:t xml:space="preserve"> </w:t>
      </w:r>
      <w:r>
        <w:t xml:space="preserve">is a leader in making </w:t>
      </w:r>
      <w:r w:rsidRPr="00776698">
        <w:t>community developmen</w:t>
      </w:r>
      <w:r>
        <w:t xml:space="preserve">t loans.  The bank originated </w:t>
      </w:r>
      <w:r w:rsidR="00BF0593">
        <w:t>108</w:t>
      </w:r>
      <w:r w:rsidR="00BF0593" w:rsidRPr="00776698">
        <w:t xml:space="preserve"> </w:t>
      </w:r>
      <w:r w:rsidRPr="00776698">
        <w:t>community development loans, totaling approximately $</w:t>
      </w:r>
      <w:r w:rsidR="00BF0593">
        <w:t>271.1</w:t>
      </w:r>
      <w:r w:rsidR="00EC0F7D">
        <w:t xml:space="preserve"> million</w:t>
      </w:r>
      <w:r w:rsidRPr="00776698">
        <w:t xml:space="preserve"> during the evaluation period.  </w:t>
      </w:r>
      <w:r>
        <w:t xml:space="preserve">This is a significant increase from the previous </w:t>
      </w:r>
      <w:r w:rsidR="00A825D7">
        <w:t>evaluation</w:t>
      </w:r>
      <w:r>
        <w:t>, wh</w:t>
      </w:r>
      <w:r w:rsidR="00EC0F7D">
        <w:t>en</w:t>
      </w:r>
      <w:r>
        <w:t xml:space="preserve"> the bank originated 81 loans totaling $169.0 million.  Current activity level represents 4.</w:t>
      </w:r>
      <w:r w:rsidR="00BF0593">
        <w:t xml:space="preserve">6 </w:t>
      </w:r>
      <w:r>
        <w:t xml:space="preserve">percent of average total assets and </w:t>
      </w:r>
      <w:r w:rsidR="00BF0593">
        <w:t>5.1</w:t>
      </w:r>
      <w:r>
        <w:t xml:space="preserve"> percent of average total loans.  </w:t>
      </w:r>
    </w:p>
    <w:p w14:paraId="516B85E7" w14:textId="77777777" w:rsidR="00412838" w:rsidRDefault="00412838" w:rsidP="00412838"/>
    <w:p w14:paraId="24FCD5CC" w14:textId="37FF5170" w:rsidR="00E27AAD" w:rsidRDefault="00412838" w:rsidP="00E27AAD">
      <w:r>
        <w:t>Examiners determined that the bank met the overall needs</w:t>
      </w:r>
      <w:r w:rsidR="0083256A">
        <w:t xml:space="preserve"> of the assessment area</w:t>
      </w:r>
      <w:r>
        <w:t xml:space="preserve">. </w:t>
      </w:r>
      <w:r w:rsidR="00776E68">
        <w:t xml:space="preserve"> </w:t>
      </w:r>
      <w:r>
        <w:t>Therefore, examiners counted community deve</w:t>
      </w:r>
      <w:r w:rsidR="0083256A">
        <w:t>lopment loan made outside the assessment area</w:t>
      </w:r>
      <w:r>
        <w:t xml:space="preserve">.  Of the </w:t>
      </w:r>
      <w:r w:rsidR="00EF7310">
        <w:t xml:space="preserve">108 </w:t>
      </w:r>
      <w:r>
        <w:t xml:space="preserve">community development loans, the bank made </w:t>
      </w:r>
      <w:r w:rsidR="00BF0593">
        <w:t xml:space="preserve">81 </w:t>
      </w:r>
      <w:r>
        <w:t>loans, totaling $</w:t>
      </w:r>
      <w:r w:rsidR="00BF0593">
        <w:t>226.</w:t>
      </w:r>
      <w:r w:rsidR="008C541F">
        <w:t>4</w:t>
      </w:r>
      <w:r>
        <w:t xml:space="preserve"> million inside the </w:t>
      </w:r>
      <w:r w:rsidR="00776E68">
        <w:lastRenderedPageBreak/>
        <w:t>assessment area</w:t>
      </w:r>
      <w:r>
        <w:t xml:space="preserve"> and </w:t>
      </w:r>
      <w:r w:rsidR="00BF0593">
        <w:t xml:space="preserve">27 </w:t>
      </w:r>
      <w:r>
        <w:t>community development loans, totaling $</w:t>
      </w:r>
      <w:r w:rsidR="00BF0593">
        <w:t>44.7</w:t>
      </w:r>
      <w:r>
        <w:t xml:space="preserve"> million outside the </w:t>
      </w:r>
      <w:r w:rsidR="0083256A">
        <w:t>assessment area</w:t>
      </w:r>
      <w:r>
        <w:t>.</w:t>
      </w:r>
      <w:r w:rsidR="0083256A">
        <w:t xml:space="preserve">  </w:t>
      </w:r>
      <w:r w:rsidR="00E27AAD">
        <w:t xml:space="preserve">The overall total also includes 12 PPP loans for $26.1 million.  </w:t>
      </w:r>
    </w:p>
    <w:p w14:paraId="12A2B5A6" w14:textId="404C7401" w:rsidR="00412838" w:rsidRDefault="00D1337A" w:rsidP="00412838">
      <w:r>
        <w:t>The majority of community development loans, 8</w:t>
      </w:r>
      <w:r w:rsidR="00BF0593">
        <w:t>5</w:t>
      </w:r>
      <w:r>
        <w:t xml:space="preserve"> totaling approximately $</w:t>
      </w:r>
      <w:r w:rsidR="00BF0593">
        <w:t>199.3</w:t>
      </w:r>
      <w:r>
        <w:t xml:space="preserve"> million, supported affordable housing, </w:t>
      </w:r>
      <w:r w:rsidR="00F94FA1">
        <w:t xml:space="preserve">which specifically addressed the </w:t>
      </w:r>
      <w:r w:rsidR="00C062C4">
        <w:t xml:space="preserve">assessment area’s </w:t>
      </w:r>
      <w:r w:rsidR="00F94FA1">
        <w:t xml:space="preserve">primary credit need as identified by the community contact.  </w:t>
      </w:r>
    </w:p>
    <w:p w14:paraId="071F602C" w14:textId="77777777" w:rsidR="00E27AAD" w:rsidRDefault="00E27AAD" w:rsidP="00412838">
      <w:pPr>
        <w:rPr>
          <w:u w:val="single"/>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622"/>
        <w:gridCol w:w="894"/>
        <w:gridCol w:w="616"/>
        <w:gridCol w:w="914"/>
        <w:gridCol w:w="616"/>
        <w:gridCol w:w="914"/>
        <w:gridCol w:w="671"/>
        <w:gridCol w:w="949"/>
        <w:gridCol w:w="659"/>
        <w:gridCol w:w="900"/>
      </w:tblGrid>
      <w:tr w:rsidR="003719DD" w:rsidRPr="00C169CD" w14:paraId="320CA549" w14:textId="77777777" w:rsidTr="003719DD">
        <w:trPr>
          <w:trHeight w:val="360"/>
          <w:tblHeader/>
          <w:jc w:val="center"/>
        </w:trPr>
        <w:tc>
          <w:tcPr>
            <w:tcW w:w="9820" w:type="dxa"/>
            <w:gridSpan w:val="11"/>
            <w:shd w:val="clear" w:color="auto" w:fill="auto"/>
            <w:vAlign w:val="center"/>
          </w:tcPr>
          <w:p w14:paraId="59B93AAB" w14:textId="77777777" w:rsidR="00C169CD" w:rsidRPr="00C169CD" w:rsidRDefault="00C169CD" w:rsidP="003719DD">
            <w:pPr>
              <w:keepNext/>
              <w:widowControl w:val="0"/>
              <w:jc w:val="center"/>
              <w:rPr>
                <w:b/>
                <w:sz w:val="20"/>
                <w:szCs w:val="20"/>
              </w:rPr>
            </w:pPr>
            <w:r w:rsidRPr="00C169CD">
              <w:rPr>
                <w:b/>
                <w:sz w:val="20"/>
                <w:szCs w:val="20"/>
              </w:rPr>
              <w:t>Community Development Lending</w:t>
            </w:r>
          </w:p>
        </w:tc>
      </w:tr>
      <w:tr w:rsidR="003719DD" w:rsidRPr="00C169CD" w14:paraId="4FDAE298" w14:textId="77777777" w:rsidTr="00594F85">
        <w:trPr>
          <w:trHeight w:val="288"/>
          <w:jc w:val="center"/>
        </w:trPr>
        <w:tc>
          <w:tcPr>
            <w:tcW w:w="2065" w:type="dxa"/>
            <w:vMerge w:val="restart"/>
            <w:shd w:val="clear" w:color="auto" w:fill="auto"/>
            <w:vAlign w:val="center"/>
          </w:tcPr>
          <w:p w14:paraId="2A2DC254" w14:textId="77777777" w:rsidR="00C169CD" w:rsidRPr="00C169CD" w:rsidRDefault="00C169CD" w:rsidP="003719DD">
            <w:pPr>
              <w:keepNext/>
              <w:widowControl w:val="0"/>
              <w:rPr>
                <w:b/>
                <w:sz w:val="20"/>
                <w:szCs w:val="20"/>
              </w:rPr>
            </w:pPr>
            <w:r w:rsidRPr="00C169CD">
              <w:rPr>
                <w:b/>
                <w:sz w:val="20"/>
                <w:szCs w:val="20"/>
              </w:rPr>
              <w:t>Activity Year</w:t>
            </w:r>
          </w:p>
        </w:tc>
        <w:tc>
          <w:tcPr>
            <w:tcW w:w="1516" w:type="dxa"/>
            <w:gridSpan w:val="2"/>
            <w:shd w:val="clear" w:color="auto" w:fill="auto"/>
            <w:vAlign w:val="center"/>
          </w:tcPr>
          <w:p w14:paraId="3884DE11" w14:textId="77777777" w:rsidR="00C169CD" w:rsidRPr="00C169CD" w:rsidRDefault="00C169CD" w:rsidP="003719DD">
            <w:pPr>
              <w:keepNext/>
              <w:widowControl w:val="0"/>
              <w:jc w:val="center"/>
              <w:rPr>
                <w:b/>
                <w:sz w:val="20"/>
                <w:szCs w:val="20"/>
              </w:rPr>
            </w:pPr>
            <w:r w:rsidRPr="00C169CD">
              <w:rPr>
                <w:b/>
                <w:sz w:val="20"/>
                <w:szCs w:val="20"/>
              </w:rPr>
              <w:t>Affordable Housing</w:t>
            </w:r>
          </w:p>
        </w:tc>
        <w:tc>
          <w:tcPr>
            <w:tcW w:w="1530" w:type="dxa"/>
            <w:gridSpan w:val="2"/>
            <w:shd w:val="clear" w:color="auto" w:fill="auto"/>
            <w:vAlign w:val="center"/>
          </w:tcPr>
          <w:p w14:paraId="5C480BF0" w14:textId="77777777" w:rsidR="00C169CD" w:rsidRPr="00C169CD" w:rsidRDefault="00C169CD" w:rsidP="003719DD">
            <w:pPr>
              <w:keepNext/>
              <w:widowControl w:val="0"/>
              <w:jc w:val="center"/>
              <w:rPr>
                <w:b/>
                <w:sz w:val="20"/>
                <w:szCs w:val="20"/>
              </w:rPr>
            </w:pPr>
            <w:r w:rsidRPr="00C169CD">
              <w:rPr>
                <w:b/>
                <w:sz w:val="20"/>
                <w:szCs w:val="20"/>
              </w:rPr>
              <w:t>Community Services</w:t>
            </w:r>
          </w:p>
        </w:tc>
        <w:tc>
          <w:tcPr>
            <w:tcW w:w="1530" w:type="dxa"/>
            <w:gridSpan w:val="2"/>
            <w:shd w:val="clear" w:color="auto" w:fill="auto"/>
            <w:vAlign w:val="center"/>
          </w:tcPr>
          <w:p w14:paraId="52FEE741" w14:textId="77777777" w:rsidR="00C169CD" w:rsidRPr="00C169CD" w:rsidRDefault="00C169CD" w:rsidP="003719DD">
            <w:pPr>
              <w:keepNext/>
              <w:widowControl w:val="0"/>
              <w:jc w:val="center"/>
              <w:rPr>
                <w:b/>
                <w:sz w:val="20"/>
                <w:szCs w:val="20"/>
              </w:rPr>
            </w:pPr>
            <w:r w:rsidRPr="00C169CD">
              <w:rPr>
                <w:b/>
                <w:sz w:val="20"/>
                <w:szCs w:val="20"/>
              </w:rPr>
              <w:t>Economic Development</w:t>
            </w:r>
          </w:p>
        </w:tc>
        <w:tc>
          <w:tcPr>
            <w:tcW w:w="1620" w:type="dxa"/>
            <w:gridSpan w:val="2"/>
            <w:shd w:val="clear" w:color="auto" w:fill="auto"/>
            <w:vAlign w:val="center"/>
          </w:tcPr>
          <w:p w14:paraId="17FA8620" w14:textId="77777777" w:rsidR="00C169CD" w:rsidRPr="00C169CD" w:rsidRDefault="00C169CD" w:rsidP="003719DD">
            <w:pPr>
              <w:keepNext/>
              <w:widowControl w:val="0"/>
              <w:jc w:val="center"/>
              <w:rPr>
                <w:b/>
                <w:sz w:val="20"/>
                <w:szCs w:val="20"/>
              </w:rPr>
            </w:pPr>
            <w:r w:rsidRPr="00C169CD">
              <w:rPr>
                <w:b/>
                <w:sz w:val="20"/>
                <w:szCs w:val="20"/>
              </w:rPr>
              <w:t>Revitalize or Stabilize</w:t>
            </w:r>
          </w:p>
        </w:tc>
        <w:tc>
          <w:tcPr>
            <w:tcW w:w="1559" w:type="dxa"/>
            <w:gridSpan w:val="2"/>
            <w:shd w:val="clear" w:color="auto" w:fill="auto"/>
            <w:vAlign w:val="center"/>
          </w:tcPr>
          <w:p w14:paraId="00F8477B" w14:textId="77777777" w:rsidR="00C169CD" w:rsidRPr="00C169CD" w:rsidRDefault="00C169CD" w:rsidP="003719DD">
            <w:pPr>
              <w:keepNext/>
              <w:widowControl w:val="0"/>
              <w:jc w:val="center"/>
              <w:rPr>
                <w:b/>
                <w:sz w:val="20"/>
                <w:szCs w:val="20"/>
              </w:rPr>
            </w:pPr>
            <w:r w:rsidRPr="00C169CD">
              <w:rPr>
                <w:b/>
                <w:sz w:val="20"/>
                <w:szCs w:val="20"/>
              </w:rPr>
              <w:t>Totals</w:t>
            </w:r>
          </w:p>
        </w:tc>
      </w:tr>
      <w:tr w:rsidR="003719DD" w:rsidRPr="00C169CD" w14:paraId="03B905AB" w14:textId="77777777" w:rsidTr="00594F85">
        <w:trPr>
          <w:trHeight w:val="288"/>
          <w:jc w:val="center"/>
        </w:trPr>
        <w:tc>
          <w:tcPr>
            <w:tcW w:w="2065" w:type="dxa"/>
            <w:vMerge/>
            <w:shd w:val="clear" w:color="auto" w:fill="auto"/>
          </w:tcPr>
          <w:p w14:paraId="1B33C1CE" w14:textId="77777777" w:rsidR="00C169CD" w:rsidRPr="00C169CD" w:rsidRDefault="00C169CD" w:rsidP="003719DD">
            <w:pPr>
              <w:keepNext/>
              <w:widowControl w:val="0"/>
              <w:rPr>
                <w:sz w:val="20"/>
                <w:szCs w:val="20"/>
                <w:highlight w:val="green"/>
              </w:rPr>
            </w:pPr>
          </w:p>
        </w:tc>
        <w:tc>
          <w:tcPr>
            <w:tcW w:w="622" w:type="dxa"/>
            <w:shd w:val="clear" w:color="auto" w:fill="auto"/>
            <w:vAlign w:val="center"/>
          </w:tcPr>
          <w:p w14:paraId="2B9EBFF3" w14:textId="77777777" w:rsidR="00C169CD" w:rsidRPr="00C169CD" w:rsidRDefault="00C169CD" w:rsidP="003719DD">
            <w:pPr>
              <w:keepNext/>
              <w:widowControl w:val="0"/>
              <w:jc w:val="center"/>
              <w:rPr>
                <w:b/>
                <w:sz w:val="20"/>
                <w:szCs w:val="20"/>
              </w:rPr>
            </w:pPr>
            <w:r w:rsidRPr="00C169CD">
              <w:rPr>
                <w:b/>
                <w:sz w:val="20"/>
                <w:szCs w:val="20"/>
              </w:rPr>
              <w:t>#</w:t>
            </w:r>
          </w:p>
        </w:tc>
        <w:tc>
          <w:tcPr>
            <w:tcW w:w="894" w:type="dxa"/>
            <w:shd w:val="clear" w:color="auto" w:fill="auto"/>
            <w:vAlign w:val="center"/>
          </w:tcPr>
          <w:p w14:paraId="04368507" w14:textId="77777777" w:rsidR="00C169CD" w:rsidRPr="00C169CD" w:rsidRDefault="00C169CD" w:rsidP="003719DD">
            <w:pPr>
              <w:keepNext/>
              <w:widowControl w:val="0"/>
              <w:jc w:val="center"/>
              <w:rPr>
                <w:b/>
                <w:sz w:val="20"/>
                <w:szCs w:val="20"/>
              </w:rPr>
            </w:pPr>
            <w:r w:rsidRPr="00C169CD">
              <w:rPr>
                <w:b/>
                <w:sz w:val="20"/>
                <w:szCs w:val="20"/>
              </w:rPr>
              <w:t>$(000s)</w:t>
            </w:r>
          </w:p>
        </w:tc>
        <w:tc>
          <w:tcPr>
            <w:tcW w:w="616" w:type="dxa"/>
            <w:shd w:val="clear" w:color="auto" w:fill="auto"/>
            <w:vAlign w:val="center"/>
          </w:tcPr>
          <w:p w14:paraId="3A9A166A" w14:textId="77777777" w:rsidR="00C169CD" w:rsidRPr="00C169CD" w:rsidRDefault="00C169CD" w:rsidP="003719DD">
            <w:pPr>
              <w:keepNext/>
              <w:widowControl w:val="0"/>
              <w:jc w:val="center"/>
              <w:rPr>
                <w:b/>
                <w:sz w:val="20"/>
                <w:szCs w:val="20"/>
              </w:rPr>
            </w:pPr>
            <w:r w:rsidRPr="00C169CD">
              <w:rPr>
                <w:b/>
                <w:sz w:val="20"/>
                <w:szCs w:val="20"/>
              </w:rPr>
              <w:t>#</w:t>
            </w:r>
          </w:p>
        </w:tc>
        <w:tc>
          <w:tcPr>
            <w:tcW w:w="914" w:type="dxa"/>
            <w:shd w:val="clear" w:color="auto" w:fill="auto"/>
            <w:vAlign w:val="center"/>
          </w:tcPr>
          <w:p w14:paraId="445AB52D" w14:textId="77777777" w:rsidR="00C169CD" w:rsidRPr="00C169CD" w:rsidRDefault="00C169CD" w:rsidP="003719DD">
            <w:pPr>
              <w:keepNext/>
              <w:widowControl w:val="0"/>
              <w:jc w:val="center"/>
              <w:rPr>
                <w:b/>
                <w:sz w:val="20"/>
                <w:szCs w:val="20"/>
              </w:rPr>
            </w:pPr>
            <w:r w:rsidRPr="00C169CD">
              <w:rPr>
                <w:b/>
                <w:sz w:val="20"/>
                <w:szCs w:val="20"/>
              </w:rPr>
              <w:t>$(000s)</w:t>
            </w:r>
          </w:p>
        </w:tc>
        <w:tc>
          <w:tcPr>
            <w:tcW w:w="616" w:type="dxa"/>
            <w:shd w:val="clear" w:color="auto" w:fill="auto"/>
            <w:vAlign w:val="center"/>
          </w:tcPr>
          <w:p w14:paraId="66E562ED" w14:textId="77777777" w:rsidR="00C169CD" w:rsidRPr="00C169CD" w:rsidRDefault="00C169CD" w:rsidP="003719DD">
            <w:pPr>
              <w:keepNext/>
              <w:widowControl w:val="0"/>
              <w:jc w:val="center"/>
              <w:rPr>
                <w:b/>
                <w:sz w:val="20"/>
                <w:szCs w:val="20"/>
              </w:rPr>
            </w:pPr>
            <w:r w:rsidRPr="00C169CD">
              <w:rPr>
                <w:b/>
                <w:sz w:val="20"/>
                <w:szCs w:val="20"/>
              </w:rPr>
              <w:t>#</w:t>
            </w:r>
          </w:p>
        </w:tc>
        <w:tc>
          <w:tcPr>
            <w:tcW w:w="914" w:type="dxa"/>
            <w:shd w:val="clear" w:color="auto" w:fill="auto"/>
            <w:vAlign w:val="center"/>
          </w:tcPr>
          <w:p w14:paraId="0911074D" w14:textId="77777777" w:rsidR="00C169CD" w:rsidRPr="00C169CD" w:rsidRDefault="00C169CD" w:rsidP="003719DD">
            <w:pPr>
              <w:keepNext/>
              <w:widowControl w:val="0"/>
              <w:jc w:val="center"/>
              <w:rPr>
                <w:b/>
                <w:sz w:val="20"/>
                <w:szCs w:val="20"/>
              </w:rPr>
            </w:pPr>
            <w:r w:rsidRPr="00C169CD">
              <w:rPr>
                <w:b/>
                <w:sz w:val="20"/>
                <w:szCs w:val="20"/>
              </w:rPr>
              <w:t>$(000s)</w:t>
            </w:r>
          </w:p>
        </w:tc>
        <w:tc>
          <w:tcPr>
            <w:tcW w:w="671" w:type="dxa"/>
            <w:shd w:val="clear" w:color="auto" w:fill="auto"/>
            <w:vAlign w:val="center"/>
          </w:tcPr>
          <w:p w14:paraId="6D51C958" w14:textId="77777777" w:rsidR="00C169CD" w:rsidRPr="00C169CD" w:rsidRDefault="00C169CD" w:rsidP="003719DD">
            <w:pPr>
              <w:keepNext/>
              <w:widowControl w:val="0"/>
              <w:jc w:val="center"/>
              <w:rPr>
                <w:b/>
                <w:sz w:val="20"/>
                <w:szCs w:val="20"/>
              </w:rPr>
            </w:pPr>
            <w:r w:rsidRPr="00C169CD">
              <w:rPr>
                <w:b/>
                <w:sz w:val="20"/>
                <w:szCs w:val="20"/>
              </w:rPr>
              <w:t>#</w:t>
            </w:r>
          </w:p>
        </w:tc>
        <w:tc>
          <w:tcPr>
            <w:tcW w:w="949" w:type="dxa"/>
            <w:shd w:val="clear" w:color="auto" w:fill="auto"/>
            <w:vAlign w:val="center"/>
          </w:tcPr>
          <w:p w14:paraId="75A633E5" w14:textId="77777777" w:rsidR="00C169CD" w:rsidRPr="00C169CD" w:rsidRDefault="00C169CD" w:rsidP="003719DD">
            <w:pPr>
              <w:keepNext/>
              <w:widowControl w:val="0"/>
              <w:jc w:val="center"/>
              <w:rPr>
                <w:b/>
                <w:sz w:val="20"/>
                <w:szCs w:val="20"/>
              </w:rPr>
            </w:pPr>
            <w:r w:rsidRPr="00C169CD">
              <w:rPr>
                <w:b/>
                <w:sz w:val="20"/>
                <w:szCs w:val="20"/>
              </w:rPr>
              <w:t>$(000s)</w:t>
            </w:r>
          </w:p>
        </w:tc>
        <w:tc>
          <w:tcPr>
            <w:tcW w:w="659" w:type="dxa"/>
            <w:shd w:val="clear" w:color="auto" w:fill="auto"/>
            <w:vAlign w:val="center"/>
          </w:tcPr>
          <w:p w14:paraId="0421CD02" w14:textId="77777777" w:rsidR="00C169CD" w:rsidRPr="00C169CD" w:rsidRDefault="00C169CD" w:rsidP="003719DD">
            <w:pPr>
              <w:keepNext/>
              <w:widowControl w:val="0"/>
              <w:jc w:val="center"/>
              <w:rPr>
                <w:b/>
                <w:sz w:val="20"/>
                <w:szCs w:val="20"/>
              </w:rPr>
            </w:pPr>
            <w:r w:rsidRPr="00C169CD">
              <w:rPr>
                <w:b/>
                <w:sz w:val="20"/>
                <w:szCs w:val="20"/>
              </w:rPr>
              <w:t>#</w:t>
            </w:r>
          </w:p>
        </w:tc>
        <w:tc>
          <w:tcPr>
            <w:tcW w:w="900" w:type="dxa"/>
            <w:shd w:val="clear" w:color="auto" w:fill="auto"/>
            <w:vAlign w:val="center"/>
          </w:tcPr>
          <w:p w14:paraId="1FC28019" w14:textId="77777777" w:rsidR="00C169CD" w:rsidRPr="00C169CD" w:rsidRDefault="00C169CD" w:rsidP="003719DD">
            <w:pPr>
              <w:keepNext/>
              <w:widowControl w:val="0"/>
              <w:jc w:val="center"/>
              <w:rPr>
                <w:b/>
                <w:sz w:val="20"/>
                <w:szCs w:val="20"/>
              </w:rPr>
            </w:pPr>
            <w:r w:rsidRPr="00C169CD">
              <w:rPr>
                <w:b/>
                <w:sz w:val="20"/>
                <w:szCs w:val="20"/>
              </w:rPr>
              <w:t>$(000s)</w:t>
            </w:r>
          </w:p>
        </w:tc>
      </w:tr>
      <w:tr w:rsidR="003719DD" w:rsidRPr="00C169CD" w14:paraId="6FF38F98" w14:textId="77777777" w:rsidTr="00594F85">
        <w:trPr>
          <w:trHeight w:val="288"/>
          <w:jc w:val="center"/>
        </w:trPr>
        <w:tc>
          <w:tcPr>
            <w:tcW w:w="2065" w:type="dxa"/>
            <w:shd w:val="clear" w:color="auto" w:fill="auto"/>
            <w:vAlign w:val="center"/>
          </w:tcPr>
          <w:p w14:paraId="6C1B28A4" w14:textId="7036B38B" w:rsidR="00C169CD" w:rsidRPr="00C169CD" w:rsidRDefault="00594F85" w:rsidP="00B1616C">
            <w:pPr>
              <w:keepNext/>
              <w:widowControl w:val="0"/>
              <w:rPr>
                <w:sz w:val="20"/>
                <w:szCs w:val="20"/>
              </w:rPr>
            </w:pPr>
            <w:r w:rsidRPr="00340E78">
              <w:rPr>
                <w:sz w:val="20"/>
                <w:szCs w:val="20"/>
              </w:rPr>
              <w:t>2017</w:t>
            </w:r>
          </w:p>
        </w:tc>
        <w:tc>
          <w:tcPr>
            <w:tcW w:w="622" w:type="dxa"/>
            <w:shd w:val="clear" w:color="auto" w:fill="auto"/>
            <w:vAlign w:val="center"/>
          </w:tcPr>
          <w:p w14:paraId="68F30C45" w14:textId="77777777" w:rsidR="00C169CD" w:rsidRPr="00C169CD" w:rsidRDefault="00851CFA" w:rsidP="003719DD">
            <w:pPr>
              <w:keepNext/>
              <w:widowControl w:val="0"/>
              <w:jc w:val="center"/>
              <w:rPr>
                <w:sz w:val="20"/>
                <w:szCs w:val="20"/>
              </w:rPr>
            </w:pPr>
            <w:r>
              <w:rPr>
                <w:sz w:val="20"/>
                <w:szCs w:val="20"/>
              </w:rPr>
              <w:t>17</w:t>
            </w:r>
          </w:p>
        </w:tc>
        <w:tc>
          <w:tcPr>
            <w:tcW w:w="894" w:type="dxa"/>
            <w:shd w:val="clear" w:color="auto" w:fill="auto"/>
            <w:vAlign w:val="center"/>
          </w:tcPr>
          <w:p w14:paraId="4F2A9419" w14:textId="77777777" w:rsidR="00C169CD" w:rsidRPr="00C169CD" w:rsidRDefault="00851CFA" w:rsidP="003719DD">
            <w:pPr>
              <w:keepNext/>
              <w:widowControl w:val="0"/>
              <w:jc w:val="center"/>
              <w:rPr>
                <w:sz w:val="20"/>
                <w:szCs w:val="20"/>
              </w:rPr>
            </w:pPr>
            <w:r>
              <w:rPr>
                <w:sz w:val="20"/>
                <w:szCs w:val="20"/>
              </w:rPr>
              <w:t>36,383</w:t>
            </w:r>
          </w:p>
        </w:tc>
        <w:tc>
          <w:tcPr>
            <w:tcW w:w="616" w:type="dxa"/>
            <w:shd w:val="clear" w:color="auto" w:fill="auto"/>
            <w:vAlign w:val="center"/>
          </w:tcPr>
          <w:p w14:paraId="2F80658A" w14:textId="77777777" w:rsidR="00C169CD" w:rsidRPr="00C169CD" w:rsidRDefault="00851CFA" w:rsidP="003719DD">
            <w:pPr>
              <w:keepNext/>
              <w:widowControl w:val="0"/>
              <w:jc w:val="center"/>
              <w:rPr>
                <w:sz w:val="20"/>
                <w:szCs w:val="20"/>
              </w:rPr>
            </w:pPr>
            <w:r>
              <w:rPr>
                <w:sz w:val="20"/>
                <w:szCs w:val="20"/>
              </w:rPr>
              <w:t>2</w:t>
            </w:r>
          </w:p>
        </w:tc>
        <w:tc>
          <w:tcPr>
            <w:tcW w:w="914" w:type="dxa"/>
            <w:shd w:val="clear" w:color="auto" w:fill="auto"/>
            <w:vAlign w:val="center"/>
          </w:tcPr>
          <w:p w14:paraId="6BC42C88" w14:textId="77777777" w:rsidR="00C169CD" w:rsidRPr="00C169CD" w:rsidRDefault="00851CFA" w:rsidP="003719DD">
            <w:pPr>
              <w:keepNext/>
              <w:widowControl w:val="0"/>
              <w:jc w:val="center"/>
              <w:rPr>
                <w:sz w:val="20"/>
                <w:szCs w:val="20"/>
              </w:rPr>
            </w:pPr>
            <w:r>
              <w:rPr>
                <w:sz w:val="20"/>
                <w:szCs w:val="20"/>
              </w:rPr>
              <w:t>932</w:t>
            </w:r>
          </w:p>
        </w:tc>
        <w:tc>
          <w:tcPr>
            <w:tcW w:w="616" w:type="dxa"/>
            <w:shd w:val="clear" w:color="auto" w:fill="auto"/>
            <w:vAlign w:val="center"/>
          </w:tcPr>
          <w:p w14:paraId="5FED4F98" w14:textId="77777777" w:rsidR="00C169CD" w:rsidRPr="00C169CD" w:rsidRDefault="00851CFA" w:rsidP="003719DD">
            <w:pPr>
              <w:keepNext/>
              <w:widowControl w:val="0"/>
              <w:jc w:val="center"/>
              <w:rPr>
                <w:sz w:val="20"/>
                <w:szCs w:val="20"/>
              </w:rPr>
            </w:pPr>
            <w:r>
              <w:rPr>
                <w:sz w:val="20"/>
                <w:szCs w:val="20"/>
              </w:rPr>
              <w:t>0</w:t>
            </w:r>
          </w:p>
        </w:tc>
        <w:tc>
          <w:tcPr>
            <w:tcW w:w="914" w:type="dxa"/>
            <w:shd w:val="clear" w:color="auto" w:fill="auto"/>
            <w:vAlign w:val="center"/>
          </w:tcPr>
          <w:p w14:paraId="2E137387" w14:textId="77777777" w:rsidR="00C169CD" w:rsidRPr="00C169CD" w:rsidRDefault="00851CFA" w:rsidP="003719DD">
            <w:pPr>
              <w:keepNext/>
              <w:widowControl w:val="0"/>
              <w:jc w:val="center"/>
              <w:rPr>
                <w:sz w:val="20"/>
                <w:szCs w:val="20"/>
              </w:rPr>
            </w:pPr>
            <w:r>
              <w:rPr>
                <w:sz w:val="20"/>
                <w:szCs w:val="20"/>
              </w:rPr>
              <w:t>0</w:t>
            </w:r>
          </w:p>
        </w:tc>
        <w:tc>
          <w:tcPr>
            <w:tcW w:w="671" w:type="dxa"/>
            <w:shd w:val="clear" w:color="auto" w:fill="auto"/>
            <w:vAlign w:val="center"/>
          </w:tcPr>
          <w:p w14:paraId="3B43DECE" w14:textId="77777777" w:rsidR="00C169CD" w:rsidRPr="00C169CD" w:rsidRDefault="00851CFA" w:rsidP="003719DD">
            <w:pPr>
              <w:keepNext/>
              <w:widowControl w:val="0"/>
              <w:jc w:val="center"/>
              <w:rPr>
                <w:sz w:val="20"/>
                <w:szCs w:val="20"/>
              </w:rPr>
            </w:pPr>
            <w:r>
              <w:rPr>
                <w:sz w:val="20"/>
                <w:szCs w:val="20"/>
              </w:rPr>
              <w:t>1</w:t>
            </w:r>
          </w:p>
        </w:tc>
        <w:tc>
          <w:tcPr>
            <w:tcW w:w="949" w:type="dxa"/>
            <w:shd w:val="clear" w:color="auto" w:fill="auto"/>
            <w:vAlign w:val="center"/>
          </w:tcPr>
          <w:p w14:paraId="35C759BB" w14:textId="77777777" w:rsidR="00C169CD" w:rsidRPr="00C169CD" w:rsidRDefault="00851CFA" w:rsidP="003719DD">
            <w:pPr>
              <w:keepNext/>
              <w:widowControl w:val="0"/>
              <w:jc w:val="center"/>
              <w:rPr>
                <w:sz w:val="20"/>
                <w:szCs w:val="20"/>
              </w:rPr>
            </w:pPr>
            <w:r>
              <w:rPr>
                <w:sz w:val="20"/>
                <w:szCs w:val="20"/>
              </w:rPr>
              <w:t>28,000</w:t>
            </w:r>
          </w:p>
        </w:tc>
        <w:tc>
          <w:tcPr>
            <w:tcW w:w="659" w:type="dxa"/>
            <w:shd w:val="clear" w:color="auto" w:fill="auto"/>
            <w:vAlign w:val="center"/>
          </w:tcPr>
          <w:p w14:paraId="3BCA2D0E" w14:textId="77777777" w:rsidR="00C169CD" w:rsidRPr="00C169CD" w:rsidRDefault="00851CFA" w:rsidP="003719DD">
            <w:pPr>
              <w:keepNext/>
              <w:widowControl w:val="0"/>
              <w:jc w:val="center"/>
              <w:rPr>
                <w:b/>
                <w:sz w:val="20"/>
                <w:szCs w:val="20"/>
              </w:rPr>
            </w:pPr>
            <w:r>
              <w:rPr>
                <w:b/>
                <w:sz w:val="20"/>
                <w:szCs w:val="20"/>
              </w:rPr>
              <w:t>20</w:t>
            </w:r>
          </w:p>
        </w:tc>
        <w:tc>
          <w:tcPr>
            <w:tcW w:w="900" w:type="dxa"/>
            <w:shd w:val="clear" w:color="auto" w:fill="auto"/>
            <w:vAlign w:val="center"/>
          </w:tcPr>
          <w:p w14:paraId="562F4EEC" w14:textId="77777777" w:rsidR="00C169CD" w:rsidRPr="00C169CD" w:rsidRDefault="00851CFA" w:rsidP="003719DD">
            <w:pPr>
              <w:keepNext/>
              <w:widowControl w:val="0"/>
              <w:jc w:val="center"/>
              <w:rPr>
                <w:b/>
                <w:sz w:val="20"/>
                <w:szCs w:val="20"/>
              </w:rPr>
            </w:pPr>
            <w:r>
              <w:rPr>
                <w:b/>
                <w:sz w:val="20"/>
                <w:szCs w:val="20"/>
              </w:rPr>
              <w:t>65,315</w:t>
            </w:r>
          </w:p>
        </w:tc>
      </w:tr>
      <w:tr w:rsidR="003719DD" w:rsidRPr="00C169CD" w14:paraId="1C310421" w14:textId="77777777" w:rsidTr="00594F85">
        <w:trPr>
          <w:trHeight w:val="288"/>
          <w:jc w:val="center"/>
        </w:trPr>
        <w:tc>
          <w:tcPr>
            <w:tcW w:w="2065" w:type="dxa"/>
            <w:shd w:val="clear" w:color="auto" w:fill="auto"/>
            <w:vAlign w:val="center"/>
          </w:tcPr>
          <w:p w14:paraId="6DD8AE94" w14:textId="77777777" w:rsidR="00C169CD" w:rsidRPr="00C169CD" w:rsidRDefault="00C169CD" w:rsidP="003719DD">
            <w:pPr>
              <w:keepNext/>
              <w:widowControl w:val="0"/>
              <w:rPr>
                <w:sz w:val="20"/>
                <w:szCs w:val="20"/>
              </w:rPr>
            </w:pPr>
            <w:r w:rsidRPr="003719DD">
              <w:rPr>
                <w:sz w:val="20"/>
                <w:szCs w:val="20"/>
              </w:rPr>
              <w:t>2018</w:t>
            </w:r>
          </w:p>
        </w:tc>
        <w:tc>
          <w:tcPr>
            <w:tcW w:w="622" w:type="dxa"/>
            <w:shd w:val="clear" w:color="auto" w:fill="auto"/>
            <w:vAlign w:val="center"/>
          </w:tcPr>
          <w:p w14:paraId="2CAE676B" w14:textId="77777777" w:rsidR="00C169CD" w:rsidRPr="00C169CD" w:rsidRDefault="00851CFA" w:rsidP="003719DD">
            <w:pPr>
              <w:keepNext/>
              <w:widowControl w:val="0"/>
              <w:jc w:val="center"/>
              <w:rPr>
                <w:sz w:val="20"/>
                <w:szCs w:val="20"/>
              </w:rPr>
            </w:pPr>
            <w:r>
              <w:rPr>
                <w:sz w:val="20"/>
                <w:szCs w:val="20"/>
              </w:rPr>
              <w:t>25</w:t>
            </w:r>
          </w:p>
        </w:tc>
        <w:tc>
          <w:tcPr>
            <w:tcW w:w="894" w:type="dxa"/>
            <w:shd w:val="clear" w:color="auto" w:fill="auto"/>
            <w:vAlign w:val="center"/>
          </w:tcPr>
          <w:p w14:paraId="39C22CE4" w14:textId="77777777" w:rsidR="00C169CD" w:rsidRPr="00C169CD" w:rsidRDefault="00851CFA" w:rsidP="003719DD">
            <w:pPr>
              <w:keepNext/>
              <w:widowControl w:val="0"/>
              <w:jc w:val="center"/>
              <w:rPr>
                <w:sz w:val="20"/>
                <w:szCs w:val="20"/>
              </w:rPr>
            </w:pPr>
            <w:r>
              <w:rPr>
                <w:sz w:val="20"/>
                <w:szCs w:val="20"/>
              </w:rPr>
              <w:t>45,441</w:t>
            </w:r>
          </w:p>
        </w:tc>
        <w:tc>
          <w:tcPr>
            <w:tcW w:w="616" w:type="dxa"/>
            <w:shd w:val="clear" w:color="auto" w:fill="auto"/>
            <w:vAlign w:val="center"/>
          </w:tcPr>
          <w:p w14:paraId="6941096E" w14:textId="77777777" w:rsidR="00C169CD" w:rsidRPr="00C169CD" w:rsidRDefault="00851CFA" w:rsidP="003719DD">
            <w:pPr>
              <w:keepNext/>
              <w:widowControl w:val="0"/>
              <w:jc w:val="center"/>
              <w:rPr>
                <w:sz w:val="20"/>
                <w:szCs w:val="20"/>
              </w:rPr>
            </w:pPr>
            <w:r>
              <w:rPr>
                <w:sz w:val="20"/>
                <w:szCs w:val="20"/>
              </w:rPr>
              <w:t>1</w:t>
            </w:r>
          </w:p>
        </w:tc>
        <w:tc>
          <w:tcPr>
            <w:tcW w:w="914" w:type="dxa"/>
            <w:shd w:val="clear" w:color="auto" w:fill="auto"/>
            <w:vAlign w:val="center"/>
          </w:tcPr>
          <w:p w14:paraId="7F13C2A9" w14:textId="77777777" w:rsidR="00C169CD" w:rsidRPr="00C169CD" w:rsidRDefault="00851CFA" w:rsidP="003719DD">
            <w:pPr>
              <w:keepNext/>
              <w:widowControl w:val="0"/>
              <w:jc w:val="center"/>
              <w:rPr>
                <w:sz w:val="20"/>
                <w:szCs w:val="20"/>
              </w:rPr>
            </w:pPr>
            <w:r>
              <w:rPr>
                <w:sz w:val="20"/>
                <w:szCs w:val="20"/>
              </w:rPr>
              <w:t>2,500</w:t>
            </w:r>
          </w:p>
        </w:tc>
        <w:tc>
          <w:tcPr>
            <w:tcW w:w="616" w:type="dxa"/>
            <w:shd w:val="clear" w:color="auto" w:fill="auto"/>
            <w:vAlign w:val="center"/>
          </w:tcPr>
          <w:p w14:paraId="341FB758" w14:textId="77777777" w:rsidR="00C169CD" w:rsidRPr="00C169CD" w:rsidRDefault="00851CFA" w:rsidP="003719DD">
            <w:pPr>
              <w:keepNext/>
              <w:widowControl w:val="0"/>
              <w:jc w:val="center"/>
              <w:rPr>
                <w:sz w:val="20"/>
                <w:szCs w:val="20"/>
              </w:rPr>
            </w:pPr>
            <w:r>
              <w:rPr>
                <w:sz w:val="20"/>
                <w:szCs w:val="20"/>
              </w:rPr>
              <w:t>1</w:t>
            </w:r>
          </w:p>
        </w:tc>
        <w:tc>
          <w:tcPr>
            <w:tcW w:w="914" w:type="dxa"/>
            <w:shd w:val="clear" w:color="auto" w:fill="auto"/>
            <w:vAlign w:val="center"/>
          </w:tcPr>
          <w:p w14:paraId="3FC97ED0" w14:textId="77777777" w:rsidR="00C169CD" w:rsidRPr="00C169CD" w:rsidRDefault="00851CFA" w:rsidP="003719DD">
            <w:pPr>
              <w:keepNext/>
              <w:widowControl w:val="0"/>
              <w:jc w:val="center"/>
              <w:rPr>
                <w:sz w:val="20"/>
                <w:szCs w:val="20"/>
              </w:rPr>
            </w:pPr>
            <w:r>
              <w:rPr>
                <w:sz w:val="20"/>
                <w:szCs w:val="20"/>
              </w:rPr>
              <w:t>50</w:t>
            </w:r>
          </w:p>
        </w:tc>
        <w:tc>
          <w:tcPr>
            <w:tcW w:w="671" w:type="dxa"/>
            <w:shd w:val="clear" w:color="auto" w:fill="auto"/>
            <w:vAlign w:val="center"/>
          </w:tcPr>
          <w:p w14:paraId="3012D538" w14:textId="77777777" w:rsidR="00C169CD" w:rsidRPr="00C169CD" w:rsidRDefault="00851CFA" w:rsidP="003719DD">
            <w:pPr>
              <w:keepNext/>
              <w:widowControl w:val="0"/>
              <w:jc w:val="center"/>
              <w:rPr>
                <w:sz w:val="20"/>
                <w:szCs w:val="20"/>
              </w:rPr>
            </w:pPr>
            <w:r>
              <w:rPr>
                <w:sz w:val="20"/>
                <w:szCs w:val="20"/>
              </w:rPr>
              <w:t>2</w:t>
            </w:r>
          </w:p>
        </w:tc>
        <w:tc>
          <w:tcPr>
            <w:tcW w:w="949" w:type="dxa"/>
            <w:shd w:val="clear" w:color="auto" w:fill="auto"/>
            <w:vAlign w:val="center"/>
          </w:tcPr>
          <w:p w14:paraId="5D8A8F26" w14:textId="77777777" w:rsidR="00C169CD" w:rsidRPr="00C169CD" w:rsidRDefault="00851CFA" w:rsidP="003719DD">
            <w:pPr>
              <w:keepNext/>
              <w:widowControl w:val="0"/>
              <w:jc w:val="center"/>
              <w:rPr>
                <w:sz w:val="20"/>
                <w:szCs w:val="20"/>
              </w:rPr>
            </w:pPr>
            <w:r>
              <w:rPr>
                <w:sz w:val="20"/>
                <w:szCs w:val="20"/>
              </w:rPr>
              <w:t>1,800</w:t>
            </w:r>
          </w:p>
        </w:tc>
        <w:tc>
          <w:tcPr>
            <w:tcW w:w="659" w:type="dxa"/>
            <w:shd w:val="clear" w:color="auto" w:fill="auto"/>
            <w:vAlign w:val="center"/>
          </w:tcPr>
          <w:p w14:paraId="27A27B6C" w14:textId="77777777" w:rsidR="00C169CD" w:rsidRPr="00C169CD" w:rsidRDefault="00851CFA" w:rsidP="003719DD">
            <w:pPr>
              <w:keepNext/>
              <w:widowControl w:val="0"/>
              <w:jc w:val="center"/>
              <w:rPr>
                <w:b/>
                <w:sz w:val="20"/>
                <w:szCs w:val="20"/>
              </w:rPr>
            </w:pPr>
            <w:r>
              <w:rPr>
                <w:b/>
                <w:sz w:val="20"/>
                <w:szCs w:val="20"/>
              </w:rPr>
              <w:t>29</w:t>
            </w:r>
          </w:p>
        </w:tc>
        <w:tc>
          <w:tcPr>
            <w:tcW w:w="900" w:type="dxa"/>
            <w:shd w:val="clear" w:color="auto" w:fill="auto"/>
            <w:vAlign w:val="center"/>
          </w:tcPr>
          <w:p w14:paraId="1F65B72D" w14:textId="77777777" w:rsidR="00C169CD" w:rsidRPr="00C169CD" w:rsidRDefault="00851CFA" w:rsidP="003719DD">
            <w:pPr>
              <w:keepNext/>
              <w:widowControl w:val="0"/>
              <w:jc w:val="center"/>
              <w:rPr>
                <w:b/>
                <w:sz w:val="20"/>
                <w:szCs w:val="20"/>
              </w:rPr>
            </w:pPr>
            <w:r>
              <w:rPr>
                <w:b/>
                <w:sz w:val="20"/>
                <w:szCs w:val="20"/>
              </w:rPr>
              <w:t>49,791</w:t>
            </w:r>
          </w:p>
        </w:tc>
      </w:tr>
      <w:tr w:rsidR="003719DD" w:rsidRPr="003719DD" w14:paraId="040DEB7F" w14:textId="77777777" w:rsidTr="00594F85">
        <w:trPr>
          <w:trHeight w:val="288"/>
          <w:jc w:val="center"/>
        </w:trPr>
        <w:tc>
          <w:tcPr>
            <w:tcW w:w="2065" w:type="dxa"/>
            <w:shd w:val="clear" w:color="auto" w:fill="auto"/>
            <w:vAlign w:val="center"/>
          </w:tcPr>
          <w:p w14:paraId="1F78241B" w14:textId="77777777" w:rsidR="00C169CD" w:rsidRPr="003719DD" w:rsidRDefault="00C169CD" w:rsidP="003719DD">
            <w:pPr>
              <w:keepNext/>
              <w:widowControl w:val="0"/>
              <w:rPr>
                <w:sz w:val="20"/>
                <w:szCs w:val="20"/>
              </w:rPr>
            </w:pPr>
            <w:r w:rsidRPr="003719DD">
              <w:rPr>
                <w:sz w:val="20"/>
                <w:szCs w:val="20"/>
              </w:rPr>
              <w:t>2019</w:t>
            </w:r>
          </w:p>
        </w:tc>
        <w:tc>
          <w:tcPr>
            <w:tcW w:w="622" w:type="dxa"/>
            <w:shd w:val="clear" w:color="auto" w:fill="auto"/>
            <w:vAlign w:val="center"/>
          </w:tcPr>
          <w:p w14:paraId="5F0DE989" w14:textId="77777777" w:rsidR="00C169CD" w:rsidRPr="003719DD" w:rsidRDefault="00851CFA" w:rsidP="003719DD">
            <w:pPr>
              <w:keepNext/>
              <w:widowControl w:val="0"/>
              <w:jc w:val="center"/>
              <w:rPr>
                <w:sz w:val="20"/>
                <w:szCs w:val="20"/>
              </w:rPr>
            </w:pPr>
            <w:r>
              <w:rPr>
                <w:sz w:val="20"/>
                <w:szCs w:val="20"/>
              </w:rPr>
              <w:t>20</w:t>
            </w:r>
          </w:p>
        </w:tc>
        <w:tc>
          <w:tcPr>
            <w:tcW w:w="894" w:type="dxa"/>
            <w:shd w:val="clear" w:color="auto" w:fill="auto"/>
            <w:vAlign w:val="center"/>
          </w:tcPr>
          <w:p w14:paraId="33C522C8" w14:textId="77777777" w:rsidR="00C169CD" w:rsidRPr="003719DD" w:rsidRDefault="00851CFA" w:rsidP="003719DD">
            <w:pPr>
              <w:keepNext/>
              <w:widowControl w:val="0"/>
              <w:jc w:val="center"/>
              <w:rPr>
                <w:sz w:val="20"/>
                <w:szCs w:val="20"/>
              </w:rPr>
            </w:pPr>
            <w:r>
              <w:rPr>
                <w:sz w:val="20"/>
                <w:szCs w:val="20"/>
              </w:rPr>
              <w:t>39,010</w:t>
            </w:r>
          </w:p>
        </w:tc>
        <w:tc>
          <w:tcPr>
            <w:tcW w:w="616" w:type="dxa"/>
            <w:shd w:val="clear" w:color="auto" w:fill="auto"/>
            <w:vAlign w:val="center"/>
          </w:tcPr>
          <w:p w14:paraId="2CD42FB8" w14:textId="77777777" w:rsidR="00C169CD" w:rsidRPr="003719DD" w:rsidRDefault="00851CFA" w:rsidP="003719DD">
            <w:pPr>
              <w:keepNext/>
              <w:widowControl w:val="0"/>
              <w:jc w:val="center"/>
              <w:rPr>
                <w:sz w:val="20"/>
                <w:szCs w:val="20"/>
              </w:rPr>
            </w:pPr>
            <w:r>
              <w:rPr>
                <w:sz w:val="20"/>
                <w:szCs w:val="20"/>
              </w:rPr>
              <w:t>2</w:t>
            </w:r>
          </w:p>
        </w:tc>
        <w:tc>
          <w:tcPr>
            <w:tcW w:w="914" w:type="dxa"/>
            <w:shd w:val="clear" w:color="auto" w:fill="auto"/>
            <w:vAlign w:val="center"/>
          </w:tcPr>
          <w:p w14:paraId="6337703F" w14:textId="77777777" w:rsidR="00C169CD" w:rsidRPr="003719DD" w:rsidRDefault="00851CFA" w:rsidP="003719DD">
            <w:pPr>
              <w:keepNext/>
              <w:widowControl w:val="0"/>
              <w:jc w:val="center"/>
              <w:rPr>
                <w:sz w:val="20"/>
                <w:szCs w:val="20"/>
              </w:rPr>
            </w:pPr>
            <w:r>
              <w:rPr>
                <w:sz w:val="20"/>
                <w:szCs w:val="20"/>
              </w:rPr>
              <w:t>10,452</w:t>
            </w:r>
          </w:p>
        </w:tc>
        <w:tc>
          <w:tcPr>
            <w:tcW w:w="616" w:type="dxa"/>
            <w:shd w:val="clear" w:color="auto" w:fill="auto"/>
            <w:vAlign w:val="center"/>
          </w:tcPr>
          <w:p w14:paraId="60DA08E3" w14:textId="77777777" w:rsidR="00C169CD" w:rsidRPr="003719DD" w:rsidRDefault="00851CFA" w:rsidP="003719DD">
            <w:pPr>
              <w:keepNext/>
              <w:widowControl w:val="0"/>
              <w:jc w:val="center"/>
              <w:rPr>
                <w:sz w:val="20"/>
                <w:szCs w:val="20"/>
              </w:rPr>
            </w:pPr>
            <w:r>
              <w:rPr>
                <w:sz w:val="20"/>
                <w:szCs w:val="20"/>
              </w:rPr>
              <w:t>0</w:t>
            </w:r>
          </w:p>
        </w:tc>
        <w:tc>
          <w:tcPr>
            <w:tcW w:w="914" w:type="dxa"/>
            <w:shd w:val="clear" w:color="auto" w:fill="auto"/>
            <w:vAlign w:val="center"/>
          </w:tcPr>
          <w:p w14:paraId="2793CACD" w14:textId="77777777" w:rsidR="00C169CD" w:rsidRPr="003719DD" w:rsidRDefault="00851CFA" w:rsidP="003719DD">
            <w:pPr>
              <w:keepNext/>
              <w:widowControl w:val="0"/>
              <w:jc w:val="center"/>
              <w:rPr>
                <w:sz w:val="20"/>
                <w:szCs w:val="20"/>
              </w:rPr>
            </w:pPr>
            <w:r>
              <w:rPr>
                <w:sz w:val="20"/>
                <w:szCs w:val="20"/>
              </w:rPr>
              <w:t>0</w:t>
            </w:r>
          </w:p>
        </w:tc>
        <w:tc>
          <w:tcPr>
            <w:tcW w:w="671" w:type="dxa"/>
            <w:shd w:val="clear" w:color="auto" w:fill="auto"/>
            <w:vAlign w:val="center"/>
          </w:tcPr>
          <w:p w14:paraId="6BD7E83F" w14:textId="77777777" w:rsidR="00C169CD" w:rsidRPr="003719DD" w:rsidRDefault="00851CFA" w:rsidP="003719DD">
            <w:pPr>
              <w:keepNext/>
              <w:widowControl w:val="0"/>
              <w:jc w:val="center"/>
              <w:rPr>
                <w:sz w:val="20"/>
                <w:szCs w:val="20"/>
              </w:rPr>
            </w:pPr>
            <w:r>
              <w:rPr>
                <w:sz w:val="20"/>
                <w:szCs w:val="20"/>
              </w:rPr>
              <w:t>0</w:t>
            </w:r>
          </w:p>
        </w:tc>
        <w:tc>
          <w:tcPr>
            <w:tcW w:w="949" w:type="dxa"/>
            <w:shd w:val="clear" w:color="auto" w:fill="auto"/>
            <w:vAlign w:val="center"/>
          </w:tcPr>
          <w:p w14:paraId="54F5A78E" w14:textId="77777777" w:rsidR="00C169CD" w:rsidRPr="003719DD" w:rsidRDefault="00851CFA" w:rsidP="003719DD">
            <w:pPr>
              <w:keepNext/>
              <w:widowControl w:val="0"/>
              <w:jc w:val="center"/>
              <w:rPr>
                <w:sz w:val="20"/>
                <w:szCs w:val="20"/>
              </w:rPr>
            </w:pPr>
            <w:r>
              <w:rPr>
                <w:sz w:val="20"/>
                <w:szCs w:val="20"/>
              </w:rPr>
              <w:t>0</w:t>
            </w:r>
          </w:p>
        </w:tc>
        <w:tc>
          <w:tcPr>
            <w:tcW w:w="659" w:type="dxa"/>
            <w:shd w:val="clear" w:color="auto" w:fill="auto"/>
            <w:vAlign w:val="center"/>
          </w:tcPr>
          <w:p w14:paraId="6F29D75D" w14:textId="77777777" w:rsidR="00C169CD" w:rsidRPr="003719DD" w:rsidRDefault="00851CFA" w:rsidP="003719DD">
            <w:pPr>
              <w:keepNext/>
              <w:widowControl w:val="0"/>
              <w:jc w:val="center"/>
              <w:rPr>
                <w:b/>
                <w:sz w:val="20"/>
                <w:szCs w:val="20"/>
              </w:rPr>
            </w:pPr>
            <w:r>
              <w:rPr>
                <w:b/>
                <w:sz w:val="20"/>
                <w:szCs w:val="20"/>
              </w:rPr>
              <w:t>22</w:t>
            </w:r>
          </w:p>
        </w:tc>
        <w:tc>
          <w:tcPr>
            <w:tcW w:w="900" w:type="dxa"/>
            <w:shd w:val="clear" w:color="auto" w:fill="auto"/>
            <w:vAlign w:val="center"/>
          </w:tcPr>
          <w:p w14:paraId="3337F064" w14:textId="77777777" w:rsidR="00C169CD" w:rsidRPr="003719DD" w:rsidRDefault="00851CFA" w:rsidP="003719DD">
            <w:pPr>
              <w:keepNext/>
              <w:widowControl w:val="0"/>
              <w:jc w:val="center"/>
              <w:rPr>
                <w:b/>
                <w:sz w:val="20"/>
                <w:szCs w:val="20"/>
              </w:rPr>
            </w:pPr>
            <w:r>
              <w:rPr>
                <w:b/>
                <w:sz w:val="20"/>
                <w:szCs w:val="20"/>
              </w:rPr>
              <w:t>49,462</w:t>
            </w:r>
          </w:p>
        </w:tc>
      </w:tr>
      <w:tr w:rsidR="003719DD" w:rsidRPr="00C169CD" w14:paraId="74CF4607" w14:textId="77777777" w:rsidTr="00594F85">
        <w:trPr>
          <w:trHeight w:val="288"/>
          <w:jc w:val="center"/>
        </w:trPr>
        <w:tc>
          <w:tcPr>
            <w:tcW w:w="2065" w:type="dxa"/>
            <w:shd w:val="clear" w:color="auto" w:fill="auto"/>
            <w:vAlign w:val="center"/>
          </w:tcPr>
          <w:p w14:paraId="25101F56" w14:textId="77777777" w:rsidR="00C169CD" w:rsidRPr="00C169CD" w:rsidRDefault="00C169CD" w:rsidP="003719DD">
            <w:pPr>
              <w:keepNext/>
              <w:widowControl w:val="0"/>
              <w:rPr>
                <w:sz w:val="20"/>
                <w:szCs w:val="20"/>
              </w:rPr>
            </w:pPr>
            <w:r w:rsidRPr="00C169CD">
              <w:rPr>
                <w:sz w:val="20"/>
                <w:szCs w:val="20"/>
              </w:rPr>
              <w:t>YTD 20</w:t>
            </w:r>
            <w:r w:rsidRPr="003719DD">
              <w:rPr>
                <w:sz w:val="20"/>
                <w:szCs w:val="20"/>
              </w:rPr>
              <w:t>20</w:t>
            </w:r>
          </w:p>
        </w:tc>
        <w:tc>
          <w:tcPr>
            <w:tcW w:w="622" w:type="dxa"/>
            <w:shd w:val="clear" w:color="auto" w:fill="auto"/>
            <w:vAlign w:val="center"/>
          </w:tcPr>
          <w:p w14:paraId="768EE28E" w14:textId="7F0A121E" w:rsidR="00C169CD" w:rsidRPr="00C169CD" w:rsidRDefault="0034654C" w:rsidP="003719DD">
            <w:pPr>
              <w:keepNext/>
              <w:widowControl w:val="0"/>
              <w:jc w:val="center"/>
              <w:rPr>
                <w:sz w:val="20"/>
                <w:szCs w:val="20"/>
              </w:rPr>
            </w:pPr>
            <w:r>
              <w:rPr>
                <w:sz w:val="20"/>
                <w:szCs w:val="20"/>
              </w:rPr>
              <w:t>23</w:t>
            </w:r>
          </w:p>
        </w:tc>
        <w:tc>
          <w:tcPr>
            <w:tcW w:w="894" w:type="dxa"/>
            <w:shd w:val="clear" w:color="auto" w:fill="auto"/>
            <w:vAlign w:val="center"/>
          </w:tcPr>
          <w:p w14:paraId="62966A41" w14:textId="0CE7FE64" w:rsidR="00C169CD" w:rsidRPr="00C169CD" w:rsidRDefault="0034654C" w:rsidP="0034654C">
            <w:pPr>
              <w:keepNext/>
              <w:widowControl w:val="0"/>
              <w:jc w:val="center"/>
              <w:rPr>
                <w:sz w:val="20"/>
                <w:szCs w:val="20"/>
              </w:rPr>
            </w:pPr>
            <w:r>
              <w:rPr>
                <w:sz w:val="20"/>
                <w:szCs w:val="20"/>
              </w:rPr>
              <w:t>78,493</w:t>
            </w:r>
          </w:p>
        </w:tc>
        <w:tc>
          <w:tcPr>
            <w:tcW w:w="616" w:type="dxa"/>
            <w:shd w:val="clear" w:color="auto" w:fill="auto"/>
            <w:vAlign w:val="center"/>
          </w:tcPr>
          <w:p w14:paraId="3F772571" w14:textId="77777777" w:rsidR="00C169CD" w:rsidRPr="00C169CD" w:rsidRDefault="00851CFA" w:rsidP="003719DD">
            <w:pPr>
              <w:keepNext/>
              <w:widowControl w:val="0"/>
              <w:jc w:val="center"/>
              <w:rPr>
                <w:sz w:val="20"/>
                <w:szCs w:val="20"/>
              </w:rPr>
            </w:pPr>
            <w:r>
              <w:rPr>
                <w:sz w:val="20"/>
                <w:szCs w:val="20"/>
              </w:rPr>
              <w:t>7</w:t>
            </w:r>
          </w:p>
        </w:tc>
        <w:tc>
          <w:tcPr>
            <w:tcW w:w="914" w:type="dxa"/>
            <w:shd w:val="clear" w:color="auto" w:fill="auto"/>
            <w:vAlign w:val="center"/>
          </w:tcPr>
          <w:p w14:paraId="58E4341E" w14:textId="77777777" w:rsidR="00C169CD" w:rsidRPr="00C169CD" w:rsidRDefault="00851CFA" w:rsidP="003719DD">
            <w:pPr>
              <w:keepNext/>
              <w:widowControl w:val="0"/>
              <w:jc w:val="center"/>
              <w:rPr>
                <w:sz w:val="20"/>
                <w:szCs w:val="20"/>
              </w:rPr>
            </w:pPr>
            <w:r>
              <w:rPr>
                <w:sz w:val="20"/>
                <w:szCs w:val="20"/>
              </w:rPr>
              <w:t>15,798</w:t>
            </w:r>
          </w:p>
        </w:tc>
        <w:tc>
          <w:tcPr>
            <w:tcW w:w="616" w:type="dxa"/>
            <w:shd w:val="clear" w:color="auto" w:fill="auto"/>
            <w:vAlign w:val="center"/>
          </w:tcPr>
          <w:p w14:paraId="45B05B75" w14:textId="77777777" w:rsidR="00C169CD" w:rsidRPr="00C169CD" w:rsidRDefault="00851CFA" w:rsidP="003719DD">
            <w:pPr>
              <w:keepNext/>
              <w:widowControl w:val="0"/>
              <w:jc w:val="center"/>
              <w:rPr>
                <w:sz w:val="20"/>
                <w:szCs w:val="20"/>
              </w:rPr>
            </w:pPr>
            <w:r>
              <w:rPr>
                <w:sz w:val="20"/>
                <w:szCs w:val="20"/>
              </w:rPr>
              <w:t>7</w:t>
            </w:r>
          </w:p>
        </w:tc>
        <w:tc>
          <w:tcPr>
            <w:tcW w:w="914" w:type="dxa"/>
            <w:shd w:val="clear" w:color="auto" w:fill="auto"/>
            <w:vAlign w:val="center"/>
          </w:tcPr>
          <w:p w14:paraId="19B17B50" w14:textId="77777777" w:rsidR="00C169CD" w:rsidRPr="00C169CD" w:rsidRDefault="00851CFA" w:rsidP="003719DD">
            <w:pPr>
              <w:keepNext/>
              <w:widowControl w:val="0"/>
              <w:jc w:val="center"/>
              <w:rPr>
                <w:sz w:val="20"/>
                <w:szCs w:val="20"/>
              </w:rPr>
            </w:pPr>
            <w:r>
              <w:rPr>
                <w:sz w:val="20"/>
                <w:szCs w:val="20"/>
              </w:rPr>
              <w:t>12,256</w:t>
            </w:r>
          </w:p>
        </w:tc>
        <w:tc>
          <w:tcPr>
            <w:tcW w:w="671" w:type="dxa"/>
            <w:shd w:val="clear" w:color="auto" w:fill="auto"/>
            <w:vAlign w:val="center"/>
          </w:tcPr>
          <w:p w14:paraId="48D45D71" w14:textId="77777777" w:rsidR="00C169CD" w:rsidRPr="00C169CD" w:rsidRDefault="00851CFA" w:rsidP="003719DD">
            <w:pPr>
              <w:keepNext/>
              <w:widowControl w:val="0"/>
              <w:jc w:val="center"/>
              <w:rPr>
                <w:sz w:val="20"/>
                <w:szCs w:val="20"/>
              </w:rPr>
            </w:pPr>
            <w:r>
              <w:rPr>
                <w:sz w:val="20"/>
                <w:szCs w:val="20"/>
              </w:rPr>
              <w:t>0</w:t>
            </w:r>
          </w:p>
        </w:tc>
        <w:tc>
          <w:tcPr>
            <w:tcW w:w="949" w:type="dxa"/>
            <w:shd w:val="clear" w:color="auto" w:fill="auto"/>
            <w:vAlign w:val="center"/>
          </w:tcPr>
          <w:p w14:paraId="1611866E" w14:textId="77777777" w:rsidR="00C169CD" w:rsidRPr="00C169CD" w:rsidRDefault="00851CFA" w:rsidP="003719DD">
            <w:pPr>
              <w:keepNext/>
              <w:widowControl w:val="0"/>
              <w:jc w:val="center"/>
              <w:rPr>
                <w:sz w:val="20"/>
                <w:szCs w:val="20"/>
              </w:rPr>
            </w:pPr>
            <w:r>
              <w:rPr>
                <w:sz w:val="20"/>
                <w:szCs w:val="20"/>
              </w:rPr>
              <w:t>0</w:t>
            </w:r>
          </w:p>
        </w:tc>
        <w:tc>
          <w:tcPr>
            <w:tcW w:w="659" w:type="dxa"/>
            <w:shd w:val="clear" w:color="auto" w:fill="auto"/>
            <w:vAlign w:val="center"/>
          </w:tcPr>
          <w:p w14:paraId="395EDD4A" w14:textId="6A52DA53" w:rsidR="00C169CD" w:rsidRPr="00C169CD" w:rsidRDefault="0034654C" w:rsidP="003719DD">
            <w:pPr>
              <w:keepNext/>
              <w:widowControl w:val="0"/>
              <w:jc w:val="center"/>
              <w:rPr>
                <w:b/>
                <w:sz w:val="20"/>
                <w:szCs w:val="20"/>
              </w:rPr>
            </w:pPr>
            <w:r>
              <w:rPr>
                <w:b/>
                <w:sz w:val="20"/>
                <w:szCs w:val="20"/>
              </w:rPr>
              <w:t>37</w:t>
            </w:r>
          </w:p>
        </w:tc>
        <w:tc>
          <w:tcPr>
            <w:tcW w:w="900" w:type="dxa"/>
            <w:shd w:val="clear" w:color="auto" w:fill="auto"/>
            <w:vAlign w:val="center"/>
          </w:tcPr>
          <w:p w14:paraId="075C239F" w14:textId="28F17917" w:rsidR="00C169CD" w:rsidRPr="00C169CD" w:rsidRDefault="0034654C" w:rsidP="0064392E">
            <w:pPr>
              <w:keepNext/>
              <w:widowControl w:val="0"/>
              <w:jc w:val="center"/>
              <w:rPr>
                <w:b/>
                <w:sz w:val="20"/>
                <w:szCs w:val="20"/>
              </w:rPr>
            </w:pPr>
            <w:r>
              <w:rPr>
                <w:b/>
                <w:sz w:val="20"/>
                <w:szCs w:val="20"/>
              </w:rPr>
              <w:t>106,547</w:t>
            </w:r>
          </w:p>
        </w:tc>
      </w:tr>
      <w:tr w:rsidR="003719DD" w:rsidRPr="00C169CD" w14:paraId="7BF8E51E" w14:textId="77777777" w:rsidTr="00594F85">
        <w:trPr>
          <w:trHeight w:val="288"/>
          <w:jc w:val="center"/>
        </w:trPr>
        <w:tc>
          <w:tcPr>
            <w:tcW w:w="2065" w:type="dxa"/>
            <w:shd w:val="clear" w:color="auto" w:fill="auto"/>
            <w:vAlign w:val="center"/>
          </w:tcPr>
          <w:p w14:paraId="4EBE6E62" w14:textId="77777777" w:rsidR="00C169CD" w:rsidRPr="00C169CD" w:rsidRDefault="00C169CD" w:rsidP="003719DD">
            <w:pPr>
              <w:keepNext/>
              <w:widowControl w:val="0"/>
              <w:rPr>
                <w:b/>
                <w:sz w:val="20"/>
                <w:szCs w:val="20"/>
                <w:highlight w:val="green"/>
              </w:rPr>
            </w:pPr>
            <w:r w:rsidRPr="00C169CD">
              <w:rPr>
                <w:b/>
                <w:sz w:val="20"/>
                <w:szCs w:val="20"/>
              </w:rPr>
              <w:t>Total</w:t>
            </w:r>
          </w:p>
        </w:tc>
        <w:tc>
          <w:tcPr>
            <w:tcW w:w="622" w:type="dxa"/>
            <w:shd w:val="clear" w:color="auto" w:fill="auto"/>
            <w:vAlign w:val="center"/>
          </w:tcPr>
          <w:p w14:paraId="7A9D788B" w14:textId="075AD9BC" w:rsidR="00C169CD" w:rsidRPr="00C169CD" w:rsidRDefault="0034654C" w:rsidP="003719DD">
            <w:pPr>
              <w:keepNext/>
              <w:widowControl w:val="0"/>
              <w:jc w:val="center"/>
              <w:rPr>
                <w:b/>
                <w:sz w:val="20"/>
                <w:szCs w:val="20"/>
              </w:rPr>
            </w:pPr>
            <w:r>
              <w:rPr>
                <w:b/>
                <w:sz w:val="20"/>
                <w:szCs w:val="20"/>
              </w:rPr>
              <w:t>85</w:t>
            </w:r>
          </w:p>
        </w:tc>
        <w:tc>
          <w:tcPr>
            <w:tcW w:w="894" w:type="dxa"/>
            <w:shd w:val="clear" w:color="auto" w:fill="auto"/>
            <w:vAlign w:val="center"/>
          </w:tcPr>
          <w:p w14:paraId="06266FA0" w14:textId="6522AA21" w:rsidR="00C169CD" w:rsidRPr="00C169CD" w:rsidRDefault="0034654C" w:rsidP="0034654C">
            <w:pPr>
              <w:keepNext/>
              <w:widowControl w:val="0"/>
              <w:jc w:val="center"/>
              <w:rPr>
                <w:b/>
                <w:sz w:val="20"/>
                <w:szCs w:val="20"/>
              </w:rPr>
            </w:pPr>
            <w:r>
              <w:rPr>
                <w:b/>
                <w:sz w:val="20"/>
                <w:szCs w:val="20"/>
              </w:rPr>
              <w:t>199,327</w:t>
            </w:r>
          </w:p>
        </w:tc>
        <w:tc>
          <w:tcPr>
            <w:tcW w:w="616" w:type="dxa"/>
            <w:shd w:val="clear" w:color="auto" w:fill="auto"/>
            <w:vAlign w:val="center"/>
          </w:tcPr>
          <w:p w14:paraId="0B94FBCF" w14:textId="77777777" w:rsidR="00C169CD" w:rsidRPr="00C169CD" w:rsidRDefault="00851CFA" w:rsidP="003719DD">
            <w:pPr>
              <w:keepNext/>
              <w:widowControl w:val="0"/>
              <w:jc w:val="center"/>
              <w:rPr>
                <w:b/>
                <w:sz w:val="20"/>
                <w:szCs w:val="20"/>
              </w:rPr>
            </w:pPr>
            <w:r>
              <w:rPr>
                <w:b/>
                <w:sz w:val="20"/>
                <w:szCs w:val="20"/>
              </w:rPr>
              <w:t>12</w:t>
            </w:r>
          </w:p>
        </w:tc>
        <w:tc>
          <w:tcPr>
            <w:tcW w:w="914" w:type="dxa"/>
            <w:shd w:val="clear" w:color="auto" w:fill="auto"/>
            <w:vAlign w:val="center"/>
          </w:tcPr>
          <w:p w14:paraId="6D8CEDE4" w14:textId="77777777" w:rsidR="00C169CD" w:rsidRPr="00C169CD" w:rsidRDefault="00851CFA" w:rsidP="003719DD">
            <w:pPr>
              <w:keepNext/>
              <w:widowControl w:val="0"/>
              <w:jc w:val="center"/>
              <w:rPr>
                <w:b/>
                <w:sz w:val="20"/>
                <w:szCs w:val="20"/>
              </w:rPr>
            </w:pPr>
            <w:r>
              <w:rPr>
                <w:b/>
                <w:sz w:val="20"/>
                <w:szCs w:val="20"/>
              </w:rPr>
              <w:t>29,682</w:t>
            </w:r>
          </w:p>
        </w:tc>
        <w:tc>
          <w:tcPr>
            <w:tcW w:w="616" w:type="dxa"/>
            <w:shd w:val="clear" w:color="auto" w:fill="auto"/>
            <w:vAlign w:val="center"/>
          </w:tcPr>
          <w:p w14:paraId="528F3EC9" w14:textId="77777777" w:rsidR="00C169CD" w:rsidRPr="00C169CD" w:rsidRDefault="00851CFA" w:rsidP="003719DD">
            <w:pPr>
              <w:keepNext/>
              <w:widowControl w:val="0"/>
              <w:jc w:val="center"/>
              <w:rPr>
                <w:b/>
                <w:sz w:val="20"/>
                <w:szCs w:val="20"/>
              </w:rPr>
            </w:pPr>
            <w:r>
              <w:rPr>
                <w:b/>
                <w:sz w:val="20"/>
                <w:szCs w:val="20"/>
              </w:rPr>
              <w:t>8</w:t>
            </w:r>
          </w:p>
        </w:tc>
        <w:tc>
          <w:tcPr>
            <w:tcW w:w="914" w:type="dxa"/>
            <w:shd w:val="clear" w:color="auto" w:fill="auto"/>
            <w:vAlign w:val="center"/>
          </w:tcPr>
          <w:p w14:paraId="5C6881B4" w14:textId="77777777" w:rsidR="00C169CD" w:rsidRPr="00C169CD" w:rsidRDefault="00851CFA" w:rsidP="003719DD">
            <w:pPr>
              <w:keepNext/>
              <w:widowControl w:val="0"/>
              <w:jc w:val="center"/>
              <w:rPr>
                <w:b/>
                <w:sz w:val="20"/>
                <w:szCs w:val="20"/>
              </w:rPr>
            </w:pPr>
            <w:r>
              <w:rPr>
                <w:b/>
                <w:sz w:val="20"/>
                <w:szCs w:val="20"/>
              </w:rPr>
              <w:t>12,306</w:t>
            </w:r>
          </w:p>
        </w:tc>
        <w:tc>
          <w:tcPr>
            <w:tcW w:w="671" w:type="dxa"/>
            <w:shd w:val="clear" w:color="auto" w:fill="auto"/>
            <w:vAlign w:val="center"/>
          </w:tcPr>
          <w:p w14:paraId="3044CAAE" w14:textId="77777777" w:rsidR="00C169CD" w:rsidRPr="00C169CD" w:rsidRDefault="00851CFA" w:rsidP="003719DD">
            <w:pPr>
              <w:keepNext/>
              <w:widowControl w:val="0"/>
              <w:jc w:val="center"/>
              <w:rPr>
                <w:b/>
                <w:sz w:val="20"/>
                <w:szCs w:val="20"/>
              </w:rPr>
            </w:pPr>
            <w:r>
              <w:rPr>
                <w:b/>
                <w:sz w:val="20"/>
                <w:szCs w:val="20"/>
              </w:rPr>
              <w:t>3</w:t>
            </w:r>
          </w:p>
        </w:tc>
        <w:tc>
          <w:tcPr>
            <w:tcW w:w="949" w:type="dxa"/>
            <w:shd w:val="clear" w:color="auto" w:fill="auto"/>
            <w:vAlign w:val="center"/>
          </w:tcPr>
          <w:p w14:paraId="5A204B74" w14:textId="77777777" w:rsidR="00C169CD" w:rsidRPr="00C169CD" w:rsidRDefault="00851CFA" w:rsidP="003719DD">
            <w:pPr>
              <w:keepNext/>
              <w:widowControl w:val="0"/>
              <w:jc w:val="center"/>
              <w:rPr>
                <w:b/>
                <w:sz w:val="20"/>
                <w:szCs w:val="20"/>
              </w:rPr>
            </w:pPr>
            <w:r>
              <w:rPr>
                <w:b/>
                <w:sz w:val="20"/>
                <w:szCs w:val="20"/>
              </w:rPr>
              <w:t>29,800</w:t>
            </w:r>
          </w:p>
        </w:tc>
        <w:tc>
          <w:tcPr>
            <w:tcW w:w="659" w:type="dxa"/>
            <w:shd w:val="clear" w:color="auto" w:fill="auto"/>
            <w:vAlign w:val="center"/>
          </w:tcPr>
          <w:p w14:paraId="23FB7D9B" w14:textId="2C9AE6B5" w:rsidR="00C169CD" w:rsidRPr="00C169CD" w:rsidRDefault="00BF0593" w:rsidP="003719DD">
            <w:pPr>
              <w:keepNext/>
              <w:widowControl w:val="0"/>
              <w:jc w:val="center"/>
              <w:rPr>
                <w:b/>
                <w:sz w:val="20"/>
                <w:szCs w:val="20"/>
              </w:rPr>
            </w:pPr>
            <w:r>
              <w:rPr>
                <w:b/>
                <w:sz w:val="20"/>
                <w:szCs w:val="20"/>
              </w:rPr>
              <w:t>108</w:t>
            </w:r>
          </w:p>
        </w:tc>
        <w:tc>
          <w:tcPr>
            <w:tcW w:w="900" w:type="dxa"/>
            <w:shd w:val="clear" w:color="auto" w:fill="auto"/>
            <w:vAlign w:val="center"/>
          </w:tcPr>
          <w:p w14:paraId="020E5C55" w14:textId="3391BCEB" w:rsidR="00C169CD" w:rsidRPr="00C169CD" w:rsidRDefault="0034654C" w:rsidP="0064392E">
            <w:pPr>
              <w:keepNext/>
              <w:widowControl w:val="0"/>
              <w:jc w:val="center"/>
              <w:rPr>
                <w:b/>
                <w:sz w:val="20"/>
                <w:szCs w:val="20"/>
              </w:rPr>
            </w:pPr>
            <w:r>
              <w:rPr>
                <w:b/>
                <w:sz w:val="20"/>
                <w:szCs w:val="20"/>
              </w:rPr>
              <w:t>271,115</w:t>
            </w:r>
          </w:p>
        </w:tc>
      </w:tr>
      <w:tr w:rsidR="003719DD" w:rsidRPr="00C169CD" w14:paraId="7BFC3B88" w14:textId="77777777" w:rsidTr="003719DD">
        <w:trPr>
          <w:trHeight w:val="288"/>
          <w:jc w:val="center"/>
        </w:trPr>
        <w:tc>
          <w:tcPr>
            <w:tcW w:w="9820" w:type="dxa"/>
            <w:gridSpan w:val="11"/>
            <w:shd w:val="clear" w:color="auto" w:fill="auto"/>
            <w:vAlign w:val="center"/>
          </w:tcPr>
          <w:p w14:paraId="167AB19B" w14:textId="77777777" w:rsidR="00C169CD" w:rsidRPr="00C169CD" w:rsidRDefault="00C169CD" w:rsidP="003719DD">
            <w:pPr>
              <w:keepNext/>
              <w:widowControl w:val="0"/>
              <w:rPr>
                <w:b/>
                <w:sz w:val="20"/>
                <w:szCs w:val="20"/>
              </w:rPr>
            </w:pPr>
            <w:r w:rsidRPr="00C169CD">
              <w:rPr>
                <w:i/>
                <w:sz w:val="16"/>
                <w:szCs w:val="16"/>
              </w:rPr>
              <w:t>Source:  Bank Data</w:t>
            </w:r>
          </w:p>
        </w:tc>
      </w:tr>
    </w:tbl>
    <w:p w14:paraId="1684C167" w14:textId="77777777" w:rsidR="0099672C" w:rsidRDefault="0099672C" w:rsidP="00C150DD">
      <w:pPr>
        <w:pStyle w:val="QuickFormat1"/>
        <w:jc w:val="left"/>
        <w:rPr>
          <w:sz w:val="24"/>
          <w:szCs w:val="24"/>
          <w:u w:val="single"/>
        </w:rPr>
      </w:pPr>
    </w:p>
    <w:p w14:paraId="7DFC3C98" w14:textId="77777777" w:rsidR="00776E68" w:rsidRPr="00FD65FC" w:rsidRDefault="00776E68" w:rsidP="00776E68">
      <w:pPr>
        <w:contextualSpacing/>
        <w:rPr>
          <w:bCs/>
        </w:rPr>
      </w:pPr>
      <w:r w:rsidRPr="00FD65FC">
        <w:rPr>
          <w:bCs/>
        </w:rPr>
        <w:t>The following are notable examples of qualified community development loans.</w:t>
      </w:r>
    </w:p>
    <w:p w14:paraId="50AD8B8E" w14:textId="77777777" w:rsidR="00776E68" w:rsidRPr="00161EC6" w:rsidRDefault="00776E68" w:rsidP="00C150DD">
      <w:pPr>
        <w:pStyle w:val="QuickFormat1"/>
        <w:jc w:val="left"/>
        <w:rPr>
          <w:sz w:val="24"/>
          <w:szCs w:val="24"/>
          <w:u w:val="single"/>
        </w:rPr>
      </w:pPr>
    </w:p>
    <w:p w14:paraId="2CCF95A3" w14:textId="77777777" w:rsidR="006B5A8C" w:rsidRDefault="00664B8B" w:rsidP="006B5A8C">
      <w:pPr>
        <w:pStyle w:val="QuickFormat1"/>
        <w:numPr>
          <w:ilvl w:val="0"/>
          <w:numId w:val="28"/>
        </w:numPr>
        <w:ind w:left="720"/>
        <w:jc w:val="left"/>
        <w:rPr>
          <w:b w:val="0"/>
          <w:sz w:val="24"/>
          <w:szCs w:val="24"/>
          <w:lang w:val="en-US"/>
        </w:rPr>
      </w:pPr>
      <w:r>
        <w:rPr>
          <w:b w:val="0"/>
          <w:sz w:val="24"/>
          <w:szCs w:val="24"/>
          <w:lang w:val="en-US"/>
        </w:rPr>
        <w:t>In 2017, 2018, and 2019, t</w:t>
      </w:r>
      <w:r w:rsidR="006B5A8C">
        <w:rPr>
          <w:b w:val="0"/>
          <w:sz w:val="24"/>
          <w:szCs w:val="24"/>
          <w:lang w:val="en-US"/>
        </w:rPr>
        <w:t xml:space="preserve">he bank made </w:t>
      </w:r>
      <w:r>
        <w:rPr>
          <w:b w:val="0"/>
          <w:sz w:val="24"/>
          <w:szCs w:val="24"/>
          <w:lang w:val="en-US"/>
        </w:rPr>
        <w:t>10</w:t>
      </w:r>
      <w:r w:rsidR="006B5A8C">
        <w:rPr>
          <w:b w:val="0"/>
          <w:sz w:val="24"/>
          <w:szCs w:val="24"/>
          <w:lang w:val="en-US"/>
        </w:rPr>
        <w:t xml:space="preserve"> loan</w:t>
      </w:r>
      <w:r w:rsidR="00DF3E62">
        <w:rPr>
          <w:b w:val="0"/>
          <w:sz w:val="24"/>
          <w:szCs w:val="24"/>
          <w:lang w:val="en-US"/>
        </w:rPr>
        <w:t>s totaling approximately $2</w:t>
      </w:r>
      <w:r>
        <w:rPr>
          <w:b w:val="0"/>
          <w:sz w:val="24"/>
          <w:szCs w:val="24"/>
          <w:lang w:val="en-US"/>
        </w:rPr>
        <w:t>5.9</w:t>
      </w:r>
      <w:r w:rsidR="00DF3E62">
        <w:rPr>
          <w:b w:val="0"/>
          <w:sz w:val="24"/>
          <w:szCs w:val="24"/>
          <w:lang w:val="en-US"/>
        </w:rPr>
        <w:t xml:space="preserve"> million</w:t>
      </w:r>
      <w:r w:rsidR="006B5A8C">
        <w:rPr>
          <w:b w:val="0"/>
          <w:sz w:val="24"/>
          <w:szCs w:val="24"/>
          <w:lang w:val="en-US"/>
        </w:rPr>
        <w:t xml:space="preserve"> to a</w:t>
      </w:r>
      <w:r w:rsidR="00DF3E62">
        <w:rPr>
          <w:b w:val="0"/>
          <w:sz w:val="24"/>
          <w:szCs w:val="24"/>
          <w:lang w:val="en-US"/>
        </w:rPr>
        <w:t>n o</w:t>
      </w:r>
      <w:r w:rsidR="006B5A8C">
        <w:rPr>
          <w:b w:val="0"/>
          <w:sz w:val="24"/>
          <w:szCs w:val="24"/>
          <w:lang w:val="en-US"/>
        </w:rPr>
        <w:t xml:space="preserve">rganization in Somerville, MA that provides community services for low- and moderate-income residents.  </w:t>
      </w:r>
      <w:r w:rsidR="00DF140C">
        <w:rPr>
          <w:b w:val="0"/>
          <w:sz w:val="24"/>
          <w:szCs w:val="24"/>
          <w:lang w:val="en-US"/>
        </w:rPr>
        <w:t>One of the primary missions is a</w:t>
      </w:r>
      <w:r w:rsidR="006B5A8C">
        <w:rPr>
          <w:b w:val="0"/>
          <w:sz w:val="24"/>
          <w:szCs w:val="24"/>
          <w:lang w:val="en-US"/>
        </w:rPr>
        <w:t>dvocacy for and provision of affordable housing</w:t>
      </w:r>
      <w:r w:rsidR="00CD3076">
        <w:rPr>
          <w:b w:val="0"/>
          <w:sz w:val="24"/>
          <w:szCs w:val="24"/>
          <w:lang w:val="en-US"/>
        </w:rPr>
        <w:t xml:space="preserve"> within the city</w:t>
      </w:r>
      <w:r w:rsidR="00DF140C">
        <w:rPr>
          <w:b w:val="0"/>
          <w:sz w:val="24"/>
          <w:szCs w:val="24"/>
          <w:lang w:val="en-US"/>
        </w:rPr>
        <w:t xml:space="preserve">.  </w:t>
      </w:r>
      <w:r w:rsidR="006B5A8C">
        <w:rPr>
          <w:b w:val="0"/>
          <w:sz w:val="24"/>
          <w:szCs w:val="24"/>
          <w:lang w:val="en-US"/>
        </w:rPr>
        <w:t xml:space="preserve">EBSB’s funding financed the purchase of numerous </w:t>
      </w:r>
      <w:r>
        <w:rPr>
          <w:b w:val="0"/>
          <w:sz w:val="24"/>
          <w:szCs w:val="24"/>
          <w:lang w:val="en-US"/>
        </w:rPr>
        <w:t xml:space="preserve">multifamily </w:t>
      </w:r>
      <w:r w:rsidR="006B5A8C">
        <w:rPr>
          <w:b w:val="0"/>
          <w:sz w:val="24"/>
          <w:szCs w:val="24"/>
          <w:lang w:val="en-US"/>
        </w:rPr>
        <w:t xml:space="preserve">residential </w:t>
      </w:r>
      <w:r>
        <w:rPr>
          <w:b w:val="0"/>
          <w:sz w:val="24"/>
          <w:szCs w:val="24"/>
          <w:lang w:val="en-US"/>
        </w:rPr>
        <w:t>dwellings</w:t>
      </w:r>
      <w:r w:rsidR="006B5A8C">
        <w:rPr>
          <w:b w:val="0"/>
          <w:sz w:val="24"/>
          <w:szCs w:val="24"/>
          <w:lang w:val="en-US"/>
        </w:rPr>
        <w:t xml:space="preserve"> that the organization maintains and leases as affordable to qualified </w:t>
      </w:r>
      <w:r w:rsidR="00301436">
        <w:rPr>
          <w:b w:val="0"/>
          <w:sz w:val="24"/>
          <w:szCs w:val="24"/>
          <w:lang w:val="en-US"/>
        </w:rPr>
        <w:t xml:space="preserve">city </w:t>
      </w:r>
      <w:r w:rsidR="006B5A8C">
        <w:rPr>
          <w:b w:val="0"/>
          <w:sz w:val="24"/>
          <w:szCs w:val="24"/>
          <w:lang w:val="en-US"/>
        </w:rPr>
        <w:t xml:space="preserve">residents.  </w:t>
      </w:r>
    </w:p>
    <w:p w14:paraId="32AC59E5" w14:textId="77777777" w:rsidR="00664B8B" w:rsidRDefault="00664B8B" w:rsidP="00664B8B">
      <w:pPr>
        <w:pStyle w:val="QuickFormat1"/>
        <w:jc w:val="left"/>
        <w:rPr>
          <w:b w:val="0"/>
          <w:sz w:val="24"/>
          <w:szCs w:val="24"/>
          <w:lang w:val="en-US"/>
        </w:rPr>
      </w:pPr>
    </w:p>
    <w:p w14:paraId="19016B34" w14:textId="77777777" w:rsidR="00664B8B" w:rsidRDefault="005962DB" w:rsidP="001B4EA3">
      <w:pPr>
        <w:pStyle w:val="QuickFormat1"/>
        <w:numPr>
          <w:ilvl w:val="0"/>
          <w:numId w:val="28"/>
        </w:numPr>
        <w:ind w:left="720"/>
        <w:jc w:val="left"/>
        <w:rPr>
          <w:b w:val="0"/>
          <w:sz w:val="24"/>
          <w:szCs w:val="24"/>
          <w:lang w:val="en-US"/>
        </w:rPr>
      </w:pPr>
      <w:r>
        <w:rPr>
          <w:b w:val="0"/>
          <w:sz w:val="24"/>
          <w:szCs w:val="24"/>
          <w:lang w:val="en-US"/>
        </w:rPr>
        <w:t xml:space="preserve">In 2017, the bank </w:t>
      </w:r>
      <w:r w:rsidR="004B33A0">
        <w:rPr>
          <w:b w:val="0"/>
          <w:sz w:val="24"/>
          <w:szCs w:val="24"/>
          <w:lang w:val="en-US"/>
        </w:rPr>
        <w:t>originated</w:t>
      </w:r>
      <w:r>
        <w:rPr>
          <w:b w:val="0"/>
          <w:sz w:val="24"/>
          <w:szCs w:val="24"/>
          <w:lang w:val="en-US"/>
        </w:rPr>
        <w:t xml:space="preserve"> a $1.6 million construction loan to build eight residences in Roxbury, MA</w:t>
      </w:r>
      <w:r w:rsidR="001B4EA3">
        <w:rPr>
          <w:b w:val="0"/>
          <w:sz w:val="24"/>
          <w:szCs w:val="24"/>
          <w:lang w:val="en-US"/>
        </w:rPr>
        <w:t xml:space="preserve">, of which the </w:t>
      </w:r>
      <w:r>
        <w:rPr>
          <w:b w:val="0"/>
          <w:sz w:val="24"/>
          <w:szCs w:val="24"/>
          <w:lang w:val="en-US"/>
        </w:rPr>
        <w:t>majority were set aside as affordable</w:t>
      </w:r>
      <w:r w:rsidR="001B4EA3">
        <w:rPr>
          <w:b w:val="0"/>
          <w:sz w:val="24"/>
          <w:szCs w:val="24"/>
          <w:lang w:val="en-US"/>
        </w:rPr>
        <w:t>.  T</w:t>
      </w:r>
      <w:r>
        <w:rPr>
          <w:b w:val="0"/>
          <w:sz w:val="24"/>
          <w:szCs w:val="24"/>
          <w:lang w:val="en-US"/>
        </w:rPr>
        <w:t>he City of Boston back</w:t>
      </w:r>
      <w:r w:rsidR="001B4EA3">
        <w:rPr>
          <w:b w:val="0"/>
          <w:sz w:val="24"/>
          <w:szCs w:val="24"/>
          <w:lang w:val="en-US"/>
        </w:rPr>
        <w:t>ed</w:t>
      </w:r>
      <w:r>
        <w:rPr>
          <w:b w:val="0"/>
          <w:sz w:val="24"/>
          <w:szCs w:val="24"/>
          <w:lang w:val="en-US"/>
        </w:rPr>
        <w:t xml:space="preserve"> the project with subsidized funds</w:t>
      </w:r>
      <w:r w:rsidR="001B4EA3">
        <w:rPr>
          <w:b w:val="0"/>
          <w:sz w:val="24"/>
          <w:szCs w:val="24"/>
          <w:lang w:val="en-US"/>
        </w:rPr>
        <w:t xml:space="preserve"> </w:t>
      </w:r>
      <w:r>
        <w:rPr>
          <w:b w:val="0"/>
          <w:sz w:val="24"/>
          <w:szCs w:val="24"/>
          <w:lang w:val="en-US"/>
        </w:rPr>
        <w:t xml:space="preserve">and </w:t>
      </w:r>
      <w:r w:rsidR="001B4EA3">
        <w:rPr>
          <w:b w:val="0"/>
          <w:sz w:val="24"/>
          <w:szCs w:val="24"/>
          <w:lang w:val="en-US"/>
        </w:rPr>
        <w:t>marketed the units</w:t>
      </w:r>
      <w:r w:rsidR="00B52BEA">
        <w:rPr>
          <w:b w:val="0"/>
          <w:sz w:val="24"/>
          <w:szCs w:val="24"/>
          <w:lang w:val="en-US"/>
        </w:rPr>
        <w:t xml:space="preserve">, which </w:t>
      </w:r>
      <w:r w:rsidR="00DA557F">
        <w:rPr>
          <w:b w:val="0"/>
          <w:sz w:val="24"/>
          <w:szCs w:val="24"/>
          <w:lang w:val="en-US"/>
        </w:rPr>
        <w:t xml:space="preserve">the city then </w:t>
      </w:r>
      <w:r w:rsidR="001B4EA3">
        <w:rPr>
          <w:b w:val="0"/>
          <w:sz w:val="24"/>
          <w:szCs w:val="24"/>
          <w:lang w:val="en-US"/>
        </w:rPr>
        <w:t>sold as affordable by deed restriction.</w:t>
      </w:r>
    </w:p>
    <w:p w14:paraId="667A6887" w14:textId="77777777" w:rsidR="004B33A0" w:rsidRDefault="004B33A0" w:rsidP="004B33A0">
      <w:pPr>
        <w:pStyle w:val="ListParagraph"/>
        <w:rPr>
          <w:b/>
        </w:rPr>
      </w:pPr>
    </w:p>
    <w:p w14:paraId="0108FD8E" w14:textId="7D92E1D7" w:rsidR="004B33A0" w:rsidRDefault="004B33A0" w:rsidP="001B4EA3">
      <w:pPr>
        <w:pStyle w:val="QuickFormat1"/>
        <w:numPr>
          <w:ilvl w:val="0"/>
          <w:numId w:val="28"/>
        </w:numPr>
        <w:ind w:left="720"/>
        <w:jc w:val="left"/>
        <w:rPr>
          <w:b w:val="0"/>
          <w:sz w:val="24"/>
          <w:szCs w:val="24"/>
          <w:lang w:val="en-US"/>
        </w:rPr>
      </w:pPr>
      <w:r>
        <w:rPr>
          <w:b w:val="0"/>
          <w:sz w:val="24"/>
          <w:szCs w:val="24"/>
          <w:lang w:val="en-US"/>
        </w:rPr>
        <w:t xml:space="preserve">In 2018, the bank </w:t>
      </w:r>
      <w:r w:rsidR="009705EE">
        <w:rPr>
          <w:b w:val="0"/>
          <w:sz w:val="24"/>
          <w:szCs w:val="24"/>
          <w:lang w:val="en-US"/>
        </w:rPr>
        <w:t xml:space="preserve">originated a </w:t>
      </w:r>
      <w:r>
        <w:rPr>
          <w:b w:val="0"/>
          <w:sz w:val="24"/>
          <w:szCs w:val="24"/>
          <w:lang w:val="en-US"/>
        </w:rPr>
        <w:t xml:space="preserve">$10.2 million </w:t>
      </w:r>
      <w:r w:rsidR="009705EE">
        <w:rPr>
          <w:b w:val="0"/>
          <w:sz w:val="24"/>
          <w:szCs w:val="24"/>
          <w:lang w:val="en-US"/>
        </w:rPr>
        <w:t>loan</w:t>
      </w:r>
      <w:r>
        <w:rPr>
          <w:b w:val="0"/>
          <w:sz w:val="24"/>
          <w:szCs w:val="24"/>
          <w:lang w:val="en-US"/>
        </w:rPr>
        <w:t xml:space="preserve"> to an affordable housing organization to construct 40 total rental units on two non-adjoining sites in Dorchester, MA.  All units are reserved for renters earning less than 60</w:t>
      </w:r>
      <w:r w:rsidR="00B1616C">
        <w:rPr>
          <w:b w:val="0"/>
          <w:sz w:val="24"/>
          <w:szCs w:val="24"/>
          <w:lang w:val="en-US"/>
        </w:rPr>
        <w:t xml:space="preserve"> percent</w:t>
      </w:r>
      <w:r>
        <w:rPr>
          <w:b w:val="0"/>
          <w:sz w:val="24"/>
          <w:szCs w:val="24"/>
          <w:lang w:val="en-US"/>
        </w:rPr>
        <w:t xml:space="preserve"> of area median income.</w:t>
      </w:r>
    </w:p>
    <w:p w14:paraId="50F3E363" w14:textId="77777777" w:rsidR="008B6620" w:rsidRDefault="008B6620" w:rsidP="008B6620">
      <w:pPr>
        <w:pStyle w:val="ListParagraph"/>
        <w:rPr>
          <w:b/>
        </w:rPr>
      </w:pPr>
    </w:p>
    <w:p w14:paraId="37672CA6" w14:textId="77777777" w:rsidR="001B4EA3" w:rsidRPr="00D91062" w:rsidRDefault="008B6620" w:rsidP="0083256A">
      <w:pPr>
        <w:pStyle w:val="QuickFormat1"/>
        <w:numPr>
          <w:ilvl w:val="0"/>
          <w:numId w:val="28"/>
        </w:numPr>
        <w:ind w:left="720"/>
        <w:jc w:val="left"/>
        <w:rPr>
          <w:b w:val="0"/>
          <w:sz w:val="24"/>
          <w:szCs w:val="24"/>
          <w:lang w:val="en-US"/>
        </w:rPr>
      </w:pPr>
      <w:r w:rsidRPr="00D91062">
        <w:rPr>
          <w:b w:val="0"/>
          <w:sz w:val="24"/>
          <w:szCs w:val="24"/>
          <w:lang w:val="en-US"/>
        </w:rPr>
        <w:t xml:space="preserve">In 2020, </w:t>
      </w:r>
      <w:r w:rsidR="00D91062" w:rsidRPr="00D91062">
        <w:rPr>
          <w:b w:val="0"/>
          <w:sz w:val="24"/>
          <w:szCs w:val="24"/>
          <w:lang w:val="en-US"/>
        </w:rPr>
        <w:t>the bank made one loan for $3.5 million</w:t>
      </w:r>
      <w:r w:rsidR="0007209B">
        <w:rPr>
          <w:b w:val="0"/>
          <w:sz w:val="24"/>
          <w:szCs w:val="24"/>
          <w:lang w:val="en-US"/>
        </w:rPr>
        <w:t xml:space="preserve"> under the SBA PPP</w:t>
      </w:r>
      <w:r w:rsidR="00D91062" w:rsidRPr="00D91062">
        <w:rPr>
          <w:b w:val="0"/>
          <w:sz w:val="24"/>
          <w:szCs w:val="24"/>
          <w:lang w:val="en-US"/>
        </w:rPr>
        <w:t xml:space="preserve"> to a community service organization to cover payroll during the shutdown caused by COVID-19.  The organization provid</w:t>
      </w:r>
      <w:r w:rsidR="00D91062">
        <w:rPr>
          <w:b w:val="0"/>
          <w:sz w:val="24"/>
          <w:szCs w:val="24"/>
          <w:lang w:val="en-US"/>
        </w:rPr>
        <w:t>es</w:t>
      </w:r>
      <w:r w:rsidR="00D91062" w:rsidRPr="00D91062">
        <w:rPr>
          <w:b w:val="0"/>
          <w:sz w:val="24"/>
          <w:szCs w:val="24"/>
          <w:lang w:val="en-US"/>
        </w:rPr>
        <w:t xml:space="preserve"> support services needed to help people with disabilities achieve their career goals</w:t>
      </w:r>
      <w:r w:rsidR="00D91062">
        <w:rPr>
          <w:b w:val="0"/>
          <w:sz w:val="24"/>
          <w:szCs w:val="24"/>
          <w:lang w:val="en-US"/>
        </w:rPr>
        <w:t xml:space="preserve">, the majority of </w:t>
      </w:r>
      <w:r w:rsidR="00BF0676">
        <w:rPr>
          <w:b w:val="0"/>
          <w:sz w:val="24"/>
          <w:szCs w:val="24"/>
          <w:lang w:val="en-US"/>
        </w:rPr>
        <w:t>which</w:t>
      </w:r>
      <w:r w:rsidR="00D91062">
        <w:rPr>
          <w:b w:val="0"/>
          <w:sz w:val="24"/>
          <w:szCs w:val="24"/>
          <w:lang w:val="en-US"/>
        </w:rPr>
        <w:t xml:space="preserve"> are low- and moderate-income.  </w:t>
      </w:r>
    </w:p>
    <w:p w14:paraId="746F6703" w14:textId="77777777" w:rsidR="001C15D4" w:rsidRDefault="001C15D4" w:rsidP="00340E78">
      <w:pPr>
        <w:rPr>
          <w:b/>
          <w:bCs/>
          <w:u w:val="single"/>
        </w:rPr>
      </w:pPr>
    </w:p>
    <w:p w14:paraId="51A96795" w14:textId="12557B7F" w:rsidR="00340E78" w:rsidRPr="00340E78" w:rsidRDefault="00340E78" w:rsidP="00340E78">
      <w:pPr>
        <w:rPr>
          <w:b/>
          <w:bCs/>
          <w:u w:val="single"/>
        </w:rPr>
      </w:pPr>
      <w:r w:rsidRPr="00340E78">
        <w:rPr>
          <w:b/>
          <w:bCs/>
          <w:u w:val="single"/>
        </w:rPr>
        <w:t>INVESTMENT TEST</w:t>
      </w:r>
    </w:p>
    <w:p w14:paraId="6AF7AE05" w14:textId="77777777" w:rsidR="00340E78" w:rsidRPr="00340E78" w:rsidRDefault="00340E78" w:rsidP="00340E78">
      <w:pPr>
        <w:rPr>
          <w:bCs/>
        </w:rPr>
      </w:pPr>
    </w:p>
    <w:p w14:paraId="3ADBEF6D" w14:textId="05A21104" w:rsidR="00340E78" w:rsidRPr="00340E78" w:rsidRDefault="00340E78" w:rsidP="00340E78">
      <w:pPr>
        <w:rPr>
          <w:b/>
          <w:bCs/>
          <w:u w:val="single"/>
        </w:rPr>
      </w:pPr>
      <w:r w:rsidRPr="00340E78">
        <w:t>The bank</w:t>
      </w:r>
      <w:r w:rsidR="004E64D3">
        <w:t>’</w:t>
      </w:r>
      <w:r w:rsidRPr="00340E78">
        <w:t>s Investment Test performance is rated High Satisfactory.  The following sections discuss the bank's performance under each criterion.</w:t>
      </w:r>
    </w:p>
    <w:p w14:paraId="227CFAF2" w14:textId="123383B8" w:rsidR="00340E78" w:rsidRDefault="00340E78" w:rsidP="00340E78">
      <w:pPr>
        <w:rPr>
          <w:bCs/>
          <w:highlight w:val="yellow"/>
        </w:rPr>
      </w:pPr>
    </w:p>
    <w:p w14:paraId="5D50E3FD" w14:textId="77777777" w:rsidR="00A81204" w:rsidRPr="00340E78" w:rsidRDefault="00A81204" w:rsidP="00340E78">
      <w:pPr>
        <w:rPr>
          <w:bCs/>
          <w:highlight w:val="yellow"/>
        </w:rPr>
      </w:pPr>
    </w:p>
    <w:p w14:paraId="2FB3E14B" w14:textId="77777777" w:rsidR="00340E78" w:rsidRPr="00340E78" w:rsidRDefault="00340E78" w:rsidP="00340E78">
      <w:pPr>
        <w:rPr>
          <w:b/>
          <w:bCs/>
          <w:u w:val="single"/>
        </w:rPr>
      </w:pPr>
      <w:r w:rsidRPr="00340E78">
        <w:rPr>
          <w:b/>
          <w:bCs/>
          <w:u w:val="single"/>
        </w:rPr>
        <w:lastRenderedPageBreak/>
        <w:t xml:space="preserve">Investment Activity </w:t>
      </w:r>
    </w:p>
    <w:p w14:paraId="22D6C9BF" w14:textId="77777777" w:rsidR="00340E78" w:rsidRPr="00340E78" w:rsidRDefault="00340E78" w:rsidP="00340E78">
      <w:pPr>
        <w:rPr>
          <w:bCs/>
        </w:rPr>
      </w:pPr>
    </w:p>
    <w:p w14:paraId="5DA8EA4A" w14:textId="1D77C876" w:rsidR="005C7DCF" w:rsidRPr="005C7DCF" w:rsidRDefault="00340E78" w:rsidP="005C7DCF">
      <w:pPr>
        <w:rPr>
          <w:color w:val="000000" w:themeColor="text1"/>
          <w:sz w:val="22"/>
          <w:szCs w:val="22"/>
        </w:rPr>
      </w:pPr>
      <w:r w:rsidRPr="00340E78">
        <w:rPr>
          <w:bCs/>
        </w:rPr>
        <w:t>The institution has a significant level of qualified investments</w:t>
      </w:r>
      <w:r w:rsidR="007C58D4">
        <w:rPr>
          <w:bCs/>
        </w:rPr>
        <w:t xml:space="preserve"> during the evaluation period,</w:t>
      </w:r>
      <w:r w:rsidRPr="00340E78">
        <w:rPr>
          <w:bCs/>
        </w:rPr>
        <w:t xml:space="preserve"> occasionally in a leadership position, particularly those that are not routinely provided by private investors.  The bank made 624 qualified investments totaling approximately $14.7 million.  This total includes</w:t>
      </w:r>
      <w:r w:rsidR="009705EE">
        <w:rPr>
          <w:bCs/>
        </w:rPr>
        <w:t xml:space="preserve"> </w:t>
      </w:r>
      <w:r w:rsidR="00B1616C">
        <w:rPr>
          <w:bCs/>
        </w:rPr>
        <w:t>10</w:t>
      </w:r>
      <w:r w:rsidRPr="00340E78">
        <w:rPr>
          <w:bCs/>
        </w:rPr>
        <w:t xml:space="preserve"> qualified equity investments of $13.6 million and </w:t>
      </w:r>
      <w:r w:rsidR="009705EE">
        <w:rPr>
          <w:bCs/>
        </w:rPr>
        <w:t xml:space="preserve">614 </w:t>
      </w:r>
      <w:r w:rsidRPr="00340E78">
        <w:rPr>
          <w:bCs/>
        </w:rPr>
        <w:t>donations of approximately $1.1 million.</w:t>
      </w:r>
      <w:r w:rsidR="00944E23">
        <w:rPr>
          <w:bCs/>
        </w:rPr>
        <w:t xml:space="preserve">  </w:t>
      </w:r>
      <w:r w:rsidR="00836FEC">
        <w:rPr>
          <w:bCs/>
        </w:rPr>
        <w:t>Equity investment activity has significantly increased since the previous evaluation when the</w:t>
      </w:r>
      <w:r w:rsidR="00944E23" w:rsidRPr="00340E78">
        <w:rPr>
          <w:bCs/>
        </w:rPr>
        <w:t xml:space="preserve"> bank</w:t>
      </w:r>
      <w:r w:rsidRPr="00340E78">
        <w:rPr>
          <w:bCs/>
        </w:rPr>
        <w:t xml:space="preserve"> had </w:t>
      </w:r>
      <w:r w:rsidR="001F76EA">
        <w:rPr>
          <w:bCs/>
        </w:rPr>
        <w:t>five</w:t>
      </w:r>
      <w:r w:rsidRPr="00340E78">
        <w:rPr>
          <w:bCs/>
        </w:rPr>
        <w:t xml:space="preserve"> equity investments for approximately $5.2 million. </w:t>
      </w:r>
      <w:r w:rsidR="007C58D4">
        <w:rPr>
          <w:bCs/>
        </w:rPr>
        <w:t xml:space="preserve"> </w:t>
      </w:r>
      <w:r w:rsidRPr="00340E78">
        <w:rPr>
          <w:bCs/>
        </w:rPr>
        <w:t>The increase in investments</w:t>
      </w:r>
      <w:r w:rsidR="009705EE">
        <w:rPr>
          <w:bCs/>
        </w:rPr>
        <w:t xml:space="preserve"> at 163.4 percent</w:t>
      </w:r>
      <w:r w:rsidRPr="00340E78">
        <w:rPr>
          <w:bCs/>
        </w:rPr>
        <w:t xml:space="preserve"> is significantly higher than the bank’s 39.8 percent increase in total assets. </w:t>
      </w:r>
      <w:r w:rsidR="00A825D7">
        <w:rPr>
          <w:bCs/>
        </w:rPr>
        <w:t xml:space="preserve"> Total</w:t>
      </w:r>
      <w:r w:rsidRPr="00340E78">
        <w:rPr>
          <w:bCs/>
        </w:rPr>
        <w:t xml:space="preserve"> donations</w:t>
      </w:r>
      <w:r w:rsidR="00A825D7">
        <w:rPr>
          <w:bCs/>
        </w:rPr>
        <w:t xml:space="preserve"> increased</w:t>
      </w:r>
      <w:r w:rsidRPr="00340E78">
        <w:rPr>
          <w:bCs/>
        </w:rPr>
        <w:t xml:space="preserve"> by approximately $223,000</w:t>
      </w:r>
      <w:r w:rsidR="00A825D7">
        <w:rPr>
          <w:bCs/>
        </w:rPr>
        <w:t>.</w:t>
      </w:r>
      <w:r w:rsidR="005379B0">
        <w:rPr>
          <w:bCs/>
        </w:rPr>
        <w:t xml:space="preserve">  In total, the bank’s investments represent </w:t>
      </w:r>
      <w:r w:rsidR="005C7DCF" w:rsidRPr="005C7DCF">
        <w:rPr>
          <w:bCs/>
          <w:color w:val="000000" w:themeColor="text1"/>
        </w:rPr>
        <w:t>0.3</w:t>
      </w:r>
      <w:r w:rsidR="005C7DCF" w:rsidRPr="005C7DCF">
        <w:rPr>
          <w:color w:val="000000" w:themeColor="text1"/>
        </w:rPr>
        <w:t xml:space="preserve"> percent of average total assets and 66.9 percent of average total securities.</w:t>
      </w:r>
    </w:p>
    <w:p w14:paraId="038A3B3D" w14:textId="77777777" w:rsidR="00340E78" w:rsidRPr="00340E78" w:rsidRDefault="00340E78" w:rsidP="00340E78">
      <w:pPr>
        <w:autoSpaceDE w:val="0"/>
        <w:autoSpaceDN w:val="0"/>
        <w:adjustRightInd w:val="0"/>
        <w:rPr>
          <w:sz w:val="23"/>
          <w:szCs w:val="23"/>
          <w:highlight w:val="yellow"/>
        </w:rPr>
      </w:pPr>
    </w:p>
    <w:p w14:paraId="690F540C" w14:textId="03EE9F4D" w:rsidR="00340E78" w:rsidRPr="00340E78" w:rsidRDefault="00340E78" w:rsidP="00340E78">
      <w:pPr>
        <w:rPr>
          <w:bCs/>
          <w:highlight w:val="yellow"/>
        </w:rPr>
      </w:pPr>
      <w:r w:rsidRPr="00340E78">
        <w:t>A majority of investments, by dollar volume, supported affordable housing for low- and moderate-income individuals in the assessment area</w:t>
      </w:r>
      <w:r w:rsidR="001F76EA">
        <w:t>, which examiners determined to be a primary need of the assessment area</w:t>
      </w:r>
      <w:r w:rsidRPr="00340E78">
        <w:t>.</w:t>
      </w:r>
      <w:r w:rsidRPr="00340E78">
        <w:rPr>
          <w:bCs/>
        </w:rPr>
        <w:t xml:space="preserve">  Examiners compared the bank’s investment activity to that of similarly situated institutions</w:t>
      </w:r>
      <w:r w:rsidR="00944E23">
        <w:rPr>
          <w:bCs/>
        </w:rPr>
        <w:t>, selecting comparable</w:t>
      </w:r>
      <w:r w:rsidRPr="00340E78">
        <w:rPr>
          <w:bCs/>
        </w:rPr>
        <w:t xml:space="preserve"> institutions based on asset size, geographic location, and lending focus.  EBSB’s investment activity was comparable to other institutions who maintained a similar performance and rating on investments.  The following table illustrates the bank’s community development investments by year and purpose.</w:t>
      </w:r>
    </w:p>
    <w:p w14:paraId="0C1835BE" w14:textId="77777777" w:rsidR="00340E78" w:rsidRPr="00340E78" w:rsidRDefault="00340E78" w:rsidP="00340E78">
      <w:pPr>
        <w:rPr>
          <w:bCs/>
          <w:highlight w:val="yellow"/>
        </w:rPr>
      </w:pP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630"/>
        <w:gridCol w:w="886"/>
        <w:gridCol w:w="644"/>
        <w:gridCol w:w="886"/>
        <w:gridCol w:w="616"/>
        <w:gridCol w:w="914"/>
        <w:gridCol w:w="671"/>
        <w:gridCol w:w="949"/>
        <w:gridCol w:w="659"/>
        <w:gridCol w:w="900"/>
      </w:tblGrid>
      <w:tr w:rsidR="00340E78" w:rsidRPr="00340E78" w14:paraId="7D5E0913" w14:textId="77777777" w:rsidTr="00340E78">
        <w:trPr>
          <w:trHeight w:val="360"/>
          <w:jc w:val="center"/>
        </w:trPr>
        <w:tc>
          <w:tcPr>
            <w:tcW w:w="9820" w:type="dxa"/>
            <w:gridSpan w:val="11"/>
            <w:shd w:val="clear" w:color="auto" w:fill="auto"/>
            <w:vAlign w:val="center"/>
          </w:tcPr>
          <w:p w14:paraId="17D26449" w14:textId="77777777" w:rsidR="00340E78" w:rsidRPr="00340E78" w:rsidRDefault="00340E78" w:rsidP="00340E78">
            <w:pPr>
              <w:keepNext/>
              <w:widowControl w:val="0"/>
              <w:jc w:val="center"/>
              <w:rPr>
                <w:b/>
                <w:sz w:val="20"/>
                <w:szCs w:val="20"/>
              </w:rPr>
            </w:pPr>
            <w:r w:rsidRPr="00340E78">
              <w:rPr>
                <w:b/>
                <w:sz w:val="20"/>
                <w:szCs w:val="20"/>
              </w:rPr>
              <w:t>Qualified Investments</w:t>
            </w:r>
          </w:p>
        </w:tc>
      </w:tr>
      <w:tr w:rsidR="00340E78" w:rsidRPr="00340E78" w14:paraId="51B9085D" w14:textId="77777777" w:rsidTr="00594F85">
        <w:trPr>
          <w:trHeight w:val="288"/>
          <w:jc w:val="center"/>
        </w:trPr>
        <w:tc>
          <w:tcPr>
            <w:tcW w:w="2065" w:type="dxa"/>
            <w:vMerge w:val="restart"/>
            <w:shd w:val="clear" w:color="auto" w:fill="auto"/>
            <w:vAlign w:val="center"/>
          </w:tcPr>
          <w:p w14:paraId="1B8F25D3" w14:textId="77777777" w:rsidR="00340E78" w:rsidRPr="00340E78" w:rsidRDefault="00340E78" w:rsidP="00340E78">
            <w:pPr>
              <w:keepNext/>
              <w:widowControl w:val="0"/>
              <w:rPr>
                <w:b/>
                <w:sz w:val="20"/>
                <w:szCs w:val="20"/>
              </w:rPr>
            </w:pPr>
            <w:r w:rsidRPr="00340E78">
              <w:rPr>
                <w:b/>
                <w:sz w:val="20"/>
                <w:szCs w:val="20"/>
              </w:rPr>
              <w:t>Activity Year</w:t>
            </w:r>
          </w:p>
        </w:tc>
        <w:tc>
          <w:tcPr>
            <w:tcW w:w="1516" w:type="dxa"/>
            <w:gridSpan w:val="2"/>
            <w:shd w:val="clear" w:color="auto" w:fill="auto"/>
            <w:vAlign w:val="center"/>
          </w:tcPr>
          <w:p w14:paraId="5DAAD64F" w14:textId="77777777" w:rsidR="00340E78" w:rsidRPr="00340E78" w:rsidRDefault="00340E78" w:rsidP="00340E78">
            <w:pPr>
              <w:keepNext/>
              <w:widowControl w:val="0"/>
              <w:jc w:val="center"/>
              <w:rPr>
                <w:b/>
                <w:sz w:val="20"/>
                <w:szCs w:val="20"/>
              </w:rPr>
            </w:pPr>
            <w:r w:rsidRPr="00340E78">
              <w:rPr>
                <w:b/>
                <w:sz w:val="20"/>
                <w:szCs w:val="20"/>
              </w:rPr>
              <w:t>Affordable Housing</w:t>
            </w:r>
          </w:p>
        </w:tc>
        <w:tc>
          <w:tcPr>
            <w:tcW w:w="1530" w:type="dxa"/>
            <w:gridSpan w:val="2"/>
            <w:shd w:val="clear" w:color="auto" w:fill="auto"/>
            <w:vAlign w:val="center"/>
          </w:tcPr>
          <w:p w14:paraId="7DEC798D" w14:textId="77777777" w:rsidR="00340E78" w:rsidRPr="00340E78" w:rsidRDefault="00340E78" w:rsidP="00340E78">
            <w:pPr>
              <w:keepNext/>
              <w:widowControl w:val="0"/>
              <w:jc w:val="center"/>
              <w:rPr>
                <w:b/>
                <w:sz w:val="20"/>
                <w:szCs w:val="20"/>
              </w:rPr>
            </w:pPr>
            <w:r w:rsidRPr="00340E78">
              <w:rPr>
                <w:b/>
                <w:sz w:val="20"/>
                <w:szCs w:val="20"/>
              </w:rPr>
              <w:t>Community Services</w:t>
            </w:r>
          </w:p>
        </w:tc>
        <w:tc>
          <w:tcPr>
            <w:tcW w:w="1530" w:type="dxa"/>
            <w:gridSpan w:val="2"/>
            <w:shd w:val="clear" w:color="auto" w:fill="auto"/>
            <w:vAlign w:val="center"/>
          </w:tcPr>
          <w:p w14:paraId="740002CA" w14:textId="77777777" w:rsidR="00340E78" w:rsidRPr="00340E78" w:rsidRDefault="00340E78" w:rsidP="00340E78">
            <w:pPr>
              <w:keepNext/>
              <w:widowControl w:val="0"/>
              <w:jc w:val="center"/>
              <w:rPr>
                <w:b/>
                <w:sz w:val="20"/>
                <w:szCs w:val="20"/>
              </w:rPr>
            </w:pPr>
            <w:r w:rsidRPr="00340E78">
              <w:rPr>
                <w:b/>
                <w:sz w:val="20"/>
                <w:szCs w:val="20"/>
              </w:rPr>
              <w:t>Economic Development</w:t>
            </w:r>
          </w:p>
        </w:tc>
        <w:tc>
          <w:tcPr>
            <w:tcW w:w="1620" w:type="dxa"/>
            <w:gridSpan w:val="2"/>
            <w:shd w:val="clear" w:color="auto" w:fill="auto"/>
            <w:vAlign w:val="center"/>
          </w:tcPr>
          <w:p w14:paraId="3F78073A" w14:textId="77777777" w:rsidR="00340E78" w:rsidRPr="00340E78" w:rsidRDefault="00340E78" w:rsidP="00340E78">
            <w:pPr>
              <w:keepNext/>
              <w:widowControl w:val="0"/>
              <w:jc w:val="center"/>
              <w:rPr>
                <w:b/>
                <w:sz w:val="20"/>
                <w:szCs w:val="20"/>
              </w:rPr>
            </w:pPr>
            <w:r w:rsidRPr="00340E78">
              <w:rPr>
                <w:b/>
                <w:sz w:val="20"/>
                <w:szCs w:val="20"/>
              </w:rPr>
              <w:t>Revitalize or Stabilize</w:t>
            </w:r>
          </w:p>
        </w:tc>
        <w:tc>
          <w:tcPr>
            <w:tcW w:w="1559" w:type="dxa"/>
            <w:gridSpan w:val="2"/>
            <w:shd w:val="clear" w:color="auto" w:fill="auto"/>
            <w:vAlign w:val="center"/>
          </w:tcPr>
          <w:p w14:paraId="7ABA220B" w14:textId="77777777" w:rsidR="00340E78" w:rsidRPr="00340E78" w:rsidRDefault="00340E78" w:rsidP="00340E78">
            <w:pPr>
              <w:keepNext/>
              <w:widowControl w:val="0"/>
              <w:jc w:val="center"/>
              <w:rPr>
                <w:b/>
                <w:sz w:val="20"/>
                <w:szCs w:val="20"/>
              </w:rPr>
            </w:pPr>
            <w:r w:rsidRPr="00340E78">
              <w:rPr>
                <w:b/>
                <w:sz w:val="20"/>
                <w:szCs w:val="20"/>
              </w:rPr>
              <w:t>Totals</w:t>
            </w:r>
          </w:p>
        </w:tc>
      </w:tr>
      <w:tr w:rsidR="00340E78" w:rsidRPr="00340E78" w14:paraId="0BFEC6CF" w14:textId="77777777" w:rsidTr="00594F85">
        <w:trPr>
          <w:trHeight w:val="288"/>
          <w:jc w:val="center"/>
        </w:trPr>
        <w:tc>
          <w:tcPr>
            <w:tcW w:w="2065" w:type="dxa"/>
            <w:vMerge/>
            <w:shd w:val="clear" w:color="auto" w:fill="auto"/>
            <w:vAlign w:val="center"/>
          </w:tcPr>
          <w:p w14:paraId="4282C81A" w14:textId="77777777" w:rsidR="00340E78" w:rsidRPr="00340E78" w:rsidRDefault="00340E78" w:rsidP="00340E78">
            <w:pPr>
              <w:keepNext/>
              <w:widowControl w:val="0"/>
              <w:rPr>
                <w:sz w:val="20"/>
                <w:szCs w:val="20"/>
              </w:rPr>
            </w:pPr>
          </w:p>
        </w:tc>
        <w:tc>
          <w:tcPr>
            <w:tcW w:w="630" w:type="dxa"/>
            <w:shd w:val="clear" w:color="auto" w:fill="auto"/>
            <w:vAlign w:val="center"/>
          </w:tcPr>
          <w:p w14:paraId="2E437200" w14:textId="77777777" w:rsidR="00340E78" w:rsidRPr="00340E78" w:rsidRDefault="00340E78" w:rsidP="00340E78">
            <w:pPr>
              <w:keepNext/>
              <w:widowControl w:val="0"/>
              <w:jc w:val="center"/>
              <w:rPr>
                <w:b/>
                <w:sz w:val="20"/>
                <w:szCs w:val="20"/>
              </w:rPr>
            </w:pPr>
            <w:r w:rsidRPr="00340E78">
              <w:rPr>
                <w:b/>
                <w:sz w:val="20"/>
                <w:szCs w:val="20"/>
              </w:rPr>
              <w:t>#</w:t>
            </w:r>
          </w:p>
        </w:tc>
        <w:tc>
          <w:tcPr>
            <w:tcW w:w="886" w:type="dxa"/>
            <w:shd w:val="clear" w:color="auto" w:fill="auto"/>
            <w:vAlign w:val="center"/>
          </w:tcPr>
          <w:p w14:paraId="6C793AB2" w14:textId="77777777" w:rsidR="00340E78" w:rsidRPr="00340E78" w:rsidRDefault="00340E78" w:rsidP="00340E78">
            <w:pPr>
              <w:keepNext/>
              <w:widowControl w:val="0"/>
              <w:jc w:val="center"/>
              <w:rPr>
                <w:b/>
                <w:sz w:val="20"/>
                <w:szCs w:val="20"/>
              </w:rPr>
            </w:pPr>
            <w:r w:rsidRPr="00340E78">
              <w:rPr>
                <w:b/>
                <w:sz w:val="20"/>
                <w:szCs w:val="20"/>
              </w:rPr>
              <w:t>$(000s)</w:t>
            </w:r>
          </w:p>
        </w:tc>
        <w:tc>
          <w:tcPr>
            <w:tcW w:w="644" w:type="dxa"/>
            <w:shd w:val="clear" w:color="auto" w:fill="auto"/>
            <w:vAlign w:val="center"/>
          </w:tcPr>
          <w:p w14:paraId="01CDB08F" w14:textId="77777777" w:rsidR="00340E78" w:rsidRPr="00340E78" w:rsidRDefault="00340E78" w:rsidP="00340E78">
            <w:pPr>
              <w:keepNext/>
              <w:widowControl w:val="0"/>
              <w:jc w:val="center"/>
              <w:rPr>
                <w:b/>
                <w:sz w:val="20"/>
                <w:szCs w:val="20"/>
              </w:rPr>
            </w:pPr>
            <w:r w:rsidRPr="00340E78">
              <w:rPr>
                <w:b/>
                <w:sz w:val="20"/>
                <w:szCs w:val="20"/>
              </w:rPr>
              <w:t>#</w:t>
            </w:r>
          </w:p>
        </w:tc>
        <w:tc>
          <w:tcPr>
            <w:tcW w:w="886" w:type="dxa"/>
            <w:shd w:val="clear" w:color="auto" w:fill="auto"/>
            <w:vAlign w:val="center"/>
          </w:tcPr>
          <w:p w14:paraId="4AFB1505" w14:textId="77777777" w:rsidR="00340E78" w:rsidRPr="00340E78" w:rsidRDefault="00340E78" w:rsidP="00340E78">
            <w:pPr>
              <w:keepNext/>
              <w:widowControl w:val="0"/>
              <w:jc w:val="center"/>
              <w:rPr>
                <w:b/>
                <w:sz w:val="20"/>
                <w:szCs w:val="20"/>
              </w:rPr>
            </w:pPr>
            <w:r w:rsidRPr="00340E78">
              <w:rPr>
                <w:b/>
                <w:sz w:val="20"/>
                <w:szCs w:val="20"/>
              </w:rPr>
              <w:t>$(000s)</w:t>
            </w:r>
          </w:p>
        </w:tc>
        <w:tc>
          <w:tcPr>
            <w:tcW w:w="616" w:type="dxa"/>
            <w:shd w:val="clear" w:color="auto" w:fill="auto"/>
            <w:vAlign w:val="center"/>
          </w:tcPr>
          <w:p w14:paraId="1D624E11" w14:textId="77777777" w:rsidR="00340E78" w:rsidRPr="00340E78" w:rsidRDefault="00340E78" w:rsidP="00340E78">
            <w:pPr>
              <w:keepNext/>
              <w:widowControl w:val="0"/>
              <w:jc w:val="center"/>
              <w:rPr>
                <w:b/>
                <w:sz w:val="20"/>
                <w:szCs w:val="20"/>
              </w:rPr>
            </w:pPr>
            <w:r w:rsidRPr="00340E78">
              <w:rPr>
                <w:b/>
                <w:sz w:val="20"/>
                <w:szCs w:val="20"/>
              </w:rPr>
              <w:t>#</w:t>
            </w:r>
          </w:p>
        </w:tc>
        <w:tc>
          <w:tcPr>
            <w:tcW w:w="914" w:type="dxa"/>
            <w:shd w:val="clear" w:color="auto" w:fill="auto"/>
            <w:vAlign w:val="center"/>
          </w:tcPr>
          <w:p w14:paraId="5F59A636" w14:textId="77777777" w:rsidR="00340E78" w:rsidRPr="00340E78" w:rsidRDefault="00340E78" w:rsidP="00340E78">
            <w:pPr>
              <w:keepNext/>
              <w:widowControl w:val="0"/>
              <w:jc w:val="center"/>
              <w:rPr>
                <w:b/>
                <w:sz w:val="20"/>
                <w:szCs w:val="20"/>
              </w:rPr>
            </w:pPr>
            <w:r w:rsidRPr="00340E78">
              <w:rPr>
                <w:b/>
                <w:sz w:val="20"/>
                <w:szCs w:val="20"/>
              </w:rPr>
              <w:t>$(000s)</w:t>
            </w:r>
          </w:p>
        </w:tc>
        <w:tc>
          <w:tcPr>
            <w:tcW w:w="671" w:type="dxa"/>
            <w:shd w:val="clear" w:color="auto" w:fill="auto"/>
            <w:vAlign w:val="center"/>
          </w:tcPr>
          <w:p w14:paraId="0D4A3CC3" w14:textId="77777777" w:rsidR="00340E78" w:rsidRPr="00340E78" w:rsidRDefault="00340E78" w:rsidP="00340E78">
            <w:pPr>
              <w:keepNext/>
              <w:widowControl w:val="0"/>
              <w:jc w:val="center"/>
              <w:rPr>
                <w:b/>
                <w:sz w:val="20"/>
                <w:szCs w:val="20"/>
              </w:rPr>
            </w:pPr>
            <w:r w:rsidRPr="00340E78">
              <w:rPr>
                <w:b/>
                <w:sz w:val="20"/>
                <w:szCs w:val="20"/>
              </w:rPr>
              <w:t>#</w:t>
            </w:r>
          </w:p>
        </w:tc>
        <w:tc>
          <w:tcPr>
            <w:tcW w:w="949" w:type="dxa"/>
            <w:shd w:val="clear" w:color="auto" w:fill="auto"/>
            <w:vAlign w:val="center"/>
          </w:tcPr>
          <w:p w14:paraId="7409C1D4" w14:textId="77777777" w:rsidR="00340E78" w:rsidRPr="00340E78" w:rsidRDefault="00340E78" w:rsidP="00340E78">
            <w:pPr>
              <w:keepNext/>
              <w:widowControl w:val="0"/>
              <w:jc w:val="center"/>
              <w:rPr>
                <w:b/>
                <w:sz w:val="20"/>
                <w:szCs w:val="20"/>
              </w:rPr>
            </w:pPr>
            <w:r w:rsidRPr="00340E78">
              <w:rPr>
                <w:b/>
                <w:sz w:val="20"/>
                <w:szCs w:val="20"/>
              </w:rPr>
              <w:t>$(000s)</w:t>
            </w:r>
          </w:p>
        </w:tc>
        <w:tc>
          <w:tcPr>
            <w:tcW w:w="659" w:type="dxa"/>
            <w:shd w:val="clear" w:color="auto" w:fill="auto"/>
            <w:vAlign w:val="center"/>
          </w:tcPr>
          <w:p w14:paraId="355DDCAD" w14:textId="77777777" w:rsidR="00340E78" w:rsidRPr="00340E78" w:rsidRDefault="00340E78" w:rsidP="00340E78">
            <w:pPr>
              <w:keepNext/>
              <w:widowControl w:val="0"/>
              <w:jc w:val="center"/>
              <w:rPr>
                <w:b/>
                <w:sz w:val="20"/>
                <w:szCs w:val="20"/>
              </w:rPr>
            </w:pPr>
            <w:r w:rsidRPr="00340E78">
              <w:rPr>
                <w:b/>
                <w:sz w:val="20"/>
                <w:szCs w:val="20"/>
              </w:rPr>
              <w:t>#</w:t>
            </w:r>
          </w:p>
        </w:tc>
        <w:tc>
          <w:tcPr>
            <w:tcW w:w="900" w:type="dxa"/>
            <w:shd w:val="clear" w:color="auto" w:fill="auto"/>
            <w:vAlign w:val="center"/>
          </w:tcPr>
          <w:p w14:paraId="6CE799A9" w14:textId="77777777" w:rsidR="00340E78" w:rsidRPr="00340E78" w:rsidRDefault="00340E78" w:rsidP="00340E78">
            <w:pPr>
              <w:keepNext/>
              <w:widowControl w:val="0"/>
              <w:jc w:val="center"/>
              <w:rPr>
                <w:b/>
                <w:sz w:val="20"/>
                <w:szCs w:val="20"/>
              </w:rPr>
            </w:pPr>
            <w:r w:rsidRPr="00340E78">
              <w:rPr>
                <w:b/>
                <w:sz w:val="20"/>
                <w:szCs w:val="20"/>
              </w:rPr>
              <w:t>$(000s)</w:t>
            </w:r>
          </w:p>
        </w:tc>
      </w:tr>
      <w:tr w:rsidR="00340E78" w:rsidRPr="00340E78" w14:paraId="6C2757C7" w14:textId="77777777" w:rsidTr="00594F85">
        <w:trPr>
          <w:trHeight w:val="288"/>
          <w:jc w:val="center"/>
        </w:trPr>
        <w:tc>
          <w:tcPr>
            <w:tcW w:w="2065" w:type="dxa"/>
            <w:shd w:val="clear" w:color="auto" w:fill="auto"/>
            <w:vAlign w:val="center"/>
          </w:tcPr>
          <w:p w14:paraId="481DA194" w14:textId="77777777" w:rsidR="00340E78" w:rsidRPr="00340E78" w:rsidRDefault="00340E78" w:rsidP="00340E78">
            <w:pPr>
              <w:keepNext/>
              <w:widowControl w:val="0"/>
              <w:rPr>
                <w:sz w:val="20"/>
                <w:szCs w:val="20"/>
              </w:rPr>
            </w:pPr>
            <w:r w:rsidRPr="00340E78">
              <w:rPr>
                <w:sz w:val="20"/>
                <w:szCs w:val="20"/>
              </w:rPr>
              <w:t>Prior Period</w:t>
            </w:r>
          </w:p>
        </w:tc>
        <w:tc>
          <w:tcPr>
            <w:tcW w:w="630" w:type="dxa"/>
            <w:shd w:val="clear" w:color="auto" w:fill="auto"/>
            <w:vAlign w:val="center"/>
          </w:tcPr>
          <w:p w14:paraId="33CC9551" w14:textId="77777777" w:rsidR="00340E78" w:rsidRPr="00340E78" w:rsidRDefault="00340E78" w:rsidP="00340E78">
            <w:pPr>
              <w:keepNext/>
              <w:widowControl w:val="0"/>
              <w:jc w:val="center"/>
              <w:rPr>
                <w:sz w:val="20"/>
                <w:szCs w:val="20"/>
              </w:rPr>
            </w:pPr>
            <w:r w:rsidRPr="00340E78">
              <w:rPr>
                <w:sz w:val="20"/>
                <w:szCs w:val="20"/>
              </w:rPr>
              <w:t>3</w:t>
            </w:r>
          </w:p>
        </w:tc>
        <w:tc>
          <w:tcPr>
            <w:tcW w:w="886" w:type="dxa"/>
            <w:shd w:val="clear" w:color="auto" w:fill="auto"/>
            <w:vAlign w:val="center"/>
          </w:tcPr>
          <w:p w14:paraId="4A890324" w14:textId="77777777" w:rsidR="00340E78" w:rsidRPr="00340E78" w:rsidRDefault="00340E78" w:rsidP="00340E78">
            <w:pPr>
              <w:keepNext/>
              <w:widowControl w:val="0"/>
              <w:jc w:val="center"/>
              <w:rPr>
                <w:sz w:val="20"/>
                <w:szCs w:val="20"/>
              </w:rPr>
            </w:pPr>
            <w:r w:rsidRPr="00340E78">
              <w:rPr>
                <w:sz w:val="20"/>
                <w:szCs w:val="20"/>
              </w:rPr>
              <w:t>3,512</w:t>
            </w:r>
          </w:p>
        </w:tc>
        <w:tc>
          <w:tcPr>
            <w:tcW w:w="644" w:type="dxa"/>
            <w:shd w:val="clear" w:color="auto" w:fill="auto"/>
            <w:vAlign w:val="center"/>
          </w:tcPr>
          <w:p w14:paraId="054A5732" w14:textId="77777777" w:rsidR="00340E78" w:rsidRPr="00340E78" w:rsidRDefault="00340E78" w:rsidP="00340E78">
            <w:pPr>
              <w:keepNext/>
              <w:widowControl w:val="0"/>
              <w:jc w:val="center"/>
              <w:rPr>
                <w:sz w:val="20"/>
                <w:szCs w:val="20"/>
              </w:rPr>
            </w:pPr>
            <w:r w:rsidRPr="00340E78">
              <w:rPr>
                <w:sz w:val="20"/>
                <w:szCs w:val="20"/>
              </w:rPr>
              <w:t>0</w:t>
            </w:r>
          </w:p>
        </w:tc>
        <w:tc>
          <w:tcPr>
            <w:tcW w:w="886" w:type="dxa"/>
            <w:shd w:val="clear" w:color="auto" w:fill="auto"/>
            <w:vAlign w:val="center"/>
          </w:tcPr>
          <w:p w14:paraId="0FFFC7D9" w14:textId="77777777" w:rsidR="00340E78" w:rsidRPr="00340E78" w:rsidRDefault="00340E78" w:rsidP="00340E78">
            <w:pPr>
              <w:keepNext/>
              <w:widowControl w:val="0"/>
              <w:jc w:val="center"/>
              <w:rPr>
                <w:sz w:val="20"/>
                <w:szCs w:val="20"/>
              </w:rPr>
            </w:pPr>
            <w:r w:rsidRPr="00340E78">
              <w:rPr>
                <w:sz w:val="20"/>
                <w:szCs w:val="20"/>
              </w:rPr>
              <w:t>0</w:t>
            </w:r>
          </w:p>
        </w:tc>
        <w:tc>
          <w:tcPr>
            <w:tcW w:w="616" w:type="dxa"/>
            <w:shd w:val="clear" w:color="auto" w:fill="auto"/>
            <w:vAlign w:val="center"/>
          </w:tcPr>
          <w:p w14:paraId="62A28986" w14:textId="77777777" w:rsidR="00340E78" w:rsidRPr="00340E78" w:rsidRDefault="00340E78" w:rsidP="00340E78">
            <w:pPr>
              <w:keepNext/>
              <w:widowControl w:val="0"/>
              <w:jc w:val="center"/>
              <w:rPr>
                <w:sz w:val="20"/>
                <w:szCs w:val="20"/>
              </w:rPr>
            </w:pPr>
            <w:r w:rsidRPr="00340E78">
              <w:rPr>
                <w:sz w:val="20"/>
                <w:szCs w:val="20"/>
              </w:rPr>
              <w:t>0</w:t>
            </w:r>
          </w:p>
        </w:tc>
        <w:tc>
          <w:tcPr>
            <w:tcW w:w="914" w:type="dxa"/>
            <w:shd w:val="clear" w:color="auto" w:fill="auto"/>
            <w:vAlign w:val="center"/>
          </w:tcPr>
          <w:p w14:paraId="1082D4A4" w14:textId="77777777" w:rsidR="00340E78" w:rsidRPr="00340E78" w:rsidRDefault="00340E78" w:rsidP="00340E78">
            <w:pPr>
              <w:keepNext/>
              <w:widowControl w:val="0"/>
              <w:jc w:val="center"/>
              <w:rPr>
                <w:sz w:val="20"/>
                <w:szCs w:val="20"/>
              </w:rPr>
            </w:pPr>
            <w:r w:rsidRPr="00340E78">
              <w:rPr>
                <w:sz w:val="20"/>
                <w:szCs w:val="20"/>
              </w:rPr>
              <w:t>0</w:t>
            </w:r>
          </w:p>
        </w:tc>
        <w:tc>
          <w:tcPr>
            <w:tcW w:w="671" w:type="dxa"/>
            <w:shd w:val="clear" w:color="auto" w:fill="auto"/>
            <w:vAlign w:val="center"/>
          </w:tcPr>
          <w:p w14:paraId="06244DD4" w14:textId="77777777" w:rsidR="00340E78" w:rsidRPr="00340E78" w:rsidRDefault="00340E78" w:rsidP="00340E78">
            <w:pPr>
              <w:keepNext/>
              <w:widowControl w:val="0"/>
              <w:jc w:val="center"/>
              <w:rPr>
                <w:sz w:val="20"/>
                <w:szCs w:val="20"/>
              </w:rPr>
            </w:pPr>
            <w:r w:rsidRPr="00340E78">
              <w:rPr>
                <w:sz w:val="20"/>
                <w:szCs w:val="20"/>
              </w:rPr>
              <w:t>0</w:t>
            </w:r>
          </w:p>
        </w:tc>
        <w:tc>
          <w:tcPr>
            <w:tcW w:w="949" w:type="dxa"/>
            <w:shd w:val="clear" w:color="auto" w:fill="auto"/>
            <w:vAlign w:val="center"/>
          </w:tcPr>
          <w:p w14:paraId="39CA84F9" w14:textId="77777777" w:rsidR="00340E78" w:rsidRPr="00340E78" w:rsidRDefault="00340E78" w:rsidP="00340E78">
            <w:pPr>
              <w:keepNext/>
              <w:widowControl w:val="0"/>
              <w:jc w:val="center"/>
              <w:rPr>
                <w:sz w:val="20"/>
                <w:szCs w:val="20"/>
              </w:rPr>
            </w:pPr>
            <w:r w:rsidRPr="00340E78">
              <w:rPr>
                <w:sz w:val="20"/>
                <w:szCs w:val="20"/>
              </w:rPr>
              <w:t>0</w:t>
            </w:r>
          </w:p>
        </w:tc>
        <w:tc>
          <w:tcPr>
            <w:tcW w:w="659" w:type="dxa"/>
            <w:shd w:val="clear" w:color="auto" w:fill="auto"/>
            <w:vAlign w:val="center"/>
          </w:tcPr>
          <w:p w14:paraId="295C1ED2" w14:textId="77777777" w:rsidR="00340E78" w:rsidRPr="00340E78" w:rsidRDefault="00340E78" w:rsidP="00340E78">
            <w:pPr>
              <w:keepNext/>
              <w:widowControl w:val="0"/>
              <w:jc w:val="center"/>
              <w:rPr>
                <w:b/>
                <w:sz w:val="20"/>
                <w:szCs w:val="20"/>
              </w:rPr>
            </w:pPr>
            <w:r w:rsidRPr="00340E78">
              <w:rPr>
                <w:b/>
                <w:sz w:val="20"/>
                <w:szCs w:val="20"/>
              </w:rPr>
              <w:t>3</w:t>
            </w:r>
          </w:p>
        </w:tc>
        <w:tc>
          <w:tcPr>
            <w:tcW w:w="900" w:type="dxa"/>
            <w:shd w:val="clear" w:color="auto" w:fill="auto"/>
            <w:vAlign w:val="center"/>
          </w:tcPr>
          <w:p w14:paraId="4E173A60" w14:textId="77777777" w:rsidR="00340E78" w:rsidRPr="00340E78" w:rsidRDefault="00340E78" w:rsidP="00340E78">
            <w:pPr>
              <w:keepNext/>
              <w:widowControl w:val="0"/>
              <w:jc w:val="center"/>
              <w:rPr>
                <w:b/>
                <w:sz w:val="20"/>
                <w:szCs w:val="20"/>
              </w:rPr>
            </w:pPr>
            <w:r w:rsidRPr="00340E78">
              <w:rPr>
                <w:b/>
                <w:sz w:val="20"/>
                <w:szCs w:val="20"/>
              </w:rPr>
              <w:t>3,512</w:t>
            </w:r>
          </w:p>
        </w:tc>
      </w:tr>
      <w:tr w:rsidR="00340E78" w:rsidRPr="00340E78" w14:paraId="33335EA4" w14:textId="77777777" w:rsidTr="00594F85">
        <w:trPr>
          <w:trHeight w:val="288"/>
          <w:jc w:val="center"/>
        </w:trPr>
        <w:tc>
          <w:tcPr>
            <w:tcW w:w="2065" w:type="dxa"/>
            <w:shd w:val="clear" w:color="auto" w:fill="auto"/>
            <w:vAlign w:val="center"/>
          </w:tcPr>
          <w:p w14:paraId="3C5F6481" w14:textId="1673FE66" w:rsidR="00340E78" w:rsidRPr="00340E78" w:rsidRDefault="00594F85" w:rsidP="00B1616C">
            <w:pPr>
              <w:keepNext/>
              <w:widowControl w:val="0"/>
              <w:rPr>
                <w:sz w:val="20"/>
                <w:szCs w:val="20"/>
              </w:rPr>
            </w:pPr>
            <w:r w:rsidRPr="00340E78">
              <w:rPr>
                <w:sz w:val="20"/>
                <w:szCs w:val="20"/>
              </w:rPr>
              <w:t>2017</w:t>
            </w:r>
          </w:p>
        </w:tc>
        <w:tc>
          <w:tcPr>
            <w:tcW w:w="630" w:type="dxa"/>
            <w:shd w:val="clear" w:color="auto" w:fill="auto"/>
            <w:vAlign w:val="center"/>
          </w:tcPr>
          <w:p w14:paraId="329F8267" w14:textId="77777777" w:rsidR="00340E78" w:rsidRPr="00340E78" w:rsidRDefault="00340E78" w:rsidP="00340E78">
            <w:pPr>
              <w:keepNext/>
              <w:widowControl w:val="0"/>
              <w:jc w:val="center"/>
              <w:rPr>
                <w:sz w:val="20"/>
                <w:szCs w:val="20"/>
              </w:rPr>
            </w:pPr>
            <w:r w:rsidRPr="00340E78">
              <w:rPr>
                <w:sz w:val="20"/>
                <w:szCs w:val="20"/>
              </w:rPr>
              <w:t>0</w:t>
            </w:r>
          </w:p>
        </w:tc>
        <w:tc>
          <w:tcPr>
            <w:tcW w:w="886" w:type="dxa"/>
            <w:shd w:val="clear" w:color="auto" w:fill="auto"/>
            <w:vAlign w:val="center"/>
          </w:tcPr>
          <w:p w14:paraId="2C5A8595" w14:textId="77777777" w:rsidR="00340E78" w:rsidRPr="00340E78" w:rsidRDefault="00340E78" w:rsidP="00340E78">
            <w:pPr>
              <w:keepNext/>
              <w:widowControl w:val="0"/>
              <w:jc w:val="center"/>
              <w:rPr>
                <w:sz w:val="20"/>
                <w:szCs w:val="20"/>
              </w:rPr>
            </w:pPr>
            <w:r w:rsidRPr="00340E78">
              <w:rPr>
                <w:sz w:val="20"/>
                <w:szCs w:val="20"/>
              </w:rPr>
              <w:t>0</w:t>
            </w:r>
          </w:p>
        </w:tc>
        <w:tc>
          <w:tcPr>
            <w:tcW w:w="644" w:type="dxa"/>
            <w:shd w:val="clear" w:color="auto" w:fill="auto"/>
            <w:vAlign w:val="center"/>
          </w:tcPr>
          <w:p w14:paraId="27C368A4" w14:textId="77777777" w:rsidR="00340E78" w:rsidRPr="00340E78" w:rsidRDefault="00340E78" w:rsidP="00340E78">
            <w:pPr>
              <w:keepNext/>
              <w:widowControl w:val="0"/>
              <w:jc w:val="center"/>
              <w:rPr>
                <w:sz w:val="20"/>
                <w:szCs w:val="20"/>
              </w:rPr>
            </w:pPr>
            <w:r w:rsidRPr="00340E78">
              <w:rPr>
                <w:sz w:val="20"/>
                <w:szCs w:val="20"/>
              </w:rPr>
              <w:t>0</w:t>
            </w:r>
          </w:p>
        </w:tc>
        <w:tc>
          <w:tcPr>
            <w:tcW w:w="886" w:type="dxa"/>
            <w:shd w:val="clear" w:color="auto" w:fill="auto"/>
            <w:vAlign w:val="center"/>
          </w:tcPr>
          <w:p w14:paraId="0E92284F" w14:textId="77777777" w:rsidR="00340E78" w:rsidRPr="00340E78" w:rsidRDefault="00340E78" w:rsidP="00340E78">
            <w:pPr>
              <w:keepNext/>
              <w:widowControl w:val="0"/>
              <w:jc w:val="center"/>
              <w:rPr>
                <w:sz w:val="20"/>
                <w:szCs w:val="20"/>
              </w:rPr>
            </w:pPr>
            <w:r w:rsidRPr="00340E78">
              <w:rPr>
                <w:sz w:val="20"/>
                <w:szCs w:val="20"/>
              </w:rPr>
              <w:t>0</w:t>
            </w:r>
          </w:p>
        </w:tc>
        <w:tc>
          <w:tcPr>
            <w:tcW w:w="616" w:type="dxa"/>
            <w:shd w:val="clear" w:color="auto" w:fill="auto"/>
            <w:vAlign w:val="center"/>
          </w:tcPr>
          <w:p w14:paraId="1821122D" w14:textId="77777777" w:rsidR="00340E78" w:rsidRPr="00340E78" w:rsidRDefault="00340E78" w:rsidP="00340E78">
            <w:pPr>
              <w:keepNext/>
              <w:widowControl w:val="0"/>
              <w:jc w:val="center"/>
              <w:rPr>
                <w:sz w:val="20"/>
                <w:szCs w:val="20"/>
              </w:rPr>
            </w:pPr>
            <w:r w:rsidRPr="00340E78">
              <w:rPr>
                <w:sz w:val="20"/>
                <w:szCs w:val="20"/>
              </w:rPr>
              <w:t>0</w:t>
            </w:r>
          </w:p>
        </w:tc>
        <w:tc>
          <w:tcPr>
            <w:tcW w:w="914" w:type="dxa"/>
            <w:shd w:val="clear" w:color="auto" w:fill="auto"/>
            <w:vAlign w:val="center"/>
          </w:tcPr>
          <w:p w14:paraId="47C31A05" w14:textId="77777777" w:rsidR="00340E78" w:rsidRPr="00340E78" w:rsidRDefault="00340E78" w:rsidP="00340E78">
            <w:pPr>
              <w:keepNext/>
              <w:widowControl w:val="0"/>
              <w:jc w:val="center"/>
              <w:rPr>
                <w:sz w:val="20"/>
                <w:szCs w:val="20"/>
              </w:rPr>
            </w:pPr>
            <w:r w:rsidRPr="00340E78">
              <w:rPr>
                <w:sz w:val="20"/>
                <w:szCs w:val="20"/>
              </w:rPr>
              <w:t>0</w:t>
            </w:r>
          </w:p>
        </w:tc>
        <w:tc>
          <w:tcPr>
            <w:tcW w:w="671" w:type="dxa"/>
            <w:shd w:val="clear" w:color="auto" w:fill="auto"/>
            <w:vAlign w:val="center"/>
          </w:tcPr>
          <w:p w14:paraId="22CA0B35" w14:textId="77777777" w:rsidR="00340E78" w:rsidRPr="00340E78" w:rsidRDefault="00340E78" w:rsidP="00340E78">
            <w:pPr>
              <w:keepNext/>
              <w:widowControl w:val="0"/>
              <w:jc w:val="center"/>
              <w:rPr>
                <w:sz w:val="20"/>
                <w:szCs w:val="20"/>
              </w:rPr>
            </w:pPr>
            <w:r w:rsidRPr="00340E78">
              <w:rPr>
                <w:sz w:val="20"/>
                <w:szCs w:val="20"/>
              </w:rPr>
              <w:t>0</w:t>
            </w:r>
          </w:p>
        </w:tc>
        <w:tc>
          <w:tcPr>
            <w:tcW w:w="949" w:type="dxa"/>
            <w:shd w:val="clear" w:color="auto" w:fill="auto"/>
            <w:vAlign w:val="center"/>
          </w:tcPr>
          <w:p w14:paraId="3C1CBE7B" w14:textId="77777777" w:rsidR="00340E78" w:rsidRPr="00340E78" w:rsidRDefault="00340E78" w:rsidP="00340E78">
            <w:pPr>
              <w:keepNext/>
              <w:widowControl w:val="0"/>
              <w:jc w:val="center"/>
              <w:rPr>
                <w:sz w:val="20"/>
                <w:szCs w:val="20"/>
              </w:rPr>
            </w:pPr>
            <w:r w:rsidRPr="00340E78">
              <w:rPr>
                <w:sz w:val="20"/>
                <w:szCs w:val="20"/>
              </w:rPr>
              <w:t>0</w:t>
            </w:r>
          </w:p>
        </w:tc>
        <w:tc>
          <w:tcPr>
            <w:tcW w:w="659" w:type="dxa"/>
            <w:shd w:val="clear" w:color="auto" w:fill="auto"/>
            <w:vAlign w:val="center"/>
          </w:tcPr>
          <w:p w14:paraId="35C44070" w14:textId="77777777" w:rsidR="00340E78" w:rsidRPr="00340E78" w:rsidRDefault="00340E78" w:rsidP="00340E78">
            <w:pPr>
              <w:keepNext/>
              <w:widowControl w:val="0"/>
              <w:jc w:val="center"/>
              <w:rPr>
                <w:b/>
                <w:sz w:val="20"/>
                <w:szCs w:val="20"/>
              </w:rPr>
            </w:pPr>
            <w:r w:rsidRPr="00340E78">
              <w:rPr>
                <w:b/>
                <w:sz w:val="20"/>
                <w:szCs w:val="20"/>
              </w:rPr>
              <w:t>0</w:t>
            </w:r>
          </w:p>
        </w:tc>
        <w:tc>
          <w:tcPr>
            <w:tcW w:w="900" w:type="dxa"/>
            <w:shd w:val="clear" w:color="auto" w:fill="auto"/>
            <w:vAlign w:val="center"/>
          </w:tcPr>
          <w:p w14:paraId="44E8D4AA" w14:textId="77777777" w:rsidR="00340E78" w:rsidRPr="00340E78" w:rsidRDefault="00340E78" w:rsidP="00340E78">
            <w:pPr>
              <w:keepNext/>
              <w:widowControl w:val="0"/>
              <w:jc w:val="center"/>
              <w:rPr>
                <w:b/>
                <w:sz w:val="20"/>
                <w:szCs w:val="20"/>
              </w:rPr>
            </w:pPr>
            <w:r w:rsidRPr="00340E78">
              <w:rPr>
                <w:b/>
                <w:sz w:val="20"/>
                <w:szCs w:val="20"/>
              </w:rPr>
              <w:t>0</w:t>
            </w:r>
          </w:p>
        </w:tc>
      </w:tr>
      <w:tr w:rsidR="00340E78" w:rsidRPr="00340E78" w14:paraId="25318672" w14:textId="77777777" w:rsidTr="00594F85">
        <w:trPr>
          <w:trHeight w:val="288"/>
          <w:jc w:val="center"/>
        </w:trPr>
        <w:tc>
          <w:tcPr>
            <w:tcW w:w="2065" w:type="dxa"/>
            <w:shd w:val="clear" w:color="auto" w:fill="auto"/>
            <w:vAlign w:val="center"/>
          </w:tcPr>
          <w:p w14:paraId="54C28E19" w14:textId="77777777" w:rsidR="00340E78" w:rsidRPr="00340E78" w:rsidRDefault="00340E78" w:rsidP="00340E78">
            <w:pPr>
              <w:keepNext/>
              <w:widowControl w:val="0"/>
              <w:rPr>
                <w:sz w:val="20"/>
                <w:szCs w:val="20"/>
              </w:rPr>
            </w:pPr>
            <w:r w:rsidRPr="00340E78">
              <w:rPr>
                <w:sz w:val="20"/>
                <w:szCs w:val="20"/>
              </w:rPr>
              <w:t>2018</w:t>
            </w:r>
          </w:p>
        </w:tc>
        <w:tc>
          <w:tcPr>
            <w:tcW w:w="630" w:type="dxa"/>
            <w:shd w:val="clear" w:color="auto" w:fill="auto"/>
            <w:vAlign w:val="center"/>
          </w:tcPr>
          <w:p w14:paraId="46D22ABA" w14:textId="77777777" w:rsidR="00340E78" w:rsidRPr="00340E78" w:rsidRDefault="00340E78" w:rsidP="00340E78">
            <w:pPr>
              <w:keepNext/>
              <w:widowControl w:val="0"/>
              <w:jc w:val="center"/>
              <w:rPr>
                <w:sz w:val="20"/>
                <w:szCs w:val="20"/>
              </w:rPr>
            </w:pPr>
            <w:r w:rsidRPr="00340E78">
              <w:rPr>
                <w:sz w:val="20"/>
                <w:szCs w:val="20"/>
              </w:rPr>
              <w:t>5</w:t>
            </w:r>
          </w:p>
        </w:tc>
        <w:tc>
          <w:tcPr>
            <w:tcW w:w="886" w:type="dxa"/>
            <w:shd w:val="clear" w:color="auto" w:fill="auto"/>
            <w:vAlign w:val="center"/>
          </w:tcPr>
          <w:p w14:paraId="07BDECA7" w14:textId="77777777" w:rsidR="00340E78" w:rsidRPr="00340E78" w:rsidRDefault="00340E78" w:rsidP="00340E78">
            <w:pPr>
              <w:keepNext/>
              <w:widowControl w:val="0"/>
              <w:jc w:val="center"/>
              <w:rPr>
                <w:sz w:val="20"/>
                <w:szCs w:val="20"/>
              </w:rPr>
            </w:pPr>
            <w:r w:rsidRPr="00340E78">
              <w:rPr>
                <w:sz w:val="20"/>
                <w:szCs w:val="20"/>
              </w:rPr>
              <w:t>7,951</w:t>
            </w:r>
          </w:p>
        </w:tc>
        <w:tc>
          <w:tcPr>
            <w:tcW w:w="644" w:type="dxa"/>
            <w:shd w:val="clear" w:color="auto" w:fill="auto"/>
            <w:vAlign w:val="center"/>
          </w:tcPr>
          <w:p w14:paraId="1C2C764C" w14:textId="77777777" w:rsidR="00340E78" w:rsidRPr="00340E78" w:rsidRDefault="00340E78" w:rsidP="00340E78">
            <w:pPr>
              <w:keepNext/>
              <w:widowControl w:val="0"/>
              <w:jc w:val="center"/>
              <w:rPr>
                <w:sz w:val="20"/>
                <w:szCs w:val="20"/>
              </w:rPr>
            </w:pPr>
            <w:r w:rsidRPr="00340E78">
              <w:rPr>
                <w:sz w:val="20"/>
                <w:szCs w:val="20"/>
              </w:rPr>
              <w:t>0</w:t>
            </w:r>
          </w:p>
        </w:tc>
        <w:tc>
          <w:tcPr>
            <w:tcW w:w="886" w:type="dxa"/>
            <w:shd w:val="clear" w:color="auto" w:fill="auto"/>
            <w:vAlign w:val="center"/>
          </w:tcPr>
          <w:p w14:paraId="70C2FADA" w14:textId="77777777" w:rsidR="00340E78" w:rsidRPr="00340E78" w:rsidRDefault="00340E78" w:rsidP="00340E78">
            <w:pPr>
              <w:keepNext/>
              <w:widowControl w:val="0"/>
              <w:jc w:val="center"/>
              <w:rPr>
                <w:sz w:val="20"/>
                <w:szCs w:val="20"/>
              </w:rPr>
            </w:pPr>
            <w:r w:rsidRPr="00340E78">
              <w:rPr>
                <w:sz w:val="20"/>
                <w:szCs w:val="20"/>
              </w:rPr>
              <w:t>0</w:t>
            </w:r>
          </w:p>
        </w:tc>
        <w:tc>
          <w:tcPr>
            <w:tcW w:w="616" w:type="dxa"/>
            <w:shd w:val="clear" w:color="auto" w:fill="auto"/>
            <w:vAlign w:val="center"/>
          </w:tcPr>
          <w:p w14:paraId="031E74B6" w14:textId="77777777" w:rsidR="00340E78" w:rsidRPr="00340E78" w:rsidRDefault="00340E78" w:rsidP="00340E78">
            <w:pPr>
              <w:keepNext/>
              <w:widowControl w:val="0"/>
              <w:jc w:val="center"/>
              <w:rPr>
                <w:sz w:val="20"/>
                <w:szCs w:val="20"/>
              </w:rPr>
            </w:pPr>
            <w:r w:rsidRPr="00340E78">
              <w:rPr>
                <w:sz w:val="20"/>
                <w:szCs w:val="20"/>
              </w:rPr>
              <w:t>0</w:t>
            </w:r>
          </w:p>
        </w:tc>
        <w:tc>
          <w:tcPr>
            <w:tcW w:w="914" w:type="dxa"/>
            <w:shd w:val="clear" w:color="auto" w:fill="auto"/>
            <w:vAlign w:val="center"/>
          </w:tcPr>
          <w:p w14:paraId="427012CE" w14:textId="77777777" w:rsidR="00340E78" w:rsidRPr="00340E78" w:rsidRDefault="00340E78" w:rsidP="00340E78">
            <w:pPr>
              <w:keepNext/>
              <w:widowControl w:val="0"/>
              <w:jc w:val="center"/>
              <w:rPr>
                <w:sz w:val="20"/>
                <w:szCs w:val="20"/>
              </w:rPr>
            </w:pPr>
            <w:r w:rsidRPr="00340E78">
              <w:rPr>
                <w:sz w:val="20"/>
                <w:szCs w:val="20"/>
              </w:rPr>
              <w:t>0</w:t>
            </w:r>
          </w:p>
        </w:tc>
        <w:tc>
          <w:tcPr>
            <w:tcW w:w="671" w:type="dxa"/>
            <w:shd w:val="clear" w:color="auto" w:fill="auto"/>
            <w:vAlign w:val="center"/>
          </w:tcPr>
          <w:p w14:paraId="608E3484" w14:textId="77777777" w:rsidR="00340E78" w:rsidRPr="00340E78" w:rsidRDefault="00340E78" w:rsidP="00340E78">
            <w:pPr>
              <w:keepNext/>
              <w:widowControl w:val="0"/>
              <w:jc w:val="center"/>
              <w:rPr>
                <w:sz w:val="20"/>
                <w:szCs w:val="20"/>
              </w:rPr>
            </w:pPr>
            <w:r w:rsidRPr="00340E78">
              <w:rPr>
                <w:sz w:val="20"/>
                <w:szCs w:val="20"/>
              </w:rPr>
              <w:t>0</w:t>
            </w:r>
          </w:p>
        </w:tc>
        <w:tc>
          <w:tcPr>
            <w:tcW w:w="949" w:type="dxa"/>
            <w:shd w:val="clear" w:color="auto" w:fill="auto"/>
            <w:vAlign w:val="center"/>
          </w:tcPr>
          <w:p w14:paraId="4A8187F7" w14:textId="77777777" w:rsidR="00340E78" w:rsidRPr="00340E78" w:rsidRDefault="00340E78" w:rsidP="00340E78">
            <w:pPr>
              <w:keepNext/>
              <w:widowControl w:val="0"/>
              <w:jc w:val="center"/>
              <w:rPr>
                <w:sz w:val="20"/>
                <w:szCs w:val="20"/>
              </w:rPr>
            </w:pPr>
            <w:r w:rsidRPr="00340E78">
              <w:rPr>
                <w:sz w:val="20"/>
                <w:szCs w:val="20"/>
              </w:rPr>
              <w:t>0</w:t>
            </w:r>
          </w:p>
        </w:tc>
        <w:tc>
          <w:tcPr>
            <w:tcW w:w="659" w:type="dxa"/>
            <w:shd w:val="clear" w:color="auto" w:fill="auto"/>
            <w:vAlign w:val="center"/>
          </w:tcPr>
          <w:p w14:paraId="6649EAAA" w14:textId="77777777" w:rsidR="00340E78" w:rsidRPr="00340E78" w:rsidRDefault="00340E78" w:rsidP="00340E78">
            <w:pPr>
              <w:keepNext/>
              <w:widowControl w:val="0"/>
              <w:jc w:val="center"/>
              <w:rPr>
                <w:b/>
                <w:sz w:val="20"/>
                <w:szCs w:val="20"/>
              </w:rPr>
            </w:pPr>
            <w:r w:rsidRPr="00340E78">
              <w:rPr>
                <w:b/>
                <w:sz w:val="20"/>
                <w:szCs w:val="20"/>
              </w:rPr>
              <w:t>5</w:t>
            </w:r>
          </w:p>
        </w:tc>
        <w:tc>
          <w:tcPr>
            <w:tcW w:w="900" w:type="dxa"/>
            <w:shd w:val="clear" w:color="auto" w:fill="auto"/>
            <w:vAlign w:val="center"/>
          </w:tcPr>
          <w:p w14:paraId="3CBC7717" w14:textId="77777777" w:rsidR="00340E78" w:rsidRPr="00340E78" w:rsidRDefault="00340E78" w:rsidP="00340E78">
            <w:pPr>
              <w:keepNext/>
              <w:widowControl w:val="0"/>
              <w:jc w:val="center"/>
              <w:rPr>
                <w:b/>
                <w:sz w:val="20"/>
                <w:szCs w:val="20"/>
              </w:rPr>
            </w:pPr>
            <w:r w:rsidRPr="00340E78">
              <w:rPr>
                <w:b/>
                <w:sz w:val="20"/>
                <w:szCs w:val="20"/>
              </w:rPr>
              <w:t>7,951</w:t>
            </w:r>
          </w:p>
        </w:tc>
      </w:tr>
      <w:tr w:rsidR="00340E78" w:rsidRPr="00340E78" w14:paraId="349D035A" w14:textId="77777777" w:rsidTr="00594F85">
        <w:trPr>
          <w:trHeight w:val="288"/>
          <w:jc w:val="center"/>
        </w:trPr>
        <w:tc>
          <w:tcPr>
            <w:tcW w:w="2065" w:type="dxa"/>
            <w:shd w:val="clear" w:color="auto" w:fill="auto"/>
            <w:vAlign w:val="center"/>
          </w:tcPr>
          <w:p w14:paraId="77FF9C20" w14:textId="77777777" w:rsidR="00340E78" w:rsidRPr="00340E78" w:rsidRDefault="00340E78" w:rsidP="00340E78">
            <w:pPr>
              <w:keepNext/>
              <w:widowControl w:val="0"/>
              <w:rPr>
                <w:sz w:val="20"/>
                <w:szCs w:val="20"/>
              </w:rPr>
            </w:pPr>
            <w:r w:rsidRPr="00340E78">
              <w:rPr>
                <w:sz w:val="20"/>
                <w:szCs w:val="20"/>
              </w:rPr>
              <w:t>2019</w:t>
            </w:r>
          </w:p>
        </w:tc>
        <w:tc>
          <w:tcPr>
            <w:tcW w:w="630" w:type="dxa"/>
            <w:shd w:val="clear" w:color="auto" w:fill="auto"/>
            <w:vAlign w:val="center"/>
          </w:tcPr>
          <w:p w14:paraId="24157A3A" w14:textId="77777777" w:rsidR="00340E78" w:rsidRPr="00340E78" w:rsidRDefault="00340E78" w:rsidP="00340E78">
            <w:pPr>
              <w:keepNext/>
              <w:widowControl w:val="0"/>
              <w:jc w:val="center"/>
              <w:rPr>
                <w:sz w:val="20"/>
                <w:szCs w:val="20"/>
              </w:rPr>
            </w:pPr>
            <w:r w:rsidRPr="00340E78">
              <w:rPr>
                <w:sz w:val="20"/>
                <w:szCs w:val="20"/>
              </w:rPr>
              <w:t>0</w:t>
            </w:r>
          </w:p>
        </w:tc>
        <w:tc>
          <w:tcPr>
            <w:tcW w:w="886" w:type="dxa"/>
            <w:shd w:val="clear" w:color="auto" w:fill="auto"/>
            <w:vAlign w:val="center"/>
          </w:tcPr>
          <w:p w14:paraId="66FECD9F" w14:textId="77777777" w:rsidR="00340E78" w:rsidRPr="00340E78" w:rsidRDefault="00340E78" w:rsidP="00340E78">
            <w:pPr>
              <w:keepNext/>
              <w:widowControl w:val="0"/>
              <w:jc w:val="center"/>
              <w:rPr>
                <w:sz w:val="20"/>
                <w:szCs w:val="20"/>
              </w:rPr>
            </w:pPr>
            <w:r w:rsidRPr="00340E78">
              <w:rPr>
                <w:sz w:val="20"/>
                <w:szCs w:val="20"/>
              </w:rPr>
              <w:t>00</w:t>
            </w:r>
          </w:p>
        </w:tc>
        <w:tc>
          <w:tcPr>
            <w:tcW w:w="644" w:type="dxa"/>
            <w:shd w:val="clear" w:color="auto" w:fill="auto"/>
            <w:vAlign w:val="center"/>
          </w:tcPr>
          <w:p w14:paraId="582342B3" w14:textId="77777777" w:rsidR="00340E78" w:rsidRPr="00340E78" w:rsidRDefault="00340E78" w:rsidP="00340E78">
            <w:pPr>
              <w:keepNext/>
              <w:widowControl w:val="0"/>
              <w:jc w:val="center"/>
              <w:rPr>
                <w:sz w:val="20"/>
                <w:szCs w:val="20"/>
              </w:rPr>
            </w:pPr>
            <w:r w:rsidRPr="00340E78">
              <w:rPr>
                <w:sz w:val="20"/>
                <w:szCs w:val="20"/>
              </w:rPr>
              <w:t>0</w:t>
            </w:r>
          </w:p>
        </w:tc>
        <w:tc>
          <w:tcPr>
            <w:tcW w:w="886" w:type="dxa"/>
            <w:shd w:val="clear" w:color="auto" w:fill="auto"/>
            <w:vAlign w:val="center"/>
          </w:tcPr>
          <w:p w14:paraId="5BC2A31E" w14:textId="77777777" w:rsidR="00340E78" w:rsidRPr="00340E78" w:rsidRDefault="00340E78" w:rsidP="00340E78">
            <w:pPr>
              <w:keepNext/>
              <w:widowControl w:val="0"/>
              <w:jc w:val="center"/>
              <w:rPr>
                <w:sz w:val="20"/>
                <w:szCs w:val="20"/>
              </w:rPr>
            </w:pPr>
            <w:r w:rsidRPr="00340E78">
              <w:rPr>
                <w:sz w:val="20"/>
                <w:szCs w:val="20"/>
              </w:rPr>
              <w:t>0</w:t>
            </w:r>
          </w:p>
        </w:tc>
        <w:tc>
          <w:tcPr>
            <w:tcW w:w="616" w:type="dxa"/>
            <w:shd w:val="clear" w:color="auto" w:fill="auto"/>
            <w:vAlign w:val="center"/>
          </w:tcPr>
          <w:p w14:paraId="54F8AAC9" w14:textId="77777777" w:rsidR="00340E78" w:rsidRPr="00340E78" w:rsidRDefault="00340E78" w:rsidP="00340E78">
            <w:pPr>
              <w:keepNext/>
              <w:widowControl w:val="0"/>
              <w:jc w:val="center"/>
              <w:rPr>
                <w:sz w:val="20"/>
                <w:szCs w:val="20"/>
              </w:rPr>
            </w:pPr>
            <w:r w:rsidRPr="00340E78">
              <w:rPr>
                <w:sz w:val="20"/>
                <w:szCs w:val="20"/>
              </w:rPr>
              <w:t>0</w:t>
            </w:r>
          </w:p>
        </w:tc>
        <w:tc>
          <w:tcPr>
            <w:tcW w:w="914" w:type="dxa"/>
            <w:shd w:val="clear" w:color="auto" w:fill="auto"/>
            <w:vAlign w:val="center"/>
          </w:tcPr>
          <w:p w14:paraId="62BCC8A5" w14:textId="77777777" w:rsidR="00340E78" w:rsidRPr="00340E78" w:rsidRDefault="00340E78" w:rsidP="00340E78">
            <w:pPr>
              <w:keepNext/>
              <w:widowControl w:val="0"/>
              <w:jc w:val="center"/>
              <w:rPr>
                <w:sz w:val="20"/>
                <w:szCs w:val="20"/>
              </w:rPr>
            </w:pPr>
            <w:r w:rsidRPr="00340E78">
              <w:rPr>
                <w:sz w:val="20"/>
                <w:szCs w:val="20"/>
              </w:rPr>
              <w:t>0</w:t>
            </w:r>
          </w:p>
        </w:tc>
        <w:tc>
          <w:tcPr>
            <w:tcW w:w="671" w:type="dxa"/>
            <w:shd w:val="clear" w:color="auto" w:fill="auto"/>
            <w:vAlign w:val="center"/>
          </w:tcPr>
          <w:p w14:paraId="7F6A43CB" w14:textId="77777777" w:rsidR="00340E78" w:rsidRPr="00340E78" w:rsidRDefault="00340E78" w:rsidP="00340E78">
            <w:pPr>
              <w:keepNext/>
              <w:widowControl w:val="0"/>
              <w:jc w:val="center"/>
              <w:rPr>
                <w:sz w:val="20"/>
                <w:szCs w:val="20"/>
              </w:rPr>
            </w:pPr>
            <w:r w:rsidRPr="00340E78">
              <w:rPr>
                <w:sz w:val="20"/>
                <w:szCs w:val="20"/>
              </w:rPr>
              <w:t>1</w:t>
            </w:r>
          </w:p>
        </w:tc>
        <w:tc>
          <w:tcPr>
            <w:tcW w:w="949" w:type="dxa"/>
            <w:shd w:val="clear" w:color="auto" w:fill="auto"/>
            <w:vAlign w:val="center"/>
          </w:tcPr>
          <w:p w14:paraId="2AB7CB7E" w14:textId="77777777" w:rsidR="00340E78" w:rsidRPr="00340E78" w:rsidRDefault="00340E78" w:rsidP="00340E78">
            <w:pPr>
              <w:keepNext/>
              <w:widowControl w:val="0"/>
              <w:jc w:val="center"/>
              <w:rPr>
                <w:sz w:val="20"/>
                <w:szCs w:val="20"/>
              </w:rPr>
            </w:pPr>
            <w:r w:rsidRPr="00340E78">
              <w:rPr>
                <w:sz w:val="20"/>
                <w:szCs w:val="20"/>
              </w:rPr>
              <w:t>500</w:t>
            </w:r>
          </w:p>
        </w:tc>
        <w:tc>
          <w:tcPr>
            <w:tcW w:w="659" w:type="dxa"/>
            <w:shd w:val="clear" w:color="auto" w:fill="auto"/>
            <w:vAlign w:val="center"/>
          </w:tcPr>
          <w:p w14:paraId="68066747" w14:textId="77777777" w:rsidR="00340E78" w:rsidRPr="00340E78" w:rsidRDefault="00340E78" w:rsidP="00340E78">
            <w:pPr>
              <w:keepNext/>
              <w:widowControl w:val="0"/>
              <w:jc w:val="center"/>
              <w:rPr>
                <w:b/>
                <w:sz w:val="20"/>
                <w:szCs w:val="20"/>
              </w:rPr>
            </w:pPr>
            <w:r w:rsidRPr="00340E78">
              <w:rPr>
                <w:b/>
                <w:sz w:val="20"/>
                <w:szCs w:val="20"/>
              </w:rPr>
              <w:t>1</w:t>
            </w:r>
          </w:p>
        </w:tc>
        <w:tc>
          <w:tcPr>
            <w:tcW w:w="900" w:type="dxa"/>
            <w:shd w:val="clear" w:color="auto" w:fill="auto"/>
            <w:vAlign w:val="center"/>
          </w:tcPr>
          <w:p w14:paraId="58B50C12" w14:textId="77777777" w:rsidR="00340E78" w:rsidRPr="00340E78" w:rsidRDefault="00340E78" w:rsidP="00340E78">
            <w:pPr>
              <w:keepNext/>
              <w:widowControl w:val="0"/>
              <w:jc w:val="center"/>
              <w:rPr>
                <w:b/>
                <w:sz w:val="20"/>
                <w:szCs w:val="20"/>
              </w:rPr>
            </w:pPr>
            <w:r w:rsidRPr="00340E78">
              <w:rPr>
                <w:b/>
                <w:sz w:val="20"/>
                <w:szCs w:val="20"/>
              </w:rPr>
              <w:t>500</w:t>
            </w:r>
          </w:p>
        </w:tc>
      </w:tr>
      <w:tr w:rsidR="00340E78" w:rsidRPr="00340E78" w14:paraId="7885EB05" w14:textId="77777777" w:rsidTr="00594F85">
        <w:trPr>
          <w:trHeight w:val="288"/>
          <w:jc w:val="center"/>
        </w:trPr>
        <w:tc>
          <w:tcPr>
            <w:tcW w:w="2065" w:type="dxa"/>
            <w:shd w:val="clear" w:color="auto" w:fill="auto"/>
            <w:vAlign w:val="center"/>
          </w:tcPr>
          <w:p w14:paraId="0696745B" w14:textId="77777777" w:rsidR="00340E78" w:rsidRPr="00340E78" w:rsidRDefault="00340E78" w:rsidP="00340E78">
            <w:pPr>
              <w:keepNext/>
              <w:widowControl w:val="0"/>
              <w:rPr>
                <w:sz w:val="20"/>
                <w:szCs w:val="20"/>
              </w:rPr>
            </w:pPr>
            <w:r w:rsidRPr="00340E78">
              <w:rPr>
                <w:sz w:val="20"/>
                <w:szCs w:val="20"/>
              </w:rPr>
              <w:t>YTD 2020</w:t>
            </w:r>
          </w:p>
        </w:tc>
        <w:tc>
          <w:tcPr>
            <w:tcW w:w="630" w:type="dxa"/>
            <w:shd w:val="clear" w:color="auto" w:fill="auto"/>
            <w:vAlign w:val="center"/>
          </w:tcPr>
          <w:p w14:paraId="54FA86AC" w14:textId="77777777" w:rsidR="00340E78" w:rsidRPr="00340E78" w:rsidRDefault="00340E78" w:rsidP="00340E78">
            <w:pPr>
              <w:keepNext/>
              <w:widowControl w:val="0"/>
              <w:jc w:val="center"/>
              <w:rPr>
                <w:sz w:val="20"/>
                <w:szCs w:val="20"/>
              </w:rPr>
            </w:pPr>
            <w:r w:rsidRPr="00340E78">
              <w:rPr>
                <w:sz w:val="20"/>
                <w:szCs w:val="20"/>
              </w:rPr>
              <w:t>1</w:t>
            </w:r>
          </w:p>
        </w:tc>
        <w:tc>
          <w:tcPr>
            <w:tcW w:w="886" w:type="dxa"/>
            <w:shd w:val="clear" w:color="auto" w:fill="auto"/>
            <w:vAlign w:val="center"/>
          </w:tcPr>
          <w:p w14:paraId="2A0D567E" w14:textId="77777777" w:rsidR="00340E78" w:rsidRPr="00340E78" w:rsidRDefault="00340E78" w:rsidP="00340E78">
            <w:pPr>
              <w:keepNext/>
              <w:widowControl w:val="0"/>
              <w:jc w:val="center"/>
              <w:rPr>
                <w:sz w:val="20"/>
                <w:szCs w:val="20"/>
              </w:rPr>
            </w:pPr>
            <w:r w:rsidRPr="00340E78">
              <w:rPr>
                <w:sz w:val="20"/>
                <w:szCs w:val="20"/>
              </w:rPr>
              <w:t>1,627</w:t>
            </w:r>
          </w:p>
        </w:tc>
        <w:tc>
          <w:tcPr>
            <w:tcW w:w="644" w:type="dxa"/>
            <w:shd w:val="clear" w:color="auto" w:fill="auto"/>
            <w:vAlign w:val="center"/>
          </w:tcPr>
          <w:p w14:paraId="5CBBE9BA" w14:textId="77777777" w:rsidR="00340E78" w:rsidRPr="00340E78" w:rsidRDefault="00340E78" w:rsidP="00340E78">
            <w:pPr>
              <w:keepNext/>
              <w:widowControl w:val="0"/>
              <w:jc w:val="center"/>
              <w:rPr>
                <w:sz w:val="20"/>
                <w:szCs w:val="20"/>
              </w:rPr>
            </w:pPr>
            <w:r w:rsidRPr="00340E78">
              <w:rPr>
                <w:sz w:val="20"/>
                <w:szCs w:val="20"/>
              </w:rPr>
              <w:t>0</w:t>
            </w:r>
          </w:p>
        </w:tc>
        <w:tc>
          <w:tcPr>
            <w:tcW w:w="886" w:type="dxa"/>
            <w:shd w:val="clear" w:color="auto" w:fill="auto"/>
            <w:vAlign w:val="center"/>
          </w:tcPr>
          <w:p w14:paraId="30026920" w14:textId="77777777" w:rsidR="00340E78" w:rsidRPr="00340E78" w:rsidRDefault="00340E78" w:rsidP="00340E78">
            <w:pPr>
              <w:keepNext/>
              <w:widowControl w:val="0"/>
              <w:jc w:val="center"/>
              <w:rPr>
                <w:sz w:val="20"/>
                <w:szCs w:val="20"/>
              </w:rPr>
            </w:pPr>
            <w:r w:rsidRPr="00340E78">
              <w:rPr>
                <w:sz w:val="20"/>
                <w:szCs w:val="20"/>
              </w:rPr>
              <w:t>0</w:t>
            </w:r>
          </w:p>
        </w:tc>
        <w:tc>
          <w:tcPr>
            <w:tcW w:w="616" w:type="dxa"/>
            <w:shd w:val="clear" w:color="auto" w:fill="auto"/>
            <w:vAlign w:val="center"/>
          </w:tcPr>
          <w:p w14:paraId="6787C152" w14:textId="77777777" w:rsidR="00340E78" w:rsidRPr="00340E78" w:rsidRDefault="00340E78" w:rsidP="00340E78">
            <w:pPr>
              <w:keepNext/>
              <w:widowControl w:val="0"/>
              <w:jc w:val="center"/>
              <w:rPr>
                <w:sz w:val="20"/>
                <w:szCs w:val="20"/>
              </w:rPr>
            </w:pPr>
            <w:r w:rsidRPr="00340E78">
              <w:rPr>
                <w:sz w:val="20"/>
                <w:szCs w:val="20"/>
              </w:rPr>
              <w:t>0</w:t>
            </w:r>
          </w:p>
        </w:tc>
        <w:tc>
          <w:tcPr>
            <w:tcW w:w="914" w:type="dxa"/>
            <w:shd w:val="clear" w:color="auto" w:fill="auto"/>
            <w:vAlign w:val="center"/>
          </w:tcPr>
          <w:p w14:paraId="5E1058AE" w14:textId="77777777" w:rsidR="00340E78" w:rsidRPr="00340E78" w:rsidRDefault="00340E78" w:rsidP="00340E78">
            <w:pPr>
              <w:keepNext/>
              <w:widowControl w:val="0"/>
              <w:jc w:val="center"/>
              <w:rPr>
                <w:sz w:val="20"/>
                <w:szCs w:val="20"/>
              </w:rPr>
            </w:pPr>
            <w:r w:rsidRPr="00340E78">
              <w:rPr>
                <w:sz w:val="20"/>
                <w:szCs w:val="20"/>
              </w:rPr>
              <w:t>0</w:t>
            </w:r>
          </w:p>
        </w:tc>
        <w:tc>
          <w:tcPr>
            <w:tcW w:w="671" w:type="dxa"/>
            <w:shd w:val="clear" w:color="auto" w:fill="auto"/>
            <w:vAlign w:val="center"/>
          </w:tcPr>
          <w:p w14:paraId="3426E8A6" w14:textId="77777777" w:rsidR="00340E78" w:rsidRPr="00340E78" w:rsidRDefault="00340E78" w:rsidP="00340E78">
            <w:pPr>
              <w:keepNext/>
              <w:widowControl w:val="0"/>
              <w:jc w:val="center"/>
              <w:rPr>
                <w:sz w:val="20"/>
                <w:szCs w:val="20"/>
              </w:rPr>
            </w:pPr>
            <w:r w:rsidRPr="00340E78">
              <w:rPr>
                <w:sz w:val="20"/>
                <w:szCs w:val="20"/>
              </w:rPr>
              <w:t>0</w:t>
            </w:r>
          </w:p>
        </w:tc>
        <w:tc>
          <w:tcPr>
            <w:tcW w:w="949" w:type="dxa"/>
            <w:shd w:val="clear" w:color="auto" w:fill="auto"/>
            <w:vAlign w:val="center"/>
          </w:tcPr>
          <w:p w14:paraId="53B7EF30" w14:textId="77777777" w:rsidR="00340E78" w:rsidRPr="00340E78" w:rsidRDefault="00340E78" w:rsidP="00340E78">
            <w:pPr>
              <w:keepNext/>
              <w:widowControl w:val="0"/>
              <w:jc w:val="center"/>
              <w:rPr>
                <w:sz w:val="20"/>
                <w:szCs w:val="20"/>
              </w:rPr>
            </w:pPr>
            <w:r w:rsidRPr="00340E78">
              <w:rPr>
                <w:sz w:val="20"/>
                <w:szCs w:val="20"/>
              </w:rPr>
              <w:t>0</w:t>
            </w:r>
          </w:p>
        </w:tc>
        <w:tc>
          <w:tcPr>
            <w:tcW w:w="659" w:type="dxa"/>
            <w:shd w:val="clear" w:color="auto" w:fill="auto"/>
            <w:vAlign w:val="center"/>
          </w:tcPr>
          <w:p w14:paraId="525FD7D5" w14:textId="77777777" w:rsidR="00340E78" w:rsidRPr="00340E78" w:rsidRDefault="00340E78" w:rsidP="00340E78">
            <w:pPr>
              <w:keepNext/>
              <w:widowControl w:val="0"/>
              <w:jc w:val="center"/>
              <w:rPr>
                <w:b/>
                <w:sz w:val="20"/>
                <w:szCs w:val="20"/>
              </w:rPr>
            </w:pPr>
            <w:r w:rsidRPr="00340E78">
              <w:rPr>
                <w:b/>
                <w:sz w:val="20"/>
                <w:szCs w:val="20"/>
              </w:rPr>
              <w:t>1</w:t>
            </w:r>
          </w:p>
        </w:tc>
        <w:tc>
          <w:tcPr>
            <w:tcW w:w="900" w:type="dxa"/>
            <w:shd w:val="clear" w:color="auto" w:fill="auto"/>
            <w:vAlign w:val="center"/>
          </w:tcPr>
          <w:p w14:paraId="41E7E696" w14:textId="77777777" w:rsidR="00340E78" w:rsidRPr="00340E78" w:rsidRDefault="00340E78" w:rsidP="00340E78">
            <w:pPr>
              <w:keepNext/>
              <w:widowControl w:val="0"/>
              <w:jc w:val="center"/>
              <w:rPr>
                <w:b/>
                <w:sz w:val="20"/>
                <w:szCs w:val="20"/>
              </w:rPr>
            </w:pPr>
            <w:r w:rsidRPr="00340E78">
              <w:rPr>
                <w:b/>
                <w:sz w:val="20"/>
                <w:szCs w:val="20"/>
              </w:rPr>
              <w:t>1,627</w:t>
            </w:r>
          </w:p>
        </w:tc>
      </w:tr>
      <w:tr w:rsidR="00340E78" w:rsidRPr="00340E78" w14:paraId="011EE636" w14:textId="77777777" w:rsidTr="00594F85">
        <w:trPr>
          <w:trHeight w:val="288"/>
          <w:jc w:val="center"/>
        </w:trPr>
        <w:tc>
          <w:tcPr>
            <w:tcW w:w="2065" w:type="dxa"/>
            <w:shd w:val="clear" w:color="auto" w:fill="auto"/>
            <w:vAlign w:val="center"/>
          </w:tcPr>
          <w:p w14:paraId="4496198D" w14:textId="77777777" w:rsidR="00340E78" w:rsidRPr="00340E78" w:rsidRDefault="00340E78" w:rsidP="00340E78">
            <w:pPr>
              <w:keepNext/>
              <w:widowControl w:val="0"/>
              <w:rPr>
                <w:b/>
                <w:sz w:val="20"/>
                <w:szCs w:val="20"/>
              </w:rPr>
            </w:pPr>
            <w:r w:rsidRPr="00340E78">
              <w:rPr>
                <w:b/>
                <w:sz w:val="20"/>
                <w:szCs w:val="20"/>
              </w:rPr>
              <w:t>Subtotal</w:t>
            </w:r>
          </w:p>
        </w:tc>
        <w:tc>
          <w:tcPr>
            <w:tcW w:w="630" w:type="dxa"/>
            <w:shd w:val="clear" w:color="auto" w:fill="auto"/>
            <w:vAlign w:val="center"/>
          </w:tcPr>
          <w:p w14:paraId="4D5EFE14" w14:textId="77777777" w:rsidR="00340E78" w:rsidRPr="00340E78" w:rsidRDefault="00340E78" w:rsidP="00340E78">
            <w:pPr>
              <w:keepNext/>
              <w:widowControl w:val="0"/>
              <w:jc w:val="center"/>
              <w:rPr>
                <w:b/>
                <w:sz w:val="20"/>
                <w:szCs w:val="20"/>
              </w:rPr>
            </w:pPr>
            <w:r w:rsidRPr="00340E78">
              <w:rPr>
                <w:b/>
                <w:sz w:val="20"/>
                <w:szCs w:val="20"/>
              </w:rPr>
              <w:t>9</w:t>
            </w:r>
          </w:p>
        </w:tc>
        <w:tc>
          <w:tcPr>
            <w:tcW w:w="886" w:type="dxa"/>
            <w:shd w:val="clear" w:color="auto" w:fill="auto"/>
            <w:vAlign w:val="center"/>
          </w:tcPr>
          <w:p w14:paraId="50462686" w14:textId="77777777" w:rsidR="00340E78" w:rsidRPr="00340E78" w:rsidRDefault="00340E78" w:rsidP="00340E78">
            <w:pPr>
              <w:keepNext/>
              <w:widowControl w:val="0"/>
              <w:jc w:val="center"/>
              <w:rPr>
                <w:b/>
                <w:sz w:val="20"/>
                <w:szCs w:val="20"/>
              </w:rPr>
            </w:pPr>
            <w:r w:rsidRPr="00340E78">
              <w:rPr>
                <w:b/>
                <w:sz w:val="20"/>
                <w:szCs w:val="20"/>
              </w:rPr>
              <w:t>13,090</w:t>
            </w:r>
          </w:p>
        </w:tc>
        <w:tc>
          <w:tcPr>
            <w:tcW w:w="644" w:type="dxa"/>
            <w:shd w:val="clear" w:color="auto" w:fill="auto"/>
            <w:vAlign w:val="center"/>
          </w:tcPr>
          <w:p w14:paraId="2E40B3AE" w14:textId="77777777" w:rsidR="00340E78" w:rsidRPr="00340E78" w:rsidRDefault="00340E78" w:rsidP="00340E78">
            <w:pPr>
              <w:keepNext/>
              <w:widowControl w:val="0"/>
              <w:jc w:val="center"/>
              <w:rPr>
                <w:b/>
                <w:sz w:val="20"/>
                <w:szCs w:val="20"/>
              </w:rPr>
            </w:pPr>
            <w:r w:rsidRPr="00340E78">
              <w:rPr>
                <w:b/>
                <w:sz w:val="20"/>
                <w:szCs w:val="20"/>
              </w:rPr>
              <w:t>0</w:t>
            </w:r>
          </w:p>
        </w:tc>
        <w:tc>
          <w:tcPr>
            <w:tcW w:w="886" w:type="dxa"/>
            <w:shd w:val="clear" w:color="auto" w:fill="auto"/>
            <w:vAlign w:val="center"/>
          </w:tcPr>
          <w:p w14:paraId="0339DB41" w14:textId="77777777" w:rsidR="00340E78" w:rsidRPr="00340E78" w:rsidRDefault="00340E78" w:rsidP="00340E78">
            <w:pPr>
              <w:keepNext/>
              <w:widowControl w:val="0"/>
              <w:jc w:val="center"/>
              <w:rPr>
                <w:b/>
                <w:sz w:val="20"/>
                <w:szCs w:val="20"/>
              </w:rPr>
            </w:pPr>
            <w:r w:rsidRPr="00340E78">
              <w:rPr>
                <w:b/>
                <w:sz w:val="20"/>
                <w:szCs w:val="20"/>
              </w:rPr>
              <w:t>0</w:t>
            </w:r>
          </w:p>
        </w:tc>
        <w:tc>
          <w:tcPr>
            <w:tcW w:w="616" w:type="dxa"/>
            <w:shd w:val="clear" w:color="auto" w:fill="auto"/>
            <w:vAlign w:val="center"/>
          </w:tcPr>
          <w:p w14:paraId="5D9CF333" w14:textId="77777777" w:rsidR="00340E78" w:rsidRPr="00340E78" w:rsidRDefault="00340E78" w:rsidP="00340E78">
            <w:pPr>
              <w:keepNext/>
              <w:widowControl w:val="0"/>
              <w:jc w:val="center"/>
              <w:rPr>
                <w:b/>
                <w:sz w:val="20"/>
                <w:szCs w:val="20"/>
              </w:rPr>
            </w:pPr>
            <w:r w:rsidRPr="00340E78">
              <w:rPr>
                <w:b/>
                <w:sz w:val="20"/>
                <w:szCs w:val="20"/>
              </w:rPr>
              <w:t>0</w:t>
            </w:r>
          </w:p>
        </w:tc>
        <w:tc>
          <w:tcPr>
            <w:tcW w:w="914" w:type="dxa"/>
            <w:shd w:val="clear" w:color="auto" w:fill="auto"/>
            <w:vAlign w:val="center"/>
          </w:tcPr>
          <w:p w14:paraId="692ADA46" w14:textId="77777777" w:rsidR="00340E78" w:rsidRPr="00340E78" w:rsidRDefault="00340E78" w:rsidP="00340E78">
            <w:pPr>
              <w:keepNext/>
              <w:widowControl w:val="0"/>
              <w:jc w:val="center"/>
              <w:rPr>
                <w:b/>
                <w:sz w:val="20"/>
                <w:szCs w:val="20"/>
              </w:rPr>
            </w:pPr>
            <w:r w:rsidRPr="00340E78">
              <w:rPr>
                <w:b/>
                <w:sz w:val="20"/>
                <w:szCs w:val="20"/>
              </w:rPr>
              <w:t>0</w:t>
            </w:r>
          </w:p>
        </w:tc>
        <w:tc>
          <w:tcPr>
            <w:tcW w:w="671" w:type="dxa"/>
            <w:shd w:val="clear" w:color="auto" w:fill="auto"/>
            <w:vAlign w:val="center"/>
          </w:tcPr>
          <w:p w14:paraId="2C048BBE" w14:textId="77777777" w:rsidR="00340E78" w:rsidRPr="00340E78" w:rsidRDefault="00340E78" w:rsidP="00340E78">
            <w:pPr>
              <w:keepNext/>
              <w:widowControl w:val="0"/>
              <w:jc w:val="center"/>
              <w:rPr>
                <w:b/>
                <w:sz w:val="20"/>
                <w:szCs w:val="20"/>
              </w:rPr>
            </w:pPr>
            <w:r w:rsidRPr="00340E78">
              <w:rPr>
                <w:b/>
                <w:sz w:val="20"/>
                <w:szCs w:val="20"/>
              </w:rPr>
              <w:t>1</w:t>
            </w:r>
          </w:p>
        </w:tc>
        <w:tc>
          <w:tcPr>
            <w:tcW w:w="949" w:type="dxa"/>
            <w:shd w:val="clear" w:color="auto" w:fill="auto"/>
            <w:vAlign w:val="center"/>
          </w:tcPr>
          <w:p w14:paraId="4571C978" w14:textId="77777777" w:rsidR="00340E78" w:rsidRPr="00340E78" w:rsidRDefault="00340E78" w:rsidP="00340E78">
            <w:pPr>
              <w:keepNext/>
              <w:widowControl w:val="0"/>
              <w:jc w:val="center"/>
              <w:rPr>
                <w:b/>
                <w:sz w:val="20"/>
                <w:szCs w:val="20"/>
              </w:rPr>
            </w:pPr>
            <w:r w:rsidRPr="00340E78">
              <w:rPr>
                <w:b/>
                <w:sz w:val="20"/>
                <w:szCs w:val="20"/>
              </w:rPr>
              <w:t>500</w:t>
            </w:r>
          </w:p>
        </w:tc>
        <w:tc>
          <w:tcPr>
            <w:tcW w:w="659" w:type="dxa"/>
            <w:shd w:val="clear" w:color="auto" w:fill="auto"/>
            <w:vAlign w:val="center"/>
          </w:tcPr>
          <w:p w14:paraId="394AEB71" w14:textId="77777777" w:rsidR="00340E78" w:rsidRPr="00340E78" w:rsidRDefault="00340E78" w:rsidP="00340E78">
            <w:pPr>
              <w:keepNext/>
              <w:widowControl w:val="0"/>
              <w:jc w:val="center"/>
              <w:rPr>
                <w:b/>
                <w:sz w:val="20"/>
                <w:szCs w:val="20"/>
              </w:rPr>
            </w:pPr>
            <w:r w:rsidRPr="00340E78">
              <w:rPr>
                <w:b/>
                <w:sz w:val="20"/>
                <w:szCs w:val="20"/>
              </w:rPr>
              <w:t>10</w:t>
            </w:r>
          </w:p>
        </w:tc>
        <w:tc>
          <w:tcPr>
            <w:tcW w:w="900" w:type="dxa"/>
            <w:shd w:val="clear" w:color="auto" w:fill="auto"/>
            <w:vAlign w:val="center"/>
          </w:tcPr>
          <w:p w14:paraId="0A3728A5" w14:textId="77777777" w:rsidR="00340E78" w:rsidRPr="00340E78" w:rsidRDefault="00340E78" w:rsidP="00340E78">
            <w:pPr>
              <w:keepNext/>
              <w:widowControl w:val="0"/>
              <w:jc w:val="center"/>
              <w:rPr>
                <w:b/>
                <w:sz w:val="20"/>
                <w:szCs w:val="20"/>
              </w:rPr>
            </w:pPr>
            <w:r w:rsidRPr="00340E78">
              <w:rPr>
                <w:b/>
                <w:sz w:val="20"/>
                <w:szCs w:val="20"/>
              </w:rPr>
              <w:t>13,590</w:t>
            </w:r>
          </w:p>
        </w:tc>
      </w:tr>
      <w:tr w:rsidR="00340E78" w:rsidRPr="00340E78" w14:paraId="5D218FBC" w14:textId="77777777" w:rsidTr="00594F85">
        <w:trPr>
          <w:trHeight w:val="288"/>
          <w:jc w:val="center"/>
        </w:trPr>
        <w:tc>
          <w:tcPr>
            <w:tcW w:w="2065" w:type="dxa"/>
            <w:shd w:val="clear" w:color="auto" w:fill="auto"/>
            <w:vAlign w:val="center"/>
          </w:tcPr>
          <w:p w14:paraId="197255CC" w14:textId="77777777" w:rsidR="00340E78" w:rsidRPr="00340E78" w:rsidRDefault="00340E78" w:rsidP="00340E78">
            <w:pPr>
              <w:keepNext/>
              <w:widowControl w:val="0"/>
              <w:rPr>
                <w:sz w:val="20"/>
                <w:szCs w:val="20"/>
              </w:rPr>
            </w:pPr>
            <w:r w:rsidRPr="00340E78">
              <w:rPr>
                <w:sz w:val="20"/>
                <w:szCs w:val="20"/>
              </w:rPr>
              <w:t>Qualified Grants &amp; Donations</w:t>
            </w:r>
          </w:p>
        </w:tc>
        <w:tc>
          <w:tcPr>
            <w:tcW w:w="630" w:type="dxa"/>
            <w:shd w:val="clear" w:color="auto" w:fill="auto"/>
            <w:vAlign w:val="center"/>
          </w:tcPr>
          <w:p w14:paraId="52524515" w14:textId="77777777" w:rsidR="00340E78" w:rsidRPr="00340E78" w:rsidRDefault="00340E78" w:rsidP="00340E78">
            <w:pPr>
              <w:keepNext/>
              <w:widowControl w:val="0"/>
              <w:jc w:val="center"/>
              <w:rPr>
                <w:sz w:val="20"/>
                <w:szCs w:val="20"/>
              </w:rPr>
            </w:pPr>
            <w:r w:rsidRPr="00340E78">
              <w:rPr>
                <w:sz w:val="20"/>
                <w:szCs w:val="20"/>
              </w:rPr>
              <w:t>55</w:t>
            </w:r>
          </w:p>
        </w:tc>
        <w:tc>
          <w:tcPr>
            <w:tcW w:w="886" w:type="dxa"/>
            <w:shd w:val="clear" w:color="auto" w:fill="auto"/>
            <w:vAlign w:val="center"/>
          </w:tcPr>
          <w:p w14:paraId="39311108" w14:textId="77777777" w:rsidR="00340E78" w:rsidRPr="00340E78" w:rsidRDefault="00340E78" w:rsidP="00340E78">
            <w:pPr>
              <w:keepNext/>
              <w:widowControl w:val="0"/>
              <w:jc w:val="center"/>
              <w:rPr>
                <w:sz w:val="20"/>
                <w:szCs w:val="20"/>
              </w:rPr>
            </w:pPr>
            <w:r w:rsidRPr="00340E78">
              <w:rPr>
                <w:sz w:val="20"/>
                <w:szCs w:val="20"/>
              </w:rPr>
              <w:t>105</w:t>
            </w:r>
          </w:p>
        </w:tc>
        <w:tc>
          <w:tcPr>
            <w:tcW w:w="644" w:type="dxa"/>
            <w:shd w:val="clear" w:color="auto" w:fill="auto"/>
            <w:vAlign w:val="center"/>
          </w:tcPr>
          <w:p w14:paraId="2A672C56" w14:textId="77777777" w:rsidR="00340E78" w:rsidRPr="00340E78" w:rsidRDefault="00340E78" w:rsidP="00340E78">
            <w:pPr>
              <w:keepNext/>
              <w:widowControl w:val="0"/>
              <w:jc w:val="center"/>
              <w:rPr>
                <w:sz w:val="20"/>
                <w:szCs w:val="20"/>
              </w:rPr>
            </w:pPr>
            <w:r w:rsidRPr="00340E78">
              <w:rPr>
                <w:sz w:val="20"/>
                <w:szCs w:val="20"/>
              </w:rPr>
              <w:t>510</w:t>
            </w:r>
          </w:p>
        </w:tc>
        <w:tc>
          <w:tcPr>
            <w:tcW w:w="886" w:type="dxa"/>
            <w:shd w:val="clear" w:color="auto" w:fill="auto"/>
            <w:vAlign w:val="center"/>
          </w:tcPr>
          <w:p w14:paraId="531C9D35" w14:textId="77777777" w:rsidR="00340E78" w:rsidRPr="00340E78" w:rsidRDefault="00340E78" w:rsidP="00340E78">
            <w:pPr>
              <w:keepNext/>
              <w:widowControl w:val="0"/>
              <w:jc w:val="center"/>
              <w:rPr>
                <w:sz w:val="20"/>
                <w:szCs w:val="20"/>
              </w:rPr>
            </w:pPr>
            <w:r w:rsidRPr="00340E78">
              <w:rPr>
                <w:sz w:val="20"/>
                <w:szCs w:val="20"/>
              </w:rPr>
              <w:t>885</w:t>
            </w:r>
          </w:p>
        </w:tc>
        <w:tc>
          <w:tcPr>
            <w:tcW w:w="616" w:type="dxa"/>
            <w:shd w:val="clear" w:color="auto" w:fill="auto"/>
            <w:vAlign w:val="center"/>
          </w:tcPr>
          <w:p w14:paraId="0BC7DC6A" w14:textId="77777777" w:rsidR="00340E78" w:rsidRPr="00340E78" w:rsidRDefault="00340E78" w:rsidP="00340E78">
            <w:pPr>
              <w:keepNext/>
              <w:widowControl w:val="0"/>
              <w:jc w:val="center"/>
              <w:rPr>
                <w:sz w:val="20"/>
                <w:szCs w:val="20"/>
              </w:rPr>
            </w:pPr>
            <w:r w:rsidRPr="00340E78">
              <w:rPr>
                <w:sz w:val="20"/>
                <w:szCs w:val="20"/>
              </w:rPr>
              <w:t>49</w:t>
            </w:r>
          </w:p>
        </w:tc>
        <w:tc>
          <w:tcPr>
            <w:tcW w:w="914" w:type="dxa"/>
            <w:shd w:val="clear" w:color="auto" w:fill="auto"/>
            <w:vAlign w:val="center"/>
          </w:tcPr>
          <w:p w14:paraId="0D5F800A" w14:textId="77777777" w:rsidR="00340E78" w:rsidRPr="00340E78" w:rsidRDefault="00340E78" w:rsidP="00340E78">
            <w:pPr>
              <w:keepNext/>
              <w:widowControl w:val="0"/>
              <w:jc w:val="center"/>
              <w:rPr>
                <w:sz w:val="20"/>
                <w:szCs w:val="20"/>
              </w:rPr>
            </w:pPr>
            <w:r w:rsidRPr="00340E78">
              <w:rPr>
                <w:sz w:val="20"/>
                <w:szCs w:val="20"/>
              </w:rPr>
              <w:t>73</w:t>
            </w:r>
          </w:p>
        </w:tc>
        <w:tc>
          <w:tcPr>
            <w:tcW w:w="671" w:type="dxa"/>
            <w:shd w:val="clear" w:color="auto" w:fill="auto"/>
            <w:vAlign w:val="center"/>
          </w:tcPr>
          <w:p w14:paraId="23BFB595" w14:textId="77777777" w:rsidR="00340E78" w:rsidRPr="00340E78" w:rsidRDefault="00340E78" w:rsidP="00340E78">
            <w:pPr>
              <w:keepNext/>
              <w:widowControl w:val="0"/>
              <w:jc w:val="center"/>
              <w:rPr>
                <w:sz w:val="20"/>
                <w:szCs w:val="20"/>
              </w:rPr>
            </w:pPr>
            <w:r w:rsidRPr="00340E78">
              <w:rPr>
                <w:sz w:val="20"/>
                <w:szCs w:val="20"/>
              </w:rPr>
              <w:t>0</w:t>
            </w:r>
          </w:p>
        </w:tc>
        <w:tc>
          <w:tcPr>
            <w:tcW w:w="949" w:type="dxa"/>
            <w:shd w:val="clear" w:color="auto" w:fill="auto"/>
            <w:vAlign w:val="center"/>
          </w:tcPr>
          <w:p w14:paraId="0CA5E694" w14:textId="77777777" w:rsidR="00340E78" w:rsidRPr="00340E78" w:rsidRDefault="00340E78" w:rsidP="00340E78">
            <w:pPr>
              <w:keepNext/>
              <w:widowControl w:val="0"/>
              <w:jc w:val="center"/>
              <w:rPr>
                <w:sz w:val="20"/>
                <w:szCs w:val="20"/>
              </w:rPr>
            </w:pPr>
            <w:r w:rsidRPr="00340E78">
              <w:rPr>
                <w:sz w:val="20"/>
                <w:szCs w:val="20"/>
              </w:rPr>
              <w:t>0</w:t>
            </w:r>
          </w:p>
        </w:tc>
        <w:tc>
          <w:tcPr>
            <w:tcW w:w="659" w:type="dxa"/>
            <w:shd w:val="clear" w:color="auto" w:fill="auto"/>
            <w:vAlign w:val="center"/>
          </w:tcPr>
          <w:p w14:paraId="538B8040" w14:textId="77777777" w:rsidR="00340E78" w:rsidRPr="00340E78" w:rsidRDefault="00340E78" w:rsidP="00340E78">
            <w:pPr>
              <w:keepNext/>
              <w:widowControl w:val="0"/>
              <w:jc w:val="center"/>
              <w:rPr>
                <w:b/>
                <w:sz w:val="20"/>
                <w:szCs w:val="20"/>
              </w:rPr>
            </w:pPr>
            <w:r w:rsidRPr="00340E78">
              <w:rPr>
                <w:b/>
                <w:sz w:val="20"/>
                <w:szCs w:val="20"/>
              </w:rPr>
              <w:t>614</w:t>
            </w:r>
          </w:p>
        </w:tc>
        <w:tc>
          <w:tcPr>
            <w:tcW w:w="900" w:type="dxa"/>
            <w:shd w:val="clear" w:color="auto" w:fill="auto"/>
            <w:vAlign w:val="center"/>
          </w:tcPr>
          <w:p w14:paraId="29C3F1D7" w14:textId="77777777" w:rsidR="00340E78" w:rsidRPr="00340E78" w:rsidRDefault="00340E78" w:rsidP="00340E78">
            <w:pPr>
              <w:keepNext/>
              <w:widowControl w:val="0"/>
              <w:jc w:val="center"/>
              <w:rPr>
                <w:b/>
                <w:sz w:val="20"/>
                <w:szCs w:val="20"/>
              </w:rPr>
            </w:pPr>
            <w:r w:rsidRPr="00340E78">
              <w:rPr>
                <w:b/>
                <w:sz w:val="20"/>
                <w:szCs w:val="20"/>
              </w:rPr>
              <w:t>1,063</w:t>
            </w:r>
          </w:p>
        </w:tc>
      </w:tr>
      <w:tr w:rsidR="00340E78" w:rsidRPr="00340E78" w14:paraId="40D69D8E" w14:textId="77777777" w:rsidTr="00594F85">
        <w:trPr>
          <w:trHeight w:val="288"/>
          <w:jc w:val="center"/>
        </w:trPr>
        <w:tc>
          <w:tcPr>
            <w:tcW w:w="2065" w:type="dxa"/>
            <w:shd w:val="clear" w:color="auto" w:fill="auto"/>
            <w:vAlign w:val="center"/>
          </w:tcPr>
          <w:p w14:paraId="6B93F5D6" w14:textId="77777777" w:rsidR="00340E78" w:rsidRPr="00340E78" w:rsidRDefault="00340E78" w:rsidP="00340E78">
            <w:pPr>
              <w:keepNext/>
              <w:widowControl w:val="0"/>
              <w:rPr>
                <w:b/>
                <w:sz w:val="20"/>
                <w:szCs w:val="20"/>
              </w:rPr>
            </w:pPr>
            <w:r w:rsidRPr="00340E78">
              <w:rPr>
                <w:b/>
                <w:sz w:val="20"/>
                <w:szCs w:val="20"/>
              </w:rPr>
              <w:t>Total</w:t>
            </w:r>
          </w:p>
        </w:tc>
        <w:tc>
          <w:tcPr>
            <w:tcW w:w="630" w:type="dxa"/>
            <w:shd w:val="clear" w:color="auto" w:fill="auto"/>
            <w:vAlign w:val="center"/>
          </w:tcPr>
          <w:p w14:paraId="264B0B14" w14:textId="77777777" w:rsidR="00340E78" w:rsidRPr="00340E78" w:rsidRDefault="00340E78" w:rsidP="00340E78">
            <w:pPr>
              <w:keepNext/>
              <w:widowControl w:val="0"/>
              <w:jc w:val="center"/>
              <w:rPr>
                <w:b/>
                <w:sz w:val="20"/>
                <w:szCs w:val="20"/>
              </w:rPr>
            </w:pPr>
            <w:r w:rsidRPr="00340E78">
              <w:rPr>
                <w:b/>
                <w:sz w:val="20"/>
                <w:szCs w:val="20"/>
              </w:rPr>
              <w:t>64</w:t>
            </w:r>
          </w:p>
        </w:tc>
        <w:tc>
          <w:tcPr>
            <w:tcW w:w="886" w:type="dxa"/>
            <w:shd w:val="clear" w:color="auto" w:fill="auto"/>
            <w:vAlign w:val="center"/>
          </w:tcPr>
          <w:p w14:paraId="27F4CD51" w14:textId="77777777" w:rsidR="00340E78" w:rsidRPr="00340E78" w:rsidRDefault="00340E78" w:rsidP="00340E78">
            <w:pPr>
              <w:keepNext/>
              <w:widowControl w:val="0"/>
              <w:jc w:val="center"/>
              <w:rPr>
                <w:b/>
                <w:sz w:val="20"/>
                <w:szCs w:val="20"/>
              </w:rPr>
            </w:pPr>
            <w:r w:rsidRPr="00340E78">
              <w:rPr>
                <w:b/>
                <w:sz w:val="20"/>
                <w:szCs w:val="20"/>
              </w:rPr>
              <w:t>13,195</w:t>
            </w:r>
          </w:p>
        </w:tc>
        <w:tc>
          <w:tcPr>
            <w:tcW w:w="644" w:type="dxa"/>
            <w:shd w:val="clear" w:color="auto" w:fill="auto"/>
            <w:vAlign w:val="center"/>
          </w:tcPr>
          <w:p w14:paraId="7575681A" w14:textId="77777777" w:rsidR="00340E78" w:rsidRPr="00340E78" w:rsidRDefault="00340E78" w:rsidP="00340E78">
            <w:pPr>
              <w:keepNext/>
              <w:widowControl w:val="0"/>
              <w:jc w:val="center"/>
              <w:rPr>
                <w:b/>
                <w:sz w:val="20"/>
                <w:szCs w:val="20"/>
              </w:rPr>
            </w:pPr>
            <w:r w:rsidRPr="00340E78">
              <w:rPr>
                <w:b/>
                <w:sz w:val="20"/>
                <w:szCs w:val="20"/>
              </w:rPr>
              <w:t>510</w:t>
            </w:r>
          </w:p>
        </w:tc>
        <w:tc>
          <w:tcPr>
            <w:tcW w:w="886" w:type="dxa"/>
            <w:shd w:val="clear" w:color="auto" w:fill="auto"/>
            <w:vAlign w:val="center"/>
          </w:tcPr>
          <w:p w14:paraId="342798D2" w14:textId="77777777" w:rsidR="00340E78" w:rsidRPr="00340E78" w:rsidRDefault="00340E78" w:rsidP="00340E78">
            <w:pPr>
              <w:keepNext/>
              <w:widowControl w:val="0"/>
              <w:jc w:val="center"/>
              <w:rPr>
                <w:b/>
                <w:sz w:val="20"/>
                <w:szCs w:val="20"/>
              </w:rPr>
            </w:pPr>
            <w:r w:rsidRPr="00340E78">
              <w:rPr>
                <w:b/>
                <w:sz w:val="20"/>
                <w:szCs w:val="20"/>
              </w:rPr>
              <w:t>885</w:t>
            </w:r>
          </w:p>
        </w:tc>
        <w:tc>
          <w:tcPr>
            <w:tcW w:w="616" w:type="dxa"/>
            <w:shd w:val="clear" w:color="auto" w:fill="auto"/>
            <w:vAlign w:val="center"/>
          </w:tcPr>
          <w:p w14:paraId="6E1E6F00" w14:textId="77777777" w:rsidR="00340E78" w:rsidRPr="00340E78" w:rsidRDefault="00340E78" w:rsidP="00340E78">
            <w:pPr>
              <w:keepNext/>
              <w:widowControl w:val="0"/>
              <w:jc w:val="center"/>
              <w:rPr>
                <w:b/>
                <w:sz w:val="20"/>
                <w:szCs w:val="20"/>
              </w:rPr>
            </w:pPr>
            <w:r w:rsidRPr="00340E78">
              <w:rPr>
                <w:b/>
                <w:sz w:val="20"/>
                <w:szCs w:val="20"/>
              </w:rPr>
              <w:t>49</w:t>
            </w:r>
          </w:p>
        </w:tc>
        <w:tc>
          <w:tcPr>
            <w:tcW w:w="914" w:type="dxa"/>
            <w:shd w:val="clear" w:color="auto" w:fill="auto"/>
            <w:vAlign w:val="center"/>
          </w:tcPr>
          <w:p w14:paraId="2095547A" w14:textId="77777777" w:rsidR="00340E78" w:rsidRPr="00340E78" w:rsidRDefault="00340E78" w:rsidP="00340E78">
            <w:pPr>
              <w:keepNext/>
              <w:widowControl w:val="0"/>
              <w:jc w:val="center"/>
              <w:rPr>
                <w:b/>
                <w:sz w:val="20"/>
                <w:szCs w:val="20"/>
              </w:rPr>
            </w:pPr>
            <w:r w:rsidRPr="00340E78">
              <w:rPr>
                <w:b/>
                <w:sz w:val="20"/>
                <w:szCs w:val="20"/>
              </w:rPr>
              <w:t>73</w:t>
            </w:r>
          </w:p>
        </w:tc>
        <w:tc>
          <w:tcPr>
            <w:tcW w:w="671" w:type="dxa"/>
            <w:shd w:val="clear" w:color="auto" w:fill="auto"/>
            <w:vAlign w:val="center"/>
          </w:tcPr>
          <w:p w14:paraId="1BD6A15E" w14:textId="77777777" w:rsidR="00340E78" w:rsidRPr="00340E78" w:rsidRDefault="00340E78" w:rsidP="00340E78">
            <w:pPr>
              <w:keepNext/>
              <w:widowControl w:val="0"/>
              <w:jc w:val="center"/>
              <w:rPr>
                <w:b/>
                <w:sz w:val="20"/>
                <w:szCs w:val="20"/>
              </w:rPr>
            </w:pPr>
            <w:r w:rsidRPr="00340E78">
              <w:rPr>
                <w:b/>
                <w:sz w:val="20"/>
                <w:szCs w:val="20"/>
              </w:rPr>
              <w:t>1</w:t>
            </w:r>
          </w:p>
        </w:tc>
        <w:tc>
          <w:tcPr>
            <w:tcW w:w="949" w:type="dxa"/>
            <w:shd w:val="clear" w:color="auto" w:fill="auto"/>
            <w:vAlign w:val="center"/>
          </w:tcPr>
          <w:p w14:paraId="13F94CD9" w14:textId="77777777" w:rsidR="00340E78" w:rsidRPr="00340E78" w:rsidRDefault="00340E78" w:rsidP="00340E78">
            <w:pPr>
              <w:keepNext/>
              <w:widowControl w:val="0"/>
              <w:jc w:val="center"/>
              <w:rPr>
                <w:b/>
                <w:sz w:val="20"/>
                <w:szCs w:val="20"/>
              </w:rPr>
            </w:pPr>
            <w:r w:rsidRPr="00340E78">
              <w:rPr>
                <w:b/>
                <w:sz w:val="20"/>
                <w:szCs w:val="20"/>
              </w:rPr>
              <w:t>500</w:t>
            </w:r>
          </w:p>
        </w:tc>
        <w:tc>
          <w:tcPr>
            <w:tcW w:w="659" w:type="dxa"/>
            <w:shd w:val="clear" w:color="auto" w:fill="auto"/>
            <w:vAlign w:val="center"/>
          </w:tcPr>
          <w:p w14:paraId="5E05CF10" w14:textId="77777777" w:rsidR="00340E78" w:rsidRPr="00340E78" w:rsidRDefault="00340E78" w:rsidP="00340E78">
            <w:pPr>
              <w:keepNext/>
              <w:widowControl w:val="0"/>
              <w:jc w:val="center"/>
              <w:rPr>
                <w:b/>
                <w:sz w:val="20"/>
                <w:szCs w:val="20"/>
              </w:rPr>
            </w:pPr>
            <w:r w:rsidRPr="00340E78">
              <w:rPr>
                <w:b/>
                <w:sz w:val="20"/>
                <w:szCs w:val="20"/>
              </w:rPr>
              <w:t>624</w:t>
            </w:r>
          </w:p>
        </w:tc>
        <w:tc>
          <w:tcPr>
            <w:tcW w:w="900" w:type="dxa"/>
            <w:shd w:val="clear" w:color="auto" w:fill="auto"/>
            <w:vAlign w:val="center"/>
          </w:tcPr>
          <w:p w14:paraId="1FE5756D" w14:textId="77777777" w:rsidR="00340E78" w:rsidRPr="00340E78" w:rsidRDefault="00340E78" w:rsidP="00340E78">
            <w:pPr>
              <w:keepNext/>
              <w:widowControl w:val="0"/>
              <w:jc w:val="center"/>
              <w:rPr>
                <w:b/>
                <w:sz w:val="20"/>
                <w:szCs w:val="20"/>
              </w:rPr>
            </w:pPr>
            <w:r w:rsidRPr="00340E78">
              <w:rPr>
                <w:b/>
                <w:sz w:val="20"/>
                <w:szCs w:val="20"/>
              </w:rPr>
              <w:t>14,653</w:t>
            </w:r>
          </w:p>
        </w:tc>
      </w:tr>
      <w:tr w:rsidR="00340E78" w:rsidRPr="00340E78" w14:paraId="04E7885E" w14:textId="77777777" w:rsidTr="00340E78">
        <w:trPr>
          <w:trHeight w:val="288"/>
          <w:jc w:val="center"/>
        </w:trPr>
        <w:tc>
          <w:tcPr>
            <w:tcW w:w="9820" w:type="dxa"/>
            <w:gridSpan w:val="11"/>
            <w:shd w:val="clear" w:color="auto" w:fill="auto"/>
            <w:vAlign w:val="center"/>
          </w:tcPr>
          <w:p w14:paraId="04672AF4" w14:textId="77777777" w:rsidR="00340E78" w:rsidRPr="00340E78" w:rsidRDefault="00340E78" w:rsidP="00340E78">
            <w:pPr>
              <w:keepNext/>
              <w:widowControl w:val="0"/>
              <w:rPr>
                <w:b/>
                <w:sz w:val="20"/>
                <w:szCs w:val="20"/>
              </w:rPr>
            </w:pPr>
            <w:r w:rsidRPr="00340E78">
              <w:rPr>
                <w:i/>
                <w:sz w:val="16"/>
                <w:szCs w:val="16"/>
              </w:rPr>
              <w:t xml:space="preserve">Source:  Bank Data </w:t>
            </w:r>
          </w:p>
        </w:tc>
      </w:tr>
    </w:tbl>
    <w:p w14:paraId="41673AB1" w14:textId="77777777" w:rsidR="00340E78" w:rsidRPr="00340E78" w:rsidRDefault="00340E78" w:rsidP="00340E78">
      <w:pPr>
        <w:autoSpaceDE w:val="0"/>
        <w:autoSpaceDN w:val="0"/>
        <w:adjustRightInd w:val="0"/>
        <w:rPr>
          <w:sz w:val="23"/>
          <w:szCs w:val="23"/>
          <w:u w:val="single"/>
        </w:rPr>
      </w:pPr>
    </w:p>
    <w:p w14:paraId="30436926" w14:textId="77777777" w:rsidR="00340E78" w:rsidRPr="00A81204" w:rsidRDefault="00340E78" w:rsidP="00340E78">
      <w:pPr>
        <w:autoSpaceDE w:val="0"/>
        <w:autoSpaceDN w:val="0"/>
        <w:adjustRightInd w:val="0"/>
        <w:rPr>
          <w:b/>
          <w:i/>
          <w:sz w:val="23"/>
          <w:szCs w:val="23"/>
          <w:u w:val="single"/>
        </w:rPr>
      </w:pPr>
      <w:r w:rsidRPr="00A81204">
        <w:rPr>
          <w:b/>
          <w:i/>
          <w:sz w:val="23"/>
          <w:szCs w:val="23"/>
          <w:u w:val="single"/>
        </w:rPr>
        <w:t>Equity Investments</w:t>
      </w:r>
    </w:p>
    <w:p w14:paraId="2525B045" w14:textId="77777777" w:rsidR="00340E78" w:rsidRPr="00340E78" w:rsidRDefault="00340E78" w:rsidP="00340E78">
      <w:pPr>
        <w:autoSpaceDE w:val="0"/>
        <w:autoSpaceDN w:val="0"/>
        <w:adjustRightInd w:val="0"/>
        <w:rPr>
          <w:b/>
          <w:i/>
          <w:sz w:val="23"/>
          <w:szCs w:val="23"/>
          <w:u w:val="single"/>
        </w:rPr>
      </w:pPr>
    </w:p>
    <w:p w14:paraId="31E81C43" w14:textId="4945C75A" w:rsidR="00340E78" w:rsidRPr="00340E78" w:rsidRDefault="00340E78" w:rsidP="000A3E9C">
      <w:pPr>
        <w:autoSpaceDE w:val="0"/>
        <w:autoSpaceDN w:val="0"/>
        <w:adjustRightInd w:val="0"/>
        <w:rPr>
          <w:szCs w:val="23"/>
        </w:rPr>
      </w:pPr>
      <w:r w:rsidRPr="00340E78">
        <w:rPr>
          <w:szCs w:val="23"/>
        </w:rPr>
        <w:t xml:space="preserve">The bank has </w:t>
      </w:r>
      <w:r w:rsidR="00944E23">
        <w:rPr>
          <w:szCs w:val="23"/>
        </w:rPr>
        <w:t>10</w:t>
      </w:r>
      <w:r w:rsidR="00944E23" w:rsidRPr="00340E78">
        <w:rPr>
          <w:szCs w:val="23"/>
        </w:rPr>
        <w:t xml:space="preserve"> </w:t>
      </w:r>
      <w:r w:rsidRPr="00340E78">
        <w:rPr>
          <w:szCs w:val="23"/>
        </w:rPr>
        <w:t xml:space="preserve">qualified equity investments totaling </w:t>
      </w:r>
      <w:r w:rsidR="00B1616C">
        <w:rPr>
          <w:szCs w:val="23"/>
        </w:rPr>
        <w:t xml:space="preserve">approximately </w:t>
      </w:r>
      <w:r w:rsidRPr="00340E78">
        <w:rPr>
          <w:szCs w:val="23"/>
        </w:rPr>
        <w:t>$</w:t>
      </w:r>
      <w:r w:rsidR="00944E23">
        <w:rPr>
          <w:szCs w:val="23"/>
        </w:rPr>
        <w:t>13.6</w:t>
      </w:r>
      <w:r w:rsidRPr="00340E78">
        <w:rPr>
          <w:szCs w:val="23"/>
        </w:rPr>
        <w:t xml:space="preserve"> million.  Seven investments totaling $10.1 million are new and three investments totaling $3.5 million remain from the prior period.  The total dollar amount of equity investments equates to 0.2 percent of average total assets and 62.1 percent of average total securities since the previous evaluation</w:t>
      </w:r>
      <w:r w:rsidR="008C541F" w:rsidRPr="00340E78">
        <w:rPr>
          <w:szCs w:val="23"/>
        </w:rPr>
        <w:t xml:space="preserve">.  </w:t>
      </w:r>
      <w:r w:rsidRPr="00340E78">
        <w:rPr>
          <w:szCs w:val="23"/>
        </w:rPr>
        <w:t xml:space="preserve">The following are examples of the new equity investments. </w:t>
      </w:r>
    </w:p>
    <w:p w14:paraId="3090FDF9" w14:textId="77777777" w:rsidR="00340E78" w:rsidRPr="00340E78" w:rsidRDefault="00340E78" w:rsidP="00497AE8">
      <w:pPr>
        <w:autoSpaceDE w:val="0"/>
        <w:autoSpaceDN w:val="0"/>
        <w:adjustRightInd w:val="0"/>
        <w:rPr>
          <w:szCs w:val="23"/>
        </w:rPr>
      </w:pPr>
    </w:p>
    <w:p w14:paraId="456C05CF" w14:textId="6938C3CF" w:rsidR="00340E78" w:rsidRPr="00340E78" w:rsidRDefault="00340E78" w:rsidP="005379B0">
      <w:pPr>
        <w:numPr>
          <w:ilvl w:val="0"/>
          <w:numId w:val="31"/>
        </w:numPr>
        <w:spacing w:after="200"/>
        <w:contextualSpacing/>
        <w:rPr>
          <w:b/>
          <w:bCs/>
          <w:u w:val="single"/>
        </w:rPr>
      </w:pPr>
      <w:r w:rsidRPr="00340E78">
        <w:rPr>
          <w:bCs/>
        </w:rPr>
        <w:lastRenderedPageBreak/>
        <w:t xml:space="preserve">In 2019, the bank purchased $2.8 million in MA low-income housing tax credits (LIHTC) </w:t>
      </w:r>
      <w:r w:rsidR="005C7DCF">
        <w:rPr>
          <w:bCs/>
        </w:rPr>
        <w:t xml:space="preserve">to </w:t>
      </w:r>
      <w:r w:rsidR="005C7DCF" w:rsidRPr="00340E78">
        <w:rPr>
          <w:bCs/>
        </w:rPr>
        <w:t>construct</w:t>
      </w:r>
      <w:r w:rsidRPr="00340E78">
        <w:rPr>
          <w:bCs/>
        </w:rPr>
        <w:t xml:space="preserve"> 49 affordable housing units designated for low-income individuals.  The project is located in a low-income census tract.</w:t>
      </w:r>
    </w:p>
    <w:p w14:paraId="5C27B38F" w14:textId="77777777" w:rsidR="00340E78" w:rsidRPr="00340E78" w:rsidRDefault="00340E78" w:rsidP="00340E78">
      <w:pPr>
        <w:spacing w:after="200"/>
        <w:ind w:left="720"/>
        <w:contextualSpacing/>
        <w:rPr>
          <w:b/>
          <w:bCs/>
          <w:u w:val="single"/>
        </w:rPr>
      </w:pPr>
      <w:r w:rsidRPr="00340E78">
        <w:rPr>
          <w:bCs/>
        </w:rPr>
        <w:t xml:space="preserve"> </w:t>
      </w:r>
    </w:p>
    <w:p w14:paraId="7A205B39" w14:textId="301FC3D6" w:rsidR="00340E78" w:rsidRPr="00340E78" w:rsidRDefault="00340E78" w:rsidP="005379B0">
      <w:pPr>
        <w:numPr>
          <w:ilvl w:val="0"/>
          <w:numId w:val="31"/>
        </w:numPr>
        <w:spacing w:after="200"/>
        <w:contextualSpacing/>
        <w:rPr>
          <w:b/>
          <w:bCs/>
          <w:u w:val="single"/>
        </w:rPr>
      </w:pPr>
      <w:r w:rsidRPr="00340E78">
        <w:rPr>
          <w:bCs/>
        </w:rPr>
        <w:t>In 2019, the bank purchased $2.7 million in MA LIHTC</w:t>
      </w:r>
      <w:r w:rsidR="000A3E9C">
        <w:rPr>
          <w:bCs/>
        </w:rPr>
        <w:t>s</w:t>
      </w:r>
      <w:r w:rsidRPr="00340E78">
        <w:rPr>
          <w:bCs/>
        </w:rPr>
        <w:t xml:space="preserve"> </w:t>
      </w:r>
      <w:r w:rsidR="005C7DCF">
        <w:rPr>
          <w:bCs/>
        </w:rPr>
        <w:t xml:space="preserve">to </w:t>
      </w:r>
      <w:r w:rsidR="005C7DCF" w:rsidRPr="00340E78">
        <w:rPr>
          <w:bCs/>
        </w:rPr>
        <w:t>renovate</w:t>
      </w:r>
      <w:r w:rsidRPr="00340E78">
        <w:rPr>
          <w:bCs/>
        </w:rPr>
        <w:t xml:space="preserve"> and preserv</w:t>
      </w:r>
      <w:r w:rsidR="000A3E9C">
        <w:rPr>
          <w:bCs/>
        </w:rPr>
        <w:t>e</w:t>
      </w:r>
      <w:r w:rsidRPr="00340E78">
        <w:rPr>
          <w:bCs/>
        </w:rPr>
        <w:t xml:space="preserve"> 48 units of affordable housing located in an upper-income census tract located in the assessment area.  All 48 units are reserved fo</w:t>
      </w:r>
      <w:r w:rsidR="00C062C4">
        <w:rPr>
          <w:bCs/>
        </w:rPr>
        <w:t>r households that earn below 80 percent</w:t>
      </w:r>
      <w:r w:rsidRPr="00340E78">
        <w:rPr>
          <w:bCs/>
        </w:rPr>
        <w:t xml:space="preserve"> of the area median income. </w:t>
      </w:r>
    </w:p>
    <w:p w14:paraId="46589796" w14:textId="77777777" w:rsidR="00340E78" w:rsidRPr="00340E78" w:rsidRDefault="00340E78" w:rsidP="000A3E9C">
      <w:pPr>
        <w:spacing w:after="200"/>
        <w:contextualSpacing/>
        <w:rPr>
          <w:b/>
          <w:bCs/>
          <w:u w:val="single"/>
        </w:rPr>
      </w:pPr>
    </w:p>
    <w:p w14:paraId="4FBC3553" w14:textId="4A663E3E" w:rsidR="00340E78" w:rsidRPr="00340E78" w:rsidRDefault="00340E78" w:rsidP="005379B0">
      <w:pPr>
        <w:numPr>
          <w:ilvl w:val="0"/>
          <w:numId w:val="31"/>
        </w:numPr>
        <w:spacing w:after="200"/>
        <w:contextualSpacing/>
        <w:rPr>
          <w:b/>
          <w:bCs/>
          <w:u w:val="single"/>
        </w:rPr>
      </w:pPr>
      <w:r w:rsidRPr="00340E78">
        <w:rPr>
          <w:bCs/>
        </w:rPr>
        <w:t xml:space="preserve">In 2019, the bank committed to the purchase of $1.6 million in MA Historic Tax Credits.  The bank’s investment will </w:t>
      </w:r>
      <w:r w:rsidR="00836FEC" w:rsidRPr="00340E78">
        <w:rPr>
          <w:bCs/>
        </w:rPr>
        <w:t>renovat</w:t>
      </w:r>
      <w:r w:rsidR="00836FEC">
        <w:rPr>
          <w:bCs/>
        </w:rPr>
        <w:t>e</w:t>
      </w:r>
      <w:r w:rsidR="00836FEC" w:rsidRPr="00340E78">
        <w:rPr>
          <w:bCs/>
        </w:rPr>
        <w:t xml:space="preserve"> </w:t>
      </w:r>
      <w:r w:rsidRPr="00340E78">
        <w:rPr>
          <w:bCs/>
        </w:rPr>
        <w:t xml:space="preserve">and </w:t>
      </w:r>
      <w:r w:rsidR="00836FEC" w:rsidRPr="00340E78">
        <w:rPr>
          <w:bCs/>
        </w:rPr>
        <w:t>preserv</w:t>
      </w:r>
      <w:r w:rsidR="00836FEC">
        <w:rPr>
          <w:bCs/>
        </w:rPr>
        <w:t>e</w:t>
      </w:r>
      <w:r w:rsidR="00836FEC" w:rsidRPr="00340E78">
        <w:rPr>
          <w:bCs/>
        </w:rPr>
        <w:t xml:space="preserve"> </w:t>
      </w:r>
      <w:r w:rsidRPr="00340E78">
        <w:rPr>
          <w:bCs/>
        </w:rPr>
        <w:t xml:space="preserve">143 units of affordable housing secured through Housing Assistance Payment contracts scattered throughout seven properties located in the assessment area. </w:t>
      </w:r>
    </w:p>
    <w:p w14:paraId="02569735" w14:textId="77777777" w:rsidR="00340E78" w:rsidRPr="00340E78" w:rsidRDefault="00340E78" w:rsidP="00340E78">
      <w:pPr>
        <w:spacing w:after="200"/>
        <w:ind w:left="720"/>
        <w:contextualSpacing/>
        <w:rPr>
          <w:b/>
          <w:bCs/>
          <w:u w:val="single"/>
        </w:rPr>
      </w:pPr>
      <w:r w:rsidRPr="00340E78">
        <w:rPr>
          <w:bCs/>
        </w:rPr>
        <w:t xml:space="preserve"> </w:t>
      </w:r>
    </w:p>
    <w:p w14:paraId="4EF38EDD" w14:textId="6EB1AB56" w:rsidR="00340E78" w:rsidRPr="00A81204" w:rsidRDefault="00340E78" w:rsidP="00340E78">
      <w:pPr>
        <w:rPr>
          <w:b/>
          <w:bCs/>
          <w:i/>
          <w:u w:val="single"/>
        </w:rPr>
      </w:pPr>
      <w:r w:rsidRPr="00A81204">
        <w:rPr>
          <w:b/>
          <w:bCs/>
          <w:i/>
          <w:u w:val="single"/>
        </w:rPr>
        <w:t>Donations</w:t>
      </w:r>
    </w:p>
    <w:p w14:paraId="3106E1DA" w14:textId="77777777" w:rsidR="00A81204" w:rsidRPr="00340E78" w:rsidRDefault="00A81204" w:rsidP="00340E78">
      <w:pPr>
        <w:rPr>
          <w:b/>
          <w:bCs/>
          <w:i/>
          <w:u w:val="single"/>
        </w:rPr>
      </w:pPr>
    </w:p>
    <w:p w14:paraId="70BCA07B" w14:textId="77777777" w:rsidR="00340E78" w:rsidRPr="00340E78" w:rsidRDefault="00340E78" w:rsidP="00340E78">
      <w:pPr>
        <w:contextualSpacing/>
        <w:rPr>
          <w:bCs/>
        </w:rPr>
      </w:pPr>
      <w:r w:rsidRPr="00340E78">
        <w:rPr>
          <w:bCs/>
        </w:rPr>
        <w:t xml:space="preserve">During the evaluation period, EBSB made approximately $1.1 million in qualified donations.  This dollar volume of activity is higher than the prior evaluation by $223,000 and comparable to qualified grants and contributions of similarly situated institutions. </w:t>
      </w:r>
    </w:p>
    <w:p w14:paraId="0F658A9E" w14:textId="77777777" w:rsidR="00340E78" w:rsidRPr="00340E78" w:rsidRDefault="00340E78" w:rsidP="00340E78">
      <w:pPr>
        <w:contextualSpacing/>
        <w:rPr>
          <w:bCs/>
          <w:highlight w:val="yellow"/>
        </w:rPr>
      </w:pPr>
    </w:p>
    <w:p w14:paraId="458393A8" w14:textId="77777777" w:rsidR="00340E78" w:rsidRPr="00340E78" w:rsidRDefault="00340E78" w:rsidP="00340E78">
      <w:pPr>
        <w:contextualSpacing/>
        <w:rPr>
          <w:bCs/>
        </w:rPr>
      </w:pPr>
      <w:r w:rsidRPr="00340E78">
        <w:rPr>
          <w:bCs/>
        </w:rPr>
        <w:t>The majority of the bank’s CRA qualified donations supported community service organizations that primarily serve low- and moderate-income individuals.  The following are notable examples of qualified donations.</w:t>
      </w:r>
    </w:p>
    <w:p w14:paraId="63C48013" w14:textId="77777777" w:rsidR="00340E78" w:rsidRPr="00340E78" w:rsidRDefault="00340E78" w:rsidP="00340E78">
      <w:pPr>
        <w:contextualSpacing/>
        <w:rPr>
          <w:b/>
          <w:bCs/>
          <w:highlight w:val="yellow"/>
          <w:u w:val="single"/>
        </w:rPr>
      </w:pPr>
    </w:p>
    <w:p w14:paraId="04725643" w14:textId="216186FC" w:rsidR="00340E78" w:rsidRPr="00340E78" w:rsidRDefault="00340E78" w:rsidP="005379B0">
      <w:pPr>
        <w:widowControl w:val="0"/>
        <w:numPr>
          <w:ilvl w:val="0"/>
          <w:numId w:val="32"/>
        </w:numPr>
        <w:spacing w:after="160"/>
        <w:contextualSpacing/>
        <w:rPr>
          <w:rFonts w:eastAsia="Calibri"/>
          <w:b/>
          <w:i/>
        </w:rPr>
      </w:pPr>
      <w:r w:rsidRPr="00340E78">
        <w:rPr>
          <w:rFonts w:eastAsia="Calibri"/>
          <w:b/>
        </w:rPr>
        <w:t xml:space="preserve">Neighborhood of Affordable Housing, Inc. (NOAH) – </w:t>
      </w:r>
      <w:r w:rsidRPr="00340E78">
        <w:rPr>
          <w:rFonts w:eastAsia="Calibri"/>
        </w:rPr>
        <w:t xml:space="preserve">During the evaluation period, the </w:t>
      </w:r>
      <w:r w:rsidR="005379B0" w:rsidRPr="00340E78">
        <w:rPr>
          <w:rFonts w:eastAsia="Calibri"/>
        </w:rPr>
        <w:t>bank donated</w:t>
      </w:r>
      <w:r w:rsidRPr="00340E78">
        <w:rPr>
          <w:rFonts w:eastAsia="Calibri"/>
        </w:rPr>
        <w:t xml:space="preserve"> to NOAH.  NOAH is a community development corporation that increases access to affordable housing and creates social and economic opportunities for low- and moderate-income individuals and families in the Greater Boston region.</w:t>
      </w:r>
    </w:p>
    <w:p w14:paraId="3163F765" w14:textId="77777777" w:rsidR="00340E78" w:rsidRPr="00340E78" w:rsidRDefault="00340E78" w:rsidP="000A3E9C">
      <w:pPr>
        <w:widowControl w:val="0"/>
        <w:ind w:left="720"/>
        <w:contextualSpacing/>
        <w:rPr>
          <w:rFonts w:eastAsia="Calibri"/>
          <w:b/>
          <w:i/>
        </w:rPr>
      </w:pPr>
    </w:p>
    <w:p w14:paraId="6316BA3A" w14:textId="1ACAFF4E" w:rsidR="00340E78" w:rsidRPr="00340E78" w:rsidRDefault="00340E78" w:rsidP="005379B0">
      <w:pPr>
        <w:widowControl w:val="0"/>
        <w:numPr>
          <w:ilvl w:val="0"/>
          <w:numId w:val="32"/>
        </w:numPr>
        <w:spacing w:after="160"/>
        <w:contextualSpacing/>
        <w:rPr>
          <w:rFonts w:eastAsia="Calibri"/>
          <w:b/>
          <w:i/>
        </w:rPr>
      </w:pPr>
      <w:r w:rsidRPr="00340E78">
        <w:rPr>
          <w:rFonts w:eastAsia="Calibri"/>
          <w:b/>
        </w:rPr>
        <w:t xml:space="preserve">Massachusetts Coalition for the Homeless – </w:t>
      </w:r>
      <w:r w:rsidRPr="00340E78">
        <w:rPr>
          <w:rFonts w:eastAsia="Calibri"/>
        </w:rPr>
        <w:t xml:space="preserve">EBSB </w:t>
      </w:r>
      <w:r w:rsidR="005379B0">
        <w:rPr>
          <w:rFonts w:eastAsia="Calibri"/>
        </w:rPr>
        <w:t xml:space="preserve">donated </w:t>
      </w:r>
      <w:r w:rsidR="005379B0" w:rsidRPr="00340E78">
        <w:rPr>
          <w:rFonts w:eastAsia="Calibri"/>
        </w:rPr>
        <w:t>to</w:t>
      </w:r>
      <w:r w:rsidRPr="00340E78">
        <w:rPr>
          <w:rFonts w:eastAsia="Calibri"/>
        </w:rPr>
        <w:t xml:space="preserve"> the Massachusetts Coalition for the Homeless during the evaluation period.  </w:t>
      </w:r>
      <w:r w:rsidR="005379B0" w:rsidRPr="00340E78">
        <w:rPr>
          <w:rFonts w:eastAsia="Calibri"/>
        </w:rPr>
        <w:t>The Coalition’s</w:t>
      </w:r>
      <w:r w:rsidR="000A3E9C">
        <w:rPr>
          <w:rFonts w:eastAsia="Calibri"/>
        </w:rPr>
        <w:t xml:space="preserve"> mission</w:t>
      </w:r>
      <w:r w:rsidRPr="00340E78">
        <w:rPr>
          <w:rFonts w:eastAsia="Calibri"/>
        </w:rPr>
        <w:t xml:space="preserve"> is to eradicate homelessness </w:t>
      </w:r>
      <w:r w:rsidR="000A3E9C">
        <w:rPr>
          <w:rFonts w:eastAsia="Calibri"/>
        </w:rPr>
        <w:t xml:space="preserve">within </w:t>
      </w:r>
      <w:r w:rsidRPr="00340E78">
        <w:rPr>
          <w:rFonts w:eastAsia="Calibri"/>
        </w:rPr>
        <w:t xml:space="preserve">the Commonwealth of Massachusetts.  The organization’s programs </w:t>
      </w:r>
      <w:r w:rsidR="00836FEC">
        <w:rPr>
          <w:rFonts w:eastAsia="Calibri"/>
        </w:rPr>
        <w:t>focus</w:t>
      </w:r>
      <w:r w:rsidRPr="00340E78">
        <w:rPr>
          <w:rFonts w:eastAsia="Calibri"/>
        </w:rPr>
        <w:t xml:space="preserve"> on assisting those who are experiencing homelessness or are at risk of being homeless.  </w:t>
      </w:r>
    </w:p>
    <w:p w14:paraId="79F3296B" w14:textId="77777777" w:rsidR="00340E78" w:rsidRPr="00340E78" w:rsidRDefault="00340E78" w:rsidP="000A3E9C">
      <w:pPr>
        <w:widowControl w:val="0"/>
        <w:ind w:left="720"/>
        <w:rPr>
          <w:rFonts w:eastAsia="Calibri"/>
          <w:b/>
          <w:i/>
        </w:rPr>
      </w:pPr>
    </w:p>
    <w:p w14:paraId="18DEC410" w14:textId="77777777" w:rsidR="005C7DCF" w:rsidRDefault="00340E78" w:rsidP="005379B0">
      <w:pPr>
        <w:widowControl w:val="0"/>
        <w:spacing w:after="160"/>
        <w:ind w:left="720"/>
        <w:contextualSpacing/>
        <w:rPr>
          <w:rFonts w:eastAsia="Calibri"/>
        </w:rPr>
      </w:pPr>
      <w:r w:rsidRPr="00340E78">
        <w:rPr>
          <w:rFonts w:eastAsia="Calibri"/>
          <w:b/>
        </w:rPr>
        <w:t xml:space="preserve">Community Action Agency of Somerville (CAAS) – </w:t>
      </w:r>
      <w:r w:rsidRPr="00340E78">
        <w:rPr>
          <w:rFonts w:eastAsia="Calibri"/>
        </w:rPr>
        <w:t xml:space="preserve">CAAS is a federally designated anti-poverty organization that provides local families and individuals with programs to achieve financial security. </w:t>
      </w:r>
      <w:r w:rsidR="00836FEC">
        <w:rPr>
          <w:rFonts w:eastAsia="Calibri"/>
        </w:rPr>
        <w:t xml:space="preserve"> </w:t>
      </w:r>
      <w:r w:rsidRPr="00340E78">
        <w:rPr>
          <w:rFonts w:eastAsia="Calibri"/>
        </w:rPr>
        <w:t xml:space="preserve">CAAS offers Head Start, Housing Advocacy, Community Organizing &amp; Advocacy and </w:t>
      </w:r>
      <w:r w:rsidR="000A3E9C">
        <w:rPr>
          <w:rFonts w:eastAsia="Calibri"/>
        </w:rPr>
        <w:t xml:space="preserve">Volunteer Income Tax Assistance </w:t>
      </w:r>
      <w:r w:rsidRPr="00340E78">
        <w:rPr>
          <w:rFonts w:eastAsia="Calibri"/>
        </w:rPr>
        <w:t xml:space="preserve">tax programs. </w:t>
      </w:r>
    </w:p>
    <w:p w14:paraId="146AA3C0" w14:textId="77777777" w:rsidR="005C7DCF" w:rsidRDefault="005C7DCF" w:rsidP="005379B0">
      <w:pPr>
        <w:widowControl w:val="0"/>
        <w:spacing w:after="160"/>
        <w:ind w:left="720"/>
        <w:contextualSpacing/>
        <w:rPr>
          <w:rFonts w:eastAsia="Calibri"/>
        </w:rPr>
      </w:pPr>
    </w:p>
    <w:p w14:paraId="30A72DD9" w14:textId="78B12335" w:rsidR="00340E78" w:rsidRPr="00340E78" w:rsidRDefault="00340E78" w:rsidP="005C7DCF">
      <w:pPr>
        <w:widowControl w:val="0"/>
        <w:spacing w:after="160"/>
        <w:contextualSpacing/>
        <w:rPr>
          <w:rFonts w:eastAsia="Calibri"/>
          <w:b/>
          <w:i/>
        </w:rPr>
      </w:pPr>
      <w:r w:rsidRPr="00340E78">
        <w:rPr>
          <w:rFonts w:eastAsia="Calibri"/>
          <w:b/>
          <w:i/>
        </w:rPr>
        <w:t>COVID-19-Related</w:t>
      </w:r>
    </w:p>
    <w:p w14:paraId="1896A70A" w14:textId="77777777" w:rsidR="00340E78" w:rsidRPr="00340E78" w:rsidRDefault="00340E78" w:rsidP="000A3E9C">
      <w:pPr>
        <w:spacing w:after="160"/>
        <w:contextualSpacing/>
        <w:rPr>
          <w:rFonts w:eastAsia="Calibri"/>
          <w:i/>
        </w:rPr>
      </w:pPr>
    </w:p>
    <w:p w14:paraId="6692EFDD" w14:textId="3EA09A38" w:rsidR="00340E78" w:rsidRPr="00340E78" w:rsidRDefault="00340E78" w:rsidP="005379B0">
      <w:pPr>
        <w:widowControl w:val="0"/>
        <w:numPr>
          <w:ilvl w:val="0"/>
          <w:numId w:val="33"/>
        </w:numPr>
        <w:spacing w:after="160"/>
        <w:rPr>
          <w:bCs/>
        </w:rPr>
      </w:pPr>
      <w:r w:rsidRPr="00340E78">
        <w:rPr>
          <w:b/>
          <w:bCs/>
        </w:rPr>
        <w:t>Wakefield Food Pantry</w:t>
      </w:r>
      <w:r w:rsidRPr="00340E78">
        <w:rPr>
          <w:bCs/>
        </w:rPr>
        <w:t xml:space="preserve"> – The Wakefield food pantry provides food and other household necessities</w:t>
      </w:r>
      <w:r w:rsidR="000A3E9C">
        <w:rPr>
          <w:bCs/>
        </w:rPr>
        <w:t>.</w:t>
      </w:r>
      <w:r w:rsidRPr="00340E78">
        <w:rPr>
          <w:bCs/>
        </w:rPr>
        <w:t xml:space="preserve">  During C</w:t>
      </w:r>
      <w:r w:rsidR="000A3E9C">
        <w:rPr>
          <w:bCs/>
        </w:rPr>
        <w:t>OVID</w:t>
      </w:r>
      <w:r w:rsidRPr="00340E78">
        <w:rPr>
          <w:bCs/>
        </w:rPr>
        <w:t>-19, the food pantry has had an increase in of 57</w:t>
      </w:r>
      <w:r w:rsidR="005C7DCF">
        <w:rPr>
          <w:bCs/>
        </w:rPr>
        <w:t xml:space="preserve"> percent</w:t>
      </w:r>
      <w:r w:rsidRPr="00340E78">
        <w:rPr>
          <w:bCs/>
        </w:rPr>
        <w:t xml:space="preserve"> over the normal operations due to the increase of unemployed and furloughed individuals in the area.</w:t>
      </w:r>
    </w:p>
    <w:p w14:paraId="2733A4F2" w14:textId="0F7CDCFE" w:rsidR="00340E78" w:rsidRPr="00340E78" w:rsidRDefault="00340E78" w:rsidP="005379B0">
      <w:pPr>
        <w:widowControl w:val="0"/>
        <w:numPr>
          <w:ilvl w:val="0"/>
          <w:numId w:val="33"/>
        </w:numPr>
        <w:spacing w:after="160"/>
        <w:rPr>
          <w:bCs/>
        </w:rPr>
      </w:pPr>
      <w:r w:rsidRPr="00340E78">
        <w:rPr>
          <w:b/>
          <w:bCs/>
        </w:rPr>
        <w:lastRenderedPageBreak/>
        <w:t xml:space="preserve">Salesian Boys and Girls Club – </w:t>
      </w:r>
      <w:r w:rsidR="00C062C4">
        <w:rPr>
          <w:bCs/>
        </w:rPr>
        <w:t xml:space="preserve">During the </w:t>
      </w:r>
      <w:r w:rsidRPr="00340E78">
        <w:rPr>
          <w:bCs/>
        </w:rPr>
        <w:t xml:space="preserve">pandemic, the Salesian Boys &amp; Girls Club  provided breakfast, lunch and hygiene products to club and community members who are in need.  </w:t>
      </w:r>
    </w:p>
    <w:p w14:paraId="0A004A03" w14:textId="00E92EF4" w:rsidR="00340E78" w:rsidRPr="00340E78" w:rsidRDefault="00340E78" w:rsidP="005379B0">
      <w:pPr>
        <w:widowControl w:val="0"/>
        <w:numPr>
          <w:ilvl w:val="0"/>
          <w:numId w:val="33"/>
        </w:numPr>
        <w:spacing w:after="160"/>
        <w:rPr>
          <w:bCs/>
        </w:rPr>
      </w:pPr>
      <w:r w:rsidRPr="00340E78">
        <w:rPr>
          <w:b/>
          <w:bCs/>
        </w:rPr>
        <w:t>East Boston YMCA</w:t>
      </w:r>
      <w:r w:rsidRPr="00340E78">
        <w:rPr>
          <w:bCs/>
        </w:rPr>
        <w:t xml:space="preserve"> -</w:t>
      </w:r>
      <w:r w:rsidR="00836FEC" w:rsidRPr="00340E78">
        <w:rPr>
          <w:bCs/>
        </w:rPr>
        <w:t xml:space="preserve">  </w:t>
      </w:r>
      <w:r w:rsidRPr="00340E78">
        <w:rPr>
          <w:bCs/>
        </w:rPr>
        <w:t>This donation directly contributed to the YMCA’s C</w:t>
      </w:r>
      <w:r w:rsidR="000A3E9C">
        <w:rPr>
          <w:bCs/>
        </w:rPr>
        <w:t>OVID</w:t>
      </w:r>
      <w:r w:rsidRPr="00340E78">
        <w:rPr>
          <w:bCs/>
        </w:rPr>
        <w:t>-19 response, which is working hard to prevent hunger to those impacted most by the pandemic by providing families with nutritious meals.</w:t>
      </w:r>
    </w:p>
    <w:p w14:paraId="2B637495" w14:textId="77777777" w:rsidR="00340E78" w:rsidRPr="00340E78" w:rsidRDefault="00340E78" w:rsidP="00340E78">
      <w:pPr>
        <w:rPr>
          <w:b/>
          <w:bCs/>
          <w:u w:val="single"/>
        </w:rPr>
      </w:pPr>
      <w:r w:rsidRPr="00340E78">
        <w:rPr>
          <w:b/>
          <w:bCs/>
          <w:u w:val="single"/>
        </w:rPr>
        <w:t>Responsiveness to Credit and Community Development Needs</w:t>
      </w:r>
    </w:p>
    <w:p w14:paraId="217C3CC4" w14:textId="77777777" w:rsidR="00340E78" w:rsidRPr="00340E78" w:rsidRDefault="00340E78" w:rsidP="00340E78">
      <w:pPr>
        <w:rPr>
          <w:b/>
          <w:bCs/>
          <w:u w:val="single"/>
        </w:rPr>
      </w:pPr>
    </w:p>
    <w:p w14:paraId="3633ED5E" w14:textId="5196313B" w:rsidR="00340E78" w:rsidRPr="00340E78" w:rsidRDefault="00340E78" w:rsidP="00340E78">
      <w:pPr>
        <w:rPr>
          <w:bCs/>
        </w:rPr>
      </w:pPr>
      <w:r w:rsidRPr="00340E78">
        <w:rPr>
          <w:bCs/>
        </w:rPr>
        <w:t>The institution exhibits good responsiveness to credit and economic development needs.  The bank provided approximately $13.1 million in investments and donations for affordable housing initiatives, which examiners identified as a significant need given the</w:t>
      </w:r>
      <w:r w:rsidR="00C062C4">
        <w:rPr>
          <w:bCs/>
        </w:rPr>
        <w:t xml:space="preserve"> assessment area’s</w:t>
      </w:r>
      <w:r w:rsidRPr="00340E78">
        <w:rPr>
          <w:bCs/>
        </w:rPr>
        <w:t xml:space="preserve"> high housing costs.  The bank also made a large number of donations that supported low- and moderate-income individuals and </w:t>
      </w:r>
      <w:r w:rsidR="001F64B6" w:rsidRPr="00340E78">
        <w:rPr>
          <w:bCs/>
        </w:rPr>
        <w:t>families</w:t>
      </w:r>
      <w:r w:rsidR="000A3E9C">
        <w:rPr>
          <w:bCs/>
        </w:rPr>
        <w:t xml:space="preserve"> and</w:t>
      </w:r>
      <w:r w:rsidRPr="00340E78">
        <w:rPr>
          <w:bCs/>
        </w:rPr>
        <w:t xml:space="preserve"> provided financial literacy and a wide range of community development activities.  The community contact also noted the need for financial literacy.</w:t>
      </w:r>
    </w:p>
    <w:p w14:paraId="0125F18A" w14:textId="77777777" w:rsidR="00340E78" w:rsidRPr="00340E78" w:rsidRDefault="00340E78" w:rsidP="00340E78">
      <w:pPr>
        <w:rPr>
          <w:bCs/>
        </w:rPr>
      </w:pPr>
    </w:p>
    <w:p w14:paraId="27AFEC10" w14:textId="77777777" w:rsidR="00340E78" w:rsidRPr="00340E78" w:rsidRDefault="00340E78" w:rsidP="00340E78">
      <w:pPr>
        <w:rPr>
          <w:b/>
          <w:bCs/>
          <w:u w:val="single"/>
        </w:rPr>
      </w:pPr>
      <w:r w:rsidRPr="00340E78">
        <w:rPr>
          <w:b/>
          <w:bCs/>
          <w:u w:val="single"/>
        </w:rPr>
        <w:t>Community Development Initiatives</w:t>
      </w:r>
    </w:p>
    <w:p w14:paraId="22FFECBE" w14:textId="77777777" w:rsidR="00340E78" w:rsidRPr="00340E78" w:rsidRDefault="00340E78" w:rsidP="00340E78">
      <w:pPr>
        <w:rPr>
          <w:b/>
          <w:bCs/>
          <w:u w:val="single"/>
        </w:rPr>
      </w:pPr>
    </w:p>
    <w:p w14:paraId="4F2A0C94" w14:textId="22367D6E" w:rsidR="00340E78" w:rsidRPr="00340E78" w:rsidRDefault="00340E78" w:rsidP="00340E78">
      <w:pPr>
        <w:rPr>
          <w:bCs/>
        </w:rPr>
      </w:pPr>
      <w:r w:rsidRPr="00340E78">
        <w:rPr>
          <w:bCs/>
        </w:rPr>
        <w:t xml:space="preserve">The institution </w:t>
      </w:r>
      <w:r w:rsidR="005C7DCF">
        <w:rPr>
          <w:bCs/>
        </w:rPr>
        <w:t xml:space="preserve">occasionally </w:t>
      </w:r>
      <w:r w:rsidR="005C7DCF" w:rsidRPr="00340E78">
        <w:rPr>
          <w:bCs/>
        </w:rPr>
        <w:t>uses</w:t>
      </w:r>
      <w:r w:rsidRPr="00340E78">
        <w:rPr>
          <w:bCs/>
        </w:rPr>
        <w:t xml:space="preserve"> innovative and/or complex investments to support community development initiatives.  During the current evaluation period, the bank invested in Federal and State LIHTCs as well as MA Historic Tax Credits that support community development needs </w:t>
      </w:r>
      <w:r w:rsidR="005C7DCF" w:rsidRPr="00340E78">
        <w:rPr>
          <w:bCs/>
        </w:rPr>
        <w:t>through affordable</w:t>
      </w:r>
      <w:r w:rsidRPr="00340E78">
        <w:rPr>
          <w:bCs/>
        </w:rPr>
        <w:t xml:space="preserve"> housing projects.  </w:t>
      </w:r>
    </w:p>
    <w:p w14:paraId="13692750" w14:textId="77777777" w:rsidR="00EA4565" w:rsidRDefault="00EA4565" w:rsidP="00412048">
      <w:pPr>
        <w:rPr>
          <w:b/>
          <w:bCs/>
          <w:u w:val="single"/>
        </w:rPr>
      </w:pPr>
    </w:p>
    <w:p w14:paraId="251DB737" w14:textId="77777777" w:rsidR="00340E78" w:rsidRPr="00340E78" w:rsidRDefault="00340E78" w:rsidP="00340E78">
      <w:pPr>
        <w:rPr>
          <w:b/>
          <w:bCs/>
          <w:u w:val="single"/>
        </w:rPr>
      </w:pPr>
      <w:r w:rsidRPr="00340E78">
        <w:rPr>
          <w:b/>
          <w:bCs/>
          <w:u w:val="single"/>
        </w:rPr>
        <w:t>SERVICE TEST</w:t>
      </w:r>
    </w:p>
    <w:p w14:paraId="000A7B39" w14:textId="77777777" w:rsidR="00340E78" w:rsidRPr="00340E78" w:rsidRDefault="00340E78" w:rsidP="00340E78">
      <w:pPr>
        <w:rPr>
          <w:i/>
          <w:iCs/>
        </w:rPr>
      </w:pPr>
    </w:p>
    <w:p w14:paraId="2D25DCB3" w14:textId="77777777" w:rsidR="00340E78" w:rsidRPr="00340E78" w:rsidRDefault="00340E78" w:rsidP="00340E78">
      <w:r w:rsidRPr="00340E78">
        <w:rPr>
          <w:bCs/>
        </w:rPr>
        <w:t xml:space="preserve">The bank’s overall Service Test performance is rated Satisfactory.  </w:t>
      </w:r>
      <w:r w:rsidRPr="00340E78">
        <w:rPr>
          <w:bCs/>
          <w:spacing w:val="-3"/>
        </w:rPr>
        <w:t>The follow sections discuss the bank’s performance under each criterion</w:t>
      </w:r>
      <w:r w:rsidRPr="00340E78">
        <w:t>.</w:t>
      </w:r>
    </w:p>
    <w:p w14:paraId="20909234" w14:textId="77777777" w:rsidR="00340E78" w:rsidRPr="00340E78" w:rsidRDefault="00340E78" w:rsidP="00340E78">
      <w:pPr>
        <w:rPr>
          <w:b/>
          <w:bCs/>
          <w:highlight w:val="yellow"/>
          <w:u w:val="single"/>
        </w:rPr>
      </w:pPr>
    </w:p>
    <w:p w14:paraId="65458777" w14:textId="77777777" w:rsidR="00340E78" w:rsidRPr="00340E78" w:rsidRDefault="00340E78" w:rsidP="00340E78">
      <w:pPr>
        <w:rPr>
          <w:b/>
          <w:bCs/>
          <w:u w:val="single"/>
        </w:rPr>
      </w:pPr>
      <w:r w:rsidRPr="00340E78">
        <w:rPr>
          <w:b/>
          <w:bCs/>
          <w:u w:val="single"/>
        </w:rPr>
        <w:t>Accessibility of Delivery Systems</w:t>
      </w:r>
    </w:p>
    <w:p w14:paraId="376AD15F" w14:textId="77777777" w:rsidR="00340E78" w:rsidRPr="00340E78" w:rsidRDefault="00340E78" w:rsidP="00340E78">
      <w:pPr>
        <w:rPr>
          <w:b/>
          <w:bCs/>
          <w:highlight w:val="yellow"/>
          <w:u w:val="single"/>
        </w:rPr>
      </w:pPr>
    </w:p>
    <w:p w14:paraId="032C5D04" w14:textId="5C833D9E" w:rsidR="00340E78" w:rsidRPr="00340E78" w:rsidRDefault="00340E78" w:rsidP="00340E78">
      <w:pPr>
        <w:rPr>
          <w:bCs/>
        </w:rPr>
      </w:pPr>
      <w:r w:rsidRPr="00340E78">
        <w:rPr>
          <w:snapToGrid w:val="0"/>
        </w:rPr>
        <w:t xml:space="preserve">Delivery systems are </w:t>
      </w:r>
      <w:r w:rsidRPr="00340E78">
        <w:rPr>
          <w:rFonts w:eastAsia="Calibri"/>
        </w:rPr>
        <w:t xml:space="preserve">reasonably accessible to </w:t>
      </w:r>
      <w:r w:rsidR="00EA6EED">
        <w:rPr>
          <w:rFonts w:eastAsia="Calibri"/>
        </w:rPr>
        <w:t xml:space="preserve">essentially </w:t>
      </w:r>
      <w:r w:rsidRPr="00340E78">
        <w:rPr>
          <w:rFonts w:eastAsia="Calibri"/>
        </w:rPr>
        <w:t xml:space="preserve">all portions of the bank’s assessment area.  The bank </w:t>
      </w:r>
      <w:r w:rsidR="00EF09A6">
        <w:rPr>
          <w:rFonts w:eastAsia="Calibri"/>
        </w:rPr>
        <w:t>operates</w:t>
      </w:r>
      <w:r w:rsidR="00EF09A6" w:rsidRPr="00340E78">
        <w:rPr>
          <w:rFonts w:eastAsia="Calibri"/>
        </w:rPr>
        <w:t xml:space="preserve"> </w:t>
      </w:r>
      <w:r w:rsidRPr="00340E78">
        <w:rPr>
          <w:rFonts w:eastAsia="Calibri"/>
        </w:rPr>
        <w:t xml:space="preserve">43 </w:t>
      </w:r>
      <w:r w:rsidR="00EF09A6">
        <w:rPr>
          <w:rFonts w:eastAsia="Calibri"/>
        </w:rPr>
        <w:t xml:space="preserve">full-service </w:t>
      </w:r>
      <w:r w:rsidRPr="00340E78">
        <w:rPr>
          <w:rFonts w:eastAsia="Calibri"/>
        </w:rPr>
        <w:t xml:space="preserve">branches </w:t>
      </w:r>
      <w:r w:rsidR="00EF09A6">
        <w:rPr>
          <w:rFonts w:eastAsia="Calibri"/>
        </w:rPr>
        <w:t>including the main office located in East Boston and the mobile branch</w:t>
      </w:r>
      <w:r w:rsidRPr="00340E78">
        <w:rPr>
          <w:rFonts w:eastAsia="Calibri"/>
        </w:rPr>
        <w:t>.  Each physical branch offers a 24-hour deposit-taking ATM. </w:t>
      </w:r>
      <w:r w:rsidR="00B04ADC">
        <w:rPr>
          <w:rFonts w:eastAsia="Calibri"/>
        </w:rPr>
        <w:t xml:space="preserve"> </w:t>
      </w:r>
      <w:r w:rsidRPr="00340E78">
        <w:rPr>
          <w:rFonts w:eastAsia="Calibri"/>
        </w:rPr>
        <w:t>The bank also maintains five stand-alone ATMs.</w:t>
      </w:r>
      <w:r w:rsidR="00497AE8">
        <w:rPr>
          <w:rFonts w:eastAsia="Calibri"/>
        </w:rPr>
        <w:t xml:space="preserve"> </w:t>
      </w:r>
      <w:r w:rsidRPr="00340E78">
        <w:rPr>
          <w:snapToGrid w:val="0"/>
        </w:rPr>
        <w:t xml:space="preserve"> </w:t>
      </w:r>
      <w:r w:rsidR="00B04ADC" w:rsidRPr="00340E78">
        <w:rPr>
          <w:rFonts w:eastAsiaTheme="minorHAnsi"/>
        </w:rPr>
        <w:t>All ATMs offer bilingual options in English and Spanish.</w:t>
      </w:r>
      <w:r w:rsidR="00B04ADC">
        <w:rPr>
          <w:rFonts w:eastAsiaTheme="minorHAnsi"/>
        </w:rPr>
        <w:t xml:space="preserve">  </w:t>
      </w:r>
      <w:r w:rsidRPr="00340E78">
        <w:rPr>
          <w:bCs/>
        </w:rPr>
        <w:t xml:space="preserve">The following table illustrates the branch and ATM distribution by tract income level.  </w:t>
      </w:r>
    </w:p>
    <w:p w14:paraId="57F91926" w14:textId="77777777" w:rsidR="00340E78" w:rsidRPr="00340E78" w:rsidRDefault="00340E78" w:rsidP="00340E78">
      <w:pPr>
        <w:rPr>
          <w:bC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964"/>
        <w:gridCol w:w="970"/>
        <w:gridCol w:w="1016"/>
        <w:gridCol w:w="970"/>
        <w:gridCol w:w="960"/>
        <w:gridCol w:w="970"/>
        <w:gridCol w:w="960"/>
        <w:gridCol w:w="970"/>
      </w:tblGrid>
      <w:tr w:rsidR="00340E78" w:rsidRPr="00340E78" w14:paraId="55FD5B0B" w14:textId="77777777" w:rsidTr="00340E78">
        <w:trPr>
          <w:trHeight w:val="360"/>
          <w:jc w:val="center"/>
        </w:trPr>
        <w:tc>
          <w:tcPr>
            <w:tcW w:w="9350" w:type="dxa"/>
            <w:gridSpan w:val="9"/>
            <w:shd w:val="clear" w:color="auto" w:fill="auto"/>
            <w:vAlign w:val="center"/>
          </w:tcPr>
          <w:p w14:paraId="0A46B794" w14:textId="77777777" w:rsidR="00340E78" w:rsidRPr="00340E78" w:rsidRDefault="00340E78" w:rsidP="00340E78">
            <w:pPr>
              <w:keepNext/>
              <w:widowControl w:val="0"/>
              <w:contextualSpacing/>
              <w:jc w:val="center"/>
              <w:rPr>
                <w:sz w:val="20"/>
                <w:szCs w:val="20"/>
              </w:rPr>
            </w:pPr>
            <w:r w:rsidRPr="00340E78">
              <w:rPr>
                <w:b/>
                <w:sz w:val="20"/>
                <w:szCs w:val="20"/>
              </w:rPr>
              <w:lastRenderedPageBreak/>
              <w:t>Branch and ATM Distribution by Geography Income Level</w:t>
            </w:r>
          </w:p>
        </w:tc>
      </w:tr>
      <w:tr w:rsidR="00340E78" w:rsidRPr="00340E78" w14:paraId="12B9B809" w14:textId="77777777" w:rsidTr="00340E78">
        <w:trPr>
          <w:trHeight w:val="288"/>
          <w:jc w:val="center"/>
        </w:trPr>
        <w:tc>
          <w:tcPr>
            <w:tcW w:w="1570" w:type="dxa"/>
            <w:vMerge w:val="restart"/>
            <w:shd w:val="clear" w:color="auto" w:fill="auto"/>
            <w:vAlign w:val="center"/>
          </w:tcPr>
          <w:p w14:paraId="739A8A43" w14:textId="77777777" w:rsidR="00340E78" w:rsidRPr="00340E78" w:rsidRDefault="00340E78" w:rsidP="00340E78">
            <w:pPr>
              <w:keepNext/>
              <w:widowControl w:val="0"/>
              <w:contextualSpacing/>
              <w:rPr>
                <w:b/>
                <w:sz w:val="20"/>
                <w:szCs w:val="20"/>
              </w:rPr>
            </w:pPr>
            <w:r w:rsidRPr="00340E78">
              <w:rPr>
                <w:b/>
                <w:sz w:val="20"/>
                <w:szCs w:val="20"/>
              </w:rPr>
              <w:t>Tract Income Level</w:t>
            </w:r>
          </w:p>
        </w:tc>
        <w:tc>
          <w:tcPr>
            <w:tcW w:w="1934" w:type="dxa"/>
            <w:gridSpan w:val="2"/>
            <w:shd w:val="clear" w:color="auto" w:fill="auto"/>
            <w:vAlign w:val="center"/>
          </w:tcPr>
          <w:p w14:paraId="0AB7214E" w14:textId="77777777" w:rsidR="00340E78" w:rsidRPr="00340E78" w:rsidRDefault="00340E78" w:rsidP="00340E78">
            <w:pPr>
              <w:keepNext/>
              <w:widowControl w:val="0"/>
              <w:contextualSpacing/>
              <w:jc w:val="center"/>
              <w:rPr>
                <w:b/>
                <w:sz w:val="20"/>
                <w:szCs w:val="20"/>
              </w:rPr>
            </w:pPr>
            <w:r w:rsidRPr="00340E78">
              <w:rPr>
                <w:b/>
                <w:sz w:val="20"/>
                <w:szCs w:val="20"/>
              </w:rPr>
              <w:t>Census Tracts</w:t>
            </w:r>
          </w:p>
        </w:tc>
        <w:tc>
          <w:tcPr>
            <w:tcW w:w="1986" w:type="dxa"/>
            <w:gridSpan w:val="2"/>
            <w:shd w:val="clear" w:color="auto" w:fill="auto"/>
            <w:vAlign w:val="center"/>
          </w:tcPr>
          <w:p w14:paraId="2E8575A5" w14:textId="77777777" w:rsidR="00340E78" w:rsidRPr="00340E78" w:rsidRDefault="00340E78" w:rsidP="00340E78">
            <w:pPr>
              <w:keepNext/>
              <w:widowControl w:val="0"/>
              <w:contextualSpacing/>
              <w:jc w:val="center"/>
              <w:rPr>
                <w:b/>
                <w:sz w:val="20"/>
                <w:szCs w:val="20"/>
              </w:rPr>
            </w:pPr>
            <w:r w:rsidRPr="00340E78">
              <w:rPr>
                <w:b/>
                <w:sz w:val="20"/>
                <w:szCs w:val="20"/>
              </w:rPr>
              <w:t>Population</w:t>
            </w:r>
          </w:p>
        </w:tc>
        <w:tc>
          <w:tcPr>
            <w:tcW w:w="1930" w:type="dxa"/>
            <w:gridSpan w:val="2"/>
            <w:shd w:val="clear" w:color="auto" w:fill="auto"/>
            <w:vAlign w:val="center"/>
          </w:tcPr>
          <w:p w14:paraId="50FEF948" w14:textId="77777777" w:rsidR="00340E78" w:rsidRPr="00340E78" w:rsidRDefault="00340E78" w:rsidP="00340E78">
            <w:pPr>
              <w:keepNext/>
              <w:widowControl w:val="0"/>
              <w:contextualSpacing/>
              <w:jc w:val="center"/>
              <w:rPr>
                <w:b/>
                <w:sz w:val="20"/>
                <w:szCs w:val="20"/>
              </w:rPr>
            </w:pPr>
            <w:r w:rsidRPr="00340E78">
              <w:rPr>
                <w:b/>
                <w:sz w:val="20"/>
                <w:szCs w:val="20"/>
              </w:rPr>
              <w:t>Branches</w:t>
            </w:r>
          </w:p>
        </w:tc>
        <w:tc>
          <w:tcPr>
            <w:tcW w:w="1930" w:type="dxa"/>
            <w:gridSpan w:val="2"/>
            <w:shd w:val="clear" w:color="auto" w:fill="auto"/>
            <w:vAlign w:val="center"/>
          </w:tcPr>
          <w:p w14:paraId="60AE1DCA" w14:textId="77777777" w:rsidR="00340E78" w:rsidRPr="00340E78" w:rsidRDefault="00340E78" w:rsidP="00340E78">
            <w:pPr>
              <w:keepNext/>
              <w:widowControl w:val="0"/>
              <w:contextualSpacing/>
              <w:jc w:val="center"/>
              <w:rPr>
                <w:b/>
                <w:sz w:val="20"/>
                <w:szCs w:val="20"/>
              </w:rPr>
            </w:pPr>
            <w:r w:rsidRPr="00340E78">
              <w:rPr>
                <w:b/>
                <w:sz w:val="20"/>
                <w:szCs w:val="20"/>
              </w:rPr>
              <w:t xml:space="preserve">ATMs  </w:t>
            </w:r>
          </w:p>
        </w:tc>
      </w:tr>
      <w:tr w:rsidR="00340E78" w:rsidRPr="00340E78" w14:paraId="35A1C183" w14:textId="77777777" w:rsidTr="00340E78">
        <w:trPr>
          <w:trHeight w:val="288"/>
          <w:jc w:val="center"/>
        </w:trPr>
        <w:tc>
          <w:tcPr>
            <w:tcW w:w="1570" w:type="dxa"/>
            <w:vMerge/>
            <w:shd w:val="clear" w:color="auto" w:fill="auto"/>
            <w:vAlign w:val="center"/>
          </w:tcPr>
          <w:p w14:paraId="79D5E917" w14:textId="77777777" w:rsidR="00340E78" w:rsidRPr="00340E78" w:rsidRDefault="00340E78" w:rsidP="00340E78">
            <w:pPr>
              <w:keepNext/>
              <w:widowControl w:val="0"/>
              <w:contextualSpacing/>
              <w:rPr>
                <w:sz w:val="20"/>
                <w:szCs w:val="20"/>
              </w:rPr>
            </w:pPr>
          </w:p>
        </w:tc>
        <w:tc>
          <w:tcPr>
            <w:tcW w:w="964" w:type="dxa"/>
            <w:shd w:val="clear" w:color="auto" w:fill="auto"/>
            <w:vAlign w:val="center"/>
          </w:tcPr>
          <w:p w14:paraId="1E5BFD8F" w14:textId="77777777" w:rsidR="00340E78" w:rsidRPr="00340E78" w:rsidRDefault="00340E78" w:rsidP="00340E78">
            <w:pPr>
              <w:keepNext/>
              <w:widowControl w:val="0"/>
              <w:contextualSpacing/>
              <w:jc w:val="center"/>
              <w:rPr>
                <w:b/>
              </w:rPr>
            </w:pPr>
            <w:r w:rsidRPr="00340E78">
              <w:rPr>
                <w:b/>
              </w:rPr>
              <w:t>#</w:t>
            </w:r>
          </w:p>
        </w:tc>
        <w:tc>
          <w:tcPr>
            <w:tcW w:w="970" w:type="dxa"/>
            <w:shd w:val="clear" w:color="auto" w:fill="auto"/>
            <w:vAlign w:val="center"/>
          </w:tcPr>
          <w:p w14:paraId="4A1B277F" w14:textId="77777777" w:rsidR="00340E78" w:rsidRPr="00340E78" w:rsidRDefault="00340E78" w:rsidP="00340E78">
            <w:pPr>
              <w:keepNext/>
              <w:widowControl w:val="0"/>
              <w:contextualSpacing/>
              <w:jc w:val="center"/>
              <w:rPr>
                <w:b/>
                <w:sz w:val="20"/>
                <w:szCs w:val="20"/>
              </w:rPr>
            </w:pPr>
            <w:r w:rsidRPr="00340E78">
              <w:rPr>
                <w:b/>
                <w:sz w:val="20"/>
                <w:szCs w:val="20"/>
              </w:rPr>
              <w:t>%</w:t>
            </w:r>
          </w:p>
        </w:tc>
        <w:tc>
          <w:tcPr>
            <w:tcW w:w="1016" w:type="dxa"/>
            <w:shd w:val="clear" w:color="auto" w:fill="auto"/>
            <w:vAlign w:val="center"/>
          </w:tcPr>
          <w:p w14:paraId="0EC71718" w14:textId="77777777" w:rsidR="00340E78" w:rsidRPr="00340E78" w:rsidRDefault="00340E78" w:rsidP="00340E78">
            <w:pPr>
              <w:keepNext/>
              <w:widowControl w:val="0"/>
              <w:contextualSpacing/>
              <w:jc w:val="center"/>
              <w:rPr>
                <w:b/>
                <w:sz w:val="20"/>
                <w:szCs w:val="20"/>
              </w:rPr>
            </w:pPr>
            <w:r w:rsidRPr="00340E78">
              <w:rPr>
                <w:b/>
                <w:sz w:val="20"/>
                <w:szCs w:val="20"/>
              </w:rPr>
              <w:t>#</w:t>
            </w:r>
          </w:p>
        </w:tc>
        <w:tc>
          <w:tcPr>
            <w:tcW w:w="970" w:type="dxa"/>
            <w:shd w:val="clear" w:color="auto" w:fill="auto"/>
            <w:vAlign w:val="center"/>
          </w:tcPr>
          <w:p w14:paraId="06CDB309" w14:textId="77777777" w:rsidR="00340E78" w:rsidRPr="00340E78" w:rsidRDefault="00340E78" w:rsidP="00340E78">
            <w:pPr>
              <w:keepNext/>
              <w:widowControl w:val="0"/>
              <w:contextualSpacing/>
              <w:jc w:val="center"/>
              <w:rPr>
                <w:b/>
                <w:sz w:val="20"/>
                <w:szCs w:val="20"/>
              </w:rPr>
            </w:pPr>
            <w:r w:rsidRPr="00340E78">
              <w:rPr>
                <w:b/>
                <w:sz w:val="20"/>
                <w:szCs w:val="20"/>
              </w:rPr>
              <w:t>%</w:t>
            </w:r>
          </w:p>
        </w:tc>
        <w:tc>
          <w:tcPr>
            <w:tcW w:w="960" w:type="dxa"/>
            <w:shd w:val="clear" w:color="auto" w:fill="auto"/>
            <w:vAlign w:val="center"/>
          </w:tcPr>
          <w:p w14:paraId="1C5A2668" w14:textId="77777777" w:rsidR="00340E78" w:rsidRPr="00340E78" w:rsidRDefault="00340E78" w:rsidP="00340E78">
            <w:pPr>
              <w:keepNext/>
              <w:widowControl w:val="0"/>
              <w:contextualSpacing/>
              <w:jc w:val="center"/>
              <w:rPr>
                <w:b/>
                <w:sz w:val="20"/>
                <w:szCs w:val="20"/>
              </w:rPr>
            </w:pPr>
            <w:r w:rsidRPr="00340E78">
              <w:rPr>
                <w:b/>
                <w:sz w:val="20"/>
                <w:szCs w:val="20"/>
              </w:rPr>
              <w:t>#</w:t>
            </w:r>
          </w:p>
        </w:tc>
        <w:tc>
          <w:tcPr>
            <w:tcW w:w="970" w:type="dxa"/>
            <w:shd w:val="clear" w:color="auto" w:fill="auto"/>
            <w:vAlign w:val="center"/>
          </w:tcPr>
          <w:p w14:paraId="498017DB" w14:textId="77777777" w:rsidR="00340E78" w:rsidRPr="00340E78" w:rsidRDefault="00340E78" w:rsidP="00340E78">
            <w:pPr>
              <w:keepNext/>
              <w:widowControl w:val="0"/>
              <w:contextualSpacing/>
              <w:jc w:val="center"/>
              <w:rPr>
                <w:b/>
                <w:sz w:val="20"/>
                <w:szCs w:val="20"/>
              </w:rPr>
            </w:pPr>
            <w:r w:rsidRPr="00340E78">
              <w:rPr>
                <w:b/>
                <w:sz w:val="20"/>
                <w:szCs w:val="20"/>
              </w:rPr>
              <w:t>%</w:t>
            </w:r>
          </w:p>
        </w:tc>
        <w:tc>
          <w:tcPr>
            <w:tcW w:w="960" w:type="dxa"/>
            <w:shd w:val="clear" w:color="auto" w:fill="auto"/>
            <w:vAlign w:val="center"/>
          </w:tcPr>
          <w:p w14:paraId="52200F9D" w14:textId="77777777" w:rsidR="00340E78" w:rsidRPr="00340E78" w:rsidRDefault="00340E78" w:rsidP="00340E78">
            <w:pPr>
              <w:keepNext/>
              <w:widowControl w:val="0"/>
              <w:contextualSpacing/>
              <w:jc w:val="center"/>
              <w:rPr>
                <w:b/>
                <w:sz w:val="20"/>
                <w:szCs w:val="20"/>
              </w:rPr>
            </w:pPr>
            <w:r w:rsidRPr="00340E78">
              <w:rPr>
                <w:b/>
                <w:sz w:val="20"/>
                <w:szCs w:val="20"/>
              </w:rPr>
              <w:t>#</w:t>
            </w:r>
          </w:p>
        </w:tc>
        <w:tc>
          <w:tcPr>
            <w:tcW w:w="970" w:type="dxa"/>
            <w:shd w:val="clear" w:color="auto" w:fill="auto"/>
            <w:vAlign w:val="center"/>
          </w:tcPr>
          <w:p w14:paraId="3303D8D2" w14:textId="77777777" w:rsidR="00340E78" w:rsidRPr="00340E78" w:rsidRDefault="00340E78" w:rsidP="00340E78">
            <w:pPr>
              <w:keepNext/>
              <w:widowControl w:val="0"/>
              <w:contextualSpacing/>
              <w:jc w:val="center"/>
              <w:rPr>
                <w:b/>
              </w:rPr>
            </w:pPr>
            <w:r w:rsidRPr="00340E78">
              <w:rPr>
                <w:b/>
              </w:rPr>
              <w:t>%</w:t>
            </w:r>
          </w:p>
        </w:tc>
      </w:tr>
      <w:tr w:rsidR="00456638" w:rsidRPr="00340E78" w14:paraId="74046108" w14:textId="77777777" w:rsidTr="00D915EB">
        <w:trPr>
          <w:trHeight w:val="288"/>
          <w:jc w:val="center"/>
        </w:trPr>
        <w:tc>
          <w:tcPr>
            <w:tcW w:w="1570" w:type="dxa"/>
            <w:shd w:val="clear" w:color="auto" w:fill="auto"/>
            <w:vAlign w:val="center"/>
          </w:tcPr>
          <w:p w14:paraId="19899489" w14:textId="77777777" w:rsidR="00456638" w:rsidRPr="00340E78" w:rsidRDefault="00456638" w:rsidP="00456638">
            <w:pPr>
              <w:keepNext/>
              <w:widowControl w:val="0"/>
              <w:contextualSpacing/>
              <w:rPr>
                <w:sz w:val="20"/>
                <w:szCs w:val="20"/>
              </w:rPr>
            </w:pPr>
            <w:r w:rsidRPr="00340E78">
              <w:rPr>
                <w:sz w:val="20"/>
                <w:szCs w:val="20"/>
              </w:rPr>
              <w:t>Low</w:t>
            </w:r>
          </w:p>
        </w:tc>
        <w:tc>
          <w:tcPr>
            <w:tcW w:w="964" w:type="dxa"/>
            <w:shd w:val="clear" w:color="auto" w:fill="auto"/>
          </w:tcPr>
          <w:p w14:paraId="4E140C5B" w14:textId="48C1948D" w:rsidR="00456638" w:rsidRPr="00340E78" w:rsidRDefault="00456638" w:rsidP="00456638">
            <w:pPr>
              <w:spacing w:after="160" w:line="259" w:lineRule="auto"/>
              <w:jc w:val="center"/>
              <w:rPr>
                <w:rFonts w:eastAsiaTheme="minorHAnsi"/>
                <w:color w:val="000000"/>
                <w:sz w:val="20"/>
                <w:szCs w:val="20"/>
              </w:rPr>
            </w:pPr>
            <w:r>
              <w:rPr>
                <w:color w:val="000000"/>
                <w:sz w:val="20"/>
              </w:rPr>
              <w:t>70</w:t>
            </w:r>
          </w:p>
        </w:tc>
        <w:tc>
          <w:tcPr>
            <w:tcW w:w="970" w:type="dxa"/>
            <w:shd w:val="clear" w:color="auto" w:fill="auto"/>
          </w:tcPr>
          <w:p w14:paraId="722AEEEC" w14:textId="7899F298" w:rsidR="00456638" w:rsidRPr="00340E78" w:rsidRDefault="00456638" w:rsidP="00456638">
            <w:pPr>
              <w:spacing w:after="160" w:line="259" w:lineRule="auto"/>
              <w:jc w:val="center"/>
              <w:rPr>
                <w:rFonts w:eastAsiaTheme="minorHAnsi"/>
                <w:color w:val="000000"/>
                <w:sz w:val="20"/>
                <w:szCs w:val="20"/>
              </w:rPr>
            </w:pPr>
            <w:r>
              <w:rPr>
                <w:color w:val="000000"/>
                <w:sz w:val="20"/>
              </w:rPr>
              <w:t>17.0</w:t>
            </w:r>
          </w:p>
        </w:tc>
        <w:tc>
          <w:tcPr>
            <w:tcW w:w="1016" w:type="dxa"/>
            <w:shd w:val="clear" w:color="auto" w:fill="auto"/>
          </w:tcPr>
          <w:p w14:paraId="741CDB34" w14:textId="29F0936F" w:rsidR="00456638" w:rsidRPr="00340E78" w:rsidRDefault="00456638" w:rsidP="00456638">
            <w:pPr>
              <w:spacing w:after="160" w:line="259" w:lineRule="auto"/>
              <w:jc w:val="center"/>
              <w:rPr>
                <w:rFonts w:eastAsiaTheme="minorHAnsi"/>
                <w:color w:val="000000"/>
                <w:sz w:val="20"/>
                <w:szCs w:val="20"/>
              </w:rPr>
            </w:pPr>
            <w:r>
              <w:rPr>
                <w:color w:val="000000"/>
                <w:sz w:val="20"/>
              </w:rPr>
              <w:t>268,846</w:t>
            </w:r>
          </w:p>
        </w:tc>
        <w:tc>
          <w:tcPr>
            <w:tcW w:w="970" w:type="dxa"/>
            <w:shd w:val="clear" w:color="auto" w:fill="auto"/>
          </w:tcPr>
          <w:p w14:paraId="12124351" w14:textId="09235BE5" w:rsidR="00456638" w:rsidRPr="00340E78" w:rsidRDefault="00456638" w:rsidP="00456638">
            <w:pPr>
              <w:spacing w:after="160" w:line="259" w:lineRule="auto"/>
              <w:jc w:val="center"/>
              <w:rPr>
                <w:rFonts w:eastAsiaTheme="minorHAnsi"/>
                <w:color w:val="000000"/>
                <w:sz w:val="20"/>
                <w:szCs w:val="20"/>
              </w:rPr>
            </w:pPr>
            <w:r>
              <w:rPr>
                <w:color w:val="000000"/>
                <w:sz w:val="20"/>
              </w:rPr>
              <w:t>15.6</w:t>
            </w:r>
          </w:p>
        </w:tc>
        <w:tc>
          <w:tcPr>
            <w:tcW w:w="960" w:type="dxa"/>
            <w:shd w:val="clear" w:color="auto" w:fill="auto"/>
          </w:tcPr>
          <w:p w14:paraId="61AD43C7" w14:textId="22CFACC5" w:rsidR="00456638" w:rsidRPr="00340E78" w:rsidRDefault="00456638" w:rsidP="00456638">
            <w:pPr>
              <w:spacing w:after="160" w:line="259" w:lineRule="auto"/>
              <w:jc w:val="center"/>
              <w:rPr>
                <w:rFonts w:eastAsiaTheme="minorHAnsi"/>
                <w:color w:val="000000"/>
                <w:sz w:val="20"/>
                <w:szCs w:val="20"/>
              </w:rPr>
            </w:pPr>
            <w:r>
              <w:rPr>
                <w:color w:val="000000"/>
                <w:sz w:val="20"/>
              </w:rPr>
              <w:t>2</w:t>
            </w:r>
          </w:p>
        </w:tc>
        <w:tc>
          <w:tcPr>
            <w:tcW w:w="970" w:type="dxa"/>
            <w:shd w:val="clear" w:color="auto" w:fill="auto"/>
          </w:tcPr>
          <w:p w14:paraId="4F0E22D3" w14:textId="50208A11" w:rsidR="00456638" w:rsidRPr="00340E78" w:rsidRDefault="00456638" w:rsidP="001F64B6">
            <w:pPr>
              <w:spacing w:after="160" w:line="259" w:lineRule="auto"/>
              <w:jc w:val="center"/>
              <w:rPr>
                <w:rFonts w:eastAsiaTheme="minorHAnsi"/>
                <w:color w:val="000000"/>
                <w:sz w:val="20"/>
                <w:szCs w:val="20"/>
              </w:rPr>
            </w:pPr>
            <w:r>
              <w:rPr>
                <w:color w:val="000000"/>
                <w:sz w:val="20"/>
              </w:rPr>
              <w:t>4.</w:t>
            </w:r>
            <w:r w:rsidR="001F64B6">
              <w:rPr>
                <w:color w:val="000000"/>
                <w:sz w:val="20"/>
              </w:rPr>
              <w:t>6</w:t>
            </w:r>
          </w:p>
        </w:tc>
        <w:tc>
          <w:tcPr>
            <w:tcW w:w="960" w:type="dxa"/>
            <w:shd w:val="clear" w:color="auto" w:fill="auto"/>
          </w:tcPr>
          <w:p w14:paraId="6C5AEA51" w14:textId="59150C9C" w:rsidR="00456638" w:rsidRPr="00340E78" w:rsidRDefault="00456638" w:rsidP="00456638">
            <w:pPr>
              <w:spacing w:after="160" w:line="259" w:lineRule="auto"/>
              <w:jc w:val="center"/>
              <w:rPr>
                <w:rFonts w:eastAsiaTheme="minorHAnsi"/>
                <w:color w:val="000000"/>
                <w:sz w:val="20"/>
                <w:szCs w:val="20"/>
              </w:rPr>
            </w:pPr>
            <w:r>
              <w:rPr>
                <w:color w:val="000000"/>
                <w:sz w:val="20"/>
              </w:rPr>
              <w:t>3</w:t>
            </w:r>
          </w:p>
        </w:tc>
        <w:tc>
          <w:tcPr>
            <w:tcW w:w="970" w:type="dxa"/>
            <w:shd w:val="clear" w:color="auto" w:fill="auto"/>
          </w:tcPr>
          <w:p w14:paraId="76DC1451" w14:textId="0781BB32" w:rsidR="00456638" w:rsidRPr="00340E78" w:rsidRDefault="00A81204" w:rsidP="00456638">
            <w:pPr>
              <w:spacing w:after="160" w:line="259" w:lineRule="auto"/>
              <w:jc w:val="center"/>
              <w:rPr>
                <w:rFonts w:eastAsiaTheme="minorHAnsi"/>
                <w:color w:val="000000"/>
                <w:sz w:val="20"/>
                <w:szCs w:val="20"/>
              </w:rPr>
            </w:pPr>
            <w:r>
              <w:rPr>
                <w:color w:val="000000"/>
                <w:sz w:val="20"/>
              </w:rPr>
              <w:t>6.4</w:t>
            </w:r>
          </w:p>
        </w:tc>
      </w:tr>
      <w:tr w:rsidR="00456638" w:rsidRPr="00340E78" w14:paraId="054608D0" w14:textId="77777777" w:rsidTr="00D915EB">
        <w:trPr>
          <w:trHeight w:val="288"/>
          <w:jc w:val="center"/>
        </w:trPr>
        <w:tc>
          <w:tcPr>
            <w:tcW w:w="1570" w:type="dxa"/>
            <w:shd w:val="clear" w:color="auto" w:fill="auto"/>
            <w:vAlign w:val="center"/>
          </w:tcPr>
          <w:p w14:paraId="670B689D" w14:textId="77777777" w:rsidR="00456638" w:rsidRPr="00340E78" w:rsidRDefault="00456638" w:rsidP="00456638">
            <w:pPr>
              <w:keepNext/>
              <w:widowControl w:val="0"/>
              <w:contextualSpacing/>
              <w:rPr>
                <w:sz w:val="20"/>
                <w:szCs w:val="20"/>
              </w:rPr>
            </w:pPr>
            <w:r w:rsidRPr="00340E78">
              <w:rPr>
                <w:sz w:val="20"/>
                <w:szCs w:val="20"/>
              </w:rPr>
              <w:t>Moderate</w:t>
            </w:r>
          </w:p>
        </w:tc>
        <w:tc>
          <w:tcPr>
            <w:tcW w:w="964" w:type="dxa"/>
            <w:shd w:val="clear" w:color="auto" w:fill="auto"/>
          </w:tcPr>
          <w:p w14:paraId="3BB940DA" w14:textId="032CBF64" w:rsidR="00456638" w:rsidRPr="00340E78" w:rsidRDefault="00456638" w:rsidP="00456638">
            <w:pPr>
              <w:spacing w:after="160" w:line="259" w:lineRule="auto"/>
              <w:jc w:val="center"/>
              <w:rPr>
                <w:rFonts w:eastAsiaTheme="minorHAnsi"/>
                <w:color w:val="000000"/>
                <w:sz w:val="20"/>
                <w:szCs w:val="20"/>
              </w:rPr>
            </w:pPr>
            <w:r>
              <w:rPr>
                <w:color w:val="000000"/>
                <w:sz w:val="20"/>
              </w:rPr>
              <w:t>117</w:t>
            </w:r>
          </w:p>
        </w:tc>
        <w:tc>
          <w:tcPr>
            <w:tcW w:w="970" w:type="dxa"/>
            <w:shd w:val="clear" w:color="auto" w:fill="auto"/>
          </w:tcPr>
          <w:p w14:paraId="4CF9C1A9" w14:textId="15EC5673" w:rsidR="00456638" w:rsidRPr="00340E78" w:rsidRDefault="00456638" w:rsidP="00456638">
            <w:pPr>
              <w:spacing w:after="160" w:line="259" w:lineRule="auto"/>
              <w:jc w:val="center"/>
              <w:rPr>
                <w:rFonts w:eastAsiaTheme="minorHAnsi"/>
                <w:color w:val="000000"/>
                <w:sz w:val="20"/>
                <w:szCs w:val="20"/>
              </w:rPr>
            </w:pPr>
            <w:r>
              <w:rPr>
                <w:color w:val="000000"/>
                <w:sz w:val="20"/>
              </w:rPr>
              <w:t>28.4</w:t>
            </w:r>
          </w:p>
        </w:tc>
        <w:tc>
          <w:tcPr>
            <w:tcW w:w="1016" w:type="dxa"/>
            <w:shd w:val="clear" w:color="auto" w:fill="auto"/>
          </w:tcPr>
          <w:p w14:paraId="248761C3" w14:textId="414A5620" w:rsidR="00456638" w:rsidRPr="00340E78" w:rsidRDefault="00456638" w:rsidP="00456638">
            <w:pPr>
              <w:spacing w:after="160" w:line="259" w:lineRule="auto"/>
              <w:jc w:val="center"/>
              <w:rPr>
                <w:rFonts w:eastAsiaTheme="minorHAnsi"/>
                <w:color w:val="000000"/>
                <w:sz w:val="20"/>
                <w:szCs w:val="20"/>
              </w:rPr>
            </w:pPr>
            <w:r>
              <w:rPr>
                <w:color w:val="000000"/>
                <w:sz w:val="20"/>
              </w:rPr>
              <w:t>536,153</w:t>
            </w:r>
          </w:p>
        </w:tc>
        <w:tc>
          <w:tcPr>
            <w:tcW w:w="970" w:type="dxa"/>
            <w:shd w:val="clear" w:color="auto" w:fill="auto"/>
          </w:tcPr>
          <w:p w14:paraId="78BE48DB" w14:textId="5AE7602C" w:rsidR="00456638" w:rsidRPr="00340E78" w:rsidRDefault="00456638" w:rsidP="00456638">
            <w:pPr>
              <w:spacing w:after="160" w:line="259" w:lineRule="auto"/>
              <w:jc w:val="center"/>
              <w:rPr>
                <w:rFonts w:eastAsiaTheme="minorHAnsi"/>
                <w:color w:val="000000"/>
                <w:sz w:val="20"/>
                <w:szCs w:val="20"/>
              </w:rPr>
            </w:pPr>
            <w:r>
              <w:rPr>
                <w:color w:val="000000"/>
                <w:sz w:val="20"/>
              </w:rPr>
              <w:t>31.1</w:t>
            </w:r>
          </w:p>
        </w:tc>
        <w:tc>
          <w:tcPr>
            <w:tcW w:w="960" w:type="dxa"/>
            <w:shd w:val="clear" w:color="auto" w:fill="auto"/>
          </w:tcPr>
          <w:p w14:paraId="36FE03A7" w14:textId="496EFC82" w:rsidR="00456638" w:rsidRPr="00340E78" w:rsidRDefault="001F64B6" w:rsidP="00456638">
            <w:pPr>
              <w:spacing w:after="160" w:line="259" w:lineRule="auto"/>
              <w:jc w:val="center"/>
              <w:rPr>
                <w:rFonts w:eastAsiaTheme="minorHAnsi"/>
                <w:color w:val="000000"/>
                <w:sz w:val="20"/>
                <w:szCs w:val="20"/>
              </w:rPr>
            </w:pPr>
            <w:r>
              <w:rPr>
                <w:color w:val="000000"/>
                <w:sz w:val="20"/>
              </w:rPr>
              <w:t>15</w:t>
            </w:r>
          </w:p>
        </w:tc>
        <w:tc>
          <w:tcPr>
            <w:tcW w:w="970" w:type="dxa"/>
            <w:shd w:val="clear" w:color="auto" w:fill="auto"/>
          </w:tcPr>
          <w:p w14:paraId="49DEEE84" w14:textId="34A5CE6F" w:rsidR="00456638" w:rsidRPr="00340E78" w:rsidRDefault="001F64B6" w:rsidP="00456638">
            <w:pPr>
              <w:spacing w:after="160" w:line="259" w:lineRule="auto"/>
              <w:jc w:val="center"/>
              <w:rPr>
                <w:rFonts w:eastAsiaTheme="minorHAnsi"/>
                <w:color w:val="000000"/>
                <w:sz w:val="20"/>
                <w:szCs w:val="20"/>
              </w:rPr>
            </w:pPr>
            <w:r>
              <w:rPr>
                <w:color w:val="000000"/>
                <w:sz w:val="20"/>
              </w:rPr>
              <w:t>34.9</w:t>
            </w:r>
          </w:p>
        </w:tc>
        <w:tc>
          <w:tcPr>
            <w:tcW w:w="960" w:type="dxa"/>
            <w:shd w:val="clear" w:color="auto" w:fill="auto"/>
          </w:tcPr>
          <w:p w14:paraId="0871176C" w14:textId="12916F82" w:rsidR="00456638" w:rsidRPr="00340E78" w:rsidRDefault="001F64B6" w:rsidP="00456638">
            <w:pPr>
              <w:spacing w:after="160" w:line="259" w:lineRule="auto"/>
              <w:jc w:val="center"/>
              <w:rPr>
                <w:rFonts w:eastAsiaTheme="minorHAnsi"/>
                <w:color w:val="000000"/>
                <w:sz w:val="20"/>
                <w:szCs w:val="20"/>
              </w:rPr>
            </w:pPr>
            <w:r>
              <w:rPr>
                <w:color w:val="000000"/>
                <w:sz w:val="20"/>
              </w:rPr>
              <w:t>15</w:t>
            </w:r>
          </w:p>
        </w:tc>
        <w:tc>
          <w:tcPr>
            <w:tcW w:w="970" w:type="dxa"/>
            <w:shd w:val="clear" w:color="auto" w:fill="auto"/>
          </w:tcPr>
          <w:p w14:paraId="759C3910" w14:textId="2E68B5EC" w:rsidR="00456638" w:rsidRPr="00340E78" w:rsidRDefault="001F64B6" w:rsidP="00456638">
            <w:pPr>
              <w:spacing w:after="160" w:line="259" w:lineRule="auto"/>
              <w:jc w:val="center"/>
              <w:rPr>
                <w:rFonts w:eastAsiaTheme="minorHAnsi"/>
                <w:color w:val="000000"/>
                <w:sz w:val="20"/>
                <w:szCs w:val="20"/>
              </w:rPr>
            </w:pPr>
            <w:r>
              <w:rPr>
                <w:color w:val="000000"/>
                <w:sz w:val="20"/>
              </w:rPr>
              <w:t>31.9</w:t>
            </w:r>
          </w:p>
        </w:tc>
      </w:tr>
      <w:tr w:rsidR="00456638" w:rsidRPr="00340E78" w14:paraId="58CB08D4" w14:textId="77777777" w:rsidTr="00D915EB">
        <w:trPr>
          <w:trHeight w:val="288"/>
          <w:jc w:val="center"/>
        </w:trPr>
        <w:tc>
          <w:tcPr>
            <w:tcW w:w="1570" w:type="dxa"/>
            <w:shd w:val="clear" w:color="auto" w:fill="auto"/>
            <w:vAlign w:val="center"/>
          </w:tcPr>
          <w:p w14:paraId="6ACCB98D" w14:textId="77777777" w:rsidR="00456638" w:rsidRPr="00340E78" w:rsidRDefault="00456638" w:rsidP="00456638">
            <w:pPr>
              <w:keepNext/>
              <w:widowControl w:val="0"/>
              <w:contextualSpacing/>
              <w:rPr>
                <w:sz w:val="20"/>
                <w:szCs w:val="20"/>
              </w:rPr>
            </w:pPr>
            <w:r w:rsidRPr="00340E78">
              <w:rPr>
                <w:sz w:val="20"/>
                <w:szCs w:val="20"/>
              </w:rPr>
              <w:t>Middle</w:t>
            </w:r>
          </w:p>
        </w:tc>
        <w:tc>
          <w:tcPr>
            <w:tcW w:w="964" w:type="dxa"/>
            <w:shd w:val="clear" w:color="auto" w:fill="auto"/>
          </w:tcPr>
          <w:p w14:paraId="4AF73395" w14:textId="06A65867" w:rsidR="00456638" w:rsidRPr="00340E78" w:rsidRDefault="00456638" w:rsidP="00456638">
            <w:pPr>
              <w:spacing w:after="160" w:line="259" w:lineRule="auto"/>
              <w:jc w:val="center"/>
              <w:rPr>
                <w:rFonts w:eastAsiaTheme="minorHAnsi"/>
                <w:color w:val="000000"/>
                <w:sz w:val="20"/>
                <w:szCs w:val="20"/>
              </w:rPr>
            </w:pPr>
            <w:r>
              <w:rPr>
                <w:color w:val="000000"/>
                <w:sz w:val="20"/>
              </w:rPr>
              <w:t>134</w:t>
            </w:r>
          </w:p>
        </w:tc>
        <w:tc>
          <w:tcPr>
            <w:tcW w:w="970" w:type="dxa"/>
            <w:shd w:val="clear" w:color="auto" w:fill="auto"/>
          </w:tcPr>
          <w:p w14:paraId="0882C18F" w14:textId="4EBC2F3F" w:rsidR="00456638" w:rsidRPr="00340E78" w:rsidRDefault="00456638" w:rsidP="00456638">
            <w:pPr>
              <w:spacing w:after="160" w:line="259" w:lineRule="auto"/>
              <w:jc w:val="center"/>
              <w:rPr>
                <w:rFonts w:eastAsiaTheme="minorHAnsi"/>
                <w:color w:val="000000"/>
                <w:sz w:val="20"/>
                <w:szCs w:val="20"/>
              </w:rPr>
            </w:pPr>
            <w:r>
              <w:rPr>
                <w:color w:val="000000"/>
                <w:sz w:val="20"/>
              </w:rPr>
              <w:t>32.5</w:t>
            </w:r>
          </w:p>
        </w:tc>
        <w:tc>
          <w:tcPr>
            <w:tcW w:w="1016" w:type="dxa"/>
            <w:shd w:val="clear" w:color="auto" w:fill="auto"/>
          </w:tcPr>
          <w:p w14:paraId="1B484A0B" w14:textId="1221C0B6" w:rsidR="00456638" w:rsidRPr="00340E78" w:rsidRDefault="00456638" w:rsidP="00456638">
            <w:pPr>
              <w:spacing w:after="160" w:line="259" w:lineRule="auto"/>
              <w:jc w:val="center"/>
              <w:rPr>
                <w:rFonts w:eastAsiaTheme="minorHAnsi"/>
                <w:color w:val="000000"/>
                <w:sz w:val="20"/>
                <w:szCs w:val="20"/>
              </w:rPr>
            </w:pPr>
            <w:r>
              <w:rPr>
                <w:color w:val="000000"/>
                <w:sz w:val="20"/>
              </w:rPr>
              <w:t>622,712</w:t>
            </w:r>
          </w:p>
        </w:tc>
        <w:tc>
          <w:tcPr>
            <w:tcW w:w="970" w:type="dxa"/>
            <w:shd w:val="clear" w:color="auto" w:fill="auto"/>
          </w:tcPr>
          <w:p w14:paraId="3F4D3939" w14:textId="50EFB618" w:rsidR="00456638" w:rsidRPr="00340E78" w:rsidRDefault="00456638" w:rsidP="00456638">
            <w:pPr>
              <w:spacing w:after="160" w:line="259" w:lineRule="auto"/>
              <w:jc w:val="center"/>
              <w:rPr>
                <w:rFonts w:eastAsiaTheme="minorHAnsi"/>
                <w:color w:val="000000"/>
                <w:sz w:val="20"/>
                <w:szCs w:val="20"/>
              </w:rPr>
            </w:pPr>
            <w:r>
              <w:rPr>
                <w:color w:val="000000"/>
                <w:sz w:val="20"/>
              </w:rPr>
              <w:t>36.1</w:t>
            </w:r>
          </w:p>
        </w:tc>
        <w:tc>
          <w:tcPr>
            <w:tcW w:w="960" w:type="dxa"/>
            <w:shd w:val="clear" w:color="auto" w:fill="auto"/>
          </w:tcPr>
          <w:p w14:paraId="10992683" w14:textId="31E340E1" w:rsidR="00456638" w:rsidRPr="00340E78" w:rsidRDefault="00456638" w:rsidP="00456638">
            <w:pPr>
              <w:spacing w:after="160" w:line="259" w:lineRule="auto"/>
              <w:jc w:val="center"/>
              <w:rPr>
                <w:rFonts w:eastAsiaTheme="minorHAnsi"/>
                <w:color w:val="000000"/>
                <w:sz w:val="20"/>
                <w:szCs w:val="20"/>
              </w:rPr>
            </w:pPr>
            <w:r>
              <w:rPr>
                <w:color w:val="000000"/>
                <w:sz w:val="20"/>
              </w:rPr>
              <w:t>15</w:t>
            </w:r>
          </w:p>
        </w:tc>
        <w:tc>
          <w:tcPr>
            <w:tcW w:w="970" w:type="dxa"/>
            <w:shd w:val="clear" w:color="auto" w:fill="auto"/>
          </w:tcPr>
          <w:p w14:paraId="5E672B28" w14:textId="14C57D83" w:rsidR="00456638" w:rsidRPr="00340E78" w:rsidRDefault="00456638" w:rsidP="00456638">
            <w:pPr>
              <w:spacing w:after="160" w:line="259" w:lineRule="auto"/>
              <w:jc w:val="center"/>
              <w:rPr>
                <w:rFonts w:eastAsiaTheme="minorHAnsi"/>
                <w:color w:val="000000"/>
                <w:sz w:val="20"/>
                <w:szCs w:val="20"/>
              </w:rPr>
            </w:pPr>
            <w:r>
              <w:rPr>
                <w:color w:val="000000"/>
                <w:sz w:val="20"/>
              </w:rPr>
              <w:t>34.9</w:t>
            </w:r>
          </w:p>
        </w:tc>
        <w:tc>
          <w:tcPr>
            <w:tcW w:w="960" w:type="dxa"/>
            <w:shd w:val="clear" w:color="auto" w:fill="auto"/>
          </w:tcPr>
          <w:p w14:paraId="36EF86E2" w14:textId="2C454467" w:rsidR="00456638" w:rsidRPr="00340E78" w:rsidRDefault="00456638" w:rsidP="00A81204">
            <w:pPr>
              <w:spacing w:after="160" w:line="259" w:lineRule="auto"/>
              <w:jc w:val="center"/>
              <w:rPr>
                <w:rFonts w:eastAsiaTheme="minorHAnsi"/>
                <w:color w:val="000000"/>
                <w:sz w:val="20"/>
                <w:szCs w:val="20"/>
              </w:rPr>
            </w:pPr>
            <w:r>
              <w:rPr>
                <w:color w:val="000000"/>
                <w:sz w:val="20"/>
              </w:rPr>
              <w:t>2</w:t>
            </w:r>
            <w:r w:rsidR="00A81204">
              <w:rPr>
                <w:color w:val="000000"/>
                <w:sz w:val="20"/>
              </w:rPr>
              <w:t>4</w:t>
            </w:r>
          </w:p>
        </w:tc>
        <w:tc>
          <w:tcPr>
            <w:tcW w:w="970" w:type="dxa"/>
            <w:shd w:val="clear" w:color="auto" w:fill="auto"/>
          </w:tcPr>
          <w:p w14:paraId="1E164E6A" w14:textId="020267AC" w:rsidR="00456638" w:rsidRPr="00340E78" w:rsidRDefault="00A81204" w:rsidP="00456638">
            <w:pPr>
              <w:spacing w:after="160" w:line="259" w:lineRule="auto"/>
              <w:jc w:val="center"/>
              <w:rPr>
                <w:rFonts w:eastAsiaTheme="minorHAnsi"/>
                <w:color w:val="000000"/>
                <w:sz w:val="20"/>
                <w:szCs w:val="20"/>
              </w:rPr>
            </w:pPr>
            <w:r>
              <w:rPr>
                <w:color w:val="000000"/>
                <w:sz w:val="20"/>
              </w:rPr>
              <w:t>51.1</w:t>
            </w:r>
          </w:p>
        </w:tc>
      </w:tr>
      <w:tr w:rsidR="00456638" w:rsidRPr="00340E78" w14:paraId="59908BFA" w14:textId="77777777" w:rsidTr="00D915EB">
        <w:trPr>
          <w:trHeight w:val="288"/>
          <w:jc w:val="center"/>
        </w:trPr>
        <w:tc>
          <w:tcPr>
            <w:tcW w:w="1570" w:type="dxa"/>
            <w:shd w:val="clear" w:color="auto" w:fill="auto"/>
            <w:vAlign w:val="center"/>
          </w:tcPr>
          <w:p w14:paraId="001EA26F" w14:textId="77777777" w:rsidR="00456638" w:rsidRPr="00340E78" w:rsidRDefault="00456638" w:rsidP="00456638">
            <w:pPr>
              <w:keepNext/>
              <w:widowControl w:val="0"/>
              <w:contextualSpacing/>
              <w:rPr>
                <w:sz w:val="20"/>
                <w:szCs w:val="20"/>
              </w:rPr>
            </w:pPr>
            <w:r w:rsidRPr="00340E78">
              <w:rPr>
                <w:sz w:val="20"/>
                <w:szCs w:val="20"/>
              </w:rPr>
              <w:t>Upper</w:t>
            </w:r>
          </w:p>
        </w:tc>
        <w:tc>
          <w:tcPr>
            <w:tcW w:w="964" w:type="dxa"/>
            <w:shd w:val="clear" w:color="auto" w:fill="auto"/>
          </w:tcPr>
          <w:p w14:paraId="324A21A4" w14:textId="32EFC6A8" w:rsidR="00456638" w:rsidRPr="00340E78" w:rsidRDefault="00456638" w:rsidP="00456638">
            <w:pPr>
              <w:spacing w:after="160" w:line="259" w:lineRule="auto"/>
              <w:jc w:val="center"/>
              <w:rPr>
                <w:rFonts w:eastAsiaTheme="minorHAnsi"/>
                <w:color w:val="000000"/>
                <w:sz w:val="20"/>
                <w:szCs w:val="20"/>
              </w:rPr>
            </w:pPr>
            <w:r>
              <w:rPr>
                <w:color w:val="000000"/>
                <w:sz w:val="20"/>
              </w:rPr>
              <w:t>78</w:t>
            </w:r>
          </w:p>
        </w:tc>
        <w:tc>
          <w:tcPr>
            <w:tcW w:w="970" w:type="dxa"/>
            <w:shd w:val="clear" w:color="auto" w:fill="auto"/>
          </w:tcPr>
          <w:p w14:paraId="60F95596" w14:textId="5ACB9B40" w:rsidR="00456638" w:rsidRPr="00340E78" w:rsidRDefault="00456638" w:rsidP="00456638">
            <w:pPr>
              <w:spacing w:after="160" w:line="259" w:lineRule="auto"/>
              <w:jc w:val="center"/>
              <w:rPr>
                <w:rFonts w:eastAsiaTheme="minorHAnsi"/>
                <w:color w:val="000000"/>
                <w:sz w:val="20"/>
                <w:szCs w:val="20"/>
              </w:rPr>
            </w:pPr>
            <w:r>
              <w:rPr>
                <w:color w:val="000000"/>
                <w:sz w:val="20"/>
              </w:rPr>
              <w:t>18.9</w:t>
            </w:r>
          </w:p>
        </w:tc>
        <w:tc>
          <w:tcPr>
            <w:tcW w:w="1016" w:type="dxa"/>
            <w:shd w:val="clear" w:color="auto" w:fill="auto"/>
          </w:tcPr>
          <w:p w14:paraId="58554EE1" w14:textId="0A06647A" w:rsidR="00456638" w:rsidRPr="00340E78" w:rsidRDefault="00456638" w:rsidP="00456638">
            <w:pPr>
              <w:spacing w:after="160" w:line="259" w:lineRule="auto"/>
              <w:jc w:val="center"/>
              <w:rPr>
                <w:rFonts w:eastAsiaTheme="minorHAnsi"/>
                <w:color w:val="000000"/>
                <w:sz w:val="20"/>
                <w:szCs w:val="20"/>
              </w:rPr>
            </w:pPr>
            <w:r>
              <w:rPr>
                <w:color w:val="000000"/>
                <w:sz w:val="20"/>
              </w:rPr>
              <w:t>287,754</w:t>
            </w:r>
          </w:p>
        </w:tc>
        <w:tc>
          <w:tcPr>
            <w:tcW w:w="970" w:type="dxa"/>
            <w:shd w:val="clear" w:color="auto" w:fill="auto"/>
          </w:tcPr>
          <w:p w14:paraId="5BC00373" w14:textId="403F6586" w:rsidR="00456638" w:rsidRPr="00340E78" w:rsidRDefault="00456638" w:rsidP="00456638">
            <w:pPr>
              <w:spacing w:after="160" w:line="259" w:lineRule="auto"/>
              <w:jc w:val="center"/>
              <w:rPr>
                <w:rFonts w:eastAsiaTheme="minorHAnsi"/>
                <w:color w:val="000000"/>
                <w:sz w:val="20"/>
                <w:szCs w:val="20"/>
              </w:rPr>
            </w:pPr>
            <w:r>
              <w:rPr>
                <w:color w:val="000000"/>
                <w:sz w:val="20"/>
              </w:rPr>
              <w:t>16.7</w:t>
            </w:r>
          </w:p>
        </w:tc>
        <w:tc>
          <w:tcPr>
            <w:tcW w:w="960" w:type="dxa"/>
            <w:shd w:val="clear" w:color="auto" w:fill="auto"/>
          </w:tcPr>
          <w:p w14:paraId="70513A53" w14:textId="751B7377" w:rsidR="00456638" w:rsidRPr="00340E78" w:rsidRDefault="00456638" w:rsidP="00456638">
            <w:pPr>
              <w:spacing w:after="160" w:line="259" w:lineRule="auto"/>
              <w:jc w:val="center"/>
              <w:rPr>
                <w:rFonts w:eastAsiaTheme="minorHAnsi"/>
                <w:color w:val="000000"/>
                <w:sz w:val="20"/>
                <w:szCs w:val="20"/>
              </w:rPr>
            </w:pPr>
            <w:r>
              <w:rPr>
                <w:color w:val="000000"/>
                <w:sz w:val="20"/>
              </w:rPr>
              <w:t>11</w:t>
            </w:r>
          </w:p>
        </w:tc>
        <w:tc>
          <w:tcPr>
            <w:tcW w:w="970" w:type="dxa"/>
            <w:shd w:val="clear" w:color="auto" w:fill="auto"/>
          </w:tcPr>
          <w:p w14:paraId="77378367" w14:textId="0CF2D99C" w:rsidR="00456638" w:rsidRPr="00340E78" w:rsidRDefault="00456638" w:rsidP="00456638">
            <w:pPr>
              <w:spacing w:after="160" w:line="259" w:lineRule="auto"/>
              <w:jc w:val="center"/>
              <w:rPr>
                <w:rFonts w:eastAsiaTheme="minorHAnsi"/>
                <w:color w:val="000000"/>
                <w:sz w:val="20"/>
                <w:szCs w:val="20"/>
              </w:rPr>
            </w:pPr>
            <w:r>
              <w:rPr>
                <w:color w:val="000000"/>
                <w:sz w:val="20"/>
              </w:rPr>
              <w:t>25.6</w:t>
            </w:r>
          </w:p>
        </w:tc>
        <w:tc>
          <w:tcPr>
            <w:tcW w:w="960" w:type="dxa"/>
            <w:shd w:val="clear" w:color="auto" w:fill="auto"/>
          </w:tcPr>
          <w:p w14:paraId="27B8ECFF" w14:textId="2CDF15CC" w:rsidR="00456638" w:rsidRPr="00340E78" w:rsidRDefault="00456638" w:rsidP="00456638">
            <w:pPr>
              <w:spacing w:after="160" w:line="259" w:lineRule="auto"/>
              <w:jc w:val="center"/>
              <w:rPr>
                <w:rFonts w:eastAsiaTheme="minorHAnsi"/>
                <w:color w:val="000000"/>
                <w:sz w:val="20"/>
                <w:szCs w:val="20"/>
              </w:rPr>
            </w:pPr>
            <w:r>
              <w:rPr>
                <w:color w:val="000000"/>
                <w:sz w:val="20"/>
              </w:rPr>
              <w:t>5</w:t>
            </w:r>
          </w:p>
        </w:tc>
        <w:tc>
          <w:tcPr>
            <w:tcW w:w="970" w:type="dxa"/>
            <w:shd w:val="clear" w:color="auto" w:fill="auto"/>
          </w:tcPr>
          <w:p w14:paraId="7C68BFBC" w14:textId="2A7481B8" w:rsidR="00456638" w:rsidRPr="00340E78" w:rsidRDefault="00594F85" w:rsidP="00456638">
            <w:pPr>
              <w:spacing w:after="160" w:line="259" w:lineRule="auto"/>
              <w:jc w:val="center"/>
              <w:rPr>
                <w:rFonts w:eastAsiaTheme="minorHAnsi"/>
                <w:color w:val="000000"/>
                <w:sz w:val="20"/>
                <w:szCs w:val="20"/>
              </w:rPr>
            </w:pPr>
            <w:r>
              <w:rPr>
                <w:color w:val="000000"/>
                <w:sz w:val="20"/>
              </w:rPr>
              <w:t>10.6</w:t>
            </w:r>
          </w:p>
        </w:tc>
      </w:tr>
      <w:tr w:rsidR="00456638" w:rsidRPr="00340E78" w14:paraId="52B74F0C" w14:textId="77777777" w:rsidTr="00D915EB">
        <w:trPr>
          <w:trHeight w:val="288"/>
          <w:jc w:val="center"/>
        </w:trPr>
        <w:tc>
          <w:tcPr>
            <w:tcW w:w="1570" w:type="dxa"/>
            <w:shd w:val="clear" w:color="auto" w:fill="auto"/>
            <w:vAlign w:val="center"/>
          </w:tcPr>
          <w:p w14:paraId="1956D941" w14:textId="77777777" w:rsidR="00456638" w:rsidRPr="00340E78" w:rsidRDefault="00456638" w:rsidP="00456638">
            <w:pPr>
              <w:keepNext/>
              <w:widowControl w:val="0"/>
              <w:contextualSpacing/>
              <w:rPr>
                <w:sz w:val="20"/>
                <w:szCs w:val="20"/>
              </w:rPr>
            </w:pPr>
            <w:r w:rsidRPr="00340E78">
              <w:rPr>
                <w:sz w:val="20"/>
                <w:szCs w:val="20"/>
              </w:rPr>
              <w:t>NA</w:t>
            </w:r>
          </w:p>
        </w:tc>
        <w:tc>
          <w:tcPr>
            <w:tcW w:w="964" w:type="dxa"/>
            <w:shd w:val="clear" w:color="auto" w:fill="auto"/>
          </w:tcPr>
          <w:p w14:paraId="33D94784" w14:textId="0444C9D3" w:rsidR="00456638" w:rsidRPr="00340E78" w:rsidRDefault="00456638" w:rsidP="00456638">
            <w:pPr>
              <w:spacing w:after="160" w:line="259" w:lineRule="auto"/>
              <w:jc w:val="center"/>
              <w:rPr>
                <w:rFonts w:eastAsiaTheme="minorHAnsi"/>
                <w:color w:val="000000"/>
                <w:sz w:val="20"/>
                <w:szCs w:val="20"/>
              </w:rPr>
            </w:pPr>
            <w:r>
              <w:rPr>
                <w:color w:val="000000"/>
                <w:sz w:val="20"/>
              </w:rPr>
              <w:t>13</w:t>
            </w:r>
          </w:p>
        </w:tc>
        <w:tc>
          <w:tcPr>
            <w:tcW w:w="970" w:type="dxa"/>
            <w:shd w:val="clear" w:color="auto" w:fill="auto"/>
          </w:tcPr>
          <w:p w14:paraId="31994F92" w14:textId="28A17472" w:rsidR="00456638" w:rsidRPr="00340E78" w:rsidRDefault="00456638" w:rsidP="00456638">
            <w:pPr>
              <w:spacing w:after="160" w:line="259" w:lineRule="auto"/>
              <w:jc w:val="center"/>
              <w:rPr>
                <w:rFonts w:eastAsiaTheme="minorHAnsi"/>
                <w:color w:val="000000"/>
                <w:sz w:val="20"/>
                <w:szCs w:val="20"/>
              </w:rPr>
            </w:pPr>
            <w:r>
              <w:rPr>
                <w:color w:val="000000"/>
                <w:sz w:val="20"/>
              </w:rPr>
              <w:t>3.2</w:t>
            </w:r>
          </w:p>
        </w:tc>
        <w:tc>
          <w:tcPr>
            <w:tcW w:w="1016" w:type="dxa"/>
            <w:shd w:val="clear" w:color="auto" w:fill="auto"/>
          </w:tcPr>
          <w:p w14:paraId="618E6BDA" w14:textId="08FB7744" w:rsidR="00456638" w:rsidRPr="00340E78" w:rsidRDefault="00456638" w:rsidP="00456638">
            <w:pPr>
              <w:spacing w:after="160" w:line="259" w:lineRule="auto"/>
              <w:jc w:val="center"/>
              <w:rPr>
                <w:rFonts w:eastAsiaTheme="minorHAnsi"/>
                <w:color w:val="000000"/>
                <w:sz w:val="20"/>
                <w:szCs w:val="20"/>
              </w:rPr>
            </w:pPr>
            <w:r>
              <w:rPr>
                <w:color w:val="000000"/>
                <w:sz w:val="20"/>
              </w:rPr>
              <w:t>8,101</w:t>
            </w:r>
          </w:p>
        </w:tc>
        <w:tc>
          <w:tcPr>
            <w:tcW w:w="970" w:type="dxa"/>
            <w:shd w:val="clear" w:color="auto" w:fill="auto"/>
          </w:tcPr>
          <w:p w14:paraId="2FCC85E7" w14:textId="57B8802A" w:rsidR="00456638" w:rsidRPr="00340E78" w:rsidRDefault="00456638" w:rsidP="00456638">
            <w:pPr>
              <w:spacing w:after="160" w:line="259" w:lineRule="auto"/>
              <w:jc w:val="center"/>
              <w:rPr>
                <w:rFonts w:eastAsiaTheme="minorHAnsi"/>
                <w:color w:val="000000"/>
                <w:sz w:val="20"/>
                <w:szCs w:val="20"/>
              </w:rPr>
            </w:pPr>
            <w:r>
              <w:rPr>
                <w:color w:val="000000"/>
                <w:sz w:val="20"/>
              </w:rPr>
              <w:t>0.5</w:t>
            </w:r>
          </w:p>
        </w:tc>
        <w:tc>
          <w:tcPr>
            <w:tcW w:w="960" w:type="dxa"/>
            <w:shd w:val="clear" w:color="auto" w:fill="auto"/>
          </w:tcPr>
          <w:p w14:paraId="5439C47C" w14:textId="0BCF3811" w:rsidR="00456638" w:rsidRPr="00340E78" w:rsidRDefault="001F64B6" w:rsidP="00456638">
            <w:pPr>
              <w:spacing w:after="160" w:line="259" w:lineRule="auto"/>
              <w:jc w:val="center"/>
              <w:rPr>
                <w:rFonts w:eastAsiaTheme="minorHAnsi"/>
                <w:color w:val="000000"/>
                <w:sz w:val="20"/>
                <w:szCs w:val="20"/>
              </w:rPr>
            </w:pPr>
            <w:r>
              <w:rPr>
                <w:color w:val="000000"/>
                <w:sz w:val="20"/>
              </w:rPr>
              <w:t>0</w:t>
            </w:r>
          </w:p>
        </w:tc>
        <w:tc>
          <w:tcPr>
            <w:tcW w:w="970" w:type="dxa"/>
            <w:shd w:val="clear" w:color="auto" w:fill="auto"/>
          </w:tcPr>
          <w:p w14:paraId="4733B385" w14:textId="0893EEB7" w:rsidR="00456638" w:rsidRPr="00340E78" w:rsidRDefault="001F64B6" w:rsidP="00456638">
            <w:pPr>
              <w:spacing w:after="160" w:line="259" w:lineRule="auto"/>
              <w:jc w:val="center"/>
              <w:rPr>
                <w:rFonts w:eastAsiaTheme="minorHAnsi"/>
                <w:color w:val="000000"/>
                <w:sz w:val="20"/>
                <w:szCs w:val="20"/>
              </w:rPr>
            </w:pPr>
            <w:r>
              <w:rPr>
                <w:color w:val="000000"/>
                <w:sz w:val="20"/>
              </w:rPr>
              <w:t>0</w:t>
            </w:r>
          </w:p>
        </w:tc>
        <w:tc>
          <w:tcPr>
            <w:tcW w:w="960" w:type="dxa"/>
            <w:shd w:val="clear" w:color="auto" w:fill="auto"/>
          </w:tcPr>
          <w:p w14:paraId="257AD36E" w14:textId="766B08DD" w:rsidR="00456638" w:rsidRPr="00340E78" w:rsidRDefault="001F64B6" w:rsidP="00456638">
            <w:pPr>
              <w:spacing w:after="160" w:line="259" w:lineRule="auto"/>
              <w:jc w:val="center"/>
              <w:rPr>
                <w:rFonts w:eastAsiaTheme="minorHAnsi"/>
                <w:color w:val="000000"/>
                <w:sz w:val="20"/>
                <w:szCs w:val="20"/>
              </w:rPr>
            </w:pPr>
            <w:r>
              <w:rPr>
                <w:color w:val="000000"/>
                <w:sz w:val="20"/>
              </w:rPr>
              <w:t>0</w:t>
            </w:r>
          </w:p>
        </w:tc>
        <w:tc>
          <w:tcPr>
            <w:tcW w:w="970" w:type="dxa"/>
            <w:shd w:val="clear" w:color="auto" w:fill="auto"/>
          </w:tcPr>
          <w:p w14:paraId="740DDBD4" w14:textId="0CD15E26" w:rsidR="00456638" w:rsidRPr="00340E78" w:rsidRDefault="001F64B6" w:rsidP="00594F85">
            <w:pPr>
              <w:spacing w:after="160" w:line="259" w:lineRule="auto"/>
              <w:jc w:val="center"/>
              <w:rPr>
                <w:rFonts w:eastAsiaTheme="minorHAnsi"/>
                <w:color w:val="000000"/>
                <w:sz w:val="20"/>
                <w:szCs w:val="20"/>
              </w:rPr>
            </w:pPr>
            <w:r>
              <w:rPr>
                <w:color w:val="000000"/>
                <w:sz w:val="20"/>
              </w:rPr>
              <w:t>0</w:t>
            </w:r>
          </w:p>
        </w:tc>
      </w:tr>
      <w:tr w:rsidR="00456638" w:rsidRPr="00340E78" w14:paraId="7D2D0338" w14:textId="77777777" w:rsidTr="00D915EB">
        <w:trPr>
          <w:trHeight w:val="288"/>
          <w:jc w:val="center"/>
        </w:trPr>
        <w:tc>
          <w:tcPr>
            <w:tcW w:w="1570" w:type="dxa"/>
            <w:shd w:val="clear" w:color="auto" w:fill="auto"/>
            <w:vAlign w:val="center"/>
          </w:tcPr>
          <w:p w14:paraId="5D606316" w14:textId="77777777" w:rsidR="00456638" w:rsidRPr="00340E78" w:rsidRDefault="00456638" w:rsidP="00456638">
            <w:pPr>
              <w:keepNext/>
              <w:widowControl w:val="0"/>
              <w:contextualSpacing/>
              <w:rPr>
                <w:b/>
                <w:sz w:val="20"/>
                <w:szCs w:val="20"/>
              </w:rPr>
            </w:pPr>
            <w:r w:rsidRPr="00340E78">
              <w:rPr>
                <w:b/>
                <w:sz w:val="20"/>
                <w:szCs w:val="20"/>
              </w:rPr>
              <w:t>Total</w:t>
            </w:r>
          </w:p>
        </w:tc>
        <w:tc>
          <w:tcPr>
            <w:tcW w:w="964" w:type="dxa"/>
            <w:shd w:val="clear" w:color="auto" w:fill="auto"/>
          </w:tcPr>
          <w:p w14:paraId="55C63A21" w14:textId="2A1263A6" w:rsidR="00456638" w:rsidRPr="00340E78" w:rsidRDefault="00456638" w:rsidP="00456638">
            <w:pPr>
              <w:spacing w:after="160" w:line="259" w:lineRule="auto"/>
              <w:jc w:val="center"/>
              <w:rPr>
                <w:rFonts w:eastAsiaTheme="minorHAnsi"/>
                <w:b/>
                <w:bCs/>
                <w:color w:val="000000"/>
                <w:sz w:val="20"/>
                <w:szCs w:val="20"/>
              </w:rPr>
            </w:pPr>
            <w:r>
              <w:rPr>
                <w:b/>
                <w:color w:val="000000"/>
                <w:sz w:val="20"/>
              </w:rPr>
              <w:t>412</w:t>
            </w:r>
          </w:p>
        </w:tc>
        <w:tc>
          <w:tcPr>
            <w:tcW w:w="970" w:type="dxa"/>
            <w:shd w:val="clear" w:color="auto" w:fill="auto"/>
          </w:tcPr>
          <w:p w14:paraId="30B0D67C" w14:textId="08EF955E" w:rsidR="00456638" w:rsidRPr="00340E78" w:rsidRDefault="00456638" w:rsidP="00456638">
            <w:pPr>
              <w:spacing w:after="160" w:line="259" w:lineRule="auto"/>
              <w:jc w:val="center"/>
              <w:rPr>
                <w:rFonts w:eastAsiaTheme="minorHAnsi"/>
                <w:b/>
                <w:bCs/>
                <w:color w:val="000000"/>
                <w:sz w:val="20"/>
                <w:szCs w:val="20"/>
              </w:rPr>
            </w:pPr>
            <w:r>
              <w:rPr>
                <w:b/>
                <w:color w:val="000000"/>
                <w:sz w:val="20"/>
              </w:rPr>
              <w:t>100.0</w:t>
            </w:r>
          </w:p>
        </w:tc>
        <w:tc>
          <w:tcPr>
            <w:tcW w:w="1016" w:type="dxa"/>
            <w:shd w:val="clear" w:color="auto" w:fill="auto"/>
          </w:tcPr>
          <w:p w14:paraId="0B212C5D" w14:textId="7FBE57AE" w:rsidR="00456638" w:rsidRPr="00340E78" w:rsidRDefault="00456638" w:rsidP="00456638">
            <w:pPr>
              <w:spacing w:after="160" w:line="259" w:lineRule="auto"/>
              <w:jc w:val="center"/>
              <w:rPr>
                <w:rFonts w:eastAsiaTheme="minorHAnsi"/>
                <w:b/>
                <w:bCs/>
                <w:color w:val="000000"/>
                <w:sz w:val="20"/>
                <w:szCs w:val="20"/>
              </w:rPr>
            </w:pPr>
            <w:r>
              <w:rPr>
                <w:b/>
                <w:color w:val="000000"/>
                <w:sz w:val="20"/>
              </w:rPr>
              <w:t>1,723,566</w:t>
            </w:r>
          </w:p>
        </w:tc>
        <w:tc>
          <w:tcPr>
            <w:tcW w:w="970" w:type="dxa"/>
            <w:shd w:val="clear" w:color="auto" w:fill="auto"/>
          </w:tcPr>
          <w:p w14:paraId="12AFB30C" w14:textId="7E9D6365" w:rsidR="00456638" w:rsidRPr="00340E78" w:rsidRDefault="00456638" w:rsidP="00456638">
            <w:pPr>
              <w:spacing w:after="160" w:line="259" w:lineRule="auto"/>
              <w:jc w:val="center"/>
              <w:rPr>
                <w:rFonts w:eastAsiaTheme="minorHAnsi"/>
                <w:b/>
                <w:bCs/>
                <w:color w:val="000000"/>
                <w:sz w:val="20"/>
                <w:szCs w:val="20"/>
              </w:rPr>
            </w:pPr>
            <w:r>
              <w:rPr>
                <w:b/>
                <w:color w:val="000000"/>
                <w:sz w:val="20"/>
              </w:rPr>
              <w:t>100.0</w:t>
            </w:r>
          </w:p>
        </w:tc>
        <w:tc>
          <w:tcPr>
            <w:tcW w:w="960" w:type="dxa"/>
            <w:shd w:val="clear" w:color="auto" w:fill="auto"/>
          </w:tcPr>
          <w:p w14:paraId="79747CDE" w14:textId="19BE5C49" w:rsidR="00456638" w:rsidRPr="00340E78" w:rsidRDefault="00456638" w:rsidP="00456638">
            <w:pPr>
              <w:spacing w:after="160" w:line="259" w:lineRule="auto"/>
              <w:jc w:val="center"/>
              <w:rPr>
                <w:rFonts w:eastAsiaTheme="minorHAnsi"/>
                <w:b/>
                <w:bCs/>
                <w:color w:val="000000"/>
                <w:sz w:val="20"/>
                <w:szCs w:val="20"/>
              </w:rPr>
            </w:pPr>
            <w:r>
              <w:rPr>
                <w:b/>
                <w:color w:val="000000"/>
                <w:sz w:val="20"/>
              </w:rPr>
              <w:t>43</w:t>
            </w:r>
          </w:p>
        </w:tc>
        <w:tc>
          <w:tcPr>
            <w:tcW w:w="970" w:type="dxa"/>
            <w:shd w:val="clear" w:color="auto" w:fill="auto"/>
          </w:tcPr>
          <w:p w14:paraId="04E7429E" w14:textId="58C80208" w:rsidR="00456638" w:rsidRPr="00340E78" w:rsidRDefault="00456638" w:rsidP="00456638">
            <w:pPr>
              <w:spacing w:after="160" w:line="259" w:lineRule="auto"/>
              <w:jc w:val="center"/>
              <w:rPr>
                <w:rFonts w:eastAsiaTheme="minorHAnsi"/>
                <w:b/>
                <w:bCs/>
                <w:color w:val="000000"/>
                <w:sz w:val="20"/>
                <w:szCs w:val="20"/>
              </w:rPr>
            </w:pPr>
            <w:r>
              <w:rPr>
                <w:b/>
                <w:color w:val="000000"/>
                <w:sz w:val="20"/>
              </w:rPr>
              <w:t>100.0</w:t>
            </w:r>
          </w:p>
        </w:tc>
        <w:tc>
          <w:tcPr>
            <w:tcW w:w="960" w:type="dxa"/>
            <w:shd w:val="clear" w:color="auto" w:fill="auto"/>
          </w:tcPr>
          <w:p w14:paraId="36F36584" w14:textId="0A237A9E" w:rsidR="00456638" w:rsidRPr="00340E78" w:rsidRDefault="00456638" w:rsidP="00A81204">
            <w:pPr>
              <w:spacing w:after="160" w:line="259" w:lineRule="auto"/>
              <w:jc w:val="center"/>
              <w:rPr>
                <w:rFonts w:eastAsiaTheme="minorHAnsi"/>
                <w:b/>
                <w:bCs/>
                <w:color w:val="000000"/>
                <w:sz w:val="20"/>
                <w:szCs w:val="20"/>
              </w:rPr>
            </w:pPr>
            <w:r>
              <w:rPr>
                <w:b/>
                <w:color w:val="000000"/>
                <w:sz w:val="20"/>
              </w:rPr>
              <w:t>4</w:t>
            </w:r>
            <w:r w:rsidR="00A81204">
              <w:rPr>
                <w:b/>
                <w:color w:val="000000"/>
                <w:sz w:val="20"/>
              </w:rPr>
              <w:t>7</w:t>
            </w:r>
          </w:p>
        </w:tc>
        <w:tc>
          <w:tcPr>
            <w:tcW w:w="970" w:type="dxa"/>
            <w:shd w:val="clear" w:color="auto" w:fill="auto"/>
          </w:tcPr>
          <w:p w14:paraId="328A42AF" w14:textId="4A9170F2" w:rsidR="00456638" w:rsidRPr="00340E78" w:rsidRDefault="00456638" w:rsidP="00456638">
            <w:pPr>
              <w:spacing w:after="160" w:line="259" w:lineRule="auto"/>
              <w:jc w:val="center"/>
              <w:rPr>
                <w:rFonts w:eastAsiaTheme="minorHAnsi"/>
                <w:b/>
                <w:bCs/>
                <w:color w:val="000000"/>
                <w:sz w:val="20"/>
                <w:szCs w:val="20"/>
              </w:rPr>
            </w:pPr>
            <w:r>
              <w:rPr>
                <w:b/>
                <w:color w:val="000000"/>
                <w:sz w:val="20"/>
              </w:rPr>
              <w:t>100.0</w:t>
            </w:r>
          </w:p>
        </w:tc>
      </w:tr>
      <w:tr w:rsidR="00340E78" w:rsidRPr="00340E78" w14:paraId="5FC9161E" w14:textId="77777777" w:rsidTr="00340E78">
        <w:trPr>
          <w:trHeight w:val="288"/>
          <w:jc w:val="center"/>
        </w:trPr>
        <w:tc>
          <w:tcPr>
            <w:tcW w:w="9350" w:type="dxa"/>
            <w:gridSpan w:val="9"/>
            <w:shd w:val="clear" w:color="auto" w:fill="auto"/>
            <w:vAlign w:val="center"/>
          </w:tcPr>
          <w:p w14:paraId="42E17EC5" w14:textId="77777777" w:rsidR="00340E78" w:rsidRPr="00340E78" w:rsidRDefault="00340E78" w:rsidP="00340E78">
            <w:pPr>
              <w:keepNext/>
              <w:widowControl w:val="0"/>
              <w:contextualSpacing/>
              <w:rPr>
                <w:i/>
                <w:sz w:val="16"/>
                <w:szCs w:val="16"/>
              </w:rPr>
            </w:pPr>
            <w:r w:rsidRPr="00340E78">
              <w:rPr>
                <w:i/>
                <w:sz w:val="16"/>
                <w:szCs w:val="16"/>
              </w:rPr>
              <w:t xml:space="preserve">Source:  2015 ACS Data; Bank Data </w:t>
            </w:r>
          </w:p>
        </w:tc>
      </w:tr>
    </w:tbl>
    <w:p w14:paraId="406272D6" w14:textId="77777777" w:rsidR="00340E78" w:rsidRPr="00340E78" w:rsidRDefault="00340E78" w:rsidP="00340E78">
      <w:pPr>
        <w:rPr>
          <w:bCs/>
          <w:highlight w:val="yellow"/>
        </w:rPr>
      </w:pPr>
    </w:p>
    <w:p w14:paraId="78B68C2E" w14:textId="0AD49803" w:rsidR="00594F85" w:rsidRDefault="00340E78" w:rsidP="00340E78">
      <w:pPr>
        <w:rPr>
          <w:rFonts w:eastAsia="Calibri"/>
        </w:rPr>
      </w:pPr>
      <w:r w:rsidRPr="00340E78">
        <w:rPr>
          <w:rFonts w:eastAsia="Calibri"/>
        </w:rPr>
        <w:t>As the table illustrates, the distribution of branches and ATMs in the low-income census tracts is significantly below the percentage of population residing in these tracts and lower than the total percentage of low-income census tracts in the assessment area.</w:t>
      </w:r>
      <w:r w:rsidR="00EA6EED">
        <w:rPr>
          <w:rFonts w:eastAsia="Calibri"/>
        </w:rPr>
        <w:t xml:space="preserve">  At the previous evaluation</w:t>
      </w:r>
      <w:r w:rsidR="00497AE8">
        <w:rPr>
          <w:rFonts w:eastAsia="Calibri"/>
        </w:rPr>
        <w:t>,</w:t>
      </w:r>
      <w:r w:rsidR="00EA6EED">
        <w:rPr>
          <w:rFonts w:eastAsia="Calibri"/>
        </w:rPr>
        <w:t xml:space="preserve"> EBSB had </w:t>
      </w:r>
      <w:r w:rsidR="00257DD1">
        <w:rPr>
          <w:rFonts w:eastAsia="Calibri"/>
        </w:rPr>
        <w:t>four</w:t>
      </w:r>
      <w:r w:rsidR="00EA6EED">
        <w:rPr>
          <w:rFonts w:eastAsia="Calibri"/>
        </w:rPr>
        <w:t xml:space="preserve"> branches located in low-income census tracts</w:t>
      </w:r>
      <w:r w:rsidR="00497AE8">
        <w:rPr>
          <w:rFonts w:eastAsia="Calibri"/>
        </w:rPr>
        <w:t>;</w:t>
      </w:r>
      <w:r w:rsidR="00177807">
        <w:rPr>
          <w:rFonts w:eastAsia="Calibri"/>
        </w:rPr>
        <w:t xml:space="preserve"> however</w:t>
      </w:r>
      <w:r w:rsidR="00497AE8">
        <w:rPr>
          <w:rFonts w:eastAsia="Calibri"/>
        </w:rPr>
        <w:t>,</w:t>
      </w:r>
      <w:r w:rsidR="00177807">
        <w:rPr>
          <w:rFonts w:eastAsia="Calibri"/>
        </w:rPr>
        <w:t xml:space="preserve"> </w:t>
      </w:r>
      <w:r w:rsidR="00594F85">
        <w:rPr>
          <w:rFonts w:eastAsia="Calibri"/>
        </w:rPr>
        <w:t>three</w:t>
      </w:r>
      <w:r w:rsidR="00177807">
        <w:rPr>
          <w:rFonts w:eastAsia="Calibri"/>
        </w:rPr>
        <w:t xml:space="preserve"> changed with the 2015 ACS census to moderate-income census tracts.</w:t>
      </w:r>
    </w:p>
    <w:p w14:paraId="3922B00B" w14:textId="756E63EF" w:rsidR="00594F85" w:rsidRDefault="00594F85" w:rsidP="00340E78">
      <w:pPr>
        <w:rPr>
          <w:rFonts w:eastAsia="Calibri"/>
        </w:rPr>
      </w:pPr>
    </w:p>
    <w:p w14:paraId="26FCB080" w14:textId="7A10AA38" w:rsidR="001F64B6" w:rsidRDefault="001F64B6" w:rsidP="001F64B6">
      <w:pPr>
        <w:rPr>
          <w:rFonts w:eastAsia="Calibri"/>
        </w:rPr>
      </w:pPr>
      <w:r w:rsidRPr="001F64B6">
        <w:rPr>
          <w:rFonts w:eastAsia="Calibri"/>
        </w:rPr>
        <w:t>However, the lack of branch presence within these low-income areas does not</w:t>
      </w:r>
      <w:r w:rsidR="00497AE8">
        <w:rPr>
          <w:rFonts w:eastAsia="Calibri"/>
        </w:rPr>
        <w:t xml:space="preserve"> necessarily</w:t>
      </w:r>
      <w:r w:rsidRPr="001F64B6">
        <w:rPr>
          <w:rFonts w:eastAsia="Calibri"/>
        </w:rPr>
        <w:t xml:space="preserve"> limit accessibility from nearby communities and residents.  Of the bank</w:t>
      </w:r>
      <w:r w:rsidR="00257DD1">
        <w:rPr>
          <w:rFonts w:eastAsia="Calibri"/>
        </w:rPr>
        <w:t>’</w:t>
      </w:r>
      <w:r w:rsidRPr="001F64B6">
        <w:rPr>
          <w:rFonts w:eastAsia="Calibri"/>
        </w:rPr>
        <w:t xml:space="preserve">s </w:t>
      </w:r>
      <w:r w:rsidR="0097711F">
        <w:rPr>
          <w:rFonts w:eastAsia="Calibri"/>
        </w:rPr>
        <w:t>43</w:t>
      </w:r>
      <w:r w:rsidRPr="001F64B6">
        <w:rPr>
          <w:rFonts w:eastAsia="Calibri"/>
        </w:rPr>
        <w:t xml:space="preserve"> branches, </w:t>
      </w:r>
      <w:r w:rsidR="0097711F">
        <w:rPr>
          <w:rFonts w:eastAsia="Calibri"/>
        </w:rPr>
        <w:t>nine</w:t>
      </w:r>
      <w:r w:rsidRPr="001F64B6">
        <w:rPr>
          <w:rFonts w:eastAsia="Calibri"/>
        </w:rPr>
        <w:t xml:space="preserve"> border low-income census tracts.</w:t>
      </w:r>
      <w:r>
        <w:rPr>
          <w:rFonts w:eastAsia="Calibri"/>
        </w:rPr>
        <w:t xml:space="preserve">  </w:t>
      </w:r>
      <w:r w:rsidRPr="001F64B6">
        <w:rPr>
          <w:rFonts w:eastAsia="Calibri"/>
        </w:rPr>
        <w:t>All individuals, including low- and moderate-income census tract residents can also access these branches by public transportation (bus, subway, and commuter rail) increasing the branches</w:t>
      </w:r>
      <w:r w:rsidR="004C0318">
        <w:rPr>
          <w:rFonts w:eastAsia="Calibri"/>
        </w:rPr>
        <w:t>’</w:t>
      </w:r>
      <w:r w:rsidRPr="001F64B6">
        <w:rPr>
          <w:rFonts w:eastAsia="Calibri"/>
        </w:rPr>
        <w:t xml:space="preserve"> accessibility and attracting individuals from the surrounding census tracts.</w:t>
      </w:r>
    </w:p>
    <w:p w14:paraId="02C60832" w14:textId="77777777" w:rsidR="001F64B6" w:rsidRDefault="001F64B6" w:rsidP="00340E78">
      <w:pPr>
        <w:rPr>
          <w:rFonts w:eastAsia="Calibri"/>
        </w:rPr>
      </w:pPr>
    </w:p>
    <w:p w14:paraId="1A6D1155" w14:textId="56AC3026" w:rsidR="00340E78" w:rsidRPr="00340E78" w:rsidRDefault="00340E78" w:rsidP="00340E78">
      <w:r w:rsidRPr="00340E78">
        <w:rPr>
          <w:rFonts w:eastAsia="Calibri"/>
        </w:rPr>
        <w:t xml:space="preserve">In addition to its branches and ATMs, EBSB offers alternative delivery systems to expand retail banking service access to all individuals.  The bank offers personal and business </w:t>
      </w:r>
      <w:r w:rsidRPr="00340E78">
        <w:t xml:space="preserve">online and mobile banking, remote deposit capture, remote wallet, and support through its Customer Resource Center.  Consumers and businesses can access their accounts 24 hours a day to perform various transactions.  </w:t>
      </w:r>
    </w:p>
    <w:p w14:paraId="653EA572" w14:textId="77777777" w:rsidR="00340E78" w:rsidRPr="00340E78" w:rsidRDefault="00340E78" w:rsidP="00340E78"/>
    <w:p w14:paraId="15883C47" w14:textId="3CAA8239" w:rsidR="00340E78" w:rsidRPr="00340E78" w:rsidRDefault="00340E78" w:rsidP="00340E78">
      <w:r w:rsidRPr="00340E78">
        <w:rPr>
          <w:rFonts w:eastAsiaTheme="minorHAnsi"/>
        </w:rPr>
        <w:t xml:space="preserve">The bank operates a full-service mobile branch that operates throughout the </w:t>
      </w:r>
      <w:r w:rsidR="00594F85">
        <w:rPr>
          <w:rFonts w:eastAsiaTheme="minorHAnsi"/>
        </w:rPr>
        <w:t>assessment area</w:t>
      </w:r>
      <w:r w:rsidRPr="00340E78">
        <w:rPr>
          <w:rFonts w:eastAsiaTheme="minorHAnsi"/>
        </w:rPr>
        <w:t xml:space="preserve">, with an emphasis on serving the elderly and other populations that have limited mobility or means to visit the branches.  Examples of locations served by the mobile branch include Brightview Assisted Living in Danvers, Goddard House Assisted Living in Brookline, and Medford Senior Center in Medford.  The mobile branch will also appear at various large community events throughout the assessment area such as parades. </w:t>
      </w:r>
    </w:p>
    <w:p w14:paraId="267D3ED8" w14:textId="77777777" w:rsidR="00340E78" w:rsidRPr="00340E78" w:rsidRDefault="00340E78" w:rsidP="00340E78">
      <w:pPr>
        <w:rPr>
          <w:rFonts w:eastAsia="Calibri"/>
          <w:highlight w:val="yellow"/>
        </w:rPr>
      </w:pPr>
    </w:p>
    <w:p w14:paraId="2DE0B026" w14:textId="7F3F0C1B" w:rsidR="00340E78" w:rsidRPr="00340E78" w:rsidRDefault="00340E78" w:rsidP="00340E78">
      <w:pPr>
        <w:rPr>
          <w:bCs/>
        </w:rPr>
      </w:pPr>
      <w:r w:rsidRPr="00340E78">
        <w:rPr>
          <w:rFonts w:eastAsia="Calibri"/>
        </w:rPr>
        <w:t>EBSB employs 162 employees who speak at least one language outside of English.  The bank maintains an employee list which contains the spoken languages, and their corresponding branch location, so all bank personnel can easily contact a bilingual representative to serve customers with limited-English proficiency.  Overall, 38 languages are spoken, including Cantonese, Greek, Hindi, Italian, Mandarin, Chinese, Russian, Portuguese, and Spanish.  Based on the FDIC’s 201</w:t>
      </w:r>
      <w:r w:rsidR="005C7DCF">
        <w:rPr>
          <w:rFonts w:eastAsia="Calibri"/>
        </w:rPr>
        <w:t>9</w:t>
      </w:r>
      <w:r w:rsidRPr="00340E78">
        <w:rPr>
          <w:rFonts w:eastAsia="Calibri"/>
        </w:rPr>
        <w:t xml:space="preserve"> survey of unbanked and underbanked households, minority individuals in the northeast region </w:t>
      </w:r>
      <w:r w:rsidRPr="00340E78">
        <w:rPr>
          <w:rFonts w:eastAsia="Calibri"/>
        </w:rPr>
        <w:lastRenderedPageBreak/>
        <w:t xml:space="preserve">have much higher populations of individuals underserved by retail banking.  </w:t>
      </w:r>
      <w:r w:rsidR="005C7DCF" w:rsidRPr="00A44135">
        <w:t xml:space="preserve">According to the U.S. Census data, Suffolk County represents the highest concentration of individuals with limited English proficiency totaling 18 percent of the population, followed by Essex County at 9.8 percent, and Middlesex County at 9.3 percent.  The data reveals a need for language assistance. </w:t>
      </w:r>
      <w:r w:rsidR="005C7DCF">
        <w:t xml:space="preserve"> </w:t>
      </w:r>
      <w:r w:rsidRPr="00340E78">
        <w:rPr>
          <w:rFonts w:eastAsia="Calibri"/>
        </w:rPr>
        <w:t xml:space="preserve">EBSB’s language services enhance accessibility to bank products and services and promotes economic inclusion among first-generation immigrants and other consumers who may otherwise have limited financial resources, many of which are low- or moderate-income individuals and families.  These language services help, as demographics indicate that a large portion of low- and moderate-income individuals in the assessment area are first-generation Americans, where English may not be their first language.  </w:t>
      </w:r>
    </w:p>
    <w:p w14:paraId="1FD266D1" w14:textId="77777777" w:rsidR="00340E78" w:rsidRPr="00340E78" w:rsidRDefault="00340E78" w:rsidP="00340E78">
      <w:pPr>
        <w:rPr>
          <w:b/>
          <w:bCs/>
          <w:highlight w:val="yellow"/>
          <w:u w:val="single"/>
        </w:rPr>
      </w:pPr>
    </w:p>
    <w:p w14:paraId="65BF1E90" w14:textId="77777777" w:rsidR="00340E78" w:rsidRPr="00340E78" w:rsidRDefault="00340E78" w:rsidP="00340E78">
      <w:pPr>
        <w:rPr>
          <w:b/>
          <w:bCs/>
          <w:u w:val="single"/>
        </w:rPr>
      </w:pPr>
      <w:r w:rsidRPr="00340E78">
        <w:rPr>
          <w:b/>
          <w:bCs/>
          <w:u w:val="single"/>
        </w:rPr>
        <w:t>Changes in Branch Locations</w:t>
      </w:r>
    </w:p>
    <w:p w14:paraId="700474D1" w14:textId="77777777" w:rsidR="00340E78" w:rsidRPr="00340E78" w:rsidRDefault="00340E78" w:rsidP="00340E78">
      <w:pPr>
        <w:rPr>
          <w:bCs/>
        </w:rPr>
      </w:pPr>
    </w:p>
    <w:p w14:paraId="76027573" w14:textId="77777777" w:rsidR="00340E78" w:rsidRPr="00340E78" w:rsidRDefault="00340E78" w:rsidP="00340E78">
      <w:pPr>
        <w:rPr>
          <w:rFonts w:eastAsia="Calibri"/>
        </w:rPr>
      </w:pPr>
      <w:r w:rsidRPr="00340E78">
        <w:rPr>
          <w:rFonts w:eastAsia="Calibri"/>
        </w:rPr>
        <w:t xml:space="preserve">To the extent changes have been made, the bank’s opening and closing of branches has generally not adversely affected the accessibility of its delivery systems, particularly to low- and moderate-income geographies and/or to low- and moderate-income individuals. </w:t>
      </w:r>
    </w:p>
    <w:p w14:paraId="5760C2F9" w14:textId="77777777" w:rsidR="00340E78" w:rsidRPr="00340E78" w:rsidRDefault="00340E78" w:rsidP="00340E78">
      <w:pPr>
        <w:rPr>
          <w:rFonts w:eastAsia="Calibri"/>
        </w:rPr>
      </w:pPr>
    </w:p>
    <w:p w14:paraId="3C3E79CD" w14:textId="17B76050" w:rsidR="00AE7BAA" w:rsidRPr="00340E78" w:rsidRDefault="00340E78" w:rsidP="00AE7BAA">
      <w:pPr>
        <w:rPr>
          <w:rFonts w:eastAsia="Calibri"/>
        </w:rPr>
      </w:pPr>
      <w:r w:rsidRPr="00340E78">
        <w:rPr>
          <w:rFonts w:eastAsia="Calibri"/>
        </w:rPr>
        <w:t xml:space="preserve">During the evaluation period, the bank opened </w:t>
      </w:r>
      <w:r w:rsidR="0056019C">
        <w:rPr>
          <w:rFonts w:eastAsia="Calibri"/>
        </w:rPr>
        <w:t>nine</w:t>
      </w:r>
      <w:r w:rsidRPr="00340E78">
        <w:rPr>
          <w:rFonts w:eastAsia="Calibri"/>
        </w:rPr>
        <w:t xml:space="preserve"> branches at the following locations: 1952 Beacon Street, Brighton (middle-income); 1614 Tremont Street, Boston (middle-income); 24-38 Broadway, Lynnfield (upper-income); 50 Summit Drive, Burlington (middle-income); 1739 Massachusetts Ave, Cambridge (upper-income); 1608 Commonwealth Ave, Brighton (moderate-income); 331 Montvale Ave, Woburn (middle-income); 193 Washington St., Salem (moderate-income); 473 Harvard St., Brookline (upper-income).  In addition, the bank acquired two branches through merger at the following locations: 4238 Washington St. Roslindale (middle-income) and 2250 Dorchester Avenue, Dorchester (middle-income).</w:t>
      </w:r>
      <w:r w:rsidR="00AE7BAA">
        <w:rPr>
          <w:rFonts w:eastAsia="Calibri"/>
        </w:rPr>
        <w:t xml:space="preserve">  </w:t>
      </w:r>
      <w:r w:rsidR="00AE7BAA" w:rsidRPr="00340E78">
        <w:rPr>
          <w:rFonts w:eastAsia="Calibri"/>
        </w:rPr>
        <w:t xml:space="preserve">The bank has not closed any retail branches since the last evaluation. </w:t>
      </w:r>
    </w:p>
    <w:p w14:paraId="7D6B8BE9" w14:textId="77777777" w:rsidR="00AE7BAA" w:rsidRDefault="00AE7BAA" w:rsidP="00AE7BAA">
      <w:pPr>
        <w:rPr>
          <w:b/>
          <w:bCs/>
          <w:u w:val="single"/>
        </w:rPr>
      </w:pPr>
    </w:p>
    <w:p w14:paraId="4FABF71A" w14:textId="3AAFFFA6" w:rsidR="00AE7BAA" w:rsidRDefault="00AE7BAA" w:rsidP="00AE7BAA">
      <w:pPr>
        <w:rPr>
          <w:b/>
          <w:bCs/>
          <w:u w:val="single"/>
        </w:rPr>
      </w:pPr>
      <w:r w:rsidRPr="00340E78">
        <w:rPr>
          <w:b/>
          <w:bCs/>
          <w:u w:val="single"/>
        </w:rPr>
        <w:t>Reasonableness of Business Hours and Services</w:t>
      </w:r>
    </w:p>
    <w:p w14:paraId="0CEF5907" w14:textId="77777777" w:rsidR="00AE7BAA" w:rsidRDefault="00AE7BAA" w:rsidP="00AE7BAA">
      <w:pPr>
        <w:rPr>
          <w:rFonts w:eastAsia="Calibri"/>
          <w:color w:val="141414"/>
        </w:rPr>
      </w:pPr>
    </w:p>
    <w:p w14:paraId="2D15F529" w14:textId="615291F4" w:rsidR="00AE7BAA" w:rsidRPr="00340E78" w:rsidRDefault="00AE7BAA" w:rsidP="005379B0">
      <w:pPr>
        <w:spacing w:after="160"/>
        <w:rPr>
          <w:rFonts w:ascii="Calibri" w:hAnsi="Calibri" w:cs="Calibri"/>
          <w:color w:val="000000"/>
          <w:sz w:val="22"/>
          <w:szCs w:val="22"/>
        </w:rPr>
      </w:pPr>
      <w:r w:rsidRPr="00340E78">
        <w:rPr>
          <w:rFonts w:eastAsia="Calibri"/>
          <w:color w:val="141414"/>
        </w:rPr>
        <w:t>Services, including business hours, do not vary in a way that inconveniences portions of the assessment area, particularly low- and moderate-income geographies and/or individuals.</w:t>
      </w:r>
      <w:r w:rsidRPr="00340E78">
        <w:rPr>
          <w:rFonts w:ascii="Helvetica" w:eastAsia="Calibri" w:hAnsi="Helvetica"/>
          <w:color w:val="141414"/>
          <w:sz w:val="27"/>
          <w:szCs w:val="27"/>
        </w:rPr>
        <w:t xml:space="preserve">  </w:t>
      </w:r>
      <w:r w:rsidRPr="00340E78">
        <w:t>All retail branches offer the same loan and deposit products and services.  All bank branches maintain the same hours of operation including the bank</w:t>
      </w:r>
      <w:r w:rsidR="00FB577A">
        <w:t>’</w:t>
      </w:r>
      <w:r w:rsidRPr="00340E78">
        <w:t>s mobile branch.</w:t>
      </w:r>
      <w:r>
        <w:t xml:space="preserve"> </w:t>
      </w:r>
      <w:r w:rsidR="00FB577A">
        <w:t xml:space="preserve"> B</w:t>
      </w:r>
      <w:r w:rsidRPr="00340E78">
        <w:t xml:space="preserve">ranches are open </w:t>
      </w:r>
      <w:r w:rsidRPr="00340E78">
        <w:rPr>
          <w:color w:val="000000"/>
        </w:rPr>
        <w:t>Monday - Wednesday: 8:30 a.m. - 4:30 p.m., Thursday &amp; Friday: 8:30 a.m. - 6:00 p.m., and Saturday: 9:00 a.m. - 1:00 p.m.</w:t>
      </w:r>
      <w:r w:rsidRPr="00340E78">
        <w:rPr>
          <w:rFonts w:ascii="Calibri" w:hAnsi="Calibri" w:cs="Calibri"/>
          <w:color w:val="000000"/>
          <w:sz w:val="22"/>
          <w:szCs w:val="22"/>
        </w:rPr>
        <w:t xml:space="preserve">       </w:t>
      </w:r>
    </w:p>
    <w:p w14:paraId="53A56F10" w14:textId="77777777" w:rsidR="00340E78" w:rsidRPr="00340E78" w:rsidRDefault="00340E78" w:rsidP="00340E78">
      <w:pPr>
        <w:widowControl w:val="0"/>
        <w:rPr>
          <w:b/>
          <w:snapToGrid w:val="0"/>
          <w:color w:val="FF0000"/>
          <w:u w:val="single"/>
          <w:lang w:eastAsia="x-none"/>
        </w:rPr>
      </w:pPr>
      <w:r w:rsidRPr="00340E78">
        <w:rPr>
          <w:b/>
          <w:snapToGrid w:val="0"/>
          <w:color w:val="000000"/>
          <w:u w:val="single"/>
          <w:lang w:eastAsia="x-none"/>
        </w:rPr>
        <w:t xml:space="preserve">Community Development Services </w:t>
      </w:r>
    </w:p>
    <w:p w14:paraId="0CA2ABC2" w14:textId="77777777" w:rsidR="00340E78" w:rsidRPr="00340E78" w:rsidRDefault="00340E78" w:rsidP="00340E78">
      <w:pPr>
        <w:widowControl w:val="0"/>
        <w:rPr>
          <w:snapToGrid w:val="0"/>
          <w:color w:val="FF0000"/>
          <w:highlight w:val="yellow"/>
          <w:lang w:eastAsia="x-none"/>
        </w:rPr>
      </w:pPr>
    </w:p>
    <w:p w14:paraId="57A3EE04" w14:textId="464A48C6" w:rsidR="00340E78" w:rsidRPr="00340E78" w:rsidRDefault="00340E78" w:rsidP="00340E78">
      <w:r w:rsidRPr="00340E78">
        <w:t xml:space="preserve">The institution provides a relatively high level of community development services.  A majority of the bank’s community development service activity consisted of employees and board members serving on the boards of local community development organizations in the assessment area. </w:t>
      </w:r>
      <w:r w:rsidR="00177807">
        <w:t xml:space="preserve"> </w:t>
      </w:r>
      <w:r w:rsidRPr="00340E78">
        <w:t>The bank provided 220 instances of community development services to those</w:t>
      </w:r>
      <w:r w:rsidR="005C7DCF">
        <w:t xml:space="preserve"> </w:t>
      </w:r>
      <w:r w:rsidRPr="00340E78">
        <w:t xml:space="preserve">organizations.  </w:t>
      </w:r>
      <w:r w:rsidR="00657F0C">
        <w:t xml:space="preserve">This level of service activity is a significant increase since the previous evaluation, when the bank provided 125 instances.  </w:t>
      </w:r>
      <w:r w:rsidRPr="00340E78">
        <w:t>The following table summarizes the bank’s community development services by year and purpose.</w:t>
      </w:r>
    </w:p>
    <w:p w14:paraId="5ADF8139" w14:textId="77777777" w:rsidR="00340E78" w:rsidRPr="00340E78" w:rsidRDefault="00340E78" w:rsidP="00340E78">
      <w:pPr>
        <w:shd w:val="clear" w:color="auto" w:fill="FFFFFF"/>
        <w:textAlignment w:val="baseline"/>
        <w:rPr>
          <w:highlight w:val="yellow"/>
        </w:rPr>
      </w:pPr>
    </w:p>
    <w:tbl>
      <w:tblPr>
        <w:tblW w:w="91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70"/>
        <w:gridCol w:w="1170"/>
        <w:gridCol w:w="1260"/>
        <w:gridCol w:w="1350"/>
        <w:gridCol w:w="1260"/>
        <w:gridCol w:w="1170"/>
      </w:tblGrid>
      <w:tr w:rsidR="00340E78" w:rsidRPr="00340E78" w14:paraId="38C6318D" w14:textId="77777777" w:rsidTr="00340E78">
        <w:trPr>
          <w:trHeight w:val="360"/>
          <w:jc w:val="center"/>
        </w:trPr>
        <w:tc>
          <w:tcPr>
            <w:tcW w:w="9180" w:type="dxa"/>
            <w:gridSpan w:val="6"/>
            <w:shd w:val="clear" w:color="auto" w:fill="auto"/>
            <w:vAlign w:val="center"/>
          </w:tcPr>
          <w:p w14:paraId="4B6D3CE6" w14:textId="77777777" w:rsidR="00340E78" w:rsidRPr="00340E78" w:rsidRDefault="00340E78" w:rsidP="00340E78">
            <w:pPr>
              <w:keepNext/>
              <w:widowControl w:val="0"/>
              <w:jc w:val="center"/>
              <w:rPr>
                <w:b/>
                <w:sz w:val="20"/>
                <w:szCs w:val="20"/>
              </w:rPr>
            </w:pPr>
            <w:r w:rsidRPr="00340E78">
              <w:rPr>
                <w:b/>
                <w:color w:val="000000"/>
                <w:sz w:val="20"/>
                <w:szCs w:val="20"/>
              </w:rPr>
              <w:lastRenderedPageBreak/>
              <w:t>Community Development Services</w:t>
            </w:r>
          </w:p>
        </w:tc>
      </w:tr>
      <w:tr w:rsidR="00340E78" w:rsidRPr="00340E78" w14:paraId="6787C635" w14:textId="77777777" w:rsidTr="00340E78">
        <w:trPr>
          <w:trHeight w:val="288"/>
          <w:jc w:val="center"/>
        </w:trPr>
        <w:tc>
          <w:tcPr>
            <w:tcW w:w="2970" w:type="dxa"/>
            <w:vMerge w:val="restart"/>
            <w:shd w:val="clear" w:color="auto" w:fill="auto"/>
            <w:vAlign w:val="center"/>
          </w:tcPr>
          <w:p w14:paraId="2667BA94" w14:textId="77777777" w:rsidR="00340E78" w:rsidRPr="00340E78" w:rsidRDefault="00340E78" w:rsidP="00340E78">
            <w:pPr>
              <w:keepNext/>
              <w:widowControl w:val="0"/>
              <w:rPr>
                <w:b/>
                <w:sz w:val="20"/>
                <w:szCs w:val="20"/>
              </w:rPr>
            </w:pPr>
            <w:r w:rsidRPr="00340E78">
              <w:rPr>
                <w:b/>
                <w:sz w:val="20"/>
                <w:szCs w:val="20"/>
              </w:rPr>
              <w:t>Activity Year</w:t>
            </w:r>
          </w:p>
        </w:tc>
        <w:tc>
          <w:tcPr>
            <w:tcW w:w="1170" w:type="dxa"/>
            <w:shd w:val="clear" w:color="auto" w:fill="auto"/>
            <w:vAlign w:val="center"/>
          </w:tcPr>
          <w:p w14:paraId="746D76C3" w14:textId="77777777" w:rsidR="00340E78" w:rsidRPr="00340E78" w:rsidRDefault="00340E78" w:rsidP="00340E78">
            <w:pPr>
              <w:keepNext/>
              <w:widowControl w:val="0"/>
              <w:jc w:val="center"/>
              <w:rPr>
                <w:sz w:val="20"/>
                <w:szCs w:val="20"/>
              </w:rPr>
            </w:pPr>
            <w:r w:rsidRPr="00340E78">
              <w:rPr>
                <w:b/>
                <w:sz w:val="20"/>
                <w:szCs w:val="20"/>
              </w:rPr>
              <w:t>Affordable Housing</w:t>
            </w:r>
          </w:p>
        </w:tc>
        <w:tc>
          <w:tcPr>
            <w:tcW w:w="1260" w:type="dxa"/>
            <w:shd w:val="clear" w:color="auto" w:fill="auto"/>
            <w:vAlign w:val="center"/>
          </w:tcPr>
          <w:p w14:paraId="2671FD1E" w14:textId="77777777" w:rsidR="00340E78" w:rsidRPr="00340E78" w:rsidRDefault="00340E78" w:rsidP="00340E78">
            <w:pPr>
              <w:keepNext/>
              <w:widowControl w:val="0"/>
              <w:jc w:val="center"/>
              <w:rPr>
                <w:b/>
                <w:sz w:val="20"/>
                <w:szCs w:val="20"/>
              </w:rPr>
            </w:pPr>
            <w:r w:rsidRPr="00340E78">
              <w:rPr>
                <w:b/>
                <w:sz w:val="20"/>
                <w:szCs w:val="20"/>
              </w:rPr>
              <w:t>Community Services</w:t>
            </w:r>
          </w:p>
        </w:tc>
        <w:tc>
          <w:tcPr>
            <w:tcW w:w="1350" w:type="dxa"/>
            <w:shd w:val="clear" w:color="auto" w:fill="auto"/>
            <w:vAlign w:val="center"/>
          </w:tcPr>
          <w:p w14:paraId="7E083F7C" w14:textId="77777777" w:rsidR="00340E78" w:rsidRPr="00340E78" w:rsidRDefault="00340E78" w:rsidP="00340E78">
            <w:pPr>
              <w:keepNext/>
              <w:widowControl w:val="0"/>
              <w:jc w:val="center"/>
              <w:rPr>
                <w:b/>
                <w:sz w:val="20"/>
                <w:szCs w:val="20"/>
              </w:rPr>
            </w:pPr>
            <w:r w:rsidRPr="00340E78">
              <w:rPr>
                <w:b/>
                <w:sz w:val="20"/>
                <w:szCs w:val="20"/>
              </w:rPr>
              <w:t>Economic Development</w:t>
            </w:r>
          </w:p>
        </w:tc>
        <w:tc>
          <w:tcPr>
            <w:tcW w:w="1260" w:type="dxa"/>
            <w:shd w:val="clear" w:color="auto" w:fill="auto"/>
            <w:vAlign w:val="center"/>
          </w:tcPr>
          <w:p w14:paraId="1D788537" w14:textId="77777777" w:rsidR="00340E78" w:rsidRPr="00340E78" w:rsidRDefault="00340E78" w:rsidP="00340E78">
            <w:pPr>
              <w:keepNext/>
              <w:widowControl w:val="0"/>
              <w:jc w:val="center"/>
              <w:rPr>
                <w:b/>
                <w:sz w:val="20"/>
                <w:szCs w:val="20"/>
              </w:rPr>
            </w:pPr>
            <w:r w:rsidRPr="00340E78">
              <w:rPr>
                <w:b/>
                <w:sz w:val="20"/>
                <w:szCs w:val="20"/>
              </w:rPr>
              <w:t>Revitalize or Stabilize</w:t>
            </w:r>
          </w:p>
        </w:tc>
        <w:tc>
          <w:tcPr>
            <w:tcW w:w="1170" w:type="dxa"/>
            <w:shd w:val="clear" w:color="auto" w:fill="auto"/>
            <w:vAlign w:val="center"/>
          </w:tcPr>
          <w:p w14:paraId="339B4A8D" w14:textId="77777777" w:rsidR="00340E78" w:rsidRPr="00340E78" w:rsidRDefault="00340E78" w:rsidP="00340E78">
            <w:pPr>
              <w:keepNext/>
              <w:widowControl w:val="0"/>
              <w:jc w:val="center"/>
              <w:rPr>
                <w:b/>
                <w:sz w:val="20"/>
                <w:szCs w:val="20"/>
              </w:rPr>
            </w:pPr>
            <w:r w:rsidRPr="00340E78">
              <w:rPr>
                <w:b/>
                <w:sz w:val="20"/>
                <w:szCs w:val="20"/>
              </w:rPr>
              <w:t>Totals</w:t>
            </w:r>
          </w:p>
        </w:tc>
      </w:tr>
      <w:tr w:rsidR="00340E78" w:rsidRPr="00340E78" w14:paraId="6FA03A2B" w14:textId="77777777" w:rsidTr="00340E78">
        <w:trPr>
          <w:trHeight w:val="288"/>
          <w:jc w:val="center"/>
        </w:trPr>
        <w:tc>
          <w:tcPr>
            <w:tcW w:w="2970" w:type="dxa"/>
            <w:vMerge/>
            <w:shd w:val="clear" w:color="auto" w:fill="auto"/>
            <w:vAlign w:val="center"/>
          </w:tcPr>
          <w:p w14:paraId="5ECBC7ED" w14:textId="77777777" w:rsidR="00340E78" w:rsidRPr="00340E78" w:rsidRDefault="00340E78" w:rsidP="00340E78">
            <w:pPr>
              <w:keepNext/>
              <w:widowControl w:val="0"/>
              <w:rPr>
                <w:sz w:val="20"/>
                <w:szCs w:val="20"/>
              </w:rPr>
            </w:pPr>
          </w:p>
        </w:tc>
        <w:tc>
          <w:tcPr>
            <w:tcW w:w="1170" w:type="dxa"/>
            <w:shd w:val="clear" w:color="auto" w:fill="auto"/>
            <w:vAlign w:val="center"/>
          </w:tcPr>
          <w:p w14:paraId="4AC1C5C9" w14:textId="77777777" w:rsidR="00340E78" w:rsidRPr="00340E78" w:rsidRDefault="00340E78" w:rsidP="00340E78">
            <w:pPr>
              <w:keepNext/>
              <w:widowControl w:val="0"/>
              <w:jc w:val="center"/>
              <w:rPr>
                <w:b/>
                <w:sz w:val="20"/>
                <w:szCs w:val="20"/>
              </w:rPr>
            </w:pPr>
            <w:r w:rsidRPr="00340E78">
              <w:rPr>
                <w:b/>
                <w:sz w:val="20"/>
                <w:szCs w:val="20"/>
              </w:rPr>
              <w:t>#</w:t>
            </w:r>
          </w:p>
        </w:tc>
        <w:tc>
          <w:tcPr>
            <w:tcW w:w="1260" w:type="dxa"/>
            <w:shd w:val="clear" w:color="auto" w:fill="auto"/>
            <w:vAlign w:val="center"/>
          </w:tcPr>
          <w:p w14:paraId="06CD7F13" w14:textId="77777777" w:rsidR="00340E78" w:rsidRPr="00340E78" w:rsidRDefault="00340E78" w:rsidP="00340E78">
            <w:pPr>
              <w:keepNext/>
              <w:widowControl w:val="0"/>
              <w:jc w:val="center"/>
              <w:rPr>
                <w:b/>
                <w:sz w:val="20"/>
                <w:szCs w:val="20"/>
              </w:rPr>
            </w:pPr>
            <w:r w:rsidRPr="00340E78">
              <w:rPr>
                <w:b/>
                <w:sz w:val="20"/>
                <w:szCs w:val="20"/>
              </w:rPr>
              <w:t>#</w:t>
            </w:r>
          </w:p>
        </w:tc>
        <w:tc>
          <w:tcPr>
            <w:tcW w:w="1350" w:type="dxa"/>
            <w:shd w:val="clear" w:color="auto" w:fill="auto"/>
            <w:vAlign w:val="center"/>
          </w:tcPr>
          <w:p w14:paraId="1490A138" w14:textId="77777777" w:rsidR="00340E78" w:rsidRPr="00340E78" w:rsidRDefault="00340E78" w:rsidP="00340E78">
            <w:pPr>
              <w:keepNext/>
              <w:widowControl w:val="0"/>
              <w:jc w:val="center"/>
              <w:rPr>
                <w:b/>
                <w:sz w:val="20"/>
                <w:szCs w:val="20"/>
              </w:rPr>
            </w:pPr>
            <w:r w:rsidRPr="00340E78">
              <w:rPr>
                <w:b/>
                <w:sz w:val="20"/>
                <w:szCs w:val="20"/>
              </w:rPr>
              <w:t>#</w:t>
            </w:r>
          </w:p>
        </w:tc>
        <w:tc>
          <w:tcPr>
            <w:tcW w:w="1260" w:type="dxa"/>
            <w:shd w:val="clear" w:color="auto" w:fill="auto"/>
            <w:vAlign w:val="center"/>
          </w:tcPr>
          <w:p w14:paraId="0B85A65B" w14:textId="77777777" w:rsidR="00340E78" w:rsidRPr="00340E78" w:rsidRDefault="00340E78" w:rsidP="00340E78">
            <w:pPr>
              <w:keepNext/>
              <w:widowControl w:val="0"/>
              <w:jc w:val="center"/>
              <w:rPr>
                <w:b/>
                <w:sz w:val="20"/>
                <w:szCs w:val="20"/>
              </w:rPr>
            </w:pPr>
            <w:r w:rsidRPr="00340E78">
              <w:rPr>
                <w:b/>
                <w:sz w:val="20"/>
                <w:szCs w:val="20"/>
              </w:rPr>
              <w:t>#</w:t>
            </w:r>
          </w:p>
        </w:tc>
        <w:tc>
          <w:tcPr>
            <w:tcW w:w="1170" w:type="dxa"/>
            <w:shd w:val="clear" w:color="auto" w:fill="auto"/>
            <w:vAlign w:val="center"/>
          </w:tcPr>
          <w:p w14:paraId="214BAFB3" w14:textId="77777777" w:rsidR="00340E78" w:rsidRPr="00340E78" w:rsidRDefault="00340E78" w:rsidP="00340E78">
            <w:pPr>
              <w:keepNext/>
              <w:widowControl w:val="0"/>
              <w:jc w:val="center"/>
              <w:rPr>
                <w:b/>
                <w:sz w:val="20"/>
                <w:szCs w:val="20"/>
              </w:rPr>
            </w:pPr>
            <w:r w:rsidRPr="00340E78">
              <w:rPr>
                <w:b/>
                <w:sz w:val="20"/>
                <w:szCs w:val="20"/>
              </w:rPr>
              <w:t>#</w:t>
            </w:r>
          </w:p>
        </w:tc>
      </w:tr>
      <w:tr w:rsidR="00340E78" w:rsidRPr="00340E78" w14:paraId="4190F3A5" w14:textId="77777777" w:rsidTr="00340E78">
        <w:trPr>
          <w:trHeight w:val="288"/>
          <w:jc w:val="center"/>
        </w:trPr>
        <w:tc>
          <w:tcPr>
            <w:tcW w:w="2970" w:type="dxa"/>
            <w:shd w:val="clear" w:color="auto" w:fill="auto"/>
            <w:vAlign w:val="center"/>
          </w:tcPr>
          <w:p w14:paraId="70E48325" w14:textId="15D5C2F5" w:rsidR="00340E78" w:rsidRPr="00340E78" w:rsidRDefault="00340E78" w:rsidP="00340E78">
            <w:pPr>
              <w:keepNext/>
              <w:widowControl w:val="0"/>
              <w:rPr>
                <w:sz w:val="20"/>
                <w:szCs w:val="20"/>
              </w:rPr>
            </w:pPr>
            <w:r w:rsidRPr="00340E78">
              <w:rPr>
                <w:sz w:val="20"/>
                <w:szCs w:val="20"/>
              </w:rPr>
              <w:t>2017</w:t>
            </w:r>
          </w:p>
        </w:tc>
        <w:tc>
          <w:tcPr>
            <w:tcW w:w="1170" w:type="dxa"/>
            <w:shd w:val="clear" w:color="auto" w:fill="auto"/>
            <w:vAlign w:val="center"/>
          </w:tcPr>
          <w:p w14:paraId="098828A4" w14:textId="77777777" w:rsidR="00340E78" w:rsidRPr="00340E78" w:rsidRDefault="00340E78" w:rsidP="00340E78">
            <w:pPr>
              <w:keepNext/>
              <w:widowControl w:val="0"/>
              <w:jc w:val="center"/>
              <w:rPr>
                <w:sz w:val="20"/>
                <w:szCs w:val="20"/>
              </w:rPr>
            </w:pPr>
            <w:r w:rsidRPr="00340E78">
              <w:rPr>
                <w:sz w:val="20"/>
                <w:szCs w:val="20"/>
              </w:rPr>
              <w:t>8</w:t>
            </w:r>
          </w:p>
        </w:tc>
        <w:tc>
          <w:tcPr>
            <w:tcW w:w="1260" w:type="dxa"/>
            <w:shd w:val="clear" w:color="auto" w:fill="auto"/>
            <w:vAlign w:val="center"/>
          </w:tcPr>
          <w:p w14:paraId="478BDB58" w14:textId="77777777" w:rsidR="00340E78" w:rsidRPr="00340E78" w:rsidRDefault="00340E78" w:rsidP="00340E78">
            <w:pPr>
              <w:keepNext/>
              <w:widowControl w:val="0"/>
              <w:jc w:val="center"/>
              <w:rPr>
                <w:sz w:val="20"/>
                <w:szCs w:val="20"/>
              </w:rPr>
            </w:pPr>
            <w:r w:rsidRPr="00340E78">
              <w:rPr>
                <w:sz w:val="20"/>
                <w:szCs w:val="20"/>
              </w:rPr>
              <w:t>33</w:t>
            </w:r>
          </w:p>
        </w:tc>
        <w:tc>
          <w:tcPr>
            <w:tcW w:w="1350" w:type="dxa"/>
            <w:shd w:val="clear" w:color="auto" w:fill="auto"/>
            <w:vAlign w:val="center"/>
          </w:tcPr>
          <w:p w14:paraId="5B6A888C" w14:textId="77777777" w:rsidR="00340E78" w:rsidRPr="00340E78" w:rsidRDefault="00340E78" w:rsidP="00340E78">
            <w:pPr>
              <w:keepNext/>
              <w:widowControl w:val="0"/>
              <w:jc w:val="center"/>
              <w:rPr>
                <w:sz w:val="20"/>
                <w:szCs w:val="20"/>
              </w:rPr>
            </w:pPr>
            <w:r w:rsidRPr="00340E78">
              <w:rPr>
                <w:sz w:val="20"/>
                <w:szCs w:val="20"/>
              </w:rPr>
              <w:t>9</w:t>
            </w:r>
          </w:p>
        </w:tc>
        <w:tc>
          <w:tcPr>
            <w:tcW w:w="1260" w:type="dxa"/>
            <w:shd w:val="clear" w:color="auto" w:fill="auto"/>
            <w:vAlign w:val="center"/>
          </w:tcPr>
          <w:p w14:paraId="21054AF0" w14:textId="77777777" w:rsidR="00340E78" w:rsidRPr="00340E78" w:rsidRDefault="00340E78" w:rsidP="00340E78">
            <w:pPr>
              <w:keepNext/>
              <w:widowControl w:val="0"/>
              <w:jc w:val="center"/>
              <w:rPr>
                <w:sz w:val="20"/>
                <w:szCs w:val="20"/>
              </w:rPr>
            </w:pPr>
            <w:r w:rsidRPr="00340E78">
              <w:rPr>
                <w:sz w:val="20"/>
                <w:szCs w:val="20"/>
              </w:rPr>
              <w:t>0</w:t>
            </w:r>
          </w:p>
        </w:tc>
        <w:tc>
          <w:tcPr>
            <w:tcW w:w="1170" w:type="dxa"/>
            <w:shd w:val="clear" w:color="auto" w:fill="auto"/>
            <w:vAlign w:val="center"/>
          </w:tcPr>
          <w:p w14:paraId="63189820" w14:textId="77777777" w:rsidR="00340E78" w:rsidRPr="00340E78" w:rsidRDefault="00340E78" w:rsidP="00340E78">
            <w:pPr>
              <w:keepNext/>
              <w:widowControl w:val="0"/>
              <w:jc w:val="center"/>
              <w:rPr>
                <w:b/>
                <w:sz w:val="20"/>
                <w:szCs w:val="20"/>
              </w:rPr>
            </w:pPr>
            <w:r w:rsidRPr="00340E78">
              <w:rPr>
                <w:b/>
                <w:sz w:val="20"/>
                <w:szCs w:val="20"/>
              </w:rPr>
              <w:t>50</w:t>
            </w:r>
          </w:p>
        </w:tc>
      </w:tr>
      <w:tr w:rsidR="00340E78" w:rsidRPr="00340E78" w14:paraId="0A6AD9C7" w14:textId="77777777" w:rsidTr="00340E78">
        <w:trPr>
          <w:trHeight w:val="288"/>
          <w:jc w:val="center"/>
        </w:trPr>
        <w:tc>
          <w:tcPr>
            <w:tcW w:w="2970" w:type="dxa"/>
            <w:shd w:val="clear" w:color="auto" w:fill="auto"/>
            <w:vAlign w:val="center"/>
          </w:tcPr>
          <w:p w14:paraId="70DFC99F" w14:textId="77777777" w:rsidR="00340E78" w:rsidRPr="00340E78" w:rsidRDefault="00340E78" w:rsidP="00340E78">
            <w:pPr>
              <w:keepNext/>
              <w:widowControl w:val="0"/>
              <w:rPr>
                <w:sz w:val="20"/>
                <w:szCs w:val="20"/>
              </w:rPr>
            </w:pPr>
            <w:r w:rsidRPr="00340E78">
              <w:rPr>
                <w:sz w:val="20"/>
                <w:szCs w:val="20"/>
              </w:rPr>
              <w:t>2018</w:t>
            </w:r>
          </w:p>
        </w:tc>
        <w:tc>
          <w:tcPr>
            <w:tcW w:w="1170" w:type="dxa"/>
            <w:shd w:val="clear" w:color="auto" w:fill="auto"/>
            <w:vAlign w:val="center"/>
          </w:tcPr>
          <w:p w14:paraId="5446B9F1" w14:textId="77777777" w:rsidR="00340E78" w:rsidRPr="00340E78" w:rsidRDefault="00340E78" w:rsidP="00340E78">
            <w:pPr>
              <w:keepNext/>
              <w:widowControl w:val="0"/>
              <w:jc w:val="center"/>
              <w:rPr>
                <w:sz w:val="20"/>
                <w:szCs w:val="20"/>
              </w:rPr>
            </w:pPr>
            <w:r w:rsidRPr="00340E78">
              <w:rPr>
                <w:sz w:val="20"/>
                <w:szCs w:val="20"/>
              </w:rPr>
              <w:t>6</w:t>
            </w:r>
          </w:p>
        </w:tc>
        <w:tc>
          <w:tcPr>
            <w:tcW w:w="1260" w:type="dxa"/>
            <w:shd w:val="clear" w:color="auto" w:fill="auto"/>
            <w:vAlign w:val="center"/>
          </w:tcPr>
          <w:p w14:paraId="38584305" w14:textId="77777777" w:rsidR="00340E78" w:rsidRPr="00340E78" w:rsidRDefault="00340E78" w:rsidP="00340E78">
            <w:pPr>
              <w:keepNext/>
              <w:widowControl w:val="0"/>
              <w:jc w:val="center"/>
              <w:rPr>
                <w:sz w:val="20"/>
                <w:szCs w:val="20"/>
              </w:rPr>
            </w:pPr>
            <w:r w:rsidRPr="00340E78">
              <w:rPr>
                <w:sz w:val="20"/>
                <w:szCs w:val="20"/>
              </w:rPr>
              <w:t>33</w:t>
            </w:r>
          </w:p>
        </w:tc>
        <w:tc>
          <w:tcPr>
            <w:tcW w:w="1350" w:type="dxa"/>
            <w:shd w:val="clear" w:color="auto" w:fill="auto"/>
            <w:vAlign w:val="center"/>
          </w:tcPr>
          <w:p w14:paraId="2D0FE2F2" w14:textId="77777777" w:rsidR="00340E78" w:rsidRPr="00340E78" w:rsidRDefault="00340E78" w:rsidP="00340E78">
            <w:pPr>
              <w:keepNext/>
              <w:widowControl w:val="0"/>
              <w:jc w:val="center"/>
              <w:rPr>
                <w:sz w:val="20"/>
                <w:szCs w:val="20"/>
              </w:rPr>
            </w:pPr>
            <w:r w:rsidRPr="00340E78">
              <w:rPr>
                <w:sz w:val="20"/>
                <w:szCs w:val="20"/>
              </w:rPr>
              <w:t>11</w:t>
            </w:r>
          </w:p>
        </w:tc>
        <w:tc>
          <w:tcPr>
            <w:tcW w:w="1260" w:type="dxa"/>
            <w:shd w:val="clear" w:color="auto" w:fill="auto"/>
            <w:vAlign w:val="center"/>
          </w:tcPr>
          <w:p w14:paraId="5582265E" w14:textId="77777777" w:rsidR="00340E78" w:rsidRPr="00340E78" w:rsidRDefault="00340E78" w:rsidP="00340E78">
            <w:pPr>
              <w:keepNext/>
              <w:widowControl w:val="0"/>
              <w:jc w:val="center"/>
              <w:rPr>
                <w:sz w:val="20"/>
                <w:szCs w:val="20"/>
              </w:rPr>
            </w:pPr>
            <w:r w:rsidRPr="00340E78">
              <w:rPr>
                <w:sz w:val="20"/>
                <w:szCs w:val="20"/>
              </w:rPr>
              <w:t>0</w:t>
            </w:r>
          </w:p>
        </w:tc>
        <w:tc>
          <w:tcPr>
            <w:tcW w:w="1170" w:type="dxa"/>
            <w:shd w:val="clear" w:color="auto" w:fill="auto"/>
            <w:vAlign w:val="center"/>
          </w:tcPr>
          <w:p w14:paraId="7D06D6C9" w14:textId="77777777" w:rsidR="00340E78" w:rsidRPr="00340E78" w:rsidRDefault="00340E78" w:rsidP="00340E78">
            <w:pPr>
              <w:keepNext/>
              <w:widowControl w:val="0"/>
              <w:jc w:val="center"/>
              <w:rPr>
                <w:b/>
                <w:sz w:val="20"/>
                <w:szCs w:val="20"/>
              </w:rPr>
            </w:pPr>
            <w:r w:rsidRPr="00340E78">
              <w:rPr>
                <w:b/>
                <w:sz w:val="20"/>
                <w:szCs w:val="20"/>
              </w:rPr>
              <w:t>50</w:t>
            </w:r>
          </w:p>
        </w:tc>
      </w:tr>
      <w:tr w:rsidR="00340E78" w:rsidRPr="00340E78" w14:paraId="6ABC97C5" w14:textId="77777777" w:rsidTr="00340E78">
        <w:trPr>
          <w:trHeight w:val="288"/>
          <w:jc w:val="center"/>
        </w:trPr>
        <w:tc>
          <w:tcPr>
            <w:tcW w:w="2970" w:type="dxa"/>
            <w:shd w:val="clear" w:color="auto" w:fill="auto"/>
            <w:vAlign w:val="center"/>
          </w:tcPr>
          <w:p w14:paraId="40316B67" w14:textId="77777777" w:rsidR="00340E78" w:rsidRPr="00340E78" w:rsidRDefault="00340E78" w:rsidP="00340E78">
            <w:pPr>
              <w:keepNext/>
              <w:widowControl w:val="0"/>
              <w:rPr>
                <w:sz w:val="20"/>
                <w:szCs w:val="20"/>
              </w:rPr>
            </w:pPr>
            <w:r w:rsidRPr="00340E78">
              <w:rPr>
                <w:sz w:val="20"/>
                <w:szCs w:val="20"/>
              </w:rPr>
              <w:t>2019</w:t>
            </w:r>
          </w:p>
        </w:tc>
        <w:tc>
          <w:tcPr>
            <w:tcW w:w="1170" w:type="dxa"/>
            <w:shd w:val="clear" w:color="auto" w:fill="auto"/>
            <w:vAlign w:val="center"/>
          </w:tcPr>
          <w:p w14:paraId="42F22C87" w14:textId="77777777" w:rsidR="00340E78" w:rsidRPr="00340E78" w:rsidRDefault="00340E78" w:rsidP="00340E78">
            <w:pPr>
              <w:keepNext/>
              <w:widowControl w:val="0"/>
              <w:jc w:val="center"/>
              <w:rPr>
                <w:sz w:val="20"/>
                <w:szCs w:val="20"/>
              </w:rPr>
            </w:pPr>
            <w:r w:rsidRPr="00340E78">
              <w:rPr>
                <w:sz w:val="20"/>
                <w:szCs w:val="20"/>
              </w:rPr>
              <w:t>11</w:t>
            </w:r>
          </w:p>
        </w:tc>
        <w:tc>
          <w:tcPr>
            <w:tcW w:w="1260" w:type="dxa"/>
            <w:shd w:val="clear" w:color="auto" w:fill="auto"/>
            <w:vAlign w:val="center"/>
          </w:tcPr>
          <w:p w14:paraId="5FA31646" w14:textId="77777777" w:rsidR="00340E78" w:rsidRPr="00340E78" w:rsidRDefault="00340E78" w:rsidP="00340E78">
            <w:pPr>
              <w:keepNext/>
              <w:widowControl w:val="0"/>
              <w:jc w:val="center"/>
              <w:rPr>
                <w:sz w:val="20"/>
                <w:szCs w:val="20"/>
              </w:rPr>
            </w:pPr>
            <w:r w:rsidRPr="00340E78">
              <w:rPr>
                <w:sz w:val="20"/>
                <w:szCs w:val="20"/>
              </w:rPr>
              <w:t>37</w:t>
            </w:r>
          </w:p>
        </w:tc>
        <w:tc>
          <w:tcPr>
            <w:tcW w:w="1350" w:type="dxa"/>
            <w:shd w:val="clear" w:color="auto" w:fill="auto"/>
            <w:vAlign w:val="center"/>
          </w:tcPr>
          <w:p w14:paraId="0E9A7677" w14:textId="77777777" w:rsidR="00340E78" w:rsidRPr="00340E78" w:rsidRDefault="00340E78" w:rsidP="00340E78">
            <w:pPr>
              <w:keepNext/>
              <w:widowControl w:val="0"/>
              <w:jc w:val="center"/>
              <w:rPr>
                <w:sz w:val="20"/>
                <w:szCs w:val="20"/>
              </w:rPr>
            </w:pPr>
            <w:r w:rsidRPr="00340E78">
              <w:rPr>
                <w:sz w:val="20"/>
                <w:szCs w:val="20"/>
              </w:rPr>
              <w:t>11</w:t>
            </w:r>
          </w:p>
        </w:tc>
        <w:tc>
          <w:tcPr>
            <w:tcW w:w="1260" w:type="dxa"/>
            <w:shd w:val="clear" w:color="auto" w:fill="auto"/>
            <w:vAlign w:val="center"/>
          </w:tcPr>
          <w:p w14:paraId="56BF7072" w14:textId="77777777" w:rsidR="00340E78" w:rsidRPr="00340E78" w:rsidRDefault="00340E78" w:rsidP="00340E78">
            <w:pPr>
              <w:keepNext/>
              <w:widowControl w:val="0"/>
              <w:jc w:val="center"/>
              <w:rPr>
                <w:sz w:val="20"/>
                <w:szCs w:val="20"/>
              </w:rPr>
            </w:pPr>
            <w:r w:rsidRPr="00340E78">
              <w:rPr>
                <w:sz w:val="20"/>
                <w:szCs w:val="20"/>
              </w:rPr>
              <w:t>0</w:t>
            </w:r>
          </w:p>
        </w:tc>
        <w:tc>
          <w:tcPr>
            <w:tcW w:w="1170" w:type="dxa"/>
            <w:shd w:val="clear" w:color="auto" w:fill="auto"/>
            <w:vAlign w:val="center"/>
          </w:tcPr>
          <w:p w14:paraId="0949AE9E" w14:textId="77777777" w:rsidR="00340E78" w:rsidRPr="00340E78" w:rsidRDefault="00340E78" w:rsidP="00340E78">
            <w:pPr>
              <w:keepNext/>
              <w:widowControl w:val="0"/>
              <w:jc w:val="center"/>
              <w:rPr>
                <w:b/>
                <w:sz w:val="20"/>
                <w:szCs w:val="20"/>
              </w:rPr>
            </w:pPr>
            <w:r w:rsidRPr="00340E78">
              <w:rPr>
                <w:b/>
                <w:sz w:val="20"/>
                <w:szCs w:val="20"/>
              </w:rPr>
              <w:t>59</w:t>
            </w:r>
          </w:p>
        </w:tc>
      </w:tr>
      <w:tr w:rsidR="00340E78" w:rsidRPr="00340E78" w14:paraId="22B3C8EF" w14:textId="77777777" w:rsidTr="00340E78">
        <w:trPr>
          <w:trHeight w:val="288"/>
          <w:jc w:val="center"/>
        </w:trPr>
        <w:tc>
          <w:tcPr>
            <w:tcW w:w="2970" w:type="dxa"/>
            <w:shd w:val="clear" w:color="auto" w:fill="auto"/>
            <w:vAlign w:val="center"/>
          </w:tcPr>
          <w:p w14:paraId="60175F7E" w14:textId="77777777" w:rsidR="00340E78" w:rsidRPr="00340E78" w:rsidRDefault="00340E78" w:rsidP="00340E78">
            <w:pPr>
              <w:keepNext/>
              <w:widowControl w:val="0"/>
              <w:rPr>
                <w:sz w:val="20"/>
                <w:szCs w:val="20"/>
              </w:rPr>
            </w:pPr>
            <w:r w:rsidRPr="00340E78">
              <w:rPr>
                <w:sz w:val="20"/>
                <w:szCs w:val="20"/>
              </w:rPr>
              <w:t>YTD 2020</w:t>
            </w:r>
          </w:p>
        </w:tc>
        <w:tc>
          <w:tcPr>
            <w:tcW w:w="1170" w:type="dxa"/>
            <w:shd w:val="clear" w:color="auto" w:fill="auto"/>
            <w:vAlign w:val="center"/>
          </w:tcPr>
          <w:p w14:paraId="7BB7596F" w14:textId="77777777" w:rsidR="00340E78" w:rsidRPr="00340E78" w:rsidRDefault="00340E78" w:rsidP="00340E78">
            <w:pPr>
              <w:keepNext/>
              <w:widowControl w:val="0"/>
              <w:jc w:val="center"/>
              <w:rPr>
                <w:sz w:val="20"/>
                <w:szCs w:val="20"/>
              </w:rPr>
            </w:pPr>
            <w:r w:rsidRPr="00340E78">
              <w:rPr>
                <w:sz w:val="20"/>
                <w:szCs w:val="20"/>
              </w:rPr>
              <w:t>7</w:t>
            </w:r>
          </w:p>
        </w:tc>
        <w:tc>
          <w:tcPr>
            <w:tcW w:w="1260" w:type="dxa"/>
            <w:shd w:val="clear" w:color="auto" w:fill="auto"/>
            <w:vAlign w:val="center"/>
          </w:tcPr>
          <w:p w14:paraId="43EEF069" w14:textId="77777777" w:rsidR="00340E78" w:rsidRPr="00340E78" w:rsidRDefault="00340E78" w:rsidP="00340E78">
            <w:pPr>
              <w:keepNext/>
              <w:widowControl w:val="0"/>
              <w:jc w:val="center"/>
              <w:rPr>
                <w:sz w:val="20"/>
                <w:szCs w:val="20"/>
              </w:rPr>
            </w:pPr>
            <w:r w:rsidRPr="00340E78">
              <w:rPr>
                <w:sz w:val="20"/>
                <w:szCs w:val="20"/>
              </w:rPr>
              <w:t>42</w:t>
            </w:r>
          </w:p>
        </w:tc>
        <w:tc>
          <w:tcPr>
            <w:tcW w:w="1350" w:type="dxa"/>
            <w:shd w:val="clear" w:color="auto" w:fill="auto"/>
            <w:vAlign w:val="center"/>
          </w:tcPr>
          <w:p w14:paraId="4089B400" w14:textId="77777777" w:rsidR="00340E78" w:rsidRPr="00340E78" w:rsidRDefault="00340E78" w:rsidP="00340E78">
            <w:pPr>
              <w:keepNext/>
              <w:widowControl w:val="0"/>
              <w:jc w:val="center"/>
              <w:rPr>
                <w:sz w:val="20"/>
                <w:szCs w:val="20"/>
              </w:rPr>
            </w:pPr>
            <w:r w:rsidRPr="00340E78">
              <w:rPr>
                <w:sz w:val="20"/>
                <w:szCs w:val="20"/>
              </w:rPr>
              <w:t>12</w:t>
            </w:r>
          </w:p>
        </w:tc>
        <w:tc>
          <w:tcPr>
            <w:tcW w:w="1260" w:type="dxa"/>
            <w:shd w:val="clear" w:color="auto" w:fill="auto"/>
            <w:vAlign w:val="center"/>
          </w:tcPr>
          <w:p w14:paraId="7DCB4541" w14:textId="77777777" w:rsidR="00340E78" w:rsidRPr="00340E78" w:rsidRDefault="00340E78" w:rsidP="00340E78">
            <w:pPr>
              <w:keepNext/>
              <w:widowControl w:val="0"/>
              <w:jc w:val="center"/>
              <w:rPr>
                <w:sz w:val="20"/>
                <w:szCs w:val="20"/>
              </w:rPr>
            </w:pPr>
            <w:r w:rsidRPr="00340E78">
              <w:rPr>
                <w:sz w:val="20"/>
                <w:szCs w:val="20"/>
              </w:rPr>
              <w:t>0</w:t>
            </w:r>
          </w:p>
        </w:tc>
        <w:tc>
          <w:tcPr>
            <w:tcW w:w="1170" w:type="dxa"/>
            <w:shd w:val="clear" w:color="auto" w:fill="auto"/>
            <w:vAlign w:val="center"/>
          </w:tcPr>
          <w:p w14:paraId="7A2CC5F9" w14:textId="77777777" w:rsidR="00340E78" w:rsidRPr="00340E78" w:rsidRDefault="00340E78" w:rsidP="00340E78">
            <w:pPr>
              <w:keepNext/>
              <w:widowControl w:val="0"/>
              <w:jc w:val="center"/>
              <w:rPr>
                <w:b/>
                <w:sz w:val="20"/>
                <w:szCs w:val="20"/>
              </w:rPr>
            </w:pPr>
            <w:r w:rsidRPr="00340E78">
              <w:rPr>
                <w:b/>
                <w:sz w:val="20"/>
                <w:szCs w:val="20"/>
              </w:rPr>
              <w:t>61</w:t>
            </w:r>
          </w:p>
        </w:tc>
      </w:tr>
      <w:tr w:rsidR="00340E78" w:rsidRPr="00340E78" w14:paraId="53B4AECC" w14:textId="77777777" w:rsidTr="00340E78">
        <w:trPr>
          <w:trHeight w:val="288"/>
          <w:jc w:val="center"/>
        </w:trPr>
        <w:tc>
          <w:tcPr>
            <w:tcW w:w="2970" w:type="dxa"/>
            <w:shd w:val="clear" w:color="auto" w:fill="auto"/>
            <w:vAlign w:val="center"/>
          </w:tcPr>
          <w:p w14:paraId="66304CD1" w14:textId="77777777" w:rsidR="00340E78" w:rsidRPr="00340E78" w:rsidRDefault="00340E78" w:rsidP="00340E78">
            <w:pPr>
              <w:keepNext/>
              <w:widowControl w:val="0"/>
              <w:rPr>
                <w:b/>
                <w:sz w:val="20"/>
                <w:szCs w:val="20"/>
              </w:rPr>
            </w:pPr>
            <w:r w:rsidRPr="00340E78">
              <w:rPr>
                <w:b/>
                <w:sz w:val="20"/>
                <w:szCs w:val="20"/>
              </w:rPr>
              <w:t>Total</w:t>
            </w:r>
          </w:p>
        </w:tc>
        <w:tc>
          <w:tcPr>
            <w:tcW w:w="1170" w:type="dxa"/>
            <w:shd w:val="clear" w:color="auto" w:fill="auto"/>
            <w:vAlign w:val="center"/>
          </w:tcPr>
          <w:p w14:paraId="65FFDF84" w14:textId="77777777" w:rsidR="00340E78" w:rsidRPr="00340E78" w:rsidRDefault="00340E78" w:rsidP="00340E78">
            <w:pPr>
              <w:keepNext/>
              <w:widowControl w:val="0"/>
              <w:jc w:val="center"/>
              <w:rPr>
                <w:b/>
                <w:sz w:val="20"/>
                <w:szCs w:val="20"/>
              </w:rPr>
            </w:pPr>
            <w:r w:rsidRPr="00340E78">
              <w:rPr>
                <w:b/>
                <w:sz w:val="20"/>
                <w:szCs w:val="20"/>
              </w:rPr>
              <w:t>32</w:t>
            </w:r>
          </w:p>
        </w:tc>
        <w:tc>
          <w:tcPr>
            <w:tcW w:w="1260" w:type="dxa"/>
            <w:shd w:val="clear" w:color="auto" w:fill="auto"/>
            <w:vAlign w:val="center"/>
          </w:tcPr>
          <w:p w14:paraId="242EB2E1" w14:textId="77777777" w:rsidR="00340E78" w:rsidRPr="00340E78" w:rsidRDefault="00340E78" w:rsidP="00340E78">
            <w:pPr>
              <w:keepNext/>
              <w:widowControl w:val="0"/>
              <w:jc w:val="center"/>
              <w:rPr>
                <w:b/>
                <w:sz w:val="20"/>
                <w:szCs w:val="20"/>
              </w:rPr>
            </w:pPr>
            <w:r w:rsidRPr="00340E78">
              <w:rPr>
                <w:b/>
                <w:sz w:val="20"/>
                <w:szCs w:val="20"/>
              </w:rPr>
              <w:t>145</w:t>
            </w:r>
          </w:p>
        </w:tc>
        <w:tc>
          <w:tcPr>
            <w:tcW w:w="1350" w:type="dxa"/>
            <w:shd w:val="clear" w:color="auto" w:fill="auto"/>
            <w:vAlign w:val="center"/>
          </w:tcPr>
          <w:p w14:paraId="2E91391B" w14:textId="77777777" w:rsidR="00340E78" w:rsidRPr="00340E78" w:rsidRDefault="00340E78" w:rsidP="00340E78">
            <w:pPr>
              <w:keepNext/>
              <w:widowControl w:val="0"/>
              <w:jc w:val="center"/>
              <w:rPr>
                <w:b/>
                <w:sz w:val="20"/>
                <w:szCs w:val="20"/>
              </w:rPr>
            </w:pPr>
            <w:r w:rsidRPr="00340E78">
              <w:rPr>
                <w:b/>
                <w:sz w:val="20"/>
                <w:szCs w:val="20"/>
              </w:rPr>
              <w:t>43</w:t>
            </w:r>
          </w:p>
        </w:tc>
        <w:tc>
          <w:tcPr>
            <w:tcW w:w="1260" w:type="dxa"/>
            <w:shd w:val="clear" w:color="auto" w:fill="auto"/>
            <w:vAlign w:val="center"/>
          </w:tcPr>
          <w:p w14:paraId="144892B5" w14:textId="77777777" w:rsidR="00340E78" w:rsidRPr="00340E78" w:rsidRDefault="00340E78" w:rsidP="00340E78">
            <w:pPr>
              <w:keepNext/>
              <w:widowControl w:val="0"/>
              <w:jc w:val="center"/>
              <w:rPr>
                <w:b/>
                <w:sz w:val="20"/>
                <w:szCs w:val="20"/>
              </w:rPr>
            </w:pPr>
            <w:r w:rsidRPr="00340E78">
              <w:rPr>
                <w:b/>
                <w:sz w:val="20"/>
                <w:szCs w:val="20"/>
              </w:rPr>
              <w:t>0</w:t>
            </w:r>
          </w:p>
        </w:tc>
        <w:tc>
          <w:tcPr>
            <w:tcW w:w="1170" w:type="dxa"/>
            <w:shd w:val="clear" w:color="auto" w:fill="auto"/>
            <w:vAlign w:val="center"/>
          </w:tcPr>
          <w:p w14:paraId="3F30F1AF" w14:textId="77777777" w:rsidR="00340E78" w:rsidRPr="00340E78" w:rsidRDefault="00340E78" w:rsidP="00340E78">
            <w:pPr>
              <w:keepNext/>
              <w:widowControl w:val="0"/>
              <w:jc w:val="center"/>
              <w:rPr>
                <w:b/>
                <w:sz w:val="20"/>
                <w:szCs w:val="20"/>
              </w:rPr>
            </w:pPr>
            <w:r w:rsidRPr="00340E78">
              <w:rPr>
                <w:b/>
                <w:sz w:val="20"/>
                <w:szCs w:val="20"/>
              </w:rPr>
              <w:t>220</w:t>
            </w:r>
          </w:p>
        </w:tc>
      </w:tr>
      <w:tr w:rsidR="00340E78" w:rsidRPr="00340E78" w14:paraId="5EFA2D1B" w14:textId="77777777" w:rsidTr="00340E78">
        <w:trPr>
          <w:trHeight w:val="288"/>
          <w:jc w:val="center"/>
        </w:trPr>
        <w:tc>
          <w:tcPr>
            <w:tcW w:w="9180" w:type="dxa"/>
            <w:gridSpan w:val="6"/>
            <w:shd w:val="clear" w:color="auto" w:fill="auto"/>
            <w:vAlign w:val="center"/>
          </w:tcPr>
          <w:p w14:paraId="55A2BB59" w14:textId="77777777" w:rsidR="00340E78" w:rsidRPr="00340E78" w:rsidRDefault="00340E78" w:rsidP="00340E78">
            <w:pPr>
              <w:keepNext/>
              <w:widowControl w:val="0"/>
              <w:rPr>
                <w:b/>
                <w:sz w:val="20"/>
                <w:szCs w:val="20"/>
              </w:rPr>
            </w:pPr>
            <w:r w:rsidRPr="00340E78">
              <w:rPr>
                <w:i/>
                <w:sz w:val="16"/>
                <w:szCs w:val="16"/>
              </w:rPr>
              <w:t xml:space="preserve">Source:  Bank Data </w:t>
            </w:r>
          </w:p>
        </w:tc>
      </w:tr>
    </w:tbl>
    <w:p w14:paraId="3EA1549A" w14:textId="77777777" w:rsidR="00340E78" w:rsidRPr="00340E78" w:rsidRDefault="00340E78" w:rsidP="00340E78">
      <w:pPr>
        <w:shd w:val="clear" w:color="auto" w:fill="FFFFFF"/>
        <w:textAlignment w:val="baseline"/>
      </w:pPr>
    </w:p>
    <w:p w14:paraId="4E377215" w14:textId="77777777" w:rsidR="00340E78" w:rsidRPr="00340E78" w:rsidRDefault="00340E78" w:rsidP="00340E78">
      <w:pPr>
        <w:shd w:val="clear" w:color="auto" w:fill="FFFFFF"/>
        <w:textAlignment w:val="baseline"/>
      </w:pPr>
      <w:r w:rsidRPr="00340E78">
        <w:t>The following are examples of community development services provided.</w:t>
      </w:r>
    </w:p>
    <w:p w14:paraId="40207D2D" w14:textId="77777777" w:rsidR="00340E78" w:rsidRPr="00340E78" w:rsidRDefault="00340E78" w:rsidP="00340E78">
      <w:pPr>
        <w:keepNext/>
        <w:rPr>
          <w:i/>
          <w:highlight w:val="yellow"/>
        </w:rPr>
      </w:pPr>
    </w:p>
    <w:p w14:paraId="396EF041" w14:textId="77777777" w:rsidR="00340E78" w:rsidRPr="00340E78" w:rsidRDefault="00340E78" w:rsidP="00340E78">
      <w:pPr>
        <w:keepNext/>
        <w:rPr>
          <w:i/>
        </w:rPr>
      </w:pPr>
      <w:r w:rsidRPr="00340E78">
        <w:rPr>
          <w:i/>
        </w:rPr>
        <w:t>Financial Literacy Seminars</w:t>
      </w:r>
    </w:p>
    <w:p w14:paraId="7003BD56" w14:textId="77777777" w:rsidR="00340E78" w:rsidRPr="00340E78" w:rsidRDefault="00340E78" w:rsidP="00340E78">
      <w:pPr>
        <w:keepNext/>
        <w:rPr>
          <w:i/>
        </w:rPr>
      </w:pPr>
    </w:p>
    <w:p w14:paraId="5A837045" w14:textId="20A6D4EE" w:rsidR="00340E78" w:rsidRDefault="00340E78" w:rsidP="005379B0">
      <w:pPr>
        <w:keepNext/>
        <w:numPr>
          <w:ilvl w:val="0"/>
          <w:numId w:val="34"/>
        </w:numPr>
        <w:spacing w:after="200"/>
        <w:contextualSpacing/>
      </w:pPr>
      <w:r w:rsidRPr="00340E78">
        <w:rPr>
          <w:b/>
        </w:rPr>
        <w:t xml:space="preserve">Beacon Academy - </w:t>
      </w:r>
      <w:r w:rsidRPr="00340E78">
        <w:t xml:space="preserve">Beacon Academy provides Boston’s students life-changing opportunities through education and social advocacy.  The school offers a “jump year” to a small group of motivated students to help them earn scholarships at competitive local high schools and achieve success in high school and college.  An </w:t>
      </w:r>
      <w:r w:rsidR="0063431D">
        <w:t xml:space="preserve">executive vice president </w:t>
      </w:r>
      <w:r w:rsidRPr="00340E78">
        <w:t>met with 25 students to discuss financial tips, career opportunities</w:t>
      </w:r>
      <w:r w:rsidR="0063431D">
        <w:t>,</w:t>
      </w:r>
      <w:r w:rsidRPr="00340E78">
        <w:t xml:space="preserve"> and the importance of quality education.  All </w:t>
      </w:r>
      <w:r w:rsidR="005C7DCF">
        <w:t xml:space="preserve">attendees </w:t>
      </w:r>
      <w:r w:rsidR="005C7DCF" w:rsidRPr="00340E78">
        <w:t>are</w:t>
      </w:r>
      <w:r w:rsidRPr="00340E78">
        <w:t xml:space="preserve"> from low-income families.</w:t>
      </w:r>
    </w:p>
    <w:p w14:paraId="52FAC3D1" w14:textId="77777777" w:rsidR="00340E78" w:rsidRPr="00340E78" w:rsidRDefault="00340E78" w:rsidP="005379B0">
      <w:pPr>
        <w:keepNext/>
        <w:spacing w:after="200"/>
        <w:ind w:left="720"/>
        <w:contextualSpacing/>
      </w:pPr>
    </w:p>
    <w:p w14:paraId="1173555E" w14:textId="72660555" w:rsidR="00340E78" w:rsidRPr="00340E78" w:rsidRDefault="00340E78" w:rsidP="005379B0">
      <w:pPr>
        <w:keepNext/>
        <w:numPr>
          <w:ilvl w:val="0"/>
          <w:numId w:val="34"/>
        </w:numPr>
        <w:spacing w:after="200"/>
        <w:contextualSpacing/>
      </w:pPr>
      <w:r w:rsidRPr="00340E78">
        <w:rPr>
          <w:b/>
        </w:rPr>
        <w:t xml:space="preserve">Chelsea Restoration – </w:t>
      </w:r>
      <w:r w:rsidRPr="00340E78">
        <w:t>Chelsea Restoration promotes home ownership for low- and moderate-income families and individuals in Chelsea, Revere, Saugus</w:t>
      </w:r>
      <w:r w:rsidR="0063431D">
        <w:t>,</w:t>
      </w:r>
      <w:r w:rsidRPr="00340E78">
        <w:t xml:space="preserve"> and the surrounding communities.  In 2019, EBSB provided a first-time homebuyer seminar for Spanish speaking individuals. </w:t>
      </w:r>
    </w:p>
    <w:p w14:paraId="109EA7A1" w14:textId="77777777" w:rsidR="00340E78" w:rsidRPr="00340E78" w:rsidRDefault="00340E78" w:rsidP="0063431D">
      <w:pPr>
        <w:keepNext/>
        <w:rPr>
          <w:highlight w:val="yellow"/>
        </w:rPr>
      </w:pPr>
    </w:p>
    <w:p w14:paraId="319192F9" w14:textId="436A894B" w:rsidR="00340E78" w:rsidRDefault="00340E78" w:rsidP="0063431D">
      <w:pPr>
        <w:keepNext/>
        <w:spacing w:after="200"/>
        <w:contextualSpacing/>
        <w:rPr>
          <w:i/>
        </w:rPr>
      </w:pPr>
      <w:r w:rsidRPr="00340E78">
        <w:rPr>
          <w:i/>
        </w:rPr>
        <w:t>Employee Involvement</w:t>
      </w:r>
    </w:p>
    <w:p w14:paraId="6921CA7A" w14:textId="77777777" w:rsidR="00657F0C" w:rsidRPr="00340E78" w:rsidRDefault="00657F0C" w:rsidP="0063431D">
      <w:pPr>
        <w:keepNext/>
        <w:spacing w:after="200"/>
        <w:contextualSpacing/>
        <w:rPr>
          <w:i/>
        </w:rPr>
      </w:pPr>
    </w:p>
    <w:p w14:paraId="38C018E0" w14:textId="36FA0A92" w:rsidR="00340E78" w:rsidRPr="00340E78" w:rsidRDefault="00340E78" w:rsidP="005379B0">
      <w:pPr>
        <w:keepNext/>
        <w:widowControl w:val="0"/>
        <w:numPr>
          <w:ilvl w:val="0"/>
          <w:numId w:val="36"/>
        </w:numPr>
        <w:spacing w:after="200"/>
        <w:contextualSpacing/>
        <w:rPr>
          <w:i/>
        </w:rPr>
      </w:pPr>
      <w:r w:rsidRPr="00340E78">
        <w:rPr>
          <w:b/>
        </w:rPr>
        <w:t xml:space="preserve">Boston Chinatown Neighborhood Center (BCNC) – </w:t>
      </w:r>
      <w:r w:rsidRPr="00340E78">
        <w:t xml:space="preserve">A </w:t>
      </w:r>
      <w:r w:rsidR="00683F50">
        <w:t>D</w:t>
      </w:r>
      <w:r w:rsidRPr="00340E78">
        <w:t xml:space="preserve">irector served on the </w:t>
      </w:r>
      <w:r w:rsidR="0063431D">
        <w:t xml:space="preserve">organization’s </w:t>
      </w:r>
      <w:r w:rsidRPr="00340E78">
        <w:t xml:space="preserve">board.  BCNC works to provide new immigrants and </w:t>
      </w:r>
      <w:r w:rsidR="0063431D">
        <w:t xml:space="preserve">community </w:t>
      </w:r>
      <w:r w:rsidR="005C7DCF" w:rsidRPr="00340E78">
        <w:t>members with</w:t>
      </w:r>
      <w:r w:rsidRPr="00340E78">
        <w:t xml:space="preserve"> educational services that include childcare, English and financial literacy courses, and college and career planning programs.</w:t>
      </w:r>
      <w:r w:rsidR="00B04ADC">
        <w:t xml:space="preserve">  The majority of </w:t>
      </w:r>
      <w:r w:rsidR="005C7DCF">
        <w:t>those benefitting</w:t>
      </w:r>
      <w:r w:rsidR="00B04ADC">
        <w:t xml:space="preserve"> from BCNC services are low- and moderate-income individuals.</w:t>
      </w:r>
    </w:p>
    <w:p w14:paraId="3C87089D" w14:textId="77777777" w:rsidR="00340E78" w:rsidRPr="00340E78" w:rsidRDefault="00340E78" w:rsidP="0063431D">
      <w:pPr>
        <w:keepNext/>
        <w:widowControl w:val="0"/>
        <w:spacing w:after="200"/>
        <w:ind w:left="720"/>
        <w:contextualSpacing/>
        <w:rPr>
          <w:i/>
        </w:rPr>
      </w:pPr>
    </w:p>
    <w:p w14:paraId="1FD5ABB2" w14:textId="0DD57C1A" w:rsidR="00340E78" w:rsidRPr="00340E78" w:rsidRDefault="00340E78" w:rsidP="005379B0">
      <w:pPr>
        <w:keepNext/>
        <w:widowControl w:val="0"/>
        <w:numPr>
          <w:ilvl w:val="0"/>
          <w:numId w:val="36"/>
        </w:numPr>
        <w:spacing w:after="200"/>
        <w:contextualSpacing/>
        <w:rPr>
          <w:i/>
        </w:rPr>
      </w:pPr>
      <w:r w:rsidRPr="00340E78">
        <w:rPr>
          <w:b/>
        </w:rPr>
        <w:t xml:space="preserve">Danvers Community Council (DCC) – </w:t>
      </w:r>
      <w:r w:rsidRPr="00340E78">
        <w:t xml:space="preserve">A first vice president serves on </w:t>
      </w:r>
      <w:r w:rsidR="0063431D" w:rsidRPr="00340E78">
        <w:t>the</w:t>
      </w:r>
      <w:r w:rsidR="0063431D">
        <w:t xml:space="preserve"> organization’s </w:t>
      </w:r>
      <w:r w:rsidRPr="00340E78">
        <w:t xml:space="preserve">board.  </w:t>
      </w:r>
      <w:r w:rsidR="005C7DCF" w:rsidRPr="00340E78">
        <w:t>DCC assists</w:t>
      </w:r>
      <w:r w:rsidRPr="00340E78">
        <w:t xml:space="preserve"> Danvers residents’ in-</w:t>
      </w:r>
      <w:r w:rsidR="005C7DCF" w:rsidRPr="00340E78">
        <w:t>need by</w:t>
      </w:r>
      <w:r w:rsidRPr="00340E78">
        <w:t xml:space="preserve"> collaborating with local agencies, town leaders, and local businesses.  The organization also provides direct assistance through its food pantry. </w:t>
      </w:r>
    </w:p>
    <w:p w14:paraId="6328879B" w14:textId="77777777" w:rsidR="00340E78" w:rsidRPr="00340E78" w:rsidRDefault="00340E78" w:rsidP="0063431D">
      <w:pPr>
        <w:keepNext/>
        <w:widowControl w:val="0"/>
        <w:spacing w:after="200"/>
        <w:ind w:left="720"/>
        <w:contextualSpacing/>
        <w:rPr>
          <w:i/>
        </w:rPr>
      </w:pPr>
    </w:p>
    <w:p w14:paraId="6AD3A1C2" w14:textId="0D300966" w:rsidR="00340E78" w:rsidRPr="00340E78" w:rsidRDefault="00340E78" w:rsidP="005379B0">
      <w:pPr>
        <w:widowControl w:val="0"/>
        <w:numPr>
          <w:ilvl w:val="0"/>
          <w:numId w:val="35"/>
        </w:numPr>
        <w:spacing w:after="160"/>
      </w:pPr>
      <w:r w:rsidRPr="00340E78">
        <w:rPr>
          <w:b/>
        </w:rPr>
        <w:t xml:space="preserve">Massachusetts Capital Growth Corporation (MCGC) – </w:t>
      </w:r>
      <w:r w:rsidRPr="00340E78">
        <w:t xml:space="preserve">A vice </w:t>
      </w:r>
      <w:r w:rsidR="005C7DCF" w:rsidRPr="00340E78">
        <w:t>president serves</w:t>
      </w:r>
      <w:r w:rsidRPr="00340E78">
        <w:t xml:space="preserve"> on the grant review committee.  MCGC provides assistance and alternative financing to small and micro-businesses.  The organization provides loans ranging from $5,000 to $1,000,000.  MCGC also provides emergency assistance funds, diversity programs, and small business technical assistance grants.</w:t>
      </w:r>
    </w:p>
    <w:p w14:paraId="736A0BD1" w14:textId="435E1D6B" w:rsidR="00340E78" w:rsidRPr="00340E78" w:rsidRDefault="00340E78" w:rsidP="005379B0">
      <w:pPr>
        <w:widowControl w:val="0"/>
        <w:numPr>
          <w:ilvl w:val="0"/>
          <w:numId w:val="35"/>
        </w:numPr>
        <w:spacing w:after="160"/>
      </w:pPr>
      <w:r w:rsidRPr="00340E78">
        <w:rPr>
          <w:b/>
        </w:rPr>
        <w:lastRenderedPageBreak/>
        <w:t>Massachusetts Coalition of the Homeless</w:t>
      </w:r>
      <w:r w:rsidRPr="00340E78">
        <w:t xml:space="preserve"> </w:t>
      </w:r>
      <w:r w:rsidRPr="00340E78">
        <w:rPr>
          <w:b/>
        </w:rPr>
        <w:t xml:space="preserve">(MCH) </w:t>
      </w:r>
      <w:r w:rsidRPr="00340E78">
        <w:t xml:space="preserve">– A senior vice </w:t>
      </w:r>
      <w:r w:rsidR="005C7DCF" w:rsidRPr="00340E78">
        <w:t>president serves</w:t>
      </w:r>
      <w:r w:rsidRPr="00340E78">
        <w:t xml:space="preserve"> on the </w:t>
      </w:r>
      <w:r w:rsidR="0021207D">
        <w:t xml:space="preserve">organization’s </w:t>
      </w:r>
      <w:r w:rsidRPr="00340E78">
        <w:t>board</w:t>
      </w:r>
      <w:r w:rsidR="007926FD" w:rsidRPr="00340E78">
        <w:t xml:space="preserve">.  </w:t>
      </w:r>
      <w:r w:rsidRPr="00340E78">
        <w:t xml:space="preserve">MCH advocates for homeless individuals or those at risk of homelessness.  The organization primarily works through public policy, focusing on affordable housing, adequate income maintenance programs, medical care, mental health services, social services, and job training and employment.  The organization also operates a furniture bank to assist low- and moderate-income households. </w:t>
      </w:r>
    </w:p>
    <w:p w14:paraId="2A7FDEE8" w14:textId="7019385D" w:rsidR="00340E78" w:rsidRPr="00340E78" w:rsidRDefault="00340E78" w:rsidP="005379B0">
      <w:pPr>
        <w:widowControl w:val="0"/>
        <w:numPr>
          <w:ilvl w:val="0"/>
          <w:numId w:val="35"/>
        </w:numPr>
        <w:spacing w:after="160"/>
      </w:pPr>
      <w:r w:rsidRPr="00340E78">
        <w:rPr>
          <w:b/>
        </w:rPr>
        <w:t>South Boston Neighborhood Development Corporation (SBNDC)</w:t>
      </w:r>
      <w:r w:rsidRPr="00340E78">
        <w:t xml:space="preserve"> – A vice </w:t>
      </w:r>
      <w:r w:rsidR="005C7DCF" w:rsidRPr="00340E78">
        <w:t>president served</w:t>
      </w:r>
      <w:r w:rsidRPr="00340E78">
        <w:t xml:space="preserve"> on the</w:t>
      </w:r>
      <w:r w:rsidR="0021207D">
        <w:t xml:space="preserve"> organization’s</w:t>
      </w:r>
      <w:r w:rsidRPr="00340E78">
        <w:t xml:space="preserve"> board.  SBNDC owns and manages 166 affordable housing units in South Boston</w:t>
      </w:r>
      <w:r w:rsidR="0021207D">
        <w:t>.  SBNDC’s</w:t>
      </w:r>
      <w:r w:rsidRPr="00340E78">
        <w:t xml:space="preserve"> mission</w:t>
      </w:r>
      <w:r w:rsidR="0021207D">
        <w:t xml:space="preserve"> is to keep</w:t>
      </w:r>
      <w:r w:rsidRPr="00340E78">
        <w:t xml:space="preserve"> low</w:t>
      </w:r>
      <w:r w:rsidR="0021207D">
        <w:t>-</w:t>
      </w:r>
      <w:r w:rsidRPr="00340E78">
        <w:t xml:space="preserve"> and moderate-income individuals in the community.  SBNDC also provides assistance to small businesses and owns three retail spaces that they </w:t>
      </w:r>
      <w:r w:rsidR="005C7DCF" w:rsidRPr="00340E78">
        <w:t>rent at</w:t>
      </w:r>
      <w:r w:rsidRPr="00340E78">
        <w:t xml:space="preserve"> below-market rates to businesses that serve the community. </w:t>
      </w:r>
    </w:p>
    <w:p w14:paraId="747646EC" w14:textId="77777777" w:rsidR="00340E78" w:rsidRPr="00340E78" w:rsidRDefault="00340E78" w:rsidP="0063431D">
      <w:pPr>
        <w:keepLines/>
        <w:ind w:right="-144"/>
        <w:rPr>
          <w:bCs/>
          <w:sz w:val="28"/>
          <w:szCs w:val="28"/>
        </w:rPr>
      </w:pPr>
    </w:p>
    <w:p w14:paraId="788BBED2" w14:textId="77777777" w:rsidR="00340E78" w:rsidRPr="00340E78" w:rsidRDefault="00340E78" w:rsidP="00340E78">
      <w:pPr>
        <w:keepLines/>
        <w:ind w:left="-144" w:right="-144"/>
        <w:rPr>
          <w:b/>
          <w:bCs/>
          <w:sz w:val="28"/>
          <w:szCs w:val="28"/>
        </w:rPr>
      </w:pPr>
      <w:r w:rsidRPr="00340E78">
        <w:rPr>
          <w:b/>
          <w:bCs/>
          <w:sz w:val="28"/>
          <w:szCs w:val="28"/>
        </w:rPr>
        <w:t>DISCRIMINATORY OR OTHER ILLEGAL CREDIT PRACTICES REVIEW</w:t>
      </w:r>
    </w:p>
    <w:p w14:paraId="24247E7E" w14:textId="77777777" w:rsidR="00340E78" w:rsidRPr="00340E78" w:rsidRDefault="00340E78" w:rsidP="00340E78">
      <w:pPr>
        <w:keepLines/>
        <w:ind w:left="-144" w:right="-144"/>
        <w:rPr>
          <w:bCs/>
          <w:sz w:val="28"/>
          <w:szCs w:val="28"/>
        </w:rPr>
      </w:pPr>
    </w:p>
    <w:p w14:paraId="03E4F069" w14:textId="083DC184" w:rsidR="0099672C" w:rsidRPr="00161EC6" w:rsidRDefault="0021207D" w:rsidP="00340E78">
      <w:pPr>
        <w:rPr>
          <w:color w:val="000000"/>
        </w:rPr>
      </w:pPr>
      <w:r>
        <w:rPr>
          <w:bCs/>
        </w:rPr>
        <w:t xml:space="preserve">Examiners did not identify </w:t>
      </w:r>
      <w:r w:rsidR="005C7DCF">
        <w:rPr>
          <w:bCs/>
        </w:rPr>
        <w:t xml:space="preserve">any </w:t>
      </w:r>
      <w:r w:rsidR="005C7DCF" w:rsidRPr="00340E78">
        <w:rPr>
          <w:bCs/>
        </w:rPr>
        <w:t>evidence</w:t>
      </w:r>
      <w:r w:rsidR="00340E78" w:rsidRPr="00340E78">
        <w:rPr>
          <w:bCs/>
        </w:rPr>
        <w:t xml:space="preserve"> of discriminatory or other illegal credit practices inconsistent with helping to meet community credit needs</w:t>
      </w:r>
      <w:r>
        <w:rPr>
          <w:bCs/>
        </w:rPr>
        <w:t>.</w:t>
      </w:r>
    </w:p>
    <w:p w14:paraId="00E79C41" w14:textId="77777777" w:rsidR="0099672C" w:rsidRDefault="0099672C" w:rsidP="003C7323">
      <w:pPr>
        <w:jc w:val="center"/>
        <w:rPr>
          <w:b/>
          <w:i/>
          <w:highlight w:val="yellow"/>
        </w:rPr>
      </w:pPr>
    </w:p>
    <w:p w14:paraId="50620E41" w14:textId="37AD1DA2" w:rsidR="00B86059" w:rsidRDefault="00B86059" w:rsidP="003C7323">
      <w:pPr>
        <w:jc w:val="center"/>
        <w:rPr>
          <w:b/>
          <w:i/>
          <w:highlight w:val="yellow"/>
        </w:rPr>
      </w:pPr>
    </w:p>
    <w:p w14:paraId="0756990F" w14:textId="34E8C7B0" w:rsidR="00482BE0" w:rsidRDefault="00482BE0" w:rsidP="003C7323">
      <w:pPr>
        <w:jc w:val="center"/>
        <w:rPr>
          <w:b/>
          <w:i/>
          <w:highlight w:val="yellow"/>
        </w:rPr>
      </w:pPr>
    </w:p>
    <w:p w14:paraId="614173B1" w14:textId="08F26FC9" w:rsidR="00482BE0" w:rsidRDefault="00482BE0" w:rsidP="003C7323">
      <w:pPr>
        <w:jc w:val="center"/>
        <w:rPr>
          <w:b/>
          <w:i/>
          <w:highlight w:val="yellow"/>
        </w:rPr>
      </w:pPr>
    </w:p>
    <w:p w14:paraId="57B71875" w14:textId="10F015A6" w:rsidR="00482BE0" w:rsidRDefault="00482BE0" w:rsidP="003C7323">
      <w:pPr>
        <w:jc w:val="center"/>
        <w:rPr>
          <w:b/>
          <w:i/>
          <w:highlight w:val="yellow"/>
        </w:rPr>
      </w:pPr>
    </w:p>
    <w:p w14:paraId="657B43EA" w14:textId="08DBFF55" w:rsidR="00482BE0" w:rsidRDefault="00482BE0" w:rsidP="003C7323">
      <w:pPr>
        <w:jc w:val="center"/>
        <w:rPr>
          <w:b/>
          <w:i/>
          <w:highlight w:val="yellow"/>
        </w:rPr>
      </w:pPr>
    </w:p>
    <w:p w14:paraId="5CC9A6A2" w14:textId="77777777" w:rsidR="00B86059" w:rsidRDefault="00B86059" w:rsidP="005C7DCF">
      <w:pPr>
        <w:rPr>
          <w:b/>
          <w:i/>
          <w:highlight w:val="yellow"/>
        </w:rPr>
      </w:pPr>
    </w:p>
    <w:p w14:paraId="783A2ED4" w14:textId="77777777" w:rsidR="005C7DCF" w:rsidRDefault="005C7DCF" w:rsidP="00F34B31">
      <w:pPr>
        <w:keepLines/>
        <w:ind w:left="-144" w:right="-144"/>
        <w:jc w:val="center"/>
        <w:rPr>
          <w:b/>
          <w:sz w:val="28"/>
          <w:szCs w:val="28"/>
        </w:rPr>
      </w:pPr>
    </w:p>
    <w:p w14:paraId="02D6A7EB" w14:textId="77777777" w:rsidR="005C7DCF" w:rsidRDefault="005C7DCF" w:rsidP="00F34B31">
      <w:pPr>
        <w:keepLines/>
        <w:ind w:left="-144" w:right="-144"/>
        <w:jc w:val="center"/>
        <w:rPr>
          <w:b/>
          <w:sz w:val="28"/>
          <w:szCs w:val="28"/>
        </w:rPr>
      </w:pPr>
    </w:p>
    <w:p w14:paraId="6DFE6D80" w14:textId="77777777" w:rsidR="005C7DCF" w:rsidRDefault="005C7DCF" w:rsidP="00F34B31">
      <w:pPr>
        <w:keepLines/>
        <w:ind w:left="-144" w:right="-144"/>
        <w:jc w:val="center"/>
        <w:rPr>
          <w:b/>
          <w:sz w:val="28"/>
          <w:szCs w:val="28"/>
        </w:rPr>
      </w:pPr>
    </w:p>
    <w:p w14:paraId="5112EE70" w14:textId="77777777" w:rsidR="005C7DCF" w:rsidRDefault="005C7DCF" w:rsidP="00F34B31">
      <w:pPr>
        <w:keepLines/>
        <w:ind w:left="-144" w:right="-144"/>
        <w:jc w:val="center"/>
        <w:rPr>
          <w:b/>
          <w:sz w:val="28"/>
          <w:szCs w:val="28"/>
        </w:rPr>
      </w:pPr>
    </w:p>
    <w:p w14:paraId="49A5B648" w14:textId="77777777" w:rsidR="005C7DCF" w:rsidRDefault="005C7DCF" w:rsidP="00F34B31">
      <w:pPr>
        <w:keepLines/>
        <w:ind w:left="-144" w:right="-144"/>
        <w:jc w:val="center"/>
        <w:rPr>
          <w:b/>
          <w:sz w:val="28"/>
          <w:szCs w:val="28"/>
        </w:rPr>
      </w:pPr>
    </w:p>
    <w:p w14:paraId="0DDBEDC5" w14:textId="77777777" w:rsidR="005C7DCF" w:rsidRDefault="005C7DCF" w:rsidP="00F34B31">
      <w:pPr>
        <w:keepLines/>
        <w:ind w:left="-144" w:right="-144"/>
        <w:jc w:val="center"/>
        <w:rPr>
          <w:b/>
          <w:sz w:val="28"/>
          <w:szCs w:val="28"/>
        </w:rPr>
      </w:pPr>
    </w:p>
    <w:p w14:paraId="57725304" w14:textId="77777777" w:rsidR="005C7DCF" w:rsidRDefault="005C7DCF" w:rsidP="00F34B31">
      <w:pPr>
        <w:keepLines/>
        <w:ind w:left="-144" w:right="-144"/>
        <w:jc w:val="center"/>
        <w:rPr>
          <w:b/>
          <w:sz w:val="28"/>
          <w:szCs w:val="28"/>
        </w:rPr>
      </w:pPr>
    </w:p>
    <w:p w14:paraId="18BA9AE4" w14:textId="77777777" w:rsidR="005C7DCF" w:rsidRDefault="005C7DCF" w:rsidP="00F34B31">
      <w:pPr>
        <w:keepLines/>
        <w:ind w:left="-144" w:right="-144"/>
        <w:jc w:val="center"/>
        <w:rPr>
          <w:b/>
          <w:sz w:val="28"/>
          <w:szCs w:val="28"/>
        </w:rPr>
      </w:pPr>
    </w:p>
    <w:p w14:paraId="198811F8" w14:textId="77777777" w:rsidR="005C7DCF" w:rsidRDefault="005C7DCF" w:rsidP="00F34B31">
      <w:pPr>
        <w:keepLines/>
        <w:ind w:left="-144" w:right="-144"/>
        <w:jc w:val="center"/>
        <w:rPr>
          <w:b/>
          <w:sz w:val="28"/>
          <w:szCs w:val="28"/>
        </w:rPr>
      </w:pPr>
    </w:p>
    <w:p w14:paraId="5749E079" w14:textId="77777777" w:rsidR="005C7DCF" w:rsidRDefault="005C7DCF" w:rsidP="00F34B31">
      <w:pPr>
        <w:keepLines/>
        <w:ind w:left="-144" w:right="-144"/>
        <w:jc w:val="center"/>
        <w:rPr>
          <w:b/>
          <w:sz w:val="28"/>
          <w:szCs w:val="28"/>
        </w:rPr>
      </w:pPr>
    </w:p>
    <w:p w14:paraId="19196756" w14:textId="77777777" w:rsidR="005C7DCF" w:rsidRDefault="005C7DCF" w:rsidP="00F34B31">
      <w:pPr>
        <w:keepLines/>
        <w:ind w:left="-144" w:right="-144"/>
        <w:jc w:val="center"/>
        <w:rPr>
          <w:b/>
          <w:sz w:val="28"/>
          <w:szCs w:val="28"/>
        </w:rPr>
      </w:pPr>
    </w:p>
    <w:p w14:paraId="23490AA9" w14:textId="77777777" w:rsidR="005C7DCF" w:rsidRDefault="005C7DCF" w:rsidP="00F34B31">
      <w:pPr>
        <w:keepLines/>
        <w:ind w:left="-144" w:right="-144"/>
        <w:jc w:val="center"/>
        <w:rPr>
          <w:b/>
          <w:sz w:val="28"/>
          <w:szCs w:val="28"/>
        </w:rPr>
      </w:pPr>
    </w:p>
    <w:p w14:paraId="19924F9D" w14:textId="77777777" w:rsidR="005C7DCF" w:rsidRDefault="005C7DCF" w:rsidP="00F34B31">
      <w:pPr>
        <w:keepLines/>
        <w:ind w:left="-144" w:right="-144"/>
        <w:jc w:val="center"/>
        <w:rPr>
          <w:b/>
          <w:sz w:val="28"/>
          <w:szCs w:val="28"/>
        </w:rPr>
      </w:pPr>
    </w:p>
    <w:p w14:paraId="55590D4F" w14:textId="77777777" w:rsidR="005C7DCF" w:rsidRDefault="005C7DCF" w:rsidP="00F34B31">
      <w:pPr>
        <w:keepLines/>
        <w:ind w:left="-144" w:right="-144"/>
        <w:jc w:val="center"/>
        <w:rPr>
          <w:b/>
          <w:sz w:val="28"/>
          <w:szCs w:val="28"/>
        </w:rPr>
      </w:pPr>
    </w:p>
    <w:p w14:paraId="55DD2468" w14:textId="77777777" w:rsidR="005C7DCF" w:rsidRDefault="005C7DCF" w:rsidP="00F34B31">
      <w:pPr>
        <w:keepLines/>
        <w:ind w:left="-144" w:right="-144"/>
        <w:jc w:val="center"/>
        <w:rPr>
          <w:b/>
          <w:sz w:val="28"/>
          <w:szCs w:val="28"/>
        </w:rPr>
      </w:pPr>
    </w:p>
    <w:p w14:paraId="69B3935D" w14:textId="77777777" w:rsidR="005C7DCF" w:rsidRDefault="005C7DCF" w:rsidP="00F34B31">
      <w:pPr>
        <w:keepLines/>
        <w:ind w:left="-144" w:right="-144"/>
        <w:jc w:val="center"/>
        <w:rPr>
          <w:b/>
          <w:sz w:val="28"/>
          <w:szCs w:val="28"/>
        </w:rPr>
      </w:pPr>
    </w:p>
    <w:p w14:paraId="2031F5BC" w14:textId="77777777" w:rsidR="005C7DCF" w:rsidRDefault="005C7DCF" w:rsidP="00F34B31">
      <w:pPr>
        <w:keepLines/>
        <w:ind w:left="-144" w:right="-144"/>
        <w:jc w:val="center"/>
        <w:rPr>
          <w:b/>
          <w:sz w:val="28"/>
          <w:szCs w:val="28"/>
        </w:rPr>
      </w:pPr>
    </w:p>
    <w:p w14:paraId="5E0C4460" w14:textId="77777777" w:rsidR="005C7DCF" w:rsidRDefault="005C7DCF" w:rsidP="00F34B31">
      <w:pPr>
        <w:keepLines/>
        <w:ind w:left="-144" w:right="-144"/>
        <w:jc w:val="center"/>
        <w:rPr>
          <w:b/>
          <w:sz w:val="28"/>
          <w:szCs w:val="28"/>
        </w:rPr>
      </w:pPr>
    </w:p>
    <w:p w14:paraId="730A7FFE" w14:textId="08BD37A4" w:rsidR="00F34B31" w:rsidRDefault="00F34B31" w:rsidP="00F34B31">
      <w:pPr>
        <w:keepLines/>
        <w:ind w:left="-144" w:right="-144"/>
        <w:jc w:val="center"/>
        <w:rPr>
          <w:b/>
          <w:sz w:val="28"/>
          <w:szCs w:val="28"/>
        </w:rPr>
      </w:pPr>
      <w:r>
        <w:rPr>
          <w:b/>
          <w:sz w:val="28"/>
          <w:szCs w:val="28"/>
        </w:rPr>
        <w:lastRenderedPageBreak/>
        <w:t>APPENDIX</w:t>
      </w:r>
    </w:p>
    <w:p w14:paraId="74DD1BDF" w14:textId="77777777" w:rsidR="00F34B31" w:rsidRPr="00C305A0" w:rsidRDefault="00F34B31" w:rsidP="00F34B31">
      <w:pPr>
        <w:keepLines/>
        <w:ind w:left="-144" w:right="-144"/>
        <w:jc w:val="center"/>
        <w:rPr>
          <w:b/>
          <w:sz w:val="28"/>
          <w:szCs w:val="28"/>
        </w:rPr>
      </w:pPr>
    </w:p>
    <w:p w14:paraId="618329BA" w14:textId="77777777" w:rsidR="00F34B31" w:rsidRPr="00C305A0" w:rsidRDefault="00F34B31" w:rsidP="00F34B31">
      <w:pPr>
        <w:keepLines/>
        <w:ind w:left="-144" w:right="-144"/>
        <w:rPr>
          <w:b/>
        </w:rPr>
      </w:pPr>
      <w:r w:rsidRPr="00C305A0">
        <w:rPr>
          <w:b/>
        </w:rPr>
        <w:t>SCOPE OF EVALUATION</w:t>
      </w:r>
    </w:p>
    <w:p w14:paraId="7FE4BE2D" w14:textId="77777777" w:rsidR="00F34B31" w:rsidRDefault="00F34B31" w:rsidP="00F34B31">
      <w:pPr>
        <w:keepLines/>
        <w:ind w:left="-144" w:right="-144"/>
        <w:rPr>
          <w:sz w:val="28"/>
          <w:szCs w:val="28"/>
        </w:rPr>
      </w:pPr>
    </w:p>
    <w:tbl>
      <w:tblPr>
        <w:tblW w:w="9405" w:type="dxa"/>
        <w:jc w:val="center"/>
        <w:tblLayout w:type="fixed"/>
        <w:tblCellMar>
          <w:left w:w="141" w:type="dxa"/>
          <w:right w:w="141" w:type="dxa"/>
        </w:tblCellMar>
        <w:tblLook w:val="04A0" w:firstRow="1" w:lastRow="0" w:firstColumn="1" w:lastColumn="0" w:noHBand="0" w:noVBand="1"/>
      </w:tblPr>
      <w:tblGrid>
        <w:gridCol w:w="3585"/>
        <w:gridCol w:w="5820"/>
      </w:tblGrid>
      <w:tr w:rsidR="00F34B31" w:rsidRPr="00C305A0" w14:paraId="6B3ED41B" w14:textId="77777777" w:rsidTr="00594F85">
        <w:trPr>
          <w:trHeight w:val="393"/>
          <w:jc w:val="center"/>
        </w:trPr>
        <w:tc>
          <w:tcPr>
            <w:tcW w:w="9405" w:type="dxa"/>
            <w:gridSpan w:val="2"/>
            <w:tcBorders>
              <w:top w:val="single" w:sz="12" w:space="0" w:color="000000"/>
              <w:left w:val="single" w:sz="12" w:space="0" w:color="000000"/>
              <w:bottom w:val="single" w:sz="8" w:space="0" w:color="000000"/>
              <w:right w:val="single" w:sz="12" w:space="0" w:color="000000"/>
            </w:tcBorders>
            <w:shd w:val="clear" w:color="auto" w:fill="auto"/>
            <w:vAlign w:val="center"/>
          </w:tcPr>
          <w:p w14:paraId="0560BCFC" w14:textId="77777777" w:rsidR="00F34B31" w:rsidRPr="00866034" w:rsidRDefault="00F34B31" w:rsidP="00C305A0">
            <w:pPr>
              <w:jc w:val="center"/>
              <w:rPr>
                <w:sz w:val="20"/>
                <w:szCs w:val="20"/>
              </w:rPr>
            </w:pPr>
            <w:r w:rsidRPr="00866034">
              <w:rPr>
                <w:b/>
                <w:sz w:val="20"/>
                <w:szCs w:val="20"/>
              </w:rPr>
              <w:t>SCOPE OF EVALUATION</w:t>
            </w:r>
          </w:p>
        </w:tc>
      </w:tr>
      <w:tr w:rsidR="00F34B31" w:rsidRPr="00C305A0" w14:paraId="536F20B5" w14:textId="77777777" w:rsidTr="00866034">
        <w:trPr>
          <w:trHeight w:val="511"/>
          <w:jc w:val="center"/>
        </w:trPr>
        <w:tc>
          <w:tcPr>
            <w:tcW w:w="3585" w:type="dxa"/>
            <w:tcBorders>
              <w:top w:val="single" w:sz="8" w:space="0" w:color="000000"/>
              <w:left w:val="single" w:sz="12" w:space="0" w:color="000000"/>
              <w:bottom w:val="single" w:sz="8" w:space="0" w:color="000000"/>
              <w:right w:val="single" w:sz="6" w:space="0" w:color="FFFFFF"/>
            </w:tcBorders>
            <w:shd w:val="clear" w:color="auto" w:fill="auto"/>
          </w:tcPr>
          <w:p w14:paraId="645BF15D" w14:textId="77777777" w:rsidR="00F34B31" w:rsidRPr="00866034" w:rsidRDefault="00F34B31" w:rsidP="00F34B31">
            <w:pPr>
              <w:spacing w:line="175" w:lineRule="exact"/>
              <w:rPr>
                <w:sz w:val="20"/>
                <w:szCs w:val="20"/>
              </w:rPr>
            </w:pPr>
          </w:p>
          <w:p w14:paraId="364769CF" w14:textId="77777777" w:rsidR="00F34B31" w:rsidRPr="00866034" w:rsidRDefault="00F34B31" w:rsidP="00F34B31">
            <w:pPr>
              <w:rPr>
                <w:sz w:val="20"/>
                <w:szCs w:val="20"/>
              </w:rPr>
            </w:pPr>
            <w:r w:rsidRPr="00866034">
              <w:rPr>
                <w:b/>
                <w:sz w:val="20"/>
                <w:szCs w:val="20"/>
              </w:rPr>
              <w:t>TIME PERIOD REVIEWED</w:t>
            </w:r>
          </w:p>
        </w:tc>
        <w:tc>
          <w:tcPr>
            <w:tcW w:w="5820" w:type="dxa"/>
            <w:tcBorders>
              <w:top w:val="single" w:sz="8" w:space="0" w:color="000000"/>
              <w:left w:val="single" w:sz="6" w:space="0" w:color="000000"/>
              <w:bottom w:val="single" w:sz="8" w:space="0" w:color="000000"/>
              <w:right w:val="single" w:sz="12" w:space="0" w:color="000000"/>
            </w:tcBorders>
            <w:shd w:val="clear" w:color="auto" w:fill="auto"/>
          </w:tcPr>
          <w:p w14:paraId="6CB2E8B0" w14:textId="77777777" w:rsidR="00F34B31" w:rsidRPr="00866034" w:rsidRDefault="00F34B31" w:rsidP="00F34B31">
            <w:pPr>
              <w:spacing w:line="175" w:lineRule="exact"/>
              <w:rPr>
                <w:sz w:val="20"/>
                <w:szCs w:val="20"/>
              </w:rPr>
            </w:pPr>
          </w:p>
          <w:p w14:paraId="26959483" w14:textId="5CB0FAF4" w:rsidR="00F34B31" w:rsidRPr="00866034" w:rsidRDefault="00340E78" w:rsidP="00F34B31">
            <w:pPr>
              <w:rPr>
                <w:sz w:val="20"/>
                <w:szCs w:val="20"/>
              </w:rPr>
            </w:pPr>
            <w:r w:rsidRPr="00866034">
              <w:rPr>
                <w:sz w:val="20"/>
                <w:szCs w:val="20"/>
              </w:rPr>
              <w:t>June 19, 2017 – December 7, 2020</w:t>
            </w:r>
          </w:p>
        </w:tc>
      </w:tr>
      <w:tr w:rsidR="00866034" w:rsidRPr="00C305A0" w14:paraId="554E2278" w14:textId="77777777" w:rsidTr="00866034">
        <w:trPr>
          <w:trHeight w:val="394"/>
          <w:jc w:val="center"/>
        </w:trPr>
        <w:tc>
          <w:tcPr>
            <w:tcW w:w="3585" w:type="dxa"/>
            <w:tcBorders>
              <w:top w:val="single" w:sz="8" w:space="0" w:color="000000"/>
              <w:left w:val="single" w:sz="12" w:space="0" w:color="000000"/>
              <w:bottom w:val="single" w:sz="8" w:space="0" w:color="000000"/>
              <w:right w:val="single" w:sz="8" w:space="0" w:color="000000"/>
            </w:tcBorders>
            <w:shd w:val="clear" w:color="auto" w:fill="auto"/>
          </w:tcPr>
          <w:p w14:paraId="6946A5A7" w14:textId="77777777" w:rsidR="00866034" w:rsidRPr="00866034" w:rsidRDefault="00866034" w:rsidP="00F34B31">
            <w:pPr>
              <w:spacing w:line="175" w:lineRule="exact"/>
              <w:rPr>
                <w:b/>
                <w:sz w:val="20"/>
                <w:szCs w:val="20"/>
              </w:rPr>
            </w:pPr>
          </w:p>
          <w:p w14:paraId="564DF911" w14:textId="77777777" w:rsidR="00866034" w:rsidRPr="00866034" w:rsidRDefault="00866034" w:rsidP="00F34B31">
            <w:pPr>
              <w:rPr>
                <w:b/>
                <w:sz w:val="20"/>
                <w:szCs w:val="20"/>
              </w:rPr>
            </w:pPr>
            <w:r w:rsidRPr="00866034">
              <w:rPr>
                <w:b/>
                <w:sz w:val="20"/>
                <w:szCs w:val="20"/>
              </w:rPr>
              <w:t xml:space="preserve">FINANCIAL INSTITUTION </w:t>
            </w:r>
          </w:p>
        </w:tc>
        <w:tc>
          <w:tcPr>
            <w:tcW w:w="5820" w:type="dxa"/>
            <w:tcBorders>
              <w:top w:val="single" w:sz="8" w:space="0" w:color="000000"/>
              <w:left w:val="single" w:sz="8" w:space="0" w:color="000000"/>
              <w:bottom w:val="single" w:sz="8" w:space="0" w:color="000000"/>
              <w:right w:val="single" w:sz="12" w:space="0" w:color="000000"/>
            </w:tcBorders>
            <w:shd w:val="clear" w:color="auto" w:fill="auto"/>
            <w:vAlign w:val="center"/>
          </w:tcPr>
          <w:p w14:paraId="0694AAEB" w14:textId="77777777" w:rsidR="00866034" w:rsidRPr="00866034" w:rsidRDefault="00866034" w:rsidP="00866034">
            <w:pPr>
              <w:spacing w:line="175" w:lineRule="exact"/>
              <w:rPr>
                <w:b/>
                <w:sz w:val="20"/>
                <w:szCs w:val="20"/>
              </w:rPr>
            </w:pPr>
          </w:p>
          <w:p w14:paraId="248860F5" w14:textId="41A07FAA" w:rsidR="00866034" w:rsidRPr="00866034" w:rsidRDefault="00866034" w:rsidP="00866034">
            <w:pPr>
              <w:spacing w:line="175" w:lineRule="exact"/>
              <w:rPr>
                <w:sz w:val="20"/>
                <w:szCs w:val="20"/>
              </w:rPr>
            </w:pPr>
            <w:r w:rsidRPr="00866034">
              <w:rPr>
                <w:sz w:val="20"/>
                <w:szCs w:val="20"/>
              </w:rPr>
              <w:t>East Boston Savings Bank</w:t>
            </w:r>
          </w:p>
          <w:p w14:paraId="1EFC6F7F" w14:textId="37CB6608" w:rsidR="00866034" w:rsidRPr="00866034" w:rsidRDefault="00866034" w:rsidP="00866034">
            <w:pPr>
              <w:rPr>
                <w:b/>
                <w:sz w:val="20"/>
                <w:szCs w:val="20"/>
              </w:rPr>
            </w:pPr>
          </w:p>
        </w:tc>
      </w:tr>
      <w:tr w:rsidR="00866034" w:rsidRPr="00866034" w14:paraId="66EC0A8F" w14:textId="77777777" w:rsidTr="00866034">
        <w:trPr>
          <w:trHeight w:val="484"/>
          <w:jc w:val="center"/>
        </w:trPr>
        <w:tc>
          <w:tcPr>
            <w:tcW w:w="3585" w:type="dxa"/>
            <w:tcBorders>
              <w:top w:val="single" w:sz="8" w:space="0" w:color="000000"/>
              <w:left w:val="single" w:sz="12" w:space="0" w:color="000000"/>
              <w:bottom w:val="single" w:sz="8" w:space="0" w:color="000000"/>
              <w:right w:val="single" w:sz="8" w:space="0" w:color="000000"/>
            </w:tcBorders>
            <w:shd w:val="clear" w:color="auto" w:fill="auto"/>
            <w:vAlign w:val="center"/>
          </w:tcPr>
          <w:p w14:paraId="318D2C70" w14:textId="29432532" w:rsidR="00866034" w:rsidRPr="00866034" w:rsidRDefault="00866034" w:rsidP="00594F85">
            <w:pPr>
              <w:spacing w:line="175" w:lineRule="exact"/>
              <w:rPr>
                <w:b/>
                <w:sz w:val="20"/>
                <w:szCs w:val="20"/>
              </w:rPr>
            </w:pPr>
            <w:r w:rsidRPr="00866034">
              <w:rPr>
                <w:b/>
                <w:sz w:val="20"/>
                <w:szCs w:val="20"/>
              </w:rPr>
              <w:t>PRODUCTS REVIEWED</w:t>
            </w:r>
          </w:p>
        </w:tc>
        <w:tc>
          <w:tcPr>
            <w:tcW w:w="5820" w:type="dxa"/>
            <w:tcBorders>
              <w:top w:val="single" w:sz="8" w:space="0" w:color="000000"/>
              <w:left w:val="single" w:sz="8" w:space="0" w:color="000000"/>
              <w:bottom w:val="single" w:sz="8" w:space="0" w:color="000000"/>
              <w:right w:val="single" w:sz="12" w:space="0" w:color="000000"/>
            </w:tcBorders>
            <w:shd w:val="clear" w:color="auto" w:fill="auto"/>
            <w:vAlign w:val="center"/>
          </w:tcPr>
          <w:p w14:paraId="638E58A8" w14:textId="1021E8D3" w:rsidR="00866034" w:rsidRPr="00866034" w:rsidRDefault="00B218FB" w:rsidP="00866034">
            <w:pPr>
              <w:spacing w:line="175" w:lineRule="exact"/>
              <w:rPr>
                <w:sz w:val="20"/>
                <w:szCs w:val="20"/>
              </w:rPr>
            </w:pPr>
            <w:r>
              <w:rPr>
                <w:sz w:val="20"/>
                <w:szCs w:val="20"/>
              </w:rPr>
              <w:t xml:space="preserve">2017, </w:t>
            </w:r>
            <w:r w:rsidR="00866034" w:rsidRPr="00866034">
              <w:rPr>
                <w:sz w:val="20"/>
                <w:szCs w:val="20"/>
              </w:rPr>
              <w:t>2018</w:t>
            </w:r>
            <w:r>
              <w:rPr>
                <w:sz w:val="20"/>
                <w:szCs w:val="20"/>
              </w:rPr>
              <w:t>,</w:t>
            </w:r>
            <w:r w:rsidR="00866034" w:rsidRPr="00866034">
              <w:rPr>
                <w:sz w:val="20"/>
                <w:szCs w:val="20"/>
              </w:rPr>
              <w:t xml:space="preserve"> and 2019 home mortgage and small business originations</w:t>
            </w:r>
          </w:p>
        </w:tc>
      </w:tr>
    </w:tbl>
    <w:p w14:paraId="70927940" w14:textId="77777777" w:rsidR="00F34B31" w:rsidRPr="00F34B31" w:rsidRDefault="00F34B31" w:rsidP="00F34B31">
      <w:pPr>
        <w:keepLines/>
        <w:ind w:left="-144" w:right="-144"/>
        <w:rPr>
          <w:sz w:val="28"/>
          <w:szCs w:val="28"/>
        </w:rPr>
      </w:pPr>
    </w:p>
    <w:tbl>
      <w:tblPr>
        <w:tblW w:w="5000" w:type="pct"/>
        <w:jc w:val="center"/>
        <w:tblCellMar>
          <w:left w:w="141" w:type="dxa"/>
          <w:right w:w="141" w:type="dxa"/>
        </w:tblCellMar>
        <w:tblLook w:val="04A0" w:firstRow="1" w:lastRow="0" w:firstColumn="1" w:lastColumn="0" w:noHBand="0" w:noVBand="1"/>
      </w:tblPr>
      <w:tblGrid>
        <w:gridCol w:w="3528"/>
        <w:gridCol w:w="2036"/>
        <w:gridCol w:w="1995"/>
        <w:gridCol w:w="1771"/>
      </w:tblGrid>
      <w:tr w:rsidR="00866034" w:rsidRPr="00866034" w14:paraId="24DD0449" w14:textId="77777777" w:rsidTr="001F64B6">
        <w:trPr>
          <w:trHeight w:val="510"/>
          <w:jc w:val="center"/>
        </w:trPr>
        <w:tc>
          <w:tcPr>
            <w:tcW w:w="5000" w:type="pct"/>
            <w:gridSpan w:val="4"/>
            <w:tcBorders>
              <w:top w:val="single" w:sz="12" w:space="0" w:color="000000"/>
              <w:left w:val="single" w:sz="12" w:space="0" w:color="000000"/>
              <w:bottom w:val="single" w:sz="8" w:space="0" w:color="000000"/>
              <w:right w:val="single" w:sz="12" w:space="0" w:color="000000"/>
            </w:tcBorders>
            <w:vAlign w:val="center"/>
          </w:tcPr>
          <w:p w14:paraId="507EA06B" w14:textId="77777777" w:rsidR="00866034" w:rsidRPr="00866034" w:rsidRDefault="00866034" w:rsidP="00866034">
            <w:pPr>
              <w:jc w:val="center"/>
              <w:rPr>
                <w:b/>
                <w:sz w:val="20"/>
                <w:szCs w:val="20"/>
              </w:rPr>
            </w:pPr>
            <w:r w:rsidRPr="00866034">
              <w:rPr>
                <w:b/>
                <w:sz w:val="20"/>
                <w:szCs w:val="20"/>
              </w:rPr>
              <w:t>LIST OF ASSESSMENT AREAS AND TYPE OF EVALUATION</w:t>
            </w:r>
          </w:p>
        </w:tc>
      </w:tr>
      <w:tr w:rsidR="00866034" w:rsidRPr="00866034" w14:paraId="60DDEF56" w14:textId="77777777" w:rsidTr="00522B05">
        <w:trPr>
          <w:trHeight w:val="601"/>
          <w:jc w:val="center"/>
        </w:trPr>
        <w:tc>
          <w:tcPr>
            <w:tcW w:w="1891" w:type="pct"/>
            <w:tcBorders>
              <w:top w:val="single" w:sz="8" w:space="0" w:color="000000"/>
              <w:left w:val="single" w:sz="12" w:space="0" w:color="000000"/>
              <w:bottom w:val="single" w:sz="8" w:space="0" w:color="000000"/>
              <w:right w:val="single" w:sz="6" w:space="0" w:color="FFFFFF"/>
            </w:tcBorders>
            <w:vAlign w:val="center"/>
          </w:tcPr>
          <w:p w14:paraId="4DFA2F13" w14:textId="77777777" w:rsidR="00866034" w:rsidRPr="00866034" w:rsidRDefault="00866034" w:rsidP="00866034">
            <w:pPr>
              <w:rPr>
                <w:b/>
                <w:sz w:val="20"/>
                <w:szCs w:val="20"/>
              </w:rPr>
            </w:pPr>
            <w:r w:rsidRPr="00866034">
              <w:rPr>
                <w:b/>
                <w:sz w:val="20"/>
                <w:szCs w:val="20"/>
              </w:rPr>
              <w:t>ASSESSMENT AREA</w:t>
            </w:r>
          </w:p>
        </w:tc>
        <w:tc>
          <w:tcPr>
            <w:tcW w:w="1091" w:type="pct"/>
            <w:tcBorders>
              <w:top w:val="single" w:sz="8" w:space="0" w:color="000000"/>
              <w:left w:val="single" w:sz="6" w:space="0" w:color="000000"/>
              <w:bottom w:val="single" w:sz="8" w:space="0" w:color="000000"/>
              <w:right w:val="single" w:sz="6" w:space="0" w:color="FFFFFF"/>
            </w:tcBorders>
            <w:vAlign w:val="center"/>
          </w:tcPr>
          <w:p w14:paraId="11ECBB7B" w14:textId="77777777" w:rsidR="00866034" w:rsidRPr="00866034" w:rsidRDefault="00866034" w:rsidP="00866034">
            <w:pPr>
              <w:jc w:val="center"/>
              <w:rPr>
                <w:b/>
                <w:sz w:val="20"/>
                <w:szCs w:val="20"/>
              </w:rPr>
            </w:pPr>
            <w:r w:rsidRPr="00866034">
              <w:rPr>
                <w:b/>
                <w:sz w:val="20"/>
                <w:szCs w:val="20"/>
              </w:rPr>
              <w:t>TYPE OF EXAMINATION</w:t>
            </w:r>
          </w:p>
        </w:tc>
        <w:tc>
          <w:tcPr>
            <w:tcW w:w="1069" w:type="pct"/>
            <w:tcBorders>
              <w:top w:val="single" w:sz="8" w:space="0" w:color="000000"/>
              <w:left w:val="single" w:sz="6" w:space="0" w:color="000000"/>
              <w:bottom w:val="single" w:sz="8" w:space="0" w:color="000000"/>
              <w:right w:val="single" w:sz="8" w:space="0" w:color="000000"/>
            </w:tcBorders>
            <w:vAlign w:val="center"/>
          </w:tcPr>
          <w:p w14:paraId="41E10D6A" w14:textId="77777777" w:rsidR="00866034" w:rsidRPr="00866034" w:rsidRDefault="00866034" w:rsidP="00866034">
            <w:pPr>
              <w:jc w:val="center"/>
              <w:rPr>
                <w:b/>
                <w:sz w:val="20"/>
                <w:szCs w:val="20"/>
              </w:rPr>
            </w:pPr>
            <w:r w:rsidRPr="00866034">
              <w:rPr>
                <w:b/>
                <w:sz w:val="20"/>
                <w:szCs w:val="20"/>
              </w:rPr>
              <w:t>BRANCHES</w:t>
            </w:r>
          </w:p>
          <w:p w14:paraId="71CC6A08" w14:textId="77777777" w:rsidR="00866034" w:rsidRPr="00866034" w:rsidRDefault="00866034" w:rsidP="00866034">
            <w:pPr>
              <w:jc w:val="center"/>
              <w:rPr>
                <w:b/>
                <w:sz w:val="20"/>
                <w:szCs w:val="20"/>
              </w:rPr>
            </w:pPr>
            <w:r w:rsidRPr="00866034">
              <w:rPr>
                <w:b/>
                <w:sz w:val="20"/>
                <w:szCs w:val="20"/>
              </w:rPr>
              <w:t>VISITED</w:t>
            </w:r>
          </w:p>
        </w:tc>
        <w:tc>
          <w:tcPr>
            <w:tcW w:w="949" w:type="pct"/>
            <w:tcBorders>
              <w:top w:val="single" w:sz="8" w:space="0" w:color="000000"/>
              <w:left w:val="single" w:sz="8" w:space="0" w:color="000000"/>
              <w:bottom w:val="single" w:sz="8" w:space="0" w:color="000000"/>
              <w:right w:val="single" w:sz="12" w:space="0" w:color="000000"/>
            </w:tcBorders>
            <w:vAlign w:val="center"/>
          </w:tcPr>
          <w:p w14:paraId="4A0C9C88" w14:textId="77777777" w:rsidR="00866034" w:rsidRPr="00866034" w:rsidRDefault="00866034" w:rsidP="00866034">
            <w:pPr>
              <w:jc w:val="center"/>
              <w:rPr>
                <w:b/>
                <w:sz w:val="20"/>
                <w:szCs w:val="20"/>
              </w:rPr>
            </w:pPr>
            <w:r w:rsidRPr="00866034">
              <w:rPr>
                <w:b/>
                <w:sz w:val="20"/>
                <w:szCs w:val="20"/>
              </w:rPr>
              <w:t>OTHER INFORMATION</w:t>
            </w:r>
          </w:p>
        </w:tc>
      </w:tr>
      <w:tr w:rsidR="00866034" w:rsidRPr="00866034" w14:paraId="379393BA" w14:textId="77777777" w:rsidTr="00635E7F">
        <w:trPr>
          <w:trHeight w:val="763"/>
          <w:jc w:val="center"/>
        </w:trPr>
        <w:tc>
          <w:tcPr>
            <w:tcW w:w="1891" w:type="pct"/>
            <w:tcBorders>
              <w:top w:val="single" w:sz="8" w:space="0" w:color="000000"/>
              <w:left w:val="single" w:sz="12" w:space="0" w:color="000000"/>
              <w:bottom w:val="single" w:sz="8" w:space="0" w:color="000000"/>
              <w:right w:val="single" w:sz="6" w:space="0" w:color="FFFFFF"/>
            </w:tcBorders>
          </w:tcPr>
          <w:p w14:paraId="3D339F98" w14:textId="6DD14EBA" w:rsidR="00866034" w:rsidRPr="00866034" w:rsidRDefault="00866034" w:rsidP="00522B05">
            <w:pPr>
              <w:spacing w:after="348"/>
              <w:jc w:val="center"/>
              <w:rPr>
                <w:sz w:val="20"/>
                <w:szCs w:val="20"/>
              </w:rPr>
            </w:pPr>
            <w:r w:rsidRPr="00866034">
              <w:rPr>
                <w:sz w:val="20"/>
                <w:szCs w:val="20"/>
              </w:rPr>
              <w:t>Boston-Cambridge-Newton, MA-NH Multistate MSA</w:t>
            </w:r>
          </w:p>
        </w:tc>
        <w:tc>
          <w:tcPr>
            <w:tcW w:w="1091" w:type="pct"/>
            <w:tcBorders>
              <w:top w:val="single" w:sz="8" w:space="0" w:color="000000"/>
              <w:left w:val="single" w:sz="6" w:space="0" w:color="000000"/>
              <w:bottom w:val="single" w:sz="8" w:space="0" w:color="000000"/>
              <w:right w:val="single" w:sz="6" w:space="0" w:color="FFFFFF"/>
            </w:tcBorders>
          </w:tcPr>
          <w:p w14:paraId="007E4C89" w14:textId="77777777" w:rsidR="00866034" w:rsidRPr="00866034" w:rsidRDefault="00866034" w:rsidP="00522B05">
            <w:pPr>
              <w:spacing w:after="348"/>
              <w:jc w:val="center"/>
              <w:rPr>
                <w:sz w:val="20"/>
                <w:szCs w:val="20"/>
              </w:rPr>
            </w:pPr>
            <w:r w:rsidRPr="00866034">
              <w:rPr>
                <w:sz w:val="20"/>
                <w:szCs w:val="20"/>
              </w:rPr>
              <w:t>Full scope</w:t>
            </w:r>
          </w:p>
        </w:tc>
        <w:tc>
          <w:tcPr>
            <w:tcW w:w="1069" w:type="pct"/>
            <w:tcBorders>
              <w:top w:val="single" w:sz="8" w:space="0" w:color="000000"/>
              <w:left w:val="single" w:sz="6" w:space="0" w:color="000000"/>
              <w:bottom w:val="single" w:sz="8" w:space="0" w:color="000000"/>
              <w:right w:val="single" w:sz="8" w:space="0" w:color="000000"/>
            </w:tcBorders>
          </w:tcPr>
          <w:p w14:paraId="084ACDBC" w14:textId="77777777" w:rsidR="00866034" w:rsidRPr="00866034" w:rsidRDefault="00866034" w:rsidP="00522B05">
            <w:pPr>
              <w:spacing w:after="348"/>
              <w:jc w:val="center"/>
              <w:rPr>
                <w:sz w:val="20"/>
                <w:szCs w:val="20"/>
              </w:rPr>
            </w:pPr>
            <w:r w:rsidRPr="00866034">
              <w:rPr>
                <w:sz w:val="20"/>
                <w:szCs w:val="20"/>
              </w:rPr>
              <w:t>None</w:t>
            </w:r>
          </w:p>
        </w:tc>
        <w:tc>
          <w:tcPr>
            <w:tcW w:w="949" w:type="pct"/>
            <w:tcBorders>
              <w:top w:val="single" w:sz="8" w:space="0" w:color="000000"/>
              <w:left w:val="single" w:sz="8" w:space="0" w:color="000000"/>
              <w:bottom w:val="single" w:sz="8" w:space="0" w:color="000000"/>
              <w:right w:val="single" w:sz="12" w:space="0" w:color="000000"/>
            </w:tcBorders>
            <w:vAlign w:val="center"/>
          </w:tcPr>
          <w:p w14:paraId="38C34DFC" w14:textId="77777777" w:rsidR="00866034" w:rsidRPr="00866034" w:rsidRDefault="00866034" w:rsidP="00866034">
            <w:pPr>
              <w:spacing w:after="348"/>
              <w:rPr>
                <w:sz w:val="20"/>
                <w:szCs w:val="20"/>
              </w:rPr>
            </w:pPr>
          </w:p>
        </w:tc>
      </w:tr>
    </w:tbl>
    <w:p w14:paraId="4301A5C9" w14:textId="2DA228AA" w:rsidR="00B86059" w:rsidRDefault="00B86059" w:rsidP="00D3354F">
      <w:pPr>
        <w:jc w:val="center"/>
        <w:rPr>
          <w:i/>
          <w:iCs/>
        </w:rPr>
      </w:pPr>
    </w:p>
    <w:p w14:paraId="40FEC3EB" w14:textId="77777777" w:rsidR="00522B05" w:rsidRDefault="00522B05" w:rsidP="00D3354F">
      <w:pPr>
        <w:jc w:val="center"/>
        <w:rPr>
          <w:i/>
          <w:iCs/>
        </w:rPr>
      </w:pPr>
    </w:p>
    <w:p w14:paraId="157E5ADD" w14:textId="77777777" w:rsidR="00340E78" w:rsidRPr="00340E78" w:rsidRDefault="00340E78" w:rsidP="00340E78">
      <w:pPr>
        <w:tabs>
          <w:tab w:val="center" w:pos="4680"/>
        </w:tabs>
        <w:rPr>
          <w:b/>
          <w:caps/>
          <w:spacing w:val="-4"/>
        </w:rPr>
      </w:pPr>
      <w:r w:rsidRPr="00340E78">
        <w:rPr>
          <w:b/>
          <w:caps/>
          <w:spacing w:val="-4"/>
        </w:rPr>
        <w:t>Fair Lending Policies and Procedures</w:t>
      </w:r>
    </w:p>
    <w:p w14:paraId="2B7085DD" w14:textId="77777777" w:rsidR="00340E78" w:rsidRPr="00340E78" w:rsidRDefault="00340E78" w:rsidP="00340E78">
      <w:pPr>
        <w:spacing w:after="6" w:line="259" w:lineRule="auto"/>
        <w:rPr>
          <w:color w:val="000000"/>
          <w:szCs w:val="22"/>
        </w:rPr>
      </w:pPr>
    </w:p>
    <w:p w14:paraId="16CC2965" w14:textId="4759C42F" w:rsidR="00340E78" w:rsidRPr="00340E78" w:rsidRDefault="00340E78" w:rsidP="0021207D">
      <w:pPr>
        <w:ind w:left="10" w:hanging="10"/>
        <w:rPr>
          <w:color w:val="000000"/>
        </w:rPr>
      </w:pPr>
      <w:r w:rsidRPr="00340E78">
        <w:rPr>
          <w:color w:val="000000"/>
        </w:rPr>
        <w:t xml:space="preserve">The Division of Banks provides comments regarding the institution’s fair lending policies and procedures pursuant to Regulatory Bulletin 1.3-106.  A review of the bank’s public comment file indicated the bank received no complaints pertaining to the institution’s CRA performance since the previous examination.  </w:t>
      </w:r>
      <w:r w:rsidR="0021207D">
        <w:rPr>
          <w:color w:val="000000"/>
        </w:rPr>
        <w:t>Examiners conducted t</w:t>
      </w:r>
      <w:r w:rsidRPr="00340E78">
        <w:rPr>
          <w:color w:val="000000"/>
        </w:rPr>
        <w:t xml:space="preserve">he fair lending </w:t>
      </w:r>
      <w:r w:rsidR="005C7DCF" w:rsidRPr="00340E78">
        <w:rPr>
          <w:color w:val="000000"/>
        </w:rPr>
        <w:t>review in</w:t>
      </w:r>
      <w:r w:rsidRPr="00340E78">
        <w:rPr>
          <w:color w:val="000000"/>
        </w:rPr>
        <w:t xml:space="preserve"> accordance with the Federal Financial Institutions Examination Council (FFIEC) Interagency Fair Lending Examination Procedures.  Based on these procedures, </w:t>
      </w:r>
      <w:r w:rsidR="0021207D">
        <w:rPr>
          <w:color w:val="000000"/>
        </w:rPr>
        <w:t xml:space="preserve">examiners did not </w:t>
      </w:r>
      <w:r w:rsidRPr="00340E78">
        <w:rPr>
          <w:color w:val="000000"/>
        </w:rPr>
        <w:t>no</w:t>
      </w:r>
      <w:r w:rsidR="0021207D">
        <w:rPr>
          <w:color w:val="000000"/>
        </w:rPr>
        <w:t>te</w:t>
      </w:r>
      <w:r w:rsidRPr="00340E78">
        <w:rPr>
          <w:color w:val="000000"/>
        </w:rPr>
        <w:t xml:space="preserve"> </w:t>
      </w:r>
      <w:r w:rsidR="0021207D">
        <w:rPr>
          <w:color w:val="000000"/>
        </w:rPr>
        <w:t xml:space="preserve">any </w:t>
      </w:r>
      <w:r w:rsidRPr="00340E78">
        <w:rPr>
          <w:color w:val="000000"/>
        </w:rPr>
        <w:t>evidence of disparate treatment</w:t>
      </w:r>
      <w:r w:rsidR="0021207D">
        <w:rPr>
          <w:color w:val="000000"/>
        </w:rPr>
        <w:t>.</w:t>
      </w:r>
    </w:p>
    <w:p w14:paraId="315CC911" w14:textId="77777777" w:rsidR="00340E78" w:rsidRPr="00340E78" w:rsidRDefault="00340E78">
      <w:pPr>
        <w:tabs>
          <w:tab w:val="center" w:pos="4680"/>
        </w:tabs>
        <w:ind w:left="10" w:hanging="10"/>
        <w:jc w:val="both"/>
        <w:rPr>
          <w:color w:val="000000"/>
          <w:spacing w:val="-4"/>
        </w:rPr>
      </w:pPr>
    </w:p>
    <w:p w14:paraId="4F9A6A4D" w14:textId="77777777" w:rsidR="00340E78" w:rsidRPr="00340E78" w:rsidRDefault="00340E78" w:rsidP="005379B0">
      <w:pPr>
        <w:spacing w:after="4"/>
        <w:ind w:left="10" w:hanging="10"/>
        <w:rPr>
          <w:b/>
          <w:i/>
          <w:color w:val="000000"/>
        </w:rPr>
      </w:pPr>
      <w:r w:rsidRPr="00340E78">
        <w:rPr>
          <w:b/>
          <w:i/>
          <w:color w:val="000000"/>
        </w:rPr>
        <w:t>Minority Application Flow</w:t>
      </w:r>
    </w:p>
    <w:p w14:paraId="71ECFB5A" w14:textId="77777777" w:rsidR="00340E78" w:rsidRPr="00340E78" w:rsidRDefault="00340E78" w:rsidP="005379B0">
      <w:pPr>
        <w:spacing w:after="4"/>
        <w:ind w:left="10" w:hanging="10"/>
        <w:rPr>
          <w:color w:val="000000"/>
        </w:rPr>
      </w:pPr>
      <w:r w:rsidRPr="00340E78">
        <w:rPr>
          <w:color w:val="000000"/>
        </w:rPr>
        <w:t>Examiners reviewed the bank’s 2018 and 2019 HMDA LARs to determine if the bank’s application flow from different racial and ethnic groups reflected the assessment area’s demographics.</w:t>
      </w:r>
    </w:p>
    <w:p w14:paraId="2B739918" w14:textId="77777777" w:rsidR="00340E78" w:rsidRPr="00340E78" w:rsidRDefault="00340E78" w:rsidP="005379B0">
      <w:pPr>
        <w:spacing w:after="4"/>
        <w:ind w:left="10" w:hanging="10"/>
        <w:rPr>
          <w:color w:val="000000"/>
        </w:rPr>
      </w:pPr>
    </w:p>
    <w:p w14:paraId="0CC4E8B1" w14:textId="77777777" w:rsidR="00340E78" w:rsidRPr="00340E78" w:rsidRDefault="00340E78" w:rsidP="005379B0">
      <w:pPr>
        <w:spacing w:after="4"/>
        <w:ind w:left="10" w:hanging="10"/>
        <w:rPr>
          <w:color w:val="000000"/>
        </w:rPr>
      </w:pPr>
      <w:r w:rsidRPr="00340E78">
        <w:rPr>
          <w:color w:val="000000"/>
        </w:rPr>
        <w:t>According to 2015 ACS data, the bank’s assessment area contains a population of 1,630,389 individuals, of which 40.8 percent are minorities.  The assessment area’s minority population is 12.9 percent Black/African American, 9.0 percent Asian/Pacific Islander, 0.1 percent American Indian, 15.6 percent Hispanic or Latino, and 3.1 percent Other.</w:t>
      </w:r>
    </w:p>
    <w:p w14:paraId="791F7FE6" w14:textId="77777777" w:rsidR="00340E78" w:rsidRPr="00340E78" w:rsidRDefault="00340E78" w:rsidP="005379B0">
      <w:pPr>
        <w:spacing w:after="4"/>
        <w:ind w:left="10" w:hanging="10"/>
        <w:rPr>
          <w:color w:val="000000"/>
          <w:highlight w:val="yellow"/>
        </w:rPr>
      </w:pPr>
    </w:p>
    <w:p w14:paraId="487AA433" w14:textId="6849F85B" w:rsidR="00340E78" w:rsidRDefault="00340E78" w:rsidP="005379B0">
      <w:pPr>
        <w:spacing w:after="4"/>
        <w:ind w:left="10" w:hanging="10"/>
        <w:rPr>
          <w:color w:val="000000"/>
        </w:rPr>
      </w:pPr>
      <w:r w:rsidRPr="00340E78">
        <w:rPr>
          <w:color w:val="000000"/>
        </w:rPr>
        <w:t>The following table details the bank’s minority application flow and aggregate data in its assessment area.</w:t>
      </w:r>
    </w:p>
    <w:p w14:paraId="78C9AE72" w14:textId="77777777" w:rsidR="00522B05" w:rsidRPr="00340E78" w:rsidRDefault="00522B05" w:rsidP="005379B0">
      <w:pPr>
        <w:spacing w:after="4"/>
        <w:ind w:left="10" w:hanging="10"/>
        <w:rPr>
          <w:color w:val="000000"/>
        </w:rPr>
      </w:pPr>
    </w:p>
    <w:p w14:paraId="23FA05EE" w14:textId="77777777" w:rsidR="00340E78" w:rsidRPr="00340E78" w:rsidRDefault="00340E78" w:rsidP="005379B0">
      <w:pPr>
        <w:spacing w:after="4"/>
        <w:ind w:left="10" w:hanging="10"/>
        <w:rPr>
          <w:color w:val="000000"/>
        </w:rPr>
      </w:pPr>
    </w:p>
    <w:tbl>
      <w:tblPr>
        <w:tblW w:w="87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15"/>
        <w:gridCol w:w="753"/>
        <w:gridCol w:w="979"/>
        <w:gridCol w:w="1168"/>
        <w:gridCol w:w="720"/>
        <w:gridCol w:w="900"/>
        <w:gridCol w:w="1262"/>
      </w:tblGrid>
      <w:tr w:rsidR="00340E78" w:rsidRPr="00340E78" w14:paraId="3D35B4D4" w14:textId="77777777" w:rsidTr="00340E78">
        <w:trPr>
          <w:jc w:val="center"/>
        </w:trPr>
        <w:tc>
          <w:tcPr>
            <w:tcW w:w="8797" w:type="dxa"/>
            <w:gridSpan w:val="7"/>
            <w:tcBorders>
              <w:top w:val="single" w:sz="18" w:space="0" w:color="auto"/>
              <w:left w:val="single" w:sz="18" w:space="0" w:color="auto"/>
              <w:right w:val="single" w:sz="18" w:space="0" w:color="auto"/>
            </w:tcBorders>
          </w:tcPr>
          <w:p w14:paraId="49C2474A" w14:textId="77777777" w:rsidR="00340E78" w:rsidRPr="00340E78" w:rsidRDefault="00340E78" w:rsidP="0021207D">
            <w:pPr>
              <w:ind w:left="10" w:hanging="10"/>
              <w:jc w:val="center"/>
              <w:rPr>
                <w:b/>
                <w:color w:val="000000"/>
                <w:sz w:val="20"/>
                <w:szCs w:val="20"/>
              </w:rPr>
            </w:pPr>
            <w:r w:rsidRPr="00340E78">
              <w:rPr>
                <w:b/>
                <w:color w:val="000000"/>
                <w:sz w:val="20"/>
                <w:szCs w:val="20"/>
              </w:rPr>
              <w:lastRenderedPageBreak/>
              <w:t>MINORITY APPLICATION FLOW</w:t>
            </w:r>
          </w:p>
        </w:tc>
      </w:tr>
      <w:tr w:rsidR="00340E78" w:rsidRPr="00340E78" w14:paraId="754EA8E0" w14:textId="77777777" w:rsidTr="00340E78">
        <w:trPr>
          <w:cantSplit/>
          <w:jc w:val="center"/>
        </w:trPr>
        <w:tc>
          <w:tcPr>
            <w:tcW w:w="3015" w:type="dxa"/>
            <w:vMerge w:val="restart"/>
            <w:tcBorders>
              <w:left w:val="single" w:sz="18" w:space="0" w:color="auto"/>
              <w:right w:val="single" w:sz="6" w:space="0" w:color="auto"/>
            </w:tcBorders>
          </w:tcPr>
          <w:p w14:paraId="506705C7" w14:textId="77777777" w:rsidR="00340E78" w:rsidRPr="00340E78" w:rsidRDefault="00340E78" w:rsidP="0021207D">
            <w:pPr>
              <w:keepNext/>
              <w:tabs>
                <w:tab w:val="left" w:pos="480"/>
                <w:tab w:val="left" w:pos="960"/>
                <w:tab w:val="left" w:pos="6840"/>
              </w:tabs>
              <w:ind w:left="10" w:hanging="10"/>
              <w:jc w:val="both"/>
              <w:outlineLvl w:val="0"/>
              <w:rPr>
                <w:color w:val="000000"/>
                <w:spacing w:val="-3"/>
                <w:sz w:val="20"/>
                <w:szCs w:val="20"/>
              </w:rPr>
            </w:pPr>
          </w:p>
          <w:p w14:paraId="1B557830" w14:textId="77777777" w:rsidR="00340E78" w:rsidRPr="00340E78" w:rsidRDefault="00340E78" w:rsidP="002E7B94">
            <w:pPr>
              <w:ind w:left="10" w:hanging="10"/>
              <w:jc w:val="center"/>
              <w:rPr>
                <w:b/>
                <w:color w:val="000000"/>
                <w:spacing w:val="-3"/>
                <w:sz w:val="20"/>
                <w:szCs w:val="20"/>
              </w:rPr>
            </w:pPr>
            <w:r w:rsidRPr="00340E78">
              <w:rPr>
                <w:b/>
                <w:color w:val="000000"/>
                <w:spacing w:val="-3"/>
                <w:sz w:val="20"/>
                <w:szCs w:val="20"/>
              </w:rPr>
              <w:t>RACE</w:t>
            </w:r>
          </w:p>
        </w:tc>
        <w:tc>
          <w:tcPr>
            <w:tcW w:w="1732" w:type="dxa"/>
            <w:gridSpan w:val="2"/>
            <w:tcBorders>
              <w:left w:val="single" w:sz="6" w:space="0" w:color="auto"/>
              <w:right w:val="single" w:sz="6" w:space="0" w:color="auto"/>
            </w:tcBorders>
          </w:tcPr>
          <w:p w14:paraId="38F09B8F" w14:textId="77777777" w:rsidR="00340E78" w:rsidRPr="00340E78" w:rsidRDefault="00340E78">
            <w:pPr>
              <w:ind w:left="10" w:hanging="10"/>
              <w:jc w:val="center"/>
              <w:rPr>
                <w:b/>
                <w:color w:val="000000"/>
                <w:sz w:val="20"/>
                <w:szCs w:val="20"/>
              </w:rPr>
            </w:pPr>
          </w:p>
          <w:p w14:paraId="018C99CA" w14:textId="77777777" w:rsidR="00340E78" w:rsidRPr="00340E78" w:rsidRDefault="00340E78">
            <w:pPr>
              <w:ind w:left="10" w:hanging="10"/>
              <w:jc w:val="center"/>
              <w:rPr>
                <w:b/>
                <w:color w:val="000000"/>
                <w:sz w:val="20"/>
                <w:szCs w:val="20"/>
              </w:rPr>
            </w:pPr>
            <w:r w:rsidRPr="00340E78">
              <w:rPr>
                <w:b/>
                <w:color w:val="000000"/>
                <w:sz w:val="20"/>
                <w:szCs w:val="20"/>
              </w:rPr>
              <w:t>Bank 2018</w:t>
            </w:r>
          </w:p>
        </w:tc>
        <w:tc>
          <w:tcPr>
            <w:tcW w:w="1168" w:type="dxa"/>
            <w:tcBorders>
              <w:left w:val="single" w:sz="6" w:space="0" w:color="auto"/>
              <w:right w:val="single" w:sz="6" w:space="0" w:color="auto"/>
            </w:tcBorders>
            <w:shd w:val="clear" w:color="auto" w:fill="D9D9D9"/>
          </w:tcPr>
          <w:p w14:paraId="09F48FE3"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2018</w:t>
            </w:r>
          </w:p>
          <w:p w14:paraId="06409F1B"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Aggregate Data</w:t>
            </w:r>
          </w:p>
        </w:tc>
        <w:tc>
          <w:tcPr>
            <w:tcW w:w="1620" w:type="dxa"/>
            <w:gridSpan w:val="2"/>
            <w:tcBorders>
              <w:left w:val="single" w:sz="6" w:space="0" w:color="auto"/>
              <w:right w:val="single" w:sz="4" w:space="0" w:color="auto"/>
            </w:tcBorders>
          </w:tcPr>
          <w:p w14:paraId="78249128" w14:textId="77777777" w:rsidR="00340E78" w:rsidRPr="00340E78" w:rsidRDefault="00340E78">
            <w:pPr>
              <w:ind w:left="10" w:hanging="10"/>
              <w:jc w:val="center"/>
              <w:rPr>
                <w:b/>
                <w:color w:val="000000"/>
                <w:spacing w:val="-3"/>
                <w:sz w:val="20"/>
                <w:szCs w:val="20"/>
              </w:rPr>
            </w:pPr>
          </w:p>
          <w:p w14:paraId="2DE19286"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Bank 2019</w:t>
            </w:r>
          </w:p>
        </w:tc>
        <w:tc>
          <w:tcPr>
            <w:tcW w:w="1262" w:type="dxa"/>
            <w:tcBorders>
              <w:left w:val="single" w:sz="4" w:space="0" w:color="auto"/>
              <w:right w:val="single" w:sz="18" w:space="0" w:color="auto"/>
            </w:tcBorders>
            <w:shd w:val="clear" w:color="auto" w:fill="D9D9D9"/>
          </w:tcPr>
          <w:p w14:paraId="41BED899"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2019</w:t>
            </w:r>
          </w:p>
          <w:p w14:paraId="51884F15"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Aggregate Data</w:t>
            </w:r>
          </w:p>
        </w:tc>
      </w:tr>
      <w:tr w:rsidR="00340E78" w:rsidRPr="00340E78" w14:paraId="768CDC3A" w14:textId="77777777" w:rsidTr="00340E78">
        <w:trPr>
          <w:cantSplit/>
          <w:jc w:val="center"/>
        </w:trPr>
        <w:tc>
          <w:tcPr>
            <w:tcW w:w="3015" w:type="dxa"/>
            <w:vMerge/>
            <w:tcBorders>
              <w:left w:val="single" w:sz="18" w:space="0" w:color="auto"/>
              <w:right w:val="single" w:sz="6" w:space="0" w:color="auto"/>
            </w:tcBorders>
          </w:tcPr>
          <w:p w14:paraId="65B187D1" w14:textId="77777777" w:rsidR="00340E78" w:rsidRPr="00340E78" w:rsidRDefault="00340E78">
            <w:pPr>
              <w:keepNext/>
              <w:tabs>
                <w:tab w:val="left" w:pos="480"/>
                <w:tab w:val="left" w:pos="960"/>
                <w:tab w:val="left" w:pos="6840"/>
              </w:tabs>
              <w:ind w:left="10" w:hanging="10"/>
              <w:jc w:val="both"/>
              <w:outlineLvl w:val="0"/>
              <w:rPr>
                <w:color w:val="FF0000"/>
                <w:spacing w:val="-3"/>
                <w:sz w:val="20"/>
                <w:szCs w:val="20"/>
              </w:rPr>
            </w:pPr>
          </w:p>
        </w:tc>
        <w:tc>
          <w:tcPr>
            <w:tcW w:w="753" w:type="dxa"/>
            <w:tcBorders>
              <w:left w:val="single" w:sz="6" w:space="0" w:color="auto"/>
              <w:right w:val="single" w:sz="6" w:space="0" w:color="auto"/>
            </w:tcBorders>
          </w:tcPr>
          <w:p w14:paraId="66B4533C" w14:textId="77777777" w:rsidR="00340E78" w:rsidRPr="00340E78" w:rsidRDefault="00340E78">
            <w:pPr>
              <w:ind w:left="10" w:hanging="10"/>
              <w:jc w:val="center"/>
              <w:rPr>
                <w:color w:val="000000"/>
                <w:spacing w:val="-3"/>
                <w:sz w:val="20"/>
                <w:szCs w:val="20"/>
              </w:rPr>
            </w:pPr>
            <w:r w:rsidRPr="00340E78">
              <w:rPr>
                <w:color w:val="000000"/>
                <w:spacing w:val="-3"/>
                <w:sz w:val="20"/>
                <w:szCs w:val="20"/>
              </w:rPr>
              <w:t>#</w:t>
            </w:r>
          </w:p>
        </w:tc>
        <w:tc>
          <w:tcPr>
            <w:tcW w:w="979" w:type="dxa"/>
            <w:tcBorders>
              <w:left w:val="single" w:sz="6" w:space="0" w:color="auto"/>
              <w:right w:val="single" w:sz="6" w:space="0" w:color="auto"/>
            </w:tcBorders>
          </w:tcPr>
          <w:p w14:paraId="2EEA1DBC" w14:textId="77777777" w:rsidR="00340E78" w:rsidRPr="00340E78" w:rsidRDefault="00340E78">
            <w:pPr>
              <w:ind w:left="10" w:hanging="10"/>
              <w:jc w:val="center"/>
              <w:rPr>
                <w:color w:val="000000"/>
                <w:spacing w:val="-3"/>
                <w:sz w:val="20"/>
                <w:szCs w:val="20"/>
              </w:rPr>
            </w:pPr>
            <w:r w:rsidRPr="00340E78">
              <w:rPr>
                <w:color w:val="000000"/>
                <w:spacing w:val="-3"/>
                <w:sz w:val="20"/>
                <w:szCs w:val="20"/>
              </w:rPr>
              <w:t>%</w:t>
            </w:r>
          </w:p>
        </w:tc>
        <w:tc>
          <w:tcPr>
            <w:tcW w:w="1168" w:type="dxa"/>
            <w:tcBorders>
              <w:left w:val="single" w:sz="6" w:space="0" w:color="auto"/>
              <w:right w:val="single" w:sz="6" w:space="0" w:color="auto"/>
            </w:tcBorders>
            <w:shd w:val="clear" w:color="auto" w:fill="D9D9D9"/>
          </w:tcPr>
          <w:p w14:paraId="66836F37" w14:textId="77777777" w:rsidR="00340E78" w:rsidRPr="00340E78" w:rsidRDefault="00340E78">
            <w:pPr>
              <w:ind w:left="10" w:hanging="10"/>
              <w:jc w:val="center"/>
              <w:rPr>
                <w:color w:val="000000"/>
                <w:spacing w:val="-3"/>
                <w:sz w:val="20"/>
                <w:szCs w:val="20"/>
              </w:rPr>
            </w:pPr>
            <w:r w:rsidRPr="00340E78">
              <w:rPr>
                <w:color w:val="000000"/>
                <w:spacing w:val="-3"/>
                <w:sz w:val="20"/>
                <w:szCs w:val="20"/>
              </w:rPr>
              <w:t>%</w:t>
            </w:r>
          </w:p>
        </w:tc>
        <w:tc>
          <w:tcPr>
            <w:tcW w:w="720" w:type="dxa"/>
            <w:tcBorders>
              <w:left w:val="single" w:sz="6" w:space="0" w:color="auto"/>
              <w:right w:val="single" w:sz="6" w:space="0" w:color="auto"/>
            </w:tcBorders>
          </w:tcPr>
          <w:p w14:paraId="5B4E7A7A" w14:textId="77777777" w:rsidR="00340E78" w:rsidRPr="00340E78" w:rsidRDefault="00340E78">
            <w:pPr>
              <w:ind w:left="10" w:hanging="10"/>
              <w:jc w:val="center"/>
              <w:rPr>
                <w:color w:val="000000"/>
                <w:spacing w:val="-3"/>
                <w:sz w:val="20"/>
                <w:szCs w:val="20"/>
              </w:rPr>
            </w:pPr>
            <w:r w:rsidRPr="00340E78">
              <w:rPr>
                <w:color w:val="000000"/>
                <w:spacing w:val="-3"/>
                <w:sz w:val="20"/>
                <w:szCs w:val="20"/>
              </w:rPr>
              <w:t>#</w:t>
            </w:r>
          </w:p>
        </w:tc>
        <w:tc>
          <w:tcPr>
            <w:tcW w:w="900" w:type="dxa"/>
            <w:tcBorders>
              <w:left w:val="single" w:sz="6" w:space="0" w:color="auto"/>
              <w:right w:val="single" w:sz="4" w:space="0" w:color="auto"/>
            </w:tcBorders>
          </w:tcPr>
          <w:p w14:paraId="6CBD90EE" w14:textId="77777777" w:rsidR="00340E78" w:rsidRPr="00340E78" w:rsidRDefault="00340E78">
            <w:pPr>
              <w:ind w:left="10" w:hanging="10"/>
              <w:jc w:val="center"/>
              <w:rPr>
                <w:color w:val="000000"/>
                <w:spacing w:val="-3"/>
                <w:sz w:val="20"/>
                <w:szCs w:val="20"/>
              </w:rPr>
            </w:pPr>
            <w:r w:rsidRPr="00340E78">
              <w:rPr>
                <w:color w:val="000000"/>
                <w:spacing w:val="-3"/>
                <w:sz w:val="20"/>
                <w:szCs w:val="20"/>
              </w:rPr>
              <w:t>%</w:t>
            </w:r>
          </w:p>
        </w:tc>
        <w:tc>
          <w:tcPr>
            <w:tcW w:w="1262" w:type="dxa"/>
            <w:tcBorders>
              <w:left w:val="single" w:sz="4" w:space="0" w:color="auto"/>
              <w:right w:val="single" w:sz="18" w:space="0" w:color="auto"/>
            </w:tcBorders>
            <w:shd w:val="clear" w:color="auto" w:fill="D9D9D9"/>
          </w:tcPr>
          <w:p w14:paraId="3F6DE8E8" w14:textId="77777777" w:rsidR="00340E78" w:rsidRPr="00340E78" w:rsidRDefault="00340E78">
            <w:pPr>
              <w:ind w:left="10" w:hanging="10"/>
              <w:jc w:val="center"/>
              <w:rPr>
                <w:color w:val="000000"/>
                <w:spacing w:val="-3"/>
                <w:sz w:val="20"/>
                <w:szCs w:val="20"/>
              </w:rPr>
            </w:pPr>
            <w:r w:rsidRPr="00340E78">
              <w:rPr>
                <w:color w:val="000000"/>
                <w:spacing w:val="-3"/>
                <w:sz w:val="20"/>
                <w:szCs w:val="20"/>
              </w:rPr>
              <w:t>%</w:t>
            </w:r>
          </w:p>
        </w:tc>
      </w:tr>
      <w:tr w:rsidR="00340E78" w:rsidRPr="00340E78" w14:paraId="06DBA8EB" w14:textId="77777777" w:rsidTr="00340E78">
        <w:trPr>
          <w:jc w:val="center"/>
        </w:trPr>
        <w:tc>
          <w:tcPr>
            <w:tcW w:w="3015" w:type="dxa"/>
            <w:tcBorders>
              <w:left w:val="single" w:sz="18" w:space="0" w:color="auto"/>
              <w:right w:val="single" w:sz="6" w:space="0" w:color="auto"/>
            </w:tcBorders>
          </w:tcPr>
          <w:p w14:paraId="14E99602" w14:textId="77777777" w:rsidR="00340E78" w:rsidRPr="00340E78" w:rsidRDefault="00340E78" w:rsidP="0021207D">
            <w:pPr>
              <w:ind w:left="10" w:hanging="10"/>
              <w:rPr>
                <w:color w:val="000000"/>
                <w:spacing w:val="-3"/>
                <w:sz w:val="20"/>
                <w:szCs w:val="20"/>
              </w:rPr>
            </w:pPr>
            <w:r w:rsidRPr="00340E78">
              <w:rPr>
                <w:color w:val="000000"/>
                <w:spacing w:val="-3"/>
                <w:sz w:val="20"/>
                <w:szCs w:val="20"/>
              </w:rPr>
              <w:t>American Indian/ Alaska Native</w:t>
            </w:r>
          </w:p>
        </w:tc>
        <w:tc>
          <w:tcPr>
            <w:tcW w:w="753" w:type="dxa"/>
            <w:tcBorders>
              <w:left w:val="single" w:sz="6" w:space="0" w:color="auto"/>
              <w:right w:val="single" w:sz="6" w:space="0" w:color="auto"/>
            </w:tcBorders>
          </w:tcPr>
          <w:p w14:paraId="602C84CB"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0</w:t>
            </w:r>
          </w:p>
        </w:tc>
        <w:tc>
          <w:tcPr>
            <w:tcW w:w="979" w:type="dxa"/>
            <w:tcBorders>
              <w:left w:val="single" w:sz="6" w:space="0" w:color="auto"/>
              <w:right w:val="single" w:sz="6" w:space="0" w:color="auto"/>
            </w:tcBorders>
          </w:tcPr>
          <w:p w14:paraId="26EF572F" w14:textId="77777777" w:rsidR="00340E78" w:rsidRPr="00340E78" w:rsidRDefault="00340E78">
            <w:pPr>
              <w:ind w:left="10" w:hanging="10"/>
              <w:jc w:val="center"/>
              <w:rPr>
                <w:color w:val="000000"/>
                <w:spacing w:val="-3"/>
                <w:sz w:val="20"/>
                <w:szCs w:val="20"/>
              </w:rPr>
            </w:pPr>
            <w:r w:rsidRPr="00340E78">
              <w:rPr>
                <w:color w:val="000000"/>
                <w:spacing w:val="-3"/>
                <w:sz w:val="20"/>
                <w:szCs w:val="20"/>
              </w:rPr>
              <w:t>0.0</w:t>
            </w:r>
          </w:p>
        </w:tc>
        <w:tc>
          <w:tcPr>
            <w:tcW w:w="1168" w:type="dxa"/>
            <w:tcBorders>
              <w:left w:val="single" w:sz="6" w:space="0" w:color="auto"/>
              <w:right w:val="single" w:sz="6" w:space="0" w:color="auto"/>
            </w:tcBorders>
            <w:shd w:val="clear" w:color="auto" w:fill="D9D9D9"/>
          </w:tcPr>
          <w:p w14:paraId="46F06E15" w14:textId="77777777" w:rsidR="00340E78" w:rsidRPr="00340E78" w:rsidRDefault="00340E78">
            <w:pPr>
              <w:ind w:left="10" w:hanging="10"/>
              <w:jc w:val="center"/>
              <w:rPr>
                <w:color w:val="000000"/>
                <w:sz w:val="20"/>
                <w:szCs w:val="20"/>
              </w:rPr>
            </w:pPr>
            <w:r w:rsidRPr="00340E78">
              <w:rPr>
                <w:color w:val="000000"/>
                <w:sz w:val="20"/>
                <w:szCs w:val="20"/>
              </w:rPr>
              <w:t>0.4</w:t>
            </w:r>
          </w:p>
        </w:tc>
        <w:tc>
          <w:tcPr>
            <w:tcW w:w="720" w:type="dxa"/>
            <w:tcBorders>
              <w:left w:val="single" w:sz="6" w:space="0" w:color="auto"/>
              <w:right w:val="single" w:sz="6" w:space="0" w:color="auto"/>
            </w:tcBorders>
          </w:tcPr>
          <w:p w14:paraId="10BBE476" w14:textId="77777777" w:rsidR="00340E78" w:rsidRPr="00340E78" w:rsidRDefault="00340E78">
            <w:pPr>
              <w:ind w:left="10" w:hanging="10"/>
              <w:jc w:val="center"/>
              <w:rPr>
                <w:color w:val="000000"/>
                <w:spacing w:val="-3"/>
                <w:sz w:val="20"/>
                <w:szCs w:val="20"/>
              </w:rPr>
            </w:pPr>
            <w:r w:rsidRPr="00340E78">
              <w:rPr>
                <w:color w:val="000000"/>
                <w:spacing w:val="-3"/>
                <w:sz w:val="20"/>
                <w:szCs w:val="20"/>
              </w:rPr>
              <w:t>0</w:t>
            </w:r>
          </w:p>
        </w:tc>
        <w:tc>
          <w:tcPr>
            <w:tcW w:w="900" w:type="dxa"/>
            <w:tcBorders>
              <w:left w:val="single" w:sz="6" w:space="0" w:color="auto"/>
              <w:right w:val="single" w:sz="4" w:space="0" w:color="auto"/>
            </w:tcBorders>
          </w:tcPr>
          <w:p w14:paraId="13384BA0" w14:textId="77777777" w:rsidR="00340E78" w:rsidRPr="00340E78" w:rsidRDefault="00340E78">
            <w:pPr>
              <w:ind w:left="10" w:hanging="10"/>
              <w:jc w:val="center"/>
              <w:rPr>
                <w:color w:val="000000"/>
                <w:spacing w:val="-3"/>
                <w:sz w:val="20"/>
                <w:szCs w:val="20"/>
              </w:rPr>
            </w:pPr>
            <w:r w:rsidRPr="00340E78">
              <w:rPr>
                <w:color w:val="000000"/>
                <w:spacing w:val="-3"/>
                <w:sz w:val="20"/>
                <w:szCs w:val="20"/>
              </w:rPr>
              <w:t>0.0</w:t>
            </w:r>
          </w:p>
        </w:tc>
        <w:tc>
          <w:tcPr>
            <w:tcW w:w="1262" w:type="dxa"/>
            <w:tcBorders>
              <w:left w:val="single" w:sz="4" w:space="0" w:color="auto"/>
              <w:right w:val="single" w:sz="18" w:space="0" w:color="auto"/>
            </w:tcBorders>
            <w:shd w:val="clear" w:color="auto" w:fill="D9D9D9"/>
          </w:tcPr>
          <w:p w14:paraId="71B9FAE9" w14:textId="77777777" w:rsidR="00340E78" w:rsidRPr="00340E78" w:rsidRDefault="00340E78">
            <w:pPr>
              <w:ind w:left="10" w:hanging="10"/>
              <w:jc w:val="center"/>
              <w:rPr>
                <w:color w:val="000000"/>
                <w:spacing w:val="-3"/>
                <w:sz w:val="20"/>
                <w:szCs w:val="20"/>
              </w:rPr>
            </w:pPr>
            <w:r w:rsidRPr="00340E78">
              <w:rPr>
                <w:color w:val="000000"/>
                <w:spacing w:val="-3"/>
                <w:sz w:val="20"/>
                <w:szCs w:val="20"/>
              </w:rPr>
              <w:t>0.2</w:t>
            </w:r>
          </w:p>
        </w:tc>
      </w:tr>
      <w:tr w:rsidR="00340E78" w:rsidRPr="00340E78" w14:paraId="0A75C6D4" w14:textId="77777777" w:rsidTr="00340E78">
        <w:trPr>
          <w:jc w:val="center"/>
        </w:trPr>
        <w:tc>
          <w:tcPr>
            <w:tcW w:w="3015" w:type="dxa"/>
            <w:tcBorders>
              <w:left w:val="single" w:sz="18" w:space="0" w:color="auto"/>
              <w:right w:val="single" w:sz="6" w:space="0" w:color="auto"/>
            </w:tcBorders>
          </w:tcPr>
          <w:p w14:paraId="33EC04FB" w14:textId="77777777" w:rsidR="00340E78" w:rsidRPr="00340E78" w:rsidRDefault="00340E78" w:rsidP="0021207D">
            <w:pPr>
              <w:ind w:left="10" w:hanging="10"/>
              <w:rPr>
                <w:color w:val="000000"/>
                <w:spacing w:val="-3"/>
                <w:sz w:val="20"/>
                <w:szCs w:val="20"/>
              </w:rPr>
            </w:pPr>
            <w:r w:rsidRPr="00340E78">
              <w:rPr>
                <w:color w:val="000000"/>
                <w:spacing w:val="-3"/>
                <w:sz w:val="20"/>
                <w:szCs w:val="20"/>
              </w:rPr>
              <w:t>Asian</w:t>
            </w:r>
          </w:p>
        </w:tc>
        <w:tc>
          <w:tcPr>
            <w:tcW w:w="753" w:type="dxa"/>
            <w:tcBorders>
              <w:left w:val="single" w:sz="6" w:space="0" w:color="auto"/>
              <w:right w:val="single" w:sz="6" w:space="0" w:color="auto"/>
            </w:tcBorders>
          </w:tcPr>
          <w:p w14:paraId="0087E136"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33</w:t>
            </w:r>
          </w:p>
        </w:tc>
        <w:tc>
          <w:tcPr>
            <w:tcW w:w="979" w:type="dxa"/>
            <w:tcBorders>
              <w:left w:val="single" w:sz="6" w:space="0" w:color="auto"/>
              <w:right w:val="single" w:sz="6" w:space="0" w:color="auto"/>
            </w:tcBorders>
          </w:tcPr>
          <w:p w14:paraId="77D787CA" w14:textId="77777777" w:rsidR="00340E78" w:rsidRPr="00340E78" w:rsidRDefault="00340E78">
            <w:pPr>
              <w:ind w:left="10" w:hanging="10"/>
              <w:jc w:val="center"/>
              <w:rPr>
                <w:color w:val="000000"/>
                <w:spacing w:val="-3"/>
                <w:sz w:val="20"/>
                <w:szCs w:val="20"/>
              </w:rPr>
            </w:pPr>
            <w:r w:rsidRPr="00340E78">
              <w:rPr>
                <w:color w:val="000000"/>
                <w:spacing w:val="-3"/>
                <w:sz w:val="20"/>
                <w:szCs w:val="20"/>
              </w:rPr>
              <w:t>9.5</w:t>
            </w:r>
          </w:p>
        </w:tc>
        <w:tc>
          <w:tcPr>
            <w:tcW w:w="1168" w:type="dxa"/>
            <w:tcBorders>
              <w:left w:val="single" w:sz="6" w:space="0" w:color="auto"/>
              <w:right w:val="single" w:sz="6" w:space="0" w:color="auto"/>
            </w:tcBorders>
            <w:shd w:val="clear" w:color="auto" w:fill="D9D9D9"/>
          </w:tcPr>
          <w:p w14:paraId="228152E9" w14:textId="77777777" w:rsidR="00340E78" w:rsidRPr="00340E78" w:rsidRDefault="00340E78">
            <w:pPr>
              <w:ind w:left="10" w:hanging="10"/>
              <w:jc w:val="center"/>
              <w:rPr>
                <w:color w:val="000000"/>
                <w:sz w:val="20"/>
                <w:szCs w:val="20"/>
              </w:rPr>
            </w:pPr>
            <w:r w:rsidRPr="00340E78">
              <w:rPr>
                <w:color w:val="000000"/>
                <w:sz w:val="20"/>
                <w:szCs w:val="20"/>
              </w:rPr>
              <w:t>8.9</w:t>
            </w:r>
          </w:p>
        </w:tc>
        <w:tc>
          <w:tcPr>
            <w:tcW w:w="720" w:type="dxa"/>
            <w:tcBorders>
              <w:left w:val="single" w:sz="6" w:space="0" w:color="auto"/>
              <w:right w:val="single" w:sz="6" w:space="0" w:color="auto"/>
            </w:tcBorders>
          </w:tcPr>
          <w:p w14:paraId="565683B1" w14:textId="77777777" w:rsidR="00340E78" w:rsidRPr="00340E78" w:rsidRDefault="00340E78">
            <w:pPr>
              <w:ind w:left="10" w:hanging="10"/>
              <w:jc w:val="center"/>
              <w:rPr>
                <w:color w:val="000000"/>
                <w:spacing w:val="-3"/>
                <w:sz w:val="20"/>
                <w:szCs w:val="20"/>
              </w:rPr>
            </w:pPr>
            <w:r w:rsidRPr="00340E78">
              <w:rPr>
                <w:color w:val="000000"/>
                <w:spacing w:val="-3"/>
                <w:sz w:val="20"/>
                <w:szCs w:val="20"/>
              </w:rPr>
              <w:t>21</w:t>
            </w:r>
          </w:p>
        </w:tc>
        <w:tc>
          <w:tcPr>
            <w:tcW w:w="900" w:type="dxa"/>
            <w:tcBorders>
              <w:left w:val="single" w:sz="6" w:space="0" w:color="auto"/>
              <w:right w:val="single" w:sz="4" w:space="0" w:color="auto"/>
            </w:tcBorders>
          </w:tcPr>
          <w:p w14:paraId="50070F57" w14:textId="77777777" w:rsidR="00340E78" w:rsidRPr="00340E78" w:rsidRDefault="00340E78">
            <w:pPr>
              <w:ind w:left="10" w:hanging="10"/>
              <w:jc w:val="center"/>
              <w:rPr>
                <w:color w:val="000000"/>
                <w:spacing w:val="-3"/>
                <w:sz w:val="20"/>
                <w:szCs w:val="20"/>
              </w:rPr>
            </w:pPr>
            <w:r w:rsidRPr="00340E78">
              <w:rPr>
                <w:color w:val="000000"/>
                <w:spacing w:val="-3"/>
                <w:sz w:val="20"/>
                <w:szCs w:val="20"/>
              </w:rPr>
              <w:t>6.2</w:t>
            </w:r>
          </w:p>
        </w:tc>
        <w:tc>
          <w:tcPr>
            <w:tcW w:w="1262" w:type="dxa"/>
            <w:tcBorders>
              <w:left w:val="single" w:sz="4" w:space="0" w:color="auto"/>
              <w:right w:val="single" w:sz="18" w:space="0" w:color="auto"/>
            </w:tcBorders>
            <w:shd w:val="clear" w:color="auto" w:fill="D9D9D9"/>
          </w:tcPr>
          <w:p w14:paraId="39E467FA" w14:textId="77777777" w:rsidR="00340E78" w:rsidRPr="00340E78" w:rsidRDefault="00340E78">
            <w:pPr>
              <w:ind w:left="10" w:hanging="10"/>
              <w:jc w:val="center"/>
              <w:rPr>
                <w:color w:val="000000"/>
                <w:spacing w:val="-3"/>
                <w:sz w:val="20"/>
                <w:szCs w:val="20"/>
              </w:rPr>
            </w:pPr>
            <w:r w:rsidRPr="00340E78">
              <w:rPr>
                <w:color w:val="000000"/>
                <w:spacing w:val="-3"/>
                <w:sz w:val="20"/>
                <w:szCs w:val="20"/>
              </w:rPr>
              <w:t>8.3</w:t>
            </w:r>
          </w:p>
        </w:tc>
      </w:tr>
      <w:tr w:rsidR="00340E78" w:rsidRPr="00340E78" w14:paraId="41DFF8F5" w14:textId="77777777" w:rsidTr="00340E78">
        <w:trPr>
          <w:jc w:val="center"/>
        </w:trPr>
        <w:tc>
          <w:tcPr>
            <w:tcW w:w="3015" w:type="dxa"/>
            <w:tcBorders>
              <w:left w:val="single" w:sz="18" w:space="0" w:color="auto"/>
              <w:right w:val="single" w:sz="6" w:space="0" w:color="auto"/>
            </w:tcBorders>
          </w:tcPr>
          <w:p w14:paraId="635960CC" w14:textId="77777777" w:rsidR="00340E78" w:rsidRPr="00340E78" w:rsidRDefault="00340E78" w:rsidP="0021207D">
            <w:pPr>
              <w:ind w:left="10" w:hanging="10"/>
              <w:rPr>
                <w:color w:val="000000"/>
                <w:spacing w:val="-3"/>
                <w:sz w:val="20"/>
                <w:szCs w:val="20"/>
              </w:rPr>
            </w:pPr>
            <w:r w:rsidRPr="00340E78">
              <w:rPr>
                <w:color w:val="000000"/>
                <w:spacing w:val="-3"/>
                <w:sz w:val="20"/>
                <w:szCs w:val="20"/>
              </w:rPr>
              <w:t>Black/ African American</w:t>
            </w:r>
          </w:p>
        </w:tc>
        <w:tc>
          <w:tcPr>
            <w:tcW w:w="753" w:type="dxa"/>
            <w:tcBorders>
              <w:left w:val="single" w:sz="6" w:space="0" w:color="auto"/>
              <w:right w:val="single" w:sz="6" w:space="0" w:color="auto"/>
            </w:tcBorders>
          </w:tcPr>
          <w:p w14:paraId="76E34B45"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16</w:t>
            </w:r>
          </w:p>
        </w:tc>
        <w:tc>
          <w:tcPr>
            <w:tcW w:w="979" w:type="dxa"/>
            <w:tcBorders>
              <w:left w:val="single" w:sz="6" w:space="0" w:color="auto"/>
              <w:right w:val="single" w:sz="6" w:space="0" w:color="auto"/>
            </w:tcBorders>
          </w:tcPr>
          <w:p w14:paraId="08CB9C1E" w14:textId="77777777" w:rsidR="00340E78" w:rsidRPr="00340E78" w:rsidRDefault="00340E78">
            <w:pPr>
              <w:ind w:left="10" w:hanging="10"/>
              <w:jc w:val="center"/>
              <w:rPr>
                <w:color w:val="000000"/>
                <w:spacing w:val="-3"/>
                <w:sz w:val="20"/>
                <w:szCs w:val="20"/>
              </w:rPr>
            </w:pPr>
            <w:r w:rsidRPr="00340E78">
              <w:rPr>
                <w:color w:val="000000"/>
                <w:spacing w:val="-3"/>
                <w:sz w:val="20"/>
                <w:szCs w:val="20"/>
              </w:rPr>
              <w:t>4.6</w:t>
            </w:r>
          </w:p>
        </w:tc>
        <w:tc>
          <w:tcPr>
            <w:tcW w:w="1168" w:type="dxa"/>
            <w:tcBorders>
              <w:left w:val="single" w:sz="6" w:space="0" w:color="auto"/>
              <w:right w:val="single" w:sz="6" w:space="0" w:color="auto"/>
            </w:tcBorders>
            <w:shd w:val="clear" w:color="auto" w:fill="D9D9D9"/>
          </w:tcPr>
          <w:p w14:paraId="0630DCBB" w14:textId="77777777" w:rsidR="00340E78" w:rsidRPr="00340E78" w:rsidRDefault="00340E78">
            <w:pPr>
              <w:ind w:left="10" w:hanging="10"/>
              <w:jc w:val="center"/>
              <w:rPr>
                <w:color w:val="000000"/>
                <w:sz w:val="20"/>
                <w:szCs w:val="20"/>
              </w:rPr>
            </w:pPr>
            <w:r w:rsidRPr="00340E78">
              <w:rPr>
                <w:color w:val="000000"/>
                <w:sz w:val="20"/>
                <w:szCs w:val="20"/>
              </w:rPr>
              <w:t>6.8</w:t>
            </w:r>
          </w:p>
        </w:tc>
        <w:tc>
          <w:tcPr>
            <w:tcW w:w="720" w:type="dxa"/>
            <w:tcBorders>
              <w:left w:val="single" w:sz="6" w:space="0" w:color="auto"/>
              <w:right w:val="single" w:sz="6" w:space="0" w:color="auto"/>
            </w:tcBorders>
          </w:tcPr>
          <w:p w14:paraId="1B909D65" w14:textId="77777777" w:rsidR="00340E78" w:rsidRPr="00340E78" w:rsidRDefault="00340E78">
            <w:pPr>
              <w:ind w:left="10" w:hanging="10"/>
              <w:jc w:val="center"/>
              <w:rPr>
                <w:color w:val="000000"/>
                <w:spacing w:val="-3"/>
                <w:sz w:val="20"/>
                <w:szCs w:val="20"/>
              </w:rPr>
            </w:pPr>
            <w:r w:rsidRPr="00340E78">
              <w:rPr>
                <w:color w:val="000000"/>
                <w:spacing w:val="-3"/>
                <w:sz w:val="20"/>
                <w:szCs w:val="20"/>
              </w:rPr>
              <w:t>10</w:t>
            </w:r>
          </w:p>
        </w:tc>
        <w:tc>
          <w:tcPr>
            <w:tcW w:w="900" w:type="dxa"/>
            <w:tcBorders>
              <w:left w:val="single" w:sz="6" w:space="0" w:color="auto"/>
              <w:right w:val="single" w:sz="4" w:space="0" w:color="auto"/>
            </w:tcBorders>
          </w:tcPr>
          <w:p w14:paraId="15F2ECA8" w14:textId="77777777" w:rsidR="00340E78" w:rsidRPr="00340E78" w:rsidRDefault="00340E78">
            <w:pPr>
              <w:ind w:left="10" w:hanging="10"/>
              <w:jc w:val="center"/>
              <w:rPr>
                <w:color w:val="000000"/>
                <w:spacing w:val="-3"/>
                <w:sz w:val="20"/>
                <w:szCs w:val="20"/>
              </w:rPr>
            </w:pPr>
            <w:r w:rsidRPr="00340E78">
              <w:rPr>
                <w:color w:val="000000"/>
                <w:spacing w:val="-3"/>
                <w:sz w:val="20"/>
                <w:szCs w:val="20"/>
              </w:rPr>
              <w:t>2.9</w:t>
            </w:r>
          </w:p>
        </w:tc>
        <w:tc>
          <w:tcPr>
            <w:tcW w:w="1262" w:type="dxa"/>
            <w:tcBorders>
              <w:left w:val="single" w:sz="4" w:space="0" w:color="auto"/>
              <w:right w:val="single" w:sz="18" w:space="0" w:color="auto"/>
            </w:tcBorders>
            <w:shd w:val="clear" w:color="auto" w:fill="D9D9D9"/>
          </w:tcPr>
          <w:p w14:paraId="236DAF04" w14:textId="77777777" w:rsidR="00340E78" w:rsidRPr="00340E78" w:rsidRDefault="00340E78">
            <w:pPr>
              <w:ind w:left="10" w:hanging="10"/>
              <w:jc w:val="center"/>
              <w:rPr>
                <w:color w:val="000000"/>
                <w:spacing w:val="-3"/>
                <w:sz w:val="20"/>
                <w:szCs w:val="20"/>
              </w:rPr>
            </w:pPr>
            <w:r w:rsidRPr="00340E78">
              <w:rPr>
                <w:color w:val="000000"/>
                <w:spacing w:val="-3"/>
                <w:sz w:val="20"/>
                <w:szCs w:val="20"/>
              </w:rPr>
              <w:t>6.0</w:t>
            </w:r>
          </w:p>
        </w:tc>
      </w:tr>
      <w:tr w:rsidR="00340E78" w:rsidRPr="00340E78" w14:paraId="42FAE851" w14:textId="77777777" w:rsidTr="00340E78">
        <w:trPr>
          <w:jc w:val="center"/>
        </w:trPr>
        <w:tc>
          <w:tcPr>
            <w:tcW w:w="3015" w:type="dxa"/>
            <w:tcBorders>
              <w:left w:val="single" w:sz="18" w:space="0" w:color="auto"/>
              <w:right w:val="single" w:sz="6" w:space="0" w:color="auto"/>
            </w:tcBorders>
          </w:tcPr>
          <w:p w14:paraId="485E93F0" w14:textId="77777777" w:rsidR="00340E78" w:rsidRPr="00340E78" w:rsidRDefault="00340E78" w:rsidP="0021207D">
            <w:pPr>
              <w:ind w:left="10" w:hanging="10"/>
              <w:rPr>
                <w:color w:val="000000"/>
                <w:spacing w:val="-3"/>
                <w:sz w:val="20"/>
                <w:szCs w:val="20"/>
              </w:rPr>
            </w:pPr>
            <w:r w:rsidRPr="00340E78">
              <w:rPr>
                <w:color w:val="000000"/>
                <w:spacing w:val="-3"/>
                <w:sz w:val="20"/>
                <w:szCs w:val="20"/>
              </w:rPr>
              <w:t>Hawaiian/Pacific Islander</w:t>
            </w:r>
          </w:p>
        </w:tc>
        <w:tc>
          <w:tcPr>
            <w:tcW w:w="753" w:type="dxa"/>
            <w:tcBorders>
              <w:left w:val="single" w:sz="6" w:space="0" w:color="auto"/>
              <w:right w:val="single" w:sz="6" w:space="0" w:color="auto"/>
            </w:tcBorders>
          </w:tcPr>
          <w:p w14:paraId="6F5E3C38"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1</w:t>
            </w:r>
          </w:p>
        </w:tc>
        <w:tc>
          <w:tcPr>
            <w:tcW w:w="979" w:type="dxa"/>
            <w:tcBorders>
              <w:left w:val="single" w:sz="6" w:space="0" w:color="auto"/>
              <w:right w:val="single" w:sz="6" w:space="0" w:color="auto"/>
            </w:tcBorders>
          </w:tcPr>
          <w:p w14:paraId="0D392EFA" w14:textId="77777777" w:rsidR="00340E78" w:rsidRPr="00340E78" w:rsidRDefault="00340E78">
            <w:pPr>
              <w:ind w:left="10" w:hanging="10"/>
              <w:jc w:val="center"/>
              <w:rPr>
                <w:color w:val="000000"/>
                <w:spacing w:val="-3"/>
                <w:sz w:val="20"/>
                <w:szCs w:val="20"/>
              </w:rPr>
            </w:pPr>
            <w:r w:rsidRPr="00340E78">
              <w:rPr>
                <w:color w:val="000000"/>
                <w:spacing w:val="-3"/>
                <w:sz w:val="20"/>
                <w:szCs w:val="20"/>
              </w:rPr>
              <w:t>0.3</w:t>
            </w:r>
          </w:p>
        </w:tc>
        <w:tc>
          <w:tcPr>
            <w:tcW w:w="1168" w:type="dxa"/>
            <w:tcBorders>
              <w:left w:val="single" w:sz="6" w:space="0" w:color="auto"/>
              <w:right w:val="single" w:sz="6" w:space="0" w:color="auto"/>
            </w:tcBorders>
            <w:shd w:val="clear" w:color="auto" w:fill="D9D9D9"/>
          </w:tcPr>
          <w:p w14:paraId="65CBDF65" w14:textId="77777777" w:rsidR="00340E78" w:rsidRPr="00340E78" w:rsidRDefault="00340E78">
            <w:pPr>
              <w:ind w:left="10" w:hanging="10"/>
              <w:jc w:val="center"/>
              <w:rPr>
                <w:color w:val="000000"/>
                <w:sz w:val="20"/>
                <w:szCs w:val="20"/>
              </w:rPr>
            </w:pPr>
            <w:r w:rsidRPr="00340E78">
              <w:rPr>
                <w:color w:val="000000"/>
                <w:sz w:val="20"/>
                <w:szCs w:val="20"/>
              </w:rPr>
              <w:t>0.3</w:t>
            </w:r>
          </w:p>
        </w:tc>
        <w:tc>
          <w:tcPr>
            <w:tcW w:w="720" w:type="dxa"/>
            <w:tcBorders>
              <w:left w:val="single" w:sz="6" w:space="0" w:color="auto"/>
              <w:right w:val="single" w:sz="6" w:space="0" w:color="auto"/>
            </w:tcBorders>
          </w:tcPr>
          <w:p w14:paraId="594616D5" w14:textId="77777777" w:rsidR="00340E78" w:rsidRPr="00340E78" w:rsidRDefault="00340E78">
            <w:pPr>
              <w:ind w:left="10" w:hanging="10"/>
              <w:jc w:val="center"/>
              <w:rPr>
                <w:color w:val="000000"/>
                <w:spacing w:val="-3"/>
                <w:sz w:val="20"/>
                <w:szCs w:val="20"/>
              </w:rPr>
            </w:pPr>
            <w:r w:rsidRPr="00340E78">
              <w:rPr>
                <w:color w:val="000000"/>
                <w:spacing w:val="-3"/>
                <w:sz w:val="20"/>
                <w:szCs w:val="20"/>
              </w:rPr>
              <w:t>0</w:t>
            </w:r>
          </w:p>
        </w:tc>
        <w:tc>
          <w:tcPr>
            <w:tcW w:w="900" w:type="dxa"/>
            <w:tcBorders>
              <w:left w:val="single" w:sz="6" w:space="0" w:color="auto"/>
              <w:right w:val="single" w:sz="4" w:space="0" w:color="auto"/>
            </w:tcBorders>
          </w:tcPr>
          <w:p w14:paraId="70E6CDDB" w14:textId="77777777" w:rsidR="00340E78" w:rsidRPr="00340E78" w:rsidRDefault="00340E78">
            <w:pPr>
              <w:ind w:left="10" w:hanging="10"/>
              <w:jc w:val="center"/>
              <w:rPr>
                <w:color w:val="000000"/>
                <w:spacing w:val="-3"/>
                <w:sz w:val="20"/>
                <w:szCs w:val="20"/>
              </w:rPr>
            </w:pPr>
            <w:r w:rsidRPr="00340E78">
              <w:rPr>
                <w:color w:val="000000"/>
                <w:spacing w:val="-3"/>
                <w:sz w:val="20"/>
                <w:szCs w:val="20"/>
              </w:rPr>
              <w:t>0.0</w:t>
            </w:r>
          </w:p>
        </w:tc>
        <w:tc>
          <w:tcPr>
            <w:tcW w:w="1262" w:type="dxa"/>
            <w:tcBorders>
              <w:left w:val="single" w:sz="4" w:space="0" w:color="auto"/>
              <w:right w:val="single" w:sz="18" w:space="0" w:color="auto"/>
            </w:tcBorders>
            <w:shd w:val="clear" w:color="auto" w:fill="D9D9D9"/>
          </w:tcPr>
          <w:p w14:paraId="61743AA6" w14:textId="77777777" w:rsidR="00340E78" w:rsidRPr="00340E78" w:rsidRDefault="00340E78">
            <w:pPr>
              <w:ind w:left="10" w:hanging="10"/>
              <w:jc w:val="center"/>
              <w:rPr>
                <w:color w:val="000000"/>
                <w:spacing w:val="-3"/>
                <w:sz w:val="20"/>
                <w:szCs w:val="20"/>
              </w:rPr>
            </w:pPr>
            <w:r w:rsidRPr="00340E78">
              <w:rPr>
                <w:color w:val="000000"/>
                <w:spacing w:val="-3"/>
                <w:sz w:val="20"/>
                <w:szCs w:val="20"/>
              </w:rPr>
              <w:t>0.3</w:t>
            </w:r>
          </w:p>
        </w:tc>
      </w:tr>
      <w:tr w:rsidR="00340E78" w:rsidRPr="00340E78" w14:paraId="6D11502A" w14:textId="77777777" w:rsidTr="00340E78">
        <w:trPr>
          <w:jc w:val="center"/>
        </w:trPr>
        <w:tc>
          <w:tcPr>
            <w:tcW w:w="3015" w:type="dxa"/>
            <w:tcBorders>
              <w:left w:val="single" w:sz="18" w:space="0" w:color="auto"/>
              <w:bottom w:val="single" w:sz="6" w:space="0" w:color="auto"/>
              <w:right w:val="single" w:sz="6" w:space="0" w:color="auto"/>
            </w:tcBorders>
          </w:tcPr>
          <w:p w14:paraId="2EAF487D" w14:textId="77777777" w:rsidR="00340E78" w:rsidRPr="00340E78" w:rsidRDefault="00340E78" w:rsidP="0021207D">
            <w:pPr>
              <w:ind w:left="10" w:hanging="10"/>
              <w:rPr>
                <w:color w:val="000000"/>
                <w:spacing w:val="-3"/>
                <w:sz w:val="20"/>
                <w:szCs w:val="20"/>
              </w:rPr>
            </w:pPr>
            <w:r w:rsidRPr="00340E78">
              <w:rPr>
                <w:color w:val="000000"/>
                <w:spacing w:val="-3"/>
                <w:sz w:val="20"/>
                <w:szCs w:val="20"/>
              </w:rPr>
              <w:t>2 or more Minority</w:t>
            </w:r>
          </w:p>
        </w:tc>
        <w:tc>
          <w:tcPr>
            <w:tcW w:w="753" w:type="dxa"/>
            <w:tcBorders>
              <w:left w:val="single" w:sz="6" w:space="0" w:color="auto"/>
              <w:bottom w:val="single" w:sz="6" w:space="0" w:color="auto"/>
              <w:right w:val="single" w:sz="6" w:space="0" w:color="auto"/>
            </w:tcBorders>
          </w:tcPr>
          <w:p w14:paraId="157CADD1"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0</w:t>
            </w:r>
          </w:p>
        </w:tc>
        <w:tc>
          <w:tcPr>
            <w:tcW w:w="979" w:type="dxa"/>
            <w:tcBorders>
              <w:left w:val="single" w:sz="6" w:space="0" w:color="auto"/>
              <w:bottom w:val="single" w:sz="6" w:space="0" w:color="auto"/>
              <w:right w:val="single" w:sz="6" w:space="0" w:color="auto"/>
            </w:tcBorders>
          </w:tcPr>
          <w:p w14:paraId="6B24EC90" w14:textId="77777777" w:rsidR="00340E78" w:rsidRPr="00340E78" w:rsidRDefault="00340E78">
            <w:pPr>
              <w:ind w:left="10" w:hanging="10"/>
              <w:jc w:val="center"/>
              <w:rPr>
                <w:color w:val="000000"/>
                <w:spacing w:val="-3"/>
                <w:sz w:val="20"/>
                <w:szCs w:val="20"/>
              </w:rPr>
            </w:pPr>
            <w:r w:rsidRPr="00340E78">
              <w:rPr>
                <w:color w:val="000000"/>
                <w:spacing w:val="-3"/>
                <w:sz w:val="20"/>
                <w:szCs w:val="20"/>
              </w:rPr>
              <w:t>0.0</w:t>
            </w:r>
          </w:p>
        </w:tc>
        <w:tc>
          <w:tcPr>
            <w:tcW w:w="1168" w:type="dxa"/>
            <w:tcBorders>
              <w:left w:val="single" w:sz="6" w:space="0" w:color="auto"/>
              <w:bottom w:val="single" w:sz="6" w:space="0" w:color="auto"/>
              <w:right w:val="single" w:sz="6" w:space="0" w:color="auto"/>
            </w:tcBorders>
            <w:shd w:val="clear" w:color="auto" w:fill="D9D9D9"/>
          </w:tcPr>
          <w:p w14:paraId="02942EA7" w14:textId="77777777" w:rsidR="00340E78" w:rsidRPr="00340E78" w:rsidRDefault="00340E78">
            <w:pPr>
              <w:ind w:left="10" w:hanging="10"/>
              <w:jc w:val="center"/>
              <w:rPr>
                <w:color w:val="000000"/>
                <w:sz w:val="20"/>
                <w:szCs w:val="20"/>
              </w:rPr>
            </w:pPr>
            <w:r w:rsidRPr="00340E78">
              <w:rPr>
                <w:color w:val="000000"/>
                <w:sz w:val="20"/>
                <w:szCs w:val="20"/>
              </w:rPr>
              <w:t>0.2</w:t>
            </w:r>
          </w:p>
        </w:tc>
        <w:tc>
          <w:tcPr>
            <w:tcW w:w="720" w:type="dxa"/>
            <w:tcBorders>
              <w:left w:val="single" w:sz="6" w:space="0" w:color="auto"/>
              <w:bottom w:val="single" w:sz="6" w:space="0" w:color="auto"/>
              <w:right w:val="single" w:sz="6" w:space="0" w:color="auto"/>
            </w:tcBorders>
          </w:tcPr>
          <w:p w14:paraId="09CE6429" w14:textId="77777777" w:rsidR="00340E78" w:rsidRPr="00340E78" w:rsidRDefault="00340E78">
            <w:pPr>
              <w:ind w:left="10" w:hanging="10"/>
              <w:jc w:val="center"/>
              <w:rPr>
                <w:color w:val="000000"/>
                <w:spacing w:val="-3"/>
                <w:sz w:val="20"/>
                <w:szCs w:val="20"/>
              </w:rPr>
            </w:pPr>
            <w:r w:rsidRPr="00340E78">
              <w:rPr>
                <w:color w:val="000000"/>
                <w:spacing w:val="-3"/>
                <w:sz w:val="20"/>
                <w:szCs w:val="20"/>
              </w:rPr>
              <w:t>0</w:t>
            </w:r>
          </w:p>
        </w:tc>
        <w:tc>
          <w:tcPr>
            <w:tcW w:w="900" w:type="dxa"/>
            <w:tcBorders>
              <w:left w:val="single" w:sz="6" w:space="0" w:color="auto"/>
              <w:bottom w:val="single" w:sz="6" w:space="0" w:color="auto"/>
              <w:right w:val="single" w:sz="4" w:space="0" w:color="auto"/>
            </w:tcBorders>
          </w:tcPr>
          <w:p w14:paraId="4DE521CF" w14:textId="77777777" w:rsidR="00340E78" w:rsidRPr="00340E78" w:rsidRDefault="00340E78">
            <w:pPr>
              <w:ind w:left="10" w:hanging="10"/>
              <w:jc w:val="center"/>
              <w:rPr>
                <w:color w:val="000000"/>
                <w:spacing w:val="-3"/>
                <w:sz w:val="20"/>
                <w:szCs w:val="20"/>
              </w:rPr>
            </w:pPr>
            <w:r w:rsidRPr="00340E78">
              <w:rPr>
                <w:color w:val="000000"/>
                <w:spacing w:val="-3"/>
                <w:sz w:val="20"/>
                <w:szCs w:val="20"/>
              </w:rPr>
              <w:t>0.0</w:t>
            </w:r>
          </w:p>
        </w:tc>
        <w:tc>
          <w:tcPr>
            <w:tcW w:w="1262" w:type="dxa"/>
            <w:tcBorders>
              <w:left w:val="single" w:sz="4" w:space="0" w:color="auto"/>
              <w:bottom w:val="single" w:sz="6" w:space="0" w:color="auto"/>
              <w:right w:val="single" w:sz="18" w:space="0" w:color="auto"/>
            </w:tcBorders>
            <w:shd w:val="clear" w:color="auto" w:fill="D9D9D9"/>
          </w:tcPr>
          <w:p w14:paraId="6A4ED369" w14:textId="77777777" w:rsidR="00340E78" w:rsidRPr="00340E78" w:rsidRDefault="00340E78">
            <w:pPr>
              <w:ind w:left="10" w:hanging="10"/>
              <w:jc w:val="center"/>
              <w:rPr>
                <w:color w:val="000000"/>
                <w:spacing w:val="-3"/>
                <w:sz w:val="20"/>
                <w:szCs w:val="20"/>
              </w:rPr>
            </w:pPr>
            <w:r w:rsidRPr="00340E78">
              <w:rPr>
                <w:color w:val="000000"/>
                <w:spacing w:val="-3"/>
                <w:sz w:val="20"/>
                <w:szCs w:val="20"/>
              </w:rPr>
              <w:t>0.2</w:t>
            </w:r>
          </w:p>
        </w:tc>
      </w:tr>
      <w:tr w:rsidR="00340E78" w:rsidRPr="00340E78" w14:paraId="1C020B9D" w14:textId="77777777" w:rsidTr="00340E78">
        <w:trPr>
          <w:jc w:val="center"/>
        </w:trPr>
        <w:tc>
          <w:tcPr>
            <w:tcW w:w="3015" w:type="dxa"/>
            <w:tcBorders>
              <w:left w:val="single" w:sz="18" w:space="0" w:color="auto"/>
              <w:bottom w:val="single" w:sz="4" w:space="0" w:color="auto"/>
              <w:right w:val="single" w:sz="6" w:space="0" w:color="auto"/>
            </w:tcBorders>
          </w:tcPr>
          <w:p w14:paraId="4C3D401C" w14:textId="77777777" w:rsidR="00340E78" w:rsidRPr="00340E78" w:rsidRDefault="00340E78" w:rsidP="0021207D">
            <w:pPr>
              <w:ind w:left="10" w:hanging="10"/>
              <w:rPr>
                <w:color w:val="000000"/>
                <w:spacing w:val="-3"/>
                <w:sz w:val="20"/>
                <w:szCs w:val="20"/>
              </w:rPr>
            </w:pPr>
            <w:r w:rsidRPr="00340E78">
              <w:rPr>
                <w:color w:val="000000"/>
                <w:spacing w:val="-3"/>
                <w:sz w:val="20"/>
                <w:szCs w:val="20"/>
              </w:rPr>
              <w:t>Joint Race (White/Minority)</w:t>
            </w:r>
          </w:p>
        </w:tc>
        <w:tc>
          <w:tcPr>
            <w:tcW w:w="753" w:type="dxa"/>
            <w:tcBorders>
              <w:left w:val="single" w:sz="6" w:space="0" w:color="auto"/>
              <w:bottom w:val="single" w:sz="4" w:space="0" w:color="auto"/>
              <w:right w:val="single" w:sz="6" w:space="0" w:color="auto"/>
            </w:tcBorders>
          </w:tcPr>
          <w:p w14:paraId="64D15EE4"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2</w:t>
            </w:r>
          </w:p>
        </w:tc>
        <w:tc>
          <w:tcPr>
            <w:tcW w:w="979" w:type="dxa"/>
            <w:tcBorders>
              <w:left w:val="single" w:sz="6" w:space="0" w:color="auto"/>
              <w:bottom w:val="single" w:sz="4" w:space="0" w:color="auto"/>
              <w:right w:val="single" w:sz="6" w:space="0" w:color="auto"/>
            </w:tcBorders>
          </w:tcPr>
          <w:p w14:paraId="4F32402C" w14:textId="77777777" w:rsidR="00340E78" w:rsidRPr="00340E78" w:rsidRDefault="00340E78">
            <w:pPr>
              <w:ind w:left="10" w:hanging="10"/>
              <w:jc w:val="center"/>
              <w:rPr>
                <w:color w:val="000000"/>
                <w:spacing w:val="-3"/>
                <w:sz w:val="20"/>
                <w:szCs w:val="20"/>
              </w:rPr>
            </w:pPr>
            <w:r w:rsidRPr="00340E78">
              <w:rPr>
                <w:color w:val="000000"/>
                <w:spacing w:val="-3"/>
                <w:sz w:val="20"/>
                <w:szCs w:val="20"/>
              </w:rPr>
              <w:t>0.6</w:t>
            </w:r>
          </w:p>
        </w:tc>
        <w:tc>
          <w:tcPr>
            <w:tcW w:w="1168" w:type="dxa"/>
            <w:tcBorders>
              <w:left w:val="single" w:sz="6" w:space="0" w:color="auto"/>
              <w:bottom w:val="single" w:sz="4" w:space="0" w:color="auto"/>
              <w:right w:val="single" w:sz="6" w:space="0" w:color="auto"/>
            </w:tcBorders>
            <w:shd w:val="clear" w:color="auto" w:fill="D9D9D9"/>
          </w:tcPr>
          <w:p w14:paraId="55D4AEAD" w14:textId="77777777" w:rsidR="00340E78" w:rsidRPr="00340E78" w:rsidRDefault="00340E78">
            <w:pPr>
              <w:ind w:left="10" w:hanging="10"/>
              <w:jc w:val="center"/>
              <w:rPr>
                <w:color w:val="000000"/>
                <w:sz w:val="20"/>
                <w:szCs w:val="20"/>
              </w:rPr>
            </w:pPr>
            <w:r w:rsidRPr="00340E78">
              <w:rPr>
                <w:color w:val="000000"/>
                <w:sz w:val="20"/>
                <w:szCs w:val="20"/>
              </w:rPr>
              <w:t>1.9</w:t>
            </w:r>
          </w:p>
        </w:tc>
        <w:tc>
          <w:tcPr>
            <w:tcW w:w="720" w:type="dxa"/>
            <w:tcBorders>
              <w:left w:val="single" w:sz="6" w:space="0" w:color="auto"/>
              <w:bottom w:val="single" w:sz="4" w:space="0" w:color="auto"/>
              <w:right w:val="single" w:sz="6" w:space="0" w:color="auto"/>
            </w:tcBorders>
          </w:tcPr>
          <w:p w14:paraId="5B3E02C1" w14:textId="77777777" w:rsidR="00340E78" w:rsidRPr="00340E78" w:rsidRDefault="00340E78">
            <w:pPr>
              <w:ind w:left="10" w:hanging="10"/>
              <w:jc w:val="center"/>
              <w:rPr>
                <w:color w:val="000000"/>
                <w:spacing w:val="-3"/>
                <w:sz w:val="20"/>
                <w:szCs w:val="20"/>
              </w:rPr>
            </w:pPr>
            <w:r w:rsidRPr="00340E78">
              <w:rPr>
                <w:color w:val="000000"/>
                <w:spacing w:val="-3"/>
                <w:sz w:val="20"/>
                <w:szCs w:val="20"/>
              </w:rPr>
              <w:t>2</w:t>
            </w:r>
          </w:p>
        </w:tc>
        <w:tc>
          <w:tcPr>
            <w:tcW w:w="900" w:type="dxa"/>
            <w:tcBorders>
              <w:left w:val="single" w:sz="6" w:space="0" w:color="auto"/>
              <w:bottom w:val="single" w:sz="4" w:space="0" w:color="auto"/>
              <w:right w:val="single" w:sz="4" w:space="0" w:color="auto"/>
            </w:tcBorders>
          </w:tcPr>
          <w:p w14:paraId="74FC9322" w14:textId="77777777" w:rsidR="00340E78" w:rsidRPr="00340E78" w:rsidRDefault="00340E78">
            <w:pPr>
              <w:ind w:left="10" w:hanging="10"/>
              <w:jc w:val="center"/>
              <w:rPr>
                <w:color w:val="000000"/>
                <w:spacing w:val="-3"/>
                <w:sz w:val="20"/>
                <w:szCs w:val="20"/>
              </w:rPr>
            </w:pPr>
            <w:r w:rsidRPr="00340E78">
              <w:rPr>
                <w:color w:val="000000"/>
                <w:spacing w:val="-3"/>
                <w:sz w:val="20"/>
                <w:szCs w:val="20"/>
              </w:rPr>
              <w:t>0.6</w:t>
            </w:r>
          </w:p>
        </w:tc>
        <w:tc>
          <w:tcPr>
            <w:tcW w:w="1262" w:type="dxa"/>
            <w:tcBorders>
              <w:left w:val="single" w:sz="4" w:space="0" w:color="auto"/>
              <w:bottom w:val="single" w:sz="4" w:space="0" w:color="auto"/>
              <w:right w:val="single" w:sz="18" w:space="0" w:color="auto"/>
            </w:tcBorders>
            <w:shd w:val="clear" w:color="auto" w:fill="D9D9D9"/>
          </w:tcPr>
          <w:p w14:paraId="18A56435" w14:textId="77777777" w:rsidR="00340E78" w:rsidRPr="00340E78" w:rsidRDefault="00340E78">
            <w:pPr>
              <w:ind w:left="10" w:hanging="10"/>
              <w:jc w:val="center"/>
              <w:rPr>
                <w:color w:val="000000"/>
                <w:spacing w:val="-3"/>
                <w:sz w:val="20"/>
                <w:szCs w:val="20"/>
              </w:rPr>
            </w:pPr>
            <w:r w:rsidRPr="00340E78">
              <w:rPr>
                <w:color w:val="000000"/>
                <w:spacing w:val="-3"/>
                <w:sz w:val="20"/>
                <w:szCs w:val="20"/>
              </w:rPr>
              <w:t>1.8</w:t>
            </w:r>
          </w:p>
        </w:tc>
      </w:tr>
      <w:tr w:rsidR="00340E78" w:rsidRPr="00340E78" w14:paraId="51E77F49" w14:textId="77777777" w:rsidTr="00340E78">
        <w:trPr>
          <w:jc w:val="center"/>
        </w:trPr>
        <w:tc>
          <w:tcPr>
            <w:tcW w:w="3015" w:type="dxa"/>
            <w:tcBorders>
              <w:top w:val="single" w:sz="4" w:space="0" w:color="auto"/>
              <w:left w:val="single" w:sz="18" w:space="0" w:color="auto"/>
              <w:bottom w:val="nil"/>
              <w:right w:val="single" w:sz="6" w:space="0" w:color="auto"/>
            </w:tcBorders>
          </w:tcPr>
          <w:p w14:paraId="15844F05" w14:textId="77777777" w:rsidR="00340E78" w:rsidRPr="00340E78" w:rsidRDefault="00340E78" w:rsidP="0021207D">
            <w:pPr>
              <w:ind w:left="10" w:hanging="10"/>
              <w:jc w:val="center"/>
              <w:rPr>
                <w:b/>
                <w:color w:val="000000"/>
                <w:spacing w:val="-3"/>
                <w:sz w:val="20"/>
                <w:szCs w:val="20"/>
              </w:rPr>
            </w:pPr>
            <w:r w:rsidRPr="00340E78">
              <w:rPr>
                <w:b/>
                <w:color w:val="000000"/>
                <w:spacing w:val="-3"/>
                <w:sz w:val="20"/>
                <w:szCs w:val="20"/>
              </w:rPr>
              <w:t>Total Racial Minority</w:t>
            </w:r>
          </w:p>
        </w:tc>
        <w:tc>
          <w:tcPr>
            <w:tcW w:w="753" w:type="dxa"/>
            <w:tcBorders>
              <w:top w:val="single" w:sz="4" w:space="0" w:color="auto"/>
              <w:left w:val="single" w:sz="6" w:space="0" w:color="auto"/>
              <w:bottom w:val="nil"/>
              <w:right w:val="single" w:sz="6" w:space="0" w:color="auto"/>
            </w:tcBorders>
          </w:tcPr>
          <w:p w14:paraId="0FD82326" w14:textId="77777777" w:rsidR="00340E78" w:rsidRPr="00340E78" w:rsidRDefault="00340E78" w:rsidP="002E7B94">
            <w:pPr>
              <w:ind w:left="10" w:hanging="10"/>
              <w:jc w:val="center"/>
              <w:rPr>
                <w:b/>
                <w:color w:val="000000"/>
                <w:spacing w:val="-3"/>
                <w:sz w:val="20"/>
                <w:szCs w:val="20"/>
              </w:rPr>
            </w:pPr>
            <w:r w:rsidRPr="00340E78">
              <w:rPr>
                <w:b/>
                <w:color w:val="000000"/>
                <w:spacing w:val="-3"/>
                <w:sz w:val="20"/>
                <w:szCs w:val="20"/>
              </w:rPr>
              <w:t>52</w:t>
            </w:r>
          </w:p>
        </w:tc>
        <w:tc>
          <w:tcPr>
            <w:tcW w:w="979" w:type="dxa"/>
            <w:tcBorders>
              <w:top w:val="single" w:sz="4" w:space="0" w:color="auto"/>
              <w:left w:val="single" w:sz="6" w:space="0" w:color="auto"/>
              <w:bottom w:val="nil"/>
              <w:right w:val="single" w:sz="6" w:space="0" w:color="auto"/>
            </w:tcBorders>
          </w:tcPr>
          <w:p w14:paraId="71C92259"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15.0</w:t>
            </w:r>
          </w:p>
        </w:tc>
        <w:tc>
          <w:tcPr>
            <w:tcW w:w="1168" w:type="dxa"/>
            <w:tcBorders>
              <w:top w:val="single" w:sz="4" w:space="0" w:color="auto"/>
              <w:left w:val="single" w:sz="6" w:space="0" w:color="auto"/>
              <w:bottom w:val="nil"/>
              <w:right w:val="single" w:sz="6" w:space="0" w:color="auto"/>
            </w:tcBorders>
            <w:shd w:val="clear" w:color="auto" w:fill="D9D9D9"/>
          </w:tcPr>
          <w:p w14:paraId="4C379D5A"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18.4</w:t>
            </w:r>
          </w:p>
        </w:tc>
        <w:tc>
          <w:tcPr>
            <w:tcW w:w="720" w:type="dxa"/>
            <w:tcBorders>
              <w:top w:val="single" w:sz="4" w:space="0" w:color="auto"/>
              <w:left w:val="single" w:sz="6" w:space="0" w:color="auto"/>
              <w:bottom w:val="nil"/>
              <w:right w:val="single" w:sz="6" w:space="0" w:color="auto"/>
            </w:tcBorders>
          </w:tcPr>
          <w:p w14:paraId="0C9C6AA1"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33</w:t>
            </w:r>
          </w:p>
        </w:tc>
        <w:tc>
          <w:tcPr>
            <w:tcW w:w="900" w:type="dxa"/>
            <w:tcBorders>
              <w:top w:val="single" w:sz="4" w:space="0" w:color="auto"/>
              <w:left w:val="single" w:sz="6" w:space="0" w:color="auto"/>
              <w:bottom w:val="nil"/>
              <w:right w:val="single" w:sz="4" w:space="0" w:color="auto"/>
            </w:tcBorders>
          </w:tcPr>
          <w:p w14:paraId="67B3494D"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9.7</w:t>
            </w:r>
          </w:p>
        </w:tc>
        <w:tc>
          <w:tcPr>
            <w:tcW w:w="1262" w:type="dxa"/>
            <w:tcBorders>
              <w:top w:val="single" w:sz="4" w:space="0" w:color="auto"/>
              <w:left w:val="single" w:sz="4" w:space="0" w:color="auto"/>
              <w:bottom w:val="nil"/>
              <w:right w:val="single" w:sz="18" w:space="0" w:color="auto"/>
            </w:tcBorders>
            <w:shd w:val="clear" w:color="auto" w:fill="D9D9D9"/>
          </w:tcPr>
          <w:p w14:paraId="640FEC42"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16.8</w:t>
            </w:r>
          </w:p>
        </w:tc>
      </w:tr>
      <w:tr w:rsidR="00340E78" w:rsidRPr="00340E78" w14:paraId="647A67AD" w14:textId="77777777" w:rsidTr="00340E78">
        <w:trPr>
          <w:jc w:val="center"/>
        </w:trPr>
        <w:tc>
          <w:tcPr>
            <w:tcW w:w="3015" w:type="dxa"/>
            <w:tcBorders>
              <w:left w:val="single" w:sz="18" w:space="0" w:color="auto"/>
              <w:bottom w:val="single" w:sz="4" w:space="0" w:color="auto"/>
              <w:right w:val="single" w:sz="6" w:space="0" w:color="auto"/>
            </w:tcBorders>
          </w:tcPr>
          <w:p w14:paraId="390AEF28" w14:textId="77777777" w:rsidR="00340E78" w:rsidRPr="00340E78" w:rsidRDefault="00340E78" w:rsidP="0021207D">
            <w:pPr>
              <w:ind w:left="10" w:hanging="10"/>
              <w:rPr>
                <w:color w:val="000000"/>
                <w:spacing w:val="-3"/>
                <w:sz w:val="20"/>
                <w:szCs w:val="20"/>
              </w:rPr>
            </w:pPr>
            <w:r w:rsidRPr="00340E78">
              <w:rPr>
                <w:color w:val="000000"/>
                <w:spacing w:val="-3"/>
                <w:sz w:val="20"/>
                <w:szCs w:val="20"/>
              </w:rPr>
              <w:t>White</w:t>
            </w:r>
          </w:p>
        </w:tc>
        <w:tc>
          <w:tcPr>
            <w:tcW w:w="753" w:type="dxa"/>
            <w:tcBorders>
              <w:left w:val="single" w:sz="6" w:space="0" w:color="auto"/>
              <w:bottom w:val="single" w:sz="4" w:space="0" w:color="auto"/>
              <w:right w:val="single" w:sz="6" w:space="0" w:color="auto"/>
            </w:tcBorders>
          </w:tcPr>
          <w:p w14:paraId="7385B0FD"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191</w:t>
            </w:r>
          </w:p>
        </w:tc>
        <w:tc>
          <w:tcPr>
            <w:tcW w:w="979" w:type="dxa"/>
            <w:tcBorders>
              <w:left w:val="single" w:sz="6" w:space="0" w:color="auto"/>
              <w:bottom w:val="single" w:sz="4" w:space="0" w:color="auto"/>
              <w:right w:val="single" w:sz="6" w:space="0" w:color="auto"/>
            </w:tcBorders>
          </w:tcPr>
          <w:p w14:paraId="6AE3C37B" w14:textId="77777777" w:rsidR="00340E78" w:rsidRPr="00340E78" w:rsidRDefault="00340E78">
            <w:pPr>
              <w:ind w:left="10" w:hanging="10"/>
              <w:jc w:val="center"/>
              <w:rPr>
                <w:color w:val="000000"/>
                <w:spacing w:val="-3"/>
                <w:sz w:val="20"/>
                <w:szCs w:val="20"/>
              </w:rPr>
            </w:pPr>
            <w:r w:rsidRPr="00340E78">
              <w:rPr>
                <w:color w:val="000000"/>
                <w:spacing w:val="-3"/>
                <w:sz w:val="20"/>
                <w:szCs w:val="20"/>
              </w:rPr>
              <w:t>55.0</w:t>
            </w:r>
          </w:p>
        </w:tc>
        <w:tc>
          <w:tcPr>
            <w:tcW w:w="1168" w:type="dxa"/>
            <w:tcBorders>
              <w:left w:val="single" w:sz="6" w:space="0" w:color="auto"/>
              <w:bottom w:val="single" w:sz="4" w:space="0" w:color="auto"/>
              <w:right w:val="single" w:sz="6" w:space="0" w:color="auto"/>
            </w:tcBorders>
            <w:shd w:val="clear" w:color="auto" w:fill="D9D9D9"/>
          </w:tcPr>
          <w:p w14:paraId="3ECF4357" w14:textId="77777777" w:rsidR="00340E78" w:rsidRPr="00340E78" w:rsidRDefault="00340E78">
            <w:pPr>
              <w:ind w:left="10" w:hanging="10"/>
              <w:jc w:val="center"/>
              <w:rPr>
                <w:color w:val="000000"/>
                <w:spacing w:val="-3"/>
                <w:sz w:val="20"/>
                <w:szCs w:val="20"/>
              </w:rPr>
            </w:pPr>
            <w:r w:rsidRPr="00340E78">
              <w:rPr>
                <w:color w:val="000000"/>
                <w:spacing w:val="-3"/>
                <w:sz w:val="20"/>
                <w:szCs w:val="20"/>
              </w:rPr>
              <w:t>58.0</w:t>
            </w:r>
          </w:p>
        </w:tc>
        <w:tc>
          <w:tcPr>
            <w:tcW w:w="720" w:type="dxa"/>
            <w:tcBorders>
              <w:left w:val="single" w:sz="6" w:space="0" w:color="auto"/>
              <w:bottom w:val="single" w:sz="4" w:space="0" w:color="auto"/>
              <w:right w:val="single" w:sz="6" w:space="0" w:color="auto"/>
            </w:tcBorders>
          </w:tcPr>
          <w:p w14:paraId="30572B9C" w14:textId="77777777" w:rsidR="00340E78" w:rsidRPr="00340E78" w:rsidRDefault="00340E78">
            <w:pPr>
              <w:ind w:left="10" w:hanging="10"/>
              <w:jc w:val="center"/>
              <w:rPr>
                <w:color w:val="000000"/>
                <w:spacing w:val="-3"/>
                <w:sz w:val="20"/>
                <w:szCs w:val="20"/>
              </w:rPr>
            </w:pPr>
            <w:r w:rsidRPr="00340E78">
              <w:rPr>
                <w:color w:val="000000"/>
                <w:spacing w:val="-3"/>
                <w:sz w:val="20"/>
                <w:szCs w:val="20"/>
              </w:rPr>
              <w:t>212</w:t>
            </w:r>
          </w:p>
        </w:tc>
        <w:tc>
          <w:tcPr>
            <w:tcW w:w="900" w:type="dxa"/>
            <w:tcBorders>
              <w:left w:val="single" w:sz="6" w:space="0" w:color="auto"/>
              <w:bottom w:val="single" w:sz="4" w:space="0" w:color="auto"/>
              <w:right w:val="single" w:sz="4" w:space="0" w:color="auto"/>
            </w:tcBorders>
          </w:tcPr>
          <w:p w14:paraId="1B30D2B2" w14:textId="77777777" w:rsidR="00340E78" w:rsidRPr="00340E78" w:rsidRDefault="00340E78">
            <w:pPr>
              <w:ind w:left="10" w:hanging="10"/>
              <w:jc w:val="center"/>
              <w:rPr>
                <w:color w:val="000000"/>
                <w:spacing w:val="-3"/>
                <w:sz w:val="20"/>
                <w:szCs w:val="20"/>
              </w:rPr>
            </w:pPr>
            <w:r w:rsidRPr="00340E78">
              <w:rPr>
                <w:color w:val="000000"/>
                <w:spacing w:val="-3"/>
                <w:sz w:val="20"/>
                <w:szCs w:val="20"/>
              </w:rPr>
              <w:t>62.4</w:t>
            </w:r>
          </w:p>
        </w:tc>
        <w:tc>
          <w:tcPr>
            <w:tcW w:w="1262" w:type="dxa"/>
            <w:tcBorders>
              <w:left w:val="single" w:sz="4" w:space="0" w:color="auto"/>
              <w:bottom w:val="single" w:sz="4" w:space="0" w:color="auto"/>
              <w:right w:val="single" w:sz="18" w:space="0" w:color="auto"/>
            </w:tcBorders>
            <w:shd w:val="clear" w:color="auto" w:fill="D9D9D9"/>
          </w:tcPr>
          <w:p w14:paraId="3B0FB408" w14:textId="77777777" w:rsidR="00340E78" w:rsidRPr="00340E78" w:rsidRDefault="00340E78">
            <w:pPr>
              <w:ind w:left="10" w:hanging="10"/>
              <w:jc w:val="center"/>
              <w:rPr>
                <w:color w:val="000000"/>
                <w:spacing w:val="-3"/>
                <w:sz w:val="20"/>
                <w:szCs w:val="20"/>
              </w:rPr>
            </w:pPr>
            <w:r w:rsidRPr="00340E78">
              <w:rPr>
                <w:color w:val="000000"/>
                <w:spacing w:val="-3"/>
                <w:sz w:val="20"/>
                <w:szCs w:val="20"/>
              </w:rPr>
              <w:t>58.0</w:t>
            </w:r>
          </w:p>
        </w:tc>
      </w:tr>
      <w:tr w:rsidR="00340E78" w:rsidRPr="00340E78" w14:paraId="3DAB3702" w14:textId="77777777" w:rsidTr="00340E78">
        <w:trPr>
          <w:jc w:val="center"/>
        </w:trPr>
        <w:tc>
          <w:tcPr>
            <w:tcW w:w="3015" w:type="dxa"/>
            <w:tcBorders>
              <w:left w:val="single" w:sz="18" w:space="0" w:color="auto"/>
              <w:bottom w:val="single" w:sz="4" w:space="0" w:color="auto"/>
              <w:right w:val="single" w:sz="6" w:space="0" w:color="auto"/>
            </w:tcBorders>
          </w:tcPr>
          <w:p w14:paraId="46E850B5" w14:textId="77777777" w:rsidR="00340E78" w:rsidRPr="00340E78" w:rsidRDefault="00340E78" w:rsidP="0021207D">
            <w:pPr>
              <w:ind w:left="10" w:hanging="10"/>
              <w:rPr>
                <w:color w:val="000000"/>
                <w:spacing w:val="-3"/>
                <w:sz w:val="20"/>
                <w:szCs w:val="20"/>
              </w:rPr>
            </w:pPr>
            <w:r w:rsidRPr="00340E78">
              <w:rPr>
                <w:color w:val="000000"/>
                <w:spacing w:val="-3"/>
                <w:sz w:val="20"/>
                <w:szCs w:val="20"/>
              </w:rPr>
              <w:t>Race Not Available</w:t>
            </w:r>
          </w:p>
        </w:tc>
        <w:tc>
          <w:tcPr>
            <w:tcW w:w="753" w:type="dxa"/>
            <w:tcBorders>
              <w:left w:val="single" w:sz="6" w:space="0" w:color="auto"/>
              <w:bottom w:val="single" w:sz="4" w:space="0" w:color="auto"/>
              <w:right w:val="single" w:sz="6" w:space="0" w:color="auto"/>
            </w:tcBorders>
          </w:tcPr>
          <w:p w14:paraId="596D0911"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104</w:t>
            </w:r>
          </w:p>
        </w:tc>
        <w:tc>
          <w:tcPr>
            <w:tcW w:w="979" w:type="dxa"/>
            <w:tcBorders>
              <w:left w:val="single" w:sz="6" w:space="0" w:color="auto"/>
              <w:bottom w:val="single" w:sz="4" w:space="0" w:color="auto"/>
              <w:right w:val="single" w:sz="6" w:space="0" w:color="auto"/>
            </w:tcBorders>
          </w:tcPr>
          <w:p w14:paraId="4701BECC" w14:textId="77777777" w:rsidR="00340E78" w:rsidRPr="00340E78" w:rsidRDefault="00340E78">
            <w:pPr>
              <w:ind w:left="10" w:hanging="10"/>
              <w:jc w:val="center"/>
              <w:rPr>
                <w:color w:val="000000"/>
                <w:spacing w:val="-3"/>
                <w:sz w:val="20"/>
                <w:szCs w:val="20"/>
              </w:rPr>
            </w:pPr>
            <w:r w:rsidRPr="00340E78">
              <w:rPr>
                <w:color w:val="000000"/>
                <w:spacing w:val="-3"/>
                <w:sz w:val="20"/>
                <w:szCs w:val="20"/>
              </w:rPr>
              <w:t>30.0</w:t>
            </w:r>
          </w:p>
        </w:tc>
        <w:tc>
          <w:tcPr>
            <w:tcW w:w="1168" w:type="dxa"/>
            <w:tcBorders>
              <w:left w:val="single" w:sz="6" w:space="0" w:color="auto"/>
              <w:bottom w:val="single" w:sz="4" w:space="0" w:color="auto"/>
              <w:right w:val="single" w:sz="6" w:space="0" w:color="auto"/>
            </w:tcBorders>
            <w:shd w:val="clear" w:color="auto" w:fill="D9D9D9"/>
          </w:tcPr>
          <w:p w14:paraId="290167FC" w14:textId="77777777" w:rsidR="00340E78" w:rsidRPr="00340E78" w:rsidRDefault="00340E78">
            <w:pPr>
              <w:ind w:left="10" w:hanging="10"/>
              <w:jc w:val="center"/>
              <w:rPr>
                <w:color w:val="000000"/>
                <w:spacing w:val="-3"/>
                <w:sz w:val="20"/>
                <w:szCs w:val="20"/>
              </w:rPr>
            </w:pPr>
            <w:r w:rsidRPr="00340E78">
              <w:rPr>
                <w:color w:val="000000"/>
                <w:spacing w:val="-3"/>
                <w:sz w:val="20"/>
                <w:szCs w:val="20"/>
              </w:rPr>
              <w:t>23.6</w:t>
            </w:r>
          </w:p>
        </w:tc>
        <w:tc>
          <w:tcPr>
            <w:tcW w:w="720" w:type="dxa"/>
            <w:tcBorders>
              <w:left w:val="single" w:sz="6" w:space="0" w:color="auto"/>
              <w:bottom w:val="single" w:sz="4" w:space="0" w:color="auto"/>
              <w:right w:val="single" w:sz="6" w:space="0" w:color="auto"/>
            </w:tcBorders>
          </w:tcPr>
          <w:p w14:paraId="35FEFA27" w14:textId="77777777" w:rsidR="00340E78" w:rsidRPr="00340E78" w:rsidRDefault="00340E78">
            <w:pPr>
              <w:ind w:left="10" w:hanging="10"/>
              <w:jc w:val="center"/>
              <w:rPr>
                <w:color w:val="000000"/>
                <w:spacing w:val="-3"/>
                <w:sz w:val="20"/>
                <w:szCs w:val="20"/>
              </w:rPr>
            </w:pPr>
            <w:r w:rsidRPr="00340E78">
              <w:rPr>
                <w:color w:val="000000"/>
                <w:spacing w:val="-3"/>
                <w:sz w:val="20"/>
                <w:szCs w:val="20"/>
              </w:rPr>
              <w:t>95</w:t>
            </w:r>
          </w:p>
        </w:tc>
        <w:tc>
          <w:tcPr>
            <w:tcW w:w="900" w:type="dxa"/>
            <w:tcBorders>
              <w:left w:val="single" w:sz="6" w:space="0" w:color="auto"/>
              <w:bottom w:val="single" w:sz="4" w:space="0" w:color="auto"/>
              <w:right w:val="single" w:sz="4" w:space="0" w:color="auto"/>
            </w:tcBorders>
          </w:tcPr>
          <w:p w14:paraId="11CF6836" w14:textId="77777777" w:rsidR="00340E78" w:rsidRPr="00340E78" w:rsidRDefault="00340E78">
            <w:pPr>
              <w:ind w:left="10" w:hanging="10"/>
              <w:jc w:val="center"/>
              <w:rPr>
                <w:color w:val="000000"/>
                <w:spacing w:val="-3"/>
                <w:sz w:val="20"/>
                <w:szCs w:val="20"/>
              </w:rPr>
            </w:pPr>
            <w:r w:rsidRPr="00340E78">
              <w:rPr>
                <w:color w:val="000000"/>
                <w:spacing w:val="-3"/>
                <w:sz w:val="20"/>
                <w:szCs w:val="20"/>
              </w:rPr>
              <w:t>27.9</w:t>
            </w:r>
          </w:p>
        </w:tc>
        <w:tc>
          <w:tcPr>
            <w:tcW w:w="1262" w:type="dxa"/>
            <w:tcBorders>
              <w:left w:val="single" w:sz="4" w:space="0" w:color="auto"/>
              <w:bottom w:val="single" w:sz="4" w:space="0" w:color="auto"/>
              <w:right w:val="single" w:sz="18" w:space="0" w:color="auto"/>
            </w:tcBorders>
            <w:shd w:val="clear" w:color="auto" w:fill="D9D9D9"/>
          </w:tcPr>
          <w:p w14:paraId="5CDDA260" w14:textId="77777777" w:rsidR="00340E78" w:rsidRPr="00340E78" w:rsidRDefault="00340E78">
            <w:pPr>
              <w:ind w:left="10" w:hanging="10"/>
              <w:jc w:val="center"/>
              <w:rPr>
                <w:color w:val="000000"/>
                <w:spacing w:val="-3"/>
                <w:sz w:val="20"/>
                <w:szCs w:val="20"/>
              </w:rPr>
            </w:pPr>
            <w:r w:rsidRPr="00340E78">
              <w:rPr>
                <w:color w:val="000000"/>
                <w:spacing w:val="-3"/>
                <w:sz w:val="20"/>
                <w:szCs w:val="20"/>
              </w:rPr>
              <w:t>25.2</w:t>
            </w:r>
          </w:p>
        </w:tc>
      </w:tr>
      <w:tr w:rsidR="00340E78" w:rsidRPr="00340E78" w14:paraId="24D45861" w14:textId="77777777" w:rsidTr="00340E78">
        <w:trPr>
          <w:jc w:val="center"/>
        </w:trPr>
        <w:tc>
          <w:tcPr>
            <w:tcW w:w="3015" w:type="dxa"/>
            <w:tcBorders>
              <w:top w:val="nil"/>
              <w:left w:val="single" w:sz="18" w:space="0" w:color="auto"/>
              <w:bottom w:val="single" w:sz="18" w:space="0" w:color="auto"/>
            </w:tcBorders>
          </w:tcPr>
          <w:p w14:paraId="6C6A2469" w14:textId="77777777" w:rsidR="00340E78" w:rsidRPr="00340E78" w:rsidRDefault="00340E78" w:rsidP="0021207D">
            <w:pPr>
              <w:ind w:left="10" w:hanging="10"/>
              <w:jc w:val="center"/>
              <w:rPr>
                <w:b/>
                <w:color w:val="000000"/>
                <w:spacing w:val="-3"/>
                <w:sz w:val="20"/>
                <w:szCs w:val="20"/>
              </w:rPr>
            </w:pPr>
            <w:r w:rsidRPr="00340E78">
              <w:rPr>
                <w:b/>
                <w:color w:val="000000"/>
                <w:spacing w:val="-3"/>
                <w:sz w:val="20"/>
                <w:szCs w:val="20"/>
              </w:rPr>
              <w:t>Total</w:t>
            </w:r>
          </w:p>
        </w:tc>
        <w:tc>
          <w:tcPr>
            <w:tcW w:w="753" w:type="dxa"/>
            <w:tcBorders>
              <w:top w:val="nil"/>
              <w:bottom w:val="single" w:sz="18" w:space="0" w:color="auto"/>
            </w:tcBorders>
          </w:tcPr>
          <w:p w14:paraId="3F03C46F" w14:textId="77777777" w:rsidR="00340E78" w:rsidRPr="00340E78" w:rsidRDefault="00340E78" w:rsidP="002E7B94">
            <w:pPr>
              <w:ind w:left="10" w:hanging="10"/>
              <w:jc w:val="center"/>
              <w:rPr>
                <w:b/>
                <w:color w:val="000000"/>
                <w:spacing w:val="-3"/>
                <w:sz w:val="20"/>
                <w:szCs w:val="20"/>
              </w:rPr>
            </w:pPr>
            <w:r w:rsidRPr="00340E78">
              <w:rPr>
                <w:b/>
                <w:color w:val="000000"/>
                <w:spacing w:val="-3"/>
                <w:sz w:val="20"/>
                <w:szCs w:val="20"/>
              </w:rPr>
              <w:t>347</w:t>
            </w:r>
          </w:p>
        </w:tc>
        <w:tc>
          <w:tcPr>
            <w:tcW w:w="979" w:type="dxa"/>
            <w:tcBorders>
              <w:top w:val="nil"/>
              <w:bottom w:val="single" w:sz="18" w:space="0" w:color="auto"/>
              <w:right w:val="single" w:sz="4" w:space="0" w:color="auto"/>
            </w:tcBorders>
          </w:tcPr>
          <w:p w14:paraId="0E93AC92"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100.0</w:t>
            </w:r>
          </w:p>
        </w:tc>
        <w:tc>
          <w:tcPr>
            <w:tcW w:w="1168" w:type="dxa"/>
            <w:tcBorders>
              <w:top w:val="nil"/>
              <w:bottom w:val="single" w:sz="18" w:space="0" w:color="auto"/>
            </w:tcBorders>
            <w:shd w:val="clear" w:color="auto" w:fill="D9D9D9"/>
          </w:tcPr>
          <w:p w14:paraId="52501323"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100.0</w:t>
            </w:r>
          </w:p>
        </w:tc>
        <w:tc>
          <w:tcPr>
            <w:tcW w:w="720" w:type="dxa"/>
            <w:tcBorders>
              <w:top w:val="nil"/>
              <w:bottom w:val="single" w:sz="18" w:space="0" w:color="auto"/>
            </w:tcBorders>
          </w:tcPr>
          <w:p w14:paraId="64FB0519"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340</w:t>
            </w:r>
          </w:p>
        </w:tc>
        <w:tc>
          <w:tcPr>
            <w:tcW w:w="900" w:type="dxa"/>
            <w:tcBorders>
              <w:top w:val="single" w:sz="4" w:space="0" w:color="auto"/>
              <w:bottom w:val="single" w:sz="18" w:space="0" w:color="auto"/>
              <w:right w:val="single" w:sz="4" w:space="0" w:color="auto"/>
            </w:tcBorders>
          </w:tcPr>
          <w:p w14:paraId="0CFF72B1"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100.0</w:t>
            </w:r>
          </w:p>
        </w:tc>
        <w:tc>
          <w:tcPr>
            <w:tcW w:w="1262" w:type="dxa"/>
            <w:tcBorders>
              <w:top w:val="nil"/>
              <w:left w:val="single" w:sz="4" w:space="0" w:color="auto"/>
              <w:bottom w:val="single" w:sz="18" w:space="0" w:color="auto"/>
              <w:right w:val="single" w:sz="18" w:space="0" w:color="auto"/>
            </w:tcBorders>
            <w:shd w:val="clear" w:color="auto" w:fill="D9D9D9"/>
          </w:tcPr>
          <w:p w14:paraId="3EDFA547"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100.0</w:t>
            </w:r>
          </w:p>
        </w:tc>
      </w:tr>
      <w:tr w:rsidR="00340E78" w:rsidRPr="00340E78" w14:paraId="1EF57603" w14:textId="77777777" w:rsidTr="00340E78">
        <w:trPr>
          <w:jc w:val="center"/>
        </w:trPr>
        <w:tc>
          <w:tcPr>
            <w:tcW w:w="3015" w:type="dxa"/>
            <w:tcBorders>
              <w:top w:val="nil"/>
              <w:left w:val="single" w:sz="18" w:space="0" w:color="auto"/>
              <w:bottom w:val="single" w:sz="4" w:space="0" w:color="auto"/>
            </w:tcBorders>
          </w:tcPr>
          <w:p w14:paraId="014F54F0" w14:textId="77777777" w:rsidR="00340E78" w:rsidRPr="00340E78" w:rsidRDefault="00340E78" w:rsidP="0021207D">
            <w:pPr>
              <w:ind w:left="10" w:hanging="10"/>
              <w:jc w:val="center"/>
              <w:rPr>
                <w:b/>
                <w:color w:val="000000"/>
                <w:spacing w:val="-3"/>
                <w:sz w:val="20"/>
                <w:szCs w:val="20"/>
              </w:rPr>
            </w:pPr>
            <w:r w:rsidRPr="00340E78">
              <w:rPr>
                <w:b/>
                <w:color w:val="000000"/>
                <w:spacing w:val="-3"/>
                <w:sz w:val="20"/>
                <w:szCs w:val="20"/>
              </w:rPr>
              <w:t>ETHNICITY</w:t>
            </w:r>
          </w:p>
        </w:tc>
        <w:tc>
          <w:tcPr>
            <w:tcW w:w="753" w:type="dxa"/>
            <w:tcBorders>
              <w:top w:val="nil"/>
              <w:bottom w:val="single" w:sz="4" w:space="0" w:color="auto"/>
            </w:tcBorders>
          </w:tcPr>
          <w:p w14:paraId="5B7A2A8A" w14:textId="77777777" w:rsidR="00340E78" w:rsidRPr="00340E78" w:rsidRDefault="00340E78" w:rsidP="002E7B94">
            <w:pPr>
              <w:ind w:left="10" w:hanging="10"/>
              <w:jc w:val="center"/>
              <w:rPr>
                <w:b/>
                <w:color w:val="000000"/>
                <w:spacing w:val="-3"/>
                <w:sz w:val="20"/>
                <w:szCs w:val="20"/>
              </w:rPr>
            </w:pPr>
          </w:p>
        </w:tc>
        <w:tc>
          <w:tcPr>
            <w:tcW w:w="979" w:type="dxa"/>
            <w:tcBorders>
              <w:top w:val="nil"/>
              <w:bottom w:val="single" w:sz="4" w:space="0" w:color="auto"/>
              <w:right w:val="single" w:sz="4" w:space="0" w:color="auto"/>
            </w:tcBorders>
          </w:tcPr>
          <w:p w14:paraId="78BEE88A" w14:textId="77777777" w:rsidR="00340E78" w:rsidRPr="00340E78" w:rsidRDefault="00340E78">
            <w:pPr>
              <w:ind w:left="10" w:hanging="10"/>
              <w:jc w:val="center"/>
              <w:rPr>
                <w:b/>
                <w:color w:val="000000"/>
                <w:spacing w:val="-3"/>
                <w:sz w:val="20"/>
                <w:szCs w:val="20"/>
              </w:rPr>
            </w:pPr>
          </w:p>
        </w:tc>
        <w:tc>
          <w:tcPr>
            <w:tcW w:w="1168" w:type="dxa"/>
            <w:tcBorders>
              <w:top w:val="nil"/>
              <w:bottom w:val="single" w:sz="4" w:space="0" w:color="auto"/>
            </w:tcBorders>
            <w:shd w:val="clear" w:color="auto" w:fill="D9D9D9"/>
          </w:tcPr>
          <w:p w14:paraId="4EEBFDD4" w14:textId="77777777" w:rsidR="00340E78" w:rsidRPr="00340E78" w:rsidRDefault="00340E78">
            <w:pPr>
              <w:ind w:left="10" w:hanging="10"/>
              <w:jc w:val="center"/>
              <w:rPr>
                <w:b/>
                <w:color w:val="000000"/>
                <w:spacing w:val="-3"/>
                <w:sz w:val="20"/>
                <w:szCs w:val="20"/>
              </w:rPr>
            </w:pPr>
          </w:p>
        </w:tc>
        <w:tc>
          <w:tcPr>
            <w:tcW w:w="720" w:type="dxa"/>
            <w:tcBorders>
              <w:top w:val="nil"/>
              <w:bottom w:val="single" w:sz="4" w:space="0" w:color="auto"/>
            </w:tcBorders>
          </w:tcPr>
          <w:p w14:paraId="4E75860E" w14:textId="77777777" w:rsidR="00340E78" w:rsidRPr="00340E78" w:rsidRDefault="00340E78">
            <w:pPr>
              <w:ind w:left="10" w:hanging="10"/>
              <w:jc w:val="center"/>
              <w:rPr>
                <w:b/>
                <w:color w:val="000000"/>
                <w:spacing w:val="-3"/>
                <w:sz w:val="20"/>
                <w:szCs w:val="20"/>
              </w:rPr>
            </w:pPr>
          </w:p>
        </w:tc>
        <w:tc>
          <w:tcPr>
            <w:tcW w:w="900" w:type="dxa"/>
            <w:tcBorders>
              <w:top w:val="single" w:sz="18" w:space="0" w:color="auto"/>
              <w:bottom w:val="single" w:sz="4" w:space="0" w:color="auto"/>
              <w:right w:val="single" w:sz="4" w:space="0" w:color="auto"/>
            </w:tcBorders>
          </w:tcPr>
          <w:p w14:paraId="0DA4B156" w14:textId="77777777" w:rsidR="00340E78" w:rsidRPr="00340E78" w:rsidRDefault="00340E78">
            <w:pPr>
              <w:ind w:left="10" w:hanging="10"/>
              <w:jc w:val="center"/>
              <w:rPr>
                <w:b/>
                <w:color w:val="000000"/>
                <w:spacing w:val="-3"/>
                <w:sz w:val="20"/>
                <w:szCs w:val="20"/>
              </w:rPr>
            </w:pPr>
          </w:p>
        </w:tc>
        <w:tc>
          <w:tcPr>
            <w:tcW w:w="1262" w:type="dxa"/>
            <w:tcBorders>
              <w:top w:val="nil"/>
              <w:left w:val="single" w:sz="4" w:space="0" w:color="auto"/>
              <w:bottom w:val="single" w:sz="4" w:space="0" w:color="auto"/>
              <w:right w:val="single" w:sz="18" w:space="0" w:color="auto"/>
            </w:tcBorders>
            <w:shd w:val="clear" w:color="auto" w:fill="D9D9D9"/>
          </w:tcPr>
          <w:p w14:paraId="0233F974" w14:textId="77777777" w:rsidR="00340E78" w:rsidRPr="00340E78" w:rsidRDefault="00340E78">
            <w:pPr>
              <w:ind w:left="10" w:hanging="10"/>
              <w:jc w:val="center"/>
              <w:rPr>
                <w:b/>
                <w:color w:val="000000"/>
                <w:spacing w:val="-3"/>
                <w:sz w:val="20"/>
                <w:szCs w:val="20"/>
              </w:rPr>
            </w:pPr>
          </w:p>
        </w:tc>
      </w:tr>
      <w:tr w:rsidR="00340E78" w:rsidRPr="00340E78" w14:paraId="5471D6CE" w14:textId="77777777" w:rsidTr="00340E78">
        <w:trPr>
          <w:jc w:val="center"/>
        </w:trPr>
        <w:tc>
          <w:tcPr>
            <w:tcW w:w="3015" w:type="dxa"/>
            <w:tcBorders>
              <w:top w:val="single" w:sz="4" w:space="0" w:color="auto"/>
              <w:left w:val="single" w:sz="18" w:space="0" w:color="auto"/>
              <w:bottom w:val="single" w:sz="4" w:space="0" w:color="auto"/>
            </w:tcBorders>
          </w:tcPr>
          <w:p w14:paraId="49BD24A3" w14:textId="77777777" w:rsidR="00340E78" w:rsidRPr="00340E78" w:rsidRDefault="00340E78" w:rsidP="0021207D">
            <w:pPr>
              <w:ind w:left="10" w:hanging="10"/>
              <w:rPr>
                <w:color w:val="000000"/>
                <w:spacing w:val="-3"/>
                <w:sz w:val="20"/>
                <w:szCs w:val="20"/>
              </w:rPr>
            </w:pPr>
            <w:r w:rsidRPr="00340E78">
              <w:rPr>
                <w:color w:val="000000"/>
                <w:spacing w:val="-3"/>
                <w:sz w:val="20"/>
                <w:szCs w:val="20"/>
              </w:rPr>
              <w:t>Hispanic or Latino</w:t>
            </w:r>
          </w:p>
        </w:tc>
        <w:tc>
          <w:tcPr>
            <w:tcW w:w="753" w:type="dxa"/>
            <w:tcBorders>
              <w:top w:val="single" w:sz="4" w:space="0" w:color="auto"/>
              <w:bottom w:val="single" w:sz="4" w:space="0" w:color="auto"/>
            </w:tcBorders>
          </w:tcPr>
          <w:p w14:paraId="78335FFF"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22</w:t>
            </w:r>
          </w:p>
        </w:tc>
        <w:tc>
          <w:tcPr>
            <w:tcW w:w="979" w:type="dxa"/>
            <w:tcBorders>
              <w:top w:val="single" w:sz="4" w:space="0" w:color="auto"/>
              <w:bottom w:val="single" w:sz="4" w:space="0" w:color="auto"/>
              <w:right w:val="single" w:sz="4" w:space="0" w:color="auto"/>
            </w:tcBorders>
          </w:tcPr>
          <w:p w14:paraId="65F6B138" w14:textId="77777777" w:rsidR="00340E78" w:rsidRPr="00340E78" w:rsidRDefault="00340E78">
            <w:pPr>
              <w:ind w:left="10" w:hanging="10"/>
              <w:jc w:val="center"/>
              <w:rPr>
                <w:color w:val="000000"/>
                <w:spacing w:val="-3"/>
                <w:sz w:val="20"/>
                <w:szCs w:val="20"/>
              </w:rPr>
            </w:pPr>
            <w:r w:rsidRPr="00340E78">
              <w:rPr>
                <w:color w:val="000000"/>
                <w:spacing w:val="-3"/>
                <w:sz w:val="20"/>
                <w:szCs w:val="20"/>
              </w:rPr>
              <w:t>6.3</w:t>
            </w:r>
          </w:p>
        </w:tc>
        <w:tc>
          <w:tcPr>
            <w:tcW w:w="1168" w:type="dxa"/>
            <w:tcBorders>
              <w:top w:val="single" w:sz="4" w:space="0" w:color="auto"/>
              <w:bottom w:val="single" w:sz="4" w:space="0" w:color="auto"/>
            </w:tcBorders>
            <w:shd w:val="clear" w:color="auto" w:fill="D9D9D9"/>
          </w:tcPr>
          <w:p w14:paraId="43F9ADA6" w14:textId="77777777" w:rsidR="00340E78" w:rsidRPr="00340E78" w:rsidRDefault="00340E78">
            <w:pPr>
              <w:ind w:left="10" w:hanging="10"/>
              <w:jc w:val="center"/>
              <w:rPr>
                <w:color w:val="000000"/>
                <w:spacing w:val="-3"/>
                <w:sz w:val="20"/>
                <w:szCs w:val="20"/>
              </w:rPr>
            </w:pPr>
            <w:r w:rsidRPr="00340E78">
              <w:rPr>
                <w:color w:val="000000"/>
                <w:spacing w:val="-3"/>
                <w:sz w:val="20"/>
                <w:szCs w:val="20"/>
              </w:rPr>
              <w:t>8.1</w:t>
            </w:r>
          </w:p>
        </w:tc>
        <w:tc>
          <w:tcPr>
            <w:tcW w:w="720" w:type="dxa"/>
            <w:tcBorders>
              <w:top w:val="single" w:sz="4" w:space="0" w:color="auto"/>
              <w:bottom w:val="single" w:sz="4" w:space="0" w:color="auto"/>
            </w:tcBorders>
          </w:tcPr>
          <w:p w14:paraId="5C87A041" w14:textId="77777777" w:rsidR="00340E78" w:rsidRPr="00340E78" w:rsidRDefault="00340E78">
            <w:pPr>
              <w:ind w:left="10" w:hanging="10"/>
              <w:jc w:val="center"/>
              <w:rPr>
                <w:color w:val="000000"/>
                <w:spacing w:val="-3"/>
                <w:sz w:val="20"/>
                <w:szCs w:val="20"/>
              </w:rPr>
            </w:pPr>
            <w:r w:rsidRPr="00340E78">
              <w:rPr>
                <w:color w:val="000000"/>
                <w:spacing w:val="-3"/>
                <w:sz w:val="20"/>
                <w:szCs w:val="20"/>
              </w:rPr>
              <w:t>29</w:t>
            </w:r>
          </w:p>
        </w:tc>
        <w:tc>
          <w:tcPr>
            <w:tcW w:w="900" w:type="dxa"/>
            <w:tcBorders>
              <w:top w:val="single" w:sz="4" w:space="0" w:color="auto"/>
              <w:bottom w:val="single" w:sz="4" w:space="0" w:color="auto"/>
              <w:right w:val="single" w:sz="4" w:space="0" w:color="auto"/>
            </w:tcBorders>
          </w:tcPr>
          <w:p w14:paraId="5A1BCD7B" w14:textId="77777777" w:rsidR="00340E78" w:rsidRPr="00340E78" w:rsidRDefault="00340E78">
            <w:pPr>
              <w:ind w:left="10" w:hanging="10"/>
              <w:jc w:val="center"/>
              <w:rPr>
                <w:color w:val="000000"/>
                <w:spacing w:val="-3"/>
                <w:sz w:val="20"/>
                <w:szCs w:val="20"/>
              </w:rPr>
            </w:pPr>
            <w:r w:rsidRPr="00340E78">
              <w:rPr>
                <w:color w:val="000000"/>
                <w:spacing w:val="-3"/>
                <w:sz w:val="20"/>
                <w:szCs w:val="20"/>
              </w:rPr>
              <w:t>8.5</w:t>
            </w:r>
          </w:p>
        </w:tc>
        <w:tc>
          <w:tcPr>
            <w:tcW w:w="1262" w:type="dxa"/>
            <w:tcBorders>
              <w:top w:val="single" w:sz="4" w:space="0" w:color="auto"/>
              <w:left w:val="single" w:sz="4" w:space="0" w:color="auto"/>
              <w:bottom w:val="single" w:sz="4" w:space="0" w:color="auto"/>
              <w:right w:val="single" w:sz="18" w:space="0" w:color="auto"/>
            </w:tcBorders>
            <w:shd w:val="clear" w:color="auto" w:fill="D9D9D9"/>
          </w:tcPr>
          <w:p w14:paraId="77A6C8CA" w14:textId="77777777" w:rsidR="00340E78" w:rsidRPr="00340E78" w:rsidRDefault="00340E78">
            <w:pPr>
              <w:ind w:left="10" w:hanging="10"/>
              <w:jc w:val="center"/>
              <w:rPr>
                <w:color w:val="000000"/>
                <w:spacing w:val="-3"/>
                <w:sz w:val="20"/>
                <w:szCs w:val="20"/>
              </w:rPr>
            </w:pPr>
            <w:r w:rsidRPr="00340E78">
              <w:rPr>
                <w:color w:val="000000"/>
                <w:spacing w:val="-3"/>
                <w:sz w:val="20"/>
                <w:szCs w:val="20"/>
              </w:rPr>
              <w:t>7.9</w:t>
            </w:r>
          </w:p>
        </w:tc>
      </w:tr>
      <w:tr w:rsidR="00340E78" w:rsidRPr="00340E78" w14:paraId="50AD6183" w14:textId="77777777" w:rsidTr="00340E78">
        <w:trPr>
          <w:jc w:val="center"/>
        </w:trPr>
        <w:tc>
          <w:tcPr>
            <w:tcW w:w="3015" w:type="dxa"/>
            <w:tcBorders>
              <w:top w:val="single" w:sz="4" w:space="0" w:color="auto"/>
              <w:left w:val="single" w:sz="18" w:space="0" w:color="auto"/>
              <w:bottom w:val="single" w:sz="4" w:space="0" w:color="auto"/>
            </w:tcBorders>
          </w:tcPr>
          <w:p w14:paraId="2E4A8C8E" w14:textId="77777777" w:rsidR="00340E78" w:rsidRPr="00340E78" w:rsidRDefault="00340E78" w:rsidP="0021207D">
            <w:pPr>
              <w:ind w:left="10" w:hanging="10"/>
              <w:rPr>
                <w:color w:val="000000"/>
                <w:spacing w:val="-3"/>
                <w:sz w:val="20"/>
                <w:szCs w:val="20"/>
              </w:rPr>
            </w:pPr>
            <w:r w:rsidRPr="00340E78">
              <w:rPr>
                <w:color w:val="000000"/>
                <w:spacing w:val="-3"/>
                <w:sz w:val="20"/>
                <w:szCs w:val="20"/>
              </w:rPr>
              <w:t>Joint (Hisp/Lat /Not Hisp/Lat)</w:t>
            </w:r>
          </w:p>
        </w:tc>
        <w:tc>
          <w:tcPr>
            <w:tcW w:w="753" w:type="dxa"/>
            <w:tcBorders>
              <w:top w:val="single" w:sz="4" w:space="0" w:color="auto"/>
              <w:bottom w:val="single" w:sz="4" w:space="0" w:color="auto"/>
            </w:tcBorders>
          </w:tcPr>
          <w:p w14:paraId="7CFEF6C1"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1</w:t>
            </w:r>
          </w:p>
        </w:tc>
        <w:tc>
          <w:tcPr>
            <w:tcW w:w="979" w:type="dxa"/>
            <w:tcBorders>
              <w:top w:val="single" w:sz="4" w:space="0" w:color="auto"/>
              <w:bottom w:val="single" w:sz="4" w:space="0" w:color="auto"/>
              <w:right w:val="single" w:sz="4" w:space="0" w:color="auto"/>
            </w:tcBorders>
          </w:tcPr>
          <w:p w14:paraId="5C4D3BC7" w14:textId="77777777" w:rsidR="00340E78" w:rsidRPr="00340E78" w:rsidRDefault="00340E78">
            <w:pPr>
              <w:ind w:left="10" w:hanging="10"/>
              <w:jc w:val="center"/>
              <w:rPr>
                <w:color w:val="000000"/>
                <w:spacing w:val="-3"/>
                <w:sz w:val="20"/>
                <w:szCs w:val="20"/>
              </w:rPr>
            </w:pPr>
            <w:r w:rsidRPr="00340E78">
              <w:rPr>
                <w:color w:val="000000"/>
                <w:spacing w:val="-3"/>
                <w:sz w:val="20"/>
                <w:szCs w:val="20"/>
              </w:rPr>
              <w:t>0.3</w:t>
            </w:r>
          </w:p>
        </w:tc>
        <w:tc>
          <w:tcPr>
            <w:tcW w:w="1168" w:type="dxa"/>
            <w:tcBorders>
              <w:top w:val="single" w:sz="4" w:space="0" w:color="auto"/>
              <w:bottom w:val="single" w:sz="4" w:space="0" w:color="auto"/>
            </w:tcBorders>
            <w:shd w:val="clear" w:color="auto" w:fill="D9D9D9"/>
          </w:tcPr>
          <w:p w14:paraId="19FB3044" w14:textId="77777777" w:rsidR="00340E78" w:rsidRPr="00340E78" w:rsidRDefault="00340E78">
            <w:pPr>
              <w:ind w:left="10" w:hanging="10"/>
              <w:jc w:val="center"/>
              <w:rPr>
                <w:color w:val="000000"/>
                <w:spacing w:val="-3"/>
                <w:sz w:val="20"/>
                <w:szCs w:val="20"/>
              </w:rPr>
            </w:pPr>
            <w:r w:rsidRPr="00340E78">
              <w:rPr>
                <w:color w:val="000000"/>
                <w:spacing w:val="-3"/>
                <w:sz w:val="20"/>
                <w:szCs w:val="20"/>
              </w:rPr>
              <w:t>1.3</w:t>
            </w:r>
          </w:p>
        </w:tc>
        <w:tc>
          <w:tcPr>
            <w:tcW w:w="720" w:type="dxa"/>
            <w:tcBorders>
              <w:top w:val="single" w:sz="4" w:space="0" w:color="auto"/>
              <w:bottom w:val="single" w:sz="4" w:space="0" w:color="auto"/>
            </w:tcBorders>
          </w:tcPr>
          <w:p w14:paraId="5477548D" w14:textId="77777777" w:rsidR="00340E78" w:rsidRPr="00340E78" w:rsidRDefault="00340E78">
            <w:pPr>
              <w:ind w:left="10" w:hanging="10"/>
              <w:jc w:val="center"/>
              <w:rPr>
                <w:color w:val="000000"/>
                <w:spacing w:val="-3"/>
                <w:sz w:val="20"/>
                <w:szCs w:val="20"/>
              </w:rPr>
            </w:pPr>
            <w:r w:rsidRPr="00340E78">
              <w:rPr>
                <w:color w:val="000000"/>
                <w:spacing w:val="-3"/>
                <w:sz w:val="20"/>
                <w:szCs w:val="20"/>
              </w:rPr>
              <w:t>4</w:t>
            </w:r>
          </w:p>
        </w:tc>
        <w:tc>
          <w:tcPr>
            <w:tcW w:w="900" w:type="dxa"/>
            <w:tcBorders>
              <w:top w:val="single" w:sz="4" w:space="0" w:color="auto"/>
              <w:bottom w:val="single" w:sz="4" w:space="0" w:color="auto"/>
              <w:right w:val="single" w:sz="4" w:space="0" w:color="auto"/>
            </w:tcBorders>
          </w:tcPr>
          <w:p w14:paraId="00F399BE" w14:textId="77777777" w:rsidR="00340E78" w:rsidRPr="00340E78" w:rsidRDefault="00340E78">
            <w:pPr>
              <w:ind w:left="10" w:hanging="10"/>
              <w:jc w:val="center"/>
              <w:rPr>
                <w:color w:val="000000"/>
                <w:spacing w:val="-3"/>
                <w:sz w:val="20"/>
                <w:szCs w:val="20"/>
              </w:rPr>
            </w:pPr>
            <w:r w:rsidRPr="00340E78">
              <w:rPr>
                <w:color w:val="000000"/>
                <w:spacing w:val="-3"/>
                <w:sz w:val="20"/>
                <w:szCs w:val="20"/>
              </w:rPr>
              <w:t>1.2</w:t>
            </w:r>
          </w:p>
        </w:tc>
        <w:tc>
          <w:tcPr>
            <w:tcW w:w="1262" w:type="dxa"/>
            <w:tcBorders>
              <w:top w:val="single" w:sz="4" w:space="0" w:color="auto"/>
              <w:left w:val="single" w:sz="4" w:space="0" w:color="auto"/>
              <w:bottom w:val="single" w:sz="4" w:space="0" w:color="auto"/>
              <w:right w:val="single" w:sz="18" w:space="0" w:color="auto"/>
            </w:tcBorders>
            <w:shd w:val="clear" w:color="auto" w:fill="D9D9D9"/>
          </w:tcPr>
          <w:p w14:paraId="1C5DAC72" w14:textId="77777777" w:rsidR="00340E78" w:rsidRPr="00340E78" w:rsidRDefault="00340E78">
            <w:pPr>
              <w:ind w:left="10" w:hanging="10"/>
              <w:jc w:val="center"/>
              <w:rPr>
                <w:color w:val="000000"/>
                <w:spacing w:val="-3"/>
                <w:sz w:val="20"/>
                <w:szCs w:val="20"/>
              </w:rPr>
            </w:pPr>
            <w:r w:rsidRPr="00340E78">
              <w:rPr>
                <w:color w:val="000000"/>
                <w:spacing w:val="-3"/>
                <w:sz w:val="20"/>
                <w:szCs w:val="20"/>
              </w:rPr>
              <w:t>1.3</w:t>
            </w:r>
          </w:p>
        </w:tc>
      </w:tr>
      <w:tr w:rsidR="00340E78" w:rsidRPr="00340E78" w14:paraId="3FE65C74" w14:textId="77777777" w:rsidTr="00340E78">
        <w:trPr>
          <w:jc w:val="center"/>
        </w:trPr>
        <w:tc>
          <w:tcPr>
            <w:tcW w:w="3015" w:type="dxa"/>
            <w:tcBorders>
              <w:top w:val="single" w:sz="4" w:space="0" w:color="auto"/>
              <w:left w:val="single" w:sz="18" w:space="0" w:color="auto"/>
              <w:bottom w:val="single" w:sz="4" w:space="0" w:color="auto"/>
            </w:tcBorders>
          </w:tcPr>
          <w:p w14:paraId="2682CA9A" w14:textId="77777777" w:rsidR="00340E78" w:rsidRPr="00340E78" w:rsidRDefault="00340E78" w:rsidP="0021207D">
            <w:pPr>
              <w:ind w:left="10" w:hanging="10"/>
              <w:jc w:val="center"/>
              <w:rPr>
                <w:b/>
                <w:color w:val="000000"/>
                <w:spacing w:val="-3"/>
                <w:sz w:val="20"/>
                <w:szCs w:val="20"/>
              </w:rPr>
            </w:pPr>
            <w:r w:rsidRPr="00340E78">
              <w:rPr>
                <w:b/>
                <w:color w:val="000000"/>
                <w:spacing w:val="-3"/>
                <w:sz w:val="20"/>
                <w:szCs w:val="20"/>
              </w:rPr>
              <w:t>Total Ethnic Minority</w:t>
            </w:r>
          </w:p>
        </w:tc>
        <w:tc>
          <w:tcPr>
            <w:tcW w:w="753" w:type="dxa"/>
            <w:tcBorders>
              <w:top w:val="single" w:sz="4" w:space="0" w:color="auto"/>
              <w:bottom w:val="single" w:sz="4" w:space="0" w:color="auto"/>
            </w:tcBorders>
          </w:tcPr>
          <w:p w14:paraId="02A3363D" w14:textId="77777777" w:rsidR="00340E78" w:rsidRPr="00340E78" w:rsidRDefault="00340E78" w:rsidP="002E7B94">
            <w:pPr>
              <w:ind w:left="10" w:hanging="10"/>
              <w:jc w:val="center"/>
              <w:rPr>
                <w:b/>
                <w:color w:val="000000"/>
                <w:spacing w:val="-3"/>
                <w:sz w:val="20"/>
                <w:szCs w:val="20"/>
              </w:rPr>
            </w:pPr>
            <w:r w:rsidRPr="00340E78">
              <w:rPr>
                <w:b/>
                <w:color w:val="000000"/>
                <w:spacing w:val="-3"/>
                <w:sz w:val="20"/>
                <w:szCs w:val="20"/>
              </w:rPr>
              <w:t>23</w:t>
            </w:r>
          </w:p>
        </w:tc>
        <w:tc>
          <w:tcPr>
            <w:tcW w:w="979" w:type="dxa"/>
            <w:tcBorders>
              <w:top w:val="single" w:sz="4" w:space="0" w:color="auto"/>
              <w:bottom w:val="single" w:sz="4" w:space="0" w:color="auto"/>
              <w:right w:val="single" w:sz="4" w:space="0" w:color="auto"/>
            </w:tcBorders>
          </w:tcPr>
          <w:p w14:paraId="4A646FCB"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6.6</w:t>
            </w:r>
          </w:p>
        </w:tc>
        <w:tc>
          <w:tcPr>
            <w:tcW w:w="1168" w:type="dxa"/>
            <w:tcBorders>
              <w:top w:val="single" w:sz="4" w:space="0" w:color="auto"/>
              <w:bottom w:val="single" w:sz="4" w:space="0" w:color="auto"/>
            </w:tcBorders>
            <w:shd w:val="clear" w:color="auto" w:fill="D9D9D9"/>
          </w:tcPr>
          <w:p w14:paraId="0A2189FB"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9.4</w:t>
            </w:r>
          </w:p>
        </w:tc>
        <w:tc>
          <w:tcPr>
            <w:tcW w:w="720" w:type="dxa"/>
            <w:tcBorders>
              <w:top w:val="single" w:sz="4" w:space="0" w:color="auto"/>
              <w:bottom w:val="single" w:sz="4" w:space="0" w:color="auto"/>
            </w:tcBorders>
          </w:tcPr>
          <w:p w14:paraId="43B71463"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33</w:t>
            </w:r>
          </w:p>
        </w:tc>
        <w:tc>
          <w:tcPr>
            <w:tcW w:w="900" w:type="dxa"/>
            <w:tcBorders>
              <w:top w:val="single" w:sz="4" w:space="0" w:color="auto"/>
              <w:bottom w:val="single" w:sz="4" w:space="0" w:color="auto"/>
              <w:right w:val="single" w:sz="4" w:space="0" w:color="auto"/>
            </w:tcBorders>
          </w:tcPr>
          <w:p w14:paraId="6195E843"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9.7</w:t>
            </w:r>
          </w:p>
        </w:tc>
        <w:tc>
          <w:tcPr>
            <w:tcW w:w="1262" w:type="dxa"/>
            <w:tcBorders>
              <w:top w:val="single" w:sz="4" w:space="0" w:color="auto"/>
              <w:left w:val="single" w:sz="4" w:space="0" w:color="auto"/>
              <w:bottom w:val="single" w:sz="4" w:space="0" w:color="auto"/>
              <w:right w:val="single" w:sz="18" w:space="0" w:color="auto"/>
            </w:tcBorders>
            <w:shd w:val="clear" w:color="auto" w:fill="D9D9D9"/>
          </w:tcPr>
          <w:p w14:paraId="4EFC4B6C"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9.2</w:t>
            </w:r>
          </w:p>
        </w:tc>
      </w:tr>
      <w:tr w:rsidR="00340E78" w:rsidRPr="00340E78" w14:paraId="28FD4962" w14:textId="77777777" w:rsidTr="00340E78">
        <w:trPr>
          <w:jc w:val="center"/>
        </w:trPr>
        <w:tc>
          <w:tcPr>
            <w:tcW w:w="3015" w:type="dxa"/>
            <w:tcBorders>
              <w:top w:val="single" w:sz="4" w:space="0" w:color="auto"/>
              <w:left w:val="single" w:sz="18" w:space="0" w:color="auto"/>
              <w:bottom w:val="single" w:sz="4" w:space="0" w:color="auto"/>
            </w:tcBorders>
          </w:tcPr>
          <w:p w14:paraId="0375AF67" w14:textId="77777777" w:rsidR="00340E78" w:rsidRPr="00340E78" w:rsidRDefault="00340E78" w:rsidP="0021207D">
            <w:pPr>
              <w:ind w:left="10" w:hanging="10"/>
              <w:rPr>
                <w:color w:val="000000"/>
                <w:spacing w:val="-3"/>
                <w:sz w:val="20"/>
                <w:szCs w:val="20"/>
              </w:rPr>
            </w:pPr>
            <w:r w:rsidRPr="00340E78">
              <w:rPr>
                <w:color w:val="000000"/>
                <w:spacing w:val="-3"/>
                <w:sz w:val="20"/>
                <w:szCs w:val="20"/>
              </w:rPr>
              <w:t>Not Hispanic or Latino</w:t>
            </w:r>
          </w:p>
        </w:tc>
        <w:tc>
          <w:tcPr>
            <w:tcW w:w="753" w:type="dxa"/>
            <w:tcBorders>
              <w:top w:val="single" w:sz="4" w:space="0" w:color="auto"/>
              <w:bottom w:val="single" w:sz="4" w:space="0" w:color="auto"/>
            </w:tcBorders>
          </w:tcPr>
          <w:p w14:paraId="54D6AD0D"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218</w:t>
            </w:r>
          </w:p>
        </w:tc>
        <w:tc>
          <w:tcPr>
            <w:tcW w:w="979" w:type="dxa"/>
            <w:tcBorders>
              <w:top w:val="single" w:sz="4" w:space="0" w:color="auto"/>
              <w:bottom w:val="single" w:sz="4" w:space="0" w:color="auto"/>
              <w:right w:val="single" w:sz="4" w:space="0" w:color="auto"/>
            </w:tcBorders>
          </w:tcPr>
          <w:p w14:paraId="4AB9B320" w14:textId="77777777" w:rsidR="00340E78" w:rsidRPr="00340E78" w:rsidRDefault="00340E78">
            <w:pPr>
              <w:ind w:left="10" w:hanging="10"/>
              <w:jc w:val="center"/>
              <w:rPr>
                <w:color w:val="000000"/>
                <w:spacing w:val="-3"/>
                <w:sz w:val="20"/>
                <w:szCs w:val="20"/>
              </w:rPr>
            </w:pPr>
            <w:r w:rsidRPr="00340E78">
              <w:rPr>
                <w:color w:val="000000"/>
                <w:spacing w:val="-3"/>
                <w:sz w:val="20"/>
                <w:szCs w:val="20"/>
              </w:rPr>
              <w:t>62.8</w:t>
            </w:r>
          </w:p>
        </w:tc>
        <w:tc>
          <w:tcPr>
            <w:tcW w:w="1168" w:type="dxa"/>
            <w:tcBorders>
              <w:top w:val="single" w:sz="4" w:space="0" w:color="auto"/>
              <w:bottom w:val="single" w:sz="4" w:space="0" w:color="auto"/>
            </w:tcBorders>
            <w:shd w:val="clear" w:color="auto" w:fill="D9D9D9"/>
          </w:tcPr>
          <w:p w14:paraId="51199F93" w14:textId="77777777" w:rsidR="00340E78" w:rsidRPr="00340E78" w:rsidRDefault="00340E78">
            <w:pPr>
              <w:ind w:left="10" w:hanging="10"/>
              <w:jc w:val="center"/>
              <w:rPr>
                <w:color w:val="000000"/>
                <w:spacing w:val="-3"/>
                <w:sz w:val="20"/>
                <w:szCs w:val="20"/>
              </w:rPr>
            </w:pPr>
            <w:r w:rsidRPr="00340E78">
              <w:rPr>
                <w:color w:val="000000"/>
                <w:spacing w:val="-3"/>
                <w:sz w:val="20"/>
                <w:szCs w:val="20"/>
              </w:rPr>
              <w:t>67.2</w:t>
            </w:r>
          </w:p>
        </w:tc>
        <w:tc>
          <w:tcPr>
            <w:tcW w:w="720" w:type="dxa"/>
            <w:tcBorders>
              <w:top w:val="single" w:sz="4" w:space="0" w:color="auto"/>
              <w:bottom w:val="single" w:sz="4" w:space="0" w:color="auto"/>
            </w:tcBorders>
          </w:tcPr>
          <w:p w14:paraId="5F0BB925" w14:textId="77777777" w:rsidR="00340E78" w:rsidRPr="00340E78" w:rsidRDefault="00340E78">
            <w:pPr>
              <w:ind w:left="10" w:hanging="10"/>
              <w:jc w:val="center"/>
              <w:rPr>
                <w:color w:val="000000"/>
                <w:spacing w:val="-3"/>
                <w:sz w:val="20"/>
                <w:szCs w:val="20"/>
              </w:rPr>
            </w:pPr>
            <w:r w:rsidRPr="00340E78">
              <w:rPr>
                <w:color w:val="000000"/>
                <w:spacing w:val="-3"/>
                <w:sz w:val="20"/>
                <w:szCs w:val="20"/>
              </w:rPr>
              <w:t>212</w:t>
            </w:r>
          </w:p>
        </w:tc>
        <w:tc>
          <w:tcPr>
            <w:tcW w:w="900" w:type="dxa"/>
            <w:tcBorders>
              <w:top w:val="single" w:sz="4" w:space="0" w:color="auto"/>
              <w:bottom w:val="single" w:sz="4" w:space="0" w:color="auto"/>
              <w:right w:val="single" w:sz="4" w:space="0" w:color="auto"/>
            </w:tcBorders>
          </w:tcPr>
          <w:p w14:paraId="5FCAAC1D" w14:textId="77777777" w:rsidR="00340E78" w:rsidRPr="00340E78" w:rsidRDefault="00340E78">
            <w:pPr>
              <w:ind w:left="10" w:hanging="10"/>
              <w:jc w:val="center"/>
              <w:rPr>
                <w:color w:val="000000"/>
                <w:spacing w:val="-3"/>
                <w:sz w:val="20"/>
                <w:szCs w:val="20"/>
              </w:rPr>
            </w:pPr>
            <w:r w:rsidRPr="00340E78">
              <w:rPr>
                <w:color w:val="000000"/>
                <w:spacing w:val="-3"/>
                <w:sz w:val="20"/>
                <w:szCs w:val="20"/>
              </w:rPr>
              <w:t>62.4</w:t>
            </w:r>
          </w:p>
        </w:tc>
        <w:tc>
          <w:tcPr>
            <w:tcW w:w="1262" w:type="dxa"/>
            <w:tcBorders>
              <w:top w:val="single" w:sz="4" w:space="0" w:color="auto"/>
              <w:left w:val="single" w:sz="4" w:space="0" w:color="auto"/>
              <w:bottom w:val="single" w:sz="4" w:space="0" w:color="auto"/>
              <w:right w:val="single" w:sz="18" w:space="0" w:color="auto"/>
            </w:tcBorders>
            <w:shd w:val="clear" w:color="auto" w:fill="D9D9D9"/>
          </w:tcPr>
          <w:p w14:paraId="7D39AF0C" w14:textId="77777777" w:rsidR="00340E78" w:rsidRPr="00340E78" w:rsidRDefault="00340E78">
            <w:pPr>
              <w:ind w:left="10" w:hanging="10"/>
              <w:jc w:val="center"/>
              <w:rPr>
                <w:color w:val="000000"/>
                <w:spacing w:val="-3"/>
                <w:sz w:val="20"/>
                <w:szCs w:val="20"/>
              </w:rPr>
            </w:pPr>
            <w:r w:rsidRPr="00340E78">
              <w:rPr>
                <w:color w:val="000000"/>
                <w:spacing w:val="-3"/>
                <w:sz w:val="20"/>
                <w:szCs w:val="20"/>
              </w:rPr>
              <w:t>65.8</w:t>
            </w:r>
          </w:p>
        </w:tc>
      </w:tr>
      <w:tr w:rsidR="00340E78" w:rsidRPr="00340E78" w14:paraId="46BB56C1" w14:textId="77777777" w:rsidTr="00340E78">
        <w:trPr>
          <w:jc w:val="center"/>
        </w:trPr>
        <w:tc>
          <w:tcPr>
            <w:tcW w:w="3015" w:type="dxa"/>
            <w:tcBorders>
              <w:top w:val="single" w:sz="4" w:space="0" w:color="auto"/>
              <w:left w:val="single" w:sz="18" w:space="0" w:color="auto"/>
              <w:bottom w:val="single" w:sz="18" w:space="0" w:color="auto"/>
            </w:tcBorders>
          </w:tcPr>
          <w:p w14:paraId="17F50F58" w14:textId="77777777" w:rsidR="00340E78" w:rsidRPr="00340E78" w:rsidRDefault="00340E78" w:rsidP="0021207D">
            <w:pPr>
              <w:ind w:left="10" w:hanging="10"/>
              <w:rPr>
                <w:color w:val="000000"/>
                <w:spacing w:val="-3"/>
                <w:sz w:val="20"/>
                <w:szCs w:val="20"/>
              </w:rPr>
            </w:pPr>
            <w:r w:rsidRPr="00340E78">
              <w:rPr>
                <w:color w:val="000000"/>
                <w:spacing w:val="-3"/>
                <w:sz w:val="20"/>
                <w:szCs w:val="20"/>
              </w:rPr>
              <w:t>Ethnicity Not Available</w:t>
            </w:r>
          </w:p>
        </w:tc>
        <w:tc>
          <w:tcPr>
            <w:tcW w:w="753" w:type="dxa"/>
            <w:tcBorders>
              <w:top w:val="single" w:sz="4" w:space="0" w:color="auto"/>
              <w:bottom w:val="single" w:sz="18" w:space="0" w:color="auto"/>
            </w:tcBorders>
          </w:tcPr>
          <w:p w14:paraId="2F5A552C" w14:textId="77777777" w:rsidR="00340E78" w:rsidRPr="00340E78" w:rsidRDefault="00340E78" w:rsidP="002E7B94">
            <w:pPr>
              <w:ind w:left="10" w:hanging="10"/>
              <w:jc w:val="center"/>
              <w:rPr>
                <w:color w:val="000000"/>
                <w:spacing w:val="-3"/>
                <w:sz w:val="20"/>
                <w:szCs w:val="20"/>
              </w:rPr>
            </w:pPr>
            <w:r w:rsidRPr="00340E78">
              <w:rPr>
                <w:color w:val="000000"/>
                <w:spacing w:val="-3"/>
                <w:sz w:val="20"/>
                <w:szCs w:val="20"/>
              </w:rPr>
              <w:t>106</w:t>
            </w:r>
          </w:p>
        </w:tc>
        <w:tc>
          <w:tcPr>
            <w:tcW w:w="979" w:type="dxa"/>
            <w:tcBorders>
              <w:top w:val="single" w:sz="4" w:space="0" w:color="auto"/>
              <w:bottom w:val="single" w:sz="18" w:space="0" w:color="auto"/>
              <w:right w:val="single" w:sz="4" w:space="0" w:color="auto"/>
            </w:tcBorders>
          </w:tcPr>
          <w:p w14:paraId="37824749" w14:textId="77777777" w:rsidR="00340E78" w:rsidRPr="00340E78" w:rsidRDefault="00340E78">
            <w:pPr>
              <w:ind w:left="10" w:hanging="10"/>
              <w:jc w:val="center"/>
              <w:rPr>
                <w:color w:val="000000"/>
                <w:spacing w:val="-3"/>
                <w:sz w:val="20"/>
                <w:szCs w:val="20"/>
              </w:rPr>
            </w:pPr>
            <w:r w:rsidRPr="00340E78">
              <w:rPr>
                <w:color w:val="000000"/>
                <w:spacing w:val="-3"/>
                <w:sz w:val="20"/>
                <w:szCs w:val="20"/>
              </w:rPr>
              <w:t>30.6</w:t>
            </w:r>
          </w:p>
        </w:tc>
        <w:tc>
          <w:tcPr>
            <w:tcW w:w="1168" w:type="dxa"/>
            <w:tcBorders>
              <w:top w:val="single" w:sz="4" w:space="0" w:color="auto"/>
              <w:bottom w:val="single" w:sz="18" w:space="0" w:color="auto"/>
            </w:tcBorders>
            <w:shd w:val="clear" w:color="auto" w:fill="D9D9D9"/>
          </w:tcPr>
          <w:p w14:paraId="1BF58E3E" w14:textId="77777777" w:rsidR="00340E78" w:rsidRPr="00340E78" w:rsidRDefault="00340E78">
            <w:pPr>
              <w:ind w:left="10" w:hanging="10"/>
              <w:jc w:val="center"/>
              <w:rPr>
                <w:color w:val="000000"/>
                <w:spacing w:val="-3"/>
                <w:sz w:val="20"/>
                <w:szCs w:val="20"/>
              </w:rPr>
            </w:pPr>
            <w:r w:rsidRPr="00340E78">
              <w:rPr>
                <w:color w:val="000000"/>
                <w:spacing w:val="-3"/>
                <w:sz w:val="20"/>
                <w:szCs w:val="20"/>
              </w:rPr>
              <w:t>23.4</w:t>
            </w:r>
          </w:p>
        </w:tc>
        <w:tc>
          <w:tcPr>
            <w:tcW w:w="720" w:type="dxa"/>
            <w:tcBorders>
              <w:top w:val="single" w:sz="4" w:space="0" w:color="auto"/>
              <w:bottom w:val="single" w:sz="18" w:space="0" w:color="auto"/>
            </w:tcBorders>
          </w:tcPr>
          <w:p w14:paraId="365EA861" w14:textId="77777777" w:rsidR="00340E78" w:rsidRPr="00340E78" w:rsidRDefault="00340E78">
            <w:pPr>
              <w:ind w:left="10" w:hanging="10"/>
              <w:jc w:val="center"/>
              <w:rPr>
                <w:color w:val="000000"/>
                <w:spacing w:val="-3"/>
                <w:sz w:val="20"/>
                <w:szCs w:val="20"/>
              </w:rPr>
            </w:pPr>
            <w:r w:rsidRPr="00340E78">
              <w:rPr>
                <w:color w:val="000000"/>
                <w:spacing w:val="-3"/>
                <w:sz w:val="20"/>
                <w:szCs w:val="20"/>
              </w:rPr>
              <w:t>95</w:t>
            </w:r>
          </w:p>
        </w:tc>
        <w:tc>
          <w:tcPr>
            <w:tcW w:w="900" w:type="dxa"/>
            <w:tcBorders>
              <w:top w:val="single" w:sz="4" w:space="0" w:color="auto"/>
              <w:bottom w:val="single" w:sz="18" w:space="0" w:color="auto"/>
              <w:right w:val="single" w:sz="4" w:space="0" w:color="auto"/>
            </w:tcBorders>
          </w:tcPr>
          <w:p w14:paraId="686E727E" w14:textId="77777777" w:rsidR="00340E78" w:rsidRPr="00340E78" w:rsidRDefault="00340E78">
            <w:pPr>
              <w:ind w:left="10" w:hanging="10"/>
              <w:jc w:val="center"/>
              <w:rPr>
                <w:color w:val="000000"/>
                <w:spacing w:val="-3"/>
                <w:sz w:val="20"/>
                <w:szCs w:val="20"/>
              </w:rPr>
            </w:pPr>
            <w:r w:rsidRPr="00340E78">
              <w:rPr>
                <w:color w:val="000000"/>
                <w:spacing w:val="-3"/>
                <w:sz w:val="20"/>
                <w:szCs w:val="20"/>
              </w:rPr>
              <w:t>27.9</w:t>
            </w:r>
          </w:p>
        </w:tc>
        <w:tc>
          <w:tcPr>
            <w:tcW w:w="1262" w:type="dxa"/>
            <w:tcBorders>
              <w:top w:val="single" w:sz="4" w:space="0" w:color="auto"/>
              <w:left w:val="single" w:sz="4" w:space="0" w:color="auto"/>
              <w:bottom w:val="single" w:sz="18" w:space="0" w:color="auto"/>
              <w:right w:val="single" w:sz="18" w:space="0" w:color="auto"/>
            </w:tcBorders>
            <w:shd w:val="clear" w:color="auto" w:fill="D9D9D9"/>
          </w:tcPr>
          <w:p w14:paraId="702B4322" w14:textId="77777777" w:rsidR="00340E78" w:rsidRPr="00340E78" w:rsidRDefault="00340E78">
            <w:pPr>
              <w:ind w:left="10" w:hanging="10"/>
              <w:jc w:val="center"/>
              <w:rPr>
                <w:color w:val="000000"/>
                <w:spacing w:val="-3"/>
                <w:sz w:val="20"/>
                <w:szCs w:val="20"/>
              </w:rPr>
            </w:pPr>
            <w:r w:rsidRPr="00340E78">
              <w:rPr>
                <w:color w:val="000000"/>
                <w:spacing w:val="-3"/>
                <w:sz w:val="20"/>
                <w:szCs w:val="20"/>
              </w:rPr>
              <w:t>25.0</w:t>
            </w:r>
          </w:p>
        </w:tc>
      </w:tr>
      <w:tr w:rsidR="00340E78" w:rsidRPr="00340E78" w14:paraId="0A4C9DA7" w14:textId="77777777" w:rsidTr="00340E78">
        <w:trPr>
          <w:jc w:val="center"/>
        </w:trPr>
        <w:tc>
          <w:tcPr>
            <w:tcW w:w="3015" w:type="dxa"/>
            <w:tcBorders>
              <w:top w:val="nil"/>
              <w:left w:val="single" w:sz="18" w:space="0" w:color="auto"/>
              <w:bottom w:val="single" w:sz="18" w:space="0" w:color="auto"/>
            </w:tcBorders>
          </w:tcPr>
          <w:p w14:paraId="1BFBF711" w14:textId="77777777" w:rsidR="00340E78" w:rsidRPr="00340E78" w:rsidRDefault="00340E78" w:rsidP="0021207D">
            <w:pPr>
              <w:ind w:left="10" w:hanging="10"/>
              <w:jc w:val="center"/>
              <w:rPr>
                <w:b/>
                <w:color w:val="000000"/>
                <w:spacing w:val="-3"/>
                <w:sz w:val="20"/>
                <w:szCs w:val="20"/>
              </w:rPr>
            </w:pPr>
            <w:r w:rsidRPr="00340E78">
              <w:rPr>
                <w:b/>
                <w:color w:val="000000"/>
                <w:spacing w:val="-3"/>
                <w:sz w:val="20"/>
                <w:szCs w:val="20"/>
              </w:rPr>
              <w:t>Total</w:t>
            </w:r>
          </w:p>
        </w:tc>
        <w:tc>
          <w:tcPr>
            <w:tcW w:w="753" w:type="dxa"/>
            <w:tcBorders>
              <w:top w:val="nil"/>
              <w:bottom w:val="single" w:sz="18" w:space="0" w:color="auto"/>
            </w:tcBorders>
          </w:tcPr>
          <w:p w14:paraId="2C420F8F" w14:textId="77777777" w:rsidR="00340E78" w:rsidRPr="00340E78" w:rsidRDefault="00340E78" w:rsidP="002E7B94">
            <w:pPr>
              <w:ind w:left="10" w:hanging="10"/>
              <w:jc w:val="center"/>
              <w:rPr>
                <w:b/>
                <w:color w:val="000000"/>
                <w:spacing w:val="-3"/>
                <w:sz w:val="20"/>
                <w:szCs w:val="20"/>
              </w:rPr>
            </w:pPr>
            <w:r w:rsidRPr="00340E78">
              <w:rPr>
                <w:b/>
                <w:color w:val="000000"/>
                <w:spacing w:val="-3"/>
                <w:sz w:val="20"/>
                <w:szCs w:val="20"/>
              </w:rPr>
              <w:t>347</w:t>
            </w:r>
          </w:p>
        </w:tc>
        <w:tc>
          <w:tcPr>
            <w:tcW w:w="979" w:type="dxa"/>
            <w:tcBorders>
              <w:top w:val="nil"/>
              <w:bottom w:val="single" w:sz="18" w:space="0" w:color="auto"/>
              <w:right w:val="single" w:sz="4" w:space="0" w:color="auto"/>
            </w:tcBorders>
          </w:tcPr>
          <w:p w14:paraId="7D5BA641"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100.0</w:t>
            </w:r>
          </w:p>
        </w:tc>
        <w:tc>
          <w:tcPr>
            <w:tcW w:w="1168" w:type="dxa"/>
            <w:tcBorders>
              <w:top w:val="nil"/>
              <w:bottom w:val="single" w:sz="18" w:space="0" w:color="auto"/>
            </w:tcBorders>
            <w:shd w:val="clear" w:color="auto" w:fill="D9D9D9"/>
          </w:tcPr>
          <w:p w14:paraId="40060C7E"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100.0</w:t>
            </w:r>
          </w:p>
        </w:tc>
        <w:tc>
          <w:tcPr>
            <w:tcW w:w="720" w:type="dxa"/>
            <w:tcBorders>
              <w:top w:val="nil"/>
              <w:bottom w:val="single" w:sz="18" w:space="0" w:color="auto"/>
            </w:tcBorders>
          </w:tcPr>
          <w:p w14:paraId="431A016F"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340</w:t>
            </w:r>
          </w:p>
        </w:tc>
        <w:tc>
          <w:tcPr>
            <w:tcW w:w="900" w:type="dxa"/>
            <w:tcBorders>
              <w:top w:val="single" w:sz="18" w:space="0" w:color="auto"/>
              <w:bottom w:val="single" w:sz="18" w:space="0" w:color="auto"/>
              <w:right w:val="single" w:sz="4" w:space="0" w:color="auto"/>
            </w:tcBorders>
          </w:tcPr>
          <w:p w14:paraId="57B5D9FD"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100.0</w:t>
            </w:r>
          </w:p>
        </w:tc>
        <w:tc>
          <w:tcPr>
            <w:tcW w:w="1262" w:type="dxa"/>
            <w:tcBorders>
              <w:top w:val="nil"/>
              <w:left w:val="single" w:sz="4" w:space="0" w:color="auto"/>
              <w:bottom w:val="single" w:sz="18" w:space="0" w:color="auto"/>
              <w:right w:val="single" w:sz="18" w:space="0" w:color="auto"/>
            </w:tcBorders>
            <w:shd w:val="clear" w:color="auto" w:fill="D9D9D9"/>
          </w:tcPr>
          <w:p w14:paraId="76789081" w14:textId="77777777" w:rsidR="00340E78" w:rsidRPr="00340E78" w:rsidRDefault="00340E78">
            <w:pPr>
              <w:ind w:left="10" w:hanging="10"/>
              <w:jc w:val="center"/>
              <w:rPr>
                <w:b/>
                <w:color w:val="000000"/>
                <w:spacing w:val="-3"/>
                <w:sz w:val="20"/>
                <w:szCs w:val="20"/>
              </w:rPr>
            </w:pPr>
            <w:r w:rsidRPr="00340E78">
              <w:rPr>
                <w:b/>
                <w:color w:val="000000"/>
                <w:spacing w:val="-3"/>
                <w:sz w:val="20"/>
                <w:szCs w:val="20"/>
              </w:rPr>
              <w:t>100.0</w:t>
            </w:r>
          </w:p>
        </w:tc>
      </w:tr>
    </w:tbl>
    <w:p w14:paraId="3848BBA7" w14:textId="77777777" w:rsidR="00340E78" w:rsidRPr="00340E78" w:rsidRDefault="00340E78" w:rsidP="005379B0">
      <w:pPr>
        <w:spacing w:after="4"/>
        <w:ind w:left="10" w:hanging="10"/>
        <w:rPr>
          <w:color w:val="000000"/>
        </w:rPr>
      </w:pPr>
    </w:p>
    <w:p w14:paraId="5953C10B" w14:textId="084DE981" w:rsidR="00340E78" w:rsidRPr="00340E78" w:rsidRDefault="00340E78" w:rsidP="005379B0">
      <w:pPr>
        <w:spacing w:after="4"/>
        <w:ind w:left="10" w:hanging="10"/>
        <w:rPr>
          <w:color w:val="000000"/>
        </w:rPr>
      </w:pPr>
      <w:r w:rsidRPr="00340E78">
        <w:rPr>
          <w:color w:val="000000"/>
        </w:rPr>
        <w:t xml:space="preserve">In 2018, the bank received 347 HMDA-reportable loan applications from within its assessment area.  Of these applications, the bank received 15.0 percent from racial minorities.  This was below aggregate data, which indicates </w:t>
      </w:r>
      <w:r w:rsidR="0021207D">
        <w:rPr>
          <w:color w:val="000000"/>
        </w:rPr>
        <w:t xml:space="preserve">the bank received </w:t>
      </w:r>
      <w:r w:rsidRPr="00340E78">
        <w:rPr>
          <w:color w:val="000000"/>
        </w:rPr>
        <w:t xml:space="preserve">18.4 percent of </w:t>
      </w:r>
      <w:r w:rsidR="005C7DCF" w:rsidRPr="00340E78">
        <w:rPr>
          <w:color w:val="000000"/>
        </w:rPr>
        <w:t>applications from</w:t>
      </w:r>
      <w:r w:rsidRPr="00340E78">
        <w:rPr>
          <w:color w:val="000000"/>
        </w:rPr>
        <w:t xml:space="preserve"> racial minorities.  For the same </w:t>
      </w:r>
      <w:r w:rsidR="007926FD" w:rsidRPr="00340E78">
        <w:rPr>
          <w:color w:val="000000"/>
        </w:rPr>
        <w:t>period,</w:t>
      </w:r>
      <w:r w:rsidRPr="00340E78">
        <w:rPr>
          <w:color w:val="000000"/>
        </w:rPr>
        <w:t xml:space="preserve"> the bank received 6.6 percent of its applications from ethnic minority consumers.  The bank’s performance was below aggregate </w:t>
      </w:r>
      <w:r w:rsidR="007926FD" w:rsidRPr="00340E78">
        <w:rPr>
          <w:color w:val="000000"/>
        </w:rPr>
        <w:t>data, which</w:t>
      </w:r>
      <w:r w:rsidRPr="00340E78">
        <w:rPr>
          <w:color w:val="000000"/>
        </w:rPr>
        <w:t xml:space="preserve"> indicates </w:t>
      </w:r>
      <w:r w:rsidR="0021207D">
        <w:rPr>
          <w:color w:val="000000"/>
        </w:rPr>
        <w:t xml:space="preserve">the bank received </w:t>
      </w:r>
      <w:r w:rsidRPr="00340E78">
        <w:rPr>
          <w:color w:val="000000"/>
        </w:rPr>
        <w:t xml:space="preserve">9.4 percent of </w:t>
      </w:r>
      <w:r w:rsidR="005C7DCF" w:rsidRPr="00340E78">
        <w:rPr>
          <w:color w:val="000000"/>
        </w:rPr>
        <w:t>applications from</w:t>
      </w:r>
      <w:r w:rsidRPr="00340E78">
        <w:rPr>
          <w:color w:val="000000"/>
        </w:rPr>
        <w:t xml:space="preserve"> ethnic minority consumers.</w:t>
      </w:r>
    </w:p>
    <w:p w14:paraId="7D21B8DB" w14:textId="77777777" w:rsidR="00340E78" w:rsidRPr="00340E78" w:rsidRDefault="00340E78" w:rsidP="005379B0">
      <w:pPr>
        <w:spacing w:after="4"/>
        <w:ind w:left="10" w:hanging="10"/>
        <w:rPr>
          <w:color w:val="000000"/>
        </w:rPr>
      </w:pPr>
    </w:p>
    <w:p w14:paraId="11BD9F0D" w14:textId="02B60D5D" w:rsidR="00340E78" w:rsidRPr="00340E78" w:rsidRDefault="00340E78" w:rsidP="005379B0">
      <w:pPr>
        <w:spacing w:after="4"/>
        <w:ind w:left="10" w:hanging="10"/>
        <w:rPr>
          <w:color w:val="000000"/>
        </w:rPr>
      </w:pPr>
      <w:r w:rsidRPr="00340E78">
        <w:rPr>
          <w:color w:val="000000"/>
        </w:rPr>
        <w:t xml:space="preserve">The bank received 340 HMDA-reportable loan applications from within its assessment area.  </w:t>
      </w:r>
      <w:r w:rsidR="005C7DCF">
        <w:rPr>
          <w:color w:val="000000"/>
        </w:rPr>
        <w:t xml:space="preserve">Although </w:t>
      </w:r>
      <w:r w:rsidR="005C7DCF" w:rsidRPr="00340E78">
        <w:rPr>
          <w:color w:val="000000"/>
        </w:rPr>
        <w:t>total</w:t>
      </w:r>
      <w:r w:rsidRPr="00340E78">
        <w:rPr>
          <w:color w:val="000000"/>
        </w:rPr>
        <w:t xml:space="preserve"> applications decreased, the bank received 33 applications, or 9.7 percent, from racial minorities.  This fell further below aggregate data, which indicates </w:t>
      </w:r>
      <w:r w:rsidR="0021207D">
        <w:rPr>
          <w:color w:val="000000"/>
        </w:rPr>
        <w:t xml:space="preserve">the bank received </w:t>
      </w:r>
      <w:r w:rsidRPr="00340E78">
        <w:rPr>
          <w:color w:val="000000"/>
        </w:rPr>
        <w:t xml:space="preserve">16.8 percent of </w:t>
      </w:r>
      <w:r w:rsidR="005C7DCF" w:rsidRPr="00340E78">
        <w:rPr>
          <w:color w:val="000000"/>
        </w:rPr>
        <w:t>applications from</w:t>
      </w:r>
      <w:r w:rsidRPr="00340E78">
        <w:rPr>
          <w:color w:val="000000"/>
        </w:rPr>
        <w:t xml:space="preserve"> the same demographic of consumers.  The bank received 33 applications from ethnic minority applicants in 2019, or 9.7 percent.  The bank’s performance among ethnic minority applicants increased above aggregate data trends.</w:t>
      </w:r>
    </w:p>
    <w:p w14:paraId="328B6202" w14:textId="77777777" w:rsidR="00340E78" w:rsidRPr="00340E78" w:rsidRDefault="00340E78" w:rsidP="005379B0">
      <w:pPr>
        <w:rPr>
          <w:color w:val="000000"/>
        </w:rPr>
      </w:pPr>
    </w:p>
    <w:p w14:paraId="283BA79E" w14:textId="284F6657" w:rsidR="00340E78" w:rsidRPr="00340E78" w:rsidRDefault="00340E78" w:rsidP="005379B0">
      <w:pPr>
        <w:ind w:left="10" w:hanging="10"/>
        <w:rPr>
          <w:color w:val="000000"/>
          <w:szCs w:val="22"/>
        </w:rPr>
      </w:pPr>
      <w:r w:rsidRPr="00340E78">
        <w:rPr>
          <w:color w:val="000000"/>
        </w:rPr>
        <w:t>The bank’s racial minority application flow performed below aggregate data in 2018 and 2019</w:t>
      </w:r>
      <w:r w:rsidR="00FB577A">
        <w:rPr>
          <w:color w:val="000000"/>
        </w:rPr>
        <w:t xml:space="preserve"> </w:t>
      </w:r>
      <w:r w:rsidRPr="00340E78">
        <w:rPr>
          <w:color w:val="000000"/>
        </w:rPr>
        <w:t xml:space="preserve">and decreased in year-over-year performance.  Ethnic minority application flow increased from 2018 to 2019 above aggregate performance.  Examiners noted the bank’s application trends in majority-minority census tracts is consistent with overall lending.  This reflects effective outreach throughout the assessment area and mitigates risk presented by the racial minority application flow trend.  Overall, the bank’s minority application performance is adequate.  </w:t>
      </w:r>
    </w:p>
    <w:p w14:paraId="65895B90" w14:textId="77777777" w:rsidR="00522B05" w:rsidRDefault="00340E78" w:rsidP="005379B0">
      <w:pPr>
        <w:ind w:left="144"/>
        <w:rPr>
          <w:color w:val="000000"/>
          <w:szCs w:val="22"/>
        </w:rPr>
      </w:pPr>
      <w:r w:rsidRPr="00340E78">
        <w:rPr>
          <w:color w:val="000000"/>
          <w:szCs w:val="22"/>
        </w:rPr>
        <w:t xml:space="preserve"> </w:t>
      </w:r>
      <w:r w:rsidRPr="00340E78">
        <w:rPr>
          <w:color w:val="000000"/>
          <w:szCs w:val="22"/>
        </w:rPr>
        <w:tab/>
      </w:r>
    </w:p>
    <w:p w14:paraId="31124C3D" w14:textId="77777777" w:rsidR="00522B05" w:rsidRDefault="00522B05" w:rsidP="005379B0">
      <w:pPr>
        <w:ind w:left="144"/>
        <w:rPr>
          <w:color w:val="000000"/>
          <w:szCs w:val="22"/>
        </w:rPr>
      </w:pPr>
    </w:p>
    <w:p w14:paraId="139A176B" w14:textId="673D2DC8" w:rsidR="00340E78" w:rsidRPr="00340E78" w:rsidRDefault="00340E78" w:rsidP="00340E78">
      <w:pPr>
        <w:spacing w:line="259" w:lineRule="auto"/>
        <w:ind w:left="144"/>
        <w:rPr>
          <w:color w:val="000000"/>
          <w:szCs w:val="22"/>
        </w:rPr>
      </w:pPr>
      <w:r w:rsidRPr="00340E78">
        <w:rPr>
          <w:color w:val="000000"/>
          <w:szCs w:val="22"/>
        </w:rPr>
        <w:t xml:space="preserve"> </w:t>
      </w:r>
    </w:p>
    <w:p w14:paraId="28ED5364" w14:textId="77777777" w:rsidR="0021207D" w:rsidRDefault="0021207D" w:rsidP="00340E78">
      <w:pPr>
        <w:keepNext/>
        <w:keepLines/>
        <w:spacing w:line="259" w:lineRule="auto"/>
        <w:ind w:left="10" w:right="207" w:hanging="10"/>
        <w:jc w:val="center"/>
        <w:outlineLvl w:val="3"/>
        <w:rPr>
          <w:b/>
          <w:color w:val="000000"/>
          <w:szCs w:val="22"/>
          <w:u w:color="000000"/>
        </w:rPr>
      </w:pPr>
    </w:p>
    <w:p w14:paraId="19810E22" w14:textId="7B272CC4" w:rsidR="00340E78" w:rsidRPr="00340E78" w:rsidRDefault="00340E78" w:rsidP="00340E78">
      <w:pPr>
        <w:keepNext/>
        <w:keepLines/>
        <w:spacing w:line="259" w:lineRule="auto"/>
        <w:ind w:left="10" w:right="207" w:hanging="10"/>
        <w:jc w:val="center"/>
        <w:outlineLvl w:val="3"/>
        <w:rPr>
          <w:b/>
          <w:color w:val="000000"/>
          <w:szCs w:val="22"/>
          <w:u w:val="single" w:color="000000"/>
        </w:rPr>
      </w:pPr>
      <w:r w:rsidRPr="00340E78">
        <w:rPr>
          <w:b/>
          <w:color w:val="000000"/>
          <w:szCs w:val="22"/>
          <w:u w:color="000000"/>
        </w:rPr>
        <w:t xml:space="preserve">APPENDIX B Loss of Affordable Housing – Massachusetts Division of Banks </w:t>
      </w:r>
    </w:p>
    <w:p w14:paraId="0707F2EA" w14:textId="77777777" w:rsidR="00340E78" w:rsidRPr="00340E78" w:rsidRDefault="00340E78" w:rsidP="00340E78">
      <w:pPr>
        <w:spacing w:line="259" w:lineRule="auto"/>
        <w:ind w:left="144"/>
        <w:rPr>
          <w:color w:val="000000"/>
          <w:szCs w:val="22"/>
        </w:rPr>
      </w:pPr>
      <w:r w:rsidRPr="00340E78">
        <w:rPr>
          <w:color w:val="000000"/>
          <w:szCs w:val="22"/>
        </w:rPr>
        <w:t xml:space="preserve"> </w:t>
      </w:r>
    </w:p>
    <w:p w14:paraId="56FEB633" w14:textId="77777777" w:rsidR="00340E78" w:rsidRPr="00340E78" w:rsidRDefault="00340E78" w:rsidP="005379B0">
      <w:pPr>
        <w:spacing w:after="4"/>
        <w:ind w:left="139" w:right="356" w:hanging="10"/>
        <w:rPr>
          <w:color w:val="000000"/>
          <w:szCs w:val="22"/>
        </w:rPr>
      </w:pPr>
      <w:r w:rsidRPr="00340E78">
        <w:rPr>
          <w:color w:val="000000"/>
          <w:szCs w:val="22"/>
        </w:rPr>
        <w:t xml:space="preserve">The Division of Banks’ regulation 209 CMR 46.22(2)(g) requires that the evaluation of the lending performance of a large institution include a review of its efforts to forestall the loss of affordable housing.  The Division reviews the institution's loans to ensure that there is no undue concentration and a systematic pattern of lending resulting in the loss of affordable housing units.  </w:t>
      </w:r>
    </w:p>
    <w:p w14:paraId="04A0AF67" w14:textId="77777777" w:rsidR="00340E78" w:rsidRPr="00340E78" w:rsidRDefault="00340E78" w:rsidP="005379B0">
      <w:pPr>
        <w:ind w:left="144"/>
        <w:rPr>
          <w:color w:val="000000"/>
          <w:szCs w:val="22"/>
        </w:rPr>
      </w:pPr>
      <w:r w:rsidRPr="00340E78">
        <w:rPr>
          <w:color w:val="000000"/>
          <w:szCs w:val="22"/>
        </w:rPr>
        <w:t xml:space="preserve"> </w:t>
      </w:r>
    </w:p>
    <w:p w14:paraId="2375B2F9" w14:textId="77777777" w:rsidR="00340E78" w:rsidRPr="00340E78" w:rsidRDefault="00340E78" w:rsidP="005379B0">
      <w:pPr>
        <w:spacing w:after="4"/>
        <w:ind w:left="139" w:right="356" w:hanging="10"/>
        <w:rPr>
          <w:color w:val="000000"/>
          <w:szCs w:val="22"/>
        </w:rPr>
      </w:pPr>
      <w:r w:rsidRPr="00340E78">
        <w:rPr>
          <w:color w:val="000000"/>
          <w:szCs w:val="22"/>
        </w:rPr>
        <w:t xml:space="preserve">The bank’s development of credit products with flexible lending criteria, participation in flexible lending programs, community development lending, and investment in affordable housing debt securities has assisted low- and moderate-income individuals to remain in their neighborhoods.  </w:t>
      </w:r>
    </w:p>
    <w:p w14:paraId="4A75A2E6" w14:textId="77777777" w:rsidR="00B86059" w:rsidRDefault="00B86059" w:rsidP="0021207D">
      <w:pPr>
        <w:jc w:val="center"/>
        <w:rPr>
          <w:i/>
          <w:iCs/>
        </w:rPr>
      </w:pPr>
    </w:p>
    <w:p w14:paraId="04A5CCB7" w14:textId="77777777" w:rsidR="00522B05" w:rsidRDefault="00522B05">
      <w:pPr>
        <w:jc w:val="center"/>
        <w:rPr>
          <w:b/>
          <w:bCs/>
          <w:sz w:val="28"/>
          <w:szCs w:val="28"/>
        </w:rPr>
        <w:sectPr w:rsidR="00522B05" w:rsidSect="006362FE">
          <w:pgSz w:w="12240" w:h="15840"/>
          <w:pgMar w:top="1440" w:right="1440" w:bottom="1440" w:left="1440" w:header="720" w:footer="720" w:gutter="0"/>
          <w:cols w:space="720"/>
          <w:docGrid w:linePitch="360"/>
        </w:sectPr>
      </w:pPr>
    </w:p>
    <w:p w14:paraId="4E5818F0" w14:textId="12D15B3C" w:rsidR="0099672C" w:rsidRDefault="0099672C" w:rsidP="00D3354F">
      <w:pPr>
        <w:jc w:val="center"/>
        <w:rPr>
          <w:b/>
          <w:bCs/>
          <w:sz w:val="28"/>
          <w:szCs w:val="28"/>
        </w:rPr>
      </w:pPr>
      <w:r w:rsidRPr="00AE1F9E">
        <w:rPr>
          <w:b/>
          <w:bCs/>
          <w:sz w:val="28"/>
          <w:szCs w:val="28"/>
        </w:rPr>
        <w:lastRenderedPageBreak/>
        <w:t>GLOSSARY</w:t>
      </w:r>
    </w:p>
    <w:p w14:paraId="24C18701" w14:textId="77777777" w:rsidR="007B2663" w:rsidRPr="00AE1F9E" w:rsidRDefault="007B2663" w:rsidP="00D3354F">
      <w:pPr>
        <w:jc w:val="center"/>
        <w:rPr>
          <w:b/>
          <w:bCs/>
          <w:sz w:val="28"/>
          <w:szCs w:val="28"/>
        </w:rPr>
      </w:pPr>
    </w:p>
    <w:p w14:paraId="2F6506B5" w14:textId="77777777" w:rsidR="007B2663" w:rsidRPr="00D50F8D" w:rsidRDefault="007B2663" w:rsidP="007B2663">
      <w:r>
        <w:rPr>
          <w:b/>
          <w:bCs/>
        </w:rPr>
        <w:t>Aggregate L</w:t>
      </w:r>
      <w:r w:rsidRPr="00D50F8D">
        <w:rPr>
          <w:b/>
          <w:bCs/>
        </w:rPr>
        <w:t>ending:</w:t>
      </w:r>
      <w:r w:rsidRPr="00D50F8D">
        <w:t xml:space="preserve"> </w:t>
      </w:r>
      <w:r>
        <w:t xml:space="preserve"> </w:t>
      </w:r>
      <w:r w:rsidRPr="00D50F8D">
        <w:t xml:space="preserve">The number of loans originated and purchased by all reporting lenders in specified income categories as a percentage of the aggregate number of loans originated and </w:t>
      </w:r>
      <w:bookmarkStart w:id="1" w:name="_GoBack"/>
      <w:bookmarkEnd w:id="1"/>
      <w:r w:rsidRPr="00D50F8D">
        <w:t>purchased by all reporting lenders in the metropolitan area/assessment area.</w:t>
      </w:r>
    </w:p>
    <w:p w14:paraId="51BF2352" w14:textId="77777777" w:rsidR="007B2663" w:rsidRDefault="007B2663" w:rsidP="007B2663">
      <w:pPr>
        <w:rPr>
          <w:b/>
          <w:bCs/>
        </w:rPr>
      </w:pPr>
    </w:p>
    <w:p w14:paraId="2CBAEB43" w14:textId="77777777" w:rsidR="007B2663" w:rsidRDefault="007B2663" w:rsidP="007B2663">
      <w:pPr>
        <w:rPr>
          <w:i/>
          <w:iCs/>
        </w:rPr>
      </w:pPr>
      <w:r>
        <w:rPr>
          <w:b/>
          <w:bCs/>
        </w:rPr>
        <w:t xml:space="preserve">Area Median Income: </w:t>
      </w:r>
      <w:r w:rsidRPr="00014F79">
        <w:rPr>
          <w:b/>
          <w:bCs/>
        </w:rPr>
        <w:t xml:space="preserve"> </w:t>
      </w:r>
      <w:r>
        <w:t>The median family income for the MSA, if a person or geography is located in an MSA; or the statewide nonmetropolitan median family income, if a person or geography is located outside an MSA</w:t>
      </w:r>
      <w:r>
        <w:rPr>
          <w:i/>
          <w:iCs/>
        </w:rPr>
        <w:t>.</w:t>
      </w:r>
    </w:p>
    <w:p w14:paraId="19E04774" w14:textId="77777777" w:rsidR="007B2663" w:rsidRDefault="007B2663" w:rsidP="007B2663">
      <w:pPr>
        <w:rPr>
          <w:b/>
          <w:bCs/>
        </w:rPr>
      </w:pPr>
    </w:p>
    <w:p w14:paraId="4C21E603" w14:textId="77777777" w:rsidR="007B2663" w:rsidRDefault="007B2663" w:rsidP="007B2663">
      <w:r>
        <w:rPr>
          <w:b/>
          <w:bCs/>
        </w:rPr>
        <w:t>Assessment Area:</w:t>
      </w:r>
      <w:r>
        <w:t xml:space="preserve">  A geographic area delineated by the bank under the requirements of the Community Reinvestment Act.</w:t>
      </w:r>
    </w:p>
    <w:p w14:paraId="4B81D5C2" w14:textId="77777777" w:rsidR="007B2663" w:rsidRDefault="007B2663" w:rsidP="007B2663">
      <w:pPr>
        <w:rPr>
          <w:b/>
          <w:bCs/>
        </w:rPr>
      </w:pPr>
    </w:p>
    <w:p w14:paraId="4EF2570E" w14:textId="77777777" w:rsidR="007B2663" w:rsidRDefault="007B2663" w:rsidP="007B2663">
      <w:r>
        <w:rPr>
          <w:b/>
          <w:bCs/>
        </w:rPr>
        <w:t xml:space="preserve">Census Tract:  </w:t>
      </w:r>
      <w:r>
        <w:t>A small, relatively permanent statistical subdivision of a county.  Census tract boundaries normally follow visible features, but they may follow governmental unit boundaries and other non-visible features in some instances.  They always nest within counties.  Census tracts average about 4,000 persons, and their physical size varies widely depending upon population density.  Census tracts are designed to be homogenous for population characteristics, economic status, and living conditions to allow for statistical comparisons.</w:t>
      </w:r>
    </w:p>
    <w:p w14:paraId="42029D49" w14:textId="77777777" w:rsidR="007B2663" w:rsidRDefault="007B2663" w:rsidP="007B2663">
      <w:pPr>
        <w:rPr>
          <w:b/>
          <w:bCs/>
        </w:rPr>
      </w:pPr>
    </w:p>
    <w:p w14:paraId="7958D441" w14:textId="77777777" w:rsidR="007B2663" w:rsidRPr="007A6E51" w:rsidRDefault="007B2663" w:rsidP="007B2663">
      <w:pPr>
        <w:widowControl w:val="0"/>
      </w:pPr>
      <w:r w:rsidRPr="00D3354F">
        <w:rPr>
          <w:b/>
          <w:bCs/>
        </w:rPr>
        <w:t>C</w:t>
      </w:r>
      <w:r>
        <w:rPr>
          <w:b/>
          <w:bCs/>
        </w:rPr>
        <w:t xml:space="preserve">ombined Statistical Area (CSA):  </w:t>
      </w:r>
      <w:r w:rsidRPr="007A6E51">
        <w:t xml:space="preserve">A combination of several adjacent metropolitan statistical areas or micropolitan statistical areas or a mix of the two, which are linked by economic ties.  </w:t>
      </w:r>
    </w:p>
    <w:p w14:paraId="5FD3C08A" w14:textId="77777777" w:rsidR="007B2663" w:rsidRPr="00D3354F" w:rsidRDefault="007B2663" w:rsidP="007B2663"/>
    <w:p w14:paraId="598E62F2" w14:textId="77777777" w:rsidR="007B2663" w:rsidRPr="00D3354F" w:rsidRDefault="007B2663" w:rsidP="007B2663">
      <w:r w:rsidRPr="00D3354F">
        <w:rPr>
          <w:b/>
          <w:bCs/>
        </w:rPr>
        <w:t xml:space="preserve">Community Development:  </w:t>
      </w:r>
      <w:r w:rsidRPr="00D3354F">
        <w:t>For loans, investments, and services to qualify as community development activities, their primary purpose must</w:t>
      </w:r>
      <w:r>
        <w:t>:</w:t>
      </w:r>
    </w:p>
    <w:p w14:paraId="4676BE92" w14:textId="77777777" w:rsidR="007B2663" w:rsidRPr="00D3354F" w:rsidRDefault="007B2663" w:rsidP="007B2663">
      <w:pPr>
        <w:tabs>
          <w:tab w:val="left" w:pos="720"/>
        </w:tabs>
        <w:ind w:left="720" w:hanging="360"/>
      </w:pPr>
      <w:r w:rsidRPr="00D3354F">
        <w:t>(1)</w:t>
      </w:r>
      <w:r w:rsidRPr="00D3354F">
        <w:tab/>
        <w:t xml:space="preserve">Support affordable housing for low- and moderate-income individuals; </w:t>
      </w:r>
    </w:p>
    <w:p w14:paraId="5479CD04" w14:textId="77777777" w:rsidR="007B2663" w:rsidRPr="00D3354F" w:rsidRDefault="007B2663" w:rsidP="007B2663">
      <w:pPr>
        <w:tabs>
          <w:tab w:val="left" w:pos="720"/>
        </w:tabs>
        <w:ind w:left="720" w:hanging="360"/>
      </w:pPr>
      <w:r w:rsidRPr="00D3354F">
        <w:t>(2)</w:t>
      </w:r>
      <w:r w:rsidRPr="00D3354F">
        <w:tab/>
        <w:t xml:space="preserve">Target community services toward low- and moderate-income individuals; </w:t>
      </w:r>
    </w:p>
    <w:p w14:paraId="5FBAF475" w14:textId="77777777" w:rsidR="007B2663" w:rsidRPr="00D3354F" w:rsidRDefault="007B2663" w:rsidP="007B2663">
      <w:pPr>
        <w:tabs>
          <w:tab w:val="left" w:pos="720"/>
        </w:tabs>
        <w:ind w:left="720" w:hanging="360"/>
      </w:pPr>
      <w:r w:rsidRPr="00D3354F">
        <w:t>(3)</w:t>
      </w:r>
      <w:r w:rsidRPr="00D3354F">
        <w:tab/>
        <w:t xml:space="preserve">Promote economic development by financing small businesses or farms; or </w:t>
      </w:r>
    </w:p>
    <w:p w14:paraId="22411CD3" w14:textId="77777777" w:rsidR="007B2663" w:rsidRPr="00D3354F" w:rsidRDefault="007B2663" w:rsidP="007B2663">
      <w:pPr>
        <w:tabs>
          <w:tab w:val="left" w:pos="720"/>
        </w:tabs>
        <w:ind w:left="720" w:hanging="360"/>
      </w:pPr>
      <w:r w:rsidRPr="00D3354F">
        <w:t>(4)</w:t>
      </w:r>
      <w:r w:rsidRPr="00D3354F">
        <w:tab/>
        <w:t>Provide activities that revitalize or stabilize low- and moderate-income geographies, designated disaster areas, o</w:t>
      </w:r>
      <w:r>
        <w:t>r distressed or underserved non</w:t>
      </w:r>
      <w:r w:rsidRPr="00D3354F">
        <w:t>metropolitan middle-income geographies; or</w:t>
      </w:r>
    </w:p>
    <w:p w14:paraId="36FB88D8" w14:textId="77777777" w:rsidR="007B2663" w:rsidRPr="00D3354F" w:rsidRDefault="007B2663" w:rsidP="007B2663">
      <w:pPr>
        <w:tabs>
          <w:tab w:val="left" w:pos="720"/>
        </w:tabs>
        <w:ind w:left="720" w:hanging="360"/>
      </w:pPr>
      <w:r w:rsidRPr="00D3354F">
        <w:t>(5)</w:t>
      </w:r>
      <w:r w:rsidRPr="00D3354F">
        <w:tab/>
        <w:t>Enable or facilitate projects or activities that address needs regarding foreclosed or abandoned residential properties in designated target areas.</w:t>
      </w:r>
    </w:p>
    <w:p w14:paraId="6ABD972A" w14:textId="77777777" w:rsidR="007B2663" w:rsidRPr="00D3354F" w:rsidRDefault="007B2663" w:rsidP="007B2663"/>
    <w:p w14:paraId="065D1827" w14:textId="77777777" w:rsidR="007B2663" w:rsidRPr="00D3354F" w:rsidRDefault="007B2663" w:rsidP="007B2663">
      <w:r w:rsidRPr="00D3354F">
        <w:rPr>
          <w:b/>
          <w:bCs/>
        </w:rPr>
        <w:t xml:space="preserve">Community Development Corporation (CDC):  </w:t>
      </w:r>
      <w:r w:rsidRPr="00D3354F">
        <w:t>A CDC allows banks and holding companies to make equity type of investments in community development projects.  Bank CDCs can develop innovative debt instruments or provide near-equity investments tailored to the development needs of the community</w:t>
      </w:r>
      <w:r>
        <w:t>.  Bank CDCs are also tailored to their</w:t>
      </w:r>
      <w:r w:rsidRPr="00D3354F">
        <w:t xml:space="preserve"> financial and marketing needs</w:t>
      </w:r>
      <w:r>
        <w:t>.</w:t>
      </w:r>
      <w:r w:rsidRPr="00D3354F">
        <w:t xml:space="preserve">  A CDC may purchase, own, rehabilitate, construct, manage</w:t>
      </w:r>
      <w:r>
        <w:t>,</w:t>
      </w:r>
      <w:r w:rsidRPr="00D3354F">
        <w:t xml:space="preserve"> and sell real property.  Also, it may make equity or debt investments in development projects and in local businesses.  The CDC activities are expected to directly benefit low- and moderate-income groups, and the investment dollars should not represent an undue risk on the banking organization.  </w:t>
      </w:r>
    </w:p>
    <w:p w14:paraId="3C74473E" w14:textId="77777777" w:rsidR="007B2663" w:rsidRPr="00D3354F" w:rsidRDefault="007B2663" w:rsidP="007B2663"/>
    <w:p w14:paraId="53DDDC68" w14:textId="77777777" w:rsidR="007B2663" w:rsidRDefault="007B2663" w:rsidP="007B2663">
      <w:pPr>
        <w:pStyle w:val="HTMLPreformatted"/>
        <w:rPr>
          <w:rFonts w:ascii="Times New Roman" w:hAnsi="Times New Roman"/>
          <w:b/>
          <w:bCs/>
          <w:sz w:val="24"/>
          <w:szCs w:val="24"/>
        </w:rPr>
      </w:pPr>
    </w:p>
    <w:p w14:paraId="015D552E" w14:textId="77777777" w:rsidR="007B2663" w:rsidRPr="00D3354F" w:rsidRDefault="007B2663" w:rsidP="007B2663">
      <w:pPr>
        <w:pStyle w:val="HTMLPreformatted"/>
        <w:rPr>
          <w:rFonts w:ascii="Times New Roman" w:hAnsi="Times New Roman"/>
          <w:sz w:val="24"/>
          <w:szCs w:val="24"/>
        </w:rPr>
      </w:pPr>
      <w:r w:rsidRPr="00D3354F">
        <w:rPr>
          <w:rFonts w:ascii="Times New Roman" w:hAnsi="Times New Roman"/>
          <w:b/>
          <w:bCs/>
          <w:sz w:val="24"/>
          <w:szCs w:val="24"/>
        </w:rPr>
        <w:lastRenderedPageBreak/>
        <w:t>Community Development Financial Institutions (CDFIs):</w:t>
      </w:r>
      <w:r w:rsidRPr="00D3354F">
        <w:rPr>
          <w:rFonts w:ascii="Times New Roman" w:hAnsi="Times New Roman"/>
          <w:sz w:val="24"/>
          <w:szCs w:val="24"/>
        </w:rPr>
        <w:t xml:space="preserve">  CDFIs are private intermediaries (either for profit or nonprofit) with community development as their primary mission.  A CDFI facilitates the flow of lending and investment capital into distressed communities and to individuals who have been unable to take advantage of the services offered by traditional financial institutions.  Some basic types of CDFIs include community development banks, community development loan funds, community development credit unions, micro enterprise funds, and community development venture capital funds.  </w:t>
      </w:r>
    </w:p>
    <w:p w14:paraId="74997F8D" w14:textId="77777777" w:rsidR="007B2663" w:rsidRPr="00D3354F" w:rsidRDefault="007B2663" w:rsidP="007B2663">
      <w:pPr>
        <w:pStyle w:val="HTMLPreformatted"/>
        <w:rPr>
          <w:rFonts w:ascii="Times New Roman" w:hAnsi="Times New Roman"/>
          <w:sz w:val="24"/>
          <w:szCs w:val="24"/>
        </w:rPr>
      </w:pPr>
    </w:p>
    <w:p w14:paraId="3FBF4D1E" w14:textId="77777777" w:rsidR="007B2663" w:rsidRDefault="007B2663" w:rsidP="007B2663">
      <w:pPr>
        <w:pStyle w:val="HTMLPreformatted"/>
        <w:rPr>
          <w:rFonts w:ascii="Times New Roman" w:hAnsi="Times New Roman"/>
          <w:sz w:val="24"/>
          <w:szCs w:val="24"/>
        </w:rPr>
      </w:pPr>
      <w:r w:rsidRPr="00D3354F">
        <w:rPr>
          <w:rFonts w:ascii="Times New Roman" w:hAnsi="Times New Roman"/>
          <w:sz w:val="24"/>
          <w:szCs w:val="24"/>
        </w:rPr>
        <w:t>A certified CDFI must meet eligibility requirements</w:t>
      </w:r>
      <w:r>
        <w:rPr>
          <w:rFonts w:ascii="Times New Roman" w:hAnsi="Times New Roman"/>
          <w:sz w:val="24"/>
          <w:szCs w:val="24"/>
        </w:rPr>
        <w:t>.  These requirements include the following:</w:t>
      </w:r>
    </w:p>
    <w:p w14:paraId="28FE57E2" w14:textId="77777777" w:rsidR="007B2663" w:rsidRDefault="007B2663" w:rsidP="007B2663">
      <w:pPr>
        <w:pStyle w:val="HTMLPreformatted"/>
        <w:numPr>
          <w:ilvl w:val="0"/>
          <w:numId w:val="21"/>
        </w:numPr>
        <w:rPr>
          <w:rFonts w:ascii="Times New Roman" w:hAnsi="Times New Roman"/>
          <w:sz w:val="24"/>
          <w:szCs w:val="24"/>
        </w:rPr>
      </w:pPr>
      <w:r>
        <w:rPr>
          <w:rFonts w:ascii="Times New Roman" w:hAnsi="Times New Roman"/>
          <w:sz w:val="24"/>
          <w:szCs w:val="24"/>
        </w:rPr>
        <w:t>H</w:t>
      </w:r>
      <w:r w:rsidRPr="00D3354F">
        <w:rPr>
          <w:rFonts w:ascii="Times New Roman" w:hAnsi="Times New Roman"/>
          <w:sz w:val="24"/>
          <w:szCs w:val="24"/>
        </w:rPr>
        <w:t xml:space="preserve">aving a primary mission of promoting community development; </w:t>
      </w:r>
    </w:p>
    <w:p w14:paraId="407E46BA" w14:textId="77777777" w:rsidR="007B2663" w:rsidRDefault="007B2663" w:rsidP="007B2663">
      <w:pPr>
        <w:pStyle w:val="HTMLPreformatted"/>
        <w:numPr>
          <w:ilvl w:val="0"/>
          <w:numId w:val="21"/>
        </w:numPr>
        <w:rPr>
          <w:rFonts w:ascii="Times New Roman" w:hAnsi="Times New Roman"/>
          <w:sz w:val="24"/>
          <w:szCs w:val="24"/>
        </w:rPr>
      </w:pPr>
      <w:r>
        <w:rPr>
          <w:rFonts w:ascii="Times New Roman" w:hAnsi="Times New Roman"/>
          <w:sz w:val="24"/>
          <w:szCs w:val="24"/>
        </w:rPr>
        <w:t>S</w:t>
      </w:r>
      <w:r w:rsidRPr="00D3354F">
        <w:rPr>
          <w:rFonts w:ascii="Times New Roman" w:hAnsi="Times New Roman"/>
          <w:sz w:val="24"/>
          <w:szCs w:val="24"/>
        </w:rPr>
        <w:t xml:space="preserve">erving an investment area or target population; </w:t>
      </w:r>
    </w:p>
    <w:p w14:paraId="476C2E4D" w14:textId="77777777" w:rsidR="007B2663" w:rsidRDefault="007B2663" w:rsidP="007B2663">
      <w:pPr>
        <w:pStyle w:val="HTMLPreformatted"/>
        <w:numPr>
          <w:ilvl w:val="0"/>
          <w:numId w:val="21"/>
        </w:numPr>
        <w:rPr>
          <w:rFonts w:ascii="Times New Roman" w:hAnsi="Times New Roman"/>
          <w:sz w:val="24"/>
          <w:szCs w:val="24"/>
        </w:rPr>
      </w:pPr>
      <w:r>
        <w:rPr>
          <w:rFonts w:ascii="Times New Roman" w:hAnsi="Times New Roman"/>
          <w:sz w:val="24"/>
          <w:szCs w:val="24"/>
        </w:rPr>
        <w:t>P</w:t>
      </w:r>
      <w:r w:rsidRPr="00D3354F">
        <w:rPr>
          <w:rFonts w:ascii="Times New Roman" w:hAnsi="Times New Roman"/>
          <w:sz w:val="24"/>
          <w:szCs w:val="24"/>
        </w:rPr>
        <w:t xml:space="preserve">roviding development services; </w:t>
      </w:r>
    </w:p>
    <w:p w14:paraId="1C392CEC" w14:textId="77777777" w:rsidR="007B2663" w:rsidRDefault="007B2663" w:rsidP="007B2663">
      <w:pPr>
        <w:pStyle w:val="HTMLPreformatted"/>
        <w:numPr>
          <w:ilvl w:val="0"/>
          <w:numId w:val="21"/>
        </w:numPr>
        <w:rPr>
          <w:rFonts w:ascii="Times New Roman" w:hAnsi="Times New Roman"/>
          <w:sz w:val="24"/>
          <w:szCs w:val="24"/>
        </w:rPr>
      </w:pPr>
      <w:r>
        <w:rPr>
          <w:rFonts w:ascii="Times New Roman" w:hAnsi="Times New Roman"/>
          <w:sz w:val="24"/>
          <w:szCs w:val="24"/>
        </w:rPr>
        <w:t>M</w:t>
      </w:r>
      <w:r w:rsidRPr="00D3354F">
        <w:rPr>
          <w:rFonts w:ascii="Times New Roman" w:hAnsi="Times New Roman"/>
          <w:sz w:val="24"/>
          <w:szCs w:val="24"/>
        </w:rPr>
        <w:t xml:space="preserve">aintaining accountability to residents of its investment area or targeted population through representation on its governing board of directors, or by other means; </w:t>
      </w:r>
    </w:p>
    <w:p w14:paraId="587D1141" w14:textId="77777777" w:rsidR="007B2663" w:rsidRPr="00D3354F" w:rsidRDefault="007B2663" w:rsidP="007B2663">
      <w:pPr>
        <w:pStyle w:val="HTMLPreformatted"/>
        <w:numPr>
          <w:ilvl w:val="0"/>
          <w:numId w:val="21"/>
        </w:numPr>
        <w:rPr>
          <w:rFonts w:ascii="Times New Roman" w:hAnsi="Times New Roman"/>
          <w:sz w:val="24"/>
          <w:szCs w:val="24"/>
        </w:rPr>
      </w:pPr>
      <w:r>
        <w:rPr>
          <w:rFonts w:ascii="Times New Roman" w:hAnsi="Times New Roman"/>
          <w:sz w:val="24"/>
          <w:szCs w:val="24"/>
        </w:rPr>
        <w:t>N</w:t>
      </w:r>
      <w:r w:rsidRPr="00D3354F">
        <w:rPr>
          <w:rFonts w:ascii="Times New Roman" w:hAnsi="Times New Roman"/>
          <w:sz w:val="24"/>
          <w:szCs w:val="24"/>
        </w:rPr>
        <w:t>ot constituting an agency or instrumentality of the United States, of any state or political subdivision of a state.</w:t>
      </w:r>
    </w:p>
    <w:p w14:paraId="510BDB4E" w14:textId="77777777" w:rsidR="007B2663" w:rsidRPr="00D3354F" w:rsidRDefault="007B2663" w:rsidP="007B2663">
      <w:pPr>
        <w:pStyle w:val="HTMLPreformatted"/>
        <w:rPr>
          <w:rFonts w:ascii="Times New Roman" w:hAnsi="Times New Roman"/>
          <w:b/>
          <w:bCs/>
          <w:sz w:val="24"/>
          <w:szCs w:val="24"/>
        </w:rPr>
      </w:pPr>
    </w:p>
    <w:p w14:paraId="4EE9205E" w14:textId="77777777" w:rsidR="007B2663" w:rsidRDefault="007B2663" w:rsidP="007B2663">
      <w:pPr>
        <w:pStyle w:val="HTMLPreformatted"/>
        <w:rPr>
          <w:rFonts w:ascii="Times New Roman" w:hAnsi="Times New Roman"/>
          <w:sz w:val="24"/>
          <w:szCs w:val="24"/>
        </w:rPr>
      </w:pPr>
      <w:r>
        <w:rPr>
          <w:rFonts w:ascii="Times New Roman" w:hAnsi="Times New Roman"/>
          <w:b/>
          <w:bCs/>
          <w:sz w:val="24"/>
          <w:szCs w:val="24"/>
        </w:rPr>
        <w:t>Community Development L</w:t>
      </w:r>
      <w:r w:rsidRPr="00D3354F">
        <w:rPr>
          <w:rFonts w:ascii="Times New Roman" w:hAnsi="Times New Roman"/>
          <w:b/>
          <w:bCs/>
          <w:sz w:val="24"/>
          <w:szCs w:val="24"/>
        </w:rPr>
        <w:t>oan:</w:t>
      </w:r>
      <w:r w:rsidRPr="00D3354F">
        <w:rPr>
          <w:rFonts w:ascii="Times New Roman" w:hAnsi="Times New Roman"/>
          <w:sz w:val="24"/>
          <w:szCs w:val="24"/>
        </w:rPr>
        <w:t xml:space="preserve">  A loan that </w:t>
      </w:r>
    </w:p>
    <w:p w14:paraId="608B989A" w14:textId="77777777" w:rsidR="007B2663" w:rsidRDefault="007B2663" w:rsidP="007B2663">
      <w:pPr>
        <w:pStyle w:val="HTMLPreformatted"/>
        <w:rPr>
          <w:rFonts w:ascii="Times New Roman" w:hAnsi="Times New Roman"/>
          <w:sz w:val="24"/>
          <w:szCs w:val="24"/>
        </w:rPr>
      </w:pPr>
      <w:r w:rsidRPr="00D3354F">
        <w:rPr>
          <w:rFonts w:ascii="Times New Roman" w:hAnsi="Times New Roman"/>
          <w:sz w:val="24"/>
          <w:szCs w:val="24"/>
        </w:rPr>
        <w:t xml:space="preserve">(1) </w:t>
      </w:r>
      <w:r>
        <w:rPr>
          <w:rFonts w:ascii="Times New Roman" w:hAnsi="Times New Roman"/>
          <w:sz w:val="24"/>
          <w:szCs w:val="24"/>
        </w:rPr>
        <w:t>H</w:t>
      </w:r>
      <w:r w:rsidRPr="00D3354F">
        <w:rPr>
          <w:rFonts w:ascii="Times New Roman" w:hAnsi="Times New Roman"/>
          <w:sz w:val="24"/>
          <w:szCs w:val="24"/>
        </w:rPr>
        <w:t xml:space="preserve">as as its primary purpose community development; and </w:t>
      </w:r>
    </w:p>
    <w:p w14:paraId="666A3FB5" w14:textId="77777777" w:rsidR="007B2663" w:rsidRDefault="007B2663" w:rsidP="007B2663">
      <w:pPr>
        <w:pStyle w:val="HTMLPreformatted"/>
        <w:rPr>
          <w:rFonts w:ascii="Times New Roman" w:hAnsi="Times New Roman"/>
          <w:sz w:val="24"/>
          <w:szCs w:val="24"/>
        </w:rPr>
      </w:pPr>
      <w:r w:rsidRPr="00D3354F">
        <w:rPr>
          <w:rFonts w:ascii="Times New Roman" w:hAnsi="Times New Roman"/>
          <w:sz w:val="24"/>
          <w:szCs w:val="24"/>
        </w:rPr>
        <w:t xml:space="preserve">(2) </w:t>
      </w:r>
      <w:r>
        <w:rPr>
          <w:rFonts w:ascii="Times New Roman" w:hAnsi="Times New Roman"/>
          <w:sz w:val="24"/>
          <w:szCs w:val="24"/>
        </w:rPr>
        <w:t>E</w:t>
      </w:r>
      <w:r w:rsidRPr="00D3354F">
        <w:rPr>
          <w:rFonts w:ascii="Times New Roman" w:hAnsi="Times New Roman"/>
          <w:sz w:val="24"/>
          <w:szCs w:val="24"/>
        </w:rPr>
        <w:t xml:space="preserve">xcept in the case of a wholesale or limited purpose bank:  </w:t>
      </w:r>
    </w:p>
    <w:p w14:paraId="151AF4F3" w14:textId="77777777" w:rsidR="007B2663" w:rsidRDefault="007B2663" w:rsidP="007B2663">
      <w:pPr>
        <w:pStyle w:val="HTMLPreformatted"/>
        <w:ind w:left="720"/>
        <w:rPr>
          <w:rFonts w:ascii="Times New Roman" w:hAnsi="Times New Roman"/>
          <w:sz w:val="24"/>
          <w:szCs w:val="24"/>
        </w:rPr>
      </w:pPr>
      <w:r w:rsidRPr="00D3354F">
        <w:rPr>
          <w:rFonts w:ascii="Times New Roman" w:hAnsi="Times New Roman"/>
          <w:sz w:val="24"/>
          <w:szCs w:val="24"/>
        </w:rPr>
        <w:t xml:space="preserve">(i) </w:t>
      </w:r>
      <w:r>
        <w:rPr>
          <w:rFonts w:ascii="Times New Roman" w:hAnsi="Times New Roman"/>
          <w:sz w:val="24"/>
          <w:szCs w:val="24"/>
        </w:rPr>
        <w:t>H</w:t>
      </w:r>
      <w:r w:rsidRPr="00D3354F">
        <w:rPr>
          <w:rFonts w:ascii="Times New Roman" w:hAnsi="Times New Roman"/>
          <w:sz w:val="24"/>
          <w:szCs w:val="24"/>
        </w:rPr>
        <w:t xml:space="preserve">as not been reported or collected by the bank or an affiliate for consideration in the bank’s assessment area as a home mortgage, small business, small farm, or consumer loan, unless it is a multifamily dwelling loan (as described in Appendix A to Part 203 of this title); and </w:t>
      </w:r>
    </w:p>
    <w:p w14:paraId="4633BADC" w14:textId="77777777" w:rsidR="007B2663" w:rsidRPr="00D3354F" w:rsidRDefault="007B2663" w:rsidP="007B2663">
      <w:pPr>
        <w:pStyle w:val="HTMLPreformatted"/>
        <w:ind w:left="720"/>
        <w:rPr>
          <w:rFonts w:ascii="Times New Roman" w:hAnsi="Times New Roman"/>
          <w:sz w:val="24"/>
          <w:szCs w:val="24"/>
        </w:rPr>
      </w:pPr>
      <w:r w:rsidRPr="00D3354F">
        <w:rPr>
          <w:rFonts w:ascii="Times New Roman" w:hAnsi="Times New Roman"/>
          <w:sz w:val="24"/>
          <w:szCs w:val="24"/>
        </w:rPr>
        <w:t xml:space="preserve">(ii) </w:t>
      </w:r>
      <w:r>
        <w:rPr>
          <w:rFonts w:ascii="Times New Roman" w:hAnsi="Times New Roman"/>
          <w:sz w:val="24"/>
          <w:szCs w:val="24"/>
        </w:rPr>
        <w:t>B</w:t>
      </w:r>
      <w:r w:rsidRPr="00D3354F">
        <w:rPr>
          <w:rFonts w:ascii="Times New Roman" w:hAnsi="Times New Roman"/>
          <w:sz w:val="24"/>
          <w:szCs w:val="24"/>
        </w:rPr>
        <w:t>enefits the bank’s assessment area(s) or a broader statewide or regional area includ</w:t>
      </w:r>
      <w:r>
        <w:rPr>
          <w:rFonts w:ascii="Times New Roman" w:hAnsi="Times New Roman"/>
          <w:sz w:val="24"/>
          <w:szCs w:val="24"/>
        </w:rPr>
        <w:t>ing</w:t>
      </w:r>
      <w:r w:rsidRPr="00D3354F">
        <w:rPr>
          <w:rFonts w:ascii="Times New Roman" w:hAnsi="Times New Roman"/>
          <w:sz w:val="24"/>
          <w:szCs w:val="24"/>
        </w:rPr>
        <w:t xml:space="preserve"> the bank’s assessment area(s).   </w:t>
      </w:r>
    </w:p>
    <w:p w14:paraId="499466AF" w14:textId="77777777" w:rsidR="007B2663" w:rsidRPr="00D3354F" w:rsidRDefault="007B2663" w:rsidP="007B2663">
      <w:pPr>
        <w:pStyle w:val="HTMLPreformatted"/>
        <w:rPr>
          <w:rFonts w:ascii="Times New Roman" w:hAnsi="Times New Roman"/>
          <w:b/>
          <w:bCs/>
          <w:sz w:val="24"/>
          <w:szCs w:val="24"/>
        </w:rPr>
      </w:pPr>
    </w:p>
    <w:p w14:paraId="5D341C77" w14:textId="77777777" w:rsidR="007B2663" w:rsidRDefault="007B2663" w:rsidP="007B2663">
      <w:pPr>
        <w:pStyle w:val="HTMLPreformatted"/>
        <w:rPr>
          <w:rFonts w:ascii="Times New Roman" w:hAnsi="Times New Roman"/>
          <w:sz w:val="24"/>
          <w:szCs w:val="24"/>
        </w:rPr>
      </w:pPr>
      <w:r>
        <w:rPr>
          <w:rFonts w:ascii="Times New Roman" w:hAnsi="Times New Roman"/>
          <w:b/>
          <w:bCs/>
          <w:sz w:val="24"/>
          <w:szCs w:val="24"/>
        </w:rPr>
        <w:t>Community Development S</w:t>
      </w:r>
      <w:r w:rsidRPr="00D3354F">
        <w:rPr>
          <w:rFonts w:ascii="Times New Roman" w:hAnsi="Times New Roman"/>
          <w:b/>
          <w:bCs/>
          <w:sz w:val="24"/>
          <w:szCs w:val="24"/>
        </w:rPr>
        <w:t>ervice:</w:t>
      </w:r>
      <w:r w:rsidRPr="00D3354F">
        <w:rPr>
          <w:rFonts w:ascii="Times New Roman" w:hAnsi="Times New Roman"/>
          <w:sz w:val="24"/>
          <w:szCs w:val="24"/>
        </w:rPr>
        <w:t xml:space="preserve">  A service that </w:t>
      </w:r>
    </w:p>
    <w:p w14:paraId="3334F9B7" w14:textId="77777777" w:rsidR="007B2663" w:rsidRDefault="007B2663" w:rsidP="007B2663">
      <w:pPr>
        <w:pStyle w:val="HTMLPreformatted"/>
        <w:ind w:left="720"/>
        <w:rPr>
          <w:rFonts w:ascii="Times New Roman" w:hAnsi="Times New Roman"/>
          <w:sz w:val="24"/>
          <w:szCs w:val="24"/>
        </w:rPr>
      </w:pPr>
      <w:r w:rsidRPr="00D3354F">
        <w:rPr>
          <w:rFonts w:ascii="Times New Roman" w:hAnsi="Times New Roman"/>
          <w:sz w:val="24"/>
          <w:szCs w:val="24"/>
        </w:rPr>
        <w:t xml:space="preserve">(1) </w:t>
      </w:r>
      <w:r>
        <w:rPr>
          <w:rFonts w:ascii="Times New Roman" w:hAnsi="Times New Roman"/>
          <w:sz w:val="24"/>
          <w:szCs w:val="24"/>
        </w:rPr>
        <w:t>H</w:t>
      </w:r>
      <w:r w:rsidRPr="00D3354F">
        <w:rPr>
          <w:rFonts w:ascii="Times New Roman" w:hAnsi="Times New Roman"/>
          <w:sz w:val="24"/>
          <w:szCs w:val="24"/>
        </w:rPr>
        <w:t xml:space="preserve">as as its primary purpose community development; </w:t>
      </w:r>
    </w:p>
    <w:p w14:paraId="125CBE52" w14:textId="77777777" w:rsidR="007B2663" w:rsidRDefault="007B2663" w:rsidP="007B2663">
      <w:pPr>
        <w:pStyle w:val="HTMLPreformatted"/>
        <w:ind w:left="720"/>
        <w:rPr>
          <w:rFonts w:ascii="Times New Roman" w:hAnsi="Times New Roman"/>
          <w:sz w:val="24"/>
          <w:szCs w:val="24"/>
        </w:rPr>
      </w:pPr>
      <w:r w:rsidRPr="00D3354F">
        <w:rPr>
          <w:rFonts w:ascii="Times New Roman" w:hAnsi="Times New Roman"/>
          <w:sz w:val="24"/>
          <w:szCs w:val="24"/>
        </w:rPr>
        <w:t xml:space="preserve">(2) </w:t>
      </w:r>
      <w:r>
        <w:rPr>
          <w:rFonts w:ascii="Times New Roman" w:hAnsi="Times New Roman"/>
          <w:sz w:val="24"/>
          <w:szCs w:val="24"/>
        </w:rPr>
        <w:t>I</w:t>
      </w:r>
      <w:r w:rsidRPr="00D3354F">
        <w:rPr>
          <w:rFonts w:ascii="Times New Roman" w:hAnsi="Times New Roman"/>
          <w:sz w:val="24"/>
          <w:szCs w:val="24"/>
        </w:rPr>
        <w:t xml:space="preserve">s related to the provision of </w:t>
      </w:r>
      <w:r w:rsidRPr="00D3354F">
        <w:rPr>
          <w:rFonts w:ascii="Times New Roman" w:hAnsi="Times New Roman"/>
          <w:sz w:val="24"/>
          <w:szCs w:val="24"/>
          <w:u w:val="single"/>
        </w:rPr>
        <w:t>financial</w:t>
      </w:r>
      <w:r w:rsidRPr="00D3354F">
        <w:rPr>
          <w:rFonts w:ascii="Times New Roman" w:hAnsi="Times New Roman"/>
          <w:sz w:val="24"/>
          <w:szCs w:val="24"/>
        </w:rPr>
        <w:t xml:space="preserve"> services; and </w:t>
      </w:r>
    </w:p>
    <w:p w14:paraId="0AFE054B" w14:textId="77777777" w:rsidR="007B2663" w:rsidRPr="00D3354F" w:rsidRDefault="007B2663" w:rsidP="007B2663">
      <w:pPr>
        <w:pStyle w:val="HTMLPreformatted"/>
        <w:ind w:left="720"/>
        <w:rPr>
          <w:rFonts w:ascii="Times New Roman" w:hAnsi="Times New Roman"/>
          <w:sz w:val="24"/>
          <w:szCs w:val="24"/>
        </w:rPr>
      </w:pPr>
      <w:r w:rsidRPr="00D3354F">
        <w:rPr>
          <w:rFonts w:ascii="Times New Roman" w:hAnsi="Times New Roman"/>
          <w:sz w:val="24"/>
          <w:szCs w:val="24"/>
        </w:rPr>
        <w:t xml:space="preserve">(3) </w:t>
      </w:r>
      <w:r>
        <w:rPr>
          <w:rFonts w:ascii="Times New Roman" w:hAnsi="Times New Roman"/>
          <w:sz w:val="24"/>
          <w:szCs w:val="24"/>
        </w:rPr>
        <w:t>H</w:t>
      </w:r>
      <w:r w:rsidRPr="00D3354F">
        <w:rPr>
          <w:rFonts w:ascii="Times New Roman" w:hAnsi="Times New Roman"/>
          <w:sz w:val="24"/>
          <w:szCs w:val="24"/>
        </w:rPr>
        <w:t>as not been considered in the evaluation of the bank’s retail banking services under §</w:t>
      </w:r>
      <w:r>
        <w:rPr>
          <w:rFonts w:ascii="Times New Roman" w:hAnsi="Times New Roman"/>
          <w:sz w:val="24"/>
          <w:szCs w:val="24"/>
        </w:rPr>
        <w:t xml:space="preserve"> </w:t>
      </w:r>
      <w:r w:rsidRPr="00D3354F">
        <w:rPr>
          <w:rFonts w:ascii="Times New Roman" w:hAnsi="Times New Roman"/>
          <w:sz w:val="24"/>
          <w:szCs w:val="24"/>
        </w:rPr>
        <w:t xml:space="preserve">345.24(d).  </w:t>
      </w:r>
    </w:p>
    <w:p w14:paraId="4E1DB5E2" w14:textId="77777777" w:rsidR="007B2663" w:rsidRPr="00D3354F" w:rsidRDefault="007B2663" w:rsidP="007B2663">
      <w:pPr>
        <w:rPr>
          <w:b/>
          <w:bCs/>
        </w:rPr>
      </w:pPr>
    </w:p>
    <w:p w14:paraId="64D77C4F" w14:textId="77777777" w:rsidR="007B2663" w:rsidRPr="00D3354F" w:rsidRDefault="007B2663" w:rsidP="007B2663">
      <w:pPr>
        <w:rPr>
          <w:b/>
          <w:bCs/>
        </w:rPr>
      </w:pPr>
      <w:r>
        <w:rPr>
          <w:b/>
          <w:bCs/>
        </w:rPr>
        <w:t>Consumer L</w:t>
      </w:r>
      <w:r w:rsidRPr="00D3354F">
        <w:rPr>
          <w:b/>
          <w:bCs/>
        </w:rPr>
        <w:t xml:space="preserve">oan(s):  </w:t>
      </w:r>
      <w:r w:rsidRPr="00D3354F">
        <w:t>A loan(s) to one or more individuals for household, family, or other personal expenditures.  A consumer loan does not include a home mortgage, small business, or small farm loan.  This definition includes the following categories: motor vehicle loans, credit card loans, home equity loans, other secured consumer loans, and other unsecured consumer loans.</w:t>
      </w:r>
    </w:p>
    <w:p w14:paraId="39C8E167" w14:textId="77777777" w:rsidR="007B2663" w:rsidRDefault="007B2663" w:rsidP="007B2663">
      <w:pPr>
        <w:rPr>
          <w:b/>
          <w:bCs/>
        </w:rPr>
      </w:pPr>
    </w:p>
    <w:p w14:paraId="6A7C0C2D" w14:textId="77777777" w:rsidR="007B2663" w:rsidRDefault="007B2663" w:rsidP="007B2663">
      <w:r>
        <w:rPr>
          <w:b/>
          <w:bCs/>
        </w:rPr>
        <w:t xml:space="preserve">Core Based Statistical Areas (CBSAs):  </w:t>
      </w:r>
      <w:r>
        <w:t xml:space="preserve">The county or counties or equivalent entities associated with at least one core (urbanized area or urban cluster) of at least 10,000 population, plus adjacent counties having a high degree of social and economic integration with the core as measured through commuting ties with the counties associated with the core.  Metropolitan and Micropolitan Statistical Areas are the two categories of CBSAs. </w:t>
      </w:r>
    </w:p>
    <w:p w14:paraId="33EBF96F" w14:textId="77777777" w:rsidR="007B2663" w:rsidRPr="00D3354F" w:rsidRDefault="007B2663" w:rsidP="007B2663">
      <w:pPr>
        <w:pStyle w:val="HTMLPreformatted"/>
        <w:rPr>
          <w:rFonts w:ascii="Times New Roman" w:hAnsi="Times New Roman"/>
          <w:sz w:val="24"/>
          <w:szCs w:val="24"/>
        </w:rPr>
      </w:pPr>
    </w:p>
    <w:p w14:paraId="7ECCDE0E" w14:textId="77777777" w:rsidR="007B2663" w:rsidRDefault="007B2663" w:rsidP="007B2663">
      <w:pPr>
        <w:pStyle w:val="HTMLPreformatted"/>
        <w:rPr>
          <w:rFonts w:ascii="Times New Roman" w:hAnsi="Times New Roman"/>
          <w:sz w:val="24"/>
          <w:szCs w:val="24"/>
        </w:rPr>
      </w:pPr>
      <w:r>
        <w:rPr>
          <w:rFonts w:ascii="Times New Roman" w:hAnsi="Times New Roman"/>
          <w:b/>
          <w:bCs/>
          <w:sz w:val="24"/>
          <w:szCs w:val="24"/>
        </w:rPr>
        <w:lastRenderedPageBreak/>
        <w:t>Distressed Middle-Income Nonmetropolitan G</w:t>
      </w:r>
      <w:r w:rsidRPr="00D3354F">
        <w:rPr>
          <w:rFonts w:ascii="Times New Roman" w:hAnsi="Times New Roman"/>
          <w:b/>
          <w:bCs/>
          <w:sz w:val="24"/>
          <w:szCs w:val="24"/>
        </w:rPr>
        <w:t>eographies</w:t>
      </w:r>
      <w:r w:rsidRPr="00D3354F">
        <w:rPr>
          <w:rFonts w:ascii="Times New Roman" w:hAnsi="Times New Roman"/>
          <w:sz w:val="24"/>
          <w:szCs w:val="24"/>
        </w:rPr>
        <w:t xml:space="preserve">:  A nonmetropolitan middle-income geography will be designated as distressed if it is in a county that meets one or more of the following triggers:  </w:t>
      </w:r>
    </w:p>
    <w:p w14:paraId="146FAAE9" w14:textId="77777777" w:rsidR="007B2663" w:rsidRDefault="007B2663" w:rsidP="007B2663">
      <w:pPr>
        <w:pStyle w:val="HTMLPreformatted"/>
        <w:ind w:left="720"/>
        <w:rPr>
          <w:rFonts w:ascii="Times New Roman" w:hAnsi="Times New Roman"/>
          <w:sz w:val="24"/>
          <w:szCs w:val="24"/>
        </w:rPr>
      </w:pPr>
      <w:r w:rsidRPr="00D3354F">
        <w:rPr>
          <w:rFonts w:ascii="Times New Roman" w:hAnsi="Times New Roman"/>
          <w:sz w:val="24"/>
          <w:szCs w:val="24"/>
        </w:rPr>
        <w:t xml:space="preserve">(1) an unemployment rate of at least 1.5 times the national average; </w:t>
      </w:r>
    </w:p>
    <w:p w14:paraId="1AFC6ECF" w14:textId="77777777" w:rsidR="007B2663" w:rsidRDefault="007B2663" w:rsidP="007B2663">
      <w:pPr>
        <w:pStyle w:val="HTMLPreformatted"/>
        <w:ind w:left="720"/>
        <w:rPr>
          <w:rFonts w:ascii="Times New Roman" w:hAnsi="Times New Roman"/>
          <w:sz w:val="24"/>
          <w:szCs w:val="24"/>
        </w:rPr>
      </w:pPr>
      <w:r w:rsidRPr="00D3354F">
        <w:rPr>
          <w:rFonts w:ascii="Times New Roman" w:hAnsi="Times New Roman"/>
          <w:sz w:val="24"/>
          <w:szCs w:val="24"/>
        </w:rPr>
        <w:t>(2) a poverty rate of 20 percent or more; or,</w:t>
      </w:r>
    </w:p>
    <w:p w14:paraId="6133BD96" w14:textId="77777777" w:rsidR="007B2663" w:rsidRPr="00D3354F" w:rsidRDefault="007B2663" w:rsidP="007B2663">
      <w:pPr>
        <w:pStyle w:val="HTMLPreformatted"/>
        <w:ind w:left="720"/>
        <w:rPr>
          <w:rFonts w:ascii="Times New Roman" w:hAnsi="Times New Roman"/>
          <w:b/>
          <w:bCs/>
          <w:sz w:val="24"/>
          <w:szCs w:val="24"/>
        </w:rPr>
      </w:pPr>
      <w:r w:rsidRPr="00D3354F">
        <w:rPr>
          <w:rFonts w:ascii="Times New Roman" w:hAnsi="Times New Roman"/>
          <w:sz w:val="24"/>
          <w:szCs w:val="24"/>
        </w:rPr>
        <w:t xml:space="preserve">(3) a population loss of 10 percent or more between the previous and most recent decennial census or a net migration loss of 5 percent or more over the </w:t>
      </w:r>
      <w:r>
        <w:rPr>
          <w:rFonts w:ascii="Times New Roman" w:hAnsi="Times New Roman"/>
          <w:sz w:val="24"/>
          <w:szCs w:val="24"/>
        </w:rPr>
        <w:t>5</w:t>
      </w:r>
      <w:r w:rsidRPr="00D3354F">
        <w:rPr>
          <w:rFonts w:ascii="Times New Roman" w:hAnsi="Times New Roman"/>
          <w:sz w:val="24"/>
          <w:szCs w:val="24"/>
        </w:rPr>
        <w:t xml:space="preserve">-year period preceding the most recent census.  </w:t>
      </w:r>
    </w:p>
    <w:p w14:paraId="18FCFAC9" w14:textId="77777777" w:rsidR="007B2663" w:rsidRPr="00D3354F" w:rsidRDefault="007B2663" w:rsidP="007B2663"/>
    <w:p w14:paraId="3C2DBBF3" w14:textId="77777777" w:rsidR="007B2663" w:rsidRPr="00D3354F" w:rsidRDefault="007B2663" w:rsidP="007B2663">
      <w:r w:rsidRPr="00D3354F">
        <w:rPr>
          <w:b/>
          <w:bCs/>
        </w:rPr>
        <w:t>Family:</w:t>
      </w:r>
      <w:r w:rsidRPr="00D3354F">
        <w:t xml:space="preserve">  Includes a householder and one or more other persons living in the same household who are related to the householder by birth, marriage, or adoption.  The number of family households always equals the number of families; however, a family household may also include non-relatives living with the family.  Families are classified by type as either a married-couple family or other family</w:t>
      </w:r>
      <w:r>
        <w:t>.  Other family</w:t>
      </w:r>
      <w:r w:rsidRPr="00D3354F">
        <w:t xml:space="preserve"> is further classified into “male householder” (a family with a male householder and no wife present) or “female householder” (a family with a female householder and no husband present).</w:t>
      </w:r>
    </w:p>
    <w:p w14:paraId="41902554" w14:textId="77777777" w:rsidR="007B2663" w:rsidRPr="00D3354F" w:rsidRDefault="007B2663" w:rsidP="007B2663"/>
    <w:p w14:paraId="51F4EF5E" w14:textId="77777777" w:rsidR="007B2663" w:rsidRPr="00D3354F" w:rsidRDefault="007B2663" w:rsidP="007B2663">
      <w:r w:rsidRPr="00D3354F">
        <w:rPr>
          <w:b/>
          <w:bCs/>
        </w:rPr>
        <w:t>Family Income:</w:t>
      </w:r>
      <w:r w:rsidRPr="00D3354F">
        <w:t xml:space="preserve">  Includes the income of all members of a family that are age 15 and older.</w:t>
      </w:r>
    </w:p>
    <w:p w14:paraId="3C8FB98C" w14:textId="77777777" w:rsidR="007B2663" w:rsidRPr="00D3354F" w:rsidRDefault="007B2663" w:rsidP="007B2663">
      <w:pPr>
        <w:rPr>
          <w:b/>
          <w:bCs/>
        </w:rPr>
      </w:pPr>
    </w:p>
    <w:p w14:paraId="70CE05E0" w14:textId="77777777" w:rsidR="007B2663" w:rsidRPr="00D3354F" w:rsidRDefault="007B2663" w:rsidP="007B2663">
      <w:r w:rsidRPr="00D3354F">
        <w:rPr>
          <w:b/>
          <w:bCs/>
        </w:rPr>
        <w:t>FFIEC-</w:t>
      </w:r>
      <w:r>
        <w:rPr>
          <w:b/>
          <w:bCs/>
        </w:rPr>
        <w:t>Estimated</w:t>
      </w:r>
      <w:r w:rsidRPr="00D3354F">
        <w:rPr>
          <w:b/>
          <w:bCs/>
        </w:rPr>
        <w:t xml:space="preserve"> Income Data:  </w:t>
      </w:r>
      <w:r w:rsidRPr="00D3354F">
        <w:t>The Federal Financial Institutions Examination Council (FFIEC) issues annual estimates which update median family incom</w:t>
      </w:r>
      <w:r>
        <w:t>e from the metropolitan and non</w:t>
      </w:r>
      <w:r w:rsidRPr="00D3354F">
        <w:t>metropolitan areas.  The FFIEC uses American Community Survey data and factors in information from other sources to arrive at an annual estimate that more closely reflects current economic conditions.</w:t>
      </w:r>
    </w:p>
    <w:p w14:paraId="2AC4504C" w14:textId="77777777" w:rsidR="007B2663" w:rsidRPr="00D3354F" w:rsidRDefault="007B2663" w:rsidP="007B2663"/>
    <w:p w14:paraId="48493911" w14:textId="77777777" w:rsidR="007B2663" w:rsidRPr="00C74E19" w:rsidRDefault="007B2663" w:rsidP="007B2663">
      <w:r w:rsidRPr="00C74E19">
        <w:rPr>
          <w:b/>
          <w:bCs/>
        </w:rPr>
        <w:t xml:space="preserve">Full-Scope Review:  </w:t>
      </w:r>
      <w:r w:rsidRPr="00C74E19">
        <w:t xml:space="preserve">A full-scope review is accomplished when examiners complete all applicable interagency examination procedures for an assessment area.  Performance </w:t>
      </w:r>
      <w:r>
        <w:t>under</w:t>
      </w:r>
      <w:r w:rsidRPr="00C74E19">
        <w:t xml:space="preserve"> applicable tests is analyzed considering performance context, quantitative factors (for example, geographic distribution, borrower profile</w:t>
      </w:r>
      <w:r>
        <w:t xml:space="preserve">, and </w:t>
      </w:r>
      <w:r w:rsidRPr="00C74E19">
        <w:t>total number and dollar amount of investments), and qualitative factors (</w:t>
      </w:r>
      <w:r>
        <w:t xml:space="preserve">for example, </w:t>
      </w:r>
      <w:r w:rsidRPr="00C74E19">
        <w:t>innovativeness, complexity, and responsiveness).</w:t>
      </w:r>
    </w:p>
    <w:p w14:paraId="3C1F29A0" w14:textId="77777777" w:rsidR="007B2663" w:rsidRPr="00D3354F" w:rsidRDefault="007B2663" w:rsidP="007B2663"/>
    <w:p w14:paraId="128CC0E9" w14:textId="77777777" w:rsidR="007B2663" w:rsidRPr="00D3354F" w:rsidRDefault="007B2663" w:rsidP="007B2663">
      <w:pPr>
        <w:rPr>
          <w:b/>
          <w:bCs/>
        </w:rPr>
      </w:pPr>
      <w:r w:rsidRPr="00D3354F">
        <w:rPr>
          <w:b/>
          <w:bCs/>
        </w:rPr>
        <w:t xml:space="preserve">Geography:  </w:t>
      </w:r>
      <w:r w:rsidRPr="00D3354F">
        <w:t xml:space="preserve">A census tract delineated by the United States Bureau of the Census in the most recent decennial census.  </w:t>
      </w:r>
      <w:r w:rsidRPr="00D3354F">
        <w:br/>
      </w:r>
    </w:p>
    <w:p w14:paraId="3CD15FB2" w14:textId="77777777" w:rsidR="007B2663" w:rsidRPr="00D3354F" w:rsidRDefault="007B2663" w:rsidP="007B2663">
      <w:r w:rsidRPr="00D3354F">
        <w:rPr>
          <w:b/>
          <w:bCs/>
        </w:rPr>
        <w:t xml:space="preserve">Home Mortgage Disclosure Act (HMDA):  </w:t>
      </w:r>
      <w:r w:rsidRPr="00D3354F">
        <w:t>The statute that requires certain mortgage lenders that do business or have banking offices in a metropolitan statistical area to file annual summary reports of their mortgage lending activity.  The reports include such data as the race, gender</w:t>
      </w:r>
      <w:r>
        <w:t>, and the income of applicants;</w:t>
      </w:r>
      <w:r w:rsidRPr="00D3354F">
        <w:t xml:space="preserve"> the amount of loan requested</w:t>
      </w:r>
      <w:r>
        <w:t>;</w:t>
      </w:r>
      <w:r w:rsidRPr="00D3354F">
        <w:t xml:space="preserve"> </w:t>
      </w:r>
      <w:r>
        <w:t xml:space="preserve">and </w:t>
      </w:r>
      <w:r w:rsidRPr="00D3354F">
        <w:t>the disposition of the application (approved, denied, and withdrawn).</w:t>
      </w:r>
    </w:p>
    <w:p w14:paraId="4750FA38" w14:textId="77777777" w:rsidR="007B2663" w:rsidRPr="00D3354F" w:rsidRDefault="007B2663" w:rsidP="007B2663">
      <w:pPr>
        <w:rPr>
          <w:b/>
          <w:bCs/>
        </w:rPr>
      </w:pPr>
    </w:p>
    <w:p w14:paraId="089C05EC" w14:textId="77777777" w:rsidR="007B2663" w:rsidRPr="00D3354F" w:rsidRDefault="007B2663" w:rsidP="007B2663">
      <w:r w:rsidRPr="00D3354F">
        <w:rPr>
          <w:b/>
          <w:bCs/>
        </w:rPr>
        <w:t>Home Mortgage Disclosure Loan Application Register (HMDA LAR):</w:t>
      </w:r>
      <w:r w:rsidRPr="00D3354F">
        <w:t xml:space="preserve">  The HMDA LARs record all applications received for residential purchase, refinance, home improvement</w:t>
      </w:r>
      <w:r>
        <w:t>,</w:t>
      </w:r>
      <w:r w:rsidRPr="00D3354F">
        <w:t xml:space="preserve"> and temporary-to-permanent construction loans.</w:t>
      </w:r>
    </w:p>
    <w:p w14:paraId="649BDE76" w14:textId="77777777" w:rsidR="007B2663" w:rsidRPr="00D3354F" w:rsidRDefault="007B2663" w:rsidP="007B2663"/>
    <w:p w14:paraId="4AB249C1" w14:textId="77777777" w:rsidR="007B2663" w:rsidRDefault="007B2663" w:rsidP="007B2663">
      <w:pPr>
        <w:pStyle w:val="BodyText"/>
        <w:spacing w:after="0"/>
        <w:rPr>
          <w:rFonts w:ascii="Times New Roman" w:hAnsi="Times New Roman"/>
          <w:b/>
          <w:sz w:val="24"/>
          <w:szCs w:val="24"/>
        </w:rPr>
      </w:pPr>
    </w:p>
    <w:p w14:paraId="34C458BD" w14:textId="77777777" w:rsidR="007B2663" w:rsidRDefault="007B2663" w:rsidP="007B2663">
      <w:pPr>
        <w:pStyle w:val="BodyText"/>
        <w:spacing w:after="0"/>
        <w:rPr>
          <w:rFonts w:ascii="Times New Roman" w:hAnsi="Times New Roman"/>
          <w:b/>
          <w:sz w:val="24"/>
          <w:szCs w:val="24"/>
        </w:rPr>
      </w:pPr>
    </w:p>
    <w:p w14:paraId="6B8D2C84" w14:textId="77777777" w:rsidR="007B2663" w:rsidRPr="00874E0E" w:rsidRDefault="007B2663" w:rsidP="007B2663">
      <w:pPr>
        <w:pStyle w:val="BodyText"/>
        <w:spacing w:after="0"/>
        <w:rPr>
          <w:rFonts w:ascii="Times New Roman" w:hAnsi="Times New Roman"/>
          <w:sz w:val="24"/>
          <w:szCs w:val="24"/>
        </w:rPr>
      </w:pPr>
      <w:r>
        <w:rPr>
          <w:rFonts w:ascii="Times New Roman" w:hAnsi="Times New Roman"/>
          <w:b/>
          <w:sz w:val="24"/>
          <w:szCs w:val="24"/>
        </w:rPr>
        <w:lastRenderedPageBreak/>
        <w:t>Home Mortgage L</w:t>
      </w:r>
      <w:r w:rsidRPr="00874E0E">
        <w:rPr>
          <w:rFonts w:ascii="Times New Roman" w:hAnsi="Times New Roman"/>
          <w:b/>
          <w:sz w:val="24"/>
          <w:szCs w:val="24"/>
        </w:rPr>
        <w:t>oans:</w:t>
      </w:r>
      <w:r w:rsidRPr="00874E0E">
        <w:rPr>
          <w:rFonts w:ascii="Times New Roman" w:hAnsi="Times New Roman"/>
          <w:sz w:val="24"/>
          <w:szCs w:val="24"/>
        </w:rPr>
        <w:t xml:space="preserve">  Includes home purchase and home improvement loans as defined in the HMDA regulation.</w:t>
      </w:r>
      <w:r w:rsidRPr="0046074D">
        <w:rPr>
          <w:rFonts w:ascii="Times New Roman" w:hAnsi="Times New Roman"/>
        </w:rPr>
        <w:t xml:space="preserve">  </w:t>
      </w:r>
      <w:r w:rsidRPr="00874E0E">
        <w:rPr>
          <w:rFonts w:ascii="Times New Roman" w:hAnsi="Times New Roman"/>
          <w:sz w:val="24"/>
          <w:szCs w:val="24"/>
        </w:rPr>
        <w:t xml:space="preserve">This definition also includes multi-family (five or more families) dwelling loans, loans </w:t>
      </w:r>
      <w:r>
        <w:rPr>
          <w:rFonts w:ascii="Times New Roman" w:hAnsi="Times New Roman"/>
          <w:sz w:val="24"/>
          <w:szCs w:val="24"/>
        </w:rPr>
        <w:t>to purchase</w:t>
      </w:r>
      <w:r w:rsidRPr="00874E0E">
        <w:rPr>
          <w:rFonts w:ascii="Times New Roman" w:hAnsi="Times New Roman"/>
          <w:sz w:val="24"/>
          <w:szCs w:val="24"/>
        </w:rPr>
        <w:t xml:space="preserve"> manufactured homes</w:t>
      </w:r>
      <w:r>
        <w:rPr>
          <w:rFonts w:ascii="Times New Roman" w:hAnsi="Times New Roman"/>
          <w:sz w:val="24"/>
          <w:szCs w:val="24"/>
        </w:rPr>
        <w:t>,</w:t>
      </w:r>
      <w:r w:rsidRPr="00874E0E">
        <w:rPr>
          <w:rFonts w:ascii="Times New Roman" w:hAnsi="Times New Roman"/>
          <w:sz w:val="24"/>
          <w:szCs w:val="24"/>
        </w:rPr>
        <w:t xml:space="preserve"> and refinancings of home improvement and home purchase loans.</w:t>
      </w:r>
    </w:p>
    <w:p w14:paraId="21F1A656" w14:textId="77777777" w:rsidR="007B2663" w:rsidRPr="00D3354F" w:rsidRDefault="007B2663" w:rsidP="007B2663">
      <w:pPr>
        <w:pStyle w:val="BodyText"/>
        <w:spacing w:after="0"/>
        <w:rPr>
          <w:rFonts w:ascii="Times New Roman" w:hAnsi="Times New Roman"/>
        </w:rPr>
      </w:pPr>
    </w:p>
    <w:p w14:paraId="4E86F7C0" w14:textId="77777777" w:rsidR="007B2663" w:rsidRPr="00D3354F" w:rsidRDefault="007B2663" w:rsidP="007B2663">
      <w:r w:rsidRPr="00D3354F">
        <w:rPr>
          <w:b/>
          <w:bCs/>
        </w:rPr>
        <w:t>Household:</w:t>
      </w:r>
      <w:r w:rsidRPr="00D3354F">
        <w:t xml:space="preserve">  Includes all persons occupying a housing unit.  Persons not living in households are classified as living in group quarters.  In 100 percent tabulations, the count of households always equals the count of occupied housing units.</w:t>
      </w:r>
    </w:p>
    <w:p w14:paraId="2ADB57AB" w14:textId="77777777" w:rsidR="007B2663" w:rsidRPr="00D3354F" w:rsidRDefault="007B2663" w:rsidP="007B2663"/>
    <w:p w14:paraId="3BBF0992" w14:textId="77777777" w:rsidR="007B2663" w:rsidRPr="00D3354F" w:rsidRDefault="007B2663" w:rsidP="007B2663">
      <w:r w:rsidRPr="00D3354F">
        <w:rPr>
          <w:b/>
          <w:bCs/>
        </w:rPr>
        <w:t>Household Income:</w:t>
      </w:r>
      <w:r w:rsidRPr="00D3354F">
        <w:t xml:space="preserve">  Includes the income of the householder and all other persons that are age 15 and older in the household, whether related to the householder or not.  Because many households </w:t>
      </w:r>
      <w:r>
        <w:t>are</w:t>
      </w:r>
      <w:r w:rsidRPr="00D3354F">
        <w:t xml:space="preserve"> only one person, median household income is usually less than median family income.</w:t>
      </w:r>
    </w:p>
    <w:p w14:paraId="2ADF06B3" w14:textId="77777777" w:rsidR="007B2663" w:rsidRPr="00D3354F" w:rsidRDefault="007B2663" w:rsidP="007B2663"/>
    <w:p w14:paraId="4910C0A4" w14:textId="77777777" w:rsidR="007B2663" w:rsidRPr="00D3354F" w:rsidRDefault="007B2663" w:rsidP="007B2663">
      <w:r w:rsidRPr="00D3354F">
        <w:rPr>
          <w:b/>
          <w:bCs/>
        </w:rPr>
        <w:t xml:space="preserve">Housing Unit:  </w:t>
      </w:r>
      <w:r w:rsidRPr="00D3354F">
        <w:t>Includes a house, an apartment, a mobile home, a group of rooms, or a single room that is occupied as separate living quarters.</w:t>
      </w:r>
    </w:p>
    <w:p w14:paraId="22BB3596" w14:textId="77777777" w:rsidR="007B2663" w:rsidRPr="00D3354F" w:rsidRDefault="007B2663" w:rsidP="007B2663">
      <w:pPr>
        <w:rPr>
          <w:b/>
          <w:bCs/>
        </w:rPr>
      </w:pPr>
    </w:p>
    <w:p w14:paraId="03038573" w14:textId="77777777" w:rsidR="007B2663" w:rsidRPr="00C74E19" w:rsidRDefault="007B2663" w:rsidP="007B2663">
      <w:r w:rsidRPr="00C74E19">
        <w:rPr>
          <w:b/>
          <w:bCs/>
        </w:rPr>
        <w:t xml:space="preserve">Limited-Scope Review:  </w:t>
      </w:r>
      <w:r w:rsidRPr="00C74E19">
        <w:t xml:space="preserve">A limited scope review is accomplished when examiners do not complete all applicable interagency examination procedures for an assessment area.  </w:t>
      </w:r>
    </w:p>
    <w:p w14:paraId="39234AF8" w14:textId="77777777" w:rsidR="007B2663" w:rsidRPr="00C74E19" w:rsidRDefault="007B2663" w:rsidP="007B2663">
      <w:r w:rsidRPr="00C74E19">
        <w:t>Performance under applicable tests is often analyzed using only quantitative factors (for example, geographic distribution, borrower profile, total number and dollar amount of investments, and branch distribution).</w:t>
      </w:r>
    </w:p>
    <w:p w14:paraId="19FFDCCC" w14:textId="77777777" w:rsidR="007B2663" w:rsidRPr="00D3354F" w:rsidRDefault="007B2663" w:rsidP="007B2663"/>
    <w:p w14:paraId="07C63A48" w14:textId="77777777" w:rsidR="007B2663" w:rsidRPr="00D3354F" w:rsidRDefault="007B2663" w:rsidP="007B2663">
      <w:r w:rsidRPr="00D3354F">
        <w:rPr>
          <w:b/>
          <w:bCs/>
        </w:rPr>
        <w:t xml:space="preserve">Low-Income:  </w:t>
      </w:r>
      <w:r w:rsidRPr="00D3354F">
        <w:t xml:space="preserve">Individual income that is less than 50 percent of the area median income, or a median family income that is less than 50 percent in the case of a geography. </w:t>
      </w:r>
    </w:p>
    <w:p w14:paraId="5AB68A29" w14:textId="77777777" w:rsidR="007B2663" w:rsidRDefault="007B2663" w:rsidP="007B2663">
      <w:pPr>
        <w:rPr>
          <w:b/>
          <w:bCs/>
        </w:rPr>
      </w:pPr>
    </w:p>
    <w:p w14:paraId="27DF34F7" w14:textId="77777777" w:rsidR="007B2663" w:rsidRPr="00D3354F" w:rsidRDefault="007B2663" w:rsidP="007B2663">
      <w:r w:rsidRPr="00D3354F">
        <w:rPr>
          <w:b/>
          <w:bCs/>
        </w:rPr>
        <w:t>Low Income Housing Tax Credit:</w:t>
      </w:r>
      <w:r w:rsidRPr="00D3354F">
        <w:t xml:space="preserve">  The Low-Income Housing Tax Credit Program is a housing program contained within the Internal Revenue Code of 1986, as amended</w:t>
      </w:r>
      <w:r>
        <w:t>.  It</w:t>
      </w:r>
      <w:r w:rsidRPr="00D3354F">
        <w:t xml:space="preserve"> is administered by the U.S. Department of the Treasury and the Internal Revenue Service.  The U.S. Treasury Department distributes low-income housing tax credits to housing credit agencies</w:t>
      </w:r>
      <w:r>
        <w:t xml:space="preserve"> </w:t>
      </w:r>
      <w:r w:rsidRPr="00D3354F">
        <w:t xml:space="preserve">through the Internal </w:t>
      </w:r>
      <w:r>
        <w:t xml:space="preserve">Revenue Service.  </w:t>
      </w:r>
      <w:r w:rsidRPr="00D3354F">
        <w:t>The housing agencies allocate tax credits on a competitive basis.</w:t>
      </w:r>
    </w:p>
    <w:p w14:paraId="38FFBB0D" w14:textId="77777777" w:rsidR="007B2663" w:rsidRPr="00D3354F" w:rsidRDefault="007B2663" w:rsidP="007B2663">
      <w:r w:rsidRPr="00D3354F">
        <w:t xml:space="preserve">  </w:t>
      </w:r>
    </w:p>
    <w:p w14:paraId="45B7BAF6" w14:textId="77777777" w:rsidR="007B2663" w:rsidRPr="00D3354F" w:rsidRDefault="007B2663" w:rsidP="007B2663">
      <w:pPr>
        <w:rPr>
          <w:b/>
          <w:bCs/>
        </w:rPr>
      </w:pPr>
      <w:r w:rsidRPr="00D3354F">
        <w:t>Developers who acquire, rehabilitate, or construct low-income rental housing may keep their tax credits</w:t>
      </w:r>
      <w:r>
        <w:t xml:space="preserve">.  Or, they may </w:t>
      </w:r>
      <w:r w:rsidRPr="00D3354F">
        <w:t xml:space="preserve">sell them to corporations or investor groups, who, as owners of these properties, will be able to reduce their own federal tax payments.  The credit can be claimed annually for ten consecutive years.  For a project to be eligible, the developer must set aside a specific percentage of units for occupancy by low-income residents.  The set-aside requirement remains throughout the compliance period, usually 30 years. </w:t>
      </w:r>
    </w:p>
    <w:p w14:paraId="348C5605" w14:textId="77777777" w:rsidR="007B2663" w:rsidRPr="00D3354F" w:rsidRDefault="007B2663" w:rsidP="007B2663">
      <w:pPr>
        <w:rPr>
          <w:b/>
          <w:bCs/>
        </w:rPr>
      </w:pPr>
    </w:p>
    <w:p w14:paraId="06CCD1D1" w14:textId="77777777" w:rsidR="007B2663" w:rsidRPr="00D3354F" w:rsidRDefault="007B2663" w:rsidP="007B2663">
      <w:r w:rsidRPr="00D3354F">
        <w:rPr>
          <w:b/>
          <w:bCs/>
        </w:rPr>
        <w:t xml:space="preserve">Market Share:  </w:t>
      </w:r>
      <w:r w:rsidRPr="00D3354F">
        <w:t>The number of loans originated and purchased by the institution as a percentage of the aggregate number of loans originated and purchased by all reporting lenders in the metropolitan area/assessment area.</w:t>
      </w:r>
    </w:p>
    <w:p w14:paraId="7A99E3CA" w14:textId="77777777" w:rsidR="007B2663" w:rsidRPr="00D3354F" w:rsidRDefault="007B2663" w:rsidP="007B2663">
      <w:pPr>
        <w:rPr>
          <w:b/>
          <w:bCs/>
        </w:rPr>
      </w:pPr>
    </w:p>
    <w:p w14:paraId="7CC4A44E" w14:textId="77777777" w:rsidR="007B2663" w:rsidRPr="00D3354F" w:rsidRDefault="007B2663" w:rsidP="007B2663">
      <w:r w:rsidRPr="00D3354F">
        <w:rPr>
          <w:b/>
          <w:bCs/>
        </w:rPr>
        <w:t xml:space="preserve">Median Income:  </w:t>
      </w:r>
      <w:r w:rsidRPr="00D3354F">
        <w:t>The median income divides the income distribution into two equal parts, one having incomes above the median and other having incomes below the median.</w:t>
      </w:r>
    </w:p>
    <w:p w14:paraId="1EE04225" w14:textId="77777777" w:rsidR="007B2663" w:rsidRPr="00D3354F" w:rsidRDefault="007B2663" w:rsidP="007B2663"/>
    <w:p w14:paraId="1C563805" w14:textId="77777777" w:rsidR="007B2663" w:rsidRDefault="007B2663" w:rsidP="007B2663">
      <w:pPr>
        <w:rPr>
          <w:b/>
          <w:bCs/>
        </w:rPr>
      </w:pPr>
    </w:p>
    <w:p w14:paraId="32AFE299" w14:textId="77777777" w:rsidR="007B2663" w:rsidRPr="00D3354F" w:rsidRDefault="007B2663" w:rsidP="007B2663">
      <w:r w:rsidRPr="00D3354F">
        <w:rPr>
          <w:b/>
          <w:bCs/>
        </w:rPr>
        <w:lastRenderedPageBreak/>
        <w:t xml:space="preserve">Metropolitan Division (MD):  </w:t>
      </w:r>
      <w:r w:rsidRPr="00D3354F">
        <w:t xml:space="preserve">A county or group of counties within a CBSA that contain(s) an urbanized area with a population of at least 2.5 million.  A MD </w:t>
      </w:r>
      <w:r>
        <w:t>is</w:t>
      </w:r>
      <w:r w:rsidRPr="00D3354F">
        <w:t xml:space="preserve"> one or more main/secondary counties represent</w:t>
      </w:r>
      <w:r>
        <w:t>ing</w:t>
      </w:r>
      <w:r w:rsidRPr="00D3354F">
        <w:t xml:space="preserve"> an employment center or centers, plus adjacent counties associated with the main/secondary county or counties through commuting ties.  </w:t>
      </w:r>
    </w:p>
    <w:p w14:paraId="2094C5B3" w14:textId="77777777" w:rsidR="007B2663" w:rsidRPr="00D3354F" w:rsidRDefault="007B2663" w:rsidP="007B2663">
      <w:pPr>
        <w:rPr>
          <w:b/>
          <w:bCs/>
        </w:rPr>
      </w:pPr>
    </w:p>
    <w:p w14:paraId="06712DC3" w14:textId="77777777" w:rsidR="007B2663" w:rsidRDefault="007B2663" w:rsidP="007B2663">
      <w:r w:rsidRPr="00D3354F">
        <w:rPr>
          <w:b/>
          <w:bCs/>
        </w:rPr>
        <w:t xml:space="preserve">Metropolitan Statistical Area (MSA):  </w:t>
      </w:r>
      <w:r w:rsidRPr="00D3354F">
        <w:t>CBSA</w:t>
      </w:r>
      <w:r>
        <w:t xml:space="preserve"> </w:t>
      </w:r>
      <w:r w:rsidRPr="00D3354F">
        <w:t xml:space="preserve">associated with at least one urbanized area </w:t>
      </w:r>
      <w:r>
        <w:t>having</w:t>
      </w:r>
      <w:r w:rsidRPr="00D3354F">
        <w:t xml:space="preserve"> a population of at least 50,000.  The MSA comprises the central county or counties or equivalent entities containing the core, plus adjacent outlying counties having a high degree of social and economic integration with the central county or counties as measured through commuting. </w:t>
      </w:r>
    </w:p>
    <w:p w14:paraId="3EF53B20" w14:textId="77777777" w:rsidR="007B2663" w:rsidRDefault="007B2663" w:rsidP="007B2663"/>
    <w:p w14:paraId="60EA17AF" w14:textId="77777777" w:rsidR="007B2663" w:rsidRPr="00D3354F" w:rsidRDefault="007B2663" w:rsidP="007B2663">
      <w:r w:rsidRPr="00D3354F">
        <w:rPr>
          <w:b/>
          <w:bCs/>
        </w:rPr>
        <w:t>M</w:t>
      </w:r>
      <w:r>
        <w:rPr>
          <w:b/>
          <w:bCs/>
        </w:rPr>
        <w:t>icropolitan Statistical Area</w:t>
      </w:r>
      <w:r w:rsidRPr="00D3354F">
        <w:rPr>
          <w:b/>
          <w:bCs/>
        </w:rPr>
        <w:t xml:space="preserve">:  </w:t>
      </w:r>
      <w:r w:rsidRPr="00D3354F">
        <w:t xml:space="preserve">CBSA associated with at least one urbanized area </w:t>
      </w:r>
      <w:r>
        <w:t>having</w:t>
      </w:r>
      <w:r w:rsidRPr="00D3354F">
        <w:t xml:space="preserve"> a population of at least </w:t>
      </w:r>
      <w:r>
        <w:t>1</w:t>
      </w:r>
      <w:r w:rsidRPr="00D3354F">
        <w:t>0,000</w:t>
      </w:r>
      <w:r>
        <w:t>, but less than 50,000</w:t>
      </w:r>
      <w:r w:rsidRPr="00D3354F">
        <w:t xml:space="preserve">.  </w:t>
      </w:r>
    </w:p>
    <w:p w14:paraId="0F9B8558" w14:textId="77777777" w:rsidR="007B2663" w:rsidRPr="00D3354F" w:rsidRDefault="007B2663" w:rsidP="007B2663">
      <w:pPr>
        <w:rPr>
          <w:b/>
          <w:bCs/>
        </w:rPr>
      </w:pPr>
    </w:p>
    <w:p w14:paraId="5C57429B" w14:textId="77777777" w:rsidR="007B2663" w:rsidRPr="00D3354F" w:rsidRDefault="007B2663" w:rsidP="007B2663">
      <w:r w:rsidRPr="00D3354F">
        <w:rPr>
          <w:b/>
          <w:bCs/>
        </w:rPr>
        <w:t xml:space="preserve">Middle-Income:  </w:t>
      </w:r>
      <w:r w:rsidRPr="00D3354F">
        <w:t>Individual income that is at least 80 percent and less than 120 percent of the area median income, or a median family income that is at least 80 and less than 120 percent in the case of a geography.</w:t>
      </w:r>
    </w:p>
    <w:p w14:paraId="1AA312A5" w14:textId="77777777" w:rsidR="007B2663" w:rsidRPr="00D3354F" w:rsidRDefault="007B2663" w:rsidP="007B2663"/>
    <w:p w14:paraId="7D0F11B7" w14:textId="77777777" w:rsidR="007B2663" w:rsidRPr="00D3354F" w:rsidRDefault="007B2663" w:rsidP="007B2663">
      <w:pPr>
        <w:rPr>
          <w:b/>
          <w:bCs/>
        </w:rPr>
      </w:pPr>
      <w:r w:rsidRPr="00D3354F">
        <w:rPr>
          <w:b/>
          <w:bCs/>
        </w:rPr>
        <w:t>Moderate-Income:</w:t>
      </w:r>
      <w:r w:rsidRPr="00D3354F">
        <w:t xml:space="preserve">  Individual income that is at least 50 percent and less than 80 percent of the area median income, or a median family income that is at least 50 and less than 80 percent in the case of a geography.</w:t>
      </w:r>
    </w:p>
    <w:p w14:paraId="46278826" w14:textId="77777777" w:rsidR="007B2663" w:rsidRPr="00D3354F" w:rsidRDefault="007B2663" w:rsidP="007B2663">
      <w:pPr>
        <w:rPr>
          <w:b/>
          <w:bCs/>
        </w:rPr>
      </w:pPr>
    </w:p>
    <w:p w14:paraId="759EFE95" w14:textId="77777777" w:rsidR="007B2663" w:rsidRPr="00D3354F" w:rsidRDefault="007B2663" w:rsidP="007B2663">
      <w:r w:rsidRPr="00D3354F">
        <w:rPr>
          <w:b/>
          <w:bCs/>
        </w:rPr>
        <w:t xml:space="preserve">Multi-family:  </w:t>
      </w:r>
      <w:r w:rsidRPr="00D3354F">
        <w:t>Refers to</w:t>
      </w:r>
      <w:r w:rsidRPr="00D3354F">
        <w:rPr>
          <w:b/>
          <w:bCs/>
        </w:rPr>
        <w:t xml:space="preserve"> </w:t>
      </w:r>
      <w:r w:rsidRPr="00D3354F">
        <w:t>a residential structure that contains five or more units.</w:t>
      </w:r>
    </w:p>
    <w:p w14:paraId="6F997FBB" w14:textId="77777777" w:rsidR="007B2663" w:rsidRDefault="007B2663" w:rsidP="007B2663">
      <w:pPr>
        <w:rPr>
          <w:b/>
          <w:bCs/>
        </w:rPr>
      </w:pPr>
    </w:p>
    <w:p w14:paraId="6EC60E75" w14:textId="77777777" w:rsidR="007B2663" w:rsidRPr="00D3354F" w:rsidRDefault="007B2663" w:rsidP="007B2663">
      <w:r>
        <w:rPr>
          <w:b/>
          <w:bCs/>
        </w:rPr>
        <w:t>Non</w:t>
      </w:r>
      <w:r w:rsidRPr="00D3354F">
        <w:rPr>
          <w:b/>
          <w:bCs/>
        </w:rPr>
        <w:t>metropolitan Area:</w:t>
      </w:r>
      <w:r w:rsidRPr="00D3354F">
        <w:t xml:space="preserve">  All areas outside of metropolita</w:t>
      </w:r>
      <w:r>
        <w:t>n areas.  The definition of non</w:t>
      </w:r>
      <w:r w:rsidRPr="00D3354F">
        <w:t>metropolitan area is not consistent with the definition of rural areas.  Urban and rural classifications cut across the other hierarchies</w:t>
      </w:r>
      <w:r>
        <w:t xml:space="preserve">. </w:t>
      </w:r>
      <w:r w:rsidRPr="00D3354F">
        <w:t xml:space="preserve"> </w:t>
      </w:r>
      <w:r>
        <w:t>F</w:t>
      </w:r>
      <w:r w:rsidRPr="00D3354F">
        <w:t>or example, there is generally urban and rural territ</w:t>
      </w:r>
      <w:r>
        <w:t>ory within metropolitan and non</w:t>
      </w:r>
      <w:r w:rsidRPr="00D3354F">
        <w:t>metropolitan areas.</w:t>
      </w:r>
    </w:p>
    <w:p w14:paraId="3F25A381" w14:textId="77777777" w:rsidR="007B2663" w:rsidRPr="00D3354F" w:rsidRDefault="007B2663" w:rsidP="007B2663">
      <w:pPr>
        <w:rPr>
          <w:b/>
          <w:bCs/>
        </w:rPr>
      </w:pPr>
    </w:p>
    <w:p w14:paraId="21FE4F3A" w14:textId="77777777" w:rsidR="007B2663" w:rsidRPr="00D3354F" w:rsidRDefault="007B2663" w:rsidP="007B2663">
      <w:r w:rsidRPr="00D3354F">
        <w:rPr>
          <w:b/>
          <w:bCs/>
        </w:rPr>
        <w:t>Owner-Occupied Units:</w:t>
      </w:r>
      <w:r w:rsidRPr="00D3354F">
        <w:t xml:space="preserve">  Includes units occupied by the owner or co-owner, even if the unit has not been fully paid for or is mortgaged.</w:t>
      </w:r>
    </w:p>
    <w:p w14:paraId="343222DC" w14:textId="77777777" w:rsidR="007B2663" w:rsidRPr="00D3354F" w:rsidRDefault="007B2663" w:rsidP="007B2663">
      <w:pPr>
        <w:rPr>
          <w:b/>
          <w:bCs/>
        </w:rPr>
      </w:pPr>
    </w:p>
    <w:p w14:paraId="02703402" w14:textId="77777777" w:rsidR="007B2663" w:rsidRPr="00145CB9" w:rsidRDefault="007B2663" w:rsidP="007B2663">
      <w:pPr>
        <w:rPr>
          <w:bCs/>
        </w:rPr>
      </w:pPr>
      <w:r>
        <w:rPr>
          <w:b/>
          <w:bCs/>
        </w:rPr>
        <w:t xml:space="preserve">Qualified Investment:  </w:t>
      </w:r>
      <w:r>
        <w:rPr>
          <w:bCs/>
        </w:rPr>
        <w:t>A lawful investment, deposit, membership share, or grant that has as its primary purpose community development.</w:t>
      </w:r>
    </w:p>
    <w:p w14:paraId="2587DB4A" w14:textId="77777777" w:rsidR="007B2663" w:rsidRDefault="007B2663" w:rsidP="007B2663">
      <w:pPr>
        <w:rPr>
          <w:b/>
          <w:bCs/>
        </w:rPr>
      </w:pPr>
    </w:p>
    <w:p w14:paraId="67F45FF4" w14:textId="77777777" w:rsidR="007B2663" w:rsidRDefault="007B2663" w:rsidP="007B2663">
      <w:pPr>
        <w:rPr>
          <w:snapToGrid w:val="0"/>
        </w:rPr>
      </w:pPr>
      <w:r w:rsidRPr="00D3354F">
        <w:rPr>
          <w:b/>
          <w:bCs/>
        </w:rPr>
        <w:t>Rated area:</w:t>
      </w:r>
      <w:r w:rsidRPr="00D3354F">
        <w:t xml:space="preserve">  </w:t>
      </w:r>
      <w:r w:rsidRPr="00D3354F">
        <w:rPr>
          <w:snapToGrid w:val="0"/>
        </w:rPr>
        <w:t xml:space="preserve">A rated area is a state or multistate metropolitan area.  For an institution with domestic branches in only one state, the institution’s CRA rating would be the state rating.  If an institution maintains domestic branches in more than one state, the institution will receive a rating for each state in which those branches are located.  If an institution maintains domestic branches in two or more states within a multistate metropolitan area, the institution will receive a rating for the multistate metropolitan area.  </w:t>
      </w:r>
    </w:p>
    <w:p w14:paraId="2511FBB8" w14:textId="77777777" w:rsidR="007B2663" w:rsidRPr="006D6766" w:rsidRDefault="007B2663" w:rsidP="007B2663">
      <w:pPr>
        <w:rPr>
          <w:color w:val="000000"/>
        </w:rPr>
      </w:pPr>
    </w:p>
    <w:p w14:paraId="3DF280C9" w14:textId="77777777" w:rsidR="007B2663" w:rsidRPr="00D3354F" w:rsidRDefault="007B2663" w:rsidP="007B2663">
      <w:r w:rsidRPr="00D3354F">
        <w:rPr>
          <w:b/>
          <w:bCs/>
        </w:rPr>
        <w:t>Rural Area:</w:t>
      </w:r>
      <w:r w:rsidRPr="00D3354F">
        <w:t xml:space="preserve">  Territories, populations</w:t>
      </w:r>
      <w:r>
        <w:t>,</w:t>
      </w:r>
      <w:r w:rsidRPr="00D3354F">
        <w:t xml:space="preserve"> and housing units that are not classified as urban.</w:t>
      </w:r>
    </w:p>
    <w:p w14:paraId="1B4368AD" w14:textId="77777777" w:rsidR="007B2663" w:rsidRPr="00D3354F" w:rsidRDefault="007B2663" w:rsidP="007B2663">
      <w:pPr>
        <w:rPr>
          <w:b/>
          <w:bCs/>
        </w:rPr>
      </w:pPr>
    </w:p>
    <w:p w14:paraId="04137D88" w14:textId="77777777" w:rsidR="007B2663" w:rsidRDefault="007B2663" w:rsidP="007B2663">
      <w:pPr>
        <w:pStyle w:val="NormalWeb"/>
        <w:spacing w:before="0" w:beforeAutospacing="0" w:after="0" w:afterAutospacing="0"/>
        <w:rPr>
          <w:b/>
          <w:bCs/>
          <w:color w:val="000000"/>
        </w:rPr>
      </w:pPr>
    </w:p>
    <w:p w14:paraId="7AC38539" w14:textId="77777777" w:rsidR="007B2663" w:rsidRDefault="007B2663" w:rsidP="007B2663">
      <w:pPr>
        <w:pStyle w:val="NormalWeb"/>
        <w:spacing w:before="0" w:beforeAutospacing="0" w:after="0" w:afterAutospacing="0"/>
        <w:rPr>
          <w:color w:val="000000"/>
        </w:rPr>
      </w:pPr>
      <w:r w:rsidRPr="00D3354F">
        <w:rPr>
          <w:b/>
          <w:bCs/>
          <w:color w:val="000000"/>
        </w:rPr>
        <w:lastRenderedPageBreak/>
        <w:t xml:space="preserve">Small Business Investment Company (SBIC):  </w:t>
      </w:r>
      <w:r w:rsidRPr="00D3354F">
        <w:rPr>
          <w:color w:val="000000"/>
        </w:rPr>
        <w:t>SBICs are privately-owned investment companies which are licensed and regulated by the Small Business Administration (SBA).  SBICs provide long-term loans and/or venture capital to small firms.  Because money for venture or risk investments is difficult for small firms to obtain, SBA provides assistance to SBICs to stimulate and supplement the flow of private equity and long-term loan funds to small companies.  Venture capitalists participate in the SBIC program to supplement their own private capital with funds borrowed at favorable rates through SBA’s guarantee of SBIC debentures</w:t>
      </w:r>
      <w:r>
        <w:rPr>
          <w:color w:val="000000"/>
        </w:rPr>
        <w:t>.  These SBIC debentures are then</w:t>
      </w:r>
      <w:r w:rsidRPr="00D3354F">
        <w:rPr>
          <w:color w:val="000000"/>
        </w:rPr>
        <w:t xml:space="preserve"> sold to private investors.  An SBIC’s success is linked to the growth and profitability of the companies that it finances</w:t>
      </w:r>
      <w:r>
        <w:rPr>
          <w:color w:val="000000"/>
        </w:rPr>
        <w:t>.  Therefore,</w:t>
      </w:r>
      <w:r w:rsidRPr="00D3354F">
        <w:rPr>
          <w:color w:val="000000"/>
        </w:rPr>
        <w:t xml:space="preserve"> some SBICs primarily assist businesses with significant growth potential, such as new firms in innovative industries.  SBICs finance small firms by providing straight loans and/or equity-type investments</w:t>
      </w:r>
      <w:r>
        <w:rPr>
          <w:color w:val="000000"/>
        </w:rPr>
        <w:t>.  This kind of financing</w:t>
      </w:r>
      <w:r w:rsidRPr="00D3354F">
        <w:rPr>
          <w:color w:val="000000"/>
        </w:rPr>
        <w:t xml:space="preserve"> give</w:t>
      </w:r>
      <w:r>
        <w:rPr>
          <w:color w:val="000000"/>
        </w:rPr>
        <w:t>s</w:t>
      </w:r>
      <w:r w:rsidRPr="00D3354F">
        <w:rPr>
          <w:color w:val="000000"/>
        </w:rPr>
        <w:t xml:space="preserve"> them partial ownership of those businesses</w:t>
      </w:r>
      <w:r>
        <w:rPr>
          <w:color w:val="000000"/>
        </w:rPr>
        <w:t xml:space="preserve"> and the possibility </w:t>
      </w:r>
      <w:r w:rsidRPr="00D3354F">
        <w:rPr>
          <w:color w:val="000000"/>
        </w:rPr>
        <w:t xml:space="preserve">of sharing in the companies’ profits as they grow and prosper.  </w:t>
      </w:r>
    </w:p>
    <w:p w14:paraId="39DACC1A" w14:textId="77777777" w:rsidR="007B2663" w:rsidRPr="00D3354F" w:rsidRDefault="007B2663" w:rsidP="007B2663">
      <w:pPr>
        <w:pStyle w:val="NormalWeb"/>
        <w:spacing w:before="0" w:beforeAutospacing="0" w:after="0" w:afterAutospacing="0"/>
      </w:pPr>
    </w:p>
    <w:p w14:paraId="19D4C69B" w14:textId="77777777" w:rsidR="007B2663" w:rsidRPr="00D3354F" w:rsidRDefault="007B2663" w:rsidP="007B2663">
      <w:r w:rsidRPr="00D3354F">
        <w:rPr>
          <w:b/>
          <w:bCs/>
        </w:rPr>
        <w:t>Small Business Loan:</w:t>
      </w:r>
      <w:r w:rsidRPr="00D3354F">
        <w:t xml:space="preserve">  A loan included in “loans to small businesses” as defined in the Consolidated Report of Condition and Income (Call Report).  These loans have original amounts of $1 million or less and are either secured by nonfarm nonresidential properties or are classified as commercial and industrial loans.</w:t>
      </w:r>
    </w:p>
    <w:p w14:paraId="12D3F4E3" w14:textId="77777777" w:rsidR="007B2663" w:rsidRPr="00D3354F" w:rsidRDefault="007B2663" w:rsidP="007B2663">
      <w:pPr>
        <w:rPr>
          <w:b/>
          <w:bCs/>
        </w:rPr>
      </w:pPr>
    </w:p>
    <w:p w14:paraId="6866745D" w14:textId="77777777" w:rsidR="007B2663" w:rsidRPr="00D3354F" w:rsidRDefault="007B2663" w:rsidP="007B2663">
      <w:r w:rsidRPr="00D3354F">
        <w:rPr>
          <w:b/>
          <w:bCs/>
        </w:rPr>
        <w:t xml:space="preserve">Small Farm Loan:  </w:t>
      </w:r>
      <w:r w:rsidRPr="00D3354F">
        <w:t>A loan included in “loans to small farms” as defined in the instructions for preparation of the Consolidated Report of Condition and Income (Call Report).  These loans have original amounts of $500,000 or less and are either secured by farmland, including farm residential and other improvements, or are classified as loans to finance agricultural production and other loans to farmers.</w:t>
      </w:r>
    </w:p>
    <w:p w14:paraId="3D8B1410" w14:textId="77777777" w:rsidR="007B2663" w:rsidRPr="00D3354F" w:rsidRDefault="007B2663" w:rsidP="007B2663">
      <w:pPr>
        <w:rPr>
          <w:b/>
          <w:bCs/>
        </w:rPr>
      </w:pPr>
    </w:p>
    <w:p w14:paraId="1B8D8275" w14:textId="77777777" w:rsidR="007B2663" w:rsidRDefault="00D80FEC" w:rsidP="007B2663">
      <w:r>
        <w:rPr>
          <w:b/>
          <w:bCs/>
        </w:rPr>
        <w:t>Underserved Middle-Income Nonmetropolitan G</w:t>
      </w:r>
      <w:r w:rsidR="007B2663" w:rsidRPr="00D3354F">
        <w:rPr>
          <w:b/>
          <w:bCs/>
        </w:rPr>
        <w:t>eographies:</w:t>
      </w:r>
      <w:r w:rsidR="007B2663" w:rsidRPr="00D3354F">
        <w:t xml:space="preserve">  A nonmetropolitan middle-income geography will be designated as underserved if it meets criteria for</w:t>
      </w:r>
    </w:p>
    <w:p w14:paraId="1ED27169" w14:textId="77777777" w:rsidR="007B2663" w:rsidRDefault="007B2663" w:rsidP="007B2663">
      <w:pPr>
        <w:numPr>
          <w:ilvl w:val="0"/>
          <w:numId w:val="23"/>
        </w:numPr>
      </w:pPr>
      <w:r>
        <w:t>P</w:t>
      </w:r>
      <w:r w:rsidRPr="00D3354F">
        <w:t>opulation size, density, and dispersion indicat</w:t>
      </w:r>
      <w:r>
        <w:t>ing</w:t>
      </w:r>
      <w:r w:rsidRPr="00D3354F">
        <w:t xml:space="preserve"> the area’s population is sufficiently small, thin, and </w:t>
      </w:r>
    </w:p>
    <w:p w14:paraId="0A5597BF" w14:textId="77777777" w:rsidR="007B2663" w:rsidRPr="004111C6" w:rsidRDefault="007B2663" w:rsidP="007B2663">
      <w:pPr>
        <w:numPr>
          <w:ilvl w:val="0"/>
          <w:numId w:val="23"/>
        </w:numPr>
      </w:pPr>
      <w:r>
        <w:t>D</w:t>
      </w:r>
      <w:r w:rsidRPr="00D3354F">
        <w:t xml:space="preserve">istant from a population center that the tract is likely to have difficulty financing the fixed costs of meeting essential community needs. </w:t>
      </w:r>
    </w:p>
    <w:p w14:paraId="10AB429F" w14:textId="77777777" w:rsidR="007B2663" w:rsidRPr="00D3354F" w:rsidRDefault="007B2663" w:rsidP="007B2663">
      <w:pPr>
        <w:rPr>
          <w:b/>
          <w:bCs/>
        </w:rPr>
      </w:pPr>
    </w:p>
    <w:p w14:paraId="15278523" w14:textId="77777777" w:rsidR="007B2663" w:rsidRPr="00D3354F" w:rsidRDefault="007B2663" w:rsidP="007B2663">
      <w:r w:rsidRPr="00D3354F">
        <w:rPr>
          <w:b/>
          <w:bCs/>
        </w:rPr>
        <w:t>Upper-Income:</w:t>
      </w:r>
      <w:r w:rsidRPr="00D3354F">
        <w:t xml:space="preserve">  Individual income that is more than 120 percent of the area median income, or a median family income that is more than 120 percent in the case of a geography. </w:t>
      </w:r>
    </w:p>
    <w:p w14:paraId="282B4C1C" w14:textId="77777777" w:rsidR="007B2663" w:rsidRPr="00D3354F" w:rsidRDefault="007B2663" w:rsidP="007B2663">
      <w:pPr>
        <w:rPr>
          <w:b/>
          <w:bCs/>
        </w:rPr>
      </w:pPr>
    </w:p>
    <w:p w14:paraId="20139116" w14:textId="77777777" w:rsidR="007B2663" w:rsidRDefault="007B2663" w:rsidP="007B2663">
      <w:r w:rsidRPr="00D3354F">
        <w:rPr>
          <w:b/>
          <w:bCs/>
        </w:rPr>
        <w:t>Urban</w:t>
      </w:r>
      <w:r w:rsidRPr="00D3354F">
        <w:t xml:space="preserve"> </w:t>
      </w:r>
      <w:r w:rsidRPr="00D3354F">
        <w:rPr>
          <w:b/>
          <w:bCs/>
        </w:rPr>
        <w:t xml:space="preserve">Area:  </w:t>
      </w:r>
      <w:r w:rsidRPr="00D3354F">
        <w:t>All territories, populations, and housing units in urbanized areas and in places of 2,500 or more persons outside urbanized areas.  More specifically, “urban” consists of territory, persons, and housing units in</w:t>
      </w:r>
      <w:r>
        <w:t xml:space="preserve"> p</w:t>
      </w:r>
      <w:r w:rsidRPr="00D3354F">
        <w:t>laces of 2,500 or more persons incorporated as cities, villages, boroughs (except in Alaska and New York), and towns (except in the New England states, New York, and Wisconsin)</w:t>
      </w:r>
      <w:r>
        <w:t xml:space="preserve">.  </w:t>
      </w:r>
    </w:p>
    <w:p w14:paraId="29B1B456" w14:textId="77777777" w:rsidR="007B2663" w:rsidRDefault="007B2663" w:rsidP="007B2663"/>
    <w:p w14:paraId="21601BB0" w14:textId="77777777" w:rsidR="00AD3C42" w:rsidRDefault="007B2663">
      <w:pPr>
        <w:rPr>
          <w:color w:val="000000"/>
        </w:rPr>
      </w:pPr>
      <w:r>
        <w:t xml:space="preserve">“Urban” </w:t>
      </w:r>
      <w:r w:rsidRPr="00D3354F">
        <w:t>exclud</w:t>
      </w:r>
      <w:r>
        <w:t>es</w:t>
      </w:r>
      <w:r w:rsidRPr="00D3354F">
        <w:t xml:space="preserve"> the rural portions of “extended cities”; census designated place of 2,500 or more persons; and other territory, incorporated or unincorporated, including in urbanized areas.</w:t>
      </w:r>
    </w:p>
    <w:p w14:paraId="7F12FD9C" w14:textId="77777777" w:rsidR="00AD3C42" w:rsidRDefault="00AD3C42">
      <w:pPr>
        <w:rPr>
          <w:color w:val="000000"/>
        </w:rPr>
      </w:pPr>
    </w:p>
    <w:p w14:paraId="16983F3D" w14:textId="77777777" w:rsidR="00AD3C42" w:rsidRDefault="00AD3C42">
      <w:pPr>
        <w:rPr>
          <w:color w:val="000000"/>
        </w:rPr>
      </w:pPr>
    </w:p>
    <w:p w14:paraId="69BEBA7C" w14:textId="77777777" w:rsidR="007B2663" w:rsidRDefault="007B2663" w:rsidP="00AD3C42">
      <w:pPr>
        <w:tabs>
          <w:tab w:val="center" w:pos="4680"/>
        </w:tabs>
        <w:jc w:val="center"/>
        <w:rPr>
          <w:b/>
          <w:spacing w:val="-4"/>
          <w:sz w:val="28"/>
          <w:szCs w:val="28"/>
        </w:rPr>
        <w:sectPr w:rsidR="007B2663" w:rsidSect="006362FE">
          <w:pgSz w:w="12240" w:h="15840"/>
          <w:pgMar w:top="1440" w:right="1440" w:bottom="1440" w:left="1440" w:header="720" w:footer="720" w:gutter="0"/>
          <w:cols w:space="720"/>
          <w:docGrid w:linePitch="360"/>
        </w:sectPr>
      </w:pPr>
    </w:p>
    <w:p w14:paraId="55051125" w14:textId="77777777" w:rsidR="00AD3C42" w:rsidRPr="00456627" w:rsidRDefault="00AD3C42" w:rsidP="00AD3C42">
      <w:pPr>
        <w:tabs>
          <w:tab w:val="center" w:pos="4680"/>
        </w:tabs>
        <w:jc w:val="center"/>
        <w:rPr>
          <w:b/>
          <w:spacing w:val="-3"/>
          <w:sz w:val="28"/>
          <w:szCs w:val="28"/>
        </w:rPr>
      </w:pPr>
      <w:r w:rsidRPr="00456627">
        <w:rPr>
          <w:b/>
          <w:spacing w:val="-4"/>
          <w:sz w:val="28"/>
          <w:szCs w:val="28"/>
        </w:rPr>
        <w:lastRenderedPageBreak/>
        <w:t>PERFORMANCE EVALUATION DISCLOSURE GUIDE</w:t>
      </w:r>
    </w:p>
    <w:p w14:paraId="3E6F9A13" w14:textId="77777777" w:rsidR="00AD3C42" w:rsidRPr="00CA22D8" w:rsidRDefault="00AD3C42" w:rsidP="00AD3C42">
      <w:pPr>
        <w:tabs>
          <w:tab w:val="left" w:pos="720"/>
          <w:tab w:val="left" w:pos="1320"/>
          <w:tab w:val="left" w:pos="1680"/>
        </w:tabs>
        <w:jc w:val="both"/>
        <w:rPr>
          <w:spacing w:val="-3"/>
        </w:rPr>
      </w:pPr>
    </w:p>
    <w:p w14:paraId="5A769860" w14:textId="77777777" w:rsidR="007B2663" w:rsidRDefault="00AD3C42" w:rsidP="00AD3C42">
      <w:pPr>
        <w:tabs>
          <w:tab w:val="left" w:pos="720"/>
          <w:tab w:val="left" w:pos="1320"/>
          <w:tab w:val="left" w:pos="1680"/>
        </w:tabs>
        <w:ind w:left="720" w:hanging="720"/>
        <w:jc w:val="both"/>
        <w:rPr>
          <w:spacing w:val="-3"/>
        </w:rPr>
      </w:pPr>
      <w:r w:rsidRPr="00CA22D8">
        <w:rPr>
          <w:spacing w:val="-3"/>
        </w:rPr>
        <w:t>Massachusetts General Laws Chapter 167, Section 14, as amend</w:t>
      </w:r>
      <w:r w:rsidR="007B2663">
        <w:rPr>
          <w:spacing w:val="-3"/>
        </w:rPr>
        <w:t>ed, and the Uniform Interagency</w:t>
      </w:r>
    </w:p>
    <w:p w14:paraId="12C0940A" w14:textId="77777777" w:rsidR="007B2663" w:rsidRDefault="00AD3C42" w:rsidP="00AD3C42">
      <w:pPr>
        <w:tabs>
          <w:tab w:val="left" w:pos="720"/>
          <w:tab w:val="left" w:pos="1320"/>
          <w:tab w:val="left" w:pos="1680"/>
        </w:tabs>
        <w:ind w:left="720" w:hanging="720"/>
        <w:jc w:val="both"/>
        <w:rPr>
          <w:spacing w:val="-3"/>
        </w:rPr>
      </w:pPr>
      <w:r w:rsidRPr="00CA22D8">
        <w:rPr>
          <w:spacing w:val="-3"/>
        </w:rPr>
        <w:t>Community Reinvestment Act (CRA) Guidelines for Disclosure o</w:t>
      </w:r>
      <w:r w:rsidR="007B2663">
        <w:rPr>
          <w:spacing w:val="-3"/>
        </w:rPr>
        <w:t>f Written Evaluations, and Part</w:t>
      </w:r>
    </w:p>
    <w:p w14:paraId="00FBEC19" w14:textId="77777777" w:rsidR="007B2663" w:rsidRDefault="00AD3C42" w:rsidP="00AD3C42">
      <w:pPr>
        <w:tabs>
          <w:tab w:val="left" w:pos="720"/>
          <w:tab w:val="left" w:pos="1320"/>
          <w:tab w:val="left" w:pos="1680"/>
        </w:tabs>
        <w:ind w:left="720" w:hanging="720"/>
        <w:jc w:val="both"/>
        <w:rPr>
          <w:spacing w:val="-3"/>
        </w:rPr>
      </w:pPr>
      <w:r w:rsidRPr="00CA22D8">
        <w:rPr>
          <w:spacing w:val="-3"/>
        </w:rPr>
        <w:t>345 of the Federal Deposit Insurance Corporation’s Rules and Reg</w:t>
      </w:r>
      <w:r w:rsidR="007B2663">
        <w:rPr>
          <w:spacing w:val="-3"/>
        </w:rPr>
        <w:t>ulations, require all financial</w:t>
      </w:r>
    </w:p>
    <w:p w14:paraId="5B9D31DA" w14:textId="77777777" w:rsidR="007B2663" w:rsidRDefault="00AD3C42" w:rsidP="00AD3C42">
      <w:pPr>
        <w:tabs>
          <w:tab w:val="left" w:pos="720"/>
          <w:tab w:val="left" w:pos="1320"/>
          <w:tab w:val="left" w:pos="1680"/>
        </w:tabs>
        <w:ind w:left="720" w:hanging="720"/>
        <w:jc w:val="both"/>
        <w:rPr>
          <w:spacing w:val="-3"/>
        </w:rPr>
      </w:pPr>
      <w:r w:rsidRPr="00CA22D8">
        <w:rPr>
          <w:spacing w:val="-3"/>
        </w:rPr>
        <w:t>institutions to take the following actions within 30 business days of r</w:t>
      </w:r>
      <w:r w:rsidR="007B2663">
        <w:rPr>
          <w:spacing w:val="-3"/>
        </w:rPr>
        <w:t>eceipt of the CRA evaluation of</w:t>
      </w:r>
    </w:p>
    <w:p w14:paraId="388E6FEF" w14:textId="77777777" w:rsidR="00AD3C42" w:rsidRPr="00CA22D8" w:rsidRDefault="00AD3C42" w:rsidP="00AD3C42">
      <w:pPr>
        <w:tabs>
          <w:tab w:val="left" w:pos="720"/>
          <w:tab w:val="left" w:pos="1320"/>
          <w:tab w:val="left" w:pos="1680"/>
        </w:tabs>
        <w:ind w:left="720" w:hanging="720"/>
        <w:jc w:val="both"/>
        <w:rPr>
          <w:spacing w:val="-3"/>
        </w:rPr>
      </w:pPr>
      <w:r w:rsidRPr="00CA22D8">
        <w:rPr>
          <w:spacing w:val="-3"/>
        </w:rPr>
        <w:t>their institution:</w:t>
      </w:r>
    </w:p>
    <w:p w14:paraId="4B68ECCE" w14:textId="77777777" w:rsidR="00AD3C42" w:rsidRPr="00CA22D8" w:rsidRDefault="00AD3C42" w:rsidP="00AD3C42">
      <w:pPr>
        <w:tabs>
          <w:tab w:val="left" w:pos="720"/>
          <w:tab w:val="left" w:pos="1320"/>
          <w:tab w:val="left" w:pos="1680"/>
        </w:tabs>
        <w:jc w:val="both"/>
        <w:rPr>
          <w:spacing w:val="-3"/>
        </w:rPr>
      </w:pPr>
    </w:p>
    <w:p w14:paraId="13517188" w14:textId="77777777" w:rsidR="00AD3C42" w:rsidRPr="00CA22D8" w:rsidRDefault="00AD3C42" w:rsidP="00AD3C42">
      <w:pPr>
        <w:tabs>
          <w:tab w:val="left" w:pos="720"/>
          <w:tab w:val="left" w:pos="1320"/>
          <w:tab w:val="left" w:pos="1680"/>
        </w:tabs>
        <w:ind w:left="1320" w:hanging="1320"/>
        <w:jc w:val="both"/>
        <w:rPr>
          <w:spacing w:val="-3"/>
        </w:rPr>
      </w:pPr>
      <w:r w:rsidRPr="00CA22D8">
        <w:rPr>
          <w:spacing w:val="-3"/>
        </w:rPr>
        <w:tab/>
        <w:t xml:space="preserve">1) </w:t>
      </w:r>
      <w:r w:rsidRPr="00CA22D8">
        <w:rPr>
          <w:spacing w:val="-3"/>
        </w:rPr>
        <w:tab/>
        <w:t>Make its most current CRA performance evaluation available to the public;</w:t>
      </w:r>
    </w:p>
    <w:p w14:paraId="367D27F4" w14:textId="77777777" w:rsidR="00AD3C42" w:rsidRPr="00CA22D8" w:rsidRDefault="00AD3C42" w:rsidP="00AD3C42">
      <w:pPr>
        <w:tabs>
          <w:tab w:val="left" w:pos="720"/>
          <w:tab w:val="left" w:pos="1320"/>
          <w:tab w:val="left" w:pos="1680"/>
        </w:tabs>
        <w:jc w:val="both"/>
        <w:rPr>
          <w:spacing w:val="-3"/>
        </w:rPr>
      </w:pPr>
    </w:p>
    <w:p w14:paraId="7A72824B" w14:textId="77777777" w:rsidR="00AD3C42" w:rsidRPr="00CA22D8" w:rsidRDefault="00AD3C42" w:rsidP="00AD3C42">
      <w:pPr>
        <w:tabs>
          <w:tab w:val="left" w:pos="720"/>
          <w:tab w:val="left" w:pos="1320"/>
          <w:tab w:val="left" w:pos="1680"/>
        </w:tabs>
        <w:ind w:left="1320" w:hanging="1320"/>
        <w:jc w:val="both"/>
        <w:rPr>
          <w:spacing w:val="-3"/>
        </w:rPr>
      </w:pPr>
      <w:r w:rsidRPr="00CA22D8">
        <w:rPr>
          <w:spacing w:val="-3"/>
        </w:rPr>
        <w:tab/>
        <w:t>2)</w:t>
      </w:r>
      <w:r w:rsidRPr="00CA22D8">
        <w:rPr>
          <w:spacing w:val="-3"/>
        </w:rPr>
        <w:tab/>
        <w:t>At a minimum, place the evaluation in the institution's CRA public file located at the head office and at a designated office in each assessment area;</w:t>
      </w:r>
    </w:p>
    <w:p w14:paraId="15FD8277" w14:textId="77777777" w:rsidR="00AD3C42" w:rsidRPr="00CA22D8" w:rsidRDefault="00AD3C42" w:rsidP="00AD3C42">
      <w:pPr>
        <w:tabs>
          <w:tab w:val="left" w:pos="720"/>
          <w:tab w:val="left" w:pos="1320"/>
          <w:tab w:val="left" w:pos="1680"/>
        </w:tabs>
        <w:jc w:val="both"/>
        <w:rPr>
          <w:spacing w:val="-3"/>
        </w:rPr>
      </w:pPr>
    </w:p>
    <w:p w14:paraId="3982D597" w14:textId="77777777" w:rsidR="00AD3C42" w:rsidRPr="00CA22D8" w:rsidRDefault="00AD3C42" w:rsidP="00AD3C42">
      <w:pPr>
        <w:tabs>
          <w:tab w:val="left" w:pos="720"/>
          <w:tab w:val="left" w:pos="1320"/>
          <w:tab w:val="left" w:pos="1680"/>
        </w:tabs>
        <w:ind w:left="1320" w:hanging="1320"/>
        <w:jc w:val="both"/>
        <w:rPr>
          <w:spacing w:val="-3"/>
        </w:rPr>
      </w:pPr>
      <w:r w:rsidRPr="00CA22D8">
        <w:rPr>
          <w:spacing w:val="-3"/>
        </w:rPr>
        <w:tab/>
        <w:t>3)</w:t>
      </w:r>
      <w:r w:rsidRPr="00CA22D8">
        <w:rPr>
          <w:spacing w:val="-3"/>
        </w:rPr>
        <w:tab/>
        <w:t>Add the following language to the institution's required CRA public notice that is posted in each depository facility:</w:t>
      </w:r>
    </w:p>
    <w:p w14:paraId="6B48CAD5" w14:textId="77777777" w:rsidR="00AD3C42" w:rsidRPr="00CA22D8" w:rsidRDefault="00AD3C42" w:rsidP="00AD3C42">
      <w:pPr>
        <w:tabs>
          <w:tab w:val="left" w:pos="720"/>
          <w:tab w:val="left" w:pos="1320"/>
          <w:tab w:val="left" w:pos="1680"/>
        </w:tabs>
        <w:jc w:val="both"/>
        <w:rPr>
          <w:spacing w:val="-3"/>
        </w:rPr>
      </w:pPr>
    </w:p>
    <w:p w14:paraId="629A4A6F" w14:textId="77777777" w:rsidR="00AD3C42" w:rsidRPr="00CA22D8" w:rsidRDefault="00AD3C42" w:rsidP="00AD3C42">
      <w:pPr>
        <w:tabs>
          <w:tab w:val="left" w:pos="720"/>
          <w:tab w:val="left" w:pos="1320"/>
          <w:tab w:val="left" w:pos="1680"/>
        </w:tabs>
        <w:ind w:left="1320" w:hanging="1320"/>
        <w:jc w:val="both"/>
        <w:rPr>
          <w:spacing w:val="-3"/>
        </w:rPr>
      </w:pPr>
      <w:r w:rsidRPr="00CA22D8">
        <w:rPr>
          <w:spacing w:val="-3"/>
        </w:rPr>
        <w:tab/>
      </w:r>
      <w:r w:rsidRPr="00CA22D8">
        <w:rPr>
          <w:spacing w:val="-3"/>
        </w:rPr>
        <w:tab/>
        <w:t>"You may obtain the public section of our most recent CRA Performance Evaluation, which was prepared by the Massachusetts Division of Banks, at (</w:t>
      </w:r>
      <w:r w:rsidRPr="00CA22D8">
        <w:rPr>
          <w:spacing w:val="-3"/>
          <w:u w:val="single"/>
        </w:rPr>
        <w:t>Address at main office</w:t>
      </w:r>
      <w:r w:rsidRPr="00CA22D8">
        <w:rPr>
          <w:spacing w:val="-3"/>
        </w:rPr>
        <w:t xml:space="preserve">)." </w:t>
      </w:r>
    </w:p>
    <w:p w14:paraId="5426644E" w14:textId="77777777" w:rsidR="00AD3C42" w:rsidRPr="00CA22D8" w:rsidRDefault="00AD3C42" w:rsidP="00AD3C42">
      <w:pPr>
        <w:tabs>
          <w:tab w:val="left" w:pos="720"/>
          <w:tab w:val="left" w:pos="1320"/>
          <w:tab w:val="left" w:pos="1680"/>
        </w:tabs>
        <w:jc w:val="both"/>
        <w:rPr>
          <w:spacing w:val="-3"/>
        </w:rPr>
      </w:pPr>
    </w:p>
    <w:p w14:paraId="5FE2F853" w14:textId="77777777" w:rsidR="00AD3C42" w:rsidRPr="00CA22D8" w:rsidRDefault="00AD3C42" w:rsidP="00AD3C42">
      <w:pPr>
        <w:tabs>
          <w:tab w:val="left" w:pos="720"/>
          <w:tab w:val="left" w:pos="1320"/>
          <w:tab w:val="left" w:pos="1680"/>
        </w:tabs>
        <w:ind w:left="1320" w:hanging="1320"/>
        <w:jc w:val="both"/>
        <w:rPr>
          <w:spacing w:val="-3"/>
        </w:rPr>
      </w:pPr>
      <w:r w:rsidRPr="00CA22D8">
        <w:rPr>
          <w:spacing w:val="-3"/>
        </w:rPr>
        <w:tab/>
      </w:r>
      <w:r w:rsidRPr="00CA22D8">
        <w:rPr>
          <w:spacing w:val="-3"/>
        </w:rPr>
        <w:tab/>
        <w:t>"You may obtain the public section of our most recent CRA Performance Evaluation, which was prepared by the Federal Deposit Insurance Corporation, at (</w:t>
      </w:r>
      <w:r w:rsidRPr="00CA22D8">
        <w:rPr>
          <w:spacing w:val="-3"/>
          <w:u w:val="single"/>
        </w:rPr>
        <w:t>Address at main office</w:t>
      </w:r>
      <w:r w:rsidRPr="00CA22D8">
        <w:rPr>
          <w:spacing w:val="-3"/>
        </w:rPr>
        <w:t xml:space="preserve">)." </w:t>
      </w:r>
    </w:p>
    <w:p w14:paraId="215D68E3" w14:textId="77777777" w:rsidR="00AD3C42" w:rsidRPr="00CA22D8" w:rsidRDefault="00AD3C42" w:rsidP="00AD3C42">
      <w:pPr>
        <w:tabs>
          <w:tab w:val="left" w:pos="720"/>
          <w:tab w:val="left" w:pos="1320"/>
          <w:tab w:val="left" w:pos="1680"/>
        </w:tabs>
        <w:jc w:val="both"/>
        <w:rPr>
          <w:spacing w:val="-3"/>
        </w:rPr>
      </w:pPr>
    </w:p>
    <w:p w14:paraId="178D930D" w14:textId="77777777" w:rsidR="00AD3C42" w:rsidRPr="00CA22D8" w:rsidRDefault="00AD3C42" w:rsidP="00AD3C42">
      <w:pPr>
        <w:tabs>
          <w:tab w:val="left" w:pos="720"/>
          <w:tab w:val="left" w:pos="1320"/>
          <w:tab w:val="left" w:pos="1680"/>
        </w:tabs>
        <w:ind w:left="1320" w:hanging="1320"/>
        <w:jc w:val="both"/>
        <w:rPr>
          <w:spacing w:val="-3"/>
        </w:rPr>
      </w:pPr>
      <w:r w:rsidRPr="00CA22D8">
        <w:rPr>
          <w:spacing w:val="-3"/>
        </w:rPr>
        <w:tab/>
      </w:r>
      <w:r w:rsidRPr="00CA22D8">
        <w:rPr>
          <w:spacing w:val="-3"/>
        </w:rPr>
        <w:tab/>
        <w:t>[Please Note:  If the institution has more than one assessment area, each office (other than off</w:t>
      </w:r>
      <w:r w:rsidRPr="00CA22D8">
        <w:rPr>
          <w:spacing w:val="-3"/>
        </w:rPr>
        <w:noBreakHyphen/>
        <w:t>premises electronic deposit facilities) in that community shall also include the address of the designated office for that assessment area.]</w:t>
      </w:r>
    </w:p>
    <w:p w14:paraId="2D4F113F" w14:textId="77777777" w:rsidR="00AD3C42" w:rsidRPr="00CA22D8" w:rsidRDefault="00AD3C42" w:rsidP="00AD3C42">
      <w:pPr>
        <w:tabs>
          <w:tab w:val="left" w:pos="720"/>
          <w:tab w:val="left" w:pos="1320"/>
          <w:tab w:val="left" w:pos="1680"/>
        </w:tabs>
        <w:jc w:val="both"/>
        <w:rPr>
          <w:spacing w:val="-3"/>
        </w:rPr>
      </w:pPr>
    </w:p>
    <w:p w14:paraId="4D556837" w14:textId="77777777" w:rsidR="00AD3C42" w:rsidRPr="00CA22D8" w:rsidRDefault="00AD3C42" w:rsidP="00AD3C42">
      <w:pPr>
        <w:tabs>
          <w:tab w:val="left" w:pos="720"/>
          <w:tab w:val="left" w:pos="1320"/>
          <w:tab w:val="left" w:pos="1680"/>
        </w:tabs>
        <w:ind w:left="1320" w:hanging="1320"/>
        <w:jc w:val="both"/>
        <w:rPr>
          <w:spacing w:val="-3"/>
        </w:rPr>
      </w:pPr>
      <w:r w:rsidRPr="00CA22D8">
        <w:rPr>
          <w:spacing w:val="-3"/>
        </w:rPr>
        <w:tab/>
        <w:t>4)</w:t>
      </w:r>
      <w:r w:rsidRPr="00CA22D8">
        <w:rPr>
          <w:spacing w:val="-3"/>
        </w:rPr>
        <w:tab/>
        <w:t>Provide a copy of its current evaluation to the public, upon request.  In connection with this, the institution is authorized to charge a fee which does not exceed the cost of reproduction and mailing (if applicable).</w:t>
      </w:r>
    </w:p>
    <w:p w14:paraId="608BE703" w14:textId="77777777" w:rsidR="00AD3C42" w:rsidRPr="00CA22D8" w:rsidRDefault="00AD3C42" w:rsidP="00AD3C42">
      <w:pPr>
        <w:tabs>
          <w:tab w:val="left" w:pos="720"/>
          <w:tab w:val="left" w:pos="1320"/>
          <w:tab w:val="left" w:pos="1680"/>
        </w:tabs>
        <w:jc w:val="both"/>
        <w:rPr>
          <w:spacing w:val="-3"/>
        </w:rPr>
      </w:pPr>
    </w:p>
    <w:p w14:paraId="722A408B" w14:textId="77777777" w:rsidR="00AD3C42" w:rsidRPr="00CA22D8" w:rsidRDefault="00AD3C42" w:rsidP="00AD3C42">
      <w:pPr>
        <w:tabs>
          <w:tab w:val="left" w:pos="720"/>
          <w:tab w:val="left" w:pos="1320"/>
          <w:tab w:val="left" w:pos="1680"/>
        </w:tabs>
        <w:jc w:val="both"/>
        <w:rPr>
          <w:spacing w:val="-3"/>
        </w:rPr>
      </w:pPr>
    </w:p>
    <w:p w14:paraId="59FB0842" w14:textId="77777777" w:rsidR="00AD3C42" w:rsidRPr="00CA22D8" w:rsidRDefault="00AD3C42" w:rsidP="00AD3C42">
      <w:pPr>
        <w:tabs>
          <w:tab w:val="left" w:pos="720"/>
          <w:tab w:val="left" w:pos="1320"/>
          <w:tab w:val="left" w:pos="1680"/>
        </w:tabs>
        <w:ind w:left="720" w:hanging="720"/>
        <w:jc w:val="both"/>
        <w:rPr>
          <w:spacing w:val="-3"/>
        </w:rPr>
      </w:pPr>
      <w:r w:rsidRPr="00CA22D8">
        <w:rPr>
          <w:spacing w:val="-3"/>
        </w:rPr>
        <w:tab/>
        <w:t>The format and content of the institution's evaluation, as prepared by its supervisory agencies, may not be altered or abridged in any manner.  The institution is encouraged to include its response to the evaluation in its CRA public file.</w:t>
      </w:r>
    </w:p>
    <w:p w14:paraId="0E78BE3F" w14:textId="77777777" w:rsidR="00AD3C42" w:rsidRPr="0041509F" w:rsidRDefault="00AD3C42">
      <w:pPr>
        <w:rPr>
          <w:color w:val="000000"/>
        </w:rPr>
      </w:pPr>
    </w:p>
    <w:sectPr w:rsidR="00AD3C42" w:rsidRPr="0041509F" w:rsidSect="001F0960">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C1799" w14:textId="77777777" w:rsidR="00D07017" w:rsidRDefault="00D07017" w:rsidP="00A03CC1">
      <w:r>
        <w:separator/>
      </w:r>
    </w:p>
  </w:endnote>
  <w:endnote w:type="continuationSeparator" w:id="0">
    <w:p w14:paraId="047E9811" w14:textId="77777777" w:rsidR="00D07017" w:rsidRDefault="00D07017" w:rsidP="00A03CC1">
      <w:r>
        <w:continuationSeparator/>
      </w:r>
    </w:p>
  </w:endnote>
  <w:endnote w:type="continuationNotice" w:id="1">
    <w:p w14:paraId="167F2C2C" w14:textId="77777777" w:rsidR="00D07017" w:rsidRDefault="00D07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Arial"/>
    <w:charset w:val="00"/>
    <w:family w:val="swiss"/>
    <w:pitch w:val="variable"/>
    <w:sig w:usb0="00000001"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CAFE" w14:textId="77777777" w:rsidR="007727B2" w:rsidRDefault="00772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9876" w14:textId="77777777" w:rsidR="007727B2" w:rsidRDefault="00772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56E61" w14:textId="77777777" w:rsidR="007727B2" w:rsidRDefault="007727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C14C" w14:textId="19EF2460" w:rsidR="007727B2" w:rsidRPr="007B2663" w:rsidRDefault="007727B2">
    <w:pPr>
      <w:pStyle w:val="Footer"/>
      <w:jc w:val="center"/>
      <w:rPr>
        <w:sz w:val="24"/>
        <w:szCs w:val="24"/>
      </w:rPr>
    </w:pPr>
    <w:r w:rsidRPr="007B2663">
      <w:rPr>
        <w:sz w:val="24"/>
        <w:szCs w:val="24"/>
      </w:rPr>
      <w:fldChar w:fldCharType="begin"/>
    </w:r>
    <w:r w:rsidRPr="007B2663">
      <w:rPr>
        <w:sz w:val="24"/>
        <w:szCs w:val="24"/>
      </w:rPr>
      <w:instrText xml:space="preserve"> PAGE   \* MERGEFORMAT </w:instrText>
    </w:r>
    <w:r w:rsidRPr="007B2663">
      <w:rPr>
        <w:sz w:val="24"/>
        <w:szCs w:val="24"/>
      </w:rPr>
      <w:fldChar w:fldCharType="separate"/>
    </w:r>
    <w:r w:rsidR="006E764A">
      <w:rPr>
        <w:noProof/>
        <w:sz w:val="24"/>
        <w:szCs w:val="24"/>
      </w:rPr>
      <w:t>34</w:t>
    </w:r>
    <w:r w:rsidRPr="007B2663">
      <w:rPr>
        <w:sz w:val="24"/>
        <w:szCs w:val="24"/>
      </w:rPr>
      <w:fldChar w:fldCharType="end"/>
    </w:r>
  </w:p>
  <w:p w14:paraId="5E265414" w14:textId="77777777" w:rsidR="007727B2" w:rsidRDefault="007727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44F76" w14:textId="77777777" w:rsidR="007727B2" w:rsidRDefault="007727B2">
    <w:pPr>
      <w:pStyle w:val="Footer"/>
      <w:jc w:val="center"/>
    </w:pPr>
  </w:p>
  <w:p w14:paraId="7C09369C" w14:textId="77777777" w:rsidR="007727B2" w:rsidRDefault="0077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470DF" w14:textId="77777777" w:rsidR="00D07017" w:rsidRDefault="00D07017" w:rsidP="00A03CC1">
      <w:r>
        <w:separator/>
      </w:r>
    </w:p>
  </w:footnote>
  <w:footnote w:type="continuationSeparator" w:id="0">
    <w:p w14:paraId="48791159" w14:textId="77777777" w:rsidR="00D07017" w:rsidRDefault="00D07017" w:rsidP="00A03CC1">
      <w:r>
        <w:continuationSeparator/>
      </w:r>
    </w:p>
  </w:footnote>
  <w:footnote w:type="continuationNotice" w:id="1">
    <w:p w14:paraId="4EE1EC30" w14:textId="77777777" w:rsidR="00D07017" w:rsidRDefault="00D070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8BE0" w14:textId="77777777" w:rsidR="007727B2" w:rsidRDefault="0077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3907" w14:textId="77777777" w:rsidR="007727B2" w:rsidRDefault="00772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6EB6B" w14:textId="77777777" w:rsidR="007727B2" w:rsidRDefault="007727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F2382" w14:textId="77777777" w:rsidR="007727B2" w:rsidRDefault="007727B2" w:rsidP="00BA5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7BD"/>
    <w:multiLevelType w:val="hybridMultilevel"/>
    <w:tmpl w:val="6E7A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56650A"/>
    <w:multiLevelType w:val="hybridMultilevel"/>
    <w:tmpl w:val="C9E4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E13C0"/>
    <w:multiLevelType w:val="hybridMultilevel"/>
    <w:tmpl w:val="9D0662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BE44D6B"/>
    <w:multiLevelType w:val="hybridMultilevel"/>
    <w:tmpl w:val="74AEBB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D6A46"/>
    <w:multiLevelType w:val="hybridMultilevel"/>
    <w:tmpl w:val="B390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BA3463"/>
    <w:multiLevelType w:val="hybridMultilevel"/>
    <w:tmpl w:val="F4BC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03427"/>
    <w:multiLevelType w:val="hybridMultilevel"/>
    <w:tmpl w:val="D9FAC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E46457"/>
    <w:multiLevelType w:val="hybridMultilevel"/>
    <w:tmpl w:val="36E2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251D76"/>
    <w:multiLevelType w:val="hybridMultilevel"/>
    <w:tmpl w:val="F61C1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7A0410"/>
    <w:multiLevelType w:val="hybridMultilevel"/>
    <w:tmpl w:val="F65E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B4D4A"/>
    <w:multiLevelType w:val="hybridMultilevel"/>
    <w:tmpl w:val="910C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B923D0"/>
    <w:multiLevelType w:val="hybridMultilevel"/>
    <w:tmpl w:val="480A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D4986"/>
    <w:multiLevelType w:val="hybridMultilevel"/>
    <w:tmpl w:val="AAB2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9471F"/>
    <w:multiLevelType w:val="hybridMultilevel"/>
    <w:tmpl w:val="5CE8B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3441BE"/>
    <w:multiLevelType w:val="hybridMultilevel"/>
    <w:tmpl w:val="C3F2CB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3C4E45D6"/>
    <w:multiLevelType w:val="hybridMultilevel"/>
    <w:tmpl w:val="B544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766F9"/>
    <w:multiLevelType w:val="hybridMultilevel"/>
    <w:tmpl w:val="483EF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620F7E"/>
    <w:multiLevelType w:val="hybridMultilevel"/>
    <w:tmpl w:val="11D22260"/>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48011D52"/>
    <w:multiLevelType w:val="hybridMultilevel"/>
    <w:tmpl w:val="1126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14559"/>
    <w:multiLevelType w:val="hybridMultilevel"/>
    <w:tmpl w:val="5DC6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E0E0E"/>
    <w:multiLevelType w:val="hybridMultilevel"/>
    <w:tmpl w:val="ECAE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90F62"/>
    <w:multiLevelType w:val="hybridMultilevel"/>
    <w:tmpl w:val="CC7AF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EE4DF5"/>
    <w:multiLevelType w:val="hybridMultilevel"/>
    <w:tmpl w:val="701073AE"/>
    <w:lvl w:ilvl="0" w:tplc="454E1C3A">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6B2A73"/>
    <w:multiLevelType w:val="hybridMultilevel"/>
    <w:tmpl w:val="8878F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0F384C"/>
    <w:multiLevelType w:val="hybridMultilevel"/>
    <w:tmpl w:val="04FA5CDE"/>
    <w:lvl w:ilvl="0" w:tplc="2364F9A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A6823C4"/>
    <w:multiLevelType w:val="hybridMultilevel"/>
    <w:tmpl w:val="86A29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25579"/>
    <w:multiLevelType w:val="hybridMultilevel"/>
    <w:tmpl w:val="73D6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A5577"/>
    <w:multiLevelType w:val="hybridMultilevel"/>
    <w:tmpl w:val="21B22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8F5793"/>
    <w:multiLevelType w:val="hybridMultilevel"/>
    <w:tmpl w:val="7966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232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5806B0"/>
    <w:multiLevelType w:val="hybridMultilevel"/>
    <w:tmpl w:val="912CEC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AAA"/>
    <w:multiLevelType w:val="hybridMultilevel"/>
    <w:tmpl w:val="3F5A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F6814"/>
    <w:multiLevelType w:val="hybridMultilevel"/>
    <w:tmpl w:val="4C64F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420D97"/>
    <w:multiLevelType w:val="hybridMultilevel"/>
    <w:tmpl w:val="70A8385C"/>
    <w:lvl w:ilvl="0" w:tplc="0409000B">
      <w:start w:val="3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C94647"/>
    <w:multiLevelType w:val="hybridMultilevel"/>
    <w:tmpl w:val="83F0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3639E"/>
    <w:multiLevelType w:val="hybridMultilevel"/>
    <w:tmpl w:val="C5944D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8"/>
  </w:num>
  <w:num w:numId="3">
    <w:abstractNumId w:val="6"/>
  </w:num>
  <w:num w:numId="4">
    <w:abstractNumId w:val="13"/>
  </w:num>
  <w:num w:numId="5">
    <w:abstractNumId w:val="4"/>
  </w:num>
  <w:num w:numId="6">
    <w:abstractNumId w:val="16"/>
  </w:num>
  <w:num w:numId="7">
    <w:abstractNumId w:val="21"/>
  </w:num>
  <w:num w:numId="8">
    <w:abstractNumId w:val="23"/>
  </w:num>
  <w:num w:numId="9">
    <w:abstractNumId w:val="17"/>
  </w:num>
  <w:num w:numId="10">
    <w:abstractNumId w:val="27"/>
  </w:num>
  <w:num w:numId="11">
    <w:abstractNumId w:val="0"/>
  </w:num>
  <w:num w:numId="12">
    <w:abstractNumId w:val="8"/>
  </w:num>
  <w:num w:numId="13">
    <w:abstractNumId w:val="29"/>
  </w:num>
  <w:num w:numId="14">
    <w:abstractNumId w:val="24"/>
  </w:num>
  <w:num w:numId="15">
    <w:abstractNumId w:val="32"/>
  </w:num>
  <w:num w:numId="16">
    <w:abstractNumId w:val="10"/>
  </w:num>
  <w:num w:numId="17">
    <w:abstractNumId w:val="16"/>
  </w:num>
  <w:num w:numId="18">
    <w:abstractNumId w:val="25"/>
  </w:num>
  <w:num w:numId="19">
    <w:abstractNumId w:val="35"/>
  </w:num>
  <w:num w:numId="20">
    <w:abstractNumId w:val="30"/>
  </w:num>
  <w:num w:numId="21">
    <w:abstractNumId w:val="3"/>
  </w:num>
  <w:num w:numId="22">
    <w:abstractNumId w:val="26"/>
  </w:num>
  <w:num w:numId="23">
    <w:abstractNumId w:val="14"/>
  </w:num>
  <w:num w:numId="24">
    <w:abstractNumId w:val="12"/>
  </w:num>
  <w:num w:numId="25">
    <w:abstractNumId w:val="9"/>
  </w:num>
  <w:num w:numId="26">
    <w:abstractNumId w:val="31"/>
  </w:num>
  <w:num w:numId="27">
    <w:abstractNumId w:val="18"/>
  </w:num>
  <w:num w:numId="28">
    <w:abstractNumId w:val="2"/>
  </w:num>
  <w:num w:numId="29">
    <w:abstractNumId w:val="11"/>
  </w:num>
  <w:num w:numId="30">
    <w:abstractNumId w:val="22"/>
  </w:num>
  <w:num w:numId="31">
    <w:abstractNumId w:val="19"/>
  </w:num>
  <w:num w:numId="32">
    <w:abstractNumId w:val="15"/>
  </w:num>
  <w:num w:numId="33">
    <w:abstractNumId w:val="34"/>
  </w:num>
  <w:num w:numId="34">
    <w:abstractNumId w:val="5"/>
  </w:num>
  <w:num w:numId="35">
    <w:abstractNumId w:val="1"/>
  </w:num>
  <w:num w:numId="36">
    <w:abstractNumId w:val="2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3D"/>
    <w:rsid w:val="0000160E"/>
    <w:rsid w:val="00005840"/>
    <w:rsid w:val="00005E3A"/>
    <w:rsid w:val="0001149D"/>
    <w:rsid w:val="00014F79"/>
    <w:rsid w:val="00021A1F"/>
    <w:rsid w:val="00024828"/>
    <w:rsid w:val="000258D5"/>
    <w:rsid w:val="00027AD6"/>
    <w:rsid w:val="00030A84"/>
    <w:rsid w:val="000315AA"/>
    <w:rsid w:val="00032B52"/>
    <w:rsid w:val="00034221"/>
    <w:rsid w:val="00034465"/>
    <w:rsid w:val="000401FB"/>
    <w:rsid w:val="000442AE"/>
    <w:rsid w:val="00045B39"/>
    <w:rsid w:val="00046820"/>
    <w:rsid w:val="000510CD"/>
    <w:rsid w:val="0005130E"/>
    <w:rsid w:val="00052F76"/>
    <w:rsid w:val="0005749B"/>
    <w:rsid w:val="00057F21"/>
    <w:rsid w:val="00061B1B"/>
    <w:rsid w:val="00064F13"/>
    <w:rsid w:val="0007209B"/>
    <w:rsid w:val="000758A6"/>
    <w:rsid w:val="000A08A0"/>
    <w:rsid w:val="000A3E9C"/>
    <w:rsid w:val="000B0017"/>
    <w:rsid w:val="000B0A22"/>
    <w:rsid w:val="000B14FC"/>
    <w:rsid w:val="000B5E7B"/>
    <w:rsid w:val="000C640D"/>
    <w:rsid w:val="000D1684"/>
    <w:rsid w:val="000D1DE9"/>
    <w:rsid w:val="000D3447"/>
    <w:rsid w:val="000D3647"/>
    <w:rsid w:val="000D5EC6"/>
    <w:rsid w:val="000E187C"/>
    <w:rsid w:val="000E429D"/>
    <w:rsid w:val="000E4FF1"/>
    <w:rsid w:val="000E6F14"/>
    <w:rsid w:val="000F2F25"/>
    <w:rsid w:val="000F655D"/>
    <w:rsid w:val="000F6D2E"/>
    <w:rsid w:val="0010114F"/>
    <w:rsid w:val="00102015"/>
    <w:rsid w:val="0010490B"/>
    <w:rsid w:val="0010690F"/>
    <w:rsid w:val="00110736"/>
    <w:rsid w:val="00112ABF"/>
    <w:rsid w:val="00116387"/>
    <w:rsid w:val="001200C5"/>
    <w:rsid w:val="001207D4"/>
    <w:rsid w:val="001223E8"/>
    <w:rsid w:val="001257FE"/>
    <w:rsid w:val="00132A3A"/>
    <w:rsid w:val="00133B12"/>
    <w:rsid w:val="00133F1E"/>
    <w:rsid w:val="00144D01"/>
    <w:rsid w:val="001456D2"/>
    <w:rsid w:val="00145CB9"/>
    <w:rsid w:val="001472CC"/>
    <w:rsid w:val="001502F5"/>
    <w:rsid w:val="00160204"/>
    <w:rsid w:val="00160973"/>
    <w:rsid w:val="0016168A"/>
    <w:rsid w:val="00161EC6"/>
    <w:rsid w:val="00166FE2"/>
    <w:rsid w:val="001723B4"/>
    <w:rsid w:val="00172C12"/>
    <w:rsid w:val="001745BB"/>
    <w:rsid w:val="00177443"/>
    <w:rsid w:val="00177807"/>
    <w:rsid w:val="001870B1"/>
    <w:rsid w:val="0019238F"/>
    <w:rsid w:val="001969A4"/>
    <w:rsid w:val="001A726F"/>
    <w:rsid w:val="001A7470"/>
    <w:rsid w:val="001B4D16"/>
    <w:rsid w:val="001B4EA3"/>
    <w:rsid w:val="001B6AEB"/>
    <w:rsid w:val="001B7374"/>
    <w:rsid w:val="001B7703"/>
    <w:rsid w:val="001B7F23"/>
    <w:rsid w:val="001C15D4"/>
    <w:rsid w:val="001C1631"/>
    <w:rsid w:val="001C2B70"/>
    <w:rsid w:val="001C63AD"/>
    <w:rsid w:val="001D03A3"/>
    <w:rsid w:val="001D203D"/>
    <w:rsid w:val="001D6C71"/>
    <w:rsid w:val="001D7B45"/>
    <w:rsid w:val="001E6ED5"/>
    <w:rsid w:val="001E78EA"/>
    <w:rsid w:val="001F0960"/>
    <w:rsid w:val="001F4C9E"/>
    <w:rsid w:val="001F4CF1"/>
    <w:rsid w:val="001F64B6"/>
    <w:rsid w:val="001F76EA"/>
    <w:rsid w:val="00200D9A"/>
    <w:rsid w:val="00201439"/>
    <w:rsid w:val="002014EB"/>
    <w:rsid w:val="002016BF"/>
    <w:rsid w:val="00201D37"/>
    <w:rsid w:val="00202332"/>
    <w:rsid w:val="00202CAE"/>
    <w:rsid w:val="00205CA0"/>
    <w:rsid w:val="0021207D"/>
    <w:rsid w:val="002139C2"/>
    <w:rsid w:val="002140F4"/>
    <w:rsid w:val="00215586"/>
    <w:rsid w:val="002178EE"/>
    <w:rsid w:val="00232193"/>
    <w:rsid w:val="00232624"/>
    <w:rsid w:val="002343F3"/>
    <w:rsid w:val="00235568"/>
    <w:rsid w:val="00240B18"/>
    <w:rsid w:val="002452C5"/>
    <w:rsid w:val="0024656E"/>
    <w:rsid w:val="002528B8"/>
    <w:rsid w:val="00257DD1"/>
    <w:rsid w:val="0027336F"/>
    <w:rsid w:val="00274057"/>
    <w:rsid w:val="00276009"/>
    <w:rsid w:val="00281018"/>
    <w:rsid w:val="00282619"/>
    <w:rsid w:val="00287E94"/>
    <w:rsid w:val="002A4ABE"/>
    <w:rsid w:val="002B221C"/>
    <w:rsid w:val="002B59B9"/>
    <w:rsid w:val="002D0E31"/>
    <w:rsid w:val="002D75ED"/>
    <w:rsid w:val="002E0448"/>
    <w:rsid w:val="002E0B17"/>
    <w:rsid w:val="002E325D"/>
    <w:rsid w:val="002E7B94"/>
    <w:rsid w:val="002E7EEB"/>
    <w:rsid w:val="002F1018"/>
    <w:rsid w:val="002F64D6"/>
    <w:rsid w:val="002F6AB7"/>
    <w:rsid w:val="00301436"/>
    <w:rsid w:val="0030567B"/>
    <w:rsid w:val="00310415"/>
    <w:rsid w:val="0031161E"/>
    <w:rsid w:val="003237EE"/>
    <w:rsid w:val="0033456F"/>
    <w:rsid w:val="00337D08"/>
    <w:rsid w:val="00340E78"/>
    <w:rsid w:val="00342464"/>
    <w:rsid w:val="0034654C"/>
    <w:rsid w:val="003515CF"/>
    <w:rsid w:val="00353D11"/>
    <w:rsid w:val="00354552"/>
    <w:rsid w:val="003608D0"/>
    <w:rsid w:val="003613AC"/>
    <w:rsid w:val="00361422"/>
    <w:rsid w:val="0036697C"/>
    <w:rsid w:val="003719DD"/>
    <w:rsid w:val="003750FB"/>
    <w:rsid w:val="00380D5D"/>
    <w:rsid w:val="003873A8"/>
    <w:rsid w:val="00390ECB"/>
    <w:rsid w:val="00394EF3"/>
    <w:rsid w:val="00395FDF"/>
    <w:rsid w:val="003A0C0E"/>
    <w:rsid w:val="003A0DDA"/>
    <w:rsid w:val="003A2D24"/>
    <w:rsid w:val="003A5866"/>
    <w:rsid w:val="003B015F"/>
    <w:rsid w:val="003C054E"/>
    <w:rsid w:val="003C0E7B"/>
    <w:rsid w:val="003C27C3"/>
    <w:rsid w:val="003C5B80"/>
    <w:rsid w:val="003C6EA7"/>
    <w:rsid w:val="003C7323"/>
    <w:rsid w:val="003C7D36"/>
    <w:rsid w:val="003D241C"/>
    <w:rsid w:val="003D3013"/>
    <w:rsid w:val="003D6494"/>
    <w:rsid w:val="003E0C23"/>
    <w:rsid w:val="003E28DC"/>
    <w:rsid w:val="003F05DE"/>
    <w:rsid w:val="003F0B95"/>
    <w:rsid w:val="003F10C0"/>
    <w:rsid w:val="003F53DA"/>
    <w:rsid w:val="004030EF"/>
    <w:rsid w:val="00404CFB"/>
    <w:rsid w:val="00406C85"/>
    <w:rsid w:val="0041031B"/>
    <w:rsid w:val="004111C6"/>
    <w:rsid w:val="00412048"/>
    <w:rsid w:val="00412838"/>
    <w:rsid w:val="00414AF3"/>
    <w:rsid w:val="0041509F"/>
    <w:rsid w:val="00420DCD"/>
    <w:rsid w:val="004276FD"/>
    <w:rsid w:val="0043202E"/>
    <w:rsid w:val="0043646A"/>
    <w:rsid w:val="00447772"/>
    <w:rsid w:val="00455F98"/>
    <w:rsid w:val="00456627"/>
    <w:rsid w:val="00456638"/>
    <w:rsid w:val="00456E8E"/>
    <w:rsid w:val="00457C2B"/>
    <w:rsid w:val="0046074D"/>
    <w:rsid w:val="0047269F"/>
    <w:rsid w:val="0047565B"/>
    <w:rsid w:val="00476D0A"/>
    <w:rsid w:val="00480215"/>
    <w:rsid w:val="00482BE0"/>
    <w:rsid w:val="00484BDA"/>
    <w:rsid w:val="0048723C"/>
    <w:rsid w:val="0049156A"/>
    <w:rsid w:val="00497AE8"/>
    <w:rsid w:val="004A14E6"/>
    <w:rsid w:val="004A2A2D"/>
    <w:rsid w:val="004A3D54"/>
    <w:rsid w:val="004A3F45"/>
    <w:rsid w:val="004B1BC7"/>
    <w:rsid w:val="004B33A0"/>
    <w:rsid w:val="004B7C0A"/>
    <w:rsid w:val="004C0318"/>
    <w:rsid w:val="004D1A94"/>
    <w:rsid w:val="004D23BD"/>
    <w:rsid w:val="004D7C70"/>
    <w:rsid w:val="004D7CD8"/>
    <w:rsid w:val="004E05B0"/>
    <w:rsid w:val="004E64D3"/>
    <w:rsid w:val="004E7FE9"/>
    <w:rsid w:val="004F0587"/>
    <w:rsid w:val="004F2665"/>
    <w:rsid w:val="004F627A"/>
    <w:rsid w:val="00502664"/>
    <w:rsid w:val="005053FF"/>
    <w:rsid w:val="00514714"/>
    <w:rsid w:val="005147B4"/>
    <w:rsid w:val="00522B05"/>
    <w:rsid w:val="005233C9"/>
    <w:rsid w:val="00523EF2"/>
    <w:rsid w:val="005249B0"/>
    <w:rsid w:val="0052775E"/>
    <w:rsid w:val="005306E9"/>
    <w:rsid w:val="00530CE6"/>
    <w:rsid w:val="0053108B"/>
    <w:rsid w:val="005379B0"/>
    <w:rsid w:val="00544212"/>
    <w:rsid w:val="00544DC4"/>
    <w:rsid w:val="0054512B"/>
    <w:rsid w:val="005562C7"/>
    <w:rsid w:val="00556C36"/>
    <w:rsid w:val="0056019C"/>
    <w:rsid w:val="0056125F"/>
    <w:rsid w:val="00563537"/>
    <w:rsid w:val="00564E5E"/>
    <w:rsid w:val="0056585E"/>
    <w:rsid w:val="00565EF2"/>
    <w:rsid w:val="00567D59"/>
    <w:rsid w:val="00580D5B"/>
    <w:rsid w:val="00583816"/>
    <w:rsid w:val="00585302"/>
    <w:rsid w:val="00594A18"/>
    <w:rsid w:val="00594F85"/>
    <w:rsid w:val="005962DB"/>
    <w:rsid w:val="00596CA7"/>
    <w:rsid w:val="005A1AD5"/>
    <w:rsid w:val="005A41C7"/>
    <w:rsid w:val="005A45CB"/>
    <w:rsid w:val="005A49E6"/>
    <w:rsid w:val="005A53A3"/>
    <w:rsid w:val="005B3CCA"/>
    <w:rsid w:val="005B61FB"/>
    <w:rsid w:val="005C2B5F"/>
    <w:rsid w:val="005C737D"/>
    <w:rsid w:val="005C7DCF"/>
    <w:rsid w:val="005D3062"/>
    <w:rsid w:val="005D44E1"/>
    <w:rsid w:val="005D5D9B"/>
    <w:rsid w:val="005E15EB"/>
    <w:rsid w:val="005E672C"/>
    <w:rsid w:val="005F4080"/>
    <w:rsid w:val="005F6CBA"/>
    <w:rsid w:val="005F756E"/>
    <w:rsid w:val="00605C6B"/>
    <w:rsid w:val="00606E23"/>
    <w:rsid w:val="00610976"/>
    <w:rsid w:val="0061232D"/>
    <w:rsid w:val="006130F7"/>
    <w:rsid w:val="00613E06"/>
    <w:rsid w:val="00614E28"/>
    <w:rsid w:val="00614E50"/>
    <w:rsid w:val="006208CE"/>
    <w:rsid w:val="00621D00"/>
    <w:rsid w:val="00621FC5"/>
    <w:rsid w:val="0062339F"/>
    <w:rsid w:val="00627F4A"/>
    <w:rsid w:val="006304B0"/>
    <w:rsid w:val="006326D1"/>
    <w:rsid w:val="006342A6"/>
    <w:rsid w:val="0063431D"/>
    <w:rsid w:val="006344A3"/>
    <w:rsid w:val="00635E7F"/>
    <w:rsid w:val="006362FE"/>
    <w:rsid w:val="006377E4"/>
    <w:rsid w:val="006400E4"/>
    <w:rsid w:val="0064392E"/>
    <w:rsid w:val="00647968"/>
    <w:rsid w:val="00652D05"/>
    <w:rsid w:val="00653B10"/>
    <w:rsid w:val="006540CE"/>
    <w:rsid w:val="006574F1"/>
    <w:rsid w:val="00657F0C"/>
    <w:rsid w:val="0066294E"/>
    <w:rsid w:val="00664B8B"/>
    <w:rsid w:val="00672EB9"/>
    <w:rsid w:val="00674560"/>
    <w:rsid w:val="00675204"/>
    <w:rsid w:val="006770CB"/>
    <w:rsid w:val="00677593"/>
    <w:rsid w:val="00683F50"/>
    <w:rsid w:val="00687336"/>
    <w:rsid w:val="00690000"/>
    <w:rsid w:val="00690FC7"/>
    <w:rsid w:val="006976B4"/>
    <w:rsid w:val="006A0C4E"/>
    <w:rsid w:val="006A4DA7"/>
    <w:rsid w:val="006B5240"/>
    <w:rsid w:val="006B5465"/>
    <w:rsid w:val="006B5A8C"/>
    <w:rsid w:val="006C02E8"/>
    <w:rsid w:val="006C231C"/>
    <w:rsid w:val="006C561B"/>
    <w:rsid w:val="006C5E79"/>
    <w:rsid w:val="006D1EC6"/>
    <w:rsid w:val="006D43F6"/>
    <w:rsid w:val="006D4664"/>
    <w:rsid w:val="006D52EC"/>
    <w:rsid w:val="006D5C2B"/>
    <w:rsid w:val="006D6766"/>
    <w:rsid w:val="006D6974"/>
    <w:rsid w:val="006E03D3"/>
    <w:rsid w:val="006E1E82"/>
    <w:rsid w:val="006E764A"/>
    <w:rsid w:val="006F1A20"/>
    <w:rsid w:val="006F607B"/>
    <w:rsid w:val="006F788F"/>
    <w:rsid w:val="006F7FEC"/>
    <w:rsid w:val="00700D65"/>
    <w:rsid w:val="00702003"/>
    <w:rsid w:val="007042BE"/>
    <w:rsid w:val="00704C8B"/>
    <w:rsid w:val="00704F49"/>
    <w:rsid w:val="007058CB"/>
    <w:rsid w:val="00714F0E"/>
    <w:rsid w:val="00715F85"/>
    <w:rsid w:val="0072113F"/>
    <w:rsid w:val="00722147"/>
    <w:rsid w:val="00722A3F"/>
    <w:rsid w:val="00723BA0"/>
    <w:rsid w:val="007251E0"/>
    <w:rsid w:val="00726209"/>
    <w:rsid w:val="00734253"/>
    <w:rsid w:val="007379CA"/>
    <w:rsid w:val="00742C9D"/>
    <w:rsid w:val="007439CB"/>
    <w:rsid w:val="00745181"/>
    <w:rsid w:val="0074778A"/>
    <w:rsid w:val="00751988"/>
    <w:rsid w:val="007561E6"/>
    <w:rsid w:val="00756B1C"/>
    <w:rsid w:val="007601A4"/>
    <w:rsid w:val="00760303"/>
    <w:rsid w:val="00762567"/>
    <w:rsid w:val="00767A6F"/>
    <w:rsid w:val="00770456"/>
    <w:rsid w:val="007727B2"/>
    <w:rsid w:val="00776A9D"/>
    <w:rsid w:val="00776E68"/>
    <w:rsid w:val="00777AE3"/>
    <w:rsid w:val="007911D2"/>
    <w:rsid w:val="007913C2"/>
    <w:rsid w:val="007926FD"/>
    <w:rsid w:val="0079600C"/>
    <w:rsid w:val="007978AF"/>
    <w:rsid w:val="007A00DA"/>
    <w:rsid w:val="007A6E51"/>
    <w:rsid w:val="007B2663"/>
    <w:rsid w:val="007B7CD4"/>
    <w:rsid w:val="007C13A4"/>
    <w:rsid w:val="007C13D3"/>
    <w:rsid w:val="007C58D4"/>
    <w:rsid w:val="007C72ED"/>
    <w:rsid w:val="007D0A52"/>
    <w:rsid w:val="007E134A"/>
    <w:rsid w:val="007E29BC"/>
    <w:rsid w:val="007E3108"/>
    <w:rsid w:val="007E41C9"/>
    <w:rsid w:val="007F601F"/>
    <w:rsid w:val="008033CD"/>
    <w:rsid w:val="00816187"/>
    <w:rsid w:val="00820FE2"/>
    <w:rsid w:val="00824BDC"/>
    <w:rsid w:val="00825667"/>
    <w:rsid w:val="00825847"/>
    <w:rsid w:val="0083256A"/>
    <w:rsid w:val="00834AD0"/>
    <w:rsid w:val="00836E78"/>
    <w:rsid w:val="00836FEC"/>
    <w:rsid w:val="0084255A"/>
    <w:rsid w:val="0084416B"/>
    <w:rsid w:val="00850010"/>
    <w:rsid w:val="008519C5"/>
    <w:rsid w:val="00851CFA"/>
    <w:rsid w:val="0085479B"/>
    <w:rsid w:val="00862A6F"/>
    <w:rsid w:val="00866034"/>
    <w:rsid w:val="008670E7"/>
    <w:rsid w:val="00870F35"/>
    <w:rsid w:val="00871151"/>
    <w:rsid w:val="00874E0E"/>
    <w:rsid w:val="00875F98"/>
    <w:rsid w:val="00886C8E"/>
    <w:rsid w:val="00886CC8"/>
    <w:rsid w:val="00886DC4"/>
    <w:rsid w:val="008923A3"/>
    <w:rsid w:val="00893581"/>
    <w:rsid w:val="008A0CF5"/>
    <w:rsid w:val="008A183B"/>
    <w:rsid w:val="008A5C03"/>
    <w:rsid w:val="008A7AEB"/>
    <w:rsid w:val="008B12FD"/>
    <w:rsid w:val="008B51D2"/>
    <w:rsid w:val="008B64C0"/>
    <w:rsid w:val="008B6620"/>
    <w:rsid w:val="008C02B6"/>
    <w:rsid w:val="008C541F"/>
    <w:rsid w:val="008D0FE8"/>
    <w:rsid w:val="008D69D5"/>
    <w:rsid w:val="008E14CA"/>
    <w:rsid w:val="008F2892"/>
    <w:rsid w:val="00903075"/>
    <w:rsid w:val="00905150"/>
    <w:rsid w:val="00905BE7"/>
    <w:rsid w:val="009074BB"/>
    <w:rsid w:val="009079E3"/>
    <w:rsid w:val="0091000D"/>
    <w:rsid w:val="00920FB2"/>
    <w:rsid w:val="009223B2"/>
    <w:rsid w:val="00922A6B"/>
    <w:rsid w:val="0092436F"/>
    <w:rsid w:val="0092736A"/>
    <w:rsid w:val="00933859"/>
    <w:rsid w:val="009351EA"/>
    <w:rsid w:val="00935CCB"/>
    <w:rsid w:val="0093697F"/>
    <w:rsid w:val="00944E23"/>
    <w:rsid w:val="00950497"/>
    <w:rsid w:val="00950DDD"/>
    <w:rsid w:val="00952A36"/>
    <w:rsid w:val="00956233"/>
    <w:rsid w:val="00956D2C"/>
    <w:rsid w:val="0096585C"/>
    <w:rsid w:val="00967EF9"/>
    <w:rsid w:val="009705EE"/>
    <w:rsid w:val="009719E8"/>
    <w:rsid w:val="00971A64"/>
    <w:rsid w:val="00973AB5"/>
    <w:rsid w:val="009764C7"/>
    <w:rsid w:val="0097711F"/>
    <w:rsid w:val="00982DB3"/>
    <w:rsid w:val="00983E65"/>
    <w:rsid w:val="00986A1B"/>
    <w:rsid w:val="00990224"/>
    <w:rsid w:val="00994FD2"/>
    <w:rsid w:val="0099672C"/>
    <w:rsid w:val="009A16EB"/>
    <w:rsid w:val="009A3680"/>
    <w:rsid w:val="009B1EDD"/>
    <w:rsid w:val="009B4A86"/>
    <w:rsid w:val="009B7812"/>
    <w:rsid w:val="009C6989"/>
    <w:rsid w:val="009D0A0D"/>
    <w:rsid w:val="009D25E2"/>
    <w:rsid w:val="009D29C4"/>
    <w:rsid w:val="009D2E05"/>
    <w:rsid w:val="009D39B8"/>
    <w:rsid w:val="009D5F34"/>
    <w:rsid w:val="009E10C3"/>
    <w:rsid w:val="009E1BB5"/>
    <w:rsid w:val="009E752E"/>
    <w:rsid w:val="009F094D"/>
    <w:rsid w:val="009F29EF"/>
    <w:rsid w:val="009F3033"/>
    <w:rsid w:val="009F4E35"/>
    <w:rsid w:val="009F6534"/>
    <w:rsid w:val="00A01D70"/>
    <w:rsid w:val="00A03CC1"/>
    <w:rsid w:val="00A103F8"/>
    <w:rsid w:val="00A13591"/>
    <w:rsid w:val="00A20613"/>
    <w:rsid w:val="00A25C33"/>
    <w:rsid w:val="00A32163"/>
    <w:rsid w:val="00A3404A"/>
    <w:rsid w:val="00A40144"/>
    <w:rsid w:val="00A40519"/>
    <w:rsid w:val="00A44135"/>
    <w:rsid w:val="00A44201"/>
    <w:rsid w:val="00A44436"/>
    <w:rsid w:val="00A447C9"/>
    <w:rsid w:val="00A46F65"/>
    <w:rsid w:val="00A568D6"/>
    <w:rsid w:val="00A61A49"/>
    <w:rsid w:val="00A629CE"/>
    <w:rsid w:val="00A62FE5"/>
    <w:rsid w:val="00A70E37"/>
    <w:rsid w:val="00A7211C"/>
    <w:rsid w:val="00A73D64"/>
    <w:rsid w:val="00A81204"/>
    <w:rsid w:val="00A8242A"/>
    <w:rsid w:val="00A825D7"/>
    <w:rsid w:val="00A8500E"/>
    <w:rsid w:val="00A95A5B"/>
    <w:rsid w:val="00AA0BC0"/>
    <w:rsid w:val="00AA3688"/>
    <w:rsid w:val="00AA63EC"/>
    <w:rsid w:val="00AA749A"/>
    <w:rsid w:val="00AB001F"/>
    <w:rsid w:val="00AB3E50"/>
    <w:rsid w:val="00AB798A"/>
    <w:rsid w:val="00AC1DCB"/>
    <w:rsid w:val="00AC70FF"/>
    <w:rsid w:val="00AD3C42"/>
    <w:rsid w:val="00AD68BD"/>
    <w:rsid w:val="00AE137F"/>
    <w:rsid w:val="00AE1F9E"/>
    <w:rsid w:val="00AE4ABC"/>
    <w:rsid w:val="00AE7062"/>
    <w:rsid w:val="00AE7BAA"/>
    <w:rsid w:val="00AF08DB"/>
    <w:rsid w:val="00AF1E37"/>
    <w:rsid w:val="00AF29AE"/>
    <w:rsid w:val="00B00F88"/>
    <w:rsid w:val="00B04ADC"/>
    <w:rsid w:val="00B0577F"/>
    <w:rsid w:val="00B0623E"/>
    <w:rsid w:val="00B07ABA"/>
    <w:rsid w:val="00B1616C"/>
    <w:rsid w:val="00B203AE"/>
    <w:rsid w:val="00B218FB"/>
    <w:rsid w:val="00B234D7"/>
    <w:rsid w:val="00B236ED"/>
    <w:rsid w:val="00B30BC1"/>
    <w:rsid w:val="00B30BEB"/>
    <w:rsid w:val="00B33F13"/>
    <w:rsid w:val="00B36E83"/>
    <w:rsid w:val="00B37074"/>
    <w:rsid w:val="00B40E38"/>
    <w:rsid w:val="00B42FF8"/>
    <w:rsid w:val="00B43CD9"/>
    <w:rsid w:val="00B44116"/>
    <w:rsid w:val="00B4706B"/>
    <w:rsid w:val="00B522C2"/>
    <w:rsid w:val="00B52BEA"/>
    <w:rsid w:val="00B56F99"/>
    <w:rsid w:val="00B60800"/>
    <w:rsid w:val="00B6340F"/>
    <w:rsid w:val="00B74A65"/>
    <w:rsid w:val="00B81162"/>
    <w:rsid w:val="00B86059"/>
    <w:rsid w:val="00B950D1"/>
    <w:rsid w:val="00B96F57"/>
    <w:rsid w:val="00BA58FB"/>
    <w:rsid w:val="00BB0592"/>
    <w:rsid w:val="00BB38B9"/>
    <w:rsid w:val="00BB53CE"/>
    <w:rsid w:val="00BB66B0"/>
    <w:rsid w:val="00BC2763"/>
    <w:rsid w:val="00BC49FF"/>
    <w:rsid w:val="00BC6D5E"/>
    <w:rsid w:val="00BD2B16"/>
    <w:rsid w:val="00BD4712"/>
    <w:rsid w:val="00BD5190"/>
    <w:rsid w:val="00BE0A29"/>
    <w:rsid w:val="00BE544B"/>
    <w:rsid w:val="00BF0593"/>
    <w:rsid w:val="00BF0676"/>
    <w:rsid w:val="00BF291B"/>
    <w:rsid w:val="00BF3F1B"/>
    <w:rsid w:val="00BF48B4"/>
    <w:rsid w:val="00BF61ED"/>
    <w:rsid w:val="00C019F7"/>
    <w:rsid w:val="00C034FA"/>
    <w:rsid w:val="00C0547F"/>
    <w:rsid w:val="00C062C4"/>
    <w:rsid w:val="00C12580"/>
    <w:rsid w:val="00C12BFC"/>
    <w:rsid w:val="00C13A7E"/>
    <w:rsid w:val="00C150DD"/>
    <w:rsid w:val="00C169CD"/>
    <w:rsid w:val="00C17383"/>
    <w:rsid w:val="00C209D5"/>
    <w:rsid w:val="00C234D6"/>
    <w:rsid w:val="00C24649"/>
    <w:rsid w:val="00C26EB2"/>
    <w:rsid w:val="00C305A0"/>
    <w:rsid w:val="00C3119B"/>
    <w:rsid w:val="00C314FD"/>
    <w:rsid w:val="00C31EC3"/>
    <w:rsid w:val="00C33003"/>
    <w:rsid w:val="00C36307"/>
    <w:rsid w:val="00C46D03"/>
    <w:rsid w:val="00C53107"/>
    <w:rsid w:val="00C57208"/>
    <w:rsid w:val="00C6073F"/>
    <w:rsid w:val="00C668BB"/>
    <w:rsid w:val="00C66B7A"/>
    <w:rsid w:val="00C71F6A"/>
    <w:rsid w:val="00C74F92"/>
    <w:rsid w:val="00C76F4A"/>
    <w:rsid w:val="00C867ED"/>
    <w:rsid w:val="00C86FCF"/>
    <w:rsid w:val="00C95F56"/>
    <w:rsid w:val="00CA10D3"/>
    <w:rsid w:val="00CA1651"/>
    <w:rsid w:val="00CA1657"/>
    <w:rsid w:val="00CA3E15"/>
    <w:rsid w:val="00CA5108"/>
    <w:rsid w:val="00CB05C3"/>
    <w:rsid w:val="00CB198D"/>
    <w:rsid w:val="00CB4F29"/>
    <w:rsid w:val="00CB52BF"/>
    <w:rsid w:val="00CC339E"/>
    <w:rsid w:val="00CD0920"/>
    <w:rsid w:val="00CD3076"/>
    <w:rsid w:val="00CD3216"/>
    <w:rsid w:val="00CD461D"/>
    <w:rsid w:val="00CD4942"/>
    <w:rsid w:val="00CD683B"/>
    <w:rsid w:val="00CD6EF5"/>
    <w:rsid w:val="00CE1920"/>
    <w:rsid w:val="00CE24CA"/>
    <w:rsid w:val="00CE468C"/>
    <w:rsid w:val="00CF3924"/>
    <w:rsid w:val="00D0161F"/>
    <w:rsid w:val="00D02BEE"/>
    <w:rsid w:val="00D02C32"/>
    <w:rsid w:val="00D05638"/>
    <w:rsid w:val="00D07017"/>
    <w:rsid w:val="00D117B5"/>
    <w:rsid w:val="00D1337A"/>
    <w:rsid w:val="00D17D0E"/>
    <w:rsid w:val="00D20809"/>
    <w:rsid w:val="00D22D41"/>
    <w:rsid w:val="00D245C3"/>
    <w:rsid w:val="00D24D99"/>
    <w:rsid w:val="00D2553A"/>
    <w:rsid w:val="00D27855"/>
    <w:rsid w:val="00D3131D"/>
    <w:rsid w:val="00D3354F"/>
    <w:rsid w:val="00D34A01"/>
    <w:rsid w:val="00D35653"/>
    <w:rsid w:val="00D36515"/>
    <w:rsid w:val="00D444C9"/>
    <w:rsid w:val="00D44642"/>
    <w:rsid w:val="00D46256"/>
    <w:rsid w:val="00D46EC9"/>
    <w:rsid w:val="00D477D9"/>
    <w:rsid w:val="00D50F8D"/>
    <w:rsid w:val="00D52365"/>
    <w:rsid w:val="00D52E29"/>
    <w:rsid w:val="00D5668C"/>
    <w:rsid w:val="00D72A19"/>
    <w:rsid w:val="00D7559B"/>
    <w:rsid w:val="00D75C34"/>
    <w:rsid w:val="00D80646"/>
    <w:rsid w:val="00D80FEC"/>
    <w:rsid w:val="00D8104F"/>
    <w:rsid w:val="00D82A2C"/>
    <w:rsid w:val="00D91062"/>
    <w:rsid w:val="00D915EB"/>
    <w:rsid w:val="00D94695"/>
    <w:rsid w:val="00DA1D70"/>
    <w:rsid w:val="00DA2F86"/>
    <w:rsid w:val="00DA4CA0"/>
    <w:rsid w:val="00DA557F"/>
    <w:rsid w:val="00DA7189"/>
    <w:rsid w:val="00DB2953"/>
    <w:rsid w:val="00DB4047"/>
    <w:rsid w:val="00DB4DCE"/>
    <w:rsid w:val="00DB6876"/>
    <w:rsid w:val="00DC5178"/>
    <w:rsid w:val="00DD4F2B"/>
    <w:rsid w:val="00DD6846"/>
    <w:rsid w:val="00DE0B7B"/>
    <w:rsid w:val="00DE44DE"/>
    <w:rsid w:val="00DE4C32"/>
    <w:rsid w:val="00DE4F14"/>
    <w:rsid w:val="00DE7B57"/>
    <w:rsid w:val="00DF140C"/>
    <w:rsid w:val="00DF1DFB"/>
    <w:rsid w:val="00DF2D90"/>
    <w:rsid w:val="00DF3E62"/>
    <w:rsid w:val="00DF42B5"/>
    <w:rsid w:val="00DF5D87"/>
    <w:rsid w:val="00E02903"/>
    <w:rsid w:val="00E03670"/>
    <w:rsid w:val="00E0500E"/>
    <w:rsid w:val="00E05A91"/>
    <w:rsid w:val="00E10C8D"/>
    <w:rsid w:val="00E1342A"/>
    <w:rsid w:val="00E13746"/>
    <w:rsid w:val="00E155BB"/>
    <w:rsid w:val="00E16ADE"/>
    <w:rsid w:val="00E174A4"/>
    <w:rsid w:val="00E17F42"/>
    <w:rsid w:val="00E214EC"/>
    <w:rsid w:val="00E24722"/>
    <w:rsid w:val="00E27AAD"/>
    <w:rsid w:val="00E27D40"/>
    <w:rsid w:val="00E3070D"/>
    <w:rsid w:val="00E30D97"/>
    <w:rsid w:val="00E4091C"/>
    <w:rsid w:val="00E41020"/>
    <w:rsid w:val="00E41B06"/>
    <w:rsid w:val="00E43D14"/>
    <w:rsid w:val="00E456D0"/>
    <w:rsid w:val="00E53AB3"/>
    <w:rsid w:val="00E5655E"/>
    <w:rsid w:val="00E63FA0"/>
    <w:rsid w:val="00E65E1D"/>
    <w:rsid w:val="00E71DB9"/>
    <w:rsid w:val="00E74D38"/>
    <w:rsid w:val="00E76F51"/>
    <w:rsid w:val="00E804A1"/>
    <w:rsid w:val="00E804C2"/>
    <w:rsid w:val="00E81C00"/>
    <w:rsid w:val="00E838D9"/>
    <w:rsid w:val="00E84BE8"/>
    <w:rsid w:val="00E85089"/>
    <w:rsid w:val="00E91F75"/>
    <w:rsid w:val="00E97460"/>
    <w:rsid w:val="00EA4565"/>
    <w:rsid w:val="00EA6A76"/>
    <w:rsid w:val="00EA6EED"/>
    <w:rsid w:val="00EA77F9"/>
    <w:rsid w:val="00EB27E7"/>
    <w:rsid w:val="00EB52F8"/>
    <w:rsid w:val="00EB60A5"/>
    <w:rsid w:val="00EB7962"/>
    <w:rsid w:val="00EC0EFF"/>
    <w:rsid w:val="00EC0F7D"/>
    <w:rsid w:val="00EC206B"/>
    <w:rsid w:val="00EC76E2"/>
    <w:rsid w:val="00ED00B5"/>
    <w:rsid w:val="00ED06AE"/>
    <w:rsid w:val="00ED6864"/>
    <w:rsid w:val="00ED7933"/>
    <w:rsid w:val="00ED7E1D"/>
    <w:rsid w:val="00EE501E"/>
    <w:rsid w:val="00EE552A"/>
    <w:rsid w:val="00EF09A6"/>
    <w:rsid w:val="00EF0BBE"/>
    <w:rsid w:val="00EF32E6"/>
    <w:rsid w:val="00EF7310"/>
    <w:rsid w:val="00F006D0"/>
    <w:rsid w:val="00F1173C"/>
    <w:rsid w:val="00F16AE3"/>
    <w:rsid w:val="00F2269E"/>
    <w:rsid w:val="00F22810"/>
    <w:rsid w:val="00F2328F"/>
    <w:rsid w:val="00F25BFF"/>
    <w:rsid w:val="00F25DA7"/>
    <w:rsid w:val="00F27714"/>
    <w:rsid w:val="00F30DB0"/>
    <w:rsid w:val="00F31293"/>
    <w:rsid w:val="00F34B31"/>
    <w:rsid w:val="00F40115"/>
    <w:rsid w:val="00F40738"/>
    <w:rsid w:val="00F46285"/>
    <w:rsid w:val="00F52874"/>
    <w:rsid w:val="00F55A4D"/>
    <w:rsid w:val="00F56A1A"/>
    <w:rsid w:val="00F60EA1"/>
    <w:rsid w:val="00F63C3D"/>
    <w:rsid w:val="00F64EC4"/>
    <w:rsid w:val="00F654F6"/>
    <w:rsid w:val="00F659A1"/>
    <w:rsid w:val="00F673D6"/>
    <w:rsid w:val="00F71EDB"/>
    <w:rsid w:val="00F72678"/>
    <w:rsid w:val="00F74D3D"/>
    <w:rsid w:val="00F75805"/>
    <w:rsid w:val="00F759CA"/>
    <w:rsid w:val="00F8145B"/>
    <w:rsid w:val="00F84495"/>
    <w:rsid w:val="00F90CF6"/>
    <w:rsid w:val="00F94FA1"/>
    <w:rsid w:val="00F978A1"/>
    <w:rsid w:val="00FA754A"/>
    <w:rsid w:val="00FB0E73"/>
    <w:rsid w:val="00FB577A"/>
    <w:rsid w:val="00FB59F7"/>
    <w:rsid w:val="00FC2351"/>
    <w:rsid w:val="00FC2F2A"/>
    <w:rsid w:val="00FD0993"/>
    <w:rsid w:val="00FD341C"/>
    <w:rsid w:val="00FD5ABC"/>
    <w:rsid w:val="00FD7368"/>
    <w:rsid w:val="00FE141B"/>
    <w:rsid w:val="00FE2009"/>
    <w:rsid w:val="00FE23F3"/>
    <w:rsid w:val="00FE6BD3"/>
    <w:rsid w:val="00FF0E6C"/>
    <w:rsid w:val="00FF36DD"/>
    <w:rsid w:val="00FF4374"/>
    <w:rsid w:val="00FF49D7"/>
    <w:rsid w:val="00FF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77F27"/>
  <w15:chartTrackingRefBased/>
  <w15:docId w15:val="{EA1444C7-D3F6-4565-ADB1-6C94D93B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36A"/>
    <w:rPr>
      <w:rFonts w:ascii="Times New Roman" w:hAnsi="Times New Roman"/>
      <w:sz w:val="24"/>
      <w:szCs w:val="24"/>
    </w:rPr>
  </w:style>
  <w:style w:type="paragraph" w:styleId="Heading1">
    <w:name w:val="heading 1"/>
    <w:basedOn w:val="Normal"/>
    <w:next w:val="Normal"/>
    <w:link w:val="Heading1Char"/>
    <w:uiPriority w:val="99"/>
    <w:qFormat/>
    <w:rsid w:val="00C150DD"/>
    <w:pPr>
      <w:keepNext/>
      <w:tabs>
        <w:tab w:val="left" w:pos="480"/>
        <w:tab w:val="left" w:pos="960"/>
        <w:tab w:val="left" w:pos="6840"/>
      </w:tabs>
      <w:jc w:val="both"/>
      <w:outlineLvl w:val="0"/>
    </w:pPr>
    <w:rPr>
      <w:rFonts w:ascii="Arial" w:hAnsi="Arial"/>
      <w:b/>
      <w:bCs/>
      <w:spacing w:val="-3"/>
      <w:sz w:val="20"/>
      <w:szCs w:val="20"/>
      <w:u w:val="single"/>
    </w:rPr>
  </w:style>
  <w:style w:type="paragraph" w:styleId="Heading2">
    <w:name w:val="heading 2"/>
    <w:basedOn w:val="Normal"/>
    <w:next w:val="Normal"/>
    <w:link w:val="Heading2Char"/>
    <w:uiPriority w:val="99"/>
    <w:qFormat/>
    <w:rsid w:val="00C150DD"/>
    <w:pPr>
      <w:keepNext/>
      <w:tabs>
        <w:tab w:val="left" w:pos="-1440"/>
        <w:tab w:val="left" w:leader="do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150DD"/>
    <w:rPr>
      <w:rFonts w:ascii="Arial" w:hAnsi="Arial"/>
      <w:b/>
      <w:spacing w:val="-3"/>
      <w:sz w:val="20"/>
      <w:u w:val="single"/>
    </w:rPr>
  </w:style>
  <w:style w:type="character" w:customStyle="1" w:styleId="Heading2Char">
    <w:name w:val="Heading 2 Char"/>
    <w:link w:val="Heading2"/>
    <w:uiPriority w:val="99"/>
    <w:locked/>
    <w:rsid w:val="00C150DD"/>
    <w:rPr>
      <w:rFonts w:ascii="Arial" w:hAnsi="Arial"/>
      <w:b/>
      <w:sz w:val="20"/>
      <w:u w:val="single"/>
    </w:rPr>
  </w:style>
  <w:style w:type="paragraph" w:styleId="PlainText">
    <w:name w:val="Plain Text"/>
    <w:basedOn w:val="Normal"/>
    <w:link w:val="PlainTextChar"/>
    <w:uiPriority w:val="99"/>
    <w:rsid w:val="00E02903"/>
    <w:rPr>
      <w:rFonts w:ascii="Courier New" w:hAnsi="Courier New"/>
      <w:sz w:val="20"/>
      <w:szCs w:val="20"/>
    </w:rPr>
  </w:style>
  <w:style w:type="character" w:customStyle="1" w:styleId="PlainTextChar">
    <w:name w:val="Plain Text Char"/>
    <w:link w:val="PlainText"/>
    <w:uiPriority w:val="99"/>
    <w:locked/>
    <w:rsid w:val="00E02903"/>
    <w:rPr>
      <w:rFonts w:ascii="Courier New" w:hAnsi="Courier New"/>
      <w:sz w:val="20"/>
    </w:rPr>
  </w:style>
  <w:style w:type="paragraph" w:styleId="FootnoteText">
    <w:name w:val="footnote text"/>
    <w:basedOn w:val="Normal"/>
    <w:link w:val="FootnoteTextChar"/>
    <w:uiPriority w:val="99"/>
    <w:semiHidden/>
    <w:rsid w:val="00E02903"/>
    <w:rPr>
      <w:rFonts w:ascii="Univers Condensed" w:hAnsi="Univers Condensed"/>
      <w:sz w:val="20"/>
      <w:szCs w:val="20"/>
    </w:rPr>
  </w:style>
  <w:style w:type="character" w:customStyle="1" w:styleId="FootnoteTextChar">
    <w:name w:val="Footnote Text Char"/>
    <w:link w:val="FootnoteText"/>
    <w:uiPriority w:val="99"/>
    <w:locked/>
    <w:rsid w:val="00E02903"/>
    <w:rPr>
      <w:rFonts w:ascii="Univers Condensed" w:hAnsi="Univers Condensed"/>
      <w:sz w:val="20"/>
    </w:rPr>
  </w:style>
  <w:style w:type="paragraph" w:customStyle="1" w:styleId="QuickFormat1">
    <w:name w:val="QuickFormat1"/>
    <w:basedOn w:val="Normal"/>
    <w:link w:val="QuickFormat1Char"/>
    <w:uiPriority w:val="99"/>
    <w:rsid w:val="009A16EB"/>
    <w:pPr>
      <w:widowControl w:val="0"/>
      <w:jc w:val="center"/>
    </w:pPr>
    <w:rPr>
      <w:b/>
      <w:snapToGrid w:val="0"/>
      <w:color w:val="000000"/>
      <w:sz w:val="20"/>
      <w:szCs w:val="20"/>
      <w:lang w:val="x-none" w:eastAsia="x-none"/>
    </w:rPr>
  </w:style>
  <w:style w:type="character" w:customStyle="1" w:styleId="QuickFormat1Char">
    <w:name w:val="QuickFormat1 Char"/>
    <w:link w:val="QuickFormat1"/>
    <w:uiPriority w:val="99"/>
    <w:locked/>
    <w:rsid w:val="009A16EB"/>
    <w:rPr>
      <w:rFonts w:ascii="Times New Roman" w:hAnsi="Times New Roman"/>
      <w:b/>
      <w:snapToGrid w:val="0"/>
      <w:color w:val="000000"/>
      <w:sz w:val="20"/>
    </w:rPr>
  </w:style>
  <w:style w:type="character" w:styleId="CommentReference">
    <w:name w:val="annotation reference"/>
    <w:uiPriority w:val="99"/>
    <w:semiHidden/>
    <w:rsid w:val="009A16EB"/>
    <w:rPr>
      <w:sz w:val="16"/>
    </w:rPr>
  </w:style>
  <w:style w:type="paragraph" w:styleId="HTMLPreformatted">
    <w:name w:val="HTML Preformatted"/>
    <w:basedOn w:val="Normal"/>
    <w:link w:val="HTMLPreformattedChar"/>
    <w:uiPriority w:val="99"/>
    <w:rsid w:val="0041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41509F"/>
    <w:rPr>
      <w:rFonts w:ascii="Courier New" w:hAnsi="Courier New"/>
      <w:sz w:val="20"/>
    </w:rPr>
  </w:style>
  <w:style w:type="paragraph" w:styleId="BodyText">
    <w:name w:val="Body Text"/>
    <w:basedOn w:val="Normal"/>
    <w:link w:val="BodyTextChar"/>
    <w:uiPriority w:val="99"/>
    <w:rsid w:val="0041509F"/>
    <w:pPr>
      <w:widowControl w:val="0"/>
      <w:spacing w:after="120"/>
    </w:pPr>
    <w:rPr>
      <w:rFonts w:ascii="Courier" w:hAnsi="Courier"/>
      <w:sz w:val="20"/>
      <w:szCs w:val="20"/>
    </w:rPr>
  </w:style>
  <w:style w:type="character" w:customStyle="1" w:styleId="BodyTextChar">
    <w:name w:val="Body Text Char"/>
    <w:link w:val="BodyText"/>
    <w:uiPriority w:val="99"/>
    <w:locked/>
    <w:rsid w:val="0041509F"/>
    <w:rPr>
      <w:rFonts w:ascii="Courier" w:hAnsi="Courier"/>
      <w:sz w:val="20"/>
    </w:rPr>
  </w:style>
  <w:style w:type="paragraph" w:styleId="Header">
    <w:name w:val="header"/>
    <w:basedOn w:val="Normal"/>
    <w:link w:val="HeaderChar"/>
    <w:uiPriority w:val="99"/>
    <w:rsid w:val="00A03CC1"/>
    <w:pPr>
      <w:tabs>
        <w:tab w:val="center" w:pos="4680"/>
        <w:tab w:val="right" w:pos="9360"/>
      </w:tabs>
    </w:pPr>
    <w:rPr>
      <w:sz w:val="20"/>
      <w:szCs w:val="20"/>
    </w:rPr>
  </w:style>
  <w:style w:type="character" w:customStyle="1" w:styleId="HeaderChar">
    <w:name w:val="Header Char"/>
    <w:link w:val="Header"/>
    <w:uiPriority w:val="99"/>
    <w:locked/>
    <w:rsid w:val="00A03CC1"/>
    <w:rPr>
      <w:rFonts w:ascii="Times New Roman" w:hAnsi="Times New Roman"/>
      <w:sz w:val="20"/>
    </w:rPr>
  </w:style>
  <w:style w:type="paragraph" w:styleId="Footer">
    <w:name w:val="footer"/>
    <w:basedOn w:val="Normal"/>
    <w:link w:val="FooterChar"/>
    <w:uiPriority w:val="99"/>
    <w:rsid w:val="00A03CC1"/>
    <w:pPr>
      <w:tabs>
        <w:tab w:val="center" w:pos="4680"/>
        <w:tab w:val="right" w:pos="9360"/>
      </w:tabs>
    </w:pPr>
    <w:rPr>
      <w:sz w:val="20"/>
      <w:szCs w:val="20"/>
    </w:rPr>
  </w:style>
  <w:style w:type="character" w:customStyle="1" w:styleId="FooterChar">
    <w:name w:val="Footer Char"/>
    <w:link w:val="Footer"/>
    <w:uiPriority w:val="99"/>
    <w:locked/>
    <w:rsid w:val="00A03CC1"/>
    <w:rPr>
      <w:rFonts w:ascii="Times New Roman" w:hAnsi="Times New Roman"/>
      <w:sz w:val="20"/>
    </w:rPr>
  </w:style>
  <w:style w:type="paragraph" w:styleId="ListParagraph">
    <w:name w:val="List Paragraph"/>
    <w:basedOn w:val="Normal"/>
    <w:uiPriority w:val="34"/>
    <w:qFormat/>
    <w:rsid w:val="00412048"/>
    <w:pPr>
      <w:widowControl w:val="0"/>
      <w:ind w:left="720"/>
    </w:pPr>
    <w:rPr>
      <w:rFonts w:ascii="Courier" w:hAnsi="Courier" w:cs="Courier"/>
    </w:rPr>
  </w:style>
  <w:style w:type="table" w:styleId="TableGrid">
    <w:name w:val="Table Grid"/>
    <w:basedOn w:val="TableNormal"/>
    <w:uiPriority w:val="99"/>
    <w:rsid w:val="006C231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71EDB"/>
    <w:rPr>
      <w:rFonts w:ascii="Tahoma" w:hAnsi="Tahoma"/>
      <w:sz w:val="16"/>
      <w:szCs w:val="16"/>
    </w:rPr>
  </w:style>
  <w:style w:type="character" w:customStyle="1" w:styleId="BalloonTextChar">
    <w:name w:val="Balloon Text Char"/>
    <w:link w:val="BalloonText"/>
    <w:uiPriority w:val="99"/>
    <w:semiHidden/>
    <w:locked/>
    <w:rsid w:val="00F71EDB"/>
    <w:rPr>
      <w:rFonts w:ascii="Tahoma" w:hAnsi="Tahoma"/>
      <w:sz w:val="16"/>
    </w:rPr>
  </w:style>
  <w:style w:type="paragraph" w:styleId="CommentText">
    <w:name w:val="annotation text"/>
    <w:basedOn w:val="Normal"/>
    <w:link w:val="CommentTextChar"/>
    <w:uiPriority w:val="99"/>
    <w:semiHidden/>
    <w:rsid w:val="00061B1B"/>
    <w:rPr>
      <w:sz w:val="20"/>
      <w:szCs w:val="20"/>
    </w:rPr>
  </w:style>
  <w:style w:type="character" w:customStyle="1" w:styleId="CommentTextChar">
    <w:name w:val="Comment Text Char"/>
    <w:link w:val="CommentText"/>
    <w:uiPriority w:val="99"/>
    <w:semiHidden/>
    <w:locked/>
    <w:rsid w:val="00061B1B"/>
    <w:rPr>
      <w:rFonts w:ascii="Times New Roman" w:hAnsi="Times New Roman"/>
      <w:sz w:val="20"/>
    </w:rPr>
  </w:style>
  <w:style w:type="paragraph" w:styleId="CommentSubject">
    <w:name w:val="annotation subject"/>
    <w:basedOn w:val="CommentText"/>
    <w:next w:val="CommentText"/>
    <w:link w:val="CommentSubjectChar"/>
    <w:uiPriority w:val="99"/>
    <w:semiHidden/>
    <w:rsid w:val="00061B1B"/>
    <w:rPr>
      <w:b/>
      <w:bCs/>
    </w:rPr>
  </w:style>
  <w:style w:type="character" w:customStyle="1" w:styleId="CommentSubjectChar">
    <w:name w:val="Comment Subject Char"/>
    <w:link w:val="CommentSubject"/>
    <w:uiPriority w:val="99"/>
    <w:semiHidden/>
    <w:locked/>
    <w:rsid w:val="00061B1B"/>
    <w:rPr>
      <w:rFonts w:ascii="Times New Roman" w:hAnsi="Times New Roman"/>
      <w:b/>
      <w:sz w:val="20"/>
    </w:rPr>
  </w:style>
  <w:style w:type="paragraph" w:styleId="Revision">
    <w:name w:val="Revision"/>
    <w:hidden/>
    <w:uiPriority w:val="99"/>
    <w:semiHidden/>
    <w:rsid w:val="00986A1B"/>
    <w:rPr>
      <w:rFonts w:ascii="Times New Roman" w:hAnsi="Times New Roman"/>
      <w:sz w:val="24"/>
      <w:szCs w:val="24"/>
    </w:rPr>
  </w:style>
  <w:style w:type="paragraph" w:styleId="NormalWeb">
    <w:name w:val="Normal (Web)"/>
    <w:basedOn w:val="Normal"/>
    <w:uiPriority w:val="99"/>
    <w:semiHidden/>
    <w:rsid w:val="00D3354F"/>
    <w:pPr>
      <w:spacing w:before="100" w:beforeAutospacing="1" w:after="100" w:afterAutospacing="1"/>
    </w:pPr>
  </w:style>
  <w:style w:type="character" w:styleId="Hyperlink">
    <w:name w:val="Hyperlink"/>
    <w:uiPriority w:val="99"/>
    <w:semiHidden/>
    <w:rsid w:val="00BE0A29"/>
    <w:rPr>
      <w:color w:val="0000FF"/>
      <w:u w:val="single"/>
    </w:rPr>
  </w:style>
  <w:style w:type="paragraph" w:customStyle="1" w:styleId="Default">
    <w:name w:val="Default"/>
    <w:rsid w:val="00CE24CA"/>
    <w:pPr>
      <w:autoSpaceDE w:val="0"/>
      <w:autoSpaceDN w:val="0"/>
      <w:adjustRightInd w:val="0"/>
    </w:pPr>
    <w:rPr>
      <w:rFonts w:ascii="Times New Roman" w:hAnsi="Times New Roman"/>
      <w:color w:val="000000"/>
      <w:sz w:val="24"/>
      <w:szCs w:val="24"/>
    </w:rPr>
  </w:style>
  <w:style w:type="paragraph" w:customStyle="1" w:styleId="ng-scope">
    <w:name w:val="ng-scope"/>
    <w:basedOn w:val="Normal"/>
    <w:rsid w:val="005306E9"/>
    <w:pPr>
      <w:spacing w:before="100" w:beforeAutospacing="1" w:after="100" w:afterAutospacing="1"/>
    </w:pPr>
  </w:style>
  <w:style w:type="table" w:customStyle="1" w:styleId="TableGrid1">
    <w:name w:val="Table Grid1"/>
    <w:basedOn w:val="TableNormal"/>
    <w:next w:val="TableGrid"/>
    <w:rsid w:val="004F627A"/>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Grid2">
    <w:name w:val="Table Grid2"/>
    <w:basedOn w:val="TableNormal"/>
    <w:next w:val="TableGrid"/>
    <w:rsid w:val="00C169CD"/>
    <w:pPr>
      <w:widowControl w:val="0"/>
    </w:pPr>
    <w:rPr>
      <w:rFonts w:ascii="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8576">
      <w:bodyDiv w:val="1"/>
      <w:marLeft w:val="0"/>
      <w:marRight w:val="0"/>
      <w:marTop w:val="0"/>
      <w:marBottom w:val="0"/>
      <w:divBdr>
        <w:top w:val="none" w:sz="0" w:space="0" w:color="auto"/>
        <w:left w:val="none" w:sz="0" w:space="0" w:color="auto"/>
        <w:bottom w:val="none" w:sz="0" w:space="0" w:color="auto"/>
        <w:right w:val="none" w:sz="0" w:space="0" w:color="auto"/>
      </w:divBdr>
    </w:div>
    <w:div w:id="198857204">
      <w:bodyDiv w:val="1"/>
      <w:marLeft w:val="0"/>
      <w:marRight w:val="0"/>
      <w:marTop w:val="0"/>
      <w:marBottom w:val="0"/>
      <w:divBdr>
        <w:top w:val="none" w:sz="0" w:space="0" w:color="auto"/>
        <w:left w:val="none" w:sz="0" w:space="0" w:color="auto"/>
        <w:bottom w:val="none" w:sz="0" w:space="0" w:color="auto"/>
        <w:right w:val="none" w:sz="0" w:space="0" w:color="auto"/>
      </w:divBdr>
    </w:div>
    <w:div w:id="509174754">
      <w:bodyDiv w:val="1"/>
      <w:marLeft w:val="0"/>
      <w:marRight w:val="0"/>
      <w:marTop w:val="0"/>
      <w:marBottom w:val="0"/>
      <w:divBdr>
        <w:top w:val="none" w:sz="0" w:space="0" w:color="auto"/>
        <w:left w:val="none" w:sz="0" w:space="0" w:color="auto"/>
        <w:bottom w:val="none" w:sz="0" w:space="0" w:color="auto"/>
        <w:right w:val="none" w:sz="0" w:space="0" w:color="auto"/>
      </w:divBdr>
    </w:div>
    <w:div w:id="941306654">
      <w:marLeft w:val="0"/>
      <w:marRight w:val="0"/>
      <w:marTop w:val="0"/>
      <w:marBottom w:val="0"/>
      <w:divBdr>
        <w:top w:val="none" w:sz="0" w:space="0" w:color="auto"/>
        <w:left w:val="none" w:sz="0" w:space="0" w:color="auto"/>
        <w:bottom w:val="none" w:sz="0" w:space="0" w:color="auto"/>
        <w:right w:val="none" w:sz="0" w:space="0" w:color="auto"/>
      </w:divBdr>
    </w:div>
    <w:div w:id="941306655">
      <w:marLeft w:val="0"/>
      <w:marRight w:val="0"/>
      <w:marTop w:val="0"/>
      <w:marBottom w:val="0"/>
      <w:divBdr>
        <w:top w:val="none" w:sz="0" w:space="0" w:color="auto"/>
        <w:left w:val="none" w:sz="0" w:space="0" w:color="auto"/>
        <w:bottom w:val="none" w:sz="0" w:space="0" w:color="auto"/>
        <w:right w:val="none" w:sz="0" w:space="0" w:color="auto"/>
      </w:divBdr>
    </w:div>
    <w:div w:id="941306656">
      <w:marLeft w:val="0"/>
      <w:marRight w:val="0"/>
      <w:marTop w:val="0"/>
      <w:marBottom w:val="0"/>
      <w:divBdr>
        <w:top w:val="none" w:sz="0" w:space="0" w:color="auto"/>
        <w:left w:val="none" w:sz="0" w:space="0" w:color="auto"/>
        <w:bottom w:val="none" w:sz="0" w:space="0" w:color="auto"/>
        <w:right w:val="none" w:sz="0" w:space="0" w:color="auto"/>
      </w:divBdr>
    </w:div>
    <w:div w:id="941306657">
      <w:marLeft w:val="0"/>
      <w:marRight w:val="0"/>
      <w:marTop w:val="0"/>
      <w:marBottom w:val="0"/>
      <w:divBdr>
        <w:top w:val="none" w:sz="0" w:space="0" w:color="auto"/>
        <w:left w:val="none" w:sz="0" w:space="0" w:color="auto"/>
        <w:bottom w:val="none" w:sz="0" w:space="0" w:color="auto"/>
        <w:right w:val="none" w:sz="0" w:space="0" w:color="auto"/>
      </w:divBdr>
    </w:div>
    <w:div w:id="941306658">
      <w:marLeft w:val="0"/>
      <w:marRight w:val="0"/>
      <w:marTop w:val="0"/>
      <w:marBottom w:val="0"/>
      <w:divBdr>
        <w:top w:val="none" w:sz="0" w:space="0" w:color="auto"/>
        <w:left w:val="none" w:sz="0" w:space="0" w:color="auto"/>
        <w:bottom w:val="none" w:sz="0" w:space="0" w:color="auto"/>
        <w:right w:val="none" w:sz="0" w:space="0" w:color="auto"/>
      </w:divBdr>
    </w:div>
    <w:div w:id="1055659643">
      <w:bodyDiv w:val="1"/>
      <w:marLeft w:val="0"/>
      <w:marRight w:val="0"/>
      <w:marTop w:val="0"/>
      <w:marBottom w:val="0"/>
      <w:divBdr>
        <w:top w:val="none" w:sz="0" w:space="0" w:color="auto"/>
        <w:left w:val="none" w:sz="0" w:space="0" w:color="auto"/>
        <w:bottom w:val="none" w:sz="0" w:space="0" w:color="auto"/>
        <w:right w:val="none" w:sz="0" w:space="0" w:color="auto"/>
      </w:divBdr>
    </w:div>
    <w:div w:id="1257835089">
      <w:bodyDiv w:val="1"/>
      <w:marLeft w:val="0"/>
      <w:marRight w:val="0"/>
      <w:marTop w:val="0"/>
      <w:marBottom w:val="0"/>
      <w:divBdr>
        <w:top w:val="none" w:sz="0" w:space="0" w:color="auto"/>
        <w:left w:val="none" w:sz="0" w:space="0" w:color="auto"/>
        <w:bottom w:val="none" w:sz="0" w:space="0" w:color="auto"/>
        <w:right w:val="none" w:sz="0" w:space="0" w:color="auto"/>
      </w:divBdr>
    </w:div>
    <w:div w:id="188759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EF4898096664D948EA3F7E99EB1EE" ma:contentTypeVersion="11" ma:contentTypeDescription="Create a new document." ma:contentTypeScope="" ma:versionID="e4a7aa53596c4a54e501ab9e27f980ec">
  <xsd:schema xmlns:xsd="http://www.w3.org/2001/XMLSchema" xmlns:xs="http://www.w3.org/2001/XMLSchema" xmlns:p="http://schemas.microsoft.com/office/2006/metadata/properties" xmlns:ns2="3c299d68-a849-4f9b-9dbb-8ff19319d07f" targetNamespace="http://schemas.microsoft.com/office/2006/metadata/properties" ma:root="true" ma:fieldsID="f954287d437e56a6e1dc657aeb1bd092" ns2:_="">
    <xsd:import namespace="3c299d68-a849-4f9b-9dbb-8ff19319d07f"/>
    <xsd:element name="properties">
      <xsd:complexType>
        <xsd:sequence>
          <xsd:element name="documentManagement">
            <xsd:complexType>
              <xsd:all>
                <xsd:element ref="ns2:Sensitivity"/>
                <xsd:element ref="ns2:t2yl" minOccurs="0"/>
                <xsd:element ref="ns2:Topic" minOccurs="0"/>
                <xsd:element ref="ns2:Link" minOccurs="0"/>
                <xsd:element ref="ns2:Date" minOccurs="0"/>
                <xsd:element ref="ns2:Order0" minOccurs="0"/>
                <xsd:element ref="ns2:RO_x002d_INDEX" minOccurs="0"/>
                <xsd:element ref="ns2:Description0" minOccurs="0"/>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99d68-a849-4f9b-9dbb-8ff19319d07f" elementFormDefault="qualified">
    <xsd:import namespace="http://schemas.microsoft.com/office/2006/documentManagement/types"/>
    <xsd:import namespace="http://schemas.microsoft.com/office/infopath/2007/PartnerControls"/>
    <xsd:element name="Sensitivity" ma:index="8" ma:displayName="Sensitivity" ma:description="&#10;Sensitive Data = Any data that, if lost, stolen or misused, could adversely impact FDIC, insured institutions or individuals.&#10;    http://fdic01/division/doa/adminservices/records/directives/1000/1360-9.doc&#10;&#10;Sensitive PII = SSN alone and/or an individual’s full name plus 1 or more additional items of personal data.&#10;    http://fdic01/division/dit/ITGovernance/PrivacyProgram/PersonallyIdentifiableInformation/index.html&#10;&#10;Non-Sensitive Data = Data that can be shared or viewed with no restrictions internal or external to FDIC.&#10;    http://www.fdic.gov/regulations/laws/rules/2000-3800.html&#10;    " ma:format="Dropdown" ma:internalName="Sensitivity" ma:readOnly="false">
      <xsd:simpleType>
        <xsd:restriction base="dms:Choice">
          <xsd:enumeration value="Sensitive Data"/>
          <xsd:enumeration value="Sensitive PII"/>
          <xsd:enumeration value="Non-Sensitive Data"/>
        </xsd:restriction>
      </xsd:simpleType>
    </xsd:element>
    <xsd:element name="t2yl" ma:index="10" nillable="true" ma:displayName="Assigned" ma:internalName="t2yl" ma:readOnly="false">
      <xsd:simpleType>
        <xsd:restriction base="dms:Text"/>
      </xsd:simpleType>
    </xsd:element>
    <xsd:element name="Topic" ma:index="11" nillable="true" ma:displayName="Subject" ma:internalName="Topic" ma:readOnly="false">
      <xsd:simpleType>
        <xsd:restriction base="dms:Text">
          <xsd:maxLength value="255"/>
        </xsd:restriction>
      </xsd:simpleType>
    </xsd:element>
    <xsd:element name="Link" ma:index="12"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3" nillable="true" ma:displayName="Date" ma:format="DateOnly" ma:internalName="Date" ma:readOnly="false">
      <xsd:simpleType>
        <xsd:restriction base="dms:DateTime"/>
      </xsd:simpleType>
    </xsd:element>
    <xsd:element name="Order0" ma:index="14" nillable="true" ma:displayName="Order" ma:decimals="1" ma:internalName="Order0" ma:readOnly="false" ma:percentage="FALSE">
      <xsd:simpleType>
        <xsd:restriction base="dms:Number"/>
      </xsd:simpleType>
    </xsd:element>
    <xsd:element name="RO_x002d_INDEX" ma:index="15" nillable="true" ma:displayName="RO-INDEX" ma:internalName="RO_x002d_INDEX" ma:readOnly="false">
      <xsd:simpleType>
        <xsd:restriction base="dms:Text">
          <xsd:maxLength value="12"/>
        </xsd:restriction>
      </xsd:simpleType>
    </xsd:element>
    <xsd:element name="Description0" ma:index="16" nillable="true" ma:displayName="Description" ma:internalName="Description0" ma:readOnly="false">
      <xsd:simpleType>
        <xsd:restriction base="dms:Text">
          <xsd:maxLength value="255"/>
        </xsd:restriction>
      </xsd:simpleType>
    </xsd:element>
    <xsd:element name="Active" ma:index="17" nillable="true" ma:displayName="Visable" ma:default="1" ma:internalName="Active"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3c299d68-a849-4f9b-9dbb-8ff19319d07f" xsi:nil="true"/>
    <RO_x002d_INDEX xmlns="3c299d68-a849-4f9b-9dbb-8ff19319d07f" xsi:nil="true"/>
    <Order0 xmlns="3c299d68-a849-4f9b-9dbb-8ff19319d07f" xsi:nil="true"/>
    <Date xmlns="3c299d68-a849-4f9b-9dbb-8ff19319d07f" xsi:nil="true"/>
    <Description0 xmlns="3c299d68-a849-4f9b-9dbb-8ff19319d07f" xsi:nil="true"/>
    <t2yl xmlns="3c299d68-a849-4f9b-9dbb-8ff19319d07f" xsi:nil="true"/>
    <Link xmlns="3c299d68-a849-4f9b-9dbb-8ff19319d07f">
      <Url xsi:nil="true"/>
      <Description xsi:nil="true"/>
    </Link>
    <Active xmlns="3c299d68-a849-4f9b-9dbb-8ff19319d07f">true</Active>
    <Sensitivity xmlns="3c299d68-a849-4f9b-9dbb-8ff19319d07f">Sensitive Data</Sensitivit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EEFB-97CD-4E59-A8CB-97F04FB05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99d68-a849-4f9b-9dbb-8ff19319d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929E3-8ED8-4E7B-AE96-C7F0696A8A67}">
  <ds:schemaRefs>
    <ds:schemaRef ds:uri="http://schemas.microsoft.com/office/2006/metadata/longProperties"/>
  </ds:schemaRefs>
</ds:datastoreItem>
</file>

<file path=customXml/itemProps3.xml><?xml version="1.0" encoding="utf-8"?>
<ds:datastoreItem xmlns:ds="http://schemas.openxmlformats.org/officeDocument/2006/customXml" ds:itemID="{48DD1480-E316-4D29-A455-E6F80CD457D2}">
  <ds:schemaRefs>
    <ds:schemaRef ds:uri="http://schemas.microsoft.com/sharepoint/v3/contenttype/forms"/>
  </ds:schemaRefs>
</ds:datastoreItem>
</file>

<file path=customXml/itemProps4.xml><?xml version="1.0" encoding="utf-8"?>
<ds:datastoreItem xmlns:ds="http://schemas.openxmlformats.org/officeDocument/2006/customXml" ds:itemID="{395D1BEB-5DEE-4ADB-AEBD-AA6A3AE2BE40}">
  <ds:schemaRefs>
    <ds:schemaRef ds:uri="http://schemas.microsoft.com/office/2006/metadata/properties"/>
    <ds:schemaRef ds:uri="http://schemas.microsoft.com/office/infopath/2007/PartnerControls"/>
    <ds:schemaRef ds:uri="3c299d68-a849-4f9b-9dbb-8ff19319d07f"/>
  </ds:schemaRefs>
</ds:datastoreItem>
</file>

<file path=customXml/itemProps5.xml><?xml version="1.0" encoding="utf-8"?>
<ds:datastoreItem xmlns:ds="http://schemas.openxmlformats.org/officeDocument/2006/customXml" ds:itemID="{3E244912-D262-4BD5-8290-1810E844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11711</Words>
  <Characters>66759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DRAFT BofA CRA PE</vt:lpstr>
    </vt:vector>
  </TitlesOfParts>
  <Company>FDIC</Company>
  <LinksUpToDate>false</LinksUpToDate>
  <CharactersWithSpaces>78314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BofA CRA PE</dc:title>
  <dc:subject>DCP Examiner</dc:subject>
  <dc:creator>tbressette@fdic.gov</dc:creator>
  <cp:keywords/>
  <cp:lastModifiedBy>Wojnarowski, Kara A.</cp:lastModifiedBy>
  <cp:revision>3</cp:revision>
  <cp:lastPrinted>2017-07-18T16:44:00Z</cp:lastPrinted>
  <dcterms:created xsi:type="dcterms:W3CDTF">2021-03-15T12:53:00Z</dcterms:created>
  <dcterms:modified xsi:type="dcterms:W3CDTF">2021-03-15T12:59:00Z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0x0101007825520D38458B42A467308E16F6A6F7</vt:lpwstr>
  </property>
  <property fmtid="{D5CDD505-2E9C-101B-9397-08002B2CF9AE}" pid="3" name="display_urn:schemas-microsoft-com:office:office#Editor">
    <vt:lpwstr>Carney, Marie A.</vt:lpwstr>
  </property>
  <property fmtid="{D5CDD505-2E9C-101B-9397-08002B2CF9AE}" pid="4" name="Title">
    <vt:lpwstr>DRAFT BofA CRA PE</vt:lpwstr>
  </property>
  <property fmtid="{D5CDD505-2E9C-101B-9397-08002B2CF9AE}" pid="5" name="Order">
    <vt:lpwstr>15700.0000000000</vt:lpwstr>
  </property>
  <property fmtid="{D5CDD505-2E9C-101B-9397-08002B2CF9AE}" pid="6" name="display_urn:schemas-microsoft-com:office:office#Author">
    <vt:lpwstr>Miller, Amy E.</vt:lpwstr>
  </property>
</Properties>
</file>