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36" w:rsidRDefault="00C31436">
      <w:pPr>
        <w:pStyle w:val="Default"/>
      </w:pPr>
    </w:p>
    <w:tbl>
      <w:tblPr>
        <w:tblW w:w="11762" w:type="dxa"/>
        <w:jc w:val="center"/>
        <w:tblInd w:w="-20" w:type="dxa"/>
        <w:tblLook w:val="0000" w:firstRow="0" w:lastRow="0" w:firstColumn="0" w:lastColumn="0" w:noHBand="0" w:noVBand="0"/>
      </w:tblPr>
      <w:tblGrid>
        <w:gridCol w:w="6746"/>
        <w:gridCol w:w="5016"/>
      </w:tblGrid>
      <w:tr w:rsidR="00C31436" w:rsidRPr="006B46DA" w:rsidTr="009154A3">
        <w:trPr>
          <w:trHeight w:val="1496"/>
          <w:jc w:val="center"/>
        </w:trPr>
        <w:tc>
          <w:tcPr>
            <w:tcW w:w="6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1436" w:rsidRDefault="00C31436" w:rsidP="00E75398">
            <w:pPr>
              <w:pStyle w:val="Default"/>
              <w:ind w:left="-193"/>
              <w:jc w:val="center"/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MA Public Health Laboratory Frequently Asked Questions</w:t>
            </w:r>
          </w:p>
        </w:tc>
        <w:tc>
          <w:tcPr>
            <w:tcW w:w="5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546A" w:rsidRPr="00371204" w:rsidRDefault="00BF546A" w:rsidP="00BF546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62359" w:rsidRDefault="00D20A16" w:rsidP="00962359">
            <w:pPr>
              <w:pStyle w:val="Default"/>
              <w:jc w:val="center"/>
              <w:rPr>
                <w:b/>
                <w:bCs/>
                <w:sz w:val="44"/>
                <w:szCs w:val="44"/>
                <w:lang w:val="pt-BR"/>
              </w:rPr>
            </w:pPr>
            <w:r>
              <w:rPr>
                <w:b/>
                <w:bCs/>
                <w:sz w:val="44"/>
                <w:szCs w:val="44"/>
                <w:lang w:val="pt-BR"/>
              </w:rPr>
              <w:t>Ebola virus</w:t>
            </w:r>
          </w:p>
          <w:p w:rsidR="00C31436" w:rsidRPr="006B46DA" w:rsidRDefault="00E6035C" w:rsidP="00BB31E8">
            <w:pPr>
              <w:pStyle w:val="Default"/>
              <w:jc w:val="center"/>
              <w:rPr>
                <w:color w:val="0000FF"/>
                <w:sz w:val="28"/>
                <w:szCs w:val="28"/>
                <w:lang w:val="pt-BR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pt-BR"/>
              </w:rPr>
              <w:t>November 2</w:t>
            </w:r>
            <w:r w:rsidR="00BB31E8">
              <w:rPr>
                <w:b/>
                <w:bCs/>
                <w:color w:val="FF0000"/>
                <w:sz w:val="28"/>
                <w:szCs w:val="28"/>
                <w:lang w:val="pt-BR"/>
              </w:rPr>
              <w:t>5</w:t>
            </w:r>
            <w:bookmarkStart w:id="0" w:name="_GoBack"/>
            <w:bookmarkEnd w:id="0"/>
            <w:r w:rsidR="008F45C5">
              <w:rPr>
                <w:b/>
                <w:bCs/>
                <w:color w:val="FF0000"/>
                <w:sz w:val="28"/>
                <w:szCs w:val="28"/>
                <w:lang w:val="pt-BR"/>
              </w:rPr>
              <w:t>, 2015</w:t>
            </w:r>
            <w:r w:rsidR="00C31436" w:rsidRPr="008F45C5">
              <w:rPr>
                <w:b/>
                <w:bCs/>
                <w:color w:val="FF0000"/>
                <w:sz w:val="28"/>
                <w:szCs w:val="28"/>
                <w:lang w:val="pt-BR"/>
              </w:rPr>
              <w:t xml:space="preserve"> </w:t>
            </w:r>
          </w:p>
        </w:tc>
      </w:tr>
      <w:tr w:rsidR="00C31436" w:rsidTr="009154A3">
        <w:trPr>
          <w:trHeight w:val="273"/>
          <w:jc w:val="center"/>
        </w:trPr>
        <w:tc>
          <w:tcPr>
            <w:tcW w:w="117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1436" w:rsidRDefault="00C31436" w:rsidP="009154A3">
            <w:pPr>
              <w:pStyle w:val="Default"/>
              <w:jc w:val="center"/>
            </w:pPr>
            <w:r>
              <w:rPr>
                <w:b/>
                <w:bCs/>
              </w:rPr>
              <w:t>William A. Hinton State Laboratory Institute</w:t>
            </w:r>
            <w:r>
              <w:t xml:space="preserve">, 305 South Street, Jamaica Plain, MA </w:t>
            </w:r>
            <w:r w:rsidR="006804DC">
              <w:t>02130</w:t>
            </w:r>
          </w:p>
        </w:tc>
      </w:tr>
      <w:tr w:rsidR="00962359" w:rsidTr="007E4370">
        <w:trPr>
          <w:trHeight w:val="12432"/>
          <w:jc w:val="center"/>
        </w:trPr>
        <w:tc>
          <w:tcPr>
            <w:tcW w:w="117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2359" w:rsidRDefault="00962359" w:rsidP="00AB1B2A">
            <w:pPr>
              <w:pStyle w:val="Default"/>
              <w:ind w:left="240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Note: </w:t>
            </w:r>
            <w:r>
              <w:rPr>
                <w:i/>
                <w:iCs/>
                <w:sz w:val="20"/>
                <w:szCs w:val="20"/>
              </w:rPr>
              <w:t xml:space="preserve">All information in this fact sheet is subject to update at any time. Updates will be posted as new information warrants. </w:t>
            </w:r>
          </w:p>
          <w:p w:rsidR="00962359" w:rsidRPr="003A266A" w:rsidRDefault="00962359" w:rsidP="00AB1B2A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:rsidR="00962359" w:rsidRPr="003C7792" w:rsidRDefault="00962359" w:rsidP="00962359">
            <w:pPr>
              <w:pStyle w:val="Default"/>
              <w:ind w:left="106"/>
              <w:rPr>
                <w:b/>
                <w:bCs/>
                <w:color w:val="0000FF"/>
                <w:sz w:val="28"/>
                <w:szCs w:val="28"/>
              </w:rPr>
            </w:pPr>
            <w:r w:rsidRPr="003C7792">
              <w:rPr>
                <w:b/>
                <w:bCs/>
                <w:color w:val="0000FF"/>
                <w:sz w:val="28"/>
                <w:szCs w:val="28"/>
              </w:rPr>
              <w:t xml:space="preserve">Introduction </w:t>
            </w:r>
          </w:p>
          <w:p w:rsidR="00962359" w:rsidRPr="00851EC0" w:rsidRDefault="002C73DF" w:rsidP="009154A3">
            <w:pPr>
              <w:pStyle w:val="Default"/>
              <w:ind w:left="84"/>
              <w:rPr>
                <w:color w:val="auto"/>
              </w:rPr>
            </w:pPr>
            <w:r w:rsidRPr="00851EC0">
              <w:rPr>
                <w:color w:val="auto"/>
                <w:sz w:val="22"/>
                <w:szCs w:val="22"/>
              </w:rPr>
              <w:t>To provide cli</w:t>
            </w:r>
            <w:r w:rsidR="009135FE" w:rsidRPr="00851EC0">
              <w:rPr>
                <w:color w:val="auto"/>
                <w:sz w:val="22"/>
                <w:szCs w:val="22"/>
              </w:rPr>
              <w:t>nical laboratory support</w:t>
            </w:r>
            <w:r w:rsidR="00E6035C">
              <w:rPr>
                <w:color w:val="auto"/>
                <w:sz w:val="22"/>
                <w:szCs w:val="22"/>
              </w:rPr>
              <w:t xml:space="preserve"> and guidance for diagnostic testing of</w:t>
            </w:r>
            <w:r w:rsidR="009135FE" w:rsidRPr="00851EC0">
              <w:rPr>
                <w:color w:val="auto"/>
                <w:sz w:val="22"/>
                <w:szCs w:val="22"/>
              </w:rPr>
              <w:t xml:space="preserve"> </w:t>
            </w:r>
            <w:r w:rsidR="00E6035C">
              <w:rPr>
                <w:color w:val="auto"/>
                <w:sz w:val="22"/>
                <w:szCs w:val="22"/>
              </w:rPr>
              <w:t>a suspect case of</w:t>
            </w:r>
            <w:r w:rsidR="00A73D61" w:rsidRPr="00851EC0">
              <w:rPr>
                <w:color w:val="auto"/>
                <w:sz w:val="22"/>
                <w:szCs w:val="22"/>
              </w:rPr>
              <w:t xml:space="preserve"> hemorrhagic fever due </w:t>
            </w:r>
            <w:r w:rsidR="00E6035C">
              <w:rPr>
                <w:color w:val="auto"/>
                <w:sz w:val="22"/>
                <w:szCs w:val="22"/>
              </w:rPr>
              <w:t>to Ebola virus disease (EVD)</w:t>
            </w:r>
            <w:r w:rsidRPr="00851EC0">
              <w:rPr>
                <w:color w:val="auto"/>
                <w:sz w:val="22"/>
                <w:szCs w:val="22"/>
              </w:rPr>
              <w:t xml:space="preserve">, </w:t>
            </w:r>
            <w:r w:rsidR="00CD765F" w:rsidRPr="00851EC0">
              <w:rPr>
                <w:color w:val="auto"/>
                <w:sz w:val="22"/>
                <w:szCs w:val="22"/>
              </w:rPr>
              <w:t>the MA State Public Health Laboratory (MA-PHL)</w:t>
            </w:r>
            <w:r w:rsidR="00DD486D" w:rsidRPr="00851EC0">
              <w:rPr>
                <w:color w:val="auto"/>
                <w:sz w:val="22"/>
                <w:szCs w:val="22"/>
              </w:rPr>
              <w:t xml:space="preserve"> at the Hinton State Laboratory Institute</w:t>
            </w:r>
            <w:r w:rsidR="00E6035C">
              <w:rPr>
                <w:color w:val="auto"/>
                <w:sz w:val="22"/>
                <w:szCs w:val="22"/>
              </w:rPr>
              <w:t xml:space="preserve"> includes</w:t>
            </w:r>
            <w:r w:rsidR="00A5640C" w:rsidRPr="00851EC0">
              <w:rPr>
                <w:color w:val="auto"/>
                <w:sz w:val="22"/>
                <w:szCs w:val="22"/>
              </w:rPr>
              <w:t xml:space="preserve"> </w:t>
            </w:r>
            <w:r w:rsidR="00E6035C" w:rsidRPr="00851EC0">
              <w:rPr>
                <w:color w:val="auto"/>
                <w:sz w:val="22"/>
                <w:szCs w:val="22"/>
              </w:rPr>
              <w:t xml:space="preserve">guidance </w:t>
            </w:r>
            <w:r w:rsidR="00E6035C">
              <w:rPr>
                <w:color w:val="auto"/>
                <w:sz w:val="22"/>
                <w:szCs w:val="22"/>
              </w:rPr>
              <w:t xml:space="preserve">herein </w:t>
            </w:r>
            <w:r w:rsidR="00E6035C" w:rsidRPr="00851EC0">
              <w:rPr>
                <w:color w:val="auto"/>
                <w:sz w:val="22"/>
                <w:szCs w:val="22"/>
              </w:rPr>
              <w:t>for sample types</w:t>
            </w:r>
            <w:r w:rsidR="00E6035C">
              <w:rPr>
                <w:color w:val="auto"/>
                <w:sz w:val="22"/>
                <w:szCs w:val="22"/>
              </w:rPr>
              <w:t>,</w:t>
            </w:r>
            <w:r w:rsidR="00E6035C" w:rsidRPr="00851EC0">
              <w:rPr>
                <w:color w:val="auto"/>
                <w:sz w:val="22"/>
                <w:szCs w:val="22"/>
              </w:rPr>
              <w:t xml:space="preserve"> </w:t>
            </w:r>
            <w:r w:rsidR="00A5640C" w:rsidRPr="00851EC0">
              <w:rPr>
                <w:color w:val="auto"/>
                <w:sz w:val="22"/>
                <w:szCs w:val="22"/>
              </w:rPr>
              <w:t xml:space="preserve">specimen </w:t>
            </w:r>
            <w:r w:rsidR="00BB34A8" w:rsidRPr="00851EC0">
              <w:rPr>
                <w:color w:val="auto"/>
                <w:sz w:val="22"/>
                <w:szCs w:val="22"/>
              </w:rPr>
              <w:t>submission forms</w:t>
            </w:r>
            <w:r w:rsidR="00E6035C">
              <w:rPr>
                <w:color w:val="auto"/>
                <w:sz w:val="22"/>
                <w:szCs w:val="22"/>
              </w:rPr>
              <w:t>,</w:t>
            </w:r>
            <w:r w:rsidRPr="00851EC0">
              <w:rPr>
                <w:color w:val="auto"/>
                <w:sz w:val="22"/>
                <w:szCs w:val="22"/>
              </w:rPr>
              <w:t xml:space="preserve"> and </w:t>
            </w:r>
            <w:r w:rsidR="00A5640C" w:rsidRPr="00851EC0">
              <w:rPr>
                <w:color w:val="auto"/>
                <w:sz w:val="22"/>
                <w:szCs w:val="22"/>
              </w:rPr>
              <w:t xml:space="preserve">packaging &amp; </w:t>
            </w:r>
            <w:r w:rsidRPr="00851EC0">
              <w:rPr>
                <w:color w:val="auto"/>
                <w:sz w:val="22"/>
                <w:szCs w:val="22"/>
              </w:rPr>
              <w:t>shipping</w:t>
            </w:r>
            <w:r w:rsidR="00BB34A8" w:rsidRPr="00851EC0">
              <w:rPr>
                <w:color w:val="auto"/>
                <w:sz w:val="22"/>
                <w:szCs w:val="22"/>
              </w:rPr>
              <w:t xml:space="preserve"> of</w:t>
            </w:r>
            <w:r w:rsidR="00E6035C">
              <w:rPr>
                <w:color w:val="auto"/>
                <w:sz w:val="22"/>
                <w:szCs w:val="22"/>
              </w:rPr>
              <w:t xml:space="preserve"> specimens</w:t>
            </w:r>
            <w:r w:rsidRPr="00851EC0">
              <w:rPr>
                <w:color w:val="auto"/>
                <w:sz w:val="22"/>
                <w:szCs w:val="22"/>
              </w:rPr>
              <w:t xml:space="preserve">. </w:t>
            </w:r>
            <w:r w:rsidR="00CD765F" w:rsidRPr="00851EC0">
              <w:rPr>
                <w:bCs/>
                <w:color w:val="auto"/>
                <w:sz w:val="22"/>
                <w:szCs w:val="22"/>
              </w:rPr>
              <w:t xml:space="preserve">Any suspect case of EVD </w:t>
            </w:r>
            <w:r w:rsidRPr="00851EC0">
              <w:rPr>
                <w:bCs/>
                <w:color w:val="auto"/>
                <w:sz w:val="22"/>
                <w:szCs w:val="22"/>
              </w:rPr>
              <w:t xml:space="preserve">or individual identified as having potential </w:t>
            </w:r>
            <w:r w:rsidR="00CD765F" w:rsidRPr="00851EC0">
              <w:rPr>
                <w:bCs/>
                <w:color w:val="auto"/>
                <w:sz w:val="22"/>
                <w:szCs w:val="22"/>
              </w:rPr>
              <w:t xml:space="preserve">contact </w:t>
            </w:r>
            <w:r w:rsidR="00A260FF" w:rsidRPr="00851EC0">
              <w:rPr>
                <w:bCs/>
                <w:color w:val="auto"/>
                <w:sz w:val="22"/>
                <w:szCs w:val="22"/>
              </w:rPr>
              <w:t>with</w:t>
            </w:r>
            <w:r w:rsidR="00E6035C">
              <w:rPr>
                <w:bCs/>
                <w:color w:val="auto"/>
                <w:sz w:val="22"/>
                <w:szCs w:val="22"/>
              </w:rPr>
              <w:t xml:space="preserve"> a case of EVD</w:t>
            </w:r>
            <w:r w:rsidR="00851EC0" w:rsidRPr="00851EC0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CD765F" w:rsidRPr="00851EC0">
              <w:rPr>
                <w:bCs/>
                <w:color w:val="auto"/>
                <w:sz w:val="22"/>
                <w:szCs w:val="22"/>
              </w:rPr>
              <w:t>must first be</w:t>
            </w:r>
            <w:r w:rsidRPr="00851EC0">
              <w:rPr>
                <w:bCs/>
                <w:color w:val="auto"/>
                <w:sz w:val="22"/>
                <w:szCs w:val="22"/>
              </w:rPr>
              <w:t xml:space="preserve"> immediately reported to the local board of health or health department</w:t>
            </w:r>
            <w:r w:rsidR="00A73D61" w:rsidRPr="00851EC0">
              <w:rPr>
                <w:bCs/>
                <w:color w:val="auto"/>
                <w:sz w:val="22"/>
                <w:szCs w:val="22"/>
              </w:rPr>
              <w:t>,</w:t>
            </w:r>
            <w:r w:rsidR="00E6035C">
              <w:rPr>
                <w:bCs/>
                <w:color w:val="auto"/>
                <w:sz w:val="22"/>
                <w:szCs w:val="22"/>
              </w:rPr>
              <w:t xml:space="preserve"> as well as,</w:t>
            </w:r>
            <w:r w:rsidRPr="00851EC0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691E24">
              <w:rPr>
                <w:bCs/>
                <w:color w:val="auto"/>
                <w:sz w:val="22"/>
                <w:szCs w:val="22"/>
              </w:rPr>
              <w:t xml:space="preserve">MA </w:t>
            </w:r>
            <w:r w:rsidRPr="00851EC0">
              <w:rPr>
                <w:bCs/>
                <w:color w:val="auto"/>
                <w:sz w:val="22"/>
                <w:szCs w:val="22"/>
              </w:rPr>
              <w:t xml:space="preserve">DPH. </w:t>
            </w:r>
            <w:r w:rsidR="009154A3" w:rsidRPr="00851EC0">
              <w:rPr>
                <w:color w:val="auto"/>
                <w:sz w:val="23"/>
                <w:szCs w:val="23"/>
              </w:rPr>
              <w:t>Consult cu</w:t>
            </w:r>
            <w:r w:rsidR="008F7097" w:rsidRPr="00851EC0">
              <w:rPr>
                <w:color w:val="auto"/>
                <w:sz w:val="23"/>
                <w:szCs w:val="23"/>
              </w:rPr>
              <w:t>r</w:t>
            </w:r>
            <w:r w:rsidR="009154A3" w:rsidRPr="00851EC0">
              <w:rPr>
                <w:color w:val="auto"/>
                <w:sz w:val="23"/>
                <w:szCs w:val="23"/>
              </w:rPr>
              <w:t xml:space="preserve">rent </w:t>
            </w:r>
            <w:hyperlink r:id="rId9" w:history="1">
              <w:r w:rsidR="009154A3" w:rsidRPr="00851EC0">
                <w:rPr>
                  <w:rStyle w:val="Hyperlink"/>
                  <w:color w:val="1F497D"/>
                  <w:sz w:val="23"/>
                  <w:szCs w:val="23"/>
                </w:rPr>
                <w:t>CDC travel advisories</w:t>
              </w:r>
            </w:hyperlink>
            <w:r w:rsidR="008F7097" w:rsidRPr="00851EC0">
              <w:rPr>
                <w:color w:val="2F356D"/>
                <w:sz w:val="23"/>
                <w:szCs w:val="23"/>
              </w:rPr>
              <w:t>.</w:t>
            </w:r>
          </w:p>
          <w:p w:rsidR="00A260FF" w:rsidRPr="008F7097" w:rsidRDefault="00A260FF" w:rsidP="00C90F09">
            <w:pPr>
              <w:pStyle w:val="Default"/>
              <w:tabs>
                <w:tab w:val="left" w:pos="2265"/>
              </w:tabs>
              <w:ind w:left="106"/>
              <w:rPr>
                <w:b/>
                <w:color w:val="auto"/>
                <w:sz w:val="18"/>
                <w:szCs w:val="18"/>
              </w:rPr>
            </w:pPr>
          </w:p>
          <w:p w:rsidR="00962359" w:rsidRDefault="00962359" w:rsidP="00C90F09">
            <w:pPr>
              <w:pStyle w:val="Default"/>
              <w:tabs>
                <w:tab w:val="left" w:pos="2265"/>
              </w:tabs>
              <w:ind w:left="106"/>
              <w:rPr>
                <w:b/>
                <w:color w:val="0000FF"/>
                <w:sz w:val="28"/>
                <w:szCs w:val="28"/>
              </w:rPr>
            </w:pPr>
            <w:r w:rsidRPr="003C7792">
              <w:rPr>
                <w:b/>
                <w:color w:val="0000FF"/>
                <w:sz w:val="28"/>
                <w:szCs w:val="28"/>
              </w:rPr>
              <w:t xml:space="preserve">What criteria are currently used for a patient under investigation (PUI) for </w:t>
            </w:r>
            <w:r w:rsidR="00D20A16">
              <w:rPr>
                <w:b/>
                <w:color w:val="0000FF"/>
                <w:sz w:val="28"/>
                <w:szCs w:val="28"/>
              </w:rPr>
              <w:t>Ebola</w:t>
            </w:r>
            <w:r w:rsidR="001B1B84">
              <w:rPr>
                <w:b/>
                <w:color w:val="0000FF"/>
                <w:sz w:val="28"/>
                <w:szCs w:val="28"/>
              </w:rPr>
              <w:t xml:space="preserve"> Virus Disease (EVD)</w:t>
            </w:r>
            <w:r w:rsidRPr="003C7792">
              <w:rPr>
                <w:b/>
                <w:color w:val="0000FF"/>
                <w:sz w:val="28"/>
                <w:szCs w:val="28"/>
              </w:rPr>
              <w:t>?</w:t>
            </w:r>
          </w:p>
          <w:p w:rsidR="001B1B84" w:rsidRDefault="001B1B84" w:rsidP="00A5640C">
            <w:pPr>
              <w:pStyle w:val="NormalWeb"/>
              <w:spacing w:after="0" w:line="240" w:lineRule="auto"/>
              <w:ind w:left="106"/>
              <w:rPr>
                <w:color w:val="333333"/>
                <w:sz w:val="22"/>
                <w:szCs w:val="22"/>
              </w:rPr>
            </w:pPr>
            <w:r w:rsidRPr="001B1B84">
              <w:rPr>
                <w:b/>
                <w:color w:val="333333"/>
                <w:sz w:val="22"/>
                <w:szCs w:val="22"/>
              </w:rPr>
              <w:t>Clinical criteri</w:t>
            </w:r>
            <w:r>
              <w:rPr>
                <w:b/>
                <w:color w:val="333333"/>
                <w:sz w:val="22"/>
                <w:szCs w:val="22"/>
              </w:rPr>
              <w:t>a:</w:t>
            </w:r>
            <w:r w:rsidRPr="001B1B84">
              <w:rPr>
                <w:color w:val="333333"/>
                <w:sz w:val="22"/>
                <w:szCs w:val="22"/>
              </w:rPr>
              <w:t xml:space="preserve">  includes fever of</w:t>
            </w:r>
            <w:r w:rsidR="00D76FB3">
              <w:rPr>
                <w:color w:val="333333"/>
                <w:sz w:val="22"/>
                <w:szCs w:val="22"/>
              </w:rPr>
              <w:t xml:space="preserve"> </w:t>
            </w:r>
            <w:r w:rsidRPr="001B1B84">
              <w:rPr>
                <w:color w:val="333333"/>
                <w:sz w:val="22"/>
                <w:szCs w:val="22"/>
              </w:rPr>
              <w:t xml:space="preserve"> &gt;</w:t>
            </w:r>
            <w:r w:rsidR="00543880">
              <w:rPr>
                <w:color w:val="333333"/>
                <w:sz w:val="22"/>
                <w:szCs w:val="22"/>
              </w:rPr>
              <w:t>100.4</w:t>
            </w:r>
            <w:r w:rsidRPr="001B1B84">
              <w:rPr>
                <w:color w:val="333333"/>
                <w:sz w:val="22"/>
                <w:szCs w:val="22"/>
              </w:rPr>
              <w:t xml:space="preserve"> °F, and additional symptoms such as severe headache, muscle pain, vomiting, diarrhea, abdominal </w:t>
            </w:r>
            <w:r>
              <w:rPr>
                <w:color w:val="333333"/>
                <w:sz w:val="22"/>
                <w:szCs w:val="22"/>
              </w:rPr>
              <w:t>pain, or unexplained hemorrhage</w:t>
            </w:r>
            <w:r w:rsidR="00A5640C">
              <w:rPr>
                <w:color w:val="333333"/>
                <w:sz w:val="22"/>
                <w:szCs w:val="22"/>
              </w:rPr>
              <w:t xml:space="preserve">,   </w:t>
            </w:r>
            <w:r w:rsidRPr="001B1B84">
              <w:rPr>
                <w:b/>
                <w:color w:val="333333"/>
                <w:sz w:val="22"/>
                <w:szCs w:val="22"/>
                <w:u w:val="single"/>
              </w:rPr>
              <w:t>AND</w:t>
            </w:r>
          </w:p>
          <w:p w:rsidR="001B1B84" w:rsidRPr="00725901" w:rsidRDefault="001B1B84" w:rsidP="001B1B84">
            <w:pPr>
              <w:pStyle w:val="NormalWeb"/>
              <w:spacing w:after="0" w:line="240" w:lineRule="auto"/>
              <w:ind w:left="106"/>
              <w:rPr>
                <w:color w:val="333333"/>
                <w:sz w:val="22"/>
                <w:szCs w:val="22"/>
              </w:rPr>
            </w:pPr>
            <w:r w:rsidRPr="001B1B84">
              <w:rPr>
                <w:b/>
                <w:color w:val="333333"/>
                <w:sz w:val="22"/>
                <w:szCs w:val="22"/>
              </w:rPr>
              <w:t>Epidemiologic risk factors</w:t>
            </w:r>
            <w:r>
              <w:rPr>
                <w:b/>
                <w:color w:val="333333"/>
                <w:sz w:val="22"/>
                <w:szCs w:val="22"/>
              </w:rPr>
              <w:t>:</w:t>
            </w:r>
            <w:r w:rsidRPr="001B1B84">
              <w:rPr>
                <w:color w:val="333333"/>
                <w:sz w:val="22"/>
                <w:szCs w:val="22"/>
              </w:rPr>
              <w:t xml:space="preserve"> within the past 3 weeks before the onset of symptoms, such as contact with blood or other body fluids of a patient known to have or suspected to have EVD; residence in–or travel to–an area where EVD transmission is active; participation in funeral and burial rituals, or direct handling of bats, rodents, or primates from disease-endemic areas.</w:t>
            </w:r>
            <w:r w:rsidR="00A5640C">
              <w:rPr>
                <w:color w:val="333333"/>
                <w:sz w:val="22"/>
                <w:szCs w:val="22"/>
              </w:rPr>
              <w:t xml:space="preserve"> Refer to the </w:t>
            </w:r>
            <w:hyperlink r:id="rId10" w:history="1">
              <w:r w:rsidR="00A5640C" w:rsidRPr="00851EC0">
                <w:rPr>
                  <w:rStyle w:val="Hyperlink"/>
                  <w:color w:val="17365D" w:themeColor="text2" w:themeShade="BF"/>
                  <w:sz w:val="22"/>
                  <w:szCs w:val="22"/>
                </w:rPr>
                <w:t>CDC website</w:t>
              </w:r>
            </w:hyperlink>
            <w:r w:rsidR="00A5640C">
              <w:rPr>
                <w:color w:val="333333"/>
                <w:sz w:val="22"/>
                <w:szCs w:val="22"/>
              </w:rPr>
              <w:t xml:space="preserve"> for current </w:t>
            </w:r>
            <w:r w:rsidR="00E6035C">
              <w:rPr>
                <w:color w:val="333333"/>
                <w:sz w:val="22"/>
                <w:szCs w:val="22"/>
              </w:rPr>
              <w:t xml:space="preserve">travel-related </w:t>
            </w:r>
            <w:r w:rsidR="00A5640C">
              <w:rPr>
                <w:color w:val="333333"/>
                <w:sz w:val="22"/>
                <w:szCs w:val="22"/>
              </w:rPr>
              <w:t>inf</w:t>
            </w:r>
            <w:r w:rsidR="00A5640C" w:rsidRPr="00725901">
              <w:rPr>
                <w:color w:val="333333"/>
                <w:sz w:val="22"/>
                <w:szCs w:val="22"/>
              </w:rPr>
              <w:t>o</w:t>
            </w:r>
            <w:r w:rsidR="007B082F">
              <w:rPr>
                <w:color w:val="333333"/>
                <w:sz w:val="22"/>
                <w:szCs w:val="22"/>
              </w:rPr>
              <w:t>.</w:t>
            </w:r>
          </w:p>
          <w:p w:rsidR="001B1B84" w:rsidRPr="00322B69" w:rsidRDefault="001B1B84" w:rsidP="00962359">
            <w:pPr>
              <w:pStyle w:val="Default"/>
              <w:tabs>
                <w:tab w:val="left" w:pos="2265"/>
              </w:tabs>
              <w:ind w:left="106"/>
              <w:rPr>
                <w:b/>
                <w:bCs/>
                <w:color w:val="0000FF"/>
                <w:sz w:val="18"/>
                <w:szCs w:val="18"/>
              </w:rPr>
            </w:pPr>
          </w:p>
          <w:p w:rsidR="00962359" w:rsidRPr="003C7792" w:rsidRDefault="00962359" w:rsidP="00725901">
            <w:pPr>
              <w:pStyle w:val="Default"/>
              <w:tabs>
                <w:tab w:val="left" w:pos="2265"/>
              </w:tabs>
              <w:ind w:left="106"/>
              <w:rPr>
                <w:b/>
                <w:bCs/>
                <w:color w:val="0000FF"/>
                <w:sz w:val="28"/>
                <w:szCs w:val="28"/>
              </w:rPr>
            </w:pPr>
            <w:r w:rsidRPr="003C7792">
              <w:rPr>
                <w:b/>
                <w:bCs/>
                <w:color w:val="0000FF"/>
                <w:sz w:val="28"/>
                <w:szCs w:val="28"/>
              </w:rPr>
              <w:t xml:space="preserve">What types of specimens should I collect for </w:t>
            </w:r>
            <w:r w:rsidR="00D20A16">
              <w:rPr>
                <w:b/>
                <w:bCs/>
                <w:color w:val="0000FF"/>
                <w:sz w:val="28"/>
                <w:szCs w:val="28"/>
              </w:rPr>
              <w:t>Ebola</w:t>
            </w:r>
            <w:r w:rsidRPr="003C7792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1B1B84">
              <w:rPr>
                <w:b/>
                <w:bCs/>
                <w:color w:val="0000FF"/>
                <w:sz w:val="28"/>
                <w:szCs w:val="28"/>
              </w:rPr>
              <w:t>diagnostic</w:t>
            </w:r>
            <w:r w:rsidRPr="003C7792">
              <w:rPr>
                <w:b/>
                <w:bCs/>
                <w:color w:val="0000FF"/>
                <w:sz w:val="28"/>
                <w:szCs w:val="28"/>
              </w:rPr>
              <w:t xml:space="preserve"> testing</w:t>
            </w:r>
            <w:r w:rsidR="00CD765F">
              <w:rPr>
                <w:b/>
                <w:bCs/>
                <w:color w:val="0000FF"/>
                <w:sz w:val="28"/>
                <w:szCs w:val="28"/>
              </w:rPr>
              <w:t xml:space="preserve"> at the MA-PHL</w:t>
            </w:r>
            <w:r w:rsidRPr="003C7792">
              <w:rPr>
                <w:b/>
                <w:bCs/>
                <w:color w:val="0000FF"/>
                <w:sz w:val="28"/>
                <w:szCs w:val="28"/>
              </w:rPr>
              <w:t xml:space="preserve">? </w:t>
            </w:r>
          </w:p>
          <w:p w:rsidR="00E6035C" w:rsidRDefault="001B1B84" w:rsidP="00981745">
            <w:pPr>
              <w:pStyle w:val="PlainText"/>
              <w:ind w:left="101"/>
              <w:rPr>
                <w:rFonts w:ascii="Times New Roman" w:hAnsi="Times New Roman"/>
              </w:rPr>
            </w:pPr>
            <w:r w:rsidRPr="001B1B84">
              <w:rPr>
                <w:rFonts w:ascii="Times New Roman" w:hAnsi="Times New Roman"/>
                <w:b/>
              </w:rPr>
              <w:t xml:space="preserve">Specimen type(s) approved for FDA </w:t>
            </w:r>
            <w:r w:rsidR="00A73D61">
              <w:rPr>
                <w:rFonts w:ascii="Times New Roman" w:hAnsi="Times New Roman"/>
                <w:b/>
              </w:rPr>
              <w:t>Experimental Use Approval (</w:t>
            </w:r>
            <w:r w:rsidRPr="001B1B84">
              <w:rPr>
                <w:rFonts w:ascii="Times New Roman" w:hAnsi="Times New Roman"/>
                <w:b/>
              </w:rPr>
              <w:t>EUA</w:t>
            </w:r>
            <w:r w:rsidR="00A73D61">
              <w:rPr>
                <w:rFonts w:ascii="Times New Roman" w:hAnsi="Times New Roman"/>
                <w:b/>
              </w:rPr>
              <w:t>)</w:t>
            </w:r>
            <w:r w:rsidRPr="001B1B84">
              <w:rPr>
                <w:rFonts w:ascii="Times New Roman" w:hAnsi="Times New Roman"/>
                <w:b/>
              </w:rPr>
              <w:t xml:space="preserve"> Ebola PCR:</w:t>
            </w:r>
            <w:r w:rsidRPr="001B1B84">
              <w:rPr>
                <w:rFonts w:ascii="Times New Roman" w:hAnsi="Times New Roman"/>
              </w:rPr>
              <w:t xml:space="preserve">  </w:t>
            </w:r>
            <w:r w:rsidR="009135FE">
              <w:rPr>
                <w:rFonts w:ascii="Times New Roman" w:hAnsi="Times New Roman"/>
              </w:rPr>
              <w:t>Draw two</w:t>
            </w:r>
            <w:r w:rsidR="00ED3C55">
              <w:rPr>
                <w:rFonts w:ascii="Times New Roman" w:hAnsi="Times New Roman"/>
              </w:rPr>
              <w:t xml:space="preserve"> </w:t>
            </w:r>
            <w:r w:rsidR="006645BB">
              <w:rPr>
                <w:rFonts w:ascii="Times New Roman" w:hAnsi="Times New Roman"/>
              </w:rPr>
              <w:t xml:space="preserve">plastic </w:t>
            </w:r>
            <w:r w:rsidR="00ED3C55">
              <w:rPr>
                <w:rFonts w:ascii="Times New Roman" w:hAnsi="Times New Roman"/>
              </w:rPr>
              <w:t>tubes of w</w:t>
            </w:r>
            <w:r w:rsidRPr="001B1B84">
              <w:rPr>
                <w:rFonts w:ascii="Times New Roman" w:hAnsi="Times New Roman"/>
              </w:rPr>
              <w:t xml:space="preserve">hole blood (≥ 4mL) preserved with EDTA (purple top) or plasma (≥ 4mL) preserved with EDTA (white top). </w:t>
            </w:r>
            <w:r w:rsidR="00E6035C">
              <w:rPr>
                <w:rFonts w:ascii="Times New Roman" w:hAnsi="Times New Roman"/>
              </w:rPr>
              <w:t xml:space="preserve"> Triple package at </w:t>
            </w:r>
            <w:r w:rsidR="00E6035C" w:rsidRPr="001B1B84">
              <w:rPr>
                <w:rFonts w:ascii="Times New Roman" w:hAnsi="Times New Roman"/>
              </w:rPr>
              <w:t>4°C</w:t>
            </w:r>
            <w:r w:rsidR="00E6035C">
              <w:rPr>
                <w:rFonts w:ascii="Times New Roman" w:hAnsi="Times New Roman"/>
              </w:rPr>
              <w:t xml:space="preserve"> for courier pickup by </w:t>
            </w:r>
            <w:r w:rsidR="00A260FF">
              <w:rPr>
                <w:rFonts w:ascii="Times New Roman" w:hAnsi="Times New Roman"/>
              </w:rPr>
              <w:t>MA</w:t>
            </w:r>
            <w:r w:rsidR="002401F6">
              <w:rPr>
                <w:rFonts w:ascii="Times New Roman" w:hAnsi="Times New Roman"/>
              </w:rPr>
              <w:t>-PHL</w:t>
            </w:r>
            <w:r w:rsidR="00A71AFA">
              <w:rPr>
                <w:rFonts w:ascii="Times New Roman" w:hAnsi="Times New Roman"/>
              </w:rPr>
              <w:t>.</w:t>
            </w:r>
          </w:p>
          <w:p w:rsidR="00E6035C" w:rsidRDefault="001B1B84" w:rsidP="00E6035C">
            <w:pPr>
              <w:pStyle w:val="PlainText"/>
              <w:ind w:left="101"/>
              <w:rPr>
                <w:rFonts w:ascii="Times New Roman" w:hAnsi="Times New Roman"/>
              </w:rPr>
            </w:pPr>
            <w:r w:rsidRPr="001B1B84">
              <w:rPr>
                <w:rFonts w:ascii="Times New Roman" w:hAnsi="Times New Roman"/>
                <w:b/>
              </w:rPr>
              <w:t>Specimen type(s) for Ebola serology:</w:t>
            </w:r>
            <w:r w:rsidRPr="001B1B84">
              <w:rPr>
                <w:rFonts w:ascii="Times New Roman" w:hAnsi="Times New Roman"/>
              </w:rPr>
              <w:t xml:space="preserve">  </w:t>
            </w:r>
            <w:r w:rsidR="00ED3C55" w:rsidRPr="001B1B84">
              <w:rPr>
                <w:rFonts w:ascii="Times New Roman" w:hAnsi="Times New Roman"/>
              </w:rPr>
              <w:t>Specimens other than blood may be submitted following a CDC consult (770-488-7100).</w:t>
            </w:r>
            <w:r w:rsidR="00ED3C55">
              <w:rPr>
                <w:rFonts w:ascii="Times New Roman" w:hAnsi="Times New Roman"/>
              </w:rPr>
              <w:t xml:space="preserve">  </w:t>
            </w:r>
            <w:r w:rsidRPr="00F51877">
              <w:rPr>
                <w:rFonts w:ascii="Times New Roman" w:hAnsi="Times New Roman"/>
              </w:rPr>
              <w:t xml:space="preserve">Do not </w:t>
            </w:r>
            <w:r w:rsidR="004E7878" w:rsidRPr="00F51877">
              <w:rPr>
                <w:rFonts w:ascii="Times New Roman" w:hAnsi="Times New Roman"/>
              </w:rPr>
              <w:t xml:space="preserve">centrifuge, open collection tubes, aliquot </w:t>
            </w:r>
            <w:r w:rsidR="00761F34" w:rsidRPr="00F51877">
              <w:rPr>
                <w:rFonts w:ascii="Times New Roman" w:hAnsi="Times New Roman"/>
              </w:rPr>
              <w:t>specimens</w:t>
            </w:r>
            <w:r w:rsidR="006804DC" w:rsidRPr="00F51877">
              <w:rPr>
                <w:rFonts w:ascii="Times New Roman" w:hAnsi="Times New Roman"/>
              </w:rPr>
              <w:t>,</w:t>
            </w:r>
            <w:r w:rsidR="00761F34" w:rsidRPr="00F51877">
              <w:rPr>
                <w:rFonts w:ascii="Times New Roman" w:hAnsi="Times New Roman"/>
              </w:rPr>
              <w:t xml:space="preserve"> </w:t>
            </w:r>
            <w:r w:rsidR="004E7878" w:rsidRPr="00F51877">
              <w:rPr>
                <w:rFonts w:ascii="Times New Roman" w:hAnsi="Times New Roman"/>
              </w:rPr>
              <w:t xml:space="preserve">or </w:t>
            </w:r>
            <w:r w:rsidRPr="00F51877">
              <w:rPr>
                <w:rFonts w:ascii="Times New Roman" w:hAnsi="Times New Roman"/>
              </w:rPr>
              <w:t>submit specimens in glass containers or heparin (</w:t>
            </w:r>
            <w:r w:rsidR="00761F34" w:rsidRPr="00F51877">
              <w:rPr>
                <w:rFonts w:ascii="Times New Roman" w:hAnsi="Times New Roman"/>
              </w:rPr>
              <w:t>green)</w:t>
            </w:r>
            <w:r w:rsidRPr="00F51877">
              <w:rPr>
                <w:rFonts w:ascii="Times New Roman" w:hAnsi="Times New Roman"/>
              </w:rPr>
              <w:t xml:space="preserve"> tubes.</w:t>
            </w:r>
            <w:r w:rsidRPr="001B1B84">
              <w:rPr>
                <w:rFonts w:ascii="Times New Roman" w:hAnsi="Times New Roman"/>
              </w:rPr>
              <w:t xml:space="preserve"> </w:t>
            </w:r>
            <w:r w:rsidR="00E6035C">
              <w:rPr>
                <w:rFonts w:ascii="Times New Roman" w:hAnsi="Times New Roman"/>
              </w:rPr>
              <w:t xml:space="preserve">Triple package at </w:t>
            </w:r>
            <w:r w:rsidR="00E6035C" w:rsidRPr="001B1B84">
              <w:rPr>
                <w:rFonts w:ascii="Times New Roman" w:hAnsi="Times New Roman"/>
              </w:rPr>
              <w:t>4°C</w:t>
            </w:r>
            <w:r w:rsidR="00E6035C">
              <w:rPr>
                <w:rFonts w:ascii="Times New Roman" w:hAnsi="Times New Roman"/>
              </w:rPr>
              <w:t xml:space="preserve"> for courier pickup by MA-PHL.</w:t>
            </w:r>
          </w:p>
          <w:p w:rsidR="00981745" w:rsidRPr="00981745" w:rsidRDefault="00981745" w:rsidP="00E6035C">
            <w:pPr>
              <w:pStyle w:val="PlainText"/>
              <w:rPr>
                <w:rFonts w:ascii="Times New Roman" w:hAnsi="Times New Roman"/>
                <w:sz w:val="18"/>
                <w:szCs w:val="18"/>
              </w:rPr>
            </w:pPr>
          </w:p>
          <w:p w:rsidR="00CD765F" w:rsidRPr="00981745" w:rsidRDefault="00CD765F" w:rsidP="00981745">
            <w:pPr>
              <w:pStyle w:val="PlainText"/>
              <w:ind w:left="101"/>
              <w:rPr>
                <w:rFonts w:ascii="Times New Roman" w:hAnsi="Times New Roman"/>
              </w:rPr>
            </w:pPr>
            <w:r w:rsidRPr="00981745"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</w:rPr>
              <w:t xml:space="preserve">What is the test turnaround time for the MA-PHL Ebola PCR test?  </w:t>
            </w:r>
          </w:p>
          <w:p w:rsidR="00CD765F" w:rsidRPr="00851EC0" w:rsidRDefault="00CD765F" w:rsidP="00981745">
            <w:pPr>
              <w:pStyle w:val="Default"/>
              <w:ind w:left="106" w:right="-3"/>
              <w:rPr>
                <w:bCs/>
                <w:color w:val="auto"/>
                <w:sz w:val="22"/>
                <w:szCs w:val="22"/>
              </w:rPr>
            </w:pPr>
            <w:r w:rsidRPr="00851EC0">
              <w:rPr>
                <w:bCs/>
                <w:color w:val="auto"/>
                <w:sz w:val="22"/>
                <w:szCs w:val="22"/>
              </w:rPr>
              <w:t xml:space="preserve">A presumptive PCR result indicating the presence or absence of Ebola Zaire RNA will be </w:t>
            </w:r>
            <w:r w:rsidR="00F51877" w:rsidRPr="00851EC0">
              <w:rPr>
                <w:bCs/>
                <w:color w:val="auto"/>
                <w:sz w:val="22"/>
                <w:szCs w:val="22"/>
              </w:rPr>
              <w:t xml:space="preserve">reported </w:t>
            </w:r>
            <w:r w:rsidR="00E6035C">
              <w:rPr>
                <w:bCs/>
                <w:color w:val="auto"/>
                <w:sz w:val="22"/>
                <w:szCs w:val="22"/>
              </w:rPr>
              <w:t xml:space="preserve">in &lt; 4 </w:t>
            </w:r>
            <w:r w:rsidR="006804DC" w:rsidRPr="00851EC0">
              <w:rPr>
                <w:bCs/>
                <w:color w:val="auto"/>
                <w:sz w:val="22"/>
                <w:szCs w:val="22"/>
              </w:rPr>
              <w:t>hours</w:t>
            </w:r>
            <w:r w:rsidRPr="00851EC0">
              <w:rPr>
                <w:bCs/>
                <w:color w:val="auto"/>
                <w:sz w:val="22"/>
                <w:szCs w:val="22"/>
              </w:rPr>
              <w:t xml:space="preserve"> from specimen receipt.  A duplicate sample </w:t>
            </w:r>
            <w:r w:rsidR="00F51877" w:rsidRPr="00851EC0">
              <w:rPr>
                <w:bCs/>
                <w:color w:val="auto"/>
                <w:sz w:val="22"/>
                <w:szCs w:val="22"/>
              </w:rPr>
              <w:t xml:space="preserve">may </w:t>
            </w:r>
            <w:r w:rsidRPr="00851EC0">
              <w:rPr>
                <w:bCs/>
                <w:color w:val="auto"/>
                <w:sz w:val="22"/>
                <w:szCs w:val="22"/>
              </w:rPr>
              <w:t>be simultaneously shipped</w:t>
            </w:r>
            <w:r w:rsidR="00F168DF" w:rsidRPr="00851EC0">
              <w:rPr>
                <w:bCs/>
                <w:color w:val="auto"/>
                <w:sz w:val="22"/>
                <w:szCs w:val="22"/>
              </w:rPr>
              <w:t xml:space="preserve"> to</w:t>
            </w:r>
            <w:r w:rsidRPr="00851EC0">
              <w:rPr>
                <w:bCs/>
                <w:color w:val="auto"/>
                <w:sz w:val="22"/>
                <w:szCs w:val="22"/>
              </w:rPr>
              <w:t xml:space="preserve"> the CDC for </w:t>
            </w:r>
            <w:r w:rsidR="00A20CAC" w:rsidRPr="00851EC0">
              <w:rPr>
                <w:bCs/>
                <w:color w:val="auto"/>
                <w:sz w:val="22"/>
                <w:szCs w:val="22"/>
              </w:rPr>
              <w:t>other comprehensive testing.  CDC typically report</w:t>
            </w:r>
            <w:r w:rsidR="00F51877" w:rsidRPr="00851EC0">
              <w:rPr>
                <w:bCs/>
                <w:color w:val="auto"/>
                <w:sz w:val="22"/>
                <w:szCs w:val="22"/>
              </w:rPr>
              <w:t>s</w:t>
            </w:r>
            <w:r w:rsidR="00A20CAC" w:rsidRPr="00851EC0">
              <w:rPr>
                <w:bCs/>
                <w:color w:val="auto"/>
                <w:sz w:val="22"/>
                <w:szCs w:val="22"/>
              </w:rPr>
              <w:t xml:space="preserve"> results within 24 </w:t>
            </w:r>
            <w:r w:rsidR="006804DC" w:rsidRPr="00851EC0">
              <w:rPr>
                <w:bCs/>
                <w:color w:val="auto"/>
                <w:sz w:val="22"/>
                <w:szCs w:val="22"/>
              </w:rPr>
              <w:t>hours</w:t>
            </w:r>
            <w:r w:rsidR="00E6035C">
              <w:rPr>
                <w:bCs/>
                <w:color w:val="auto"/>
                <w:sz w:val="22"/>
                <w:szCs w:val="22"/>
              </w:rPr>
              <w:t xml:space="preserve"> of receipt</w:t>
            </w:r>
            <w:r w:rsidR="00A20CAC" w:rsidRPr="00851EC0">
              <w:rPr>
                <w:bCs/>
                <w:color w:val="auto"/>
                <w:sz w:val="22"/>
                <w:szCs w:val="22"/>
              </w:rPr>
              <w:t>.</w:t>
            </w:r>
          </w:p>
          <w:p w:rsidR="00CD765F" w:rsidRPr="002722C9" w:rsidRDefault="00CD765F" w:rsidP="00725901">
            <w:pPr>
              <w:pStyle w:val="Default"/>
              <w:ind w:left="106" w:right="-3"/>
              <w:rPr>
                <w:bCs/>
                <w:color w:val="auto"/>
                <w:sz w:val="18"/>
                <w:szCs w:val="18"/>
              </w:rPr>
            </w:pPr>
          </w:p>
          <w:p w:rsidR="00962359" w:rsidRPr="003C7792" w:rsidRDefault="00962359" w:rsidP="00725901">
            <w:pPr>
              <w:pStyle w:val="Default"/>
              <w:ind w:left="106" w:right="-3"/>
              <w:rPr>
                <w:color w:val="0000FF"/>
                <w:sz w:val="28"/>
                <w:szCs w:val="28"/>
              </w:rPr>
            </w:pPr>
            <w:r w:rsidRPr="003C7792">
              <w:rPr>
                <w:b/>
                <w:bCs/>
                <w:color w:val="0000FF"/>
                <w:sz w:val="28"/>
                <w:szCs w:val="28"/>
              </w:rPr>
              <w:t>What specimen submission form</w:t>
            </w:r>
            <w:r w:rsidR="001B1B84">
              <w:rPr>
                <w:b/>
                <w:bCs/>
                <w:color w:val="0000FF"/>
                <w:sz w:val="28"/>
                <w:szCs w:val="28"/>
              </w:rPr>
              <w:t>s</w:t>
            </w:r>
            <w:r w:rsidRPr="003C7792">
              <w:rPr>
                <w:b/>
                <w:bCs/>
                <w:color w:val="0000FF"/>
                <w:sz w:val="28"/>
                <w:szCs w:val="28"/>
              </w:rPr>
              <w:t xml:space="preserve"> should I use to submit a specimen</w:t>
            </w:r>
            <w:r>
              <w:rPr>
                <w:b/>
                <w:bCs/>
                <w:color w:val="0000FF"/>
                <w:sz w:val="28"/>
                <w:szCs w:val="28"/>
              </w:rPr>
              <w:t xml:space="preserve"> to the </w:t>
            </w:r>
            <w:r w:rsidR="00CD765F">
              <w:rPr>
                <w:b/>
                <w:bCs/>
                <w:color w:val="0000FF"/>
                <w:sz w:val="28"/>
                <w:szCs w:val="28"/>
              </w:rPr>
              <w:t>MA-PHL</w:t>
            </w:r>
            <w:r w:rsidRPr="003C7792">
              <w:rPr>
                <w:b/>
                <w:bCs/>
                <w:color w:val="0000FF"/>
                <w:sz w:val="28"/>
                <w:szCs w:val="28"/>
              </w:rPr>
              <w:t xml:space="preserve">? </w:t>
            </w:r>
          </w:p>
          <w:p w:rsidR="001B1B84" w:rsidRPr="007E4370" w:rsidRDefault="001B1B84" w:rsidP="00A5640C">
            <w:pPr>
              <w:pStyle w:val="PlainText"/>
              <w:ind w:left="106"/>
            </w:pPr>
            <w:r w:rsidRPr="00A5640C">
              <w:rPr>
                <w:rFonts w:ascii="Times New Roman" w:hAnsi="Times New Roman"/>
              </w:rPr>
              <w:t>Standard labeling should be applied for each specimen (i</w:t>
            </w:r>
            <w:r w:rsidR="00195142">
              <w:rPr>
                <w:rFonts w:ascii="Times New Roman" w:hAnsi="Times New Roman"/>
              </w:rPr>
              <w:t>.</w:t>
            </w:r>
            <w:r w:rsidRPr="00A5640C">
              <w:rPr>
                <w:rFonts w:ascii="Times New Roman" w:hAnsi="Times New Roman"/>
              </w:rPr>
              <w:t>e</w:t>
            </w:r>
            <w:r w:rsidR="00195142">
              <w:rPr>
                <w:rFonts w:ascii="Times New Roman" w:hAnsi="Times New Roman"/>
              </w:rPr>
              <w:t>.</w:t>
            </w:r>
            <w:r w:rsidRPr="00A5640C">
              <w:rPr>
                <w:rFonts w:ascii="Times New Roman" w:hAnsi="Times New Roman"/>
              </w:rPr>
              <w:t xml:space="preserve">, two identifiers). </w:t>
            </w:r>
            <w:r w:rsidR="009135FE">
              <w:rPr>
                <w:rFonts w:ascii="Times New Roman" w:hAnsi="Times New Roman"/>
              </w:rPr>
              <w:t>Use the</w:t>
            </w:r>
            <w:r w:rsidR="00CD765F">
              <w:rPr>
                <w:rFonts w:ascii="Times New Roman" w:hAnsi="Times New Roman"/>
              </w:rPr>
              <w:t xml:space="preserve"> </w:t>
            </w:r>
            <w:hyperlink r:id="rId11" w:history="1">
              <w:r w:rsidR="00CD765F" w:rsidRPr="00851EC0">
                <w:rPr>
                  <w:rStyle w:val="Hyperlink"/>
                  <w:rFonts w:ascii="Times New Roman" w:hAnsi="Times New Roman"/>
                  <w:color w:val="000000"/>
                </w:rPr>
                <w:t>MA-PHL</w:t>
              </w:r>
              <w:r w:rsidRPr="00851EC0">
                <w:rPr>
                  <w:rStyle w:val="Hyperlink"/>
                  <w:rFonts w:ascii="Times New Roman" w:hAnsi="Times New Roman"/>
                  <w:color w:val="000000"/>
                </w:rPr>
                <w:t xml:space="preserve"> specimen submission form</w:t>
              </w:r>
            </w:hyperlink>
            <w:r w:rsidR="00A5640C" w:rsidRPr="00A5640C">
              <w:rPr>
                <w:rFonts w:ascii="Times New Roman" w:hAnsi="Times New Roman"/>
              </w:rPr>
              <w:t xml:space="preserve"> </w:t>
            </w:r>
            <w:r w:rsidR="009135FE">
              <w:rPr>
                <w:rFonts w:ascii="Times New Roman" w:hAnsi="Times New Roman"/>
              </w:rPr>
              <w:t xml:space="preserve">and </w:t>
            </w:r>
            <w:r w:rsidR="007E4370">
              <w:rPr>
                <w:rFonts w:ascii="Times New Roman" w:hAnsi="Times New Roman"/>
              </w:rPr>
              <w:t xml:space="preserve">fill in </w:t>
            </w:r>
            <w:r w:rsidR="009135FE">
              <w:rPr>
                <w:rFonts w:ascii="Times New Roman" w:hAnsi="Times New Roman"/>
              </w:rPr>
              <w:t>“Ebola PCR”</w:t>
            </w:r>
            <w:r w:rsidR="007E4370">
              <w:rPr>
                <w:rFonts w:ascii="Times New Roman" w:hAnsi="Times New Roman"/>
              </w:rPr>
              <w:t xml:space="preserve"> as the test request</w:t>
            </w:r>
            <w:r w:rsidR="00CD765F">
              <w:rPr>
                <w:rFonts w:ascii="Times New Roman" w:hAnsi="Times New Roman"/>
              </w:rPr>
              <w:t xml:space="preserve">.  </w:t>
            </w:r>
          </w:p>
          <w:p w:rsidR="00962359" w:rsidRPr="00136CBE" w:rsidRDefault="00962359" w:rsidP="00AB1B2A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  <w:p w:rsidR="009135FE" w:rsidRPr="00A5640C" w:rsidRDefault="00CD765F" w:rsidP="009135FE">
            <w:pPr>
              <w:pStyle w:val="Default"/>
              <w:ind w:left="106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Should routine testing of speci</w:t>
            </w:r>
            <w:r w:rsidR="00DD486D">
              <w:rPr>
                <w:b/>
                <w:bCs/>
                <w:color w:val="0000FF"/>
                <w:sz w:val="28"/>
                <w:szCs w:val="28"/>
              </w:rPr>
              <w:t>mens be disrupted or discontinu</w:t>
            </w:r>
            <w:r>
              <w:rPr>
                <w:b/>
                <w:bCs/>
                <w:color w:val="0000FF"/>
                <w:sz w:val="28"/>
                <w:szCs w:val="28"/>
              </w:rPr>
              <w:t>ed</w:t>
            </w:r>
            <w:r w:rsidR="009135FE" w:rsidRPr="00A5640C">
              <w:rPr>
                <w:b/>
                <w:bCs/>
                <w:color w:val="0000FF"/>
                <w:sz w:val="28"/>
                <w:szCs w:val="28"/>
              </w:rPr>
              <w:t>?</w:t>
            </w:r>
          </w:p>
          <w:p w:rsidR="00DD486D" w:rsidRDefault="00CD765F" w:rsidP="00DD486D">
            <w:pPr>
              <w:pStyle w:val="Default"/>
              <w:ind w:left="106"/>
              <w:rPr>
                <w:bCs/>
                <w:color w:val="0000FF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No.  </w:t>
            </w:r>
            <w:r w:rsidR="006804DC">
              <w:rPr>
                <w:bCs/>
                <w:color w:val="auto"/>
                <w:sz w:val="22"/>
                <w:szCs w:val="22"/>
              </w:rPr>
              <w:t xml:space="preserve">Consistent </w:t>
            </w:r>
            <w:r w:rsidRPr="00E34D49">
              <w:rPr>
                <w:bCs/>
                <w:color w:val="auto"/>
                <w:sz w:val="22"/>
                <w:szCs w:val="22"/>
              </w:rPr>
              <w:t>with CDC guidelines,</w:t>
            </w:r>
            <w:r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DPH recommends that clinical facilities continue to provide routine testing of patient samples</w:t>
            </w:r>
            <w:r w:rsidR="002722C9">
              <w:rPr>
                <w:bCs/>
                <w:color w:val="auto"/>
                <w:sz w:val="22"/>
                <w:szCs w:val="22"/>
              </w:rPr>
              <w:t xml:space="preserve"> as long as strict adherence to proper PPE usage is followed. Following MA-PHL</w:t>
            </w:r>
            <w:r w:rsidR="00E83CEF">
              <w:rPr>
                <w:bCs/>
                <w:color w:val="auto"/>
                <w:sz w:val="22"/>
                <w:szCs w:val="22"/>
              </w:rPr>
              <w:t>’s</w:t>
            </w:r>
            <w:r w:rsidR="002722C9">
              <w:rPr>
                <w:bCs/>
                <w:color w:val="auto"/>
                <w:sz w:val="22"/>
                <w:szCs w:val="22"/>
              </w:rPr>
              <w:t xml:space="preserve"> presumptive Ebola results, CDC and state health officials will consult with the healthcare personnel to answer specimen handling /testing specific to the </w:t>
            </w:r>
            <w:r w:rsidR="006804DC">
              <w:rPr>
                <w:bCs/>
                <w:color w:val="auto"/>
                <w:sz w:val="22"/>
                <w:szCs w:val="22"/>
              </w:rPr>
              <w:t xml:space="preserve">patient’s </w:t>
            </w:r>
            <w:r w:rsidR="002722C9">
              <w:rPr>
                <w:bCs/>
                <w:color w:val="auto"/>
                <w:sz w:val="22"/>
                <w:szCs w:val="22"/>
              </w:rPr>
              <w:t>needs and facility capabilities.</w:t>
            </w:r>
            <w:r w:rsidR="00DD486D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9135FE" w:rsidRPr="009135FE">
              <w:rPr>
                <w:bCs/>
                <w:color w:val="auto"/>
                <w:sz w:val="22"/>
                <w:szCs w:val="22"/>
              </w:rPr>
              <w:t xml:space="preserve">The </w:t>
            </w:r>
            <w:hyperlink r:id="rId12" w:history="1">
              <w:r w:rsidR="009135FE" w:rsidRPr="007B082F">
                <w:rPr>
                  <w:rStyle w:val="Hyperlink"/>
                  <w:bCs/>
                  <w:sz w:val="22"/>
                  <w:szCs w:val="22"/>
                </w:rPr>
                <w:t>CDC website</w:t>
              </w:r>
            </w:hyperlink>
            <w:r w:rsidR="009135FE" w:rsidRPr="009135FE">
              <w:rPr>
                <w:bCs/>
                <w:color w:val="auto"/>
                <w:sz w:val="22"/>
                <w:szCs w:val="22"/>
              </w:rPr>
              <w:t xml:space="preserve"> has detailed information on how US clinical laboratories can safely manage routine testing of specimens from </w:t>
            </w:r>
            <w:r w:rsidR="00A260FF">
              <w:rPr>
                <w:bCs/>
                <w:color w:val="auto"/>
                <w:sz w:val="22"/>
                <w:szCs w:val="22"/>
              </w:rPr>
              <w:t>patient</w:t>
            </w:r>
            <w:r w:rsidR="009135FE">
              <w:rPr>
                <w:bCs/>
                <w:color w:val="auto"/>
                <w:sz w:val="22"/>
                <w:szCs w:val="22"/>
              </w:rPr>
              <w:t xml:space="preserve"> under investigation (P</w:t>
            </w:r>
            <w:r w:rsidR="00E34D49">
              <w:rPr>
                <w:bCs/>
                <w:color w:val="auto"/>
                <w:sz w:val="22"/>
                <w:szCs w:val="22"/>
              </w:rPr>
              <w:t xml:space="preserve">UI) for Ebola virus disease.  </w:t>
            </w:r>
          </w:p>
          <w:p w:rsidR="009135FE" w:rsidRPr="005932A2" w:rsidRDefault="009135FE" w:rsidP="00DD486D">
            <w:pPr>
              <w:pStyle w:val="Default"/>
              <w:rPr>
                <w:bCs/>
                <w:color w:val="0000FF"/>
                <w:sz w:val="18"/>
                <w:szCs w:val="18"/>
              </w:rPr>
            </w:pPr>
          </w:p>
          <w:p w:rsidR="00A5640C" w:rsidRPr="00A5640C" w:rsidRDefault="00A5640C" w:rsidP="00E34D49">
            <w:pPr>
              <w:pStyle w:val="Default"/>
              <w:ind w:left="136"/>
              <w:rPr>
                <w:b/>
                <w:bCs/>
                <w:color w:val="0000FF"/>
                <w:sz w:val="28"/>
                <w:szCs w:val="28"/>
              </w:rPr>
            </w:pPr>
            <w:r w:rsidRPr="00A5640C">
              <w:rPr>
                <w:b/>
                <w:bCs/>
                <w:color w:val="0000FF"/>
                <w:sz w:val="28"/>
                <w:szCs w:val="28"/>
              </w:rPr>
              <w:t>How should the sample be packaged</w:t>
            </w:r>
            <w:r w:rsidR="00DD486D">
              <w:rPr>
                <w:b/>
                <w:bCs/>
                <w:color w:val="0000FF"/>
                <w:sz w:val="28"/>
                <w:szCs w:val="28"/>
              </w:rPr>
              <w:t xml:space="preserve"> for courier to the MA-PHL</w:t>
            </w:r>
            <w:r w:rsidRPr="00A5640C">
              <w:rPr>
                <w:b/>
                <w:bCs/>
                <w:color w:val="0000FF"/>
                <w:sz w:val="28"/>
                <w:szCs w:val="28"/>
              </w:rPr>
              <w:t>?</w:t>
            </w:r>
          </w:p>
          <w:p w:rsidR="002B053C" w:rsidRDefault="002B053C" w:rsidP="002B053C">
            <w:pPr>
              <w:pStyle w:val="PlainText"/>
              <w:ind w:left="106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color w:val="FF0000"/>
                <w:lang w:val="en"/>
              </w:rPr>
              <w:t xml:space="preserve">Specimens from a suspect patient must be packaged as a Category </w:t>
            </w:r>
            <w:proofErr w:type="gramStart"/>
            <w:r>
              <w:rPr>
                <w:rFonts w:ascii="Times New Roman" w:hAnsi="Times New Roman"/>
                <w:color w:val="FF0000"/>
                <w:lang w:val="en"/>
              </w:rPr>
              <w:t>A</w:t>
            </w:r>
            <w:proofErr w:type="gramEnd"/>
            <w:r>
              <w:rPr>
                <w:rFonts w:ascii="Times New Roman" w:hAnsi="Times New Roman"/>
                <w:color w:val="FF0000"/>
                <w:lang w:val="en"/>
              </w:rPr>
              <w:t xml:space="preserve"> agent.  </w:t>
            </w:r>
            <w:r>
              <w:rPr>
                <w:rFonts w:ascii="Times New Roman" w:hAnsi="Times New Roman"/>
                <w:lang w:val="en"/>
              </w:rPr>
              <w:t xml:space="preserve">The submitter must contact MA-PHL staff directly for a packaging consultation (24/7) at 617-590-6390 prior to submission of samples for Ebola diagnostic testing. Specimens collected for EVD testing should be packaged and shipped without attempting to open collection tubes or aliquot specimens.  </w:t>
            </w:r>
            <w:hyperlink r:id="rId13" w:history="1">
              <w:r>
                <w:rPr>
                  <w:rStyle w:val="Hyperlink"/>
                  <w:lang w:val="en"/>
                </w:rPr>
                <w:t>Click here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"/>
              </w:rPr>
              <w:t xml:space="preserve">for details for packaging.  </w:t>
            </w:r>
            <w:r>
              <w:rPr>
                <w:rFonts w:ascii="Times New Roman" w:hAnsi="Times New Roman"/>
                <w:b/>
                <w:bCs/>
                <w:lang w:val="en"/>
              </w:rPr>
              <w:t>Note:</w:t>
            </w:r>
            <w:r>
              <w:rPr>
                <w:rFonts w:ascii="Times New Roman" w:hAnsi="Times New Roman"/>
                <w:lang w:val="en"/>
              </w:rPr>
              <w:t xml:space="preserve"> clinical labs should maintain the capability for at least one laboratory staff member to be certified to package and ship Category </w:t>
            </w:r>
            <w:proofErr w:type="gramStart"/>
            <w:r>
              <w:rPr>
                <w:rFonts w:ascii="Times New Roman" w:hAnsi="Times New Roman"/>
                <w:lang w:val="en"/>
              </w:rPr>
              <w:t>A</w:t>
            </w:r>
            <w:proofErr w:type="gramEnd"/>
            <w:r>
              <w:rPr>
                <w:rFonts w:ascii="Times New Roman" w:hAnsi="Times New Roman"/>
                <w:lang w:val="en"/>
              </w:rPr>
              <w:t xml:space="preserve"> agents. </w:t>
            </w:r>
          </w:p>
          <w:p w:rsidR="008F720E" w:rsidRPr="00903C2D" w:rsidRDefault="008F720E" w:rsidP="002B053C">
            <w:pPr>
              <w:pStyle w:val="PlainText"/>
              <w:rPr>
                <w:rFonts w:ascii="Times New Roman" w:hAnsi="Times New Roman"/>
                <w:color w:val="FF0000"/>
                <w:szCs w:val="22"/>
                <w:lang w:val="en"/>
              </w:rPr>
            </w:pPr>
          </w:p>
        </w:tc>
      </w:tr>
    </w:tbl>
    <w:p w:rsidR="00C31436" w:rsidRDefault="00C31436" w:rsidP="001F1CCC">
      <w:pPr>
        <w:pStyle w:val="CM4"/>
      </w:pPr>
    </w:p>
    <w:sectPr w:rsidR="00C31436" w:rsidSect="00903C2D">
      <w:type w:val="continuous"/>
      <w:pgSz w:w="12240" w:h="15840" w:code="1"/>
      <w:pgMar w:top="435" w:right="400" w:bottom="180" w:left="400" w:header="720" w:footer="2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DB" w:rsidRDefault="007845DB">
      <w:r>
        <w:separator/>
      </w:r>
    </w:p>
  </w:endnote>
  <w:endnote w:type="continuationSeparator" w:id="0">
    <w:p w:rsidR="007845DB" w:rsidRDefault="0078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DB" w:rsidRDefault="007845DB">
      <w:r>
        <w:separator/>
      </w:r>
    </w:p>
  </w:footnote>
  <w:footnote w:type="continuationSeparator" w:id="0">
    <w:p w:rsidR="007845DB" w:rsidRDefault="0078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41E27"/>
    <w:multiLevelType w:val="hybridMultilevel"/>
    <w:tmpl w:val="E4620890"/>
    <w:lvl w:ilvl="0" w:tplc="DC903BC2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">
    <w:nsid w:val="340B47A4"/>
    <w:multiLevelType w:val="multilevel"/>
    <w:tmpl w:val="44A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57FC5"/>
    <w:multiLevelType w:val="hybridMultilevel"/>
    <w:tmpl w:val="D758E600"/>
    <w:lvl w:ilvl="0" w:tplc="DC903BC2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>
    <w:nsid w:val="62465924"/>
    <w:multiLevelType w:val="multilevel"/>
    <w:tmpl w:val="1822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D208C7"/>
    <w:multiLevelType w:val="multilevel"/>
    <w:tmpl w:val="CA44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1769E"/>
    <w:multiLevelType w:val="hybridMultilevel"/>
    <w:tmpl w:val="C30C43C2"/>
    <w:lvl w:ilvl="0" w:tplc="DC903BC2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6">
    <w:nsid w:val="775A087D"/>
    <w:multiLevelType w:val="hybridMultilevel"/>
    <w:tmpl w:val="C294250C"/>
    <w:lvl w:ilvl="0" w:tplc="DC903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6110BB"/>
    <w:multiLevelType w:val="hybridMultilevel"/>
    <w:tmpl w:val="F6AEFDCA"/>
    <w:lvl w:ilvl="0" w:tplc="DC903BC2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DA"/>
    <w:rsid w:val="00005375"/>
    <w:rsid w:val="00024837"/>
    <w:rsid w:val="00037E84"/>
    <w:rsid w:val="000728FA"/>
    <w:rsid w:val="000B695D"/>
    <w:rsid w:val="000D277B"/>
    <w:rsid w:val="000E508C"/>
    <w:rsid w:val="000E55C9"/>
    <w:rsid w:val="0012106D"/>
    <w:rsid w:val="00124B91"/>
    <w:rsid w:val="00125145"/>
    <w:rsid w:val="00135909"/>
    <w:rsid w:val="00135A15"/>
    <w:rsid w:val="00136CBE"/>
    <w:rsid w:val="00141474"/>
    <w:rsid w:val="0015543F"/>
    <w:rsid w:val="00160442"/>
    <w:rsid w:val="001605F4"/>
    <w:rsid w:val="00162D1A"/>
    <w:rsid w:val="001743F3"/>
    <w:rsid w:val="001774C0"/>
    <w:rsid w:val="00192E4F"/>
    <w:rsid w:val="00195142"/>
    <w:rsid w:val="001965D4"/>
    <w:rsid w:val="001B1B84"/>
    <w:rsid w:val="001C0F37"/>
    <w:rsid w:val="001C27C1"/>
    <w:rsid w:val="001C6357"/>
    <w:rsid w:val="001C6F26"/>
    <w:rsid w:val="001D522C"/>
    <w:rsid w:val="001D6DBD"/>
    <w:rsid w:val="001F07D3"/>
    <w:rsid w:val="001F1CCC"/>
    <w:rsid w:val="002243EB"/>
    <w:rsid w:val="002401F6"/>
    <w:rsid w:val="00247CB9"/>
    <w:rsid w:val="00255499"/>
    <w:rsid w:val="00256D09"/>
    <w:rsid w:val="002722C9"/>
    <w:rsid w:val="00272670"/>
    <w:rsid w:val="00281A4D"/>
    <w:rsid w:val="00293067"/>
    <w:rsid w:val="00295517"/>
    <w:rsid w:val="00296404"/>
    <w:rsid w:val="002B053C"/>
    <w:rsid w:val="002C73DF"/>
    <w:rsid w:val="002D06CD"/>
    <w:rsid w:val="002D0B36"/>
    <w:rsid w:val="002D0EE0"/>
    <w:rsid w:val="002E1DDE"/>
    <w:rsid w:val="002F3B00"/>
    <w:rsid w:val="002F634C"/>
    <w:rsid w:val="00313701"/>
    <w:rsid w:val="00314A1B"/>
    <w:rsid w:val="00322B69"/>
    <w:rsid w:val="00342920"/>
    <w:rsid w:val="00371204"/>
    <w:rsid w:val="003757DD"/>
    <w:rsid w:val="003849C2"/>
    <w:rsid w:val="003A266A"/>
    <w:rsid w:val="003A2B0E"/>
    <w:rsid w:val="003A3C56"/>
    <w:rsid w:val="003A6BA0"/>
    <w:rsid w:val="003C7792"/>
    <w:rsid w:val="003F1C52"/>
    <w:rsid w:val="004339B3"/>
    <w:rsid w:val="00437C29"/>
    <w:rsid w:val="004450F2"/>
    <w:rsid w:val="00460295"/>
    <w:rsid w:val="004633BC"/>
    <w:rsid w:val="004711EA"/>
    <w:rsid w:val="004737B5"/>
    <w:rsid w:val="004979DA"/>
    <w:rsid w:val="004A02CA"/>
    <w:rsid w:val="004A60F4"/>
    <w:rsid w:val="004C68EC"/>
    <w:rsid w:val="004C6C45"/>
    <w:rsid w:val="004D21B7"/>
    <w:rsid w:val="004E7878"/>
    <w:rsid w:val="004F6AAC"/>
    <w:rsid w:val="005048DC"/>
    <w:rsid w:val="00517CD7"/>
    <w:rsid w:val="00520E41"/>
    <w:rsid w:val="00532EE0"/>
    <w:rsid w:val="00543880"/>
    <w:rsid w:val="005717DE"/>
    <w:rsid w:val="00576675"/>
    <w:rsid w:val="005816A6"/>
    <w:rsid w:val="0058785E"/>
    <w:rsid w:val="00587B5B"/>
    <w:rsid w:val="005932A2"/>
    <w:rsid w:val="005A7E37"/>
    <w:rsid w:val="005B3228"/>
    <w:rsid w:val="005D029E"/>
    <w:rsid w:val="005D4A86"/>
    <w:rsid w:val="005E13FD"/>
    <w:rsid w:val="005E1D74"/>
    <w:rsid w:val="005F6D2A"/>
    <w:rsid w:val="006020F1"/>
    <w:rsid w:val="00616968"/>
    <w:rsid w:val="006333B2"/>
    <w:rsid w:val="006419E9"/>
    <w:rsid w:val="0065136D"/>
    <w:rsid w:val="006540FA"/>
    <w:rsid w:val="00655362"/>
    <w:rsid w:val="006645BB"/>
    <w:rsid w:val="0067553C"/>
    <w:rsid w:val="006804DC"/>
    <w:rsid w:val="0068249D"/>
    <w:rsid w:val="00691E24"/>
    <w:rsid w:val="006942A5"/>
    <w:rsid w:val="006B46DA"/>
    <w:rsid w:val="006D2757"/>
    <w:rsid w:val="006D3584"/>
    <w:rsid w:val="006D519B"/>
    <w:rsid w:val="006D5608"/>
    <w:rsid w:val="006E03BC"/>
    <w:rsid w:val="006E09CE"/>
    <w:rsid w:val="006E6183"/>
    <w:rsid w:val="006F68F4"/>
    <w:rsid w:val="006F7B95"/>
    <w:rsid w:val="00707303"/>
    <w:rsid w:val="00711B17"/>
    <w:rsid w:val="00713145"/>
    <w:rsid w:val="00725901"/>
    <w:rsid w:val="007403CB"/>
    <w:rsid w:val="00747B10"/>
    <w:rsid w:val="00761F34"/>
    <w:rsid w:val="007845DB"/>
    <w:rsid w:val="0079332B"/>
    <w:rsid w:val="007A20FB"/>
    <w:rsid w:val="007B082F"/>
    <w:rsid w:val="007B1C73"/>
    <w:rsid w:val="007B5C7F"/>
    <w:rsid w:val="007E4370"/>
    <w:rsid w:val="007E6942"/>
    <w:rsid w:val="00800535"/>
    <w:rsid w:val="00804F8B"/>
    <w:rsid w:val="008051F8"/>
    <w:rsid w:val="008106B9"/>
    <w:rsid w:val="00824583"/>
    <w:rsid w:val="00851EC0"/>
    <w:rsid w:val="00892C53"/>
    <w:rsid w:val="008B58DD"/>
    <w:rsid w:val="008D3A79"/>
    <w:rsid w:val="008D4D39"/>
    <w:rsid w:val="008F27CC"/>
    <w:rsid w:val="008F45C5"/>
    <w:rsid w:val="008F7097"/>
    <w:rsid w:val="008F720E"/>
    <w:rsid w:val="008F74F7"/>
    <w:rsid w:val="00903C2D"/>
    <w:rsid w:val="009135FE"/>
    <w:rsid w:val="009151D3"/>
    <w:rsid w:val="009154A3"/>
    <w:rsid w:val="009170AB"/>
    <w:rsid w:val="00920005"/>
    <w:rsid w:val="00954979"/>
    <w:rsid w:val="00962359"/>
    <w:rsid w:val="00962DD4"/>
    <w:rsid w:val="00981745"/>
    <w:rsid w:val="0099409C"/>
    <w:rsid w:val="009A0CB3"/>
    <w:rsid w:val="009A54E9"/>
    <w:rsid w:val="009B1CEF"/>
    <w:rsid w:val="009B4438"/>
    <w:rsid w:val="009B7BE5"/>
    <w:rsid w:val="009C0098"/>
    <w:rsid w:val="009D7C35"/>
    <w:rsid w:val="009E4179"/>
    <w:rsid w:val="009F1029"/>
    <w:rsid w:val="00A127E0"/>
    <w:rsid w:val="00A129CC"/>
    <w:rsid w:val="00A20CAC"/>
    <w:rsid w:val="00A23E61"/>
    <w:rsid w:val="00A260FF"/>
    <w:rsid w:val="00A53EF8"/>
    <w:rsid w:val="00A5640C"/>
    <w:rsid w:val="00A57C31"/>
    <w:rsid w:val="00A64681"/>
    <w:rsid w:val="00A71AFA"/>
    <w:rsid w:val="00A73D61"/>
    <w:rsid w:val="00A77E21"/>
    <w:rsid w:val="00A861F8"/>
    <w:rsid w:val="00AA022C"/>
    <w:rsid w:val="00AA477C"/>
    <w:rsid w:val="00AA7C55"/>
    <w:rsid w:val="00AB1B2A"/>
    <w:rsid w:val="00AC0340"/>
    <w:rsid w:val="00AD5272"/>
    <w:rsid w:val="00AD6D54"/>
    <w:rsid w:val="00B22B36"/>
    <w:rsid w:val="00B30318"/>
    <w:rsid w:val="00B307DC"/>
    <w:rsid w:val="00B435E5"/>
    <w:rsid w:val="00B55A67"/>
    <w:rsid w:val="00B62D60"/>
    <w:rsid w:val="00B66D68"/>
    <w:rsid w:val="00B72789"/>
    <w:rsid w:val="00B827FC"/>
    <w:rsid w:val="00B83AA6"/>
    <w:rsid w:val="00B94BC1"/>
    <w:rsid w:val="00BA3368"/>
    <w:rsid w:val="00BB31E8"/>
    <w:rsid w:val="00BB34A8"/>
    <w:rsid w:val="00BB6E54"/>
    <w:rsid w:val="00BC7257"/>
    <w:rsid w:val="00BD14B7"/>
    <w:rsid w:val="00BF546A"/>
    <w:rsid w:val="00C03E4E"/>
    <w:rsid w:val="00C20106"/>
    <w:rsid w:val="00C25DDC"/>
    <w:rsid w:val="00C3024F"/>
    <w:rsid w:val="00C31436"/>
    <w:rsid w:val="00C35442"/>
    <w:rsid w:val="00C36B94"/>
    <w:rsid w:val="00C431D5"/>
    <w:rsid w:val="00C5313D"/>
    <w:rsid w:val="00C63DCC"/>
    <w:rsid w:val="00C7519D"/>
    <w:rsid w:val="00C87B23"/>
    <w:rsid w:val="00C90F09"/>
    <w:rsid w:val="00CB6029"/>
    <w:rsid w:val="00CC4031"/>
    <w:rsid w:val="00CD765F"/>
    <w:rsid w:val="00CE139A"/>
    <w:rsid w:val="00D124BD"/>
    <w:rsid w:val="00D20A16"/>
    <w:rsid w:val="00D32AA6"/>
    <w:rsid w:val="00D568BF"/>
    <w:rsid w:val="00D65741"/>
    <w:rsid w:val="00D76FB3"/>
    <w:rsid w:val="00D84091"/>
    <w:rsid w:val="00D8676C"/>
    <w:rsid w:val="00DA731A"/>
    <w:rsid w:val="00DB0375"/>
    <w:rsid w:val="00DC28B0"/>
    <w:rsid w:val="00DC424A"/>
    <w:rsid w:val="00DC62D2"/>
    <w:rsid w:val="00DD486D"/>
    <w:rsid w:val="00DD7CB9"/>
    <w:rsid w:val="00DE556E"/>
    <w:rsid w:val="00DF2D7F"/>
    <w:rsid w:val="00E15FF2"/>
    <w:rsid w:val="00E26C3B"/>
    <w:rsid w:val="00E34D49"/>
    <w:rsid w:val="00E41544"/>
    <w:rsid w:val="00E42EDC"/>
    <w:rsid w:val="00E6035C"/>
    <w:rsid w:val="00E65942"/>
    <w:rsid w:val="00E75133"/>
    <w:rsid w:val="00E75398"/>
    <w:rsid w:val="00E83CEF"/>
    <w:rsid w:val="00E97D20"/>
    <w:rsid w:val="00EA0238"/>
    <w:rsid w:val="00EB6ABE"/>
    <w:rsid w:val="00EC227B"/>
    <w:rsid w:val="00ED0451"/>
    <w:rsid w:val="00ED3C55"/>
    <w:rsid w:val="00F168DF"/>
    <w:rsid w:val="00F17BCA"/>
    <w:rsid w:val="00F3291D"/>
    <w:rsid w:val="00F43D89"/>
    <w:rsid w:val="00F51877"/>
    <w:rsid w:val="00F57473"/>
    <w:rsid w:val="00F5765B"/>
    <w:rsid w:val="00F70A97"/>
    <w:rsid w:val="00F917E6"/>
    <w:rsid w:val="00FA3F98"/>
    <w:rsid w:val="00FA5D3F"/>
    <w:rsid w:val="00FB5042"/>
    <w:rsid w:val="00FC19E0"/>
    <w:rsid w:val="00FE10E6"/>
    <w:rsid w:val="00FE1A1C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D2A"/>
    <w:pPr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265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210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character" w:styleId="Hyperlink">
    <w:name w:val="Hyperlink"/>
    <w:basedOn w:val="DefaultParagraphFont"/>
    <w:uiPriority w:val="99"/>
    <w:rsid w:val="005F6D2A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B6029"/>
    <w:pPr>
      <w:shd w:val="clear" w:color="auto" w:fill="000080"/>
    </w:pPr>
    <w:rPr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124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24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ahoma" w:hAnsi="Tahoma" w:cs="Tahoma"/>
      <w:sz w:val="24"/>
      <w:szCs w:val="24"/>
    </w:rPr>
  </w:style>
  <w:style w:type="character" w:styleId="PageNumber">
    <w:name w:val="page number"/>
    <w:basedOn w:val="DefaultParagraphFont"/>
    <w:uiPriority w:val="99"/>
    <w:rsid w:val="00892C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458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245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5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4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ahoma" w:hAnsi="Tahoma" w:cs="Tahom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5E13FD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1B84"/>
    <w:pPr>
      <w:spacing w:after="150" w:line="375" w:lineRule="atLeast"/>
    </w:pPr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1B1B84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B1B84"/>
    <w:rPr>
      <w:rFonts w:ascii="Calibri" w:hAnsi="Calibri" w:cs="Times New Roman"/>
      <w:sz w:val="21"/>
      <w:szCs w:val="21"/>
    </w:rPr>
  </w:style>
  <w:style w:type="character" w:styleId="Strong">
    <w:name w:val="Strong"/>
    <w:basedOn w:val="DefaultParagraphFont"/>
    <w:uiPriority w:val="99"/>
    <w:qFormat/>
    <w:rsid w:val="001C27C1"/>
    <w:rPr>
      <w:rFonts w:ascii="Lato" w:hAnsi="Lato" w:cs="Times New Roman"/>
      <w:b/>
    </w:rPr>
  </w:style>
  <w:style w:type="character" w:customStyle="1" w:styleId="tp-label">
    <w:name w:val="tp-label"/>
    <w:uiPriority w:val="99"/>
    <w:rsid w:val="001C27C1"/>
  </w:style>
  <w:style w:type="character" w:customStyle="1" w:styleId="tp-size">
    <w:name w:val="tp-size"/>
    <w:uiPriority w:val="99"/>
    <w:rsid w:val="001C2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D2A"/>
    <w:pPr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265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210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character" w:styleId="Hyperlink">
    <w:name w:val="Hyperlink"/>
    <w:basedOn w:val="DefaultParagraphFont"/>
    <w:uiPriority w:val="99"/>
    <w:rsid w:val="005F6D2A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B6029"/>
    <w:pPr>
      <w:shd w:val="clear" w:color="auto" w:fill="000080"/>
    </w:pPr>
    <w:rPr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124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24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ahoma" w:hAnsi="Tahoma" w:cs="Tahoma"/>
      <w:sz w:val="24"/>
      <w:szCs w:val="24"/>
    </w:rPr>
  </w:style>
  <w:style w:type="character" w:styleId="PageNumber">
    <w:name w:val="page number"/>
    <w:basedOn w:val="DefaultParagraphFont"/>
    <w:uiPriority w:val="99"/>
    <w:rsid w:val="00892C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458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245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5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4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ahoma" w:hAnsi="Tahoma" w:cs="Tahom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5E13FD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1B84"/>
    <w:pPr>
      <w:spacing w:after="150" w:line="375" w:lineRule="atLeast"/>
    </w:pPr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1B1B84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B1B84"/>
    <w:rPr>
      <w:rFonts w:ascii="Calibri" w:hAnsi="Calibri" w:cs="Times New Roman"/>
      <w:sz w:val="21"/>
      <w:szCs w:val="21"/>
    </w:rPr>
  </w:style>
  <w:style w:type="character" w:styleId="Strong">
    <w:name w:val="Strong"/>
    <w:basedOn w:val="DefaultParagraphFont"/>
    <w:uiPriority w:val="99"/>
    <w:qFormat/>
    <w:rsid w:val="001C27C1"/>
    <w:rPr>
      <w:rFonts w:ascii="Lato" w:hAnsi="Lato" w:cs="Times New Roman"/>
      <w:b/>
    </w:rPr>
  </w:style>
  <w:style w:type="character" w:customStyle="1" w:styleId="tp-label">
    <w:name w:val="tp-label"/>
    <w:uiPriority w:val="99"/>
    <w:rsid w:val="001C27C1"/>
  </w:style>
  <w:style w:type="character" w:customStyle="1" w:styleId="tp-size">
    <w:name w:val="tp-size"/>
    <w:uiPriority w:val="99"/>
    <w:rsid w:val="001C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7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29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295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7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4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47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295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47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29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296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7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47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dc.gov/vhf/ebola/hcp/interim-guidance-specimen-collection-submission-patients-suspected-infection-ebola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dc.gov/vhf/ebola/hcp/safe-specimen-managemen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eohhs/docs/dph/laboratory-sciences/general-submission-form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dc.gov/vhf/ebola/hcp/case-definitio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nc.cdc.gov/travel/noti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7817-1FB4-4457-94FF-434128E0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186A1702</Template>
  <TotalTime>1</TotalTime>
  <Pages>1</Pages>
  <Words>640</Words>
  <Characters>3955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Frequently Asked Questions - H1N1 (2009) Virus</vt:lpstr>
    </vt:vector>
  </TitlesOfParts>
  <Company>EOHHS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Frequently Asked Questions - H1N1 (2009) Virus</dc:title>
  <dc:subject>Influenza A H1N1 swine flu</dc:subject>
  <dc:creator>MA Public Health State Laboratory</dc:creator>
  <cp:lastModifiedBy> </cp:lastModifiedBy>
  <cp:revision>2</cp:revision>
  <cp:lastPrinted>2014-10-20T16:46:00Z</cp:lastPrinted>
  <dcterms:created xsi:type="dcterms:W3CDTF">2015-11-25T15:10:00Z</dcterms:created>
  <dcterms:modified xsi:type="dcterms:W3CDTF">2015-11-25T15:10:00Z</dcterms:modified>
</cp:coreProperties>
</file>