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22A0F3" w14:textId="77777777" w:rsidR="00AB5F4F" w:rsidRDefault="00AC1B58">
      <w:pPr>
        <w:spacing w:after="120"/>
        <w:jc w:val="center"/>
        <w:rPr>
          <w:rFonts w:ascii="Times New Roman" w:hAnsi="Times New Roman"/>
          <w:b/>
          <w:bCs/>
          <w:sz w:val="32"/>
          <w:szCs w:val="32"/>
        </w:rPr>
      </w:pPr>
      <w:r>
        <w:rPr>
          <w:rFonts w:ascii="Times New Roman" w:hAnsi="Times New Roman"/>
          <w:b/>
          <w:bCs/>
          <w:sz w:val="32"/>
          <w:szCs w:val="32"/>
        </w:rPr>
        <w:t>GSEP Working Group</w:t>
      </w:r>
    </w:p>
    <w:p w14:paraId="7DBD3FF4" w14:textId="77777777" w:rsidR="00942D8B" w:rsidRDefault="00942D8B">
      <w:pPr>
        <w:spacing w:after="120"/>
        <w:jc w:val="center"/>
        <w:rPr>
          <w:rFonts w:ascii="Times New Roman" w:hAnsi="Times New Roman"/>
          <w:b/>
          <w:bCs/>
          <w:sz w:val="32"/>
          <w:szCs w:val="32"/>
        </w:rPr>
      </w:pPr>
    </w:p>
    <w:p w14:paraId="0835565D" w14:textId="4740DEDC" w:rsidR="00BB5D43" w:rsidRPr="00BB5D43" w:rsidRDefault="00BB5D43" w:rsidP="00BB5D43">
      <w:pPr>
        <w:pStyle w:val="ListParagraph"/>
        <w:numPr>
          <w:ilvl w:val="0"/>
          <w:numId w:val="6"/>
        </w:numPr>
        <w:spacing w:after="120"/>
        <w:jc w:val="center"/>
        <w:rPr>
          <w:rFonts w:ascii="Times New Roman" w:hAnsi="Times New Roman"/>
          <w:b/>
          <w:bCs/>
          <w:sz w:val="24"/>
          <w:szCs w:val="24"/>
        </w:rPr>
      </w:pPr>
      <w:r w:rsidRPr="00BB5D43">
        <w:rPr>
          <w:rFonts w:ascii="Times New Roman" w:hAnsi="Times New Roman"/>
          <w:b/>
          <w:bCs/>
          <w:sz w:val="24"/>
          <w:szCs w:val="24"/>
        </w:rPr>
        <w:t>EEA Agencies Statements of Support for Other Parties’ Language Proposals</w:t>
      </w:r>
    </w:p>
    <w:p w14:paraId="013EF02D" w14:textId="77777777" w:rsidR="00BB5D43" w:rsidRPr="001757FE" w:rsidRDefault="00BB5D43" w:rsidP="00BB5D43">
      <w:pPr>
        <w:spacing w:after="120"/>
        <w:jc w:val="center"/>
        <w:rPr>
          <w:rFonts w:ascii="Times New Roman" w:hAnsi="Times New Roman"/>
          <w:b/>
          <w:bCs/>
        </w:rPr>
      </w:pPr>
    </w:p>
    <w:p w14:paraId="66909F46" w14:textId="77777777" w:rsidR="00BB5D43" w:rsidRPr="00691ADD" w:rsidRDefault="00BB5D43" w:rsidP="00BB5D43">
      <w:pPr>
        <w:pStyle w:val="ListParagraph"/>
        <w:numPr>
          <w:ilvl w:val="0"/>
          <w:numId w:val="1"/>
        </w:numPr>
        <w:spacing w:before="120" w:after="120" w:line="360" w:lineRule="auto"/>
        <w:jc w:val="both"/>
        <w:rPr>
          <w:rFonts w:ascii="Times New Roman" w:hAnsi="Times New Roman"/>
        </w:rPr>
      </w:pPr>
      <w:r w:rsidRPr="00691ADD">
        <w:rPr>
          <w:rFonts w:ascii="Times New Roman" w:hAnsi="Times New Roman"/>
          <w:b/>
          <w:bCs/>
        </w:rPr>
        <w:t xml:space="preserve">Additional considerations in determining eligible infrastructure replacements: “No Increase in pipeline </w:t>
      </w:r>
      <w:proofErr w:type="gramStart"/>
      <w:r w:rsidRPr="00691ADD">
        <w:rPr>
          <w:rFonts w:ascii="Times New Roman" w:hAnsi="Times New Roman"/>
          <w:b/>
          <w:bCs/>
        </w:rPr>
        <w:t>capacity</w:t>
      </w:r>
      <w:proofErr w:type="gramEnd"/>
      <w:r w:rsidRPr="00691ADD">
        <w:rPr>
          <w:rFonts w:ascii="Times New Roman" w:hAnsi="Times New Roman"/>
          <w:b/>
          <w:bCs/>
        </w:rPr>
        <w:t xml:space="preserve">” </w:t>
      </w:r>
    </w:p>
    <w:p w14:paraId="553B31B9" w14:textId="77777777" w:rsidR="00BB5D43" w:rsidRPr="00691ADD" w:rsidRDefault="00BB5D43" w:rsidP="00BB5D43">
      <w:pPr>
        <w:pStyle w:val="ListParagraph"/>
        <w:numPr>
          <w:ilvl w:val="1"/>
          <w:numId w:val="1"/>
        </w:numPr>
        <w:spacing w:after="120" w:line="360" w:lineRule="auto"/>
        <w:rPr>
          <w:rFonts w:ascii="Times New Roman" w:hAnsi="Times New Roman"/>
        </w:rPr>
      </w:pPr>
      <w:r w:rsidRPr="00691ADD">
        <w:rPr>
          <w:rFonts w:ascii="Times New Roman" w:hAnsi="Times New Roman"/>
          <w:b/>
        </w:rPr>
        <w:t>Proposed by</w:t>
      </w:r>
      <w:r w:rsidRPr="00691ADD">
        <w:rPr>
          <w:rFonts w:ascii="Times New Roman" w:hAnsi="Times New Roman"/>
        </w:rPr>
        <w:t>:  HEET</w:t>
      </w:r>
    </w:p>
    <w:p w14:paraId="5AEF5DB9" w14:textId="77777777" w:rsidR="00BB5D43" w:rsidRPr="00691ADD" w:rsidRDefault="00BB5D43" w:rsidP="00BB5D43">
      <w:pPr>
        <w:pStyle w:val="ListParagraph"/>
        <w:numPr>
          <w:ilvl w:val="1"/>
          <w:numId w:val="1"/>
        </w:numPr>
        <w:spacing w:after="120" w:line="360" w:lineRule="auto"/>
        <w:rPr>
          <w:rFonts w:ascii="Times New Roman" w:hAnsi="Times New Roman"/>
        </w:rPr>
      </w:pPr>
      <w:r w:rsidRPr="00691ADD">
        <w:rPr>
          <w:rFonts w:ascii="Times New Roman" w:hAnsi="Times New Roman"/>
          <w:b/>
        </w:rPr>
        <w:t>Proposal Statement</w:t>
      </w:r>
      <w:r w:rsidRPr="00691ADD">
        <w:rPr>
          <w:rFonts w:ascii="Times New Roman" w:hAnsi="Times New Roman"/>
        </w:rPr>
        <w:t>:  The purpose of GSEP, as well as the accelerated cost recovery that is part of the program, is to improve the safety of local customers and to reduce emissions, not to increase the amount of gas that can be sold.  Investing in increasing the capacity of the gas system will only increase the potential for stranded assets.</w:t>
      </w:r>
    </w:p>
    <w:p w14:paraId="2BEB620B" w14:textId="77777777" w:rsidR="00BB5D43" w:rsidRPr="00691ADD" w:rsidRDefault="00BB5D43" w:rsidP="00BB5D43">
      <w:pPr>
        <w:pStyle w:val="ListParagraph"/>
        <w:numPr>
          <w:ilvl w:val="1"/>
          <w:numId w:val="1"/>
        </w:numPr>
        <w:spacing w:after="120" w:line="360" w:lineRule="auto"/>
        <w:rPr>
          <w:rFonts w:ascii="Times New Roman" w:hAnsi="Times New Roman"/>
        </w:rPr>
      </w:pPr>
      <w:r w:rsidRPr="00691ADD">
        <w:rPr>
          <w:rFonts w:ascii="Times New Roman" w:hAnsi="Times New Roman"/>
          <w:b/>
        </w:rPr>
        <w:t>Supported by</w:t>
      </w:r>
      <w:r w:rsidRPr="00691ADD">
        <w:rPr>
          <w:rFonts w:ascii="Times New Roman" w:hAnsi="Times New Roman"/>
        </w:rPr>
        <w:t>:  NCLC; Conservation Law Foundation</w:t>
      </w:r>
      <w:r>
        <w:rPr>
          <w:rFonts w:ascii="Times New Roman" w:hAnsi="Times New Roman"/>
        </w:rPr>
        <w:t xml:space="preserve">, </w:t>
      </w:r>
      <w:r w:rsidRPr="003B66BA">
        <w:rPr>
          <w:rFonts w:ascii="Times New Roman" w:hAnsi="Times New Roman"/>
          <w:highlight w:val="yellow"/>
        </w:rPr>
        <w:t>EEA Agencies</w:t>
      </w:r>
    </w:p>
    <w:p w14:paraId="001CFFB0" w14:textId="77777777" w:rsidR="00BB5D43" w:rsidRPr="00691ADD" w:rsidRDefault="00BB5D43" w:rsidP="00BB5D43">
      <w:pPr>
        <w:pStyle w:val="ListParagraph"/>
        <w:numPr>
          <w:ilvl w:val="1"/>
          <w:numId w:val="1"/>
        </w:numPr>
        <w:spacing w:after="120" w:line="360" w:lineRule="auto"/>
        <w:rPr>
          <w:rFonts w:ascii="Times New Roman" w:hAnsi="Times New Roman"/>
        </w:rPr>
      </w:pPr>
      <w:r w:rsidRPr="00691ADD">
        <w:rPr>
          <w:rFonts w:ascii="Times New Roman" w:hAnsi="Times New Roman"/>
          <w:b/>
        </w:rPr>
        <w:t>Opposed by</w:t>
      </w:r>
      <w:r w:rsidRPr="00691ADD">
        <w:rPr>
          <w:rFonts w:ascii="Times New Roman" w:hAnsi="Times New Roman"/>
        </w:rPr>
        <w:t xml:space="preserve">:  NEGWA/USW; Eversource; Liberty; National Grid; </w:t>
      </w:r>
      <w:proofErr w:type="spellStart"/>
      <w:proofErr w:type="gramStart"/>
      <w:r w:rsidRPr="00691ADD">
        <w:rPr>
          <w:rFonts w:ascii="Times New Roman" w:hAnsi="Times New Roman"/>
        </w:rPr>
        <w:t>Unitil</w:t>
      </w:r>
      <w:proofErr w:type="spellEnd"/>
      <w:proofErr w:type="gramEnd"/>
    </w:p>
    <w:p w14:paraId="7389C58C" w14:textId="77777777" w:rsidR="00BB5D43" w:rsidRPr="00691ADD" w:rsidRDefault="00BB5D43" w:rsidP="00BB5D43">
      <w:pPr>
        <w:pStyle w:val="ListParagraph"/>
        <w:numPr>
          <w:ilvl w:val="0"/>
          <w:numId w:val="1"/>
        </w:numPr>
        <w:spacing w:before="120" w:after="120" w:line="360" w:lineRule="auto"/>
        <w:jc w:val="both"/>
        <w:rPr>
          <w:rFonts w:ascii="Times New Roman" w:hAnsi="Times New Roman"/>
          <w:b/>
          <w:bCs/>
        </w:rPr>
      </w:pPr>
      <w:r w:rsidRPr="00691ADD">
        <w:rPr>
          <w:rFonts w:ascii="Times New Roman" w:hAnsi="Times New Roman"/>
          <w:b/>
          <w:bCs/>
        </w:rPr>
        <w:t xml:space="preserve">Additional considerations in determining eligible infrastructure replacements: “Requires consideration of “non-gas pipe alternative,” and a finding that such alternative is infeasible or not </w:t>
      </w:r>
      <w:proofErr w:type="gramStart"/>
      <w:r w:rsidRPr="00691ADD">
        <w:rPr>
          <w:rFonts w:ascii="Times New Roman" w:hAnsi="Times New Roman"/>
          <w:b/>
          <w:bCs/>
        </w:rPr>
        <w:t>cost-effective</w:t>
      </w:r>
      <w:proofErr w:type="gramEnd"/>
      <w:r w:rsidRPr="00691ADD">
        <w:rPr>
          <w:rFonts w:ascii="Times New Roman" w:hAnsi="Times New Roman"/>
          <w:b/>
          <w:bCs/>
        </w:rPr>
        <w:t>”</w:t>
      </w:r>
    </w:p>
    <w:p w14:paraId="076C7810" w14:textId="77777777" w:rsidR="00BB5D43" w:rsidRPr="00691ADD" w:rsidRDefault="00BB5D43" w:rsidP="00BB5D43">
      <w:pPr>
        <w:pStyle w:val="ListParagraph"/>
        <w:numPr>
          <w:ilvl w:val="1"/>
          <w:numId w:val="1"/>
        </w:numPr>
        <w:spacing w:before="120" w:after="120" w:line="360" w:lineRule="auto"/>
        <w:jc w:val="both"/>
        <w:rPr>
          <w:rFonts w:ascii="Times New Roman" w:hAnsi="Times New Roman"/>
        </w:rPr>
      </w:pPr>
      <w:r w:rsidRPr="1A47AB85">
        <w:rPr>
          <w:rFonts w:ascii="Times New Roman" w:hAnsi="Times New Roman"/>
          <w:b/>
          <w:bCs/>
        </w:rPr>
        <w:t>Proposed by</w:t>
      </w:r>
      <w:r w:rsidRPr="1A47AB85">
        <w:rPr>
          <w:rFonts w:ascii="Times New Roman" w:hAnsi="Times New Roman"/>
        </w:rPr>
        <w:t>: HEET/</w:t>
      </w:r>
      <w:proofErr w:type="spellStart"/>
      <w:r w:rsidRPr="1A47AB85">
        <w:rPr>
          <w:rFonts w:ascii="Times New Roman" w:hAnsi="Times New Roman"/>
        </w:rPr>
        <w:t>PowerOptions</w:t>
      </w:r>
      <w:proofErr w:type="spellEnd"/>
      <w:r w:rsidRPr="1A47AB85">
        <w:rPr>
          <w:rFonts w:ascii="Times New Roman" w:hAnsi="Times New Roman"/>
        </w:rPr>
        <w:t xml:space="preserve"> Proposal Statement: In order to reduce stranded gas assets in the future as the Commonwealth transitions to clean electricity for all but the hard-to-decarbonize sector, non-gas pipe alternatives should be the prevailing assumptions and should be installed wherever feasible and financially viable. Also, in the compiled redlines of the edits, it appears that the intent of this text was lost. Text should be “(viii) shall be a non-gas pipe alternative unless demonstrated by a gas company to be not feasible or not cost effective.” </w:t>
      </w:r>
    </w:p>
    <w:p w14:paraId="6746A466" w14:textId="77777777" w:rsidR="00BB5D43" w:rsidRPr="00691ADD" w:rsidRDefault="00BB5D43" w:rsidP="00BB5D43">
      <w:pPr>
        <w:pStyle w:val="ListParagraph"/>
        <w:numPr>
          <w:ilvl w:val="1"/>
          <w:numId w:val="1"/>
        </w:numPr>
        <w:spacing w:before="120" w:after="120" w:line="360" w:lineRule="auto"/>
        <w:jc w:val="both"/>
        <w:rPr>
          <w:rFonts w:ascii="Times New Roman" w:hAnsi="Times New Roman"/>
        </w:rPr>
      </w:pPr>
      <w:r w:rsidRPr="1A47AB85">
        <w:rPr>
          <w:rFonts w:ascii="Times New Roman" w:hAnsi="Times New Roman"/>
          <w:b/>
          <w:bCs/>
        </w:rPr>
        <w:t>Supported by</w:t>
      </w:r>
      <w:r w:rsidRPr="1A47AB85">
        <w:rPr>
          <w:rFonts w:ascii="Times New Roman" w:hAnsi="Times New Roman"/>
        </w:rPr>
        <w:t>: NCLC; Conservation Law Foundation</w:t>
      </w:r>
      <w:r>
        <w:rPr>
          <w:rFonts w:ascii="Times New Roman" w:hAnsi="Times New Roman"/>
        </w:rPr>
        <w:t xml:space="preserve">, </w:t>
      </w:r>
      <w:r w:rsidRPr="003B66BA">
        <w:rPr>
          <w:rFonts w:ascii="Times New Roman" w:hAnsi="Times New Roman"/>
          <w:highlight w:val="yellow"/>
        </w:rPr>
        <w:t>EEA Agencies</w:t>
      </w:r>
    </w:p>
    <w:p w14:paraId="1C1DCBCD" w14:textId="77777777" w:rsidR="00BB5D43" w:rsidRPr="00691ADD" w:rsidRDefault="00BB5D43" w:rsidP="00BB5D43">
      <w:pPr>
        <w:pStyle w:val="ListParagraph"/>
        <w:numPr>
          <w:ilvl w:val="1"/>
          <w:numId w:val="1"/>
        </w:numPr>
        <w:spacing w:before="120" w:after="120" w:line="360" w:lineRule="auto"/>
        <w:jc w:val="both"/>
        <w:rPr>
          <w:rFonts w:ascii="Times New Roman" w:hAnsi="Times New Roman"/>
        </w:rPr>
      </w:pPr>
      <w:r w:rsidRPr="1A47AB85">
        <w:rPr>
          <w:rFonts w:ascii="Times New Roman" w:hAnsi="Times New Roman"/>
          <w:b/>
          <w:bCs/>
        </w:rPr>
        <w:t>Opposed by</w:t>
      </w:r>
      <w:r w:rsidRPr="1A47AB85">
        <w:rPr>
          <w:rFonts w:ascii="Times New Roman" w:hAnsi="Times New Roman"/>
        </w:rPr>
        <w:t xml:space="preserve">: NEGWA/USW; Eversource; Liberty; National Grid; </w:t>
      </w:r>
      <w:proofErr w:type="spellStart"/>
      <w:proofErr w:type="gramStart"/>
      <w:r w:rsidRPr="1A47AB85">
        <w:rPr>
          <w:rFonts w:ascii="Times New Roman" w:hAnsi="Times New Roman"/>
        </w:rPr>
        <w:t>Unitil</w:t>
      </w:r>
      <w:proofErr w:type="spellEnd"/>
      <w:proofErr w:type="gramEnd"/>
    </w:p>
    <w:p w14:paraId="3E203CC8" w14:textId="77777777" w:rsidR="00BB5D43" w:rsidRPr="00691ADD" w:rsidRDefault="00BB5D43" w:rsidP="00BB5D43">
      <w:pPr>
        <w:pStyle w:val="ListParagraph"/>
        <w:numPr>
          <w:ilvl w:val="0"/>
          <w:numId w:val="1"/>
        </w:numPr>
        <w:spacing w:before="120" w:after="120" w:line="360" w:lineRule="auto"/>
        <w:jc w:val="both"/>
        <w:rPr>
          <w:rFonts w:ascii="Times New Roman" w:hAnsi="Times New Roman"/>
          <w:b/>
          <w:bCs/>
        </w:rPr>
      </w:pPr>
      <w:r w:rsidRPr="00691ADD">
        <w:rPr>
          <w:rFonts w:ascii="Times New Roman" w:hAnsi="Times New Roman"/>
          <w:b/>
          <w:bCs/>
        </w:rPr>
        <w:t xml:space="preserve">Plan “Can be in conjunction with an electric distribution </w:t>
      </w:r>
      <w:proofErr w:type="gramStart"/>
      <w:r w:rsidRPr="00691ADD">
        <w:rPr>
          <w:rFonts w:ascii="Times New Roman" w:hAnsi="Times New Roman"/>
          <w:b/>
          <w:bCs/>
        </w:rPr>
        <w:t>company</w:t>
      </w:r>
      <w:proofErr w:type="gramEnd"/>
      <w:r w:rsidRPr="00691ADD">
        <w:rPr>
          <w:rFonts w:ascii="Times New Roman" w:hAnsi="Times New Roman"/>
          <w:b/>
          <w:bCs/>
        </w:rPr>
        <w:t>”</w:t>
      </w:r>
    </w:p>
    <w:p w14:paraId="75C89F2B" w14:textId="77777777" w:rsidR="00BB5D43" w:rsidRPr="00691ADD" w:rsidRDefault="00BB5D43" w:rsidP="00BB5D43">
      <w:pPr>
        <w:pStyle w:val="ListParagraph"/>
        <w:numPr>
          <w:ilvl w:val="1"/>
          <w:numId w:val="1"/>
        </w:numPr>
        <w:spacing w:after="120" w:line="360" w:lineRule="auto"/>
        <w:rPr>
          <w:rFonts w:ascii="Times New Roman" w:hAnsi="Times New Roman"/>
        </w:rPr>
      </w:pPr>
      <w:r w:rsidRPr="1A47AB85">
        <w:rPr>
          <w:rFonts w:ascii="Times New Roman" w:hAnsi="Times New Roman"/>
          <w:b/>
          <w:bCs/>
        </w:rPr>
        <w:t>Proposed by</w:t>
      </w:r>
      <w:r w:rsidRPr="1A47AB85">
        <w:rPr>
          <w:rFonts w:ascii="Times New Roman" w:hAnsi="Times New Roman"/>
        </w:rPr>
        <w:t>:  Senator Barrett</w:t>
      </w:r>
    </w:p>
    <w:p w14:paraId="2C8F1EA5" w14:textId="77777777" w:rsidR="00BB5D43" w:rsidRPr="00691ADD" w:rsidRDefault="00BB5D43" w:rsidP="00BB5D43">
      <w:pPr>
        <w:pStyle w:val="ListParagraph"/>
        <w:numPr>
          <w:ilvl w:val="1"/>
          <w:numId w:val="1"/>
        </w:numPr>
        <w:spacing w:after="120" w:line="360" w:lineRule="auto"/>
        <w:rPr>
          <w:rFonts w:ascii="Times New Roman" w:hAnsi="Times New Roman"/>
        </w:rPr>
      </w:pPr>
      <w:r w:rsidRPr="1A47AB85">
        <w:rPr>
          <w:rFonts w:ascii="Times New Roman" w:hAnsi="Times New Roman"/>
          <w:b/>
          <w:bCs/>
        </w:rPr>
        <w:t>Proposal Statement</w:t>
      </w:r>
      <w:r w:rsidRPr="1A47AB85">
        <w:rPr>
          <w:rFonts w:ascii="Times New Roman" w:hAnsi="Times New Roman"/>
        </w:rPr>
        <w:t>:  n/a</w:t>
      </w:r>
    </w:p>
    <w:p w14:paraId="09977AAF" w14:textId="77777777" w:rsidR="00BB5D43" w:rsidRPr="00691ADD" w:rsidRDefault="00BB5D43" w:rsidP="00BB5D43">
      <w:pPr>
        <w:pStyle w:val="ListParagraph"/>
        <w:numPr>
          <w:ilvl w:val="1"/>
          <w:numId w:val="1"/>
        </w:numPr>
        <w:spacing w:after="120" w:line="360" w:lineRule="auto"/>
        <w:rPr>
          <w:rFonts w:ascii="Times New Roman" w:hAnsi="Times New Roman"/>
        </w:rPr>
      </w:pPr>
      <w:r w:rsidRPr="1A47AB85">
        <w:rPr>
          <w:rFonts w:ascii="Times New Roman" w:hAnsi="Times New Roman"/>
          <w:b/>
          <w:bCs/>
        </w:rPr>
        <w:t>Supported by</w:t>
      </w:r>
      <w:r w:rsidRPr="1A47AB85">
        <w:rPr>
          <w:rFonts w:ascii="Times New Roman" w:hAnsi="Times New Roman"/>
        </w:rPr>
        <w:t>:  LEAN/NCLC; Conservation Law Foundation; HEET/</w:t>
      </w:r>
      <w:proofErr w:type="spellStart"/>
      <w:r w:rsidRPr="1A47AB85">
        <w:rPr>
          <w:rFonts w:ascii="Times New Roman" w:hAnsi="Times New Roman"/>
        </w:rPr>
        <w:t>PowerOptions</w:t>
      </w:r>
      <w:proofErr w:type="spellEnd"/>
      <w:r>
        <w:rPr>
          <w:rFonts w:ascii="Times New Roman" w:hAnsi="Times New Roman"/>
        </w:rPr>
        <w:t xml:space="preserve">, </w:t>
      </w:r>
      <w:r w:rsidRPr="003B66BA">
        <w:rPr>
          <w:rFonts w:ascii="Times New Roman" w:hAnsi="Times New Roman"/>
          <w:highlight w:val="yellow"/>
        </w:rPr>
        <w:t>EEA Agencies</w:t>
      </w:r>
    </w:p>
    <w:p w14:paraId="134A3DC7" w14:textId="77777777" w:rsidR="00BB5D43" w:rsidRPr="00691ADD" w:rsidRDefault="00BB5D43" w:rsidP="00BB5D43">
      <w:pPr>
        <w:pStyle w:val="ListParagraph"/>
        <w:numPr>
          <w:ilvl w:val="1"/>
          <w:numId w:val="1"/>
        </w:numPr>
        <w:spacing w:after="120" w:line="360" w:lineRule="auto"/>
        <w:rPr>
          <w:rFonts w:ascii="Times New Roman" w:hAnsi="Times New Roman"/>
        </w:rPr>
      </w:pPr>
      <w:r w:rsidRPr="1A47AB85">
        <w:rPr>
          <w:rFonts w:ascii="Times New Roman" w:hAnsi="Times New Roman"/>
          <w:b/>
          <w:bCs/>
        </w:rPr>
        <w:t>Opposed by</w:t>
      </w:r>
      <w:r w:rsidRPr="1A47AB85">
        <w:rPr>
          <w:rFonts w:ascii="Times New Roman" w:hAnsi="Times New Roman"/>
        </w:rPr>
        <w:t xml:space="preserve">:  NEGWA/USW; Eversource; Liberty; National Grid; </w:t>
      </w:r>
      <w:proofErr w:type="spellStart"/>
      <w:proofErr w:type="gramStart"/>
      <w:r w:rsidRPr="1A47AB85">
        <w:rPr>
          <w:rFonts w:ascii="Times New Roman" w:hAnsi="Times New Roman"/>
        </w:rPr>
        <w:t>Unitil</w:t>
      </w:r>
      <w:proofErr w:type="spellEnd"/>
      <w:proofErr w:type="gramEnd"/>
    </w:p>
    <w:p w14:paraId="2230C998" w14:textId="77777777" w:rsidR="00BB5D43" w:rsidRPr="00691ADD" w:rsidRDefault="00BB5D43" w:rsidP="00BB5D43">
      <w:pPr>
        <w:pStyle w:val="ListParagraph"/>
        <w:numPr>
          <w:ilvl w:val="1"/>
          <w:numId w:val="1"/>
        </w:numPr>
        <w:spacing w:after="120" w:line="360" w:lineRule="auto"/>
        <w:rPr>
          <w:rFonts w:ascii="Times New Roman" w:hAnsi="Times New Roman"/>
        </w:rPr>
      </w:pPr>
      <w:r w:rsidRPr="1A47AB85">
        <w:rPr>
          <w:rFonts w:ascii="Times New Roman" w:hAnsi="Times New Roman"/>
          <w:b/>
          <w:bCs/>
        </w:rPr>
        <w:t>Abstain</w:t>
      </w:r>
      <w:r w:rsidRPr="1A47AB85">
        <w:rPr>
          <w:rFonts w:ascii="Times New Roman" w:hAnsi="Times New Roman"/>
        </w:rPr>
        <w:t>: AGO “withholds support until there is clarification of the practicalities of LDCs filing plans in conjunction with an electric distribution company.”</w:t>
      </w:r>
    </w:p>
    <w:p w14:paraId="44B29EF1" w14:textId="77777777" w:rsidR="00BB5D43" w:rsidRPr="00691ADD" w:rsidRDefault="00BB5D43" w:rsidP="00BB5D43">
      <w:pPr>
        <w:pStyle w:val="ListParagraph"/>
        <w:spacing w:before="120" w:after="120" w:line="360" w:lineRule="auto"/>
        <w:ind w:left="1440"/>
        <w:jc w:val="both"/>
        <w:rPr>
          <w:rFonts w:ascii="Times New Roman" w:hAnsi="Times New Roman"/>
        </w:rPr>
      </w:pPr>
    </w:p>
    <w:p w14:paraId="13884B69" w14:textId="77777777" w:rsidR="00BB5D43" w:rsidRPr="00691ADD" w:rsidRDefault="00BB5D43" w:rsidP="00BB5D43">
      <w:pPr>
        <w:pStyle w:val="ListParagraph"/>
        <w:numPr>
          <w:ilvl w:val="0"/>
          <w:numId w:val="2"/>
        </w:numPr>
        <w:suppressAutoHyphens w:val="0"/>
        <w:spacing w:after="120" w:line="360" w:lineRule="auto"/>
        <w:rPr>
          <w:rFonts w:ascii="Times New Roman" w:hAnsi="Times New Roman"/>
          <w:b/>
          <w:bCs/>
        </w:rPr>
      </w:pPr>
      <w:r w:rsidRPr="00691ADD">
        <w:rPr>
          <w:rFonts w:ascii="Times New Roman" w:hAnsi="Times New Roman"/>
          <w:b/>
          <w:bCs/>
        </w:rPr>
        <w:t>Plan “Requires consideration of targeted decommissioning of a gas system, based on independent assessment of costs and benefits of decommissioning.”</w:t>
      </w:r>
    </w:p>
    <w:p w14:paraId="6EC1B609" w14:textId="77777777" w:rsidR="00BB5D43" w:rsidRPr="00691ADD" w:rsidRDefault="00BB5D43" w:rsidP="00BB5D43">
      <w:pPr>
        <w:pStyle w:val="ListParagraph"/>
        <w:spacing w:after="120" w:line="360" w:lineRule="auto"/>
        <w:rPr>
          <w:rFonts w:ascii="Times New Roman" w:hAnsi="Times New Roman"/>
        </w:rPr>
      </w:pPr>
      <w:r w:rsidRPr="00691ADD">
        <w:rPr>
          <w:rFonts w:ascii="Times New Roman" w:hAnsi="Times New Roman"/>
          <w:b/>
        </w:rPr>
        <w:t>Proposed by</w:t>
      </w:r>
      <w:r w:rsidRPr="00691ADD">
        <w:rPr>
          <w:rFonts w:ascii="Times New Roman" w:hAnsi="Times New Roman"/>
        </w:rPr>
        <w:t>:  LEAN/NCLC</w:t>
      </w:r>
    </w:p>
    <w:p w14:paraId="18716EA2" w14:textId="77777777" w:rsidR="00BB5D43" w:rsidRPr="00691ADD" w:rsidRDefault="00BB5D43" w:rsidP="00BB5D43">
      <w:pPr>
        <w:pStyle w:val="ListParagraph"/>
        <w:spacing w:after="120" w:line="360" w:lineRule="auto"/>
        <w:rPr>
          <w:rFonts w:ascii="Times New Roman" w:hAnsi="Times New Roman"/>
        </w:rPr>
      </w:pPr>
      <w:r w:rsidRPr="00691ADD">
        <w:rPr>
          <w:rFonts w:ascii="Times New Roman" w:hAnsi="Times New Roman"/>
          <w:b/>
        </w:rPr>
        <w:t>Proposal Statement</w:t>
      </w:r>
      <w:r w:rsidRPr="00691ADD">
        <w:rPr>
          <w:rFonts w:ascii="Times New Roman" w:hAnsi="Times New Roman"/>
        </w:rPr>
        <w:t>:  Consistent with energy efficiency objectives, such as adoption of Air Source Heat Pumps, as well as principles of least-cost to achieve stated goal.  Intended to accelerate targeted decommissioning.</w:t>
      </w:r>
    </w:p>
    <w:p w14:paraId="52ADFDF7" w14:textId="77777777" w:rsidR="00BB5D43" w:rsidRPr="00691ADD" w:rsidRDefault="00BB5D43" w:rsidP="00BB5D43">
      <w:pPr>
        <w:pStyle w:val="ListParagraph"/>
        <w:spacing w:after="120" w:line="360" w:lineRule="auto"/>
        <w:rPr>
          <w:rFonts w:ascii="Times New Roman" w:hAnsi="Times New Roman"/>
        </w:rPr>
      </w:pPr>
      <w:r w:rsidRPr="00691ADD">
        <w:rPr>
          <w:rFonts w:ascii="Times New Roman" w:hAnsi="Times New Roman"/>
          <w:b/>
        </w:rPr>
        <w:t>Supported by</w:t>
      </w:r>
      <w:r w:rsidRPr="00691ADD">
        <w:rPr>
          <w:rFonts w:ascii="Times New Roman" w:hAnsi="Times New Roman"/>
        </w:rPr>
        <w:t>:  Conservation Law Foundation</w:t>
      </w:r>
      <w:r>
        <w:rPr>
          <w:rFonts w:ascii="Times New Roman" w:hAnsi="Times New Roman"/>
        </w:rPr>
        <w:t xml:space="preserve">, </w:t>
      </w:r>
      <w:r w:rsidRPr="003B66BA">
        <w:rPr>
          <w:rFonts w:ascii="Times New Roman" w:hAnsi="Times New Roman"/>
          <w:highlight w:val="yellow"/>
        </w:rPr>
        <w:t>EEA Agencies</w:t>
      </w:r>
    </w:p>
    <w:p w14:paraId="77F4C0A6" w14:textId="77777777" w:rsidR="00BB5D43" w:rsidRPr="00691ADD" w:rsidRDefault="00BB5D43" w:rsidP="00BB5D43">
      <w:pPr>
        <w:pStyle w:val="ListParagraph"/>
        <w:spacing w:after="120" w:line="360" w:lineRule="auto"/>
        <w:rPr>
          <w:rFonts w:ascii="Times New Roman" w:hAnsi="Times New Roman"/>
        </w:rPr>
      </w:pPr>
      <w:r w:rsidRPr="00691ADD">
        <w:rPr>
          <w:rFonts w:ascii="Times New Roman" w:hAnsi="Times New Roman"/>
          <w:b/>
        </w:rPr>
        <w:t>Opposed by</w:t>
      </w:r>
      <w:r w:rsidRPr="00691ADD">
        <w:rPr>
          <w:rFonts w:ascii="Times New Roman" w:hAnsi="Times New Roman"/>
        </w:rPr>
        <w:t xml:space="preserve">:  NEGWA/USW; Eversource; Liberty; National Grid; </w:t>
      </w:r>
      <w:proofErr w:type="spellStart"/>
      <w:proofErr w:type="gramStart"/>
      <w:r w:rsidRPr="00691ADD">
        <w:rPr>
          <w:rFonts w:ascii="Times New Roman" w:hAnsi="Times New Roman"/>
        </w:rPr>
        <w:t>Unitil</w:t>
      </w:r>
      <w:proofErr w:type="spellEnd"/>
      <w:proofErr w:type="gramEnd"/>
    </w:p>
    <w:p w14:paraId="038F8AEF" w14:textId="77777777" w:rsidR="00BB5D43" w:rsidRDefault="00BB5D43" w:rsidP="00BB5D43">
      <w:pPr>
        <w:pStyle w:val="ListParagraph"/>
        <w:spacing w:after="120" w:line="360" w:lineRule="auto"/>
        <w:rPr>
          <w:rFonts w:ascii="Times New Roman" w:hAnsi="Times New Roman"/>
        </w:rPr>
      </w:pPr>
      <w:r w:rsidRPr="00691ADD">
        <w:rPr>
          <w:rFonts w:ascii="Times New Roman" w:hAnsi="Times New Roman"/>
          <w:b/>
        </w:rPr>
        <w:t>Abstain</w:t>
      </w:r>
      <w:r w:rsidRPr="00691ADD">
        <w:rPr>
          <w:rFonts w:ascii="Times New Roman" w:hAnsi="Times New Roman"/>
        </w:rPr>
        <w:t>: The Attorney General’s Office withholds support until there is clarification of what an “independent assessment” entails</w:t>
      </w:r>
    </w:p>
    <w:p w14:paraId="34D19238" w14:textId="77777777" w:rsidR="00BB5D43" w:rsidRDefault="00BB5D43" w:rsidP="00BB5D43">
      <w:pPr>
        <w:pStyle w:val="ListParagraph"/>
        <w:spacing w:after="120" w:line="360" w:lineRule="auto"/>
        <w:rPr>
          <w:rFonts w:ascii="Times New Roman" w:hAnsi="Times New Roman"/>
        </w:rPr>
      </w:pPr>
    </w:p>
    <w:p w14:paraId="66E34C4D" w14:textId="77777777" w:rsidR="00BB5D43" w:rsidRPr="00CB2C23" w:rsidRDefault="00BB5D43" w:rsidP="00BB5D43">
      <w:pPr>
        <w:pStyle w:val="ListParagraph"/>
        <w:spacing w:after="120"/>
        <w:ind w:left="1440" w:hanging="1440"/>
        <w:rPr>
          <w:rFonts w:ascii="Times New Roman" w:hAnsi="Times New Roman"/>
        </w:rPr>
      </w:pPr>
    </w:p>
    <w:p w14:paraId="722108DF" w14:textId="6302B51C" w:rsidR="00C701F9" w:rsidRPr="00BB5D43" w:rsidRDefault="007A6C86" w:rsidP="00BB5D43">
      <w:pPr>
        <w:pStyle w:val="ListParagraph"/>
        <w:numPr>
          <w:ilvl w:val="0"/>
          <w:numId w:val="6"/>
        </w:numPr>
        <w:spacing w:after="120"/>
        <w:jc w:val="center"/>
        <w:rPr>
          <w:rFonts w:ascii="Times New Roman" w:hAnsi="Times New Roman"/>
          <w:b/>
          <w:bCs/>
          <w:sz w:val="24"/>
          <w:szCs w:val="24"/>
        </w:rPr>
      </w:pPr>
      <w:r w:rsidRPr="00BB5D43">
        <w:rPr>
          <w:rFonts w:ascii="Times New Roman" w:hAnsi="Times New Roman"/>
          <w:b/>
          <w:bCs/>
          <w:sz w:val="24"/>
          <w:szCs w:val="24"/>
        </w:rPr>
        <w:t>New Statutory Language Proposals</w:t>
      </w:r>
      <w:r w:rsidR="00BB5D43">
        <w:rPr>
          <w:rFonts w:ascii="Times New Roman" w:hAnsi="Times New Roman"/>
          <w:b/>
          <w:bCs/>
          <w:sz w:val="24"/>
          <w:szCs w:val="24"/>
        </w:rPr>
        <w:t xml:space="preserve"> from EEA Agencies</w:t>
      </w:r>
    </w:p>
    <w:p w14:paraId="29EBA9BF" w14:textId="77777777" w:rsidR="00AB5F4F" w:rsidRDefault="00AB5F4F">
      <w:pPr>
        <w:spacing w:before="120" w:after="120" w:line="360" w:lineRule="auto"/>
        <w:jc w:val="center"/>
        <w:rPr>
          <w:rFonts w:ascii="Times New Roman" w:hAnsi="Times New Roman"/>
          <w:b/>
          <w:bCs/>
        </w:rPr>
      </w:pPr>
    </w:p>
    <w:p w14:paraId="2DEB3ECA" w14:textId="7D83C31F" w:rsidR="2167FFF4" w:rsidRDefault="2167FFF4" w:rsidP="1A47AB85">
      <w:pPr>
        <w:pStyle w:val="ListParagraph"/>
        <w:numPr>
          <w:ilvl w:val="0"/>
          <w:numId w:val="4"/>
        </w:numPr>
        <w:spacing w:before="160" w:after="0" w:line="360" w:lineRule="auto"/>
        <w:ind w:left="720"/>
        <w:rPr>
          <w:rFonts w:ascii="Times New Roman" w:eastAsia="Times New Roman" w:hAnsi="Times New Roman"/>
        </w:rPr>
      </w:pPr>
      <w:r w:rsidRPr="1A47AB85">
        <w:rPr>
          <w:rFonts w:ascii="Times New Roman" w:eastAsia="Times New Roman" w:hAnsi="Times New Roman"/>
        </w:rPr>
        <w:t>Addition to existing definition:</w:t>
      </w:r>
    </w:p>
    <w:p w14:paraId="4C5ACD83" w14:textId="5618D7A9" w:rsidR="2167FFF4" w:rsidRDefault="2167FFF4" w:rsidP="1A47AB85">
      <w:pPr>
        <w:pStyle w:val="ListParagraph"/>
        <w:numPr>
          <w:ilvl w:val="0"/>
          <w:numId w:val="4"/>
        </w:numPr>
        <w:spacing w:after="0" w:line="360" w:lineRule="auto"/>
        <w:ind w:left="1080"/>
        <w:rPr>
          <w:rFonts w:ascii="Times New Roman" w:eastAsia="Times New Roman" w:hAnsi="Times New Roman"/>
        </w:rPr>
      </w:pPr>
      <w:r w:rsidRPr="1A47AB85">
        <w:rPr>
          <w:rFonts w:ascii="Times New Roman" w:eastAsia="Times New Roman" w:hAnsi="Times New Roman"/>
        </w:rPr>
        <w:t>“Project,” an eligible infrastructure replacement project</w:t>
      </w:r>
      <w:r w:rsidRPr="1A47AB85">
        <w:rPr>
          <w:rFonts w:ascii="Times New Roman" w:eastAsia="Times New Roman" w:hAnsi="Times New Roman"/>
          <w:u w:val="single"/>
        </w:rPr>
        <w:t>, including a Decommissioning Plan,</w:t>
      </w:r>
      <w:r w:rsidRPr="1A47AB85">
        <w:rPr>
          <w:rFonts w:ascii="Times New Roman" w:eastAsia="Times New Roman" w:hAnsi="Times New Roman"/>
        </w:rPr>
        <w:t xml:space="preserve"> proposed by a gas company in a plan filed under this section. </w:t>
      </w:r>
    </w:p>
    <w:p w14:paraId="04B81493" w14:textId="7BE86B2D" w:rsidR="241E3591" w:rsidRDefault="241E3591" w:rsidP="1A47AB85">
      <w:pPr>
        <w:spacing w:after="0" w:line="360" w:lineRule="auto"/>
        <w:ind w:left="720"/>
        <w:rPr>
          <w:rFonts w:ascii="Times New Roman" w:eastAsia="Times New Roman" w:hAnsi="Times New Roman"/>
          <w:b/>
          <w:bCs/>
        </w:rPr>
      </w:pPr>
      <w:r w:rsidRPr="5E8B0F57">
        <w:rPr>
          <w:rFonts w:ascii="Times New Roman" w:eastAsia="Times New Roman" w:hAnsi="Times New Roman"/>
          <w:b/>
          <w:bCs/>
        </w:rPr>
        <w:t xml:space="preserve">Proposed by: </w:t>
      </w:r>
      <w:r w:rsidR="086011A0" w:rsidRPr="5E8B0F57">
        <w:rPr>
          <w:rFonts w:ascii="Times New Roman" w:eastAsia="Times New Roman" w:hAnsi="Times New Roman"/>
        </w:rPr>
        <w:t>EOEEA Agencies</w:t>
      </w:r>
    </w:p>
    <w:p w14:paraId="3CC57A02" w14:textId="7A8F1AAF" w:rsidR="241E3591" w:rsidRDefault="241E3591" w:rsidP="1A47AB85">
      <w:pPr>
        <w:spacing w:line="360" w:lineRule="auto"/>
        <w:ind w:left="720"/>
        <w:rPr>
          <w:rFonts w:ascii="Times New Roman" w:eastAsia="Times New Roman" w:hAnsi="Times New Roman"/>
        </w:rPr>
      </w:pPr>
      <w:r w:rsidRPr="1A47AB85">
        <w:rPr>
          <w:rFonts w:ascii="Times New Roman" w:eastAsia="Times New Roman" w:hAnsi="Times New Roman"/>
          <w:b/>
          <w:bCs/>
        </w:rPr>
        <w:t>Proposal Statement:</w:t>
      </w:r>
      <w:r w:rsidR="26D46B2E" w:rsidRPr="1A47AB85">
        <w:rPr>
          <w:rFonts w:ascii="Times New Roman" w:eastAsia="Times New Roman" w:hAnsi="Times New Roman"/>
          <w:b/>
          <w:bCs/>
        </w:rPr>
        <w:t xml:space="preserve">  </w:t>
      </w:r>
      <w:r w:rsidR="26D46B2E" w:rsidRPr="1A47AB85">
        <w:rPr>
          <w:rFonts w:ascii="Times New Roman" w:eastAsia="Times New Roman" w:hAnsi="Times New Roman"/>
        </w:rPr>
        <w:t xml:space="preserve">The </w:t>
      </w:r>
      <w:r w:rsidR="02FAAF22" w:rsidRPr="1A47AB85">
        <w:rPr>
          <w:rFonts w:ascii="Times New Roman" w:eastAsia="Times New Roman" w:hAnsi="Times New Roman"/>
        </w:rPr>
        <w:t xml:space="preserve">definition of “project” in the </w:t>
      </w:r>
      <w:r w:rsidR="26D46B2E" w:rsidRPr="1A47AB85">
        <w:rPr>
          <w:rFonts w:ascii="Times New Roman" w:eastAsia="Times New Roman" w:hAnsi="Times New Roman"/>
        </w:rPr>
        <w:t>GSEP statute needs to accommodate the situation where a non-gas pipe alternative involves the decommission</w:t>
      </w:r>
      <w:r w:rsidR="1424DA24" w:rsidRPr="1A47AB85">
        <w:rPr>
          <w:rFonts w:ascii="Times New Roman" w:eastAsia="Times New Roman" w:hAnsi="Times New Roman"/>
        </w:rPr>
        <w:t>ing</w:t>
      </w:r>
      <w:r w:rsidR="26D46B2E" w:rsidRPr="1A47AB85">
        <w:rPr>
          <w:rFonts w:ascii="Times New Roman" w:eastAsia="Times New Roman" w:hAnsi="Times New Roman"/>
        </w:rPr>
        <w:t xml:space="preserve"> of a portion of a gas company service territory in favor of a networked </w:t>
      </w:r>
      <w:r w:rsidR="60AF2F4A" w:rsidRPr="1A47AB85">
        <w:rPr>
          <w:rFonts w:ascii="Times New Roman" w:eastAsia="Times New Roman" w:hAnsi="Times New Roman"/>
        </w:rPr>
        <w:t xml:space="preserve">geothermal or electrification solution. </w:t>
      </w:r>
    </w:p>
    <w:p w14:paraId="7CEDD80D" w14:textId="111BE03D" w:rsidR="2167FFF4" w:rsidRDefault="2167FFF4" w:rsidP="1A47AB85">
      <w:pPr>
        <w:pStyle w:val="ListParagraph"/>
        <w:numPr>
          <w:ilvl w:val="0"/>
          <w:numId w:val="4"/>
        </w:numPr>
        <w:spacing w:line="360" w:lineRule="auto"/>
        <w:ind w:left="720"/>
        <w:rPr>
          <w:rFonts w:ascii="Times New Roman" w:eastAsia="Times New Roman" w:hAnsi="Times New Roman"/>
        </w:rPr>
      </w:pPr>
      <w:r w:rsidRPr="1A47AB85">
        <w:rPr>
          <w:rFonts w:ascii="Times New Roman" w:eastAsia="Times New Roman" w:hAnsi="Times New Roman"/>
        </w:rPr>
        <w:t>New definition:</w:t>
      </w:r>
    </w:p>
    <w:p w14:paraId="4FF991EB" w14:textId="3211E5F9" w:rsidR="2167FFF4" w:rsidRDefault="2167FFF4" w:rsidP="1A47AB85">
      <w:pPr>
        <w:pStyle w:val="ListParagraph"/>
        <w:numPr>
          <w:ilvl w:val="0"/>
          <w:numId w:val="4"/>
        </w:numPr>
        <w:spacing w:line="360" w:lineRule="auto"/>
        <w:ind w:left="1080"/>
        <w:rPr>
          <w:rFonts w:ascii="Times New Roman" w:eastAsia="Times New Roman" w:hAnsi="Times New Roman"/>
        </w:rPr>
      </w:pPr>
      <w:r w:rsidRPr="1A47AB85">
        <w:rPr>
          <w:rFonts w:ascii="Times New Roman" w:eastAsia="Times New Roman" w:hAnsi="Times New Roman"/>
        </w:rPr>
        <w:t xml:space="preserve">“Decommissioning Plan,” a proposal to decommission a portion of existing natural gas infrastructure to be replaced by a non-gas pipeline alternative. </w:t>
      </w:r>
    </w:p>
    <w:p w14:paraId="568560FD" w14:textId="20656761" w:rsidR="3882C852" w:rsidRDefault="3882C852" w:rsidP="1A47AB85">
      <w:pPr>
        <w:spacing w:after="0" w:line="360" w:lineRule="auto"/>
        <w:ind w:left="720"/>
        <w:rPr>
          <w:rFonts w:ascii="Times New Roman" w:eastAsia="Times New Roman" w:hAnsi="Times New Roman"/>
          <w:b/>
          <w:bCs/>
        </w:rPr>
      </w:pPr>
      <w:r w:rsidRPr="5E8B0F57">
        <w:rPr>
          <w:rFonts w:ascii="Times New Roman" w:eastAsia="Times New Roman" w:hAnsi="Times New Roman"/>
          <w:b/>
          <w:bCs/>
        </w:rPr>
        <w:t xml:space="preserve">Proposed by: </w:t>
      </w:r>
      <w:r w:rsidR="6579505F" w:rsidRPr="5E8B0F57">
        <w:rPr>
          <w:rFonts w:ascii="Times New Roman" w:eastAsia="Times New Roman" w:hAnsi="Times New Roman"/>
        </w:rPr>
        <w:t xml:space="preserve">EOEEA Agencies </w:t>
      </w:r>
    </w:p>
    <w:p w14:paraId="133C10B0" w14:textId="57C17418" w:rsidR="3882C852" w:rsidRDefault="3882C852" w:rsidP="1A47AB85">
      <w:pPr>
        <w:spacing w:after="0" w:line="360" w:lineRule="auto"/>
        <w:ind w:left="720"/>
        <w:rPr>
          <w:rFonts w:ascii="Times New Roman" w:eastAsia="Times New Roman" w:hAnsi="Times New Roman"/>
        </w:rPr>
      </w:pPr>
      <w:r w:rsidRPr="1A47AB85">
        <w:rPr>
          <w:rFonts w:ascii="Times New Roman" w:eastAsia="Times New Roman" w:hAnsi="Times New Roman"/>
          <w:b/>
          <w:bCs/>
        </w:rPr>
        <w:t>Proposal Statement:</w:t>
      </w:r>
      <w:r w:rsidR="7C9418BD" w:rsidRPr="1A47AB85">
        <w:rPr>
          <w:rFonts w:ascii="Times New Roman" w:eastAsia="Times New Roman" w:hAnsi="Times New Roman"/>
          <w:b/>
          <w:bCs/>
        </w:rPr>
        <w:t xml:space="preserve">  </w:t>
      </w:r>
      <w:r w:rsidR="7C9418BD" w:rsidRPr="1A47AB85">
        <w:rPr>
          <w:rFonts w:ascii="Times New Roman" w:eastAsia="Times New Roman" w:hAnsi="Times New Roman"/>
        </w:rPr>
        <w:t xml:space="preserve">Decommissioning a portion of a gas company service territory raises unique issues regarding the obligation of a gas company to continue to provide natural gas service to an existing customer. </w:t>
      </w:r>
      <w:r w:rsidR="4455C9F0" w:rsidRPr="1A47AB85">
        <w:rPr>
          <w:rFonts w:ascii="Times New Roman" w:eastAsia="Times New Roman" w:hAnsi="Times New Roman"/>
        </w:rPr>
        <w:t>Creating a defined term for “Decommissioning Plan” is necessary to address these issues.</w:t>
      </w:r>
    </w:p>
    <w:p w14:paraId="5567615A" w14:textId="6D6A30D1" w:rsidR="2167FFF4" w:rsidRDefault="2167FFF4" w:rsidP="1A47AB85">
      <w:pPr>
        <w:pStyle w:val="ListParagraph"/>
        <w:numPr>
          <w:ilvl w:val="0"/>
          <w:numId w:val="4"/>
        </w:numPr>
        <w:spacing w:before="160" w:after="0" w:line="360" w:lineRule="auto"/>
        <w:ind w:left="720"/>
        <w:rPr>
          <w:rFonts w:ascii="Times New Roman" w:eastAsia="Times New Roman" w:hAnsi="Times New Roman"/>
        </w:rPr>
      </w:pPr>
      <w:r w:rsidRPr="1A47AB85">
        <w:rPr>
          <w:rFonts w:ascii="Times New Roman" w:eastAsia="Times New Roman" w:hAnsi="Times New Roman"/>
        </w:rPr>
        <w:t>New section:</w:t>
      </w:r>
    </w:p>
    <w:p w14:paraId="6B977ACA" w14:textId="537EC571" w:rsidR="2167FFF4" w:rsidRDefault="2167FFF4" w:rsidP="1A47AB85">
      <w:pPr>
        <w:pStyle w:val="ListParagraph"/>
        <w:numPr>
          <w:ilvl w:val="0"/>
          <w:numId w:val="4"/>
        </w:numPr>
        <w:spacing w:after="0" w:line="360" w:lineRule="auto"/>
        <w:ind w:left="1080"/>
        <w:rPr>
          <w:rFonts w:ascii="Times New Roman" w:eastAsia="Times New Roman" w:hAnsi="Times New Roman"/>
        </w:rPr>
      </w:pPr>
      <w:r w:rsidRPr="1A47AB85">
        <w:rPr>
          <w:rFonts w:ascii="Times New Roman" w:eastAsia="Times New Roman" w:hAnsi="Times New Roman"/>
        </w:rPr>
        <w:lastRenderedPageBreak/>
        <w:t>Pursuant to a Decommissioning Plan approved by the Department, a gas company may terminate natural gas service to a customer where such Plan provides that the heating function provided to such customer by natural gas is replaced by a non-gas pipeline alternative that provides substantially similar service to such customer, as determined by the Department.  Not later than 180 days after the effective date of this act, the Department shall promulgate regulations governing the terms (including notice requirements and provisions protecting such customer from service interruption) under which a gas company may terminate natural gas service pursuant to this section.</w:t>
      </w:r>
    </w:p>
    <w:p w14:paraId="57AE1843" w14:textId="61F41399" w:rsidR="5333AF27" w:rsidRDefault="5333AF27" w:rsidP="1A47AB85">
      <w:pPr>
        <w:spacing w:after="0" w:line="360" w:lineRule="auto"/>
        <w:ind w:left="720"/>
        <w:rPr>
          <w:rFonts w:ascii="Times New Roman" w:eastAsia="Times New Roman" w:hAnsi="Times New Roman"/>
        </w:rPr>
      </w:pPr>
      <w:r w:rsidRPr="1A47AB85">
        <w:rPr>
          <w:rFonts w:ascii="Times New Roman" w:eastAsia="Times New Roman" w:hAnsi="Times New Roman"/>
          <w:b/>
          <w:bCs/>
        </w:rPr>
        <w:t xml:space="preserve">Proposed by: </w:t>
      </w:r>
      <w:r w:rsidRPr="1A47AB85">
        <w:rPr>
          <w:rFonts w:ascii="Times New Roman" w:eastAsia="Times New Roman" w:hAnsi="Times New Roman"/>
        </w:rPr>
        <w:t>EOEEA Agencies</w:t>
      </w:r>
    </w:p>
    <w:p w14:paraId="380C4D36" w14:textId="46C53887" w:rsidR="5333AF27" w:rsidRDefault="5333AF27" w:rsidP="1A47AB85">
      <w:pPr>
        <w:spacing w:after="0" w:line="360" w:lineRule="auto"/>
        <w:ind w:left="720"/>
        <w:rPr>
          <w:rFonts w:ascii="Times New Roman" w:eastAsia="Times New Roman" w:hAnsi="Times New Roman"/>
        </w:rPr>
      </w:pPr>
      <w:r w:rsidRPr="1A47AB85">
        <w:rPr>
          <w:rFonts w:ascii="Times New Roman" w:eastAsia="Times New Roman" w:hAnsi="Times New Roman"/>
          <w:b/>
          <w:bCs/>
        </w:rPr>
        <w:t>Proposal Statement:</w:t>
      </w:r>
      <w:r w:rsidR="4A382E32" w:rsidRPr="1A47AB85">
        <w:rPr>
          <w:rFonts w:ascii="Times New Roman" w:eastAsia="Times New Roman" w:hAnsi="Times New Roman"/>
          <w:b/>
          <w:bCs/>
        </w:rPr>
        <w:t xml:space="preserve"> </w:t>
      </w:r>
      <w:r w:rsidR="2DCD098F" w:rsidRPr="1A47AB85">
        <w:rPr>
          <w:rFonts w:ascii="Times New Roman" w:eastAsia="Times New Roman" w:hAnsi="Times New Roman"/>
        </w:rPr>
        <w:t xml:space="preserve">A non-gas pipe alternative may involve the decommissioning of a portion of a gas company service territory in favor of a network geothermal or electrification project. An </w:t>
      </w:r>
      <w:r w:rsidR="0FD5B1C5" w:rsidRPr="1A47AB85">
        <w:rPr>
          <w:rFonts w:ascii="Times New Roman" w:eastAsia="Times New Roman" w:hAnsi="Times New Roman"/>
        </w:rPr>
        <w:t>otherwise cost-effective and feasible decommissioning project may be thwarted, however, by one or more customers declining to participate o</w:t>
      </w:r>
      <w:r w:rsidR="096F1B61" w:rsidRPr="1A47AB85">
        <w:rPr>
          <w:rFonts w:ascii="Times New Roman" w:eastAsia="Times New Roman" w:hAnsi="Times New Roman"/>
        </w:rPr>
        <w:t xml:space="preserve">r otherwise refusing to consent to termination of natural gas service, even though the essential heating service would be replaced by a substantially similar </w:t>
      </w:r>
      <w:r w:rsidR="3E813B89" w:rsidRPr="1A47AB85">
        <w:rPr>
          <w:rFonts w:ascii="Times New Roman" w:eastAsia="Times New Roman" w:hAnsi="Times New Roman"/>
        </w:rPr>
        <w:t xml:space="preserve">service in the form of a heat pump, </w:t>
      </w:r>
      <w:r w:rsidR="003D29DF">
        <w:rPr>
          <w:rFonts w:ascii="Times New Roman" w:eastAsia="Times New Roman" w:hAnsi="Times New Roman"/>
        </w:rPr>
        <w:t>e.g.,</w:t>
      </w:r>
      <w:r w:rsidR="003D29DF" w:rsidRPr="1A47AB85">
        <w:rPr>
          <w:rFonts w:ascii="Times New Roman" w:eastAsia="Times New Roman" w:hAnsi="Times New Roman"/>
        </w:rPr>
        <w:t xml:space="preserve"> </w:t>
      </w:r>
      <w:r w:rsidR="3E813B89" w:rsidRPr="1A47AB85">
        <w:rPr>
          <w:rFonts w:ascii="Times New Roman" w:eastAsia="Times New Roman" w:hAnsi="Times New Roman"/>
        </w:rPr>
        <w:t>an air source heat pump</w:t>
      </w:r>
      <w:r w:rsidR="004837A7">
        <w:rPr>
          <w:rFonts w:ascii="Times New Roman" w:eastAsia="Times New Roman" w:hAnsi="Times New Roman"/>
        </w:rPr>
        <w:t>, ground source heat pump,</w:t>
      </w:r>
      <w:r w:rsidR="3E813B89" w:rsidRPr="1A47AB85">
        <w:rPr>
          <w:rFonts w:ascii="Times New Roman" w:eastAsia="Times New Roman" w:hAnsi="Times New Roman"/>
        </w:rPr>
        <w:t xml:space="preserve"> or a ground source heat pump as a part of a network geothermal project. </w:t>
      </w:r>
      <w:r w:rsidR="5F2EC8F0" w:rsidRPr="1A47AB85">
        <w:rPr>
          <w:rFonts w:ascii="Times New Roman" w:eastAsia="Times New Roman" w:hAnsi="Times New Roman"/>
        </w:rPr>
        <w:t>This new section would allow the gas company to terminate service where the Department approves a Decommissioning Plan and such Plan ensures that the custom</w:t>
      </w:r>
      <w:r w:rsidR="53E70230" w:rsidRPr="1A47AB85">
        <w:rPr>
          <w:rFonts w:ascii="Times New Roman" w:eastAsia="Times New Roman" w:hAnsi="Times New Roman"/>
        </w:rPr>
        <w:t xml:space="preserve">er would continue to receive a substantially similar service. The Department would be required to promulgate regulations governing such situations, and those regulations would ensure proper notice to affected customers and other protections to </w:t>
      </w:r>
      <w:r w:rsidR="003D29DF" w:rsidRPr="1A47AB85">
        <w:rPr>
          <w:rFonts w:ascii="Times New Roman" w:eastAsia="Times New Roman" w:hAnsi="Times New Roman"/>
        </w:rPr>
        <w:t>avoid</w:t>
      </w:r>
      <w:r w:rsidR="53E70230" w:rsidRPr="1A47AB85">
        <w:rPr>
          <w:rFonts w:ascii="Times New Roman" w:eastAsia="Times New Roman" w:hAnsi="Times New Roman"/>
        </w:rPr>
        <w:t xml:space="preserve"> service interruption.</w:t>
      </w:r>
      <w:r w:rsidR="0FD5B1C5" w:rsidRPr="1A47AB85">
        <w:rPr>
          <w:rFonts w:ascii="Times New Roman" w:eastAsia="Times New Roman" w:hAnsi="Times New Roman"/>
        </w:rPr>
        <w:t xml:space="preserve"> </w:t>
      </w:r>
    </w:p>
    <w:p w14:paraId="155D01B0" w14:textId="77777777" w:rsidR="00CA7808" w:rsidRDefault="00CA7808" w:rsidP="1A47AB85">
      <w:pPr>
        <w:spacing w:after="0" w:line="360" w:lineRule="auto"/>
        <w:ind w:left="720"/>
        <w:rPr>
          <w:rFonts w:ascii="Times New Roman" w:eastAsia="Times New Roman" w:hAnsi="Times New Roman"/>
        </w:rPr>
      </w:pPr>
    </w:p>
    <w:sectPr w:rsidR="00CA7808">
      <w:headerReference w:type="default" r:id="rId10"/>
      <w:footerReference w:type="default" r:id="rId11"/>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93B2B" w14:textId="77777777" w:rsidR="008B2F60" w:rsidRDefault="008B2F60">
      <w:pPr>
        <w:spacing w:after="0" w:line="240" w:lineRule="auto"/>
      </w:pPr>
      <w:r>
        <w:separator/>
      </w:r>
    </w:p>
  </w:endnote>
  <w:endnote w:type="continuationSeparator" w:id="0">
    <w:p w14:paraId="45CF677D" w14:textId="77777777" w:rsidR="008B2F60" w:rsidRDefault="008B2F60">
      <w:pPr>
        <w:spacing w:after="0" w:line="240" w:lineRule="auto"/>
      </w:pPr>
      <w:r>
        <w:continuationSeparator/>
      </w:r>
    </w:p>
  </w:endnote>
  <w:endnote w:type="continuationNotice" w:id="1">
    <w:p w14:paraId="6FCF4F0E" w14:textId="77777777" w:rsidR="008B2F60" w:rsidRDefault="008B2F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56948269"/>
      <w:docPartObj>
        <w:docPartGallery w:val="Page Numbers (Bottom of Page)"/>
        <w:docPartUnique/>
      </w:docPartObj>
    </w:sdtPr>
    <w:sdtEndPr>
      <w:rPr>
        <w:noProof/>
      </w:rPr>
    </w:sdtEndPr>
    <w:sdtContent>
      <w:p w14:paraId="4A615572" w14:textId="01E6A082" w:rsidR="00C25DB2" w:rsidRDefault="00C25DB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4F8C994" w14:textId="77777777" w:rsidR="00C25DB2" w:rsidRDefault="00C25D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2D8E3" w14:textId="77777777" w:rsidR="008B2F60" w:rsidRDefault="008B2F60">
      <w:pPr>
        <w:spacing w:after="0" w:line="240" w:lineRule="auto"/>
      </w:pPr>
      <w:r>
        <w:rPr>
          <w:color w:val="000000"/>
        </w:rPr>
        <w:separator/>
      </w:r>
    </w:p>
  </w:footnote>
  <w:footnote w:type="continuationSeparator" w:id="0">
    <w:p w14:paraId="6076E11D" w14:textId="77777777" w:rsidR="008B2F60" w:rsidRDefault="008B2F60">
      <w:pPr>
        <w:spacing w:after="0" w:line="240" w:lineRule="auto"/>
      </w:pPr>
      <w:r>
        <w:continuationSeparator/>
      </w:r>
    </w:p>
  </w:footnote>
  <w:footnote w:type="continuationNotice" w:id="1">
    <w:p w14:paraId="6108A737" w14:textId="77777777" w:rsidR="008B2F60" w:rsidRDefault="008B2F6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FD2557" w14:textId="0B3BF325" w:rsidR="00C701F9" w:rsidRDefault="00C701F9">
    <w:pPr>
      <w:pStyle w:val="Header"/>
    </w:pPr>
    <w:r>
      <w:tab/>
    </w:r>
    <w:r>
      <w:tab/>
    </w:r>
    <w:r w:rsidR="007A6C86">
      <w:t>January 5, 2024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F6C70"/>
    <w:multiLevelType w:val="hybridMultilevel"/>
    <w:tmpl w:val="C77426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AEF5D39"/>
    <w:multiLevelType w:val="multilevel"/>
    <w:tmpl w:val="3AB20B0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339B6BFE"/>
    <w:multiLevelType w:val="hybridMultilevel"/>
    <w:tmpl w:val="897A7EB8"/>
    <w:lvl w:ilvl="0" w:tplc="9858CD6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C25259C"/>
    <w:multiLevelType w:val="multilevel"/>
    <w:tmpl w:val="095A34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63015729"/>
    <w:multiLevelType w:val="hybridMultilevel"/>
    <w:tmpl w:val="025CE648"/>
    <w:lvl w:ilvl="0" w:tplc="0409000F">
      <w:start w:val="1"/>
      <w:numFmt w:val="decimal"/>
      <w:lvlText w:val="%1."/>
      <w:lvlJc w:val="left"/>
      <w:pPr>
        <w:ind w:left="765" w:hanging="360"/>
      </w:pPr>
    </w:lvl>
    <w:lvl w:ilvl="1" w:tplc="04090019">
      <w:start w:val="1"/>
      <w:numFmt w:val="lowerLetter"/>
      <w:lvlText w:val="%2."/>
      <w:lvlJc w:val="left"/>
      <w:pPr>
        <w:ind w:left="1485" w:hanging="360"/>
      </w:pPr>
    </w:lvl>
    <w:lvl w:ilvl="2" w:tplc="0409001B">
      <w:start w:val="1"/>
      <w:numFmt w:val="lowerRoman"/>
      <w:lvlText w:val="%3."/>
      <w:lvlJc w:val="right"/>
      <w:pPr>
        <w:ind w:left="2205" w:hanging="180"/>
      </w:pPr>
    </w:lvl>
    <w:lvl w:ilvl="3" w:tplc="0409000F">
      <w:start w:val="1"/>
      <w:numFmt w:val="decimal"/>
      <w:lvlText w:val="%4."/>
      <w:lvlJc w:val="left"/>
      <w:pPr>
        <w:ind w:left="2925" w:hanging="360"/>
      </w:pPr>
    </w:lvl>
    <w:lvl w:ilvl="4" w:tplc="04090019">
      <w:start w:val="1"/>
      <w:numFmt w:val="lowerLetter"/>
      <w:lvlText w:val="%5."/>
      <w:lvlJc w:val="left"/>
      <w:pPr>
        <w:ind w:left="3645" w:hanging="360"/>
      </w:pPr>
    </w:lvl>
    <w:lvl w:ilvl="5" w:tplc="0409001B">
      <w:start w:val="1"/>
      <w:numFmt w:val="lowerRoman"/>
      <w:lvlText w:val="%6."/>
      <w:lvlJc w:val="right"/>
      <w:pPr>
        <w:ind w:left="4365" w:hanging="180"/>
      </w:pPr>
    </w:lvl>
    <w:lvl w:ilvl="6" w:tplc="0409000F">
      <w:start w:val="1"/>
      <w:numFmt w:val="decimal"/>
      <w:lvlText w:val="%7."/>
      <w:lvlJc w:val="left"/>
      <w:pPr>
        <w:ind w:left="5085" w:hanging="360"/>
      </w:pPr>
    </w:lvl>
    <w:lvl w:ilvl="7" w:tplc="04090019">
      <w:start w:val="1"/>
      <w:numFmt w:val="lowerLetter"/>
      <w:lvlText w:val="%8."/>
      <w:lvlJc w:val="left"/>
      <w:pPr>
        <w:ind w:left="5805" w:hanging="360"/>
      </w:pPr>
    </w:lvl>
    <w:lvl w:ilvl="8" w:tplc="0409001B">
      <w:start w:val="1"/>
      <w:numFmt w:val="lowerRoman"/>
      <w:lvlText w:val="%9."/>
      <w:lvlJc w:val="right"/>
      <w:pPr>
        <w:ind w:left="6525" w:hanging="180"/>
      </w:pPr>
    </w:lvl>
  </w:abstractNum>
  <w:abstractNum w:abstractNumId="5" w15:restartNumberingAfterBreak="0">
    <w:nsid w:val="7AEA42ED"/>
    <w:multiLevelType w:val="multilevel"/>
    <w:tmpl w:val="5A8C159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044210805">
    <w:abstractNumId w:val="5"/>
  </w:num>
  <w:num w:numId="2" w16cid:durableId="560679060">
    <w:abstractNumId w:val="3"/>
  </w:num>
  <w:num w:numId="3" w16cid:durableId="1799297022">
    <w:abstractNumId w:val="1"/>
  </w:num>
  <w:num w:numId="4" w16cid:durableId="518155117">
    <w:abstractNumId w:val="0"/>
  </w:num>
  <w:num w:numId="5" w16cid:durableId="13252933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35006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B5F4F"/>
    <w:rsid w:val="00045F55"/>
    <w:rsid w:val="000667ED"/>
    <w:rsid w:val="000A3E0C"/>
    <w:rsid w:val="000D10A3"/>
    <w:rsid w:val="000D6568"/>
    <w:rsid w:val="00124038"/>
    <w:rsid w:val="00130A88"/>
    <w:rsid w:val="00146D0B"/>
    <w:rsid w:val="001A050B"/>
    <w:rsid w:val="001C4F2E"/>
    <w:rsid w:val="001D2E0D"/>
    <w:rsid w:val="001E7BB3"/>
    <w:rsid w:val="00207662"/>
    <w:rsid w:val="002A0925"/>
    <w:rsid w:val="002E2CAC"/>
    <w:rsid w:val="002E5A59"/>
    <w:rsid w:val="003478AC"/>
    <w:rsid w:val="00371813"/>
    <w:rsid w:val="00380114"/>
    <w:rsid w:val="00397105"/>
    <w:rsid w:val="003C453F"/>
    <w:rsid w:val="003D29DF"/>
    <w:rsid w:val="004201A5"/>
    <w:rsid w:val="004837A7"/>
    <w:rsid w:val="00487A72"/>
    <w:rsid w:val="00492421"/>
    <w:rsid w:val="00545104"/>
    <w:rsid w:val="00565DCB"/>
    <w:rsid w:val="005D53EC"/>
    <w:rsid w:val="005F0B86"/>
    <w:rsid w:val="00601340"/>
    <w:rsid w:val="00640AA4"/>
    <w:rsid w:val="006568B7"/>
    <w:rsid w:val="00661C47"/>
    <w:rsid w:val="00691ADD"/>
    <w:rsid w:val="006D0D22"/>
    <w:rsid w:val="007262C4"/>
    <w:rsid w:val="0072747A"/>
    <w:rsid w:val="0079762C"/>
    <w:rsid w:val="007A6C86"/>
    <w:rsid w:val="007F3E86"/>
    <w:rsid w:val="007F8629"/>
    <w:rsid w:val="008B2F60"/>
    <w:rsid w:val="008C155A"/>
    <w:rsid w:val="008D4063"/>
    <w:rsid w:val="008D6780"/>
    <w:rsid w:val="00942D8B"/>
    <w:rsid w:val="00955BF3"/>
    <w:rsid w:val="00965C7F"/>
    <w:rsid w:val="00985917"/>
    <w:rsid w:val="00A148D4"/>
    <w:rsid w:val="00A42937"/>
    <w:rsid w:val="00AB5F4F"/>
    <w:rsid w:val="00AB661A"/>
    <w:rsid w:val="00AC1B58"/>
    <w:rsid w:val="00B579CE"/>
    <w:rsid w:val="00B770A0"/>
    <w:rsid w:val="00BB5D43"/>
    <w:rsid w:val="00BD52AE"/>
    <w:rsid w:val="00BE23A1"/>
    <w:rsid w:val="00BF431E"/>
    <w:rsid w:val="00C25DB2"/>
    <w:rsid w:val="00C701F9"/>
    <w:rsid w:val="00C817CC"/>
    <w:rsid w:val="00C864CE"/>
    <w:rsid w:val="00C978F4"/>
    <w:rsid w:val="00CA7808"/>
    <w:rsid w:val="00CF2A9D"/>
    <w:rsid w:val="00D752B5"/>
    <w:rsid w:val="00D91C82"/>
    <w:rsid w:val="00DD6D43"/>
    <w:rsid w:val="00E13E6F"/>
    <w:rsid w:val="00F029B7"/>
    <w:rsid w:val="00F5289B"/>
    <w:rsid w:val="02FAAF22"/>
    <w:rsid w:val="061F4C63"/>
    <w:rsid w:val="07BB1CC4"/>
    <w:rsid w:val="086011A0"/>
    <w:rsid w:val="088A980E"/>
    <w:rsid w:val="096F1B61"/>
    <w:rsid w:val="0BC238D0"/>
    <w:rsid w:val="0EF9D992"/>
    <w:rsid w:val="0FD5B1C5"/>
    <w:rsid w:val="1145A4E7"/>
    <w:rsid w:val="1424DA24"/>
    <w:rsid w:val="14D3E6AE"/>
    <w:rsid w:val="15691B16"/>
    <w:rsid w:val="166FB70F"/>
    <w:rsid w:val="1A47AB85"/>
    <w:rsid w:val="1BE04A20"/>
    <w:rsid w:val="20169955"/>
    <w:rsid w:val="2167FFF4"/>
    <w:rsid w:val="241E3591"/>
    <w:rsid w:val="24EA0A78"/>
    <w:rsid w:val="26D46B2E"/>
    <w:rsid w:val="2722FCC7"/>
    <w:rsid w:val="282998C0"/>
    <w:rsid w:val="2DCD098F"/>
    <w:rsid w:val="2E98DA44"/>
    <w:rsid w:val="3034AAA5"/>
    <w:rsid w:val="31D07B06"/>
    <w:rsid w:val="3882C852"/>
    <w:rsid w:val="3B32338C"/>
    <w:rsid w:val="3E69D44E"/>
    <w:rsid w:val="3E813B89"/>
    <w:rsid w:val="41BA9D6D"/>
    <w:rsid w:val="41CD7673"/>
    <w:rsid w:val="4455C9F0"/>
    <w:rsid w:val="45F8DA28"/>
    <w:rsid w:val="4A382E32"/>
    <w:rsid w:val="4C681BAC"/>
    <w:rsid w:val="513B8CCF"/>
    <w:rsid w:val="5333AF27"/>
    <w:rsid w:val="53E70230"/>
    <w:rsid w:val="5DEE0E74"/>
    <w:rsid w:val="5E8B0F57"/>
    <w:rsid w:val="5F2EC8F0"/>
    <w:rsid w:val="60AF2F4A"/>
    <w:rsid w:val="6579505F"/>
    <w:rsid w:val="6ABB56A5"/>
    <w:rsid w:val="6DF6292D"/>
    <w:rsid w:val="6F91F98E"/>
    <w:rsid w:val="746238EB"/>
    <w:rsid w:val="7799D9AD"/>
    <w:rsid w:val="7C9418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CFF762"/>
  <w15:docId w15:val="{00DE8201-49B9-4FF0-97DD-383D9C06AA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US" w:eastAsia="en-US" w:bidi="ar-SA"/>
      </w:rPr>
    </w:rPrDefault>
    <w:pPrDefault>
      <w:pPr>
        <w:autoSpaceDN w:val="0"/>
        <w:spacing w:after="160" w:line="25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251" w:lineRule="auto"/>
    </w:pPr>
    <w:rPr>
      <w:kern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563C1"/>
      <w:u w:val="single"/>
    </w:rPr>
  </w:style>
  <w:style w:type="paragraph" w:styleId="FootnoteText">
    <w:name w:val="footnote text"/>
    <w:basedOn w:val="Normal"/>
    <w:pPr>
      <w:spacing w:after="0" w:line="240" w:lineRule="auto"/>
    </w:pPr>
    <w:rPr>
      <w:sz w:val="20"/>
      <w:szCs w:val="20"/>
    </w:rPr>
  </w:style>
  <w:style w:type="character" w:customStyle="1" w:styleId="FootnoteTextChar">
    <w:name w:val="Footnote Text Char"/>
    <w:basedOn w:val="DefaultParagraphFont"/>
    <w:rPr>
      <w:kern w:val="3"/>
      <w:sz w:val="20"/>
      <w:szCs w:val="20"/>
    </w:rPr>
  </w:style>
  <w:style w:type="paragraph" w:styleId="ListParagraph">
    <w:name w:val="List Paragraph"/>
    <w:basedOn w:val="Normal"/>
    <w:qFormat/>
    <w:pPr>
      <w:ind w:left="720"/>
      <w:contextualSpacing/>
    </w:pPr>
  </w:style>
  <w:style w:type="character" w:styleId="FootnoteReference">
    <w:name w:val="footnote reference"/>
    <w:basedOn w:val="DefaultParagraphFont"/>
    <w:rPr>
      <w:position w:val="0"/>
      <w:vertAlign w:val="superscript"/>
    </w:rPr>
  </w:style>
  <w:style w:type="paragraph" w:styleId="Header">
    <w:name w:val="header"/>
    <w:basedOn w:val="Normal"/>
    <w:pPr>
      <w:tabs>
        <w:tab w:val="center" w:pos="4680"/>
        <w:tab w:val="right" w:pos="9360"/>
      </w:tabs>
      <w:suppressAutoHyphens w:val="0"/>
      <w:spacing w:after="0" w:line="240" w:lineRule="auto"/>
    </w:pPr>
  </w:style>
  <w:style w:type="character" w:customStyle="1" w:styleId="HeaderChar">
    <w:name w:val="Header Char"/>
    <w:basedOn w:val="DefaultParagraphFont"/>
    <w:rPr>
      <w:rFonts w:ascii="Calibri" w:eastAsia="Calibri" w:hAnsi="Calibri" w:cs="Times New Roman"/>
      <w:kern w:val="3"/>
    </w:rPr>
  </w:style>
  <w:style w:type="paragraph" w:styleId="Footer">
    <w:name w:val="footer"/>
    <w:basedOn w:val="Normal"/>
    <w:link w:val="FooterChar"/>
    <w:uiPriority w:val="99"/>
    <w:unhideWhenUsed/>
    <w:rsid w:val="00C701F9"/>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01F9"/>
    <w:rPr>
      <w:kern w:val="3"/>
    </w:rPr>
  </w:style>
  <w:style w:type="character" w:styleId="UnresolvedMention">
    <w:name w:val="Unresolved Mention"/>
    <w:basedOn w:val="DefaultParagraphFont"/>
    <w:uiPriority w:val="99"/>
    <w:semiHidden/>
    <w:unhideWhenUsed/>
    <w:rsid w:val="00640AA4"/>
    <w:rPr>
      <w:color w:val="605E5C"/>
      <w:shd w:val="clear" w:color="auto" w:fill="E1DFDD"/>
    </w:rPr>
  </w:style>
  <w:style w:type="character" w:styleId="CommentReference">
    <w:name w:val="annotation reference"/>
    <w:basedOn w:val="DefaultParagraphFont"/>
    <w:uiPriority w:val="99"/>
    <w:semiHidden/>
    <w:unhideWhenUsed/>
    <w:rsid w:val="00146D0B"/>
    <w:rPr>
      <w:sz w:val="16"/>
      <w:szCs w:val="16"/>
    </w:rPr>
  </w:style>
  <w:style w:type="paragraph" w:styleId="CommentText">
    <w:name w:val="annotation text"/>
    <w:basedOn w:val="Normal"/>
    <w:link w:val="CommentTextChar"/>
    <w:uiPriority w:val="99"/>
    <w:unhideWhenUsed/>
    <w:rsid w:val="00146D0B"/>
    <w:pPr>
      <w:spacing w:line="240" w:lineRule="auto"/>
    </w:pPr>
    <w:rPr>
      <w:sz w:val="20"/>
      <w:szCs w:val="20"/>
    </w:rPr>
  </w:style>
  <w:style w:type="character" w:customStyle="1" w:styleId="CommentTextChar">
    <w:name w:val="Comment Text Char"/>
    <w:basedOn w:val="DefaultParagraphFont"/>
    <w:link w:val="CommentText"/>
    <w:uiPriority w:val="99"/>
    <w:rsid w:val="00146D0B"/>
    <w:rPr>
      <w:kern w:val="3"/>
      <w:sz w:val="20"/>
      <w:szCs w:val="20"/>
    </w:rPr>
  </w:style>
  <w:style w:type="paragraph" w:styleId="CommentSubject">
    <w:name w:val="annotation subject"/>
    <w:basedOn w:val="CommentText"/>
    <w:next w:val="CommentText"/>
    <w:link w:val="CommentSubjectChar"/>
    <w:uiPriority w:val="99"/>
    <w:semiHidden/>
    <w:unhideWhenUsed/>
    <w:rsid w:val="00146D0B"/>
    <w:rPr>
      <w:b/>
      <w:bCs/>
    </w:rPr>
  </w:style>
  <w:style w:type="character" w:customStyle="1" w:styleId="CommentSubjectChar">
    <w:name w:val="Comment Subject Char"/>
    <w:basedOn w:val="CommentTextChar"/>
    <w:link w:val="CommentSubject"/>
    <w:uiPriority w:val="99"/>
    <w:semiHidden/>
    <w:rsid w:val="00146D0B"/>
    <w:rPr>
      <w:b/>
      <w:bCs/>
      <w:kern w:val="3"/>
      <w:sz w:val="20"/>
      <w:szCs w:val="20"/>
    </w:rPr>
  </w:style>
  <w:style w:type="paragraph" w:styleId="Revision">
    <w:name w:val="Revision"/>
    <w:hidden/>
    <w:uiPriority w:val="99"/>
    <w:semiHidden/>
    <w:rsid w:val="003D29DF"/>
    <w:pPr>
      <w:autoSpaceDN/>
      <w:spacing w:after="0" w:line="240" w:lineRule="auto"/>
    </w:pPr>
    <w:rPr>
      <w:kern w:val="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56568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284A1D07686949B5CDC9B8AB8768E2" ma:contentTypeVersion="15" ma:contentTypeDescription="Create a new document." ma:contentTypeScope="" ma:versionID="0e944c903dd51d2593d3df8dfc3a2406">
  <xsd:schema xmlns:xsd="http://www.w3.org/2001/XMLSchema" xmlns:xs="http://www.w3.org/2001/XMLSchema" xmlns:p="http://schemas.microsoft.com/office/2006/metadata/properties" xmlns:ns2="2e793e6c-f80b-4f46-85b7-81c39eb90350" xmlns:ns3="7b83dbe2-6fd2-449a-a932-0d75829bf641" targetNamespace="http://schemas.microsoft.com/office/2006/metadata/properties" ma:root="true" ma:fieldsID="d1f5caf2d8a1829d6aecf67e2439fdc0" ns2:_="" ns3:_="">
    <xsd:import namespace="2e793e6c-f80b-4f46-85b7-81c39eb90350"/>
    <xsd:import namespace="7b83dbe2-6fd2-449a-a932-0d75829bf641"/>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793e6c-f80b-4f46-85b7-81c39eb9035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b83dbe2-6fd2-449a-a932-0d75829bf64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55723a2-c309-4201-853f-317529824226}" ma:internalName="TaxCatchAll" ma:showField="CatchAllData" ma:web="7b83dbe2-6fd2-449a-a932-0d75829bf64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7b83dbe2-6fd2-449a-a932-0d75829bf641">
      <UserInfo>
        <DisplayName>Judge, Michael R (EEA)</DisplayName>
        <AccountId>255</AccountId>
        <AccountType/>
      </UserInfo>
      <UserInfo>
        <DisplayName>Weber, Sharon (DEP)</DisplayName>
        <AccountId>320</AccountId>
        <AccountType/>
      </UserInfo>
      <UserInfo>
        <DisplayName>Brown, Shevie (ENE)</DisplayName>
        <AccountId>25</AccountId>
        <AccountType/>
      </UserInfo>
      <UserInfo>
        <DisplayName>Evans, Rachel (ENE)</DisplayName>
        <AccountId>63</AccountId>
        <AccountType/>
      </UserInfo>
      <UserInfo>
        <DisplayName>Harkavy, Marian (ENE)</DisplayName>
        <AccountId>12</AccountId>
        <AccountType/>
      </UserInfo>
      <UserInfo>
        <DisplayName>Kirby, Christine (DEP)</DisplayName>
        <AccountId>449</AccountId>
        <AccountType/>
      </UserInfo>
      <UserInfo>
        <DisplayName>Keith, Glenn (DEP)</DisplayName>
        <AccountId>450</AccountId>
        <AccountType/>
      </UserInfo>
      <UserInfo>
        <DisplayName>VanNostrand, James (DPU)</DisplayName>
        <AccountId>300</AccountId>
        <AccountType/>
      </UserInfo>
      <UserInfo>
        <DisplayName>Mahony, Elizabeth (ENE)</DisplayName>
        <AccountId>233</AccountId>
        <AccountType/>
      </UserInfo>
      <UserInfo>
        <DisplayName>Buchanan, Johannes K (EEA)</DisplayName>
        <AccountId>237</AccountId>
        <AccountType/>
      </UserInfo>
    </SharedWithUsers>
    <lcf76f155ced4ddcb4097134ff3c332f xmlns="2e793e6c-f80b-4f46-85b7-81c39eb90350">
      <Terms xmlns="http://schemas.microsoft.com/office/infopath/2007/PartnerControls"/>
    </lcf76f155ced4ddcb4097134ff3c332f>
    <TaxCatchAll xmlns="7b83dbe2-6fd2-449a-a932-0d75829bf641" xsi:nil="true"/>
  </documentManagement>
</p:properties>
</file>

<file path=customXml/itemProps1.xml><?xml version="1.0" encoding="utf-8"?>
<ds:datastoreItem xmlns:ds="http://schemas.openxmlformats.org/officeDocument/2006/customXml" ds:itemID="{A4020BE3-920B-4EDC-971D-BC6D12A84D32}"/>
</file>

<file path=customXml/itemProps2.xml><?xml version="1.0" encoding="utf-8"?>
<ds:datastoreItem xmlns:ds="http://schemas.openxmlformats.org/officeDocument/2006/customXml" ds:itemID="{93C4D7AC-85BC-45E7-AB5E-D17C390D2FFA}">
  <ds:schemaRefs>
    <ds:schemaRef ds:uri="http://schemas.microsoft.com/sharepoint/v3/contenttype/forms"/>
  </ds:schemaRefs>
</ds:datastoreItem>
</file>

<file path=customXml/itemProps3.xml><?xml version="1.0" encoding="utf-8"?>
<ds:datastoreItem xmlns:ds="http://schemas.openxmlformats.org/officeDocument/2006/customXml" ds:itemID="{A2406A7B-73BB-4F04-A943-6E5FA32ADD2E}">
  <ds:schemaRefs>
    <ds:schemaRef ds:uri="http://schemas.microsoft.com/office/2006/metadata/properties"/>
    <ds:schemaRef ds:uri="http://schemas.microsoft.com/office/infopath/2007/PartnerControls"/>
    <ds:schemaRef ds:uri="48f959f1-0514-4e4b-917b-5138548f8e1d"/>
    <ds:schemaRef ds:uri="a402b3aa-2f8b-4447-86bc-c0eaa7553bfc"/>
    <ds:schemaRef ds:uri="338e5083-a46f-4766-8e64-ee827b9e16b3"/>
    <ds:schemaRef ds:uri="http://schemas.microsoft.com/sharepoint/v3"/>
    <ds:schemaRef ds:uri="e12619c7-9a19-4dc6-ad29-a355e3b803fe"/>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824</Words>
  <Characters>4700</Characters>
  <Application>Microsoft Office Word</Application>
  <DocSecurity>0</DocSecurity>
  <Lines>39</Lines>
  <Paragraphs>11</Paragraphs>
  <ScaleCrop>false</ScaleCrop>
  <Company/>
  <LinksUpToDate>false</LinksUpToDate>
  <CharactersWithSpaces>5513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Brown, Shevie (ENE)</dc:creator>
  <dc:description/>
  <cp:lastModifiedBy>James Van Nostrand</cp:lastModifiedBy>
  <cp:revision>2</cp:revision>
  <dcterms:created xsi:type="dcterms:W3CDTF">2024-01-08T11:39:00Z</dcterms:created>
  <dcterms:modified xsi:type="dcterms:W3CDTF">2024-01-08T11:39:00Z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0x01010019284A1D07686949B5CDC9B8AB8768E2</vt:lpwstr>
  </property>
  <property fmtid="{D5CDD505-2E9C-101B-9397-08002B2CF9AE}" pid="3" name="MediaServiceImageTags">
    <vt:lpwstr/>
  </property>
</Properties>
</file>