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87F" w:rsidRPr="00B00028" w:rsidRDefault="00E1787F">
      <w:pPr>
        <w:spacing w:after="0" w:line="260" w:lineRule="auto"/>
        <w:rPr>
          <w:rFonts w:cs="Calibri"/>
          <w:b/>
          <w:sz w:val="24"/>
          <w:szCs w:val="24"/>
          <w:lang w:val="es-AR"/>
        </w:rPr>
      </w:pPr>
      <w:r w:rsidRPr="00B00028">
        <w:rPr>
          <w:rFonts w:cs="Calibri"/>
          <w:b/>
          <w:sz w:val="24"/>
          <w:szCs w:val="24"/>
          <w:lang w:val="es-AR"/>
        </w:rPr>
        <w:t>PARA CIRCULACIÓN INMEDIATA:</w:t>
      </w:r>
    </w:p>
    <w:p w:rsidR="00E1787F" w:rsidRPr="00B00028" w:rsidRDefault="00E1787F">
      <w:pPr>
        <w:spacing w:after="0" w:line="260" w:lineRule="auto"/>
        <w:rPr>
          <w:rFonts w:cs="Calibri"/>
          <w:sz w:val="24"/>
          <w:szCs w:val="24"/>
          <w:lang w:val="es-AR"/>
        </w:rPr>
      </w:pPr>
      <w:r w:rsidRPr="00B00028">
        <w:rPr>
          <w:rFonts w:cs="Calibri"/>
          <w:sz w:val="24"/>
          <w:szCs w:val="24"/>
          <w:lang w:val="es-AR"/>
        </w:rPr>
        <w:t>Sábado, 24 de agosto de 2024</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b/>
          <w:sz w:val="24"/>
          <w:szCs w:val="24"/>
          <w:lang w:val="es-AR"/>
        </w:rPr>
      </w:pPr>
      <w:r w:rsidRPr="00B00028">
        <w:rPr>
          <w:rFonts w:cs="Calibri"/>
          <w:b/>
          <w:sz w:val="24"/>
          <w:szCs w:val="24"/>
          <w:lang w:val="es-AR"/>
        </w:rPr>
        <w:t>CONTACTO:</w:t>
      </w:r>
    </w:p>
    <w:p w:rsidR="00E1787F" w:rsidRPr="00B00028" w:rsidRDefault="00E1787F">
      <w:pPr>
        <w:spacing w:after="0" w:line="260" w:lineRule="auto"/>
        <w:rPr>
          <w:rFonts w:cs="Calibri"/>
          <w:szCs w:val="24"/>
          <w:lang w:val="es-AR"/>
        </w:rPr>
      </w:pPr>
      <w:r w:rsidRPr="00B00028">
        <w:rPr>
          <w:rFonts w:cs="Calibri"/>
          <w:sz w:val="24"/>
          <w:szCs w:val="24"/>
          <w:lang w:val="es-AR"/>
        </w:rPr>
        <w:t xml:space="preserve">Ann Scales, </w:t>
      </w:r>
      <w:hyperlink r:id="rId5" w:history="1">
        <w:r w:rsidRPr="00B00028">
          <w:rPr>
            <w:rStyle w:val="Hyperlink"/>
            <w:rFonts w:cs="Calibri"/>
            <w:sz w:val="24"/>
            <w:szCs w:val="24"/>
            <w:lang w:val="es-AR"/>
          </w:rPr>
          <w:t>Ann.Scales@mass.gov</w:t>
        </w:r>
      </w:hyperlink>
      <w:r w:rsidRPr="00B00028">
        <w:rPr>
          <w:rFonts w:cs="Calibri"/>
          <w:sz w:val="24"/>
          <w:szCs w:val="24"/>
          <w:lang w:val="es-AR"/>
        </w:rPr>
        <w:t xml:space="preserve"> </w:t>
      </w:r>
    </w:p>
    <w:p w:rsidR="00E1787F" w:rsidRPr="00B00028" w:rsidRDefault="00E1787F">
      <w:pPr>
        <w:spacing w:after="0" w:line="260" w:lineRule="auto"/>
        <w:rPr>
          <w:rFonts w:cs="Calibri"/>
          <w:sz w:val="24"/>
          <w:szCs w:val="24"/>
          <w:lang w:val="es-AR"/>
        </w:rPr>
      </w:pPr>
      <w:r w:rsidRPr="00B00028">
        <w:rPr>
          <w:rFonts w:cs="Calibri"/>
          <w:sz w:val="24"/>
          <w:szCs w:val="24"/>
          <w:lang w:val="es-AR"/>
        </w:rPr>
        <w:t xml:space="preserve">Danielle Burney, </w:t>
      </w:r>
      <w:hyperlink r:id="rId6" w:history="1">
        <w:r w:rsidRPr="00B00028">
          <w:rPr>
            <w:rStyle w:val="Hyperlink"/>
            <w:rFonts w:cs="Calibri"/>
            <w:sz w:val="24"/>
            <w:szCs w:val="24"/>
            <w:lang w:val="es-AR"/>
          </w:rPr>
          <w:t>Danielle.burney@mass.gov</w:t>
        </w:r>
      </w:hyperlink>
    </w:p>
    <w:p w:rsidR="00E1787F" w:rsidRPr="00B00028" w:rsidRDefault="00E1787F">
      <w:pPr>
        <w:rPr>
          <w:rFonts w:cs="Calibri"/>
          <w:b/>
          <w:szCs w:val="24"/>
          <w:lang w:val="es-AR"/>
        </w:rPr>
      </w:pPr>
    </w:p>
    <w:p w:rsidR="00E1787F" w:rsidRPr="00B00028" w:rsidRDefault="00E1787F">
      <w:pPr>
        <w:spacing w:after="0" w:line="260" w:lineRule="auto"/>
        <w:jc w:val="center"/>
        <w:rPr>
          <w:rFonts w:cs="Calibri"/>
          <w:b/>
          <w:sz w:val="32"/>
          <w:szCs w:val="24"/>
          <w:lang w:val="es-AR"/>
        </w:rPr>
      </w:pPr>
      <w:r w:rsidRPr="00B00028">
        <w:rPr>
          <w:rFonts w:cs="Calibri"/>
          <w:b/>
          <w:sz w:val="32"/>
          <w:szCs w:val="24"/>
          <w:lang w:val="es-AR"/>
        </w:rPr>
        <w:t>Funcionarios del estado anuncian planes para la fumigación de mosquitos en secciones de los condados de Worcester y Plymouth debido a la encefalitis equina del este (EEE)</w:t>
      </w:r>
    </w:p>
    <w:p w:rsidR="00E1787F" w:rsidRPr="00B00028" w:rsidRDefault="00E1787F">
      <w:pPr>
        <w:jc w:val="center"/>
        <w:rPr>
          <w:rFonts w:cs="Calibri"/>
          <w:i/>
          <w:sz w:val="24"/>
          <w:szCs w:val="24"/>
          <w:lang w:val="es-AR"/>
        </w:rPr>
      </w:pPr>
    </w:p>
    <w:p w:rsidR="00E1787F" w:rsidRPr="00B00028" w:rsidRDefault="00E1787F">
      <w:pPr>
        <w:spacing w:line="260" w:lineRule="auto"/>
        <w:jc w:val="center"/>
        <w:rPr>
          <w:rFonts w:cs="Calibri"/>
          <w:i/>
          <w:sz w:val="24"/>
          <w:szCs w:val="24"/>
          <w:lang w:val="es-AR"/>
        </w:rPr>
      </w:pPr>
      <w:r w:rsidRPr="00B00028">
        <w:rPr>
          <w:rFonts w:cs="Calibri"/>
          <w:i/>
          <w:sz w:val="24"/>
          <w:szCs w:val="24"/>
          <w:lang w:val="es-AR"/>
        </w:rPr>
        <w:t>La fumigación de mosquitos es un componente de la respuesta de salud pública para reducir el</w:t>
      </w:r>
      <w:r w:rsidR="00B00028">
        <w:rPr>
          <w:rFonts w:cs="Calibri"/>
          <w:i/>
          <w:sz w:val="24"/>
          <w:szCs w:val="24"/>
          <w:lang w:val="es-AR"/>
        </w:rPr>
        <w:t> </w:t>
      </w:r>
      <w:r w:rsidRPr="00B00028">
        <w:rPr>
          <w:rFonts w:cs="Calibri"/>
          <w:i/>
          <w:sz w:val="24"/>
          <w:szCs w:val="24"/>
          <w:lang w:val="es-AR"/>
        </w:rPr>
        <w:t>riesgo del raro pero serio virus de la EEE</w:t>
      </w:r>
    </w:p>
    <w:p w:rsidR="00E1787F" w:rsidRPr="00B00028" w:rsidRDefault="00E1787F">
      <w:pPr>
        <w:spacing w:after="0" w:line="260" w:lineRule="auto"/>
        <w:rPr>
          <w:rFonts w:cs="Calibri"/>
          <w:szCs w:val="24"/>
          <w:lang w:val="es-AR"/>
        </w:rPr>
      </w:pPr>
      <w:r w:rsidRPr="00B00028">
        <w:rPr>
          <w:rFonts w:cs="Calibri"/>
          <w:b/>
          <w:sz w:val="24"/>
          <w:szCs w:val="24"/>
          <w:lang w:val="es-AR"/>
        </w:rPr>
        <w:t xml:space="preserve">BOSTON </w:t>
      </w:r>
      <w:r w:rsidRPr="00B00028">
        <w:rPr>
          <w:rFonts w:cs="Calibri"/>
          <w:sz w:val="24"/>
          <w:szCs w:val="24"/>
          <w:lang w:val="es-AR"/>
        </w:rPr>
        <w:t>—</w:t>
      </w:r>
      <w:r w:rsidRPr="00B00028">
        <w:rPr>
          <w:rFonts w:cs="Calibri"/>
          <w:color w:val="000000"/>
          <w:sz w:val="24"/>
          <w:szCs w:val="24"/>
          <w:lang w:val="es-AR"/>
        </w:rPr>
        <w:t xml:space="preserve"> El Departamento de Salud Pública de Massachusetts (DPH por sus siglas en inglés) y el Departamento de Recursos Agrícolas de Massachusetts </w:t>
      </w:r>
      <w:r w:rsidRPr="00B00028">
        <w:rPr>
          <w:rFonts w:cs="Calibri"/>
          <w:sz w:val="24"/>
          <w:szCs w:val="24"/>
          <w:lang w:val="es-AR"/>
        </w:rPr>
        <w:t>(MDAR por sus siglas en inglés) anunciaron hoy planes para realizar la fumigación aérea de mosquitos en zonas del Condado de Plymouth, y la fumigación montada en camionetas en partes del Condado de Worcester. Al 24 de agosto de 2024, diez comunidades en Massachusetts han sido declaradas de riesgo alto o crítico del virus de la encefalitis equina del este (EEE) por el DPH.</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 w:val="24"/>
          <w:szCs w:val="24"/>
          <w:lang w:val="es-AR"/>
        </w:rPr>
      </w:pPr>
      <w:r w:rsidRPr="00B00028">
        <w:rPr>
          <w:rFonts w:cs="Calibri"/>
          <w:sz w:val="24"/>
          <w:szCs w:val="24"/>
          <w:lang w:val="es-AR"/>
        </w:rPr>
        <w:t xml:space="preserve">La Junta de Control de Mosquitos por Reclamación del Estado (SRMCB por sus siglas en inglés), con la asistencia del MDAR, realizará y monitoreará la fumigación aérea en partes del Condado de Plymouth y supervisará la fumigación montada en camionetas del suelo en partes del Condado de Worcester. </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 w:val="24"/>
          <w:szCs w:val="24"/>
          <w:lang w:val="es-AR"/>
        </w:rPr>
      </w:pPr>
      <w:r w:rsidRPr="00B00028">
        <w:rPr>
          <w:rFonts w:cs="Calibri"/>
          <w:sz w:val="24"/>
          <w:szCs w:val="24"/>
          <w:lang w:val="es-AR"/>
        </w:rPr>
        <w:t>Las ocho comunidades en la zona de fumigación aérea son Carver, Halifax, Kingston, Middleborough, Plymouth, Plympton, Rochester y Wareham.</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 w:val="24"/>
          <w:szCs w:val="24"/>
          <w:lang w:val="es-AR"/>
        </w:rPr>
      </w:pPr>
      <w:r w:rsidRPr="00B00028">
        <w:rPr>
          <w:rFonts w:cs="Calibri"/>
          <w:sz w:val="24"/>
          <w:szCs w:val="24"/>
          <w:lang w:val="es-AR"/>
        </w:rPr>
        <w:t>Las cinco comunidades en la zona de fumigación por camioneta son Douglas, Dudley, Oxford, Sutton y Uxbridge.</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 w:val="24"/>
          <w:szCs w:val="24"/>
          <w:lang w:val="es-AR"/>
        </w:rPr>
      </w:pPr>
      <w:r w:rsidRPr="00B00028">
        <w:rPr>
          <w:rFonts w:cs="Calibri"/>
          <w:sz w:val="24"/>
          <w:szCs w:val="24"/>
          <w:lang w:val="es-AR"/>
        </w:rPr>
        <w:t xml:space="preserve">La planificación y coordinación de la operación futura de fumigación está en curso. Detalles sobre el horario exacto será provisto lo antes posible, pero se espera que la fumigación ocurra durante la semana del 26 de agosto. Se ha programado que la fumigación tenga lugar a la noche, comenzando pocos momentos después del atardecer y terminando temprano a la mañana. Por favor, tenga en cuenta que este horario depende del clima y podría cambiar con un corto aviso previo. Los residentes podrán visitar el </w:t>
      </w:r>
      <w:hyperlink r:id="rId7" w:history="1">
        <w:r w:rsidRPr="00B00028">
          <w:rPr>
            <w:rStyle w:val="Hyperlink"/>
            <w:rFonts w:cs="Calibri"/>
            <w:sz w:val="24"/>
            <w:szCs w:val="24"/>
            <w:lang w:val="es-AR"/>
          </w:rPr>
          <w:t>sitio web</w:t>
        </w:r>
      </w:hyperlink>
      <w:r w:rsidRPr="00B00028">
        <w:rPr>
          <w:rFonts w:cs="Calibri"/>
          <w:sz w:val="24"/>
          <w:szCs w:val="24"/>
          <w:lang w:val="es-AR"/>
        </w:rPr>
        <w:t xml:space="preserve"> del DPH para mayor información a medida que sea puesta a disposición.</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Cs w:val="24"/>
          <w:lang w:val="es-AR"/>
        </w:rPr>
      </w:pPr>
      <w:r w:rsidRPr="00B00028">
        <w:rPr>
          <w:rFonts w:cs="Calibri"/>
          <w:sz w:val="24"/>
          <w:szCs w:val="24"/>
          <w:lang w:val="es-AR"/>
        </w:rPr>
        <w:t xml:space="preserve">La EEE es una enfermedad rara pero seria y potencialmente mortal que puede afectar a personas de todas las edades. El 16 de agosto, el DPH </w:t>
      </w:r>
      <w:hyperlink r:id="rId8">
        <w:r w:rsidRPr="00B00028">
          <w:rPr>
            <w:rStyle w:val="Hyperlink"/>
            <w:rFonts w:cs="Calibri"/>
            <w:sz w:val="24"/>
            <w:szCs w:val="24"/>
            <w:lang w:val="es-AR"/>
          </w:rPr>
          <w:t>anunció</w:t>
        </w:r>
      </w:hyperlink>
      <w:r w:rsidRPr="00B00028">
        <w:rPr>
          <w:rFonts w:cs="Calibri"/>
          <w:sz w:val="24"/>
          <w:szCs w:val="24"/>
          <w:lang w:val="es-AR"/>
        </w:rPr>
        <w:t xml:space="preserve"> el primer caso humano de EEE de este año, un hombre de más de 80 años que resultó expuesto a la EEE en el Condado de Worcester. Durante el último brote de EEE en Massachusetts en 2019-2020, ocurrieron 17 casos humanos y siete fatalidades.</w:t>
      </w:r>
    </w:p>
    <w:p w:rsidR="00E1787F" w:rsidRPr="00B00028" w:rsidRDefault="00E1787F">
      <w:pPr>
        <w:spacing w:after="0"/>
        <w:rPr>
          <w:rFonts w:cs="Calibri"/>
          <w:sz w:val="24"/>
          <w:szCs w:val="24"/>
          <w:lang w:val="es-AR"/>
        </w:rPr>
      </w:pPr>
    </w:p>
    <w:p w:rsidR="00E1787F" w:rsidRPr="00B00028" w:rsidRDefault="00E1787F">
      <w:pPr>
        <w:spacing w:line="260" w:lineRule="auto"/>
        <w:rPr>
          <w:rFonts w:cs="Calibri"/>
          <w:szCs w:val="24"/>
          <w:lang w:val="es-AR"/>
        </w:rPr>
      </w:pPr>
      <w:r w:rsidRPr="00B00028">
        <w:rPr>
          <w:rFonts w:cs="Calibri"/>
          <w:color w:val="000000"/>
          <w:sz w:val="24"/>
          <w:szCs w:val="24"/>
          <w:lang w:val="es-AR"/>
        </w:rPr>
        <w:t xml:space="preserve"> </w:t>
      </w:r>
      <w:r w:rsidRPr="00B00028">
        <w:rPr>
          <w:rFonts w:cs="Calibri"/>
          <w:sz w:val="24"/>
          <w:szCs w:val="24"/>
          <w:lang w:val="es-AR"/>
        </w:rPr>
        <w:t xml:space="preserve">“No hemos visto un brote de EEE durante cuatro años en Massachusetts”, </w:t>
      </w:r>
      <w:r w:rsidRPr="00B00028">
        <w:rPr>
          <w:rFonts w:cs="Calibri"/>
          <w:b/>
          <w:sz w:val="24"/>
          <w:szCs w:val="24"/>
          <w:lang w:val="es-AR"/>
        </w:rPr>
        <w:t>dijo Robbie Goldstein, MD PhD, Comisionado del DPH.</w:t>
      </w:r>
      <w:r w:rsidRPr="00B00028">
        <w:rPr>
          <w:rFonts w:cs="Calibri"/>
          <w:color w:val="000000"/>
          <w:sz w:val="24"/>
          <w:szCs w:val="24"/>
          <w:lang w:val="es-AR"/>
        </w:rPr>
        <w:t xml:space="preserve"> </w:t>
      </w:r>
      <w:r w:rsidRPr="00B00028">
        <w:rPr>
          <w:rFonts w:cs="Calibri"/>
          <w:sz w:val="24"/>
          <w:szCs w:val="24"/>
          <w:lang w:val="es-AR"/>
        </w:rPr>
        <w:t>“El brote y la actividad de este año elevan el riesgo para las comunidades en partes del estado.</w:t>
      </w:r>
      <w:r w:rsidRPr="00B00028">
        <w:rPr>
          <w:rFonts w:cs="Calibri"/>
          <w:color w:val="000000"/>
          <w:sz w:val="24"/>
          <w:szCs w:val="24"/>
          <w:lang w:val="es-AR"/>
        </w:rPr>
        <w:t xml:space="preserve"> </w:t>
      </w:r>
      <w:r w:rsidRPr="00B00028">
        <w:rPr>
          <w:rFonts w:cs="Calibri"/>
          <w:sz w:val="24"/>
          <w:szCs w:val="24"/>
          <w:lang w:val="es-AR"/>
        </w:rPr>
        <w:t>Necesitamos usar todas nuestras herramientas disponibles para reducir el riesgo y proteger a nuestras comunidades.</w:t>
      </w:r>
      <w:r w:rsidRPr="00B00028">
        <w:rPr>
          <w:rFonts w:cs="Calibri"/>
          <w:color w:val="000000"/>
          <w:sz w:val="24"/>
          <w:szCs w:val="24"/>
          <w:lang w:val="es-AR"/>
        </w:rPr>
        <w:t xml:space="preserve"> </w:t>
      </w:r>
      <w:r w:rsidRPr="00B00028">
        <w:rPr>
          <w:rFonts w:cs="Calibri"/>
          <w:sz w:val="24"/>
          <w:szCs w:val="24"/>
          <w:lang w:val="es-AR"/>
        </w:rPr>
        <w:t>Le pedimos a todos que contribuyan.”</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Cs w:val="24"/>
          <w:lang w:val="es-AR"/>
        </w:rPr>
      </w:pPr>
      <w:r w:rsidRPr="00B00028">
        <w:rPr>
          <w:rFonts w:cs="Calibri"/>
          <w:sz w:val="24"/>
          <w:szCs w:val="24"/>
          <w:lang w:val="es-AR"/>
        </w:rPr>
        <w:t xml:space="preserve">“Debido al aumento en el riesgo de la EEE y el primer caso humano de la temporada, el estado toma medidas decisivas para proteger la salud pública”, </w:t>
      </w:r>
      <w:r w:rsidRPr="00B00028">
        <w:rPr>
          <w:rFonts w:cs="Calibri"/>
          <w:b/>
          <w:sz w:val="24"/>
          <w:szCs w:val="24"/>
          <w:lang w:val="es-AR"/>
        </w:rPr>
        <w:t>dijo Ashley Randle, Comisionada del MDAR.</w:t>
      </w:r>
      <w:r w:rsidRPr="00B00028">
        <w:rPr>
          <w:rFonts w:cs="Calibri"/>
          <w:sz w:val="24"/>
          <w:szCs w:val="24"/>
          <w:lang w:val="es-AR"/>
        </w:rPr>
        <w:t xml:space="preserve"> “La fumigación aérea perseguirá a los mosquitos que transportan el virus de la EEE. Si bien estas medidas son críticas para reducir el riesgo de la transmisión, es vital que todos mantengan la vigilancia y cumplan las directrices de protección personal para proteger a nuestra comunidad.”</w:t>
      </w:r>
    </w:p>
    <w:p w:rsidR="00E1787F" w:rsidRPr="00B00028" w:rsidRDefault="00E1787F">
      <w:pPr>
        <w:spacing w:after="0" w:line="260" w:lineRule="auto"/>
        <w:rPr>
          <w:rFonts w:cs="Calibri"/>
          <w:szCs w:val="24"/>
          <w:lang w:val="es-AR"/>
        </w:rPr>
      </w:pPr>
      <w:r w:rsidRPr="00B00028">
        <w:rPr>
          <w:rFonts w:cs="Calibri"/>
          <w:szCs w:val="24"/>
          <w:lang w:val="es-AR"/>
        </w:rPr>
        <w:br/>
      </w:r>
      <w:r w:rsidRPr="00B00028">
        <w:rPr>
          <w:rFonts w:cs="Calibri"/>
          <w:sz w:val="24"/>
          <w:szCs w:val="24"/>
          <w:lang w:val="es-AR"/>
        </w:rPr>
        <w:t xml:space="preserve">El pesticida usado es Anvil 10+10, un producto registrado ante la EPA que ha sido probado y usado extensivamente en la fumigación aérea y a nivel del suelo en los EE.UU. para controlar mosquitos. Los compuestos en este producto han demostrado ser altamente eficaces en la matanza de mosquitos en todo el mundo durante más de 20 años. </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Cs w:val="24"/>
          <w:lang w:val="es-AR"/>
        </w:rPr>
      </w:pPr>
      <w:r w:rsidRPr="00B00028">
        <w:rPr>
          <w:rFonts w:cs="Calibri"/>
          <w:sz w:val="24"/>
          <w:szCs w:val="24"/>
          <w:lang w:val="es-AR"/>
        </w:rPr>
        <w:t>Anvil 10+10 se aplica usando un aerosol de volumen ultra bajo (ULV por sus siglas en inglés) que usa muy pequeñas cantidades del insecticida. Es muy poco probable que una persona resulte expuesta a cantidades que pudieran crear efectos adversos a la salud. A pesar de que no son necesarias precauciones especiales, los residentes de las zonas afectadas que prefieren evitar o reducir la exposición pueden quedarse adentro durante la fumigación. Se sugiere que personas con sensibilidades conocidas a productos químicos o condiciones respiratorias, tal como el asma, permanezcan en interiores durante la fumigación para reducir la posibilidad de agravar dichas condiciones. El consumo de verduras y frutas cultivadas en la zona tratada y de agua potable que pudiera haber sido obtenida de aguas acumuladas en la superficie cerca de las operaciones de fumigación son considerados seguros.</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Cs w:val="24"/>
          <w:lang w:val="es-AR"/>
        </w:rPr>
      </w:pPr>
      <w:r w:rsidRPr="00B00028">
        <w:rPr>
          <w:rFonts w:cs="Calibri"/>
          <w:sz w:val="24"/>
          <w:szCs w:val="24"/>
          <w:lang w:val="es-AR"/>
        </w:rPr>
        <w:t>Los peces son menos proclives a alimentarse en la superficie y es probable que las abejas estén en sus colmenas durante la fumigación nocturna. Los propietarios de pequeños estanques ornamentales en la zona de fumigación del Condado de Plymouth deberían cubrirlos la noche de la fumigación. Los apicultores, si las abejas se congregan fuera de las colmenas, deben considerar cubrir la entrada a la colmena o toda la colmena usando un trapo húmedo suelto (arpillera, sábana, etc.) para prevenir que las abejas salgan y entren en contacto directo durante la aplicación. No es necesario poner a los animales en interiores durante la fumigación, pero poner a las mascotas adentro reducirá su exposición.</w:t>
      </w:r>
    </w:p>
    <w:p w:rsidR="00E1787F" w:rsidRPr="00B00028" w:rsidRDefault="00E1787F">
      <w:pPr>
        <w:spacing w:after="0"/>
        <w:rPr>
          <w:rFonts w:cs="Calibri"/>
          <w:sz w:val="24"/>
          <w:szCs w:val="24"/>
          <w:lang w:val="es-AR"/>
        </w:rPr>
      </w:pPr>
    </w:p>
    <w:p w:rsidR="00E1787F" w:rsidRPr="00B00028" w:rsidRDefault="00E1787F">
      <w:pPr>
        <w:spacing w:after="0" w:line="260" w:lineRule="auto"/>
        <w:rPr>
          <w:rFonts w:cs="Calibri"/>
          <w:szCs w:val="24"/>
          <w:lang w:val="es-AR"/>
        </w:rPr>
      </w:pPr>
      <w:r w:rsidRPr="00B00028">
        <w:rPr>
          <w:rFonts w:cs="Calibri"/>
          <w:sz w:val="24"/>
          <w:szCs w:val="24"/>
          <w:lang w:val="es-AR"/>
        </w:rPr>
        <w:t>Si bien estas fumigaciones para controlar los mosquitos son necesarias para reducir el riesgo de que humanos contraigan la EEE, no lo eliminará. Se recuerda a todos los residentes que continúen protegiéndose contra las picaduras de mosquitos poniéndose repelente para insectos con un ingrediente activo registrado en la EPA cuando estén al aire libre. Se sugiere a las comunidades que corren riesgo alto o crítico que programen las actividades al aire libre para evitar el horario desde el atardecer al amanecer, para reducir la exposición a los mosquitos que sean más proclives a esparcir la EEE. El DPH recomienda las siguientes precauciones:</w:t>
      </w:r>
    </w:p>
    <w:p w:rsidR="00E1787F" w:rsidRPr="00B00028" w:rsidRDefault="00E1787F">
      <w:pPr>
        <w:spacing w:after="0"/>
        <w:rPr>
          <w:rFonts w:cs="Calibri"/>
          <w:sz w:val="24"/>
          <w:szCs w:val="24"/>
          <w:lang w:val="es-AR"/>
        </w:rPr>
      </w:pPr>
    </w:p>
    <w:p w:rsidR="00E1787F" w:rsidRPr="00B00028" w:rsidRDefault="00E1787F">
      <w:pPr>
        <w:spacing w:line="260" w:lineRule="auto"/>
        <w:rPr>
          <w:rFonts w:cs="Calibri"/>
          <w:b/>
          <w:sz w:val="24"/>
          <w:szCs w:val="24"/>
          <w:u w:val="single"/>
          <w:lang w:val="es-AR"/>
        </w:rPr>
      </w:pPr>
      <w:r w:rsidRPr="00B00028">
        <w:rPr>
          <w:rFonts w:cs="Calibri"/>
          <w:b/>
          <w:sz w:val="24"/>
          <w:szCs w:val="24"/>
          <w:u w:val="single"/>
          <w:lang w:val="es-AR"/>
        </w:rPr>
        <w:t>Evite las picazones de los mosquitos</w:t>
      </w:r>
    </w:p>
    <w:p w:rsidR="00E1787F" w:rsidRPr="00B00028" w:rsidRDefault="00E1787F">
      <w:pPr>
        <w:spacing w:line="260" w:lineRule="auto"/>
        <w:rPr>
          <w:rFonts w:cs="Calibri"/>
          <w:szCs w:val="24"/>
          <w:lang w:val="es-AR"/>
        </w:rPr>
      </w:pPr>
      <w:r w:rsidRPr="00B00028">
        <w:rPr>
          <w:rFonts w:cs="Calibri"/>
          <w:sz w:val="24"/>
          <w:szCs w:val="24"/>
          <w:lang w:val="es-AR"/>
        </w:rPr>
        <w:t>Póngase repelente para insectos cuando esté al aire libre. Use un repelente con un ingrediente registrado en la EPA (DEET (N,N-dietil-meta-toluamida), permetrina, icaridina (KBR 3023), aceite de eucalipto limón [p-Mentano-3,8-diol (PMD)] o IR3535) según las instrucciones en la etiqueta del producto. Los productos con DEET no deben usarse en bebés menores a dos meses de edad y deben usarse en concentraciones del 30 por ciento o menos en niños más grandes. El aceite de eucalipto limón no debe usarse en niños menores de tres años de edad.</w:t>
      </w:r>
    </w:p>
    <w:p w:rsidR="00E1787F" w:rsidRPr="00B00028" w:rsidRDefault="00E1787F">
      <w:pPr>
        <w:spacing w:line="260" w:lineRule="auto"/>
        <w:rPr>
          <w:rFonts w:cs="Calibri"/>
          <w:szCs w:val="24"/>
          <w:lang w:val="es-AR"/>
        </w:rPr>
      </w:pPr>
      <w:r w:rsidRPr="00B00028">
        <w:rPr>
          <w:rFonts w:cs="Calibri"/>
          <w:b/>
          <w:sz w:val="24"/>
          <w:szCs w:val="24"/>
          <w:lang w:val="es-AR"/>
        </w:rPr>
        <w:t xml:space="preserve">Tenga en cuenta el horario pico de mosquitos. </w:t>
      </w:r>
      <w:r w:rsidRPr="00B00028">
        <w:rPr>
          <w:rFonts w:cs="Calibri"/>
          <w:sz w:val="24"/>
          <w:szCs w:val="24"/>
          <w:lang w:val="es-AR"/>
        </w:rPr>
        <w:t>El horario desde el atardecer al amanecer son las horas pico de picazón de muchos mosquitos. Considere reprogramar las actividades al aire libre que ocurren durante la tarde o temprano a la mañana en lugares de alto riesgo.</w:t>
      </w:r>
    </w:p>
    <w:p w:rsidR="00E1787F" w:rsidRPr="00B00028" w:rsidRDefault="00E1787F">
      <w:pPr>
        <w:spacing w:line="260" w:lineRule="auto"/>
        <w:rPr>
          <w:rFonts w:cs="Calibri"/>
          <w:sz w:val="24"/>
          <w:szCs w:val="24"/>
          <w:lang w:val="es-AR"/>
        </w:rPr>
      </w:pPr>
      <w:r w:rsidRPr="00B00028">
        <w:rPr>
          <w:rFonts w:cs="Calibri"/>
          <w:b/>
          <w:sz w:val="24"/>
          <w:szCs w:val="24"/>
          <w:lang w:val="es-AR"/>
        </w:rPr>
        <w:t>La ropa puede ayudar a reducir la picazón de mosquitos.</w:t>
      </w:r>
      <w:r w:rsidRPr="00B00028">
        <w:rPr>
          <w:rFonts w:cs="Calibri"/>
          <w:sz w:val="24"/>
          <w:szCs w:val="24"/>
          <w:lang w:val="es-AR"/>
        </w:rPr>
        <w:t xml:space="preserve"> Usar mangas largas, pantalones largos y calcetines cuando está al aire libre ayudará a mantener a los mosquitos lejos de su piel.</w:t>
      </w:r>
    </w:p>
    <w:p w:rsidR="00E1787F" w:rsidRPr="00B00028" w:rsidRDefault="00E1787F">
      <w:pPr>
        <w:spacing w:line="260" w:lineRule="auto"/>
        <w:rPr>
          <w:rFonts w:cs="Calibri"/>
          <w:b/>
          <w:sz w:val="24"/>
          <w:szCs w:val="24"/>
          <w:u w:val="single"/>
          <w:lang w:val="es-AR"/>
        </w:rPr>
      </w:pPr>
      <w:r w:rsidRPr="00B00028">
        <w:rPr>
          <w:rFonts w:cs="Calibri"/>
          <w:b/>
          <w:sz w:val="24"/>
          <w:szCs w:val="24"/>
          <w:u w:val="single"/>
          <w:lang w:val="es-AR"/>
        </w:rPr>
        <w:t>Proteja su vivienda contra mosquitos</w:t>
      </w:r>
    </w:p>
    <w:p w:rsidR="00E1787F" w:rsidRPr="00B00028" w:rsidRDefault="00E1787F">
      <w:pPr>
        <w:spacing w:line="260" w:lineRule="auto"/>
        <w:rPr>
          <w:rFonts w:cs="Calibri"/>
          <w:szCs w:val="24"/>
          <w:lang w:val="es-AR"/>
        </w:rPr>
      </w:pPr>
      <w:r w:rsidRPr="00B00028">
        <w:rPr>
          <w:rFonts w:cs="Calibri"/>
          <w:b/>
          <w:sz w:val="24"/>
          <w:szCs w:val="24"/>
          <w:lang w:val="es-AR"/>
        </w:rPr>
        <w:t xml:space="preserve">Drene el agua estancada. </w:t>
      </w:r>
      <w:r w:rsidRPr="00B00028">
        <w:rPr>
          <w:rFonts w:cs="Calibri"/>
          <w:sz w:val="24"/>
          <w:szCs w:val="24"/>
          <w:lang w:val="es-AR"/>
        </w:rPr>
        <w:t>Los mosquitos depositan sus huevos en agua estancada. Limite la cantidad de lugares alrededor de su casa donde los mosquitos puedan reproducirse al drenar o desechar objetos que acumulen agua. Inspeccione canaletas y drenajes. Vacíe macetas sin usar y piscinas para niños y cambie el agua para pájaros con frecuencia.</w:t>
      </w:r>
    </w:p>
    <w:p w:rsidR="00E1787F" w:rsidRPr="00B00028" w:rsidRDefault="00E1787F">
      <w:pPr>
        <w:spacing w:line="260" w:lineRule="auto"/>
        <w:rPr>
          <w:rFonts w:cs="Calibri"/>
          <w:sz w:val="24"/>
          <w:szCs w:val="24"/>
          <w:lang w:val="es-AR"/>
        </w:rPr>
      </w:pPr>
      <w:r w:rsidRPr="00B00028">
        <w:rPr>
          <w:rFonts w:cs="Calibri"/>
          <w:b/>
          <w:sz w:val="24"/>
          <w:szCs w:val="24"/>
          <w:lang w:val="es-AR"/>
        </w:rPr>
        <w:t>Instale o repare los mosquiteros.</w:t>
      </w:r>
      <w:r w:rsidRPr="00B00028">
        <w:rPr>
          <w:rFonts w:cs="Calibri"/>
          <w:sz w:val="24"/>
          <w:szCs w:val="24"/>
          <w:lang w:val="es-AR"/>
        </w:rPr>
        <w:t xml:space="preserve"> Mantener afuera a los mosquitos al instalar mosquiteros en todas las puertas y ventanas.</w:t>
      </w:r>
    </w:p>
    <w:p w:rsidR="00E1787F" w:rsidRPr="00B00028" w:rsidRDefault="00E1787F">
      <w:pPr>
        <w:spacing w:line="260" w:lineRule="auto"/>
        <w:rPr>
          <w:rFonts w:cs="Calibri"/>
          <w:b/>
          <w:sz w:val="24"/>
          <w:szCs w:val="24"/>
          <w:u w:val="single"/>
          <w:lang w:val="es-AR"/>
        </w:rPr>
      </w:pPr>
      <w:r w:rsidRPr="00B00028">
        <w:rPr>
          <w:rFonts w:cs="Calibri"/>
          <w:b/>
          <w:sz w:val="24"/>
          <w:szCs w:val="24"/>
          <w:u w:val="single"/>
          <w:lang w:val="es-AR"/>
        </w:rPr>
        <w:t>Proteja sus animales</w:t>
      </w:r>
    </w:p>
    <w:p w:rsidR="00E1787F" w:rsidRPr="00B00028" w:rsidRDefault="00E1787F">
      <w:pPr>
        <w:spacing w:line="260" w:lineRule="auto"/>
        <w:rPr>
          <w:rFonts w:cs="Calibri"/>
          <w:szCs w:val="24"/>
          <w:lang w:val="es-AR"/>
        </w:rPr>
      </w:pPr>
      <w:r w:rsidRPr="00B00028">
        <w:rPr>
          <w:rFonts w:cs="Calibri"/>
          <w:sz w:val="24"/>
          <w:szCs w:val="24"/>
          <w:lang w:val="es-AR"/>
        </w:rPr>
        <w:t>Los dueños de animales deberán reducir los lugares potenciales de reproducción de mosquitos en sus propiedades al eliminar el agua estancada de recipientes como baldes, cubiertas y piscinas para niños, especialmente luego de copiosas lluvias. Los bebederos ofrecen excelentes lugares para la reproducción de mosquitos y deben ser vaciados por lo menos una vez por semana durante los meses de verano para reducir los mosquitos cerca de los lugares con potreros. Los propietarios de caballos deben mantener a los caballos en establos interiores a la noche para reducir el riesgo de exposición a los mosquitos. Los propietarios también deben consultar a sus veterinarios sobre repelentes para mosquitos aprobados para el uso en animales y vacunaciones para prevenir la EEE y el virus del Nilo oriental (WNV por sus siglas en inglés). Si se sospecha que un animal ha contraído el WNV o EEE, se requiere que los propietarios lo reporten al Departamento de Recursos Agrícolas, División de Salud Animal llamando al 617-626-1795, y al Departamento de Salud Pública llamando al 617-983-6800.</w:t>
      </w:r>
    </w:p>
    <w:p w:rsidR="00E1787F" w:rsidRPr="00B00028" w:rsidRDefault="00E1787F">
      <w:pPr>
        <w:rPr>
          <w:rFonts w:cs="Calibri"/>
          <w:b/>
          <w:sz w:val="24"/>
          <w:szCs w:val="24"/>
          <w:lang w:val="es-AR"/>
        </w:rPr>
      </w:pPr>
    </w:p>
    <w:p w:rsidR="00E1787F" w:rsidRPr="00B00028" w:rsidRDefault="00E1787F">
      <w:pPr>
        <w:spacing w:line="260" w:lineRule="auto"/>
        <w:rPr>
          <w:rFonts w:cs="Calibri"/>
          <w:b/>
          <w:sz w:val="24"/>
          <w:szCs w:val="24"/>
          <w:lang w:val="es-AR"/>
        </w:rPr>
      </w:pPr>
      <w:r w:rsidRPr="00B00028">
        <w:rPr>
          <w:rFonts w:cs="Calibri"/>
          <w:b/>
          <w:sz w:val="24"/>
          <w:szCs w:val="24"/>
          <w:lang w:val="es-AR"/>
        </w:rPr>
        <w:t>Para consultar preguntas frecuentes sobre la fumigación y el control de mosquitos, visite el sitio web del DPH </w:t>
      </w:r>
      <w:hyperlink r:id="rId9" w:history="1">
        <w:r w:rsidRPr="00B00028">
          <w:rPr>
            <w:rStyle w:val="Hyperlink"/>
            <w:rFonts w:cs="Calibri"/>
            <w:b/>
            <w:sz w:val="24"/>
            <w:szCs w:val="24"/>
            <w:lang w:val="es-AR"/>
          </w:rPr>
          <w:t>aquí</w:t>
        </w:r>
      </w:hyperlink>
      <w:r w:rsidRPr="00B00028">
        <w:rPr>
          <w:rFonts w:cs="Calibri"/>
          <w:b/>
          <w:sz w:val="24"/>
          <w:szCs w:val="24"/>
          <w:lang w:val="es-AR"/>
        </w:rPr>
        <w:t>. </w:t>
      </w:r>
    </w:p>
    <w:p w:rsidR="00E1787F" w:rsidRPr="00B00028" w:rsidRDefault="00E1787F">
      <w:pPr>
        <w:spacing w:line="260" w:lineRule="auto"/>
        <w:rPr>
          <w:rFonts w:cs="Calibri"/>
          <w:szCs w:val="24"/>
          <w:lang w:val="es-AR"/>
        </w:rPr>
      </w:pPr>
      <w:r w:rsidRPr="00B00028">
        <w:rPr>
          <w:rFonts w:cs="Calibri"/>
          <w:b/>
          <w:sz w:val="24"/>
          <w:szCs w:val="24"/>
          <w:lang w:val="es-AR"/>
        </w:rPr>
        <w:t xml:space="preserve">Para preguntas sobre la fumigación, </w:t>
      </w:r>
      <w:r w:rsidRPr="00B00028">
        <w:rPr>
          <w:rFonts w:cs="Calibri"/>
          <w:sz w:val="24"/>
          <w:szCs w:val="24"/>
          <w:lang w:val="es-AR"/>
        </w:rPr>
        <w:t xml:space="preserve">contacte a Servicios de Pestes y Cultivos del MDAR en </w:t>
      </w:r>
      <w:hyperlink r:id="rId10" w:history="1">
        <w:r w:rsidRPr="00B00028">
          <w:rPr>
            <w:rStyle w:val="Hyperlink"/>
            <w:rFonts w:cs="Calibri"/>
            <w:sz w:val="24"/>
            <w:szCs w:val="24"/>
            <w:lang w:val="es-AR"/>
          </w:rPr>
          <w:t>mosquitoprogram@mass.gov</w:t>
        </w:r>
      </w:hyperlink>
      <w:r w:rsidRPr="00B00028">
        <w:rPr>
          <w:rFonts w:cs="Calibri"/>
          <w:sz w:val="24"/>
          <w:szCs w:val="24"/>
          <w:lang w:val="es-AR"/>
        </w:rPr>
        <w:t>.</w:t>
      </w:r>
      <w:r w:rsidRPr="00B00028">
        <w:rPr>
          <w:rFonts w:cs="Calibri"/>
          <w:b/>
          <w:sz w:val="24"/>
          <w:szCs w:val="24"/>
          <w:lang w:val="es-AR"/>
        </w:rPr>
        <w:t xml:space="preserve">               </w:t>
      </w:r>
    </w:p>
    <w:p w:rsidR="00E1787F" w:rsidRPr="00B00028" w:rsidRDefault="00E1787F">
      <w:pPr>
        <w:spacing w:line="260" w:lineRule="auto"/>
        <w:rPr>
          <w:rFonts w:cs="Calibri"/>
          <w:sz w:val="24"/>
          <w:szCs w:val="24"/>
          <w:lang w:val="es-AR"/>
        </w:rPr>
      </w:pPr>
      <w:r w:rsidRPr="00B00028">
        <w:rPr>
          <w:rFonts w:cs="Calibri"/>
          <w:b/>
          <w:sz w:val="24"/>
          <w:szCs w:val="24"/>
          <w:lang w:val="es-AR"/>
        </w:rPr>
        <w:t xml:space="preserve">Para la información más actualizada sobre el riesgo y la enfermedad del EEE, </w:t>
      </w:r>
      <w:r w:rsidRPr="00B00028">
        <w:rPr>
          <w:rFonts w:cs="Calibri"/>
          <w:sz w:val="24"/>
          <w:szCs w:val="24"/>
          <w:lang w:val="es-AR"/>
        </w:rPr>
        <w:t xml:space="preserve">contacte a la División de Epidemiología del DPH al (617) 983-6800 o visite el sitio web del DPH </w:t>
      </w:r>
      <w:hyperlink r:id="rId11" w:history="1">
        <w:r w:rsidRPr="00B00028">
          <w:rPr>
            <w:rStyle w:val="Hyperlink"/>
            <w:rFonts w:cs="Calibri"/>
            <w:sz w:val="24"/>
            <w:szCs w:val="24"/>
            <w:lang w:val="es-AR"/>
          </w:rPr>
          <w:t>Mosquito-borne Diseases | Mass.gov</w:t>
        </w:r>
      </w:hyperlink>
      <w:r w:rsidRPr="00B00028">
        <w:rPr>
          <w:rFonts w:cs="Calibri"/>
          <w:sz w:val="24"/>
          <w:szCs w:val="24"/>
          <w:lang w:val="es-AR"/>
        </w:rPr>
        <w:t xml:space="preserve"> (Enfermedades causadas por mosquitos </w:t>
      </w:r>
      <w:r w:rsidRPr="00B00028">
        <w:rPr>
          <w:rFonts w:cs="Calibri"/>
          <w:sz w:val="24"/>
          <w:szCs w:val="24"/>
          <w:lang w:val="en-CA"/>
        </w:rPr>
        <w:t>|</w:t>
      </w:r>
      <w:r w:rsidRPr="00B00028">
        <w:rPr>
          <w:rFonts w:cs="Calibri"/>
          <w:sz w:val="24"/>
          <w:szCs w:val="24"/>
        </w:rPr>
        <w:t xml:space="preserve"> Mass.gov) </w:t>
      </w:r>
      <w:r w:rsidRPr="00B00028">
        <w:rPr>
          <w:rFonts w:cs="Calibri"/>
          <w:sz w:val="24"/>
          <w:szCs w:val="24"/>
          <w:lang w:val="es-AR"/>
        </w:rPr>
        <w:t>para obtener niveles de riesgo actualizados, mapas e incidencia de muestras positivas de mosquitos.</w:t>
      </w:r>
    </w:p>
    <w:p w:rsidR="00E1787F" w:rsidRPr="00B00028" w:rsidRDefault="00E1787F">
      <w:pPr>
        <w:spacing w:line="260" w:lineRule="auto"/>
        <w:rPr>
          <w:rFonts w:cs="Calibri"/>
          <w:sz w:val="24"/>
          <w:szCs w:val="24"/>
          <w:lang w:val="es-AR"/>
        </w:rPr>
      </w:pPr>
      <w:r w:rsidRPr="00B00028">
        <w:rPr>
          <w:rFonts w:cs="Calibri"/>
          <w:b/>
          <w:sz w:val="24"/>
          <w:szCs w:val="24"/>
          <w:lang w:val="es-AR"/>
        </w:rPr>
        <w:t xml:space="preserve">Para preguntas sobre el control de mosquitos en su ciudad o pueblo: </w:t>
      </w:r>
      <w:r w:rsidRPr="00B00028">
        <w:rPr>
          <w:rFonts w:cs="Calibri"/>
          <w:sz w:val="24"/>
          <w:szCs w:val="24"/>
          <w:lang w:val="es-AR"/>
        </w:rPr>
        <w:t>Contacte a su junta de salud local.</w:t>
      </w:r>
    </w:p>
    <w:p w:rsidR="00E1787F" w:rsidRPr="00E1787F" w:rsidRDefault="00E1787F">
      <w:pPr>
        <w:spacing w:line="260" w:lineRule="auto"/>
        <w:rPr>
          <w:sz w:val="24"/>
          <w:szCs w:val="24"/>
          <w:lang w:val="es-AR"/>
        </w:rPr>
      </w:pPr>
      <w:r w:rsidRPr="00B00028">
        <w:rPr>
          <w:rFonts w:cs="Calibri"/>
          <w:b/>
          <w:sz w:val="24"/>
          <w:szCs w:val="24"/>
          <w:lang w:val="es-AR"/>
        </w:rPr>
        <w:t xml:space="preserve">Para información general sobre el control de mosquitos, </w:t>
      </w:r>
      <w:r w:rsidRPr="00B00028">
        <w:rPr>
          <w:rFonts w:cs="Calibri"/>
          <w:sz w:val="24"/>
          <w:szCs w:val="24"/>
          <w:lang w:val="es-AR"/>
        </w:rPr>
        <w:t xml:space="preserve">contacte a la </w:t>
      </w:r>
      <w:hyperlink r:id="rId12" w:history="1">
        <w:r w:rsidRPr="00B00028">
          <w:rPr>
            <w:rStyle w:val="Hyperlink"/>
            <w:rFonts w:cs="Calibri"/>
            <w:sz w:val="24"/>
            <w:szCs w:val="24"/>
            <w:lang w:val="es-AR"/>
          </w:rPr>
          <w:t>State Reclamation and Mosquito Control Board</w:t>
        </w:r>
      </w:hyperlink>
      <w:r w:rsidRPr="00B00028">
        <w:rPr>
          <w:rFonts w:cs="Calibri"/>
          <w:sz w:val="24"/>
          <w:szCs w:val="24"/>
          <w:lang w:val="es-AR"/>
        </w:rPr>
        <w:t xml:space="preserve"> (Junta de Control de Mosquitos por Reclamación del Estado) dentro del MDAR al (508) 281-6786 o la dirección electrónica </w:t>
      </w:r>
      <w:hyperlink r:id="rId13" w:history="1">
        <w:r w:rsidRPr="00B00028">
          <w:rPr>
            <w:rStyle w:val="Hyperlink"/>
            <w:rFonts w:cs="Calibri"/>
            <w:sz w:val="24"/>
            <w:szCs w:val="24"/>
            <w:lang w:val="es-AR"/>
          </w:rPr>
          <w:t>mosquitoprogram@mass.gov</w:t>
        </w:r>
      </w:hyperlink>
      <w:r w:rsidRPr="00E1787F">
        <w:rPr>
          <w:sz w:val="24"/>
          <w:szCs w:val="24"/>
          <w:lang w:val="es-AR"/>
        </w:rPr>
        <w:t>.</w:t>
      </w:r>
    </w:p>
    <w:sectPr w:rsidR="00E1787F" w:rsidRPr="00E1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9D9A2"/>
    <w:multiLevelType w:val="hybridMultilevel"/>
    <w:tmpl w:val="FFFFFFFF"/>
    <w:lvl w:ilvl="0" w:tplc="B752722E">
      <w:start w:val="1"/>
      <w:numFmt w:val="bullet"/>
      <w:lvlText w:val=""/>
      <w:lvlJc w:val="left"/>
      <w:pPr>
        <w:ind w:left="720" w:hanging="360"/>
      </w:pPr>
      <w:rPr>
        <w:rFonts w:ascii="Symbol" w:hAnsi="Symbol" w:hint="default"/>
      </w:rPr>
    </w:lvl>
    <w:lvl w:ilvl="1" w:tplc="CD50298C">
      <w:start w:val="1"/>
      <w:numFmt w:val="bullet"/>
      <w:lvlText w:val="o"/>
      <w:lvlJc w:val="left"/>
      <w:pPr>
        <w:ind w:left="1440" w:hanging="360"/>
      </w:pPr>
      <w:rPr>
        <w:rFonts w:ascii="Courier New" w:hAnsi="Courier New" w:hint="default"/>
      </w:rPr>
    </w:lvl>
    <w:lvl w:ilvl="2" w:tplc="40987926">
      <w:start w:val="1"/>
      <w:numFmt w:val="bullet"/>
      <w:lvlText w:val=""/>
      <w:lvlJc w:val="left"/>
      <w:pPr>
        <w:ind w:left="2160" w:hanging="360"/>
      </w:pPr>
      <w:rPr>
        <w:rFonts w:ascii="Wingdings" w:hAnsi="Wingdings" w:hint="default"/>
      </w:rPr>
    </w:lvl>
    <w:lvl w:ilvl="3" w:tplc="3D9ACA88">
      <w:start w:val="1"/>
      <w:numFmt w:val="bullet"/>
      <w:lvlText w:val=""/>
      <w:lvlJc w:val="left"/>
      <w:pPr>
        <w:ind w:left="2880" w:hanging="360"/>
      </w:pPr>
      <w:rPr>
        <w:rFonts w:ascii="Symbol" w:hAnsi="Symbol" w:hint="default"/>
      </w:rPr>
    </w:lvl>
    <w:lvl w:ilvl="4" w:tplc="6CA42860">
      <w:start w:val="1"/>
      <w:numFmt w:val="bullet"/>
      <w:lvlText w:val="o"/>
      <w:lvlJc w:val="left"/>
      <w:pPr>
        <w:ind w:left="3600" w:hanging="360"/>
      </w:pPr>
      <w:rPr>
        <w:rFonts w:ascii="Courier New" w:hAnsi="Courier New" w:hint="default"/>
      </w:rPr>
    </w:lvl>
    <w:lvl w:ilvl="5" w:tplc="748C7874">
      <w:start w:val="1"/>
      <w:numFmt w:val="bullet"/>
      <w:lvlText w:val=""/>
      <w:lvlJc w:val="left"/>
      <w:pPr>
        <w:ind w:left="4320" w:hanging="360"/>
      </w:pPr>
      <w:rPr>
        <w:rFonts w:ascii="Wingdings" w:hAnsi="Wingdings" w:hint="default"/>
      </w:rPr>
    </w:lvl>
    <w:lvl w:ilvl="6" w:tplc="70E0A484">
      <w:start w:val="1"/>
      <w:numFmt w:val="bullet"/>
      <w:lvlText w:val=""/>
      <w:lvlJc w:val="left"/>
      <w:pPr>
        <w:ind w:left="5040" w:hanging="360"/>
      </w:pPr>
      <w:rPr>
        <w:rFonts w:ascii="Symbol" w:hAnsi="Symbol" w:hint="default"/>
      </w:rPr>
    </w:lvl>
    <w:lvl w:ilvl="7" w:tplc="ED5EDDBE">
      <w:start w:val="1"/>
      <w:numFmt w:val="bullet"/>
      <w:lvlText w:val="o"/>
      <w:lvlJc w:val="left"/>
      <w:pPr>
        <w:ind w:left="5760" w:hanging="360"/>
      </w:pPr>
      <w:rPr>
        <w:rFonts w:ascii="Courier New" w:hAnsi="Courier New" w:hint="default"/>
      </w:rPr>
    </w:lvl>
    <w:lvl w:ilvl="8" w:tplc="42762EC8">
      <w:start w:val="1"/>
      <w:numFmt w:val="bullet"/>
      <w:lvlText w:val=""/>
      <w:lvlJc w:val="left"/>
      <w:pPr>
        <w:ind w:left="6480" w:hanging="360"/>
      </w:pPr>
      <w:rPr>
        <w:rFonts w:ascii="Wingdings" w:hAnsi="Wingdings" w:hint="default"/>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822460">
    <w:abstractNumId w:val="1"/>
  </w:num>
  <w:num w:numId="2" w16cid:durableId="1346784810">
    <w:abstractNumId w:val="2"/>
  </w:num>
  <w:num w:numId="3" w16cid:durableId="146299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wMDQwMjUzNjK3MDBQ0lEKTi0uzszPAykwrAUADhCF1iwAAAA="/>
  </w:docVars>
  <w:rsids>
    <w:rsidRoot w:val="00090007"/>
    <w:rsid w:val="000000AD"/>
    <w:rsid w:val="0000664D"/>
    <w:rsid w:val="00023C04"/>
    <w:rsid w:val="00026A19"/>
    <w:rsid w:val="00034F76"/>
    <w:rsid w:val="000363D6"/>
    <w:rsid w:val="00040E55"/>
    <w:rsid w:val="00043C58"/>
    <w:rsid w:val="000562F0"/>
    <w:rsid w:val="000646A5"/>
    <w:rsid w:val="00072045"/>
    <w:rsid w:val="00075FE1"/>
    <w:rsid w:val="00090007"/>
    <w:rsid w:val="000A28DD"/>
    <w:rsid w:val="000A3686"/>
    <w:rsid w:val="000A5364"/>
    <w:rsid w:val="000B07FC"/>
    <w:rsid w:val="000B0A51"/>
    <w:rsid w:val="000B6FE8"/>
    <w:rsid w:val="000C56AE"/>
    <w:rsid w:val="000D0A79"/>
    <w:rsid w:val="000D2157"/>
    <w:rsid w:val="000E6F2D"/>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372BC"/>
    <w:rsid w:val="00243CCC"/>
    <w:rsid w:val="00257D66"/>
    <w:rsid w:val="00260DA2"/>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2AF3"/>
    <w:rsid w:val="0035315F"/>
    <w:rsid w:val="003770E7"/>
    <w:rsid w:val="00385179"/>
    <w:rsid w:val="00391EC4"/>
    <w:rsid w:val="003A4824"/>
    <w:rsid w:val="003B3B34"/>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820DE"/>
    <w:rsid w:val="006874FE"/>
    <w:rsid w:val="006A6F97"/>
    <w:rsid w:val="006B3180"/>
    <w:rsid w:val="006B402D"/>
    <w:rsid w:val="006B7023"/>
    <w:rsid w:val="006B70EE"/>
    <w:rsid w:val="006F6BE7"/>
    <w:rsid w:val="007510D0"/>
    <w:rsid w:val="00751DA8"/>
    <w:rsid w:val="0075332F"/>
    <w:rsid w:val="00763A53"/>
    <w:rsid w:val="00764909"/>
    <w:rsid w:val="007707A2"/>
    <w:rsid w:val="0077449A"/>
    <w:rsid w:val="00776424"/>
    <w:rsid w:val="007773C7"/>
    <w:rsid w:val="007801EB"/>
    <w:rsid w:val="00791444"/>
    <w:rsid w:val="00791F9F"/>
    <w:rsid w:val="00795716"/>
    <w:rsid w:val="007A1364"/>
    <w:rsid w:val="007A311B"/>
    <w:rsid w:val="007B3E49"/>
    <w:rsid w:val="007C61C3"/>
    <w:rsid w:val="007C6847"/>
    <w:rsid w:val="007E3085"/>
    <w:rsid w:val="007F4BC9"/>
    <w:rsid w:val="008139BD"/>
    <w:rsid w:val="00822555"/>
    <w:rsid w:val="00827FCC"/>
    <w:rsid w:val="0084177F"/>
    <w:rsid w:val="00842E83"/>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34C72"/>
    <w:rsid w:val="00951C95"/>
    <w:rsid w:val="009536B4"/>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00028"/>
    <w:rsid w:val="00B1574E"/>
    <w:rsid w:val="00B1632E"/>
    <w:rsid w:val="00B20E0B"/>
    <w:rsid w:val="00B30955"/>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18B3"/>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1787F"/>
    <w:rsid w:val="00E20638"/>
    <w:rsid w:val="00E218F4"/>
    <w:rsid w:val="00E24959"/>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B1CC6"/>
    <w:rsid w:val="00FB504C"/>
    <w:rsid w:val="00FB590E"/>
    <w:rsid w:val="00FC11CD"/>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F8BB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E80AE65F-7E7C-4D65-89BB-D76108A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napToGrid w:val="0"/>
      <w:kern w:val="2"/>
      <w:sz w:val="22"/>
      <w:szCs w:val="22"/>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563C1"/>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11714">
      <w:marLeft w:val="0"/>
      <w:marRight w:val="0"/>
      <w:marTop w:val="0"/>
      <w:marBottom w:val="0"/>
      <w:divBdr>
        <w:top w:val="none" w:sz="0" w:space="0" w:color="auto"/>
        <w:left w:val="none" w:sz="0" w:space="0" w:color="auto"/>
        <w:bottom w:val="none" w:sz="0" w:space="0" w:color="auto"/>
        <w:right w:val="none" w:sz="0" w:space="0" w:color="auto"/>
      </w:divBdr>
      <w:divsChild>
        <w:div w:id="1125611725">
          <w:marLeft w:val="0"/>
          <w:marRight w:val="0"/>
          <w:marTop w:val="0"/>
          <w:marBottom w:val="900"/>
          <w:divBdr>
            <w:top w:val="none" w:sz="0" w:space="0" w:color="auto"/>
            <w:left w:val="none" w:sz="0" w:space="0" w:color="auto"/>
            <w:bottom w:val="none" w:sz="0" w:space="0" w:color="auto"/>
            <w:right w:val="none" w:sz="0" w:space="0" w:color="auto"/>
          </w:divBdr>
          <w:divsChild>
            <w:div w:id="1125611742">
              <w:marLeft w:val="0"/>
              <w:marRight w:val="0"/>
              <w:marTop w:val="0"/>
              <w:marBottom w:val="0"/>
              <w:divBdr>
                <w:top w:val="none" w:sz="0" w:space="0" w:color="auto"/>
                <w:left w:val="none" w:sz="0" w:space="0" w:color="auto"/>
                <w:bottom w:val="none" w:sz="0" w:space="0" w:color="auto"/>
                <w:right w:val="none" w:sz="0" w:space="0" w:color="auto"/>
              </w:divBdr>
              <w:divsChild>
                <w:div w:id="1125611735">
                  <w:marLeft w:val="0"/>
                  <w:marRight w:val="0"/>
                  <w:marTop w:val="675"/>
                  <w:marBottom w:val="0"/>
                  <w:divBdr>
                    <w:top w:val="none" w:sz="0" w:space="0" w:color="auto"/>
                    <w:left w:val="none" w:sz="0" w:space="0" w:color="auto"/>
                    <w:bottom w:val="none" w:sz="0" w:space="0" w:color="auto"/>
                    <w:right w:val="none" w:sz="0" w:space="0" w:color="auto"/>
                  </w:divBdr>
                </w:div>
                <w:div w:id="1125611740">
                  <w:marLeft w:val="0"/>
                  <w:marRight w:val="0"/>
                  <w:marTop w:val="0"/>
                  <w:marBottom w:val="0"/>
                  <w:divBdr>
                    <w:top w:val="none" w:sz="0" w:space="0" w:color="auto"/>
                    <w:left w:val="none" w:sz="0" w:space="0" w:color="auto"/>
                    <w:bottom w:val="none" w:sz="0" w:space="0" w:color="auto"/>
                    <w:right w:val="none" w:sz="0" w:space="0" w:color="auto"/>
                  </w:divBdr>
                  <w:divsChild>
                    <w:div w:id="1125611713">
                      <w:marLeft w:val="0"/>
                      <w:marRight w:val="289"/>
                      <w:marTop w:val="0"/>
                      <w:marBottom w:val="75"/>
                      <w:divBdr>
                        <w:top w:val="none" w:sz="0" w:space="0" w:color="auto"/>
                        <w:left w:val="none" w:sz="0" w:space="0" w:color="auto"/>
                        <w:bottom w:val="none" w:sz="0" w:space="0" w:color="auto"/>
                        <w:right w:val="none" w:sz="0" w:space="0" w:color="auto"/>
                      </w:divBdr>
                    </w:div>
                  </w:divsChild>
                </w:div>
              </w:divsChild>
            </w:div>
          </w:divsChild>
        </w:div>
        <w:div w:id="1125611728">
          <w:marLeft w:val="0"/>
          <w:marRight w:val="0"/>
          <w:marTop w:val="0"/>
          <w:marBottom w:val="0"/>
          <w:divBdr>
            <w:top w:val="none" w:sz="0" w:space="0" w:color="auto"/>
            <w:left w:val="none" w:sz="0" w:space="0" w:color="auto"/>
            <w:bottom w:val="none" w:sz="0" w:space="0" w:color="auto"/>
            <w:right w:val="none" w:sz="0" w:space="0" w:color="auto"/>
          </w:divBdr>
          <w:divsChild>
            <w:div w:id="1125611739">
              <w:marLeft w:val="0"/>
              <w:marRight w:val="0"/>
              <w:marTop w:val="0"/>
              <w:marBottom w:val="0"/>
              <w:divBdr>
                <w:top w:val="none" w:sz="0" w:space="0" w:color="auto"/>
                <w:left w:val="none" w:sz="0" w:space="0" w:color="auto"/>
                <w:bottom w:val="none" w:sz="0" w:space="0" w:color="auto"/>
                <w:right w:val="none" w:sz="0" w:space="0" w:color="auto"/>
              </w:divBdr>
              <w:divsChild>
                <w:div w:id="1125611727">
                  <w:marLeft w:val="0"/>
                  <w:marRight w:val="0"/>
                  <w:marTop w:val="0"/>
                  <w:marBottom w:val="0"/>
                  <w:divBdr>
                    <w:top w:val="none" w:sz="0" w:space="0" w:color="auto"/>
                    <w:left w:val="none" w:sz="0" w:space="0" w:color="auto"/>
                    <w:bottom w:val="none" w:sz="0" w:space="0" w:color="auto"/>
                    <w:right w:val="none" w:sz="0" w:space="0" w:color="auto"/>
                  </w:divBdr>
                  <w:divsChild>
                    <w:div w:id="11256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1715">
      <w:marLeft w:val="0"/>
      <w:marRight w:val="0"/>
      <w:marTop w:val="0"/>
      <w:marBottom w:val="0"/>
      <w:divBdr>
        <w:top w:val="none" w:sz="0" w:space="0" w:color="auto"/>
        <w:left w:val="none" w:sz="0" w:space="0" w:color="auto"/>
        <w:bottom w:val="none" w:sz="0" w:space="0" w:color="auto"/>
        <w:right w:val="none" w:sz="0" w:space="0" w:color="auto"/>
      </w:divBdr>
    </w:div>
    <w:div w:id="1125611717">
      <w:marLeft w:val="0"/>
      <w:marRight w:val="0"/>
      <w:marTop w:val="0"/>
      <w:marBottom w:val="0"/>
      <w:divBdr>
        <w:top w:val="none" w:sz="0" w:space="0" w:color="auto"/>
        <w:left w:val="none" w:sz="0" w:space="0" w:color="auto"/>
        <w:bottom w:val="none" w:sz="0" w:space="0" w:color="auto"/>
        <w:right w:val="none" w:sz="0" w:space="0" w:color="auto"/>
      </w:divBdr>
    </w:div>
    <w:div w:id="1125611718">
      <w:marLeft w:val="0"/>
      <w:marRight w:val="0"/>
      <w:marTop w:val="0"/>
      <w:marBottom w:val="0"/>
      <w:divBdr>
        <w:top w:val="none" w:sz="0" w:space="0" w:color="auto"/>
        <w:left w:val="none" w:sz="0" w:space="0" w:color="auto"/>
        <w:bottom w:val="none" w:sz="0" w:space="0" w:color="auto"/>
        <w:right w:val="none" w:sz="0" w:space="0" w:color="auto"/>
      </w:divBdr>
    </w:div>
    <w:div w:id="1125611720">
      <w:marLeft w:val="0"/>
      <w:marRight w:val="0"/>
      <w:marTop w:val="0"/>
      <w:marBottom w:val="0"/>
      <w:divBdr>
        <w:top w:val="none" w:sz="0" w:space="0" w:color="auto"/>
        <w:left w:val="none" w:sz="0" w:space="0" w:color="auto"/>
        <w:bottom w:val="none" w:sz="0" w:space="0" w:color="auto"/>
        <w:right w:val="none" w:sz="0" w:space="0" w:color="auto"/>
      </w:divBdr>
    </w:div>
    <w:div w:id="1125611723">
      <w:marLeft w:val="0"/>
      <w:marRight w:val="0"/>
      <w:marTop w:val="0"/>
      <w:marBottom w:val="0"/>
      <w:divBdr>
        <w:top w:val="none" w:sz="0" w:space="0" w:color="auto"/>
        <w:left w:val="none" w:sz="0" w:space="0" w:color="auto"/>
        <w:bottom w:val="none" w:sz="0" w:space="0" w:color="auto"/>
        <w:right w:val="none" w:sz="0" w:space="0" w:color="auto"/>
      </w:divBdr>
    </w:div>
    <w:div w:id="1125611730">
      <w:marLeft w:val="0"/>
      <w:marRight w:val="0"/>
      <w:marTop w:val="0"/>
      <w:marBottom w:val="0"/>
      <w:divBdr>
        <w:top w:val="none" w:sz="0" w:space="0" w:color="auto"/>
        <w:left w:val="none" w:sz="0" w:space="0" w:color="auto"/>
        <w:bottom w:val="none" w:sz="0" w:space="0" w:color="auto"/>
        <w:right w:val="none" w:sz="0" w:space="0" w:color="auto"/>
      </w:divBdr>
      <w:divsChild>
        <w:div w:id="1125611726">
          <w:marLeft w:val="0"/>
          <w:marRight w:val="0"/>
          <w:marTop w:val="0"/>
          <w:marBottom w:val="900"/>
          <w:divBdr>
            <w:top w:val="none" w:sz="0" w:space="0" w:color="auto"/>
            <w:left w:val="none" w:sz="0" w:space="0" w:color="auto"/>
            <w:bottom w:val="none" w:sz="0" w:space="0" w:color="auto"/>
            <w:right w:val="none" w:sz="0" w:space="0" w:color="auto"/>
          </w:divBdr>
          <w:divsChild>
            <w:div w:id="1125611721">
              <w:marLeft w:val="0"/>
              <w:marRight w:val="0"/>
              <w:marTop w:val="0"/>
              <w:marBottom w:val="0"/>
              <w:divBdr>
                <w:top w:val="none" w:sz="0" w:space="0" w:color="auto"/>
                <w:left w:val="none" w:sz="0" w:space="0" w:color="auto"/>
                <w:bottom w:val="none" w:sz="0" w:space="0" w:color="auto"/>
                <w:right w:val="none" w:sz="0" w:space="0" w:color="auto"/>
              </w:divBdr>
              <w:divsChild>
                <w:div w:id="1125611716">
                  <w:marLeft w:val="0"/>
                  <w:marRight w:val="0"/>
                  <w:marTop w:val="0"/>
                  <w:marBottom w:val="0"/>
                  <w:divBdr>
                    <w:top w:val="none" w:sz="0" w:space="0" w:color="auto"/>
                    <w:left w:val="none" w:sz="0" w:space="0" w:color="auto"/>
                    <w:bottom w:val="none" w:sz="0" w:space="0" w:color="auto"/>
                    <w:right w:val="none" w:sz="0" w:space="0" w:color="auto"/>
                  </w:divBdr>
                  <w:divsChild>
                    <w:div w:id="1125611737">
                      <w:marLeft w:val="0"/>
                      <w:marRight w:val="289"/>
                      <w:marTop w:val="0"/>
                      <w:marBottom w:val="75"/>
                      <w:divBdr>
                        <w:top w:val="none" w:sz="0" w:space="0" w:color="auto"/>
                        <w:left w:val="none" w:sz="0" w:space="0" w:color="auto"/>
                        <w:bottom w:val="none" w:sz="0" w:space="0" w:color="auto"/>
                        <w:right w:val="none" w:sz="0" w:space="0" w:color="auto"/>
                      </w:divBdr>
                    </w:div>
                  </w:divsChild>
                </w:div>
                <w:div w:id="1125611722">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 w:id="1125611729">
          <w:marLeft w:val="0"/>
          <w:marRight w:val="0"/>
          <w:marTop w:val="0"/>
          <w:marBottom w:val="0"/>
          <w:divBdr>
            <w:top w:val="none" w:sz="0" w:space="0" w:color="auto"/>
            <w:left w:val="none" w:sz="0" w:space="0" w:color="auto"/>
            <w:bottom w:val="none" w:sz="0" w:space="0" w:color="auto"/>
            <w:right w:val="none" w:sz="0" w:space="0" w:color="auto"/>
          </w:divBdr>
          <w:divsChild>
            <w:div w:id="1125611719">
              <w:marLeft w:val="0"/>
              <w:marRight w:val="0"/>
              <w:marTop w:val="0"/>
              <w:marBottom w:val="0"/>
              <w:divBdr>
                <w:top w:val="none" w:sz="0" w:space="0" w:color="auto"/>
                <w:left w:val="none" w:sz="0" w:space="0" w:color="auto"/>
                <w:bottom w:val="none" w:sz="0" w:space="0" w:color="auto"/>
                <w:right w:val="none" w:sz="0" w:space="0" w:color="auto"/>
              </w:divBdr>
              <w:divsChild>
                <w:div w:id="1125611731">
                  <w:marLeft w:val="0"/>
                  <w:marRight w:val="0"/>
                  <w:marTop w:val="0"/>
                  <w:marBottom w:val="0"/>
                  <w:divBdr>
                    <w:top w:val="none" w:sz="0" w:space="0" w:color="auto"/>
                    <w:left w:val="none" w:sz="0" w:space="0" w:color="auto"/>
                    <w:bottom w:val="none" w:sz="0" w:space="0" w:color="auto"/>
                    <w:right w:val="none" w:sz="0" w:space="0" w:color="auto"/>
                  </w:divBdr>
                  <w:divsChild>
                    <w:div w:id="11256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11732">
      <w:marLeft w:val="0"/>
      <w:marRight w:val="0"/>
      <w:marTop w:val="0"/>
      <w:marBottom w:val="0"/>
      <w:divBdr>
        <w:top w:val="none" w:sz="0" w:space="0" w:color="auto"/>
        <w:left w:val="none" w:sz="0" w:space="0" w:color="auto"/>
        <w:bottom w:val="none" w:sz="0" w:space="0" w:color="auto"/>
        <w:right w:val="none" w:sz="0" w:space="0" w:color="auto"/>
      </w:divBdr>
    </w:div>
    <w:div w:id="1125611733">
      <w:marLeft w:val="0"/>
      <w:marRight w:val="0"/>
      <w:marTop w:val="0"/>
      <w:marBottom w:val="0"/>
      <w:divBdr>
        <w:top w:val="none" w:sz="0" w:space="0" w:color="auto"/>
        <w:left w:val="none" w:sz="0" w:space="0" w:color="auto"/>
        <w:bottom w:val="none" w:sz="0" w:space="0" w:color="auto"/>
        <w:right w:val="none" w:sz="0" w:space="0" w:color="auto"/>
      </w:divBdr>
    </w:div>
    <w:div w:id="1125611734">
      <w:marLeft w:val="0"/>
      <w:marRight w:val="0"/>
      <w:marTop w:val="0"/>
      <w:marBottom w:val="0"/>
      <w:divBdr>
        <w:top w:val="none" w:sz="0" w:space="0" w:color="auto"/>
        <w:left w:val="none" w:sz="0" w:space="0" w:color="auto"/>
        <w:bottom w:val="none" w:sz="0" w:space="0" w:color="auto"/>
        <w:right w:val="none" w:sz="0" w:space="0" w:color="auto"/>
      </w:divBdr>
    </w:div>
    <w:div w:id="1125611738">
      <w:marLeft w:val="0"/>
      <w:marRight w:val="0"/>
      <w:marTop w:val="0"/>
      <w:marBottom w:val="0"/>
      <w:divBdr>
        <w:top w:val="none" w:sz="0" w:space="0" w:color="auto"/>
        <w:left w:val="none" w:sz="0" w:space="0" w:color="auto"/>
        <w:bottom w:val="none" w:sz="0" w:space="0" w:color="auto"/>
        <w:right w:val="none" w:sz="0" w:space="0" w:color="auto"/>
      </w:divBdr>
    </w:div>
    <w:div w:id="1125611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Relationship Id="rId13" Type="http://schemas.openxmlformats.org/officeDocument/2006/relationships/hyperlink" Target="mailto:mosquitoprogram@mass.gov" TargetMode="External"/><Relationship Id="rId3" Type="http://schemas.openxmlformats.org/officeDocument/2006/relationships/settings" Target="settings.xml"/><Relationship Id="rId7" Type="http://schemas.openxmlformats.org/officeDocument/2006/relationships/hyperlink" Target="https://www.mass.gov/mosquito-borne-diseases" TargetMode="External"/><Relationship Id="rId12" Type="http://schemas.openxmlformats.org/officeDocument/2006/relationships/hyperlink" Target="https://www.mass.gov/state-reclamation-and-mosquito-control-board-srmcb?_gl=1*jg5865*_ga*NTIxNDk4NTQyLjE3MTM1Mjk3Mzg.*_ga_MCLPEGW7WM*MTcyNDQ1MjIzOC4yNy4wLjE3MjQ0NTIyMzguMC4wL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urney@mass.gov" TargetMode="External"/><Relationship Id="rId11" Type="http://schemas.openxmlformats.org/officeDocument/2006/relationships/hyperlink" Target="https://www.mass.gov/mosquito-borne-diseases" TargetMode="External"/><Relationship Id="rId5" Type="http://schemas.openxmlformats.org/officeDocument/2006/relationships/hyperlink" Target="mailto:Ann.Scales@mass.gov" TargetMode="External"/><Relationship Id="rId15" Type="http://schemas.openxmlformats.org/officeDocument/2006/relationships/theme" Target="theme/theme1.xml"/><Relationship Id="rId10" Type="http://schemas.openxmlformats.org/officeDocument/2006/relationships/hyperlink" Target="mailto:mosquitoprogram@mass.gov" TargetMode="External"/><Relationship Id="rId4" Type="http://schemas.openxmlformats.org/officeDocument/2006/relationships/webSettings" Target="webSettings.xml"/><Relationship Id="rId9" Type="http://schemas.openxmlformats.org/officeDocument/2006/relationships/hyperlink" Target="https://www.mass.gov/info-details/mosquito-control-and-spr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Links>
    <vt:vector size="54" baseType="variant">
      <vt:variant>
        <vt:i4>2228243</vt:i4>
      </vt:variant>
      <vt:variant>
        <vt:i4>24</vt:i4>
      </vt:variant>
      <vt:variant>
        <vt:i4>0</vt:i4>
      </vt:variant>
      <vt:variant>
        <vt:i4>5</vt:i4>
      </vt:variant>
      <vt:variant>
        <vt:lpwstr>mailto:mosquitoprogram@mass.gov</vt:lpwstr>
      </vt:variant>
      <vt:variant>
        <vt:lpwstr/>
      </vt:variant>
      <vt:variant>
        <vt:i4>131075</vt:i4>
      </vt:variant>
      <vt:variant>
        <vt:i4>21</vt:i4>
      </vt:variant>
      <vt:variant>
        <vt:i4>0</vt:i4>
      </vt:variant>
      <vt:variant>
        <vt:i4>5</vt:i4>
      </vt:variant>
      <vt:variant>
        <vt:lpwstr>https://www.mass.gov/state-reclamation-and-mosquito-control-board-srmcb?_gl=1*jg5865*_ga*NTIxNDk4NTQyLjE3MTM1Mjk3Mzg.*_ga_MCLPEGW7WM*MTcyNDQ1MjIzOC4yNy4wLjE3MjQ0NTIyMzguMC4wLjA.</vt:lpwstr>
      </vt:variant>
      <vt:variant>
        <vt:lpwstr/>
      </vt:variant>
      <vt:variant>
        <vt:i4>5832782</vt:i4>
      </vt:variant>
      <vt:variant>
        <vt:i4>18</vt:i4>
      </vt:variant>
      <vt:variant>
        <vt:i4>0</vt:i4>
      </vt:variant>
      <vt:variant>
        <vt:i4>5</vt:i4>
      </vt:variant>
      <vt:variant>
        <vt:lpwstr>https://www.mass.gov/mosquito-borne-diseases</vt:lpwstr>
      </vt:variant>
      <vt:variant>
        <vt:lpwstr/>
      </vt:variant>
      <vt:variant>
        <vt:i4>2228243</vt:i4>
      </vt:variant>
      <vt:variant>
        <vt:i4>15</vt:i4>
      </vt:variant>
      <vt:variant>
        <vt:i4>0</vt:i4>
      </vt:variant>
      <vt:variant>
        <vt:i4>5</vt:i4>
      </vt:variant>
      <vt:variant>
        <vt:lpwstr>mailto:mosquitoprogram@mass.gov</vt:lpwstr>
      </vt:variant>
      <vt:variant>
        <vt:lpwstr/>
      </vt:variant>
      <vt:variant>
        <vt:i4>3539051</vt:i4>
      </vt:variant>
      <vt:variant>
        <vt:i4>12</vt:i4>
      </vt:variant>
      <vt:variant>
        <vt:i4>0</vt:i4>
      </vt:variant>
      <vt:variant>
        <vt:i4>5</vt:i4>
      </vt:variant>
      <vt:variant>
        <vt:lpwstr>https://www.mass.gov/info-details/mosquito-control-and-spraying</vt:lpwstr>
      </vt:variant>
      <vt:variant>
        <vt:lpwstr/>
      </vt:variant>
      <vt:variant>
        <vt:i4>327681</vt:i4>
      </vt:variant>
      <vt:variant>
        <vt:i4>9</vt:i4>
      </vt:variant>
      <vt:variant>
        <vt:i4>0</vt:i4>
      </vt:variant>
      <vt:variant>
        <vt:i4>5</vt:i4>
      </vt:variant>
      <vt:variant>
        <vt:lpwstr>https://www.mass.gov/news/state-health-officials-announce-seasons-first-human-case-of-eastern-equine-encephalitis-in-massachusetts?_gl=1*xdsiv3*_ga*MjAyODM0ODA3OS4xNzA0ODE4MDU2*_ga_MCLPEGW7WM*MTcyNDQyMzM1My4yMjAuMS4xNzI0NDIzMzU0LjAuMC4w</vt:lpwstr>
      </vt:variant>
      <vt:variant>
        <vt:lpwstr/>
      </vt:variant>
      <vt:variant>
        <vt:i4>5832782</vt:i4>
      </vt:variant>
      <vt:variant>
        <vt:i4>6</vt:i4>
      </vt:variant>
      <vt:variant>
        <vt:i4>0</vt:i4>
      </vt:variant>
      <vt:variant>
        <vt:i4>5</vt:i4>
      </vt:variant>
      <vt:variant>
        <vt:lpwstr>https://www.mass.gov/mosquito-borne-diseases</vt:lpwstr>
      </vt:variant>
      <vt:variant>
        <vt:lpwstr/>
      </vt:variant>
      <vt:variant>
        <vt:i4>7471115</vt:i4>
      </vt:variant>
      <vt:variant>
        <vt:i4>3</vt:i4>
      </vt:variant>
      <vt:variant>
        <vt:i4>0</vt:i4>
      </vt:variant>
      <vt:variant>
        <vt:i4>5</vt:i4>
      </vt:variant>
      <vt:variant>
        <vt:lpwstr>mailto:Danielle.burney@mass.gov</vt:lpwstr>
      </vt:variant>
      <vt:variant>
        <vt:lpwstr/>
      </vt:variant>
      <vt:variant>
        <vt:i4>5832745</vt:i4>
      </vt:variant>
      <vt:variant>
        <vt:i4>0</vt:i4>
      </vt:variant>
      <vt:variant>
        <vt:i4>0</vt:i4>
      </vt:variant>
      <vt:variant>
        <vt:i4>5</vt:i4>
      </vt:variant>
      <vt:variant>
        <vt:lpwstr>mailto:Ann.Scales@mass.gov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Burney, Danielle (EEA)</dc:creator>
  <cp:keywords/>
  <dc:description/>
  <cp:lastModifiedBy>Heidi Miranda</cp:lastModifiedBy>
  <cp:revision>4</cp:revision>
  <cp:lastPrinted>2024-08-25T00:00:00Z</cp:lastPrinted>
  <dcterms:created xsi:type="dcterms:W3CDTF">2024-08-25T00:56:00Z</dcterms:created>
  <dcterms:modified xsi:type="dcterms:W3CDTF">2024-08-25T00:56:00Z</dcterms:modified>
</cp:coreProperties>
</file>