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F54C2" w14:textId="7982BA1A" w:rsidR="00EA2C93" w:rsidRDefault="00474A27" w:rsidP="00D40912">
      <w:pPr>
        <w:pStyle w:val="Title"/>
        <w:jc w:val="left"/>
      </w:pPr>
      <w:r>
        <w:rPr>
          <w:noProof/>
        </w:rPr>
        <w:drawing>
          <wp:inline distT="0" distB="0" distL="0" distR="0" wp14:anchorId="7F6C8BD3" wp14:editId="09311023">
            <wp:extent cx="1238250" cy="1136268"/>
            <wp:effectExtent l="0" t="0" r="0" b="0"/>
            <wp:docPr id="1" name="Picture 3" title="DPH Se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title="DPH Sea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2C93">
        <w:t xml:space="preserve"> </w:t>
      </w:r>
      <w:r w:rsidR="00D40912">
        <w:tab/>
      </w:r>
      <w:r w:rsidR="00D40912">
        <w:tab/>
      </w:r>
      <w:r w:rsidR="00D40912">
        <w:tab/>
      </w:r>
      <w:r w:rsidR="00D40912">
        <w:tab/>
      </w:r>
      <w:r w:rsidR="00D40912">
        <w:tab/>
      </w:r>
      <w:r w:rsidR="00F2315E">
        <w:t>WAIVER</w:t>
      </w:r>
      <w:r w:rsidR="00EA2C93">
        <w:t xml:space="preserve"> FOR REIMBURSEMENT</w:t>
      </w:r>
    </w:p>
    <w:p w14:paraId="333373B0" w14:textId="77777777" w:rsidR="00EA2C93" w:rsidRDefault="00EA2C93">
      <w:pPr>
        <w:jc w:val="center"/>
        <w:rPr>
          <w:b/>
          <w:sz w:val="28"/>
        </w:rPr>
      </w:pPr>
      <w:r>
        <w:rPr>
          <w:b/>
          <w:sz w:val="28"/>
        </w:rPr>
        <w:t xml:space="preserve"> GUIDANCE DOCUMENT</w:t>
      </w:r>
    </w:p>
    <w:p w14:paraId="57E9FF47" w14:textId="0986538B" w:rsidR="00EA2C93" w:rsidRDefault="00D40912" w:rsidP="00BE0F50">
      <w:pPr>
        <w:tabs>
          <w:tab w:val="left" w:pos="2057"/>
          <w:tab w:val="center" w:pos="6480"/>
        </w:tabs>
        <w:jc w:val="center"/>
        <w:rPr>
          <w:b/>
          <w:sz w:val="28"/>
        </w:rPr>
      </w:pPr>
      <w:r>
        <w:rPr>
          <w:b/>
          <w:sz w:val="28"/>
        </w:rPr>
        <w:t xml:space="preserve">  </w:t>
      </w:r>
      <w:r w:rsidR="00906AE7">
        <w:rPr>
          <w:b/>
          <w:sz w:val="28"/>
        </w:rPr>
        <w:t>June 2024</w:t>
      </w:r>
    </w:p>
    <w:p w14:paraId="766CC912" w14:textId="77777777" w:rsidR="005304C6" w:rsidRDefault="005304C6" w:rsidP="00BE0F50">
      <w:pPr>
        <w:tabs>
          <w:tab w:val="left" w:pos="2057"/>
          <w:tab w:val="center" w:pos="6480"/>
        </w:tabs>
        <w:jc w:val="center"/>
        <w:rPr>
          <w:b/>
          <w:sz w:val="28"/>
        </w:rPr>
      </w:pPr>
    </w:p>
    <w:p w14:paraId="46F3268D" w14:textId="77777777" w:rsidR="00DC175F" w:rsidRPr="00BE0F50" w:rsidRDefault="00DC175F" w:rsidP="00BE0F50">
      <w:pPr>
        <w:tabs>
          <w:tab w:val="left" w:pos="2057"/>
          <w:tab w:val="center" w:pos="6480"/>
        </w:tabs>
        <w:jc w:val="center"/>
        <w:rPr>
          <w:b/>
          <w:sz w:val="28"/>
        </w:rPr>
      </w:pPr>
    </w:p>
    <w:p w14:paraId="791ACE4E" w14:textId="255CC586" w:rsidR="00AA16DE" w:rsidRDefault="00EA2C93">
      <w:pPr>
        <w:rPr>
          <w:sz w:val="22"/>
          <w:szCs w:val="22"/>
        </w:rPr>
      </w:pPr>
      <w:r w:rsidRPr="0039362E">
        <w:rPr>
          <w:sz w:val="22"/>
          <w:szCs w:val="22"/>
        </w:rPr>
        <w:t>The following document is intended to provide guidance to Early Interventio</w:t>
      </w:r>
      <w:r w:rsidR="00F2315E" w:rsidRPr="0039362E">
        <w:rPr>
          <w:sz w:val="22"/>
          <w:szCs w:val="22"/>
        </w:rPr>
        <w:t xml:space="preserve">n </w:t>
      </w:r>
      <w:r w:rsidR="008065ED">
        <w:rPr>
          <w:sz w:val="22"/>
          <w:szCs w:val="22"/>
        </w:rPr>
        <w:t xml:space="preserve">Services </w:t>
      </w:r>
      <w:r w:rsidR="00F2315E" w:rsidRPr="0039362E">
        <w:rPr>
          <w:sz w:val="22"/>
          <w:szCs w:val="22"/>
        </w:rPr>
        <w:t xml:space="preserve">Providers requesting a waiver for </w:t>
      </w:r>
      <w:r w:rsidRPr="0039362E">
        <w:rPr>
          <w:sz w:val="22"/>
          <w:szCs w:val="22"/>
        </w:rPr>
        <w:t xml:space="preserve">reimbursement for billing for services provided outside of the Early Intervention Operational Standards </w:t>
      </w:r>
      <w:r w:rsidR="001B4A8C" w:rsidRPr="0039362E">
        <w:rPr>
          <w:sz w:val="22"/>
          <w:szCs w:val="22"/>
        </w:rPr>
        <w:t xml:space="preserve">and the EI </w:t>
      </w:r>
      <w:r w:rsidR="005272DE" w:rsidRPr="0039362E">
        <w:rPr>
          <w:sz w:val="22"/>
          <w:szCs w:val="22"/>
        </w:rPr>
        <w:t>Reimbursement Policy Manual</w:t>
      </w:r>
      <w:r w:rsidR="001B4A8C" w:rsidRPr="0039362E">
        <w:rPr>
          <w:sz w:val="22"/>
          <w:szCs w:val="22"/>
        </w:rPr>
        <w:t>.</w:t>
      </w:r>
    </w:p>
    <w:p w14:paraId="1469736F" w14:textId="77777777" w:rsidR="00DC175F" w:rsidRPr="0039362E" w:rsidRDefault="00DC175F">
      <w:pPr>
        <w:rPr>
          <w:sz w:val="22"/>
          <w:szCs w:val="22"/>
        </w:rPr>
      </w:pPr>
    </w:p>
    <w:p w14:paraId="2C7E2EC9" w14:textId="77777777" w:rsidR="00EA2C93" w:rsidRPr="0039362E" w:rsidRDefault="00EA2C93">
      <w:pPr>
        <w:rPr>
          <w:b/>
          <w:sz w:val="22"/>
          <w:szCs w:val="22"/>
        </w:rPr>
      </w:pPr>
      <w:r w:rsidRPr="0039362E">
        <w:rPr>
          <w:b/>
          <w:sz w:val="22"/>
          <w:szCs w:val="22"/>
        </w:rPr>
        <w:t>WHEN TO REQUEST A WAIVER FOR REIMBURSEMENT:</w:t>
      </w:r>
    </w:p>
    <w:p w14:paraId="7FD5971A" w14:textId="671FCED3" w:rsidR="00FA4514" w:rsidRDefault="00B43894">
      <w:pPr>
        <w:rPr>
          <w:sz w:val="22"/>
          <w:szCs w:val="22"/>
        </w:rPr>
      </w:pPr>
      <w:r w:rsidRPr="0039362E">
        <w:rPr>
          <w:sz w:val="22"/>
          <w:szCs w:val="22"/>
        </w:rPr>
        <w:t>If EI</w:t>
      </w:r>
      <w:r w:rsidR="00094443">
        <w:rPr>
          <w:sz w:val="22"/>
          <w:szCs w:val="22"/>
        </w:rPr>
        <w:t xml:space="preserve">S programs </w:t>
      </w:r>
      <w:r w:rsidRPr="0039362E">
        <w:rPr>
          <w:sz w:val="22"/>
          <w:szCs w:val="22"/>
        </w:rPr>
        <w:t>have a rare and</w:t>
      </w:r>
      <w:r w:rsidR="007C4368" w:rsidRPr="0039362E">
        <w:rPr>
          <w:sz w:val="22"/>
          <w:szCs w:val="22"/>
        </w:rPr>
        <w:t xml:space="preserve"> extraordinary </w:t>
      </w:r>
      <w:r w:rsidRPr="0039362E">
        <w:rPr>
          <w:sz w:val="22"/>
          <w:szCs w:val="22"/>
        </w:rPr>
        <w:t xml:space="preserve">clinical </w:t>
      </w:r>
      <w:r w:rsidR="007C4368" w:rsidRPr="0039362E">
        <w:rPr>
          <w:sz w:val="22"/>
          <w:szCs w:val="22"/>
        </w:rPr>
        <w:t xml:space="preserve">circumstance in which they feel that EI services cannot follow the EI </w:t>
      </w:r>
      <w:r w:rsidR="005272DE" w:rsidRPr="0039362E">
        <w:rPr>
          <w:sz w:val="22"/>
          <w:szCs w:val="22"/>
        </w:rPr>
        <w:t>Reimbursement Policy Manual</w:t>
      </w:r>
      <w:r w:rsidR="007C4368" w:rsidRPr="0039362E">
        <w:rPr>
          <w:sz w:val="22"/>
          <w:szCs w:val="22"/>
        </w:rPr>
        <w:t>, then they can submit a waiver</w:t>
      </w:r>
      <w:r w:rsidR="00094443">
        <w:rPr>
          <w:sz w:val="22"/>
          <w:szCs w:val="22"/>
        </w:rPr>
        <w:t xml:space="preserve"> to request</w:t>
      </w:r>
      <w:r w:rsidR="007C4368" w:rsidRPr="0039362E">
        <w:rPr>
          <w:sz w:val="22"/>
          <w:szCs w:val="22"/>
        </w:rPr>
        <w:t xml:space="preserve"> for reimbursement</w:t>
      </w:r>
      <w:r w:rsidR="005272DE" w:rsidRPr="0039362E">
        <w:rPr>
          <w:sz w:val="22"/>
          <w:szCs w:val="22"/>
        </w:rPr>
        <w:t xml:space="preserve"> of those services</w:t>
      </w:r>
      <w:r w:rsidR="007C4368" w:rsidRPr="0039362E">
        <w:rPr>
          <w:sz w:val="22"/>
          <w:szCs w:val="22"/>
        </w:rPr>
        <w:t xml:space="preserve">. </w:t>
      </w:r>
      <w:r w:rsidR="005272DE" w:rsidRPr="0039362E">
        <w:rPr>
          <w:sz w:val="22"/>
          <w:szCs w:val="22"/>
        </w:rPr>
        <w:t>Waivers</w:t>
      </w:r>
      <w:r w:rsidR="00EA2C93" w:rsidRPr="0039362E">
        <w:rPr>
          <w:sz w:val="22"/>
          <w:szCs w:val="22"/>
        </w:rPr>
        <w:t xml:space="preserve"> for Reimbursement must be individualized and based on the functional outcomes the family has identified to achieve through the child’s experience within early intervention.  </w:t>
      </w:r>
      <w:r w:rsidR="004601C5" w:rsidRPr="0039362E">
        <w:rPr>
          <w:sz w:val="22"/>
          <w:szCs w:val="22"/>
        </w:rPr>
        <w:t xml:space="preserve">Each request needs to be made on an individual basis for a child who has a </w:t>
      </w:r>
      <w:r w:rsidR="004601C5" w:rsidRPr="0039362E">
        <w:rPr>
          <w:b/>
          <w:i/>
          <w:sz w:val="22"/>
          <w:szCs w:val="22"/>
        </w:rPr>
        <w:t>distinct extraordinary circumstance</w:t>
      </w:r>
      <w:r w:rsidR="004601C5" w:rsidRPr="0039362E">
        <w:rPr>
          <w:sz w:val="22"/>
          <w:szCs w:val="22"/>
        </w:rPr>
        <w:t xml:space="preserve"> that requires a service that exceeds the </w:t>
      </w:r>
      <w:r w:rsidR="001B4A8C" w:rsidRPr="0039362E">
        <w:rPr>
          <w:sz w:val="22"/>
          <w:szCs w:val="22"/>
        </w:rPr>
        <w:t xml:space="preserve">EI </w:t>
      </w:r>
      <w:r w:rsidR="005272DE" w:rsidRPr="0039362E">
        <w:rPr>
          <w:sz w:val="22"/>
          <w:szCs w:val="22"/>
        </w:rPr>
        <w:t>Reimbursement</w:t>
      </w:r>
      <w:r w:rsidR="001B4A8C" w:rsidRPr="0039362E">
        <w:rPr>
          <w:sz w:val="22"/>
          <w:szCs w:val="22"/>
        </w:rPr>
        <w:t xml:space="preserve"> Requirements</w:t>
      </w:r>
      <w:r w:rsidR="001B4A8C" w:rsidRPr="0039362E">
        <w:rPr>
          <w:b/>
          <w:i/>
          <w:sz w:val="22"/>
          <w:szCs w:val="22"/>
        </w:rPr>
        <w:t>.</w:t>
      </w:r>
      <w:r w:rsidR="004601C5" w:rsidRPr="0039362E">
        <w:rPr>
          <w:sz w:val="22"/>
          <w:szCs w:val="22"/>
        </w:rPr>
        <w:t xml:space="preserve"> These should be </w:t>
      </w:r>
      <w:r w:rsidR="004601C5" w:rsidRPr="0039362E">
        <w:rPr>
          <w:b/>
          <w:i/>
          <w:sz w:val="22"/>
          <w:szCs w:val="22"/>
        </w:rPr>
        <w:t xml:space="preserve">rare </w:t>
      </w:r>
      <w:r w:rsidR="004601C5" w:rsidRPr="0039362E">
        <w:rPr>
          <w:sz w:val="22"/>
          <w:szCs w:val="22"/>
        </w:rPr>
        <w:t xml:space="preserve">occurrences, based on the needs of the child and family. </w:t>
      </w:r>
      <w:r w:rsidR="00094443">
        <w:rPr>
          <w:sz w:val="22"/>
          <w:szCs w:val="22"/>
        </w:rPr>
        <w:t xml:space="preserve">Waivers </w:t>
      </w:r>
      <w:r w:rsidR="00610A82">
        <w:rPr>
          <w:sz w:val="22"/>
          <w:szCs w:val="22"/>
        </w:rPr>
        <w:t>must be submitted in advance of the delivery of services.</w:t>
      </w:r>
    </w:p>
    <w:p w14:paraId="4012C897" w14:textId="77777777" w:rsidR="00DC175F" w:rsidRPr="0039362E" w:rsidRDefault="00DC175F">
      <w:pPr>
        <w:rPr>
          <w:sz w:val="22"/>
          <w:szCs w:val="22"/>
        </w:rPr>
      </w:pPr>
    </w:p>
    <w:p w14:paraId="2BA62458" w14:textId="77777777" w:rsidR="00F202EC" w:rsidRPr="0039362E" w:rsidRDefault="001B4A8C" w:rsidP="00F202EC">
      <w:pPr>
        <w:rPr>
          <w:b/>
          <w:sz w:val="22"/>
          <w:szCs w:val="22"/>
        </w:rPr>
      </w:pPr>
      <w:r w:rsidRPr="0039362E">
        <w:rPr>
          <w:b/>
          <w:sz w:val="22"/>
          <w:szCs w:val="22"/>
        </w:rPr>
        <w:t>HOW TO REQUEST A WAIVER FOR REIMBURSEMENT:</w:t>
      </w:r>
    </w:p>
    <w:p w14:paraId="1FCD157E" w14:textId="225CAAE1" w:rsidR="00DC175F" w:rsidRDefault="00D10329" w:rsidP="00BE0F50">
      <w:pPr>
        <w:rPr>
          <w:b/>
          <w:sz w:val="22"/>
          <w:szCs w:val="22"/>
        </w:rPr>
      </w:pPr>
      <w:r>
        <w:rPr>
          <w:sz w:val="22"/>
          <w:szCs w:val="22"/>
        </w:rPr>
        <w:t>R</w:t>
      </w:r>
      <w:r w:rsidR="003D1726" w:rsidRPr="0039362E">
        <w:rPr>
          <w:sz w:val="22"/>
          <w:szCs w:val="22"/>
        </w:rPr>
        <w:t xml:space="preserve">equests for reimbursement beyond the billing allotment </w:t>
      </w:r>
      <w:r>
        <w:rPr>
          <w:sz w:val="22"/>
          <w:szCs w:val="22"/>
        </w:rPr>
        <w:t>will</w:t>
      </w:r>
      <w:r w:rsidR="003D1726" w:rsidRPr="0039362E">
        <w:rPr>
          <w:sz w:val="22"/>
          <w:szCs w:val="22"/>
        </w:rPr>
        <w:t xml:space="preserve"> be made through the</w:t>
      </w:r>
      <w:r w:rsidR="00B43894" w:rsidRPr="0039362E">
        <w:rPr>
          <w:sz w:val="22"/>
          <w:szCs w:val="22"/>
        </w:rPr>
        <w:t xml:space="preserve"> Early Intervention </w:t>
      </w:r>
      <w:r w:rsidR="003D1726" w:rsidRPr="0039362E">
        <w:rPr>
          <w:sz w:val="22"/>
          <w:szCs w:val="22"/>
        </w:rPr>
        <w:t>Client System</w:t>
      </w:r>
      <w:r w:rsidR="00B43894" w:rsidRPr="0039362E">
        <w:rPr>
          <w:sz w:val="22"/>
          <w:szCs w:val="22"/>
        </w:rPr>
        <w:t xml:space="preserve"> (EICS)</w:t>
      </w:r>
      <w:r w:rsidR="003D1726" w:rsidRPr="0039362E">
        <w:rPr>
          <w:sz w:val="22"/>
          <w:szCs w:val="22"/>
        </w:rPr>
        <w:t xml:space="preserve"> as an Ad Hoc Task. The form is intended to be completed by the service coordinator who then submits (within </w:t>
      </w:r>
      <w:r w:rsidR="00610A82">
        <w:rPr>
          <w:sz w:val="22"/>
          <w:szCs w:val="22"/>
        </w:rPr>
        <w:t>EICS</w:t>
      </w:r>
      <w:r w:rsidR="003D1726" w:rsidRPr="0039362E">
        <w:rPr>
          <w:sz w:val="22"/>
          <w:szCs w:val="22"/>
        </w:rPr>
        <w:t xml:space="preserve">) to the Program Director for approval. The Program Director </w:t>
      </w:r>
      <w:proofErr w:type="gramStart"/>
      <w:r w:rsidR="003D1726" w:rsidRPr="0039362E">
        <w:rPr>
          <w:sz w:val="22"/>
          <w:szCs w:val="22"/>
        </w:rPr>
        <w:t>has the ability to</w:t>
      </w:r>
      <w:proofErr w:type="gramEnd"/>
      <w:r w:rsidR="003D1726" w:rsidRPr="0039362E">
        <w:rPr>
          <w:sz w:val="22"/>
          <w:szCs w:val="22"/>
        </w:rPr>
        <w:t xml:space="preserve"> adjust/make comments, </w:t>
      </w:r>
      <w:r>
        <w:rPr>
          <w:sz w:val="22"/>
          <w:szCs w:val="22"/>
        </w:rPr>
        <w:t>e</w:t>
      </w:r>
      <w:r w:rsidR="003D1726" w:rsidRPr="0039362E">
        <w:rPr>
          <w:sz w:val="22"/>
          <w:szCs w:val="22"/>
        </w:rPr>
        <w:t xml:space="preserve">nsure all required information is complete, and then chooses either to submit to </w:t>
      </w:r>
      <w:r w:rsidR="008065ED">
        <w:rPr>
          <w:sz w:val="22"/>
          <w:szCs w:val="22"/>
        </w:rPr>
        <w:t>the Early Intervention Division</w:t>
      </w:r>
      <w:r w:rsidR="008065ED" w:rsidRPr="0039362E">
        <w:rPr>
          <w:sz w:val="22"/>
          <w:szCs w:val="22"/>
        </w:rPr>
        <w:t xml:space="preserve"> </w:t>
      </w:r>
      <w:r w:rsidR="003D1726" w:rsidRPr="0039362E">
        <w:rPr>
          <w:sz w:val="22"/>
          <w:szCs w:val="22"/>
        </w:rPr>
        <w:t xml:space="preserve">or return back to the Service Coordinator. </w:t>
      </w:r>
      <w:r w:rsidR="005304C6">
        <w:rPr>
          <w:sz w:val="22"/>
          <w:szCs w:val="22"/>
        </w:rPr>
        <w:t xml:space="preserve">The expectation is that the form submitted to </w:t>
      </w:r>
      <w:r w:rsidR="008065ED">
        <w:rPr>
          <w:sz w:val="22"/>
          <w:szCs w:val="22"/>
        </w:rPr>
        <w:t>the Early Intervention Division</w:t>
      </w:r>
      <w:r w:rsidR="005304C6">
        <w:rPr>
          <w:sz w:val="22"/>
          <w:szCs w:val="22"/>
        </w:rPr>
        <w:t xml:space="preserve"> will contain </w:t>
      </w:r>
      <w:proofErr w:type="gramStart"/>
      <w:r w:rsidR="005304C6">
        <w:rPr>
          <w:sz w:val="22"/>
          <w:szCs w:val="22"/>
        </w:rPr>
        <w:t>all of</w:t>
      </w:r>
      <w:proofErr w:type="gramEnd"/>
      <w:r w:rsidR="005304C6">
        <w:rPr>
          <w:sz w:val="22"/>
          <w:szCs w:val="22"/>
        </w:rPr>
        <w:t xml:space="preserve"> the relevant details needed for approval. </w:t>
      </w:r>
      <w:r w:rsidR="003D1726" w:rsidRPr="0039362E">
        <w:rPr>
          <w:sz w:val="22"/>
          <w:szCs w:val="22"/>
        </w:rPr>
        <w:t xml:space="preserve">When the request has been reviewed by </w:t>
      </w:r>
      <w:r w:rsidR="008065ED">
        <w:rPr>
          <w:sz w:val="22"/>
          <w:szCs w:val="22"/>
        </w:rPr>
        <w:t>the Early Intervention Division</w:t>
      </w:r>
      <w:r w:rsidR="003D1726" w:rsidRPr="0039362E">
        <w:rPr>
          <w:sz w:val="22"/>
          <w:szCs w:val="22"/>
        </w:rPr>
        <w:t xml:space="preserve">, it will be listed as Approved or Denied in the Service Coordinator’s </w:t>
      </w:r>
      <w:r w:rsidR="00F1354A" w:rsidRPr="0039362E">
        <w:rPr>
          <w:sz w:val="22"/>
          <w:szCs w:val="22"/>
        </w:rPr>
        <w:t>and Program D</w:t>
      </w:r>
      <w:r w:rsidR="00B43894" w:rsidRPr="0039362E">
        <w:rPr>
          <w:sz w:val="22"/>
          <w:szCs w:val="22"/>
        </w:rPr>
        <w:t xml:space="preserve">irector’s </w:t>
      </w:r>
      <w:r w:rsidR="003D1726" w:rsidRPr="0039362E">
        <w:rPr>
          <w:sz w:val="22"/>
          <w:szCs w:val="22"/>
        </w:rPr>
        <w:t>dashboard</w:t>
      </w:r>
      <w:r w:rsidR="00B43894" w:rsidRPr="0039362E">
        <w:rPr>
          <w:sz w:val="22"/>
          <w:szCs w:val="22"/>
        </w:rPr>
        <w:t>s</w:t>
      </w:r>
      <w:r w:rsidR="00A30AED" w:rsidRPr="0039362E">
        <w:rPr>
          <w:sz w:val="22"/>
          <w:szCs w:val="22"/>
        </w:rPr>
        <w:t>.</w:t>
      </w:r>
      <w:r w:rsidR="00BE0F50" w:rsidRPr="0039362E">
        <w:rPr>
          <w:b/>
          <w:sz w:val="22"/>
          <w:szCs w:val="22"/>
        </w:rPr>
        <w:t xml:space="preserve"> </w:t>
      </w:r>
    </w:p>
    <w:p w14:paraId="19BE4E3B" w14:textId="77777777" w:rsidR="00DC175F" w:rsidRDefault="00DC175F" w:rsidP="00BE0F50">
      <w:pPr>
        <w:rPr>
          <w:b/>
          <w:sz w:val="22"/>
          <w:szCs w:val="22"/>
        </w:rPr>
      </w:pPr>
    </w:p>
    <w:p w14:paraId="34CBDD8A" w14:textId="30D071C1" w:rsidR="003B49E5" w:rsidRPr="00DC175F" w:rsidRDefault="003B49E5" w:rsidP="00010C61">
      <w:pPr>
        <w:rPr>
          <w:b/>
        </w:rPr>
      </w:pPr>
    </w:p>
    <w:tbl>
      <w:tblPr>
        <w:tblW w:w="146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5760"/>
        <w:gridCol w:w="4518"/>
      </w:tblGrid>
      <w:tr w:rsidR="00863E3D" w:rsidRPr="00D770EA" w14:paraId="019ED052" w14:textId="77777777" w:rsidTr="00A30AED">
        <w:tc>
          <w:tcPr>
            <w:tcW w:w="4410" w:type="dxa"/>
            <w:shd w:val="pct30" w:color="FFFF00" w:fill="FFFFFF"/>
          </w:tcPr>
          <w:p w14:paraId="0BFEC224" w14:textId="77777777" w:rsidR="00863E3D" w:rsidRPr="00D770EA" w:rsidRDefault="00863E3D" w:rsidP="004F573E">
            <w:pPr>
              <w:rPr>
                <w:rFonts w:ascii="Cambria" w:hAnsi="Cambria"/>
                <w:b/>
                <w:sz w:val="20"/>
              </w:rPr>
            </w:pPr>
            <w:r w:rsidRPr="00D770EA">
              <w:rPr>
                <w:rFonts w:ascii="Cambria" w:hAnsi="Cambria"/>
                <w:b/>
                <w:sz w:val="20"/>
              </w:rPr>
              <w:t>REQUEST FOR REIMBURSEMENT</w:t>
            </w:r>
          </w:p>
        </w:tc>
        <w:tc>
          <w:tcPr>
            <w:tcW w:w="5760" w:type="dxa"/>
            <w:shd w:val="pct30" w:color="FFFF00" w:fill="FFFFFF"/>
          </w:tcPr>
          <w:p w14:paraId="476A8BBC" w14:textId="77777777" w:rsidR="00863E3D" w:rsidRPr="00D770EA" w:rsidRDefault="00DC175F" w:rsidP="00B744C9">
            <w:pPr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 w:cs="Calibri-BoldItalic"/>
                <w:b/>
                <w:bCs/>
                <w:iCs/>
                <w:sz w:val="20"/>
              </w:rPr>
              <w:t xml:space="preserve">ALLOWED </w:t>
            </w:r>
            <w:r w:rsidR="00863E3D" w:rsidRPr="00D770EA">
              <w:rPr>
                <w:rFonts w:ascii="Cambria" w:hAnsi="Cambria" w:cs="Calibri-BoldItalic"/>
                <w:b/>
                <w:bCs/>
                <w:iCs/>
                <w:sz w:val="20"/>
              </w:rPr>
              <w:t xml:space="preserve">BILLING ALLOTMENT </w:t>
            </w:r>
          </w:p>
        </w:tc>
        <w:tc>
          <w:tcPr>
            <w:tcW w:w="4518" w:type="dxa"/>
            <w:shd w:val="pct30" w:color="FFFF00" w:fill="FFFFFF"/>
          </w:tcPr>
          <w:p w14:paraId="5D7F8F06" w14:textId="77777777" w:rsidR="00863E3D" w:rsidRPr="00D770EA" w:rsidRDefault="00863E3D" w:rsidP="004F573E">
            <w:pPr>
              <w:rPr>
                <w:rFonts w:ascii="Cambria" w:hAnsi="Cambria"/>
                <w:b/>
                <w:sz w:val="20"/>
              </w:rPr>
            </w:pPr>
            <w:r w:rsidRPr="00D770EA">
              <w:rPr>
                <w:rFonts w:ascii="Cambria" w:hAnsi="Cambria"/>
                <w:b/>
                <w:sz w:val="20"/>
              </w:rPr>
              <w:t>NOTES</w:t>
            </w:r>
          </w:p>
        </w:tc>
      </w:tr>
      <w:tr w:rsidR="00863E3D" w:rsidRPr="00D770EA" w14:paraId="2CA38A35" w14:textId="77777777" w:rsidTr="00A30AED">
        <w:tc>
          <w:tcPr>
            <w:tcW w:w="4410" w:type="dxa"/>
            <w:shd w:val="clear" w:color="auto" w:fill="auto"/>
          </w:tcPr>
          <w:p w14:paraId="44AA85EC" w14:textId="77777777" w:rsidR="00863E3D" w:rsidRPr="00D770EA" w:rsidRDefault="00863E3D" w:rsidP="00010C61">
            <w:pPr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t>Co-Treatment more than 1 time per month</w:t>
            </w:r>
          </w:p>
        </w:tc>
        <w:tc>
          <w:tcPr>
            <w:tcW w:w="5760" w:type="dxa"/>
            <w:shd w:val="clear" w:color="auto" w:fill="auto"/>
          </w:tcPr>
          <w:p w14:paraId="5CE0880C" w14:textId="77777777" w:rsidR="00863E3D" w:rsidRPr="00D770EA" w:rsidRDefault="00863E3D" w:rsidP="00A20C73">
            <w:pPr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t>2 hours per session per EI Specialist maximum</w:t>
            </w:r>
          </w:p>
          <w:p w14:paraId="2CD02D72" w14:textId="77777777" w:rsidR="00863E3D" w:rsidRPr="00D770EA" w:rsidRDefault="00863E3D" w:rsidP="00A20C73">
            <w:pPr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t>One co</w:t>
            </w:r>
            <w:r w:rsidRPr="00D770EA">
              <w:rPr>
                <w:rFonts w:ascii="Cambria" w:hAnsi="Cambria" w:cs="Cambria Math"/>
                <w:sz w:val="20"/>
              </w:rPr>
              <w:t>‐</w:t>
            </w:r>
            <w:r w:rsidRPr="00D770EA">
              <w:rPr>
                <w:rFonts w:ascii="Cambria" w:hAnsi="Cambria"/>
                <w:sz w:val="20"/>
              </w:rPr>
              <w:t>treatment per month per enrolled child</w:t>
            </w:r>
          </w:p>
          <w:p w14:paraId="496C3645" w14:textId="77777777" w:rsidR="00863E3D" w:rsidRDefault="00590392" w:rsidP="00A20C73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Billed by two different disciplined EI Specialists</w:t>
            </w:r>
          </w:p>
          <w:p w14:paraId="576AD652" w14:textId="77777777" w:rsidR="00DC175F" w:rsidRDefault="00DC175F" w:rsidP="00A20C73">
            <w:pPr>
              <w:rPr>
                <w:rFonts w:ascii="Cambria" w:hAnsi="Cambria"/>
                <w:sz w:val="20"/>
              </w:rPr>
            </w:pPr>
          </w:p>
          <w:p w14:paraId="38ACFF27" w14:textId="77777777" w:rsidR="00DC175F" w:rsidRPr="00D770EA" w:rsidRDefault="00DC175F" w:rsidP="00A20C73">
            <w:pPr>
              <w:rPr>
                <w:rFonts w:ascii="Cambria" w:hAnsi="Cambria"/>
                <w:sz w:val="20"/>
              </w:rPr>
            </w:pPr>
          </w:p>
        </w:tc>
        <w:tc>
          <w:tcPr>
            <w:tcW w:w="4518" w:type="dxa"/>
            <w:shd w:val="clear" w:color="auto" w:fill="auto"/>
          </w:tcPr>
          <w:p w14:paraId="5FC53C34" w14:textId="77777777" w:rsidR="00863E3D" w:rsidRPr="00D770EA" w:rsidRDefault="00DC175F" w:rsidP="00010C61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Needs a </w:t>
            </w:r>
            <w:r w:rsidR="00155515" w:rsidRPr="0039362E">
              <w:rPr>
                <w:b/>
                <w:i/>
                <w:sz w:val="22"/>
                <w:szCs w:val="22"/>
              </w:rPr>
              <w:t>distinct extraordinary circumstance</w:t>
            </w:r>
            <w:r w:rsidR="00155515" w:rsidRPr="0039362E">
              <w:rPr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0"/>
              </w:rPr>
              <w:t xml:space="preserve">clinical justification </w:t>
            </w:r>
          </w:p>
        </w:tc>
      </w:tr>
      <w:tr w:rsidR="00863E3D" w:rsidRPr="00D770EA" w14:paraId="0F3DA4C7" w14:textId="77777777" w:rsidTr="00A30AED">
        <w:tc>
          <w:tcPr>
            <w:tcW w:w="4410" w:type="dxa"/>
            <w:shd w:val="clear" w:color="auto" w:fill="auto"/>
          </w:tcPr>
          <w:p w14:paraId="18F9DBA3" w14:textId="77777777" w:rsidR="00863E3D" w:rsidRPr="00D770EA" w:rsidRDefault="00863E3D" w:rsidP="004F573E">
            <w:pPr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t>Child group more than 2 ½ hours per week</w:t>
            </w:r>
          </w:p>
          <w:p w14:paraId="446BC186" w14:textId="77777777" w:rsidR="00863E3D" w:rsidRPr="00D770EA" w:rsidRDefault="00863E3D" w:rsidP="004F573E">
            <w:pPr>
              <w:rPr>
                <w:rFonts w:ascii="Cambria" w:hAnsi="Cambria"/>
                <w:sz w:val="20"/>
              </w:rPr>
            </w:pPr>
          </w:p>
        </w:tc>
        <w:tc>
          <w:tcPr>
            <w:tcW w:w="5760" w:type="dxa"/>
            <w:shd w:val="clear" w:color="auto" w:fill="auto"/>
          </w:tcPr>
          <w:p w14:paraId="74EC0C31" w14:textId="77777777" w:rsidR="00863E3D" w:rsidRPr="00D770EA" w:rsidRDefault="00863E3D" w:rsidP="00D770EA">
            <w:pPr>
              <w:jc w:val="both"/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t>Combination of time for both Community &amp; EI</w:t>
            </w:r>
            <w:r w:rsidRPr="00D770EA">
              <w:rPr>
                <w:rFonts w:ascii="Cambria" w:hAnsi="Cambria" w:cs="Cambria Math"/>
                <w:sz w:val="20"/>
              </w:rPr>
              <w:t>‐</w:t>
            </w:r>
            <w:r w:rsidRPr="00D770EA">
              <w:rPr>
                <w:rFonts w:ascii="Cambria" w:hAnsi="Cambria"/>
                <w:sz w:val="20"/>
              </w:rPr>
              <w:t>Only Group services</w:t>
            </w:r>
          </w:p>
          <w:p w14:paraId="1E9C9DD4" w14:textId="77777777" w:rsidR="00863E3D" w:rsidRPr="00D770EA" w:rsidRDefault="00863E3D" w:rsidP="00D770EA">
            <w:pPr>
              <w:ind w:left="360"/>
              <w:jc w:val="both"/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t xml:space="preserve">  2.5 hours per week maximum</w:t>
            </w:r>
          </w:p>
          <w:p w14:paraId="795F8263" w14:textId="77777777" w:rsidR="00863E3D" w:rsidRPr="00D770EA" w:rsidRDefault="00863E3D" w:rsidP="00D770EA">
            <w:pPr>
              <w:ind w:left="360"/>
              <w:jc w:val="both"/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t xml:space="preserve">  2 sessions per week maximum</w:t>
            </w:r>
          </w:p>
          <w:p w14:paraId="601A0EE4" w14:textId="77777777" w:rsidR="00863E3D" w:rsidRDefault="00863E3D" w:rsidP="00D770EA">
            <w:pPr>
              <w:ind w:left="360"/>
              <w:jc w:val="both"/>
              <w:rPr>
                <w:rFonts w:ascii="Cambria" w:hAnsi="Cambria"/>
                <w:sz w:val="20"/>
              </w:rPr>
            </w:pPr>
          </w:p>
          <w:p w14:paraId="62BA35A4" w14:textId="77777777" w:rsidR="00DC175F" w:rsidRPr="00D770EA" w:rsidRDefault="00DC175F" w:rsidP="00D770EA">
            <w:pPr>
              <w:ind w:left="360"/>
              <w:jc w:val="both"/>
              <w:rPr>
                <w:rFonts w:ascii="Cambria" w:hAnsi="Cambria"/>
                <w:sz w:val="20"/>
              </w:rPr>
            </w:pPr>
          </w:p>
        </w:tc>
        <w:tc>
          <w:tcPr>
            <w:tcW w:w="4518" w:type="dxa"/>
            <w:shd w:val="clear" w:color="auto" w:fill="auto"/>
          </w:tcPr>
          <w:p w14:paraId="1CA8B53D" w14:textId="77777777" w:rsidR="00863E3D" w:rsidRPr="00D770EA" w:rsidRDefault="00DC175F" w:rsidP="00010C61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Needs a </w:t>
            </w:r>
            <w:r w:rsidR="00155515" w:rsidRPr="0039362E">
              <w:rPr>
                <w:b/>
                <w:i/>
                <w:sz w:val="22"/>
                <w:szCs w:val="22"/>
              </w:rPr>
              <w:t>distinct extraordinary circumstance</w:t>
            </w:r>
            <w:r w:rsidR="00155515" w:rsidRPr="0039362E">
              <w:rPr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0"/>
              </w:rPr>
              <w:t>clinical justification</w:t>
            </w:r>
          </w:p>
        </w:tc>
      </w:tr>
      <w:tr w:rsidR="00863E3D" w:rsidRPr="00D770EA" w14:paraId="08836D53" w14:textId="77777777" w:rsidTr="00A30AED">
        <w:tc>
          <w:tcPr>
            <w:tcW w:w="4410" w:type="dxa"/>
            <w:shd w:val="clear" w:color="auto" w:fill="auto"/>
          </w:tcPr>
          <w:p w14:paraId="4AE721F0" w14:textId="77777777" w:rsidR="00863E3D" w:rsidRPr="00D770EA" w:rsidRDefault="00863E3D" w:rsidP="004F573E">
            <w:pPr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t>Home visit exceeds two hours in duration</w:t>
            </w:r>
          </w:p>
        </w:tc>
        <w:tc>
          <w:tcPr>
            <w:tcW w:w="5760" w:type="dxa"/>
            <w:shd w:val="clear" w:color="auto" w:fill="auto"/>
          </w:tcPr>
          <w:p w14:paraId="200DBE25" w14:textId="77777777" w:rsidR="00863E3D" w:rsidRPr="00D770EA" w:rsidRDefault="00863E3D" w:rsidP="00A20C73">
            <w:pPr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t>2 hours per session per day maximum</w:t>
            </w:r>
          </w:p>
          <w:p w14:paraId="4A444FA2" w14:textId="77777777" w:rsidR="00863E3D" w:rsidRPr="00D770EA" w:rsidRDefault="00863E3D" w:rsidP="00A20C73">
            <w:pPr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lastRenderedPageBreak/>
              <w:t>There are no restrictions on the number of home visit sessions per day</w:t>
            </w:r>
            <w:r w:rsidR="00635407">
              <w:rPr>
                <w:rFonts w:ascii="Cambria" w:hAnsi="Cambria"/>
                <w:sz w:val="20"/>
              </w:rPr>
              <w:t>.</w:t>
            </w:r>
          </w:p>
          <w:p w14:paraId="39AFCA8D" w14:textId="77777777" w:rsidR="00863E3D" w:rsidRPr="00D770EA" w:rsidRDefault="00863E3D" w:rsidP="00A20C73">
            <w:pPr>
              <w:rPr>
                <w:rFonts w:ascii="Cambria" w:hAnsi="Cambria"/>
                <w:sz w:val="20"/>
              </w:rPr>
            </w:pPr>
          </w:p>
          <w:p w14:paraId="27FA4EC1" w14:textId="77777777" w:rsidR="00863E3D" w:rsidRPr="00D770EA" w:rsidRDefault="00863E3D" w:rsidP="00A20C73">
            <w:pPr>
              <w:rPr>
                <w:rFonts w:ascii="Cambria" w:hAnsi="Cambria"/>
                <w:sz w:val="20"/>
              </w:rPr>
            </w:pPr>
          </w:p>
        </w:tc>
        <w:tc>
          <w:tcPr>
            <w:tcW w:w="4518" w:type="dxa"/>
            <w:shd w:val="clear" w:color="auto" w:fill="auto"/>
          </w:tcPr>
          <w:p w14:paraId="48ABF92F" w14:textId="77777777" w:rsidR="00863E3D" w:rsidRPr="00D770EA" w:rsidRDefault="00DC175F" w:rsidP="00010C61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lastRenderedPageBreak/>
              <w:t xml:space="preserve">Needs a </w:t>
            </w:r>
            <w:r w:rsidR="00155515" w:rsidRPr="0039362E">
              <w:rPr>
                <w:b/>
                <w:i/>
                <w:sz w:val="22"/>
                <w:szCs w:val="22"/>
              </w:rPr>
              <w:t>distinct extraordinary circumstance</w:t>
            </w:r>
            <w:r w:rsidR="00155515" w:rsidRPr="0039362E">
              <w:rPr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0"/>
              </w:rPr>
              <w:t>clinical justification</w:t>
            </w:r>
          </w:p>
        </w:tc>
      </w:tr>
      <w:tr w:rsidR="00863E3D" w:rsidRPr="00D770EA" w14:paraId="5ADA3E4D" w14:textId="77777777" w:rsidTr="00A30AED">
        <w:tc>
          <w:tcPr>
            <w:tcW w:w="4410" w:type="dxa"/>
            <w:shd w:val="clear" w:color="auto" w:fill="auto"/>
          </w:tcPr>
          <w:p w14:paraId="3505B62F" w14:textId="77777777" w:rsidR="00863E3D" w:rsidRDefault="00863E3D" w:rsidP="004F573E">
            <w:pPr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t xml:space="preserve">Center-based individual visit exceeds two hours in </w:t>
            </w:r>
            <w:proofErr w:type="gramStart"/>
            <w:r w:rsidRPr="00D770EA">
              <w:rPr>
                <w:rFonts w:ascii="Cambria" w:hAnsi="Cambria"/>
                <w:sz w:val="20"/>
              </w:rPr>
              <w:t>duration</w:t>
            </w:r>
            <w:proofErr w:type="gramEnd"/>
          </w:p>
          <w:p w14:paraId="372B0948" w14:textId="77777777" w:rsidR="00DC175F" w:rsidRDefault="00DC175F" w:rsidP="004F573E">
            <w:pPr>
              <w:rPr>
                <w:rFonts w:ascii="Cambria" w:hAnsi="Cambria"/>
                <w:sz w:val="20"/>
              </w:rPr>
            </w:pPr>
          </w:p>
          <w:p w14:paraId="090FF1B1" w14:textId="77777777" w:rsidR="00DC175F" w:rsidRDefault="00DC175F" w:rsidP="004F573E">
            <w:pPr>
              <w:rPr>
                <w:rFonts w:ascii="Cambria" w:hAnsi="Cambria"/>
                <w:sz w:val="20"/>
              </w:rPr>
            </w:pPr>
          </w:p>
          <w:p w14:paraId="43B7C14F" w14:textId="77777777" w:rsidR="00DC175F" w:rsidRDefault="00DC175F" w:rsidP="004F573E">
            <w:pPr>
              <w:rPr>
                <w:rFonts w:ascii="Cambria" w:hAnsi="Cambria"/>
                <w:sz w:val="20"/>
              </w:rPr>
            </w:pPr>
          </w:p>
          <w:p w14:paraId="7B7FBB67" w14:textId="77777777" w:rsidR="00DC175F" w:rsidRPr="00D770EA" w:rsidRDefault="00DC175F" w:rsidP="004F573E">
            <w:pPr>
              <w:rPr>
                <w:rFonts w:ascii="Cambria" w:hAnsi="Cambria"/>
                <w:sz w:val="20"/>
              </w:rPr>
            </w:pPr>
          </w:p>
        </w:tc>
        <w:tc>
          <w:tcPr>
            <w:tcW w:w="5760" w:type="dxa"/>
            <w:shd w:val="clear" w:color="auto" w:fill="auto"/>
          </w:tcPr>
          <w:p w14:paraId="6E455819" w14:textId="77777777" w:rsidR="00863E3D" w:rsidRPr="00D770EA" w:rsidRDefault="00863E3D" w:rsidP="00B744C9">
            <w:pPr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t>2 hours per session per day maximum</w:t>
            </w:r>
          </w:p>
        </w:tc>
        <w:tc>
          <w:tcPr>
            <w:tcW w:w="4518" w:type="dxa"/>
            <w:shd w:val="clear" w:color="auto" w:fill="auto"/>
          </w:tcPr>
          <w:p w14:paraId="7551B6AF" w14:textId="77777777" w:rsidR="00863E3D" w:rsidRPr="00D770EA" w:rsidRDefault="00DC175F" w:rsidP="00010C61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Needs a </w:t>
            </w:r>
            <w:r w:rsidR="00155515" w:rsidRPr="0039362E">
              <w:rPr>
                <w:b/>
                <w:i/>
                <w:sz w:val="22"/>
                <w:szCs w:val="22"/>
              </w:rPr>
              <w:t>distinct extraordinary circumstance</w:t>
            </w:r>
            <w:r w:rsidR="00155515" w:rsidRPr="0039362E">
              <w:rPr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0"/>
              </w:rPr>
              <w:t>clinical justification</w:t>
            </w:r>
          </w:p>
        </w:tc>
      </w:tr>
      <w:tr w:rsidR="00863E3D" w:rsidRPr="00D770EA" w14:paraId="2AD04AA3" w14:textId="77777777" w:rsidTr="00A30AED">
        <w:trPr>
          <w:trHeight w:val="90"/>
        </w:trPr>
        <w:tc>
          <w:tcPr>
            <w:tcW w:w="4410" w:type="dxa"/>
            <w:shd w:val="clear" w:color="auto" w:fill="auto"/>
          </w:tcPr>
          <w:p w14:paraId="0194EB04" w14:textId="77777777" w:rsidR="00863E3D" w:rsidRPr="00D770EA" w:rsidRDefault="00863E3D" w:rsidP="00D770EA">
            <w:pPr>
              <w:pStyle w:val="Header"/>
              <w:tabs>
                <w:tab w:val="clear" w:pos="4320"/>
                <w:tab w:val="clear" w:pos="8640"/>
              </w:tabs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t xml:space="preserve">Assessment hours exceed ten per </w:t>
            </w:r>
            <w:proofErr w:type="gramStart"/>
            <w:r w:rsidRPr="00D770EA">
              <w:rPr>
                <w:rFonts w:ascii="Cambria" w:hAnsi="Cambria"/>
                <w:sz w:val="20"/>
              </w:rPr>
              <w:t>year</w:t>
            </w:r>
            <w:proofErr w:type="gramEnd"/>
          </w:p>
          <w:p w14:paraId="4908A02A" w14:textId="77777777" w:rsidR="00863E3D" w:rsidRPr="00D770EA" w:rsidRDefault="00863E3D" w:rsidP="004F573E">
            <w:pPr>
              <w:rPr>
                <w:rFonts w:ascii="Cambria" w:hAnsi="Cambria"/>
                <w:sz w:val="20"/>
              </w:rPr>
            </w:pPr>
          </w:p>
        </w:tc>
        <w:tc>
          <w:tcPr>
            <w:tcW w:w="5760" w:type="dxa"/>
            <w:shd w:val="clear" w:color="auto" w:fill="auto"/>
          </w:tcPr>
          <w:p w14:paraId="6AF54F70" w14:textId="77777777" w:rsidR="00863E3D" w:rsidRPr="00D770EA" w:rsidRDefault="00863E3D" w:rsidP="00B744C9">
            <w:pPr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t xml:space="preserve">10 hours maximum per year </w:t>
            </w:r>
          </w:p>
          <w:p w14:paraId="5FF55B5F" w14:textId="77777777" w:rsidR="00863E3D" w:rsidRPr="00D770EA" w:rsidRDefault="00863E3D" w:rsidP="00B744C9">
            <w:pPr>
              <w:rPr>
                <w:rFonts w:ascii="Cambria" w:hAnsi="Cambria"/>
                <w:sz w:val="20"/>
              </w:rPr>
            </w:pPr>
          </w:p>
          <w:p w14:paraId="62BF23B3" w14:textId="77777777" w:rsidR="00863E3D" w:rsidRPr="00D770EA" w:rsidRDefault="00863E3D" w:rsidP="00B744C9">
            <w:pPr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t>New assessment hours are available one year from the date of the first billed assessment service</w:t>
            </w:r>
            <w:r w:rsidR="00635407">
              <w:rPr>
                <w:rFonts w:ascii="Cambria" w:hAnsi="Cambria"/>
                <w:sz w:val="20"/>
              </w:rPr>
              <w:t>.</w:t>
            </w:r>
          </w:p>
          <w:p w14:paraId="59C98236" w14:textId="77777777" w:rsidR="00863E3D" w:rsidRPr="00D770EA" w:rsidRDefault="00863E3D" w:rsidP="00B744C9">
            <w:pPr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t xml:space="preserve">If the child does not have any assessment hours left after the </w:t>
            </w:r>
            <w:proofErr w:type="gramStart"/>
            <w:r w:rsidRPr="00D770EA">
              <w:rPr>
                <w:rFonts w:ascii="Cambria" w:hAnsi="Cambria"/>
                <w:sz w:val="20"/>
              </w:rPr>
              <w:t>10 hour</w:t>
            </w:r>
            <w:proofErr w:type="gramEnd"/>
            <w:r w:rsidRPr="00D770EA">
              <w:rPr>
                <w:rFonts w:ascii="Cambria" w:hAnsi="Cambria"/>
                <w:sz w:val="20"/>
              </w:rPr>
              <w:t xml:space="preserve"> maximum then bill assessment services as an assessment home visit</w:t>
            </w:r>
            <w:r w:rsidR="00635407">
              <w:rPr>
                <w:rFonts w:ascii="Cambria" w:hAnsi="Cambria"/>
                <w:sz w:val="20"/>
              </w:rPr>
              <w:t>.</w:t>
            </w:r>
          </w:p>
        </w:tc>
        <w:tc>
          <w:tcPr>
            <w:tcW w:w="4518" w:type="dxa"/>
            <w:shd w:val="clear" w:color="auto" w:fill="auto"/>
          </w:tcPr>
          <w:p w14:paraId="229538F2" w14:textId="77777777" w:rsidR="00863E3D" w:rsidRPr="00D770EA" w:rsidRDefault="00863E3D" w:rsidP="00F15900">
            <w:pPr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t>Waiver</w:t>
            </w:r>
            <w:r w:rsidR="00155515">
              <w:rPr>
                <w:rFonts w:ascii="Cambria" w:hAnsi="Cambria"/>
                <w:sz w:val="20"/>
              </w:rPr>
              <w:t xml:space="preserve"> with a</w:t>
            </w:r>
            <w:r w:rsidR="00155515" w:rsidRPr="0039362E">
              <w:rPr>
                <w:b/>
                <w:i/>
                <w:sz w:val="22"/>
                <w:szCs w:val="22"/>
              </w:rPr>
              <w:t xml:space="preserve"> distinct extraordinary </w:t>
            </w:r>
            <w:r w:rsidR="0049289A" w:rsidRPr="0039362E">
              <w:rPr>
                <w:b/>
                <w:i/>
                <w:sz w:val="22"/>
                <w:szCs w:val="22"/>
              </w:rPr>
              <w:t>circumstance</w:t>
            </w:r>
            <w:r w:rsidR="0049289A">
              <w:rPr>
                <w:rFonts w:ascii="Cambria" w:hAnsi="Cambria"/>
                <w:sz w:val="20"/>
              </w:rPr>
              <w:t xml:space="preserve"> </w:t>
            </w:r>
            <w:r w:rsidR="0049289A" w:rsidRPr="00D770EA">
              <w:rPr>
                <w:rFonts w:ascii="Cambria" w:hAnsi="Cambria"/>
                <w:sz w:val="20"/>
              </w:rPr>
              <w:t>is</w:t>
            </w:r>
            <w:r w:rsidRPr="00D770EA">
              <w:rPr>
                <w:rFonts w:ascii="Cambria" w:hAnsi="Cambria"/>
                <w:sz w:val="20"/>
              </w:rPr>
              <w:t xml:space="preserve"> approved in cases of clinical judgment or transfer with less than required hours needed to establish eligibility</w:t>
            </w:r>
            <w:r w:rsidR="00635407">
              <w:rPr>
                <w:rFonts w:ascii="Cambria" w:hAnsi="Cambria"/>
                <w:sz w:val="20"/>
              </w:rPr>
              <w:t>.</w:t>
            </w:r>
          </w:p>
          <w:p w14:paraId="51B661E5" w14:textId="77777777" w:rsidR="00863E3D" w:rsidRPr="00D770EA" w:rsidRDefault="00863E3D" w:rsidP="00F15900">
            <w:pPr>
              <w:rPr>
                <w:rFonts w:ascii="Cambria" w:hAnsi="Cambria"/>
                <w:sz w:val="20"/>
              </w:rPr>
            </w:pPr>
          </w:p>
          <w:p w14:paraId="5CD6810E" w14:textId="5BB777C1" w:rsidR="00863E3D" w:rsidRPr="00D770EA" w:rsidRDefault="00863E3D" w:rsidP="00F15900">
            <w:pPr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t xml:space="preserve">Up to six hours </w:t>
            </w:r>
            <w:r w:rsidR="006464A0">
              <w:rPr>
                <w:rFonts w:ascii="Cambria" w:hAnsi="Cambria"/>
                <w:sz w:val="20"/>
              </w:rPr>
              <w:t>may</w:t>
            </w:r>
            <w:r w:rsidR="006464A0" w:rsidRPr="00D770EA">
              <w:rPr>
                <w:rFonts w:ascii="Cambria" w:hAnsi="Cambria"/>
                <w:sz w:val="20"/>
              </w:rPr>
              <w:t xml:space="preserve"> </w:t>
            </w:r>
            <w:r w:rsidRPr="00D770EA">
              <w:rPr>
                <w:rFonts w:ascii="Cambria" w:hAnsi="Cambria"/>
                <w:sz w:val="20"/>
              </w:rPr>
              <w:t xml:space="preserve">be approved, following the 2 hour/3 person suggested model, for the </w:t>
            </w:r>
            <w:r w:rsidRPr="00D770EA">
              <w:rPr>
                <w:rFonts w:ascii="Cambria" w:hAnsi="Cambria"/>
                <w:sz w:val="20"/>
                <w:u w:val="single"/>
              </w:rPr>
              <w:t>specific date</w:t>
            </w:r>
            <w:r w:rsidRPr="00D770EA">
              <w:rPr>
                <w:rFonts w:ascii="Cambria" w:hAnsi="Cambria"/>
                <w:sz w:val="20"/>
              </w:rPr>
              <w:t xml:space="preserve"> the assessment is scheduled. </w:t>
            </w:r>
            <w:r w:rsidRPr="00D770EA">
              <w:rPr>
                <w:rFonts w:ascii="Cambria" w:hAnsi="Cambria"/>
                <w:b/>
                <w:sz w:val="20"/>
              </w:rPr>
              <w:t xml:space="preserve">Do not </w:t>
            </w:r>
            <w:r w:rsidR="00155515">
              <w:rPr>
                <w:rFonts w:ascii="Cambria" w:hAnsi="Cambria"/>
                <w:b/>
                <w:sz w:val="20"/>
              </w:rPr>
              <w:t>put a date range</w:t>
            </w:r>
            <w:r w:rsidR="00635407">
              <w:rPr>
                <w:rFonts w:ascii="Cambria" w:hAnsi="Cambria"/>
                <w:b/>
                <w:sz w:val="20"/>
              </w:rPr>
              <w:t>.</w:t>
            </w:r>
          </w:p>
          <w:p w14:paraId="2C21E163" w14:textId="287A0C6B" w:rsidR="00863E3D" w:rsidRPr="00D770EA" w:rsidRDefault="00863E3D" w:rsidP="00F15900">
            <w:pPr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t xml:space="preserve">Include how previously billed hours </w:t>
            </w:r>
            <w:r w:rsidR="006464A0">
              <w:rPr>
                <w:rFonts w:ascii="Cambria" w:hAnsi="Cambria"/>
                <w:sz w:val="20"/>
              </w:rPr>
              <w:t>had</w:t>
            </w:r>
            <w:r w:rsidR="006464A0" w:rsidRPr="00D770EA">
              <w:rPr>
                <w:rFonts w:ascii="Cambria" w:hAnsi="Cambria"/>
                <w:sz w:val="20"/>
              </w:rPr>
              <w:t xml:space="preserve"> </w:t>
            </w:r>
            <w:r w:rsidRPr="00D770EA">
              <w:rPr>
                <w:rFonts w:ascii="Cambria" w:hAnsi="Cambria"/>
                <w:sz w:val="20"/>
              </w:rPr>
              <w:t>been used, and how many, if any, assessment hours remain</w:t>
            </w:r>
            <w:r w:rsidR="00635407">
              <w:rPr>
                <w:rFonts w:ascii="Cambria" w:hAnsi="Cambria"/>
                <w:sz w:val="20"/>
              </w:rPr>
              <w:t>.</w:t>
            </w:r>
          </w:p>
        </w:tc>
      </w:tr>
      <w:tr w:rsidR="003A5DDF" w:rsidRPr="00D770EA" w14:paraId="08A46844" w14:textId="77777777" w:rsidTr="00A30AED">
        <w:trPr>
          <w:trHeight w:val="90"/>
        </w:trPr>
        <w:tc>
          <w:tcPr>
            <w:tcW w:w="4410" w:type="dxa"/>
            <w:shd w:val="clear" w:color="auto" w:fill="auto"/>
          </w:tcPr>
          <w:p w14:paraId="13CC277C" w14:textId="77777777" w:rsidR="003A5DDF" w:rsidRPr="00D770EA" w:rsidRDefault="003A5DDF" w:rsidP="00D770EA">
            <w:pPr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t>Increased Parent Group Billing</w:t>
            </w:r>
          </w:p>
          <w:p w14:paraId="1A13727A" w14:textId="77777777" w:rsidR="003A5DDF" w:rsidRPr="00D770EA" w:rsidRDefault="003A5DDF" w:rsidP="00D770E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5760" w:type="dxa"/>
            <w:shd w:val="clear" w:color="auto" w:fill="auto"/>
          </w:tcPr>
          <w:p w14:paraId="771B6F29" w14:textId="77777777" w:rsidR="003A5DDF" w:rsidRPr="00D770EA" w:rsidRDefault="003A5DDF" w:rsidP="00D770EA">
            <w:pPr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t>1.5 hours per session maximum</w:t>
            </w:r>
          </w:p>
          <w:p w14:paraId="7284649D" w14:textId="77777777" w:rsidR="003A5DDF" w:rsidRPr="00D770EA" w:rsidRDefault="003A5DDF" w:rsidP="00D770EA">
            <w:pPr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t>1 session per week maximum</w:t>
            </w:r>
          </w:p>
          <w:p w14:paraId="5C14CA74" w14:textId="77777777" w:rsidR="003A5DDF" w:rsidRPr="00D770EA" w:rsidRDefault="003A5DDF" w:rsidP="00D770EA">
            <w:pPr>
              <w:rPr>
                <w:rFonts w:ascii="Cambria" w:hAnsi="Cambria"/>
                <w:sz w:val="20"/>
              </w:rPr>
            </w:pPr>
          </w:p>
          <w:p w14:paraId="24A7A1E1" w14:textId="77777777" w:rsidR="003A5DDF" w:rsidRPr="00D770EA" w:rsidRDefault="003A5DDF" w:rsidP="00D770EA">
            <w:pPr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t>Sibling groups are billed as parent groups and must meet all parent group requirements</w:t>
            </w:r>
            <w:r w:rsidR="00635407">
              <w:rPr>
                <w:rFonts w:ascii="Cambria" w:hAnsi="Cambria"/>
                <w:sz w:val="20"/>
              </w:rPr>
              <w:t>.</w:t>
            </w:r>
          </w:p>
        </w:tc>
        <w:tc>
          <w:tcPr>
            <w:tcW w:w="4518" w:type="dxa"/>
            <w:shd w:val="clear" w:color="auto" w:fill="auto"/>
          </w:tcPr>
          <w:p w14:paraId="4DF9F121" w14:textId="77777777" w:rsidR="003A5DDF" w:rsidRPr="00D770EA" w:rsidRDefault="00DC175F" w:rsidP="00D770EA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Needs a </w:t>
            </w:r>
            <w:r w:rsidR="00155515" w:rsidRPr="0039362E">
              <w:rPr>
                <w:b/>
                <w:i/>
                <w:sz w:val="22"/>
                <w:szCs w:val="22"/>
              </w:rPr>
              <w:t>distinct extraordinary circumstance</w:t>
            </w:r>
            <w:r w:rsidR="00155515" w:rsidRPr="0039362E">
              <w:rPr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sz w:val="20"/>
              </w:rPr>
              <w:t>clinical justification</w:t>
            </w:r>
          </w:p>
        </w:tc>
      </w:tr>
      <w:tr w:rsidR="00394AAF" w:rsidRPr="00D770EA" w14:paraId="7A161E1F" w14:textId="77777777" w:rsidTr="00A30AED">
        <w:trPr>
          <w:trHeight w:val="90"/>
        </w:trPr>
        <w:tc>
          <w:tcPr>
            <w:tcW w:w="4410" w:type="dxa"/>
            <w:shd w:val="clear" w:color="auto" w:fill="auto"/>
          </w:tcPr>
          <w:p w14:paraId="2CE294C5" w14:textId="77777777" w:rsidR="00394AAF" w:rsidRPr="00D770EA" w:rsidRDefault="00394AAF" w:rsidP="00D770EA">
            <w:pPr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t>Family receiving services following the death of the enrolled child</w:t>
            </w:r>
          </w:p>
        </w:tc>
        <w:tc>
          <w:tcPr>
            <w:tcW w:w="5760" w:type="dxa"/>
            <w:shd w:val="clear" w:color="auto" w:fill="auto"/>
          </w:tcPr>
          <w:p w14:paraId="0B7208F6" w14:textId="77777777" w:rsidR="00394AAF" w:rsidRPr="00D770EA" w:rsidRDefault="00394AAF" w:rsidP="00D770EA">
            <w:pPr>
              <w:rPr>
                <w:rFonts w:ascii="Cambria" w:hAnsi="Cambria"/>
                <w:sz w:val="20"/>
              </w:rPr>
            </w:pPr>
            <w:r w:rsidRPr="00D770EA">
              <w:rPr>
                <w:rFonts w:ascii="Cambria" w:hAnsi="Cambria"/>
                <w:sz w:val="20"/>
              </w:rPr>
              <w:t>The program may provide support to the family during the initial grieving process with a waiver from the Department of Public Health.</w:t>
            </w:r>
          </w:p>
        </w:tc>
        <w:tc>
          <w:tcPr>
            <w:tcW w:w="4518" w:type="dxa"/>
            <w:shd w:val="clear" w:color="auto" w:fill="auto"/>
          </w:tcPr>
          <w:p w14:paraId="30CE6C1B" w14:textId="77777777" w:rsidR="00394AAF" w:rsidRPr="00D770EA" w:rsidRDefault="00DC175F" w:rsidP="00D770EA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This is a </w:t>
            </w:r>
            <w:r w:rsidR="00155515" w:rsidRPr="0039362E">
              <w:rPr>
                <w:b/>
                <w:i/>
                <w:sz w:val="22"/>
                <w:szCs w:val="22"/>
              </w:rPr>
              <w:t>distinct extraordinary circumstance</w:t>
            </w:r>
            <w:r w:rsidR="00635407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14:paraId="3D8E950E" w14:textId="77777777" w:rsidR="00DC175F" w:rsidRDefault="00DC175F" w:rsidP="00DC175F">
      <w:pPr>
        <w:rPr>
          <w:b/>
          <w:sz w:val="22"/>
          <w:szCs w:val="22"/>
        </w:rPr>
      </w:pPr>
    </w:p>
    <w:p w14:paraId="21F9156D" w14:textId="77777777" w:rsidR="00DC175F" w:rsidRDefault="00DC175F" w:rsidP="00DC175F">
      <w:pPr>
        <w:rPr>
          <w:b/>
          <w:sz w:val="22"/>
          <w:szCs w:val="22"/>
        </w:rPr>
      </w:pPr>
    </w:p>
    <w:p w14:paraId="6BB7BA2E" w14:textId="77777777" w:rsidR="00DC175F" w:rsidRDefault="00DC175F" w:rsidP="00DC175F">
      <w:pPr>
        <w:rPr>
          <w:b/>
          <w:sz w:val="22"/>
          <w:szCs w:val="22"/>
        </w:rPr>
      </w:pPr>
    </w:p>
    <w:p w14:paraId="026E70C6" w14:textId="77777777" w:rsidR="00DC175F" w:rsidRDefault="00DC175F" w:rsidP="00DC175F">
      <w:pPr>
        <w:rPr>
          <w:b/>
          <w:sz w:val="22"/>
          <w:szCs w:val="22"/>
        </w:rPr>
      </w:pPr>
    </w:p>
    <w:p w14:paraId="61E90B5C" w14:textId="77777777" w:rsidR="00DC175F" w:rsidRDefault="00DC175F" w:rsidP="00DC175F">
      <w:pPr>
        <w:rPr>
          <w:b/>
          <w:sz w:val="22"/>
          <w:szCs w:val="22"/>
        </w:rPr>
      </w:pPr>
    </w:p>
    <w:p w14:paraId="24F825DB" w14:textId="77777777" w:rsidR="00696D4A" w:rsidRDefault="00696D4A" w:rsidP="00DC175F">
      <w:pPr>
        <w:rPr>
          <w:b/>
          <w:sz w:val="22"/>
          <w:szCs w:val="22"/>
        </w:rPr>
      </w:pPr>
    </w:p>
    <w:p w14:paraId="15FF14F5" w14:textId="77777777" w:rsidR="00696D4A" w:rsidRDefault="00696D4A" w:rsidP="00DC175F">
      <w:pPr>
        <w:rPr>
          <w:b/>
          <w:sz w:val="22"/>
          <w:szCs w:val="22"/>
        </w:rPr>
      </w:pPr>
    </w:p>
    <w:p w14:paraId="53BA034A" w14:textId="77777777" w:rsidR="00696D4A" w:rsidRDefault="00696D4A" w:rsidP="00DC175F">
      <w:pPr>
        <w:rPr>
          <w:b/>
          <w:sz w:val="22"/>
          <w:szCs w:val="22"/>
        </w:rPr>
      </w:pPr>
    </w:p>
    <w:p w14:paraId="4D372777" w14:textId="77777777" w:rsidR="00696D4A" w:rsidRDefault="00696D4A" w:rsidP="00DC175F">
      <w:pPr>
        <w:rPr>
          <w:b/>
          <w:sz w:val="22"/>
          <w:szCs w:val="22"/>
        </w:rPr>
      </w:pPr>
    </w:p>
    <w:p w14:paraId="77B74EA2" w14:textId="77777777" w:rsidR="00696D4A" w:rsidRDefault="00696D4A" w:rsidP="00DC175F">
      <w:pPr>
        <w:rPr>
          <w:b/>
          <w:sz w:val="22"/>
          <w:szCs w:val="22"/>
        </w:rPr>
      </w:pPr>
    </w:p>
    <w:p w14:paraId="06526C14" w14:textId="77777777" w:rsidR="00696D4A" w:rsidRDefault="00696D4A" w:rsidP="00DC175F">
      <w:pPr>
        <w:rPr>
          <w:b/>
          <w:sz w:val="22"/>
          <w:szCs w:val="22"/>
        </w:rPr>
      </w:pPr>
    </w:p>
    <w:p w14:paraId="272672EF" w14:textId="77777777" w:rsidR="00696D4A" w:rsidRDefault="00696D4A" w:rsidP="00DC175F">
      <w:pPr>
        <w:rPr>
          <w:b/>
          <w:sz w:val="22"/>
          <w:szCs w:val="22"/>
        </w:rPr>
      </w:pPr>
    </w:p>
    <w:p w14:paraId="7EC5A917" w14:textId="77777777" w:rsidR="00696D4A" w:rsidRDefault="00696D4A" w:rsidP="00DC175F">
      <w:pPr>
        <w:rPr>
          <w:b/>
          <w:sz w:val="22"/>
          <w:szCs w:val="22"/>
        </w:rPr>
      </w:pPr>
    </w:p>
    <w:sectPr w:rsidR="00696D4A" w:rsidSect="00BE0F50">
      <w:footerReference w:type="default" r:id="rId11"/>
      <w:pgSz w:w="15840" w:h="12240" w:orient="landscape"/>
      <w:pgMar w:top="36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5A271" w14:textId="77777777" w:rsidR="003F3E6B" w:rsidRDefault="003F3E6B">
      <w:r>
        <w:separator/>
      </w:r>
    </w:p>
  </w:endnote>
  <w:endnote w:type="continuationSeparator" w:id="0">
    <w:p w14:paraId="158DFAD4" w14:textId="77777777" w:rsidR="003F3E6B" w:rsidRDefault="003F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858FD" w14:textId="7B99565F" w:rsidR="00EA2C93" w:rsidRDefault="00906AE7">
    <w:pPr>
      <w:pStyle w:val="Footer"/>
    </w:pPr>
    <w:r>
      <w:t xml:space="preserve">Early Intervention Division </w:t>
    </w:r>
    <w:r w:rsidR="00EA2C93">
      <w:t xml:space="preserve">– </w:t>
    </w:r>
    <w:r>
      <w:t>June 2024</w:t>
    </w:r>
    <w:r w:rsidR="00EA2C93">
      <w:t xml:space="preserve">                                        </w:t>
    </w:r>
  </w:p>
  <w:p w14:paraId="4E3ABB60" w14:textId="77777777" w:rsidR="00EA2C93" w:rsidRDefault="00EA2C93">
    <w:pPr>
      <w:pStyle w:val="Footer"/>
    </w:pPr>
    <w:r>
      <w:t>Request for Reimbursement – Guidance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43B23" w14:textId="77777777" w:rsidR="003F3E6B" w:rsidRDefault="003F3E6B">
      <w:r>
        <w:separator/>
      </w:r>
    </w:p>
  </w:footnote>
  <w:footnote w:type="continuationSeparator" w:id="0">
    <w:p w14:paraId="3CBDC4F6" w14:textId="77777777" w:rsidR="003F3E6B" w:rsidRDefault="003F3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417B9"/>
    <w:multiLevelType w:val="hybridMultilevel"/>
    <w:tmpl w:val="6E52D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07C74"/>
    <w:multiLevelType w:val="hybridMultilevel"/>
    <w:tmpl w:val="829AF78A"/>
    <w:lvl w:ilvl="0" w:tplc="1B9EC434">
      <w:start w:val="2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8277A"/>
    <w:multiLevelType w:val="hybridMultilevel"/>
    <w:tmpl w:val="3F0C0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F4DBC"/>
    <w:multiLevelType w:val="hybridMultilevel"/>
    <w:tmpl w:val="CA9AFE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4D278F"/>
    <w:multiLevelType w:val="hybridMultilevel"/>
    <w:tmpl w:val="A53090D0"/>
    <w:lvl w:ilvl="0" w:tplc="1B9EC434">
      <w:start w:val="2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0795D"/>
    <w:multiLevelType w:val="hybridMultilevel"/>
    <w:tmpl w:val="68B09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50B2C"/>
    <w:multiLevelType w:val="hybridMultilevel"/>
    <w:tmpl w:val="6B5661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A5E16"/>
    <w:multiLevelType w:val="hybridMultilevel"/>
    <w:tmpl w:val="8FF4F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E3C48"/>
    <w:multiLevelType w:val="hybridMultilevel"/>
    <w:tmpl w:val="C2802A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C7D5E"/>
    <w:multiLevelType w:val="hybridMultilevel"/>
    <w:tmpl w:val="96CA4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8524085">
    <w:abstractNumId w:val="0"/>
  </w:num>
  <w:num w:numId="2" w16cid:durableId="1105225706">
    <w:abstractNumId w:val="8"/>
  </w:num>
  <w:num w:numId="3" w16cid:durableId="52851879">
    <w:abstractNumId w:val="5"/>
  </w:num>
  <w:num w:numId="4" w16cid:durableId="108739513">
    <w:abstractNumId w:val="9"/>
  </w:num>
  <w:num w:numId="5" w16cid:durableId="548223448">
    <w:abstractNumId w:val="6"/>
  </w:num>
  <w:num w:numId="6" w16cid:durableId="214509746">
    <w:abstractNumId w:val="2"/>
  </w:num>
  <w:num w:numId="7" w16cid:durableId="1946500923">
    <w:abstractNumId w:val="4"/>
  </w:num>
  <w:num w:numId="8" w16cid:durableId="1227910661">
    <w:abstractNumId w:val="1"/>
  </w:num>
  <w:num w:numId="9" w16cid:durableId="829638113">
    <w:abstractNumId w:val="3"/>
  </w:num>
  <w:num w:numId="10" w16cid:durableId="1897398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93"/>
    <w:rsid w:val="00010C61"/>
    <w:rsid w:val="000615F2"/>
    <w:rsid w:val="00094443"/>
    <w:rsid w:val="000A7D7F"/>
    <w:rsid w:val="000E6B5E"/>
    <w:rsid w:val="00101EDA"/>
    <w:rsid w:val="00103DC8"/>
    <w:rsid w:val="00105101"/>
    <w:rsid w:val="00137BD4"/>
    <w:rsid w:val="00152DAF"/>
    <w:rsid w:val="00155515"/>
    <w:rsid w:val="001B4A8C"/>
    <w:rsid w:val="001C503C"/>
    <w:rsid w:val="001F31BA"/>
    <w:rsid w:val="00202627"/>
    <w:rsid w:val="002345C2"/>
    <w:rsid w:val="00241C58"/>
    <w:rsid w:val="00245C99"/>
    <w:rsid w:val="00260821"/>
    <w:rsid w:val="0032417E"/>
    <w:rsid w:val="00336296"/>
    <w:rsid w:val="00355A66"/>
    <w:rsid w:val="00356AB0"/>
    <w:rsid w:val="0039362E"/>
    <w:rsid w:val="00394AAF"/>
    <w:rsid w:val="003A5DDF"/>
    <w:rsid w:val="003B49E5"/>
    <w:rsid w:val="003B792A"/>
    <w:rsid w:val="003D1726"/>
    <w:rsid w:val="003F3E6B"/>
    <w:rsid w:val="004074A5"/>
    <w:rsid w:val="00423027"/>
    <w:rsid w:val="00446DBE"/>
    <w:rsid w:val="004601C5"/>
    <w:rsid w:val="00471292"/>
    <w:rsid w:val="00474A27"/>
    <w:rsid w:val="0048628E"/>
    <w:rsid w:val="0049289A"/>
    <w:rsid w:val="004B3980"/>
    <w:rsid w:val="004F573E"/>
    <w:rsid w:val="00514861"/>
    <w:rsid w:val="00517166"/>
    <w:rsid w:val="005272DE"/>
    <w:rsid w:val="005304C6"/>
    <w:rsid w:val="00570C21"/>
    <w:rsid w:val="00590392"/>
    <w:rsid w:val="005D48A0"/>
    <w:rsid w:val="005E2CEF"/>
    <w:rsid w:val="006001D3"/>
    <w:rsid w:val="00610A82"/>
    <w:rsid w:val="00627FDB"/>
    <w:rsid w:val="00635407"/>
    <w:rsid w:val="0063675A"/>
    <w:rsid w:val="006464A0"/>
    <w:rsid w:val="006610D1"/>
    <w:rsid w:val="00661207"/>
    <w:rsid w:val="00683838"/>
    <w:rsid w:val="00696D4A"/>
    <w:rsid w:val="006C75FB"/>
    <w:rsid w:val="007018B2"/>
    <w:rsid w:val="00705A72"/>
    <w:rsid w:val="00730DFA"/>
    <w:rsid w:val="00752F6D"/>
    <w:rsid w:val="007876F5"/>
    <w:rsid w:val="007B4E7F"/>
    <w:rsid w:val="007C4368"/>
    <w:rsid w:val="008065ED"/>
    <w:rsid w:val="008156F3"/>
    <w:rsid w:val="00823BD8"/>
    <w:rsid w:val="00824619"/>
    <w:rsid w:val="00863E3D"/>
    <w:rsid w:val="008856A6"/>
    <w:rsid w:val="008F7E1C"/>
    <w:rsid w:val="00906AE7"/>
    <w:rsid w:val="00913FF0"/>
    <w:rsid w:val="009637FC"/>
    <w:rsid w:val="009A6EE0"/>
    <w:rsid w:val="009F35EE"/>
    <w:rsid w:val="00A20C73"/>
    <w:rsid w:val="00A278A8"/>
    <w:rsid w:val="00A30AED"/>
    <w:rsid w:val="00A439BB"/>
    <w:rsid w:val="00A55A06"/>
    <w:rsid w:val="00A55CC3"/>
    <w:rsid w:val="00A717F2"/>
    <w:rsid w:val="00A74472"/>
    <w:rsid w:val="00A76AA3"/>
    <w:rsid w:val="00AA16DE"/>
    <w:rsid w:val="00AD3DD4"/>
    <w:rsid w:val="00B0152C"/>
    <w:rsid w:val="00B404A0"/>
    <w:rsid w:val="00B43894"/>
    <w:rsid w:val="00B50361"/>
    <w:rsid w:val="00B6030E"/>
    <w:rsid w:val="00B744C9"/>
    <w:rsid w:val="00B96C49"/>
    <w:rsid w:val="00BB26E8"/>
    <w:rsid w:val="00BD5498"/>
    <w:rsid w:val="00BE0F50"/>
    <w:rsid w:val="00C216E5"/>
    <w:rsid w:val="00C3241B"/>
    <w:rsid w:val="00C47212"/>
    <w:rsid w:val="00C6722C"/>
    <w:rsid w:val="00CA08A1"/>
    <w:rsid w:val="00CC7D3E"/>
    <w:rsid w:val="00CD21E4"/>
    <w:rsid w:val="00D10329"/>
    <w:rsid w:val="00D24053"/>
    <w:rsid w:val="00D25CBC"/>
    <w:rsid w:val="00D40912"/>
    <w:rsid w:val="00D770EA"/>
    <w:rsid w:val="00DC175F"/>
    <w:rsid w:val="00DC6654"/>
    <w:rsid w:val="00E16D99"/>
    <w:rsid w:val="00E21AE5"/>
    <w:rsid w:val="00E6035C"/>
    <w:rsid w:val="00E67AA6"/>
    <w:rsid w:val="00E75088"/>
    <w:rsid w:val="00E951E2"/>
    <w:rsid w:val="00EA2C93"/>
    <w:rsid w:val="00EB5206"/>
    <w:rsid w:val="00F01510"/>
    <w:rsid w:val="00F1354A"/>
    <w:rsid w:val="00F15900"/>
    <w:rsid w:val="00F202EC"/>
    <w:rsid w:val="00F2315E"/>
    <w:rsid w:val="00F90708"/>
    <w:rsid w:val="00FA4514"/>
    <w:rsid w:val="00FC0612"/>
    <w:rsid w:val="00FE108D"/>
    <w:rsid w:val="00FF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ECFB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B96C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right="-180"/>
      <w:jc w:val="center"/>
      <w:outlineLvl w:val="2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9F35EE"/>
    <w:rPr>
      <w:color w:val="0000FF"/>
      <w:u w:val="single"/>
    </w:rPr>
  </w:style>
  <w:style w:type="table" w:styleId="LightList-Accent3">
    <w:name w:val="Light List Accent 3"/>
    <w:basedOn w:val="TableNormal"/>
    <w:uiPriority w:val="61"/>
    <w:rsid w:val="00F90708"/>
    <w:rPr>
      <w:rFonts w:ascii="Calibri" w:eastAsia="MS Mincho" w:hAnsi="Calibri" w:cs="Arial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leSimple1">
    <w:name w:val="Table Simple 1"/>
    <w:basedOn w:val="TableNormal"/>
    <w:rsid w:val="00010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B49E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B96C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B96C49"/>
    <w:rPr>
      <w:i/>
      <w:iCs/>
    </w:rPr>
  </w:style>
  <w:style w:type="paragraph" w:styleId="BalloonText">
    <w:name w:val="Balloon Text"/>
    <w:basedOn w:val="Normal"/>
    <w:link w:val="BalloonTextChar"/>
    <w:rsid w:val="00C672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6722C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C672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722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6722C"/>
  </w:style>
  <w:style w:type="paragraph" w:styleId="CommentSubject">
    <w:name w:val="annotation subject"/>
    <w:basedOn w:val="CommentText"/>
    <w:next w:val="CommentText"/>
    <w:link w:val="CommentSubjectChar"/>
    <w:rsid w:val="00C6722C"/>
    <w:rPr>
      <w:b/>
      <w:bCs/>
    </w:rPr>
  </w:style>
  <w:style w:type="character" w:customStyle="1" w:styleId="CommentSubjectChar">
    <w:name w:val="Comment Subject Char"/>
    <w:link w:val="CommentSubject"/>
    <w:rsid w:val="00C6722C"/>
    <w:rPr>
      <w:b/>
      <w:bCs/>
    </w:rPr>
  </w:style>
  <w:style w:type="paragraph" w:styleId="Revision">
    <w:name w:val="Revision"/>
    <w:hidden/>
    <w:uiPriority w:val="99"/>
    <w:semiHidden/>
    <w:rsid w:val="005304C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83D9E03D8447BF77B0CE7CCEBF50" ma:contentTypeVersion="6" ma:contentTypeDescription="Create a new document." ma:contentTypeScope="" ma:versionID="9dbdfe1f359d7a92e65c0918d99cd02e">
  <xsd:schema xmlns:xsd="http://www.w3.org/2001/XMLSchema" xmlns:xs="http://www.w3.org/2001/XMLSchema" xmlns:p="http://schemas.microsoft.com/office/2006/metadata/properties" xmlns:ns2="b2794a14-d2f2-4a21-87a1-2bf307f5e2b1" xmlns:ns3="602e8ada-c94d-47de-92a8-eff9311cb231" targetNamespace="http://schemas.microsoft.com/office/2006/metadata/properties" ma:root="true" ma:fieldsID="cc12f2bd8c8721dd4ae87de8cc176f19" ns2:_="" ns3:_="">
    <xsd:import namespace="b2794a14-d2f2-4a21-87a1-2bf307f5e2b1"/>
    <xsd:import namespace="602e8ada-c94d-47de-92a8-eff9311cb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94a14-d2f2-4a21-87a1-2bf307f5e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8ada-c94d-47de-92a8-eff9311cb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C5413-1709-481A-8173-A01E73EB84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0D691C-9F4B-4915-9829-490B3ABA2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A1330-64B5-4CD8-B6BF-06E1DE352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94a14-d2f2-4a21-87a1-2bf307f5e2b1"/>
    <ds:schemaRef ds:uri="602e8ada-c94d-47de-92a8-eff9311cb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2024-06-25T14:56:00Z</dcterms:created>
  <dcterms:modified xsi:type="dcterms:W3CDTF">2024-06-25T19:34:00Z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0x0101005F6883D9E03D8447BF77B0CE7CCEBF50</vt:lpwstr>
  </property>
</Properties>
</file>