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086B" w14:textId="52F5E397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OFICINA DE INFORMACIÓN PÚBLICA </w:t>
      </w:r>
    </w:p>
    <w:p w14:paraId="2D6AC6D1" w14:textId="77777777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TRIBUNAL SUPREMO DE LA JUSTICIA</w:t>
      </w:r>
    </w:p>
    <w:p w14:paraId="745A0083" w14:textId="71C19AC3" w:rsidR="0009439D" w:rsidRPr="00AB6650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650">
        <w:rPr>
          <w:rFonts w:ascii="Times New Roman" w:hAnsi="Times New Roman"/>
          <w:b/>
          <w:bCs/>
          <w:color w:val="000000"/>
          <w:sz w:val="24"/>
          <w:szCs w:val="24"/>
        </w:rPr>
        <w:t>Palacio de Justicia John Adams</w:t>
      </w:r>
    </w:p>
    <w:p w14:paraId="3BD29175" w14:textId="77777777" w:rsidR="0009439D" w:rsidRPr="00AB6650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650">
        <w:rPr>
          <w:rFonts w:ascii="Times New Roman" w:hAnsi="Times New Roman"/>
          <w:b/>
          <w:bCs/>
          <w:color w:val="000000"/>
          <w:sz w:val="24"/>
          <w:szCs w:val="24"/>
        </w:rPr>
        <w:t>One Pemberton Square</w:t>
      </w:r>
    </w:p>
    <w:p w14:paraId="182316B0" w14:textId="77777777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Boston, Massachusetts 02108</w:t>
      </w:r>
    </w:p>
    <w:p w14:paraId="152A27F8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0D4C1A42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 </w:t>
      </w:r>
    </w:p>
    <w:p w14:paraId="3B97FC31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PERSONAS DE CONTACTO:  </w:t>
      </w:r>
    </w:p>
    <w:p w14:paraId="50B2AFB4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Jennifer Donahue/Erika </w:t>
      </w:r>
      <w:proofErr w:type="spellStart"/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Gully</w:t>
      </w:r>
      <w:proofErr w:type="spellEnd"/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-Santiago</w:t>
      </w: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                                   </w:t>
      </w:r>
    </w:p>
    <w:p w14:paraId="1ED56CED" w14:textId="77777777" w:rsidR="005913CF" w:rsidRPr="005913CF" w:rsidRDefault="005913CF" w:rsidP="005913CF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hyperlink r:id="rId4" w:tgtFrame="_blank" w:history="1">
        <w:r w:rsidRPr="005913CF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lang w:val="es-ES_tradnl"/>
          </w:rPr>
          <w:t>jennifer.donahue@jud.state.ma.us</w:t>
        </w:r>
      </w:hyperlink>
    </w:p>
    <w:p w14:paraId="3A6096FA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268CCA2A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PARA PUBLICACIÓN INMEDIATA</w:t>
      </w:r>
    </w:p>
    <w:p w14:paraId="023482D4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336699"/>
          <w:sz w:val="24"/>
          <w:szCs w:val="24"/>
          <w:lang w:val="es-ES_tradnl"/>
        </w:rPr>
        <w:t>27 de abril del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2020</w:t>
      </w:r>
    </w:p>
    <w:p w14:paraId="338BC320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13C980BE" w14:textId="23A66D23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El Tribunal Supremo de la Justicia </w:t>
      </w:r>
      <w:r w:rsidR="0048642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e</w:t>
      </w:r>
      <w:r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mite una </w:t>
      </w:r>
      <w:r w:rsidR="0048642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o</w:t>
      </w:r>
      <w:r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rden </w:t>
      </w:r>
      <w:r w:rsidR="0048642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a</w:t>
      </w:r>
      <w:r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ctualizada </w:t>
      </w:r>
    </w:p>
    <w:p w14:paraId="345CA289" w14:textId="4BA151A6" w:rsidR="0009439D" w:rsidRPr="001A4DF9" w:rsidRDefault="00486429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s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obre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el funcionamiento d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e los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t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ribunales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e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statales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d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 xml:space="preserve">urante la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p</w:t>
      </w:r>
      <w:r w:rsidR="0009439D" w:rsidRPr="001A4DF9">
        <w:rPr>
          <w:rFonts w:ascii="Times New Roman" w:hAnsi="Times New Roman"/>
          <w:b/>
          <w:bCs/>
          <w:color w:val="000000"/>
          <w:sz w:val="28"/>
          <w:szCs w:val="28"/>
          <w:lang w:val="es-ES_tradnl"/>
        </w:rPr>
        <w:t>andemia</w:t>
      </w:r>
    </w:p>
    <w:p w14:paraId="60D42D5F" w14:textId="77777777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46DD79EA" w14:textId="70CBF98B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BOSTON, MA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 – </w:t>
      </w:r>
      <w:r w:rsidR="00486429">
        <w:rPr>
          <w:rFonts w:ascii="Times New Roman" w:hAnsi="Times New Roman"/>
          <w:color w:val="336699"/>
          <w:sz w:val="24"/>
          <w:szCs w:val="24"/>
          <w:lang w:val="es-ES_tradnl"/>
        </w:rPr>
        <w:t>H</w:t>
      </w:r>
      <w:r w:rsidRPr="001A4DF9">
        <w:rPr>
          <w:rFonts w:ascii="Times New Roman" w:hAnsi="Times New Roman"/>
          <w:color w:val="336699"/>
          <w:sz w:val="24"/>
          <w:szCs w:val="24"/>
          <w:lang w:val="es-ES_tradnl"/>
        </w:rPr>
        <w:t xml:space="preserve">oy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el Tribunal Supremo de la Justicia </w:t>
      </w:r>
      <w:hyperlink r:id="rId5" w:tgtFrame="_blank" w:history="1">
        <w:r w:rsidRPr="001A4DF9">
          <w:rPr>
            <w:rFonts w:ascii="Times New Roman" w:hAnsi="Times New Roman"/>
            <w:color w:val="336699"/>
            <w:sz w:val="24"/>
            <w:szCs w:val="24"/>
            <w:u w:val="single"/>
            <w:lang w:val="es-ES_tradnl"/>
          </w:rPr>
          <w:t>ha emitido una o</w:t>
        </w:r>
        <w:r w:rsidRPr="001A4DF9">
          <w:rPr>
            <w:rFonts w:ascii="Times New Roman" w:hAnsi="Times New Roman"/>
            <w:color w:val="336699"/>
            <w:sz w:val="24"/>
            <w:szCs w:val="24"/>
            <w:u w:val="single"/>
            <w:lang w:val="es-ES_tradnl"/>
          </w:rPr>
          <w:t>r</w:t>
        </w:r>
        <w:r w:rsidRPr="001A4DF9">
          <w:rPr>
            <w:rFonts w:ascii="Times New Roman" w:hAnsi="Times New Roman"/>
            <w:color w:val="336699"/>
            <w:sz w:val="24"/>
            <w:szCs w:val="24"/>
            <w:u w:val="single"/>
            <w:lang w:val="es-ES_tradnl"/>
          </w:rPr>
          <w:t>den actualizada</w:t>
        </w:r>
      </w:hyperlink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, la cual se aplicará a partir del </w:t>
      </w:r>
      <w:r w:rsidRPr="001A4DF9">
        <w:rPr>
          <w:rFonts w:ascii="Times New Roman" w:hAnsi="Times New Roman"/>
          <w:color w:val="336699"/>
          <w:sz w:val="24"/>
          <w:szCs w:val="24"/>
          <w:lang w:val="es-ES_tradnl"/>
        </w:rPr>
        <w:t>4 de mayo del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2020, sobre las operaciones y funciones de los tribunales estatales de Massachusetts y de sus </w:t>
      </w:r>
      <w:r w:rsidR="00973525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palacios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de justicia mientras siga la pandemia de la COVID-19. </w:t>
      </w:r>
    </w:p>
    <w:p w14:paraId="399AEF22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07D4BF20" w14:textId="324813F4" w:rsidR="0009439D" w:rsidRPr="001A4DF9" w:rsidRDefault="00486429" w:rsidP="00C14DC5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Según</w:t>
      </w:r>
      <w:r w:rsidR="0009439D" w:rsidRPr="001A4DF9">
        <w:rPr>
          <w:rFonts w:ascii="Times New Roman" w:hAnsi="Times New Roman"/>
          <w:sz w:val="24"/>
          <w:szCs w:val="24"/>
          <w:lang w:val="es-ES_tradnl"/>
        </w:rPr>
        <w:t xml:space="preserve"> la nueva orden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, hasta por lo menos el </w:t>
      </w:r>
      <w:r w:rsidR="0009439D" w:rsidRPr="001A4DF9">
        <w:rPr>
          <w:rFonts w:ascii="Times New Roman" w:hAnsi="Times New Roman"/>
          <w:color w:val="336699"/>
          <w:sz w:val="24"/>
          <w:szCs w:val="24"/>
          <w:lang w:val="es-ES_tradnl"/>
        </w:rPr>
        <w:t>1 de junio del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2020, todos </w:t>
      </w:r>
      <w:r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los 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tribunales </w:t>
      </w:r>
      <w:r w:rsidR="00721824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estatales </w:t>
      </w:r>
      <w:r w:rsidR="00E94E6A">
        <w:rPr>
          <w:rFonts w:ascii="Times New Roman" w:hAnsi="Times New Roman"/>
          <w:color w:val="000000"/>
          <w:sz w:val="24"/>
          <w:szCs w:val="24"/>
          <w:lang w:val="es-ES_tradnl"/>
        </w:rPr>
        <w:t>continuar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án </w:t>
      </w:r>
      <w:r w:rsidR="00A02176">
        <w:rPr>
          <w:rFonts w:ascii="Times New Roman" w:hAnsi="Times New Roman"/>
          <w:color w:val="000000"/>
          <w:sz w:val="24"/>
          <w:szCs w:val="24"/>
          <w:lang w:val="es-ES_tradnl"/>
        </w:rPr>
        <w:t>proporcionand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o sus servicios, pero </w:t>
      </w:r>
      <w:r w:rsidR="000B4ECB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los palacios de justicia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permanecerán cerrados</w:t>
      </w:r>
      <w:r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al público general, </w:t>
      </w:r>
      <w:r w:rsidR="00C14DC5">
        <w:rPr>
          <w:rFonts w:ascii="Times New Roman" w:hAnsi="Times New Roman"/>
          <w:color w:val="000000"/>
          <w:sz w:val="24"/>
          <w:szCs w:val="24"/>
          <w:lang w:val="es-ES_tradnl"/>
        </w:rPr>
        <w:t>excepto</w:t>
      </w:r>
      <w:r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cuando se exige</w:t>
      </w:r>
      <w:r w:rsidR="00C14DC5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una asistencia presencial </w:t>
      </w:r>
      <w:r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para ocuparse de casos de emergencia que no se puedan ver 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virtualmente (por teléfono, videoconferencia, correo electrónico o </w:t>
      </w:r>
      <w:r w:rsidR="003D0BA4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a través</w:t>
      </w:r>
      <w:r w:rsidR="0009439D"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de otros medios comparables, o mediante el sistema electrónico de presentación de casos).</w:t>
      </w:r>
    </w:p>
    <w:p w14:paraId="07B4E4F4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41C00C34" w14:textId="73C7F89F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sz w:val="24"/>
          <w:szCs w:val="24"/>
          <w:lang w:val="es-ES_tradnl"/>
        </w:rPr>
        <w:t xml:space="preserve">Se aplazarán los juicios </w:t>
      </w:r>
      <w:r w:rsidR="00511961">
        <w:rPr>
          <w:rFonts w:ascii="Times New Roman" w:hAnsi="Times New Roman"/>
          <w:sz w:val="24"/>
          <w:szCs w:val="24"/>
          <w:lang w:val="es-ES_tradnl"/>
        </w:rPr>
        <w:t>con</w:t>
      </w:r>
      <w:r w:rsidRPr="001A4DF9">
        <w:rPr>
          <w:rFonts w:ascii="Times New Roman" w:hAnsi="Times New Roman"/>
          <w:sz w:val="24"/>
          <w:szCs w:val="24"/>
          <w:lang w:val="es-ES_tradnl"/>
        </w:rPr>
        <w:t xml:space="preserve"> jurado</w:t>
      </w:r>
      <w:r w:rsidR="00486429">
        <w:rPr>
          <w:rFonts w:ascii="Times New Roman" w:hAnsi="Times New Roman"/>
          <w:sz w:val="24"/>
          <w:szCs w:val="24"/>
          <w:lang w:val="es-ES_tradnl"/>
        </w:rPr>
        <w:t>,</w:t>
      </w:r>
      <w:r w:rsidRPr="001A4DF9">
        <w:rPr>
          <w:rFonts w:ascii="Times New Roman" w:hAnsi="Times New Roman"/>
          <w:sz w:val="24"/>
          <w:szCs w:val="24"/>
          <w:lang w:val="es-ES_tradnl"/>
        </w:rPr>
        <w:t xml:space="preserve"> tanto para </w:t>
      </w:r>
      <w:r w:rsidR="00486429">
        <w:rPr>
          <w:rFonts w:ascii="Times New Roman" w:hAnsi="Times New Roman"/>
          <w:sz w:val="24"/>
          <w:szCs w:val="24"/>
          <w:lang w:val="es-ES_tradnl"/>
        </w:rPr>
        <w:t xml:space="preserve">los </w:t>
      </w:r>
      <w:r w:rsidRPr="001A4DF9">
        <w:rPr>
          <w:rFonts w:ascii="Times New Roman" w:hAnsi="Times New Roman"/>
          <w:sz w:val="24"/>
          <w:szCs w:val="24"/>
          <w:lang w:val="es-ES_tradnl"/>
        </w:rPr>
        <w:t xml:space="preserve">casos </w:t>
      </w:r>
      <w:r w:rsidR="00486429">
        <w:rPr>
          <w:rFonts w:ascii="Times New Roman" w:hAnsi="Times New Roman"/>
          <w:sz w:val="24"/>
          <w:szCs w:val="24"/>
          <w:lang w:val="es-ES_tradnl"/>
        </w:rPr>
        <w:t>penales</w:t>
      </w:r>
      <w:r w:rsidRPr="001A4DF9">
        <w:rPr>
          <w:rFonts w:ascii="Times New Roman" w:hAnsi="Times New Roman"/>
          <w:sz w:val="24"/>
          <w:szCs w:val="24"/>
          <w:lang w:val="es-ES_tradnl"/>
        </w:rPr>
        <w:t xml:space="preserve"> como </w:t>
      </w:r>
      <w:r w:rsidR="00486429">
        <w:rPr>
          <w:rFonts w:ascii="Times New Roman" w:hAnsi="Times New Roman"/>
          <w:sz w:val="24"/>
          <w:szCs w:val="24"/>
          <w:lang w:val="es-ES_tradnl"/>
        </w:rPr>
        <w:t xml:space="preserve">los </w:t>
      </w:r>
      <w:r w:rsidRPr="001A4DF9">
        <w:rPr>
          <w:rFonts w:ascii="Times New Roman" w:hAnsi="Times New Roman"/>
          <w:sz w:val="24"/>
          <w:szCs w:val="24"/>
          <w:lang w:val="es-ES_tradnl"/>
        </w:rPr>
        <w:t>civiles</w:t>
      </w:r>
      <w:r w:rsidR="00486429">
        <w:rPr>
          <w:rFonts w:ascii="Times New Roman" w:hAnsi="Times New Roman"/>
          <w:sz w:val="24"/>
          <w:szCs w:val="24"/>
          <w:lang w:val="es-ES_tradnl"/>
        </w:rPr>
        <w:t>,</w:t>
      </w:r>
      <w:r w:rsidRPr="001A4DF9">
        <w:rPr>
          <w:rFonts w:ascii="Times New Roman" w:hAnsi="Times New Roman"/>
          <w:sz w:val="24"/>
          <w:szCs w:val="24"/>
          <w:lang w:val="es-ES_tradnl"/>
        </w:rPr>
        <w:t xml:space="preserve"> a una fecha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no antes del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Pr="001A4DF9">
        <w:rPr>
          <w:rFonts w:ascii="Times New Roman" w:hAnsi="Times New Roman"/>
          <w:color w:val="336699"/>
          <w:sz w:val="24"/>
          <w:szCs w:val="24"/>
          <w:lang w:val="es-ES_tradnl"/>
        </w:rPr>
        <w:t>1 de julio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del 2020. </w:t>
      </w:r>
      <w:r w:rsidRPr="001A4DF9">
        <w:rPr>
          <w:rFonts w:ascii="Times New Roman" w:hAnsi="Times New Roman"/>
          <w:sz w:val="24"/>
          <w:szCs w:val="24"/>
          <w:lang w:val="es-ES_tradnl"/>
        </w:rPr>
        <w:t>Se aplazarán todos los juicios sin jurado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, tanto para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los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casos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penales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como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los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civiles, a una fecha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no antes del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Pr="001A4DF9">
        <w:rPr>
          <w:rFonts w:ascii="Times New Roman" w:hAnsi="Times New Roman"/>
          <w:color w:val="336699"/>
          <w:sz w:val="24"/>
          <w:szCs w:val="24"/>
          <w:lang w:val="es-ES_tradnl"/>
        </w:rPr>
        <w:t>1 de junio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, salvo que concuerden las partes involucradas y el tribunal que se puedan realizar virtualmente.</w:t>
      </w:r>
      <w:r w:rsidRPr="001A4DF9">
        <w:rPr>
          <w:rFonts w:ascii="Times New Roman" w:hAnsi="Times New Roman"/>
          <w:color w:val="1F497D"/>
          <w:sz w:val="24"/>
          <w:szCs w:val="24"/>
          <w:lang w:val="es-ES_tradnl"/>
        </w:rPr>
        <w:t> 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Esta nueva orden también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hace que se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extien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dan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varias fechas límites</w:t>
      </w:r>
      <w:r w:rsidR="0084412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="00446912">
        <w:rPr>
          <w:rFonts w:ascii="Times New Roman" w:hAnsi="Times New Roman"/>
          <w:color w:val="000000"/>
          <w:sz w:val="24"/>
          <w:szCs w:val="24"/>
          <w:lang w:val="es-ES_tradnl"/>
        </w:rPr>
        <w:t>estableci</w:t>
      </w:r>
      <w:r w:rsidR="0084412E">
        <w:rPr>
          <w:rFonts w:ascii="Times New Roman" w:hAnsi="Times New Roman"/>
          <w:color w:val="000000"/>
          <w:sz w:val="24"/>
          <w:szCs w:val="24"/>
          <w:lang w:val="es-ES_tradnl"/>
        </w:rPr>
        <w:t>das anteriormente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. </w:t>
      </w:r>
    </w:p>
    <w:p w14:paraId="7FA0FD21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5E1BDDD0" w14:textId="0DD54618" w:rsidR="0009439D" w:rsidRPr="005A42B8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5A42B8">
        <w:rPr>
          <w:rFonts w:ascii="Times New Roman" w:hAnsi="Times New Roman" w:cs="Times New Roman"/>
          <w:sz w:val="24"/>
          <w:szCs w:val="24"/>
          <w:lang w:val="es-ES_tradnl"/>
        </w:rPr>
        <w:t xml:space="preserve">La orden del Tribunal Supremo de la Justicia </w:t>
      </w:r>
      <w:r w:rsidRPr="005A42B8">
        <w:rPr>
          <w:rFonts w:ascii="Times New Roman" w:hAnsi="Times New Roman" w:cs="Times New Roman"/>
          <w:color w:val="336699"/>
          <w:sz w:val="24"/>
          <w:szCs w:val="24"/>
          <w:lang w:val="es-ES_tradnl"/>
        </w:rPr>
        <w:t>de hoy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también 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requiere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que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los departamentos del Tribunal de Primera Instancia identifi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quen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las </w:t>
      </w:r>
      <w:r w:rsidR="006D0BE9"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categorías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de asuntos que no</w:t>
      </w:r>
      <w:r w:rsidR="006D0BE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constan como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emergencia</w:t>
      </w:r>
      <w:r w:rsidR="006D0BE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que 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intentarán tratar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virtualmente, siempre que sea factible, y a proporcionar directrices claras al público y a los miembros de los colegios de abogados sobre 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cuáles serán 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esas </w:t>
      </w:r>
      <w:r w:rsidR="00374378"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categorías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publicando avisos con regularidad en </w:t>
      </w:r>
      <w:hyperlink r:id="rId6" w:tgtFrame="_blank" w:history="1">
        <w:r w:rsidRPr="005A42B8">
          <w:rPr>
            <w:rFonts w:ascii="Times New Roman" w:hAnsi="Times New Roman" w:cs="Times New Roman"/>
            <w:color w:val="336699"/>
            <w:sz w:val="24"/>
            <w:szCs w:val="24"/>
            <w:u w:val="single"/>
            <w:lang w:val="es-ES_tradnl"/>
          </w:rPr>
          <w:t>la página del tribunal dedicada a la COVID-19</w:t>
        </w:r>
      </w:hyperlink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 El Tribunal Supremo de la </w:t>
      </w:r>
      <w:r w:rsidR="003637C9"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Justicia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y el Tribunal de Apelaciones seguirán realizando argumentos orales virtualmente para </w:t>
      </w:r>
      <w:r w:rsidR="0048642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tratar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asuntos que no </w:t>
      </w:r>
      <w:r w:rsidR="008D33B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consten como</w:t>
      </w: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emergencias.</w:t>
      </w:r>
    </w:p>
    <w:p w14:paraId="6E195418" w14:textId="77777777" w:rsidR="0009439D" w:rsidRPr="005A42B8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5A42B8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 </w:t>
      </w:r>
    </w:p>
    <w:p w14:paraId="5CBC0D42" w14:textId="75281434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Todas las oficinas de los secretarios judiciales, registradores y archiveros seguirán realizando sus funciones judiciales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: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acept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ar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la presentación de alegatos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y de otros documentos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tanto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para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los </w:t>
      </w:r>
      <w:r w:rsidR="00045D50">
        <w:rPr>
          <w:rFonts w:ascii="Times New Roman" w:hAnsi="Times New Roman"/>
          <w:color w:val="000000"/>
          <w:sz w:val="24"/>
          <w:szCs w:val="24"/>
          <w:lang w:val="es-ES_tradnl"/>
        </w:rPr>
        <w:t>asuntos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identificad</w:t>
      </w:r>
      <w:r w:rsidR="00045D50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os como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emergencia</w:t>
      </w:r>
      <w:r w:rsidR="000F6A99">
        <w:rPr>
          <w:rFonts w:ascii="Times New Roman" w:hAnsi="Times New Roman"/>
          <w:color w:val="000000"/>
          <w:sz w:val="24"/>
          <w:szCs w:val="24"/>
          <w:lang w:val="es-ES_tradnl"/>
        </w:rPr>
        <w:t>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como los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que no</w:t>
      </w:r>
      <w:r w:rsidR="00907C30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consten como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emergencia</w:t>
      </w:r>
      <w:r w:rsidR="00907C30">
        <w:rPr>
          <w:rFonts w:ascii="Times New Roman" w:hAnsi="Times New Roman"/>
          <w:color w:val="000000"/>
          <w:sz w:val="24"/>
          <w:szCs w:val="24"/>
          <w:lang w:val="es-ES_tradnl"/>
        </w:rPr>
        <w:t>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;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programa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lastRenderedPageBreak/>
        <w:t>y realiza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audiencias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;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emit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ir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órdenes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;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respon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der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a preguntas de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los 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abogados, litigantes y el público general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;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y reali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zar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otras operaciones necesarias para 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sus respectivos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tribunal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es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. Todas las operaciones se </w:t>
      </w:r>
      <w:r w:rsidR="00E37F03">
        <w:rPr>
          <w:rFonts w:ascii="Times New Roman" w:hAnsi="Times New Roman"/>
          <w:color w:val="000000"/>
          <w:sz w:val="24"/>
          <w:szCs w:val="24"/>
          <w:lang w:val="es-ES_tradnl"/>
        </w:rPr>
        <w:t>har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án virtualmente, salvo cuando no se</w:t>
      </w:r>
      <w:r w:rsidR="00125F5E">
        <w:rPr>
          <w:rFonts w:ascii="Times New Roman" w:hAnsi="Times New Roman"/>
          <w:color w:val="000000"/>
          <w:sz w:val="24"/>
          <w:szCs w:val="24"/>
          <w:lang w:val="es-ES_tradnl"/>
        </w:rPr>
        <w:t>a posible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presentar virtualmente los alegatos y/u otros documentos para asuntos de emergencia.</w:t>
      </w:r>
    </w:p>
    <w:p w14:paraId="35559696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2F7ECAC4" w14:textId="12341542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Todas las órdenes, órdenes permanentes, directrices y notificaciones que emita cualquier departamento del tribunal o tribunal de apelación en respuesta a la pandemia, junto con todas las enmiendas, modificaciones y suplementos</w:t>
      </w:r>
      <w:r w:rsidR="00486429">
        <w:rPr>
          <w:rFonts w:ascii="Times New Roman" w:hAnsi="Times New Roman"/>
          <w:color w:val="000000"/>
          <w:sz w:val="24"/>
          <w:szCs w:val="24"/>
          <w:lang w:val="es-ES_tradnl"/>
        </w:rPr>
        <w:t>,</w:t>
      </w: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se publicarán tras su emisión en </w:t>
      </w:r>
      <w:hyperlink r:id="rId7" w:tgtFrame="_blank" w:history="1">
        <w:r w:rsidRPr="001A4DF9">
          <w:rPr>
            <w:rFonts w:ascii="Times New Roman" w:hAnsi="Times New Roman"/>
            <w:color w:val="336699"/>
            <w:sz w:val="24"/>
            <w:szCs w:val="24"/>
            <w:u w:val="single"/>
            <w:lang w:val="es-ES_tradnl"/>
          </w:rPr>
          <w:t>la página del tribunal dedicada a la COVID-19</w:t>
        </w:r>
      </w:hyperlink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.</w:t>
      </w:r>
    </w:p>
    <w:p w14:paraId="2E35859D" w14:textId="77777777" w:rsidR="0009439D" w:rsidRPr="001A4DF9" w:rsidRDefault="0009439D" w:rsidP="0009439D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###</w:t>
      </w:r>
    </w:p>
    <w:p w14:paraId="5653ABA7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Calibri" w:hAnsi="Calibri"/>
          <w:color w:val="000000"/>
          <w:lang w:val="es-ES_tradnl"/>
        </w:rPr>
        <w:t> </w:t>
      </w:r>
    </w:p>
    <w:p w14:paraId="62ED1AC7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Times New Roman" w:hAnsi="Times New Roman"/>
          <w:color w:val="000000"/>
          <w:sz w:val="24"/>
          <w:szCs w:val="24"/>
          <w:lang w:val="es-ES_tradnl"/>
        </w:rPr>
        <w:t> </w:t>
      </w:r>
    </w:p>
    <w:p w14:paraId="3D2940D3" w14:textId="77777777" w:rsidR="0009439D" w:rsidRPr="001A4DF9" w:rsidRDefault="0009439D" w:rsidP="0009439D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A4DF9">
        <w:rPr>
          <w:rFonts w:ascii="Calibri" w:hAnsi="Calibri"/>
          <w:color w:val="000000"/>
          <w:lang w:val="es-ES_tradnl"/>
        </w:rPr>
        <w:t> </w:t>
      </w:r>
    </w:p>
    <w:p w14:paraId="16E863F2" w14:textId="77777777" w:rsidR="00E1142B" w:rsidRPr="001A4DF9" w:rsidRDefault="005913CF">
      <w:pPr>
        <w:rPr>
          <w:lang w:val="es-ES_tradnl"/>
        </w:rPr>
      </w:pPr>
    </w:p>
    <w:sectPr w:rsidR="00E1142B" w:rsidRPr="001A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9D"/>
    <w:rsid w:val="00021F96"/>
    <w:rsid w:val="00031B50"/>
    <w:rsid w:val="00045D50"/>
    <w:rsid w:val="0009439D"/>
    <w:rsid w:val="000B4ECB"/>
    <w:rsid w:val="000F6A99"/>
    <w:rsid w:val="00125F5E"/>
    <w:rsid w:val="001A4DF9"/>
    <w:rsid w:val="003637C9"/>
    <w:rsid w:val="003735E8"/>
    <w:rsid w:val="00374378"/>
    <w:rsid w:val="003D0BA4"/>
    <w:rsid w:val="00446912"/>
    <w:rsid w:val="00486429"/>
    <w:rsid w:val="00511961"/>
    <w:rsid w:val="005913CF"/>
    <w:rsid w:val="005A42B8"/>
    <w:rsid w:val="006D0BE9"/>
    <w:rsid w:val="006D4888"/>
    <w:rsid w:val="00721824"/>
    <w:rsid w:val="007445CF"/>
    <w:rsid w:val="00790D41"/>
    <w:rsid w:val="007B47DC"/>
    <w:rsid w:val="0084011F"/>
    <w:rsid w:val="0084412E"/>
    <w:rsid w:val="008D33B1"/>
    <w:rsid w:val="00907C30"/>
    <w:rsid w:val="00973525"/>
    <w:rsid w:val="009744D8"/>
    <w:rsid w:val="00A02176"/>
    <w:rsid w:val="00AB55E1"/>
    <w:rsid w:val="00AB6650"/>
    <w:rsid w:val="00B16BF9"/>
    <w:rsid w:val="00BC3E62"/>
    <w:rsid w:val="00C14DC5"/>
    <w:rsid w:val="00CE2818"/>
    <w:rsid w:val="00D24AB2"/>
    <w:rsid w:val="00DA371D"/>
    <w:rsid w:val="00E37F03"/>
    <w:rsid w:val="00E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8B81"/>
  <w15:chartTrackingRefBased/>
  <w15:docId w15:val="{A9660150-3593-434B-8A95-DBEFD4A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09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09439D"/>
  </w:style>
  <w:style w:type="paragraph" w:customStyle="1" w:styleId="s4">
    <w:name w:val="s4"/>
    <w:basedOn w:val="Normal"/>
    <w:rsid w:val="0009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09439D"/>
  </w:style>
  <w:style w:type="character" w:styleId="Hyperlink">
    <w:name w:val="Hyperlink"/>
    <w:basedOn w:val="DefaultParagraphFont"/>
    <w:uiPriority w:val="99"/>
    <w:semiHidden/>
    <w:unhideWhenUsed/>
    <w:rsid w:val="00094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4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ss.gov/guides/court-system-response-to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guides/court-system-response-to-covid-19" TargetMode="External"/><Relationship Id="rId5" Type="http://schemas.openxmlformats.org/officeDocument/2006/relationships/hyperlink" Target="https://www.mass.gov/supreme-judicial-court-rules/supreme-judicial-court-updated-order-regarding-court-operations-under" TargetMode="External"/><Relationship Id="rId4" Type="http://schemas.openxmlformats.org/officeDocument/2006/relationships/hyperlink" Target="mailto:jennifer.donahue@jud.state.m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 Berasaluce</dc:creator>
  <cp:keywords/>
  <dc:description/>
  <cp:lastModifiedBy>Andrea Jones Berasaluce</cp:lastModifiedBy>
  <cp:revision>4</cp:revision>
  <dcterms:created xsi:type="dcterms:W3CDTF">2020-04-27T22:41:00Z</dcterms:created>
  <dcterms:modified xsi:type="dcterms:W3CDTF">2020-04-27T22:51:00Z</dcterms:modified>
</cp:coreProperties>
</file>