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5760"/>
      </w:tblGrid>
      <w:tr w:rsidR="00C02CED">
        <w:tc>
          <w:tcPr>
            <w:tcW w:w="1728" w:type="dxa"/>
          </w:tcPr>
          <w:p w:rsidR="00C02CED" w:rsidRDefault="007D5062">
            <w:pPr>
              <w:pStyle w:val="Header"/>
              <w:widowControl w:val="0"/>
              <w:tabs>
                <w:tab w:val="clear" w:pos="4320"/>
                <w:tab w:val="clear" w:pos="8640"/>
                <w:tab w:val="left" w:pos="5400"/>
              </w:tabs>
              <w:rPr>
                <w:rFonts w:ascii="Helvetica" w:hAnsi="Helvetica"/>
                <w:sz w:val="22"/>
              </w:rPr>
            </w:pPr>
            <w:bookmarkStart w:id="0" w:name="_GoBack"/>
            <w:bookmarkEnd w:id="0"/>
            <w:r>
              <w:rPr>
                <w:rFonts w:ascii="Helvetica" w:hAnsi="Helvetica"/>
                <w:noProof/>
              </w:rPr>
              <w:drawing>
                <wp:inline distT="0" distB="0" distL="0" distR="0">
                  <wp:extent cx="861695" cy="996315"/>
                  <wp:effectExtent l="0" t="0" r="0" b="0"/>
                  <wp:docPr id="1" name="Picture 1" title="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695" cy="996315"/>
                          </a:xfrm>
                          <a:prstGeom prst="rect">
                            <a:avLst/>
                          </a:prstGeom>
                          <a:noFill/>
                          <a:ln>
                            <a:noFill/>
                          </a:ln>
                        </pic:spPr>
                      </pic:pic>
                    </a:graphicData>
                  </a:graphic>
                </wp:inline>
              </w:drawing>
            </w:r>
          </w:p>
        </w:tc>
        <w:tc>
          <w:tcPr>
            <w:tcW w:w="5760" w:type="dxa"/>
          </w:tcPr>
          <w:p w:rsidR="00C02CED" w:rsidRDefault="00C02CED">
            <w:pPr>
              <w:widowControl w:val="0"/>
              <w:tabs>
                <w:tab w:val="left" w:pos="5400"/>
              </w:tabs>
              <w:rPr>
                <w:rFonts w:ascii="Bookman Old Style" w:hAnsi="Bookman Old Style"/>
                <w:b/>
                <w:i/>
              </w:rPr>
            </w:pPr>
          </w:p>
          <w:p w:rsidR="00C02CED" w:rsidRDefault="00C02CED">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rsidR="00C02CED" w:rsidRDefault="00C02CED">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C02CED" w:rsidRDefault="00C02CED">
            <w:pPr>
              <w:pStyle w:val="Heading2"/>
            </w:pPr>
            <w:r>
              <w:t>Office of Medicaid</w:t>
            </w:r>
          </w:p>
          <w:p w:rsidR="00C02CED" w:rsidRDefault="00C02CED">
            <w:pPr>
              <w:rPr>
                <w:rFonts w:ascii="Bookman Old Style" w:hAnsi="Bookman Old Style"/>
                <w:i/>
                <w:iCs/>
                <w:sz w:val="18"/>
              </w:rPr>
            </w:pPr>
            <w:r>
              <w:rPr>
                <w:rFonts w:ascii="Bookman Old Style" w:hAnsi="Bookman Old Style"/>
                <w:i/>
                <w:iCs/>
                <w:sz w:val="18"/>
              </w:rPr>
              <w:t>www.mass.gov/masshealth</w:t>
            </w:r>
          </w:p>
        </w:tc>
      </w:tr>
    </w:tbl>
    <w:p w:rsidR="00C02CED" w:rsidRDefault="00C02CED">
      <w:pPr>
        <w:tabs>
          <w:tab w:val="left" w:pos="1080"/>
          <w:tab w:val="left" w:pos="1800"/>
          <w:tab w:val="left" w:pos="6480"/>
        </w:tabs>
        <w:suppressAutoHyphens/>
        <w:rPr>
          <w:rFonts w:ascii="Book Antiqua" w:hAnsi="Book Antiqua"/>
          <w:sz w:val="22"/>
        </w:rPr>
      </w:pPr>
    </w:p>
    <w:p w:rsidR="00C02CED" w:rsidRDefault="00C02CED">
      <w:pPr>
        <w:tabs>
          <w:tab w:val="left" w:pos="1080"/>
          <w:tab w:val="left" w:pos="5760"/>
        </w:tabs>
        <w:suppressAutoHyphens/>
        <w:rPr>
          <w:rFonts w:ascii="Book Antiqua" w:hAnsi="Book Antiqua"/>
          <w:sz w:val="22"/>
        </w:rPr>
      </w:pPr>
    </w:p>
    <w:p w:rsidR="00C02CED" w:rsidRPr="001921AE" w:rsidRDefault="00C02CED">
      <w:pPr>
        <w:tabs>
          <w:tab w:val="left" w:pos="1080"/>
          <w:tab w:val="left" w:pos="5760"/>
        </w:tabs>
        <w:suppressAutoHyphens/>
        <w:rPr>
          <w:rFonts w:ascii="Book Antiqua" w:hAnsi="Book Antiqua"/>
          <w:sz w:val="16"/>
          <w:szCs w:val="16"/>
        </w:rPr>
      </w:pPr>
    </w:p>
    <w:p w:rsidR="00C02CED" w:rsidRPr="001921AE" w:rsidRDefault="00C02CED">
      <w:pPr>
        <w:tabs>
          <w:tab w:val="left" w:pos="1080"/>
          <w:tab w:val="left" w:pos="5760"/>
        </w:tabs>
        <w:suppressAutoHyphens/>
        <w:rPr>
          <w:rFonts w:ascii="Book Antiqua" w:hAnsi="Book Antiqua"/>
          <w:sz w:val="16"/>
          <w:szCs w:val="16"/>
        </w:rPr>
      </w:pPr>
    </w:p>
    <w:p w:rsidR="00C02CED" w:rsidRDefault="00C02CED">
      <w:pPr>
        <w:tabs>
          <w:tab w:val="left" w:pos="1080"/>
          <w:tab w:val="left" w:pos="5760"/>
        </w:tabs>
        <w:suppressAutoHyphens/>
        <w:rPr>
          <w:rFonts w:ascii="Book Antiqua" w:hAnsi="Book Antiqua"/>
          <w:sz w:val="22"/>
        </w:rPr>
        <w:sectPr w:rsidR="00C02CED">
          <w:pgSz w:w="12240" w:h="15840" w:code="1"/>
          <w:pgMar w:top="1440" w:right="1440" w:bottom="1440" w:left="1440" w:header="720" w:footer="720" w:gutter="0"/>
          <w:cols w:space="720"/>
        </w:sectPr>
      </w:pPr>
    </w:p>
    <w:p w:rsidR="00C02CED" w:rsidRDefault="007D5062">
      <w:pPr>
        <w:tabs>
          <w:tab w:val="left" w:pos="1080"/>
          <w:tab w:val="left" w:pos="5760"/>
        </w:tabs>
        <w:suppressAutoHyphens/>
        <w:rPr>
          <w:rFonts w:ascii="Book Antiqua" w:hAnsi="Book Antiqua"/>
          <w:sz w:val="22"/>
        </w:rPr>
      </w:pPr>
      <w:r>
        <w:rPr>
          <w:rFonts w:ascii="Book Antiqua" w:hAnsi="Book Antiqua"/>
          <w:noProof/>
        </w:rPr>
        <w:lastRenderedPageBreak/>
        <mc:AlternateContent>
          <mc:Choice Requires="wps">
            <w:drawing>
              <wp:anchor distT="0" distB="0" distL="114300" distR="114300" simplePos="0" relativeHeight="251657728" behindDoc="1" locked="0" layoutInCell="1" allowOverlap="1">
                <wp:simplePos x="0" y="0"/>
                <wp:positionH relativeFrom="column">
                  <wp:posOffset>4848860</wp:posOffset>
                </wp:positionH>
                <wp:positionV relativeFrom="paragraph">
                  <wp:posOffset>-1918970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rsidR="00C02CED" w:rsidRDefault="00C02CED">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15pt;height:58.15pt" o:ole="">
                                  <v:imagedata r:id="rId9" o:title=""/>
                                </v:shape>
                                <o:OLEObject Type="Embed" ProgID="Word.Picture.8" ShapeID="_x0000_i1026" DrawAspect="Content" ObjectID="_1638691287"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1.8pt;margin-top:-151.1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" stroked="f">
                <v:textbox>
                  <w:txbxContent>
                    <w:bookmarkStart w:id="1" w:name="_MON_1133778962"/>
                    <w:bookmarkEnd w:id="1"/>
                    <w:p w:rsidR="00C02CED" w:rsidRDefault="00C02CED">
                      <w:r>
                        <w:object w:dxaOrig="2921" w:dyaOrig="1441">
                          <v:shape id="_x0000_i1026" type="#_x0000_t75" style="width:118.1pt;height:58.2pt" o:ole="">
                            <v:imagedata r:id="rId11" o:title=""/>
                          </v:shape>
                          <o:OLEObject Type="Embed" ProgID="Word.Picture.8" ShapeID="_x0000_i1026" DrawAspect="Content" ObjectID="_1638683457" r:id="rId12"/>
                        </w:object>
                      </w:r>
                    </w:p>
                  </w:txbxContent>
                </v:textbox>
              </v:shape>
            </w:pict>
          </mc:Fallback>
        </mc:AlternateContent>
      </w:r>
    </w:p>
    <w:p w:rsidR="00C02CED" w:rsidRDefault="00C02CED" w:rsidP="007D5062">
      <w:pPr>
        <w:tabs>
          <w:tab w:val="left" w:pos="1080"/>
          <w:tab w:val="left" w:pos="4662"/>
          <w:tab w:val="left" w:pos="5760"/>
        </w:tabs>
        <w:suppressAutoHyphens/>
        <w:rPr>
          <w:rFonts w:ascii="Book Antiqua" w:hAnsi="Book Antiqua"/>
          <w:sz w:val="22"/>
        </w:rPr>
      </w:pPr>
      <w:r>
        <w:rPr>
          <w:rFonts w:ascii="Book Antiqua" w:hAnsi="Book Antiqua"/>
          <w:sz w:val="22"/>
        </w:rPr>
        <w:tab/>
      </w:r>
      <w:r>
        <w:rPr>
          <w:rFonts w:ascii="Book Antiqua" w:hAnsi="Book Antiqua"/>
          <w:sz w:val="22"/>
        </w:rPr>
        <w:tab/>
      </w:r>
      <w:r w:rsidR="007D5062">
        <w:rPr>
          <w:rFonts w:ascii="Book Antiqua" w:hAnsi="Book Antiqua"/>
          <w:sz w:val="22"/>
        </w:rPr>
        <w:tab/>
      </w:r>
      <w:r>
        <w:rPr>
          <w:rFonts w:ascii="Book Antiqua" w:hAnsi="Book Antiqua"/>
          <w:sz w:val="22"/>
        </w:rPr>
        <w:t>MassHealth</w:t>
      </w:r>
    </w:p>
    <w:p w:rsidR="00C02CED" w:rsidRPr="008A65F4"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 xml:space="preserve">Eligibility </w:t>
      </w:r>
      <w:r w:rsidRPr="008A65F4">
        <w:rPr>
          <w:rFonts w:ascii="Book Antiqua" w:hAnsi="Book Antiqua"/>
          <w:sz w:val="22"/>
        </w:rPr>
        <w:t xml:space="preserve">Letter </w:t>
      </w:r>
      <w:r w:rsidR="00AA6BD6" w:rsidRPr="008A65F4">
        <w:rPr>
          <w:rFonts w:ascii="Book Antiqua" w:hAnsi="Book Antiqua"/>
          <w:sz w:val="22"/>
        </w:rPr>
        <w:t>2</w:t>
      </w:r>
      <w:r w:rsidR="008A65F4" w:rsidRPr="008A65F4">
        <w:rPr>
          <w:rFonts w:ascii="Book Antiqua" w:hAnsi="Book Antiqua"/>
          <w:sz w:val="22"/>
        </w:rPr>
        <w:t>36</w:t>
      </w:r>
    </w:p>
    <w:p w:rsidR="00C02CED" w:rsidRPr="008A65F4" w:rsidRDefault="001B7FD4">
      <w:pPr>
        <w:tabs>
          <w:tab w:val="left" w:pos="1080"/>
          <w:tab w:val="left" w:pos="5760"/>
        </w:tabs>
        <w:suppressAutoHyphens/>
        <w:rPr>
          <w:rFonts w:ascii="Book Antiqua" w:hAnsi="Book Antiqua"/>
          <w:sz w:val="22"/>
        </w:rPr>
      </w:pPr>
      <w:r w:rsidRPr="008A65F4">
        <w:rPr>
          <w:rFonts w:ascii="Book Antiqua" w:hAnsi="Book Antiqua"/>
          <w:sz w:val="22"/>
        </w:rPr>
        <w:tab/>
      </w:r>
      <w:r w:rsidRPr="008A65F4">
        <w:rPr>
          <w:rFonts w:ascii="Book Antiqua" w:hAnsi="Book Antiqua"/>
          <w:sz w:val="22"/>
        </w:rPr>
        <w:tab/>
      </w:r>
      <w:r w:rsidR="00AA6BD6" w:rsidRPr="008A65F4">
        <w:rPr>
          <w:rFonts w:ascii="Book Antiqua" w:hAnsi="Book Antiqua"/>
          <w:sz w:val="22"/>
        </w:rPr>
        <w:t>December</w:t>
      </w:r>
      <w:r w:rsidR="00BE6C00">
        <w:rPr>
          <w:rFonts w:ascii="Book Antiqua" w:hAnsi="Book Antiqua"/>
          <w:sz w:val="22"/>
        </w:rPr>
        <w:t xml:space="preserve"> 15</w:t>
      </w:r>
      <w:r w:rsidR="00AA6BD6" w:rsidRPr="008A65F4">
        <w:rPr>
          <w:rFonts w:ascii="Book Antiqua" w:hAnsi="Book Antiqua"/>
          <w:sz w:val="22"/>
        </w:rPr>
        <w:t>, 2019</w:t>
      </w:r>
    </w:p>
    <w:p w:rsidR="00C02CED" w:rsidRDefault="007D6A84">
      <w:pPr>
        <w:tabs>
          <w:tab w:val="left" w:pos="1080"/>
          <w:tab w:val="left" w:pos="5760"/>
        </w:tabs>
        <w:suppressAutoHyphens/>
        <w:rPr>
          <w:rFonts w:ascii="Book Antiqua" w:hAnsi="Book Antiqua"/>
          <w:sz w:val="22"/>
        </w:rPr>
      </w:pPr>
      <w:r w:rsidRPr="007D6A84">
        <w:rPr>
          <w:rFonts w:ascii="Book Antiqua" w:hAnsi="Book Antiqua"/>
          <w:b/>
          <w:noProof/>
          <w:sz w:val="22"/>
        </w:rPr>
        <mc:AlternateContent>
          <mc:Choice Requires="wps">
            <w:drawing>
              <wp:anchor distT="0" distB="0" distL="114300" distR="114300" simplePos="0" relativeHeight="251659776" behindDoc="0" locked="0" layoutInCell="1" allowOverlap="1" wp14:anchorId="0A96EBD7" wp14:editId="5AE252AC">
                <wp:simplePos x="0" y="0"/>
                <wp:positionH relativeFrom="column">
                  <wp:posOffset>3686861</wp:posOffset>
                </wp:positionH>
                <wp:positionV relativeFrom="paragraph">
                  <wp:posOffset>50902</wp:posOffset>
                </wp:positionV>
                <wp:extent cx="2374265" cy="373075"/>
                <wp:effectExtent l="0" t="0" r="3810" b="82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73075"/>
                        </a:xfrm>
                        <a:prstGeom prst="rect">
                          <a:avLst/>
                        </a:prstGeom>
                        <a:solidFill>
                          <a:srgbClr val="FFFFFF"/>
                        </a:solidFill>
                        <a:ln w="9525">
                          <a:noFill/>
                          <a:miter lim="800000"/>
                          <a:headEnd/>
                          <a:tailEnd/>
                        </a:ln>
                      </wps:spPr>
                      <wps:txbx>
                        <w:txbxContent>
                          <w:p w:rsidR="007D6A84" w:rsidRDefault="007D6A84"/>
                          <w:p w:rsidR="007D6A84" w:rsidRPr="007D6A84" w:rsidRDefault="007D6A8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290.3pt;margin-top:4pt;width:186.95pt;height:29.4pt;z-index:2516597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" stroked="f">
                <v:textbox>
                  <w:txbxContent>
                    <w:p w:rsidR="007D6A84" w:rsidRDefault="007D6A84"/>
                    <w:p w:rsidR="007D6A84" w:rsidRPr="007D6A84" w:rsidRDefault="007D6A84"/>
                  </w:txbxContent>
                </v:textbox>
              </v:shape>
            </w:pict>
          </mc:Fallback>
        </mc:AlternateContent>
      </w:r>
    </w:p>
    <w:p w:rsidR="00C02CED" w:rsidRPr="001921AE" w:rsidRDefault="00C02CED">
      <w:pPr>
        <w:tabs>
          <w:tab w:val="left" w:pos="1080"/>
          <w:tab w:val="left" w:pos="5760"/>
        </w:tabs>
        <w:suppressAutoHyphens/>
        <w:rPr>
          <w:rFonts w:ascii="Book Antiqua" w:hAnsi="Book Antiqua"/>
          <w:sz w:val="16"/>
          <w:szCs w:val="16"/>
        </w:rPr>
      </w:pPr>
    </w:p>
    <w:p w:rsidR="00C02CED" w:rsidRDefault="00C02CED">
      <w:pPr>
        <w:tabs>
          <w:tab w:val="left" w:pos="1080"/>
          <w:tab w:val="left" w:pos="5760"/>
        </w:tabs>
        <w:suppressAutoHyphens/>
        <w:rPr>
          <w:rFonts w:ascii="Book Antiqua" w:hAnsi="Book Antiqua"/>
          <w:sz w:val="22"/>
        </w:rPr>
      </w:pPr>
      <w:r>
        <w:rPr>
          <w:rFonts w:ascii="Book Antiqua" w:hAnsi="Book Antiqua"/>
          <w:b/>
          <w:sz w:val="22"/>
        </w:rPr>
        <w:t>TO:</w:t>
      </w:r>
      <w:r>
        <w:rPr>
          <w:rFonts w:ascii="Book Antiqua" w:hAnsi="Book Antiqua"/>
          <w:sz w:val="22"/>
        </w:rPr>
        <w:tab/>
        <w:t>MassHealth Staff</w:t>
      </w:r>
    </w:p>
    <w:p w:rsidR="00C02CED" w:rsidRDefault="00C02CED">
      <w:pPr>
        <w:tabs>
          <w:tab w:val="left" w:pos="1080"/>
          <w:tab w:val="left" w:pos="5760"/>
        </w:tabs>
        <w:suppressAutoHyphens/>
        <w:rPr>
          <w:rFonts w:ascii="Book Antiqua" w:hAnsi="Book Antiqua"/>
          <w:sz w:val="22"/>
        </w:rPr>
      </w:pPr>
    </w:p>
    <w:p w:rsidR="00C02CED" w:rsidRDefault="00C02CED">
      <w:pPr>
        <w:tabs>
          <w:tab w:val="left" w:pos="1080"/>
          <w:tab w:val="left" w:pos="5760"/>
        </w:tabs>
        <w:suppressAutoHyphens/>
        <w:rPr>
          <w:rFonts w:ascii="Book Antiqua" w:hAnsi="Book Antiqua"/>
          <w:sz w:val="22"/>
        </w:rPr>
      </w:pPr>
      <w:r>
        <w:rPr>
          <w:rFonts w:ascii="Book Antiqua" w:hAnsi="Book Antiqua"/>
          <w:b/>
          <w:sz w:val="22"/>
        </w:rPr>
        <w:t>FROM:</w:t>
      </w:r>
      <w:r w:rsidR="009F10CA">
        <w:rPr>
          <w:rFonts w:ascii="Book Antiqua" w:hAnsi="Book Antiqua"/>
          <w:sz w:val="22"/>
        </w:rPr>
        <w:tab/>
      </w:r>
      <w:r w:rsidR="007D4A15">
        <w:rPr>
          <w:rFonts w:ascii="Book Antiqua" w:hAnsi="Book Antiqua"/>
          <w:sz w:val="22"/>
        </w:rPr>
        <w:t>Daniel Tsai</w:t>
      </w:r>
      <w:r w:rsidR="0041600D">
        <w:rPr>
          <w:rFonts w:ascii="Book Antiqua" w:hAnsi="Book Antiqua"/>
          <w:sz w:val="22"/>
        </w:rPr>
        <w:t xml:space="preserve">, </w:t>
      </w:r>
      <w:r w:rsidR="007D4A15">
        <w:rPr>
          <w:rFonts w:ascii="Book Antiqua" w:hAnsi="Book Antiqua"/>
          <w:sz w:val="22"/>
        </w:rPr>
        <w:t xml:space="preserve">Assistant Secretary </w:t>
      </w:r>
      <w:r w:rsidR="0082612C">
        <w:rPr>
          <w:rFonts w:ascii="Book Antiqua" w:hAnsi="Book Antiqua"/>
          <w:sz w:val="22"/>
        </w:rPr>
        <w:t xml:space="preserve">for </w:t>
      </w:r>
      <w:r w:rsidR="007D4A15">
        <w:rPr>
          <w:rFonts w:ascii="Book Antiqua" w:hAnsi="Book Antiqua"/>
          <w:sz w:val="22"/>
        </w:rPr>
        <w:t>MassHealth</w:t>
      </w:r>
      <w:r w:rsidR="007D6A84">
        <w:rPr>
          <w:rFonts w:ascii="Book Antiqua" w:hAnsi="Book Antiqua"/>
          <w:sz w:val="22"/>
        </w:rPr>
        <w:t xml:space="preserve"> </w:t>
      </w:r>
      <w:r w:rsidR="001B62DF">
        <w:rPr>
          <w:rFonts w:ascii="Book Antiqua" w:hAnsi="Book Antiqua"/>
          <w:sz w:val="22"/>
        </w:rPr>
        <w:t>[signature of Dan Tsai]</w:t>
      </w:r>
    </w:p>
    <w:p w:rsidR="00C02CED" w:rsidRDefault="00C02CED">
      <w:pPr>
        <w:tabs>
          <w:tab w:val="left" w:pos="1080"/>
          <w:tab w:val="left" w:pos="5760"/>
        </w:tabs>
        <w:suppressAutoHyphens/>
        <w:rPr>
          <w:rFonts w:ascii="Book Antiqua" w:hAnsi="Book Antiqua"/>
          <w:sz w:val="22"/>
        </w:rPr>
      </w:pPr>
    </w:p>
    <w:p w:rsidR="00C02CED" w:rsidRPr="00AA6BD6" w:rsidRDefault="00C02CED">
      <w:pPr>
        <w:pStyle w:val="BodyTextIndent"/>
      </w:pPr>
      <w:r>
        <w:t>RE:</w:t>
      </w:r>
      <w:r>
        <w:tab/>
      </w:r>
      <w:r w:rsidR="00AA6BD6" w:rsidRPr="00AA6BD6">
        <w:t>Revisi</w:t>
      </w:r>
      <w:r w:rsidR="001B7057">
        <w:t>ons to MassHealth Financial</w:t>
      </w:r>
      <w:r w:rsidR="00AA6BD6" w:rsidRPr="00AA6BD6">
        <w:t xml:space="preserve"> </w:t>
      </w:r>
      <w:r w:rsidR="00B438B5">
        <w:t xml:space="preserve">and </w:t>
      </w:r>
      <w:r w:rsidR="00B438B5" w:rsidRPr="00AA6BD6">
        <w:t xml:space="preserve">Coverage Types </w:t>
      </w:r>
      <w:r w:rsidR="00AA6BD6" w:rsidRPr="00AA6BD6">
        <w:t>Regulations: Medicare Savings Program</w:t>
      </w:r>
    </w:p>
    <w:p w:rsidR="00C02CED" w:rsidRDefault="00C02CED">
      <w:pPr>
        <w:tabs>
          <w:tab w:val="right" w:pos="9360"/>
        </w:tabs>
        <w:suppressAutoHyphens/>
        <w:rPr>
          <w:rFonts w:ascii="Book Antiqua" w:hAnsi="Book Antiqua"/>
          <w:sz w:val="22"/>
        </w:rPr>
      </w:pPr>
      <w:r>
        <w:rPr>
          <w:rFonts w:ascii="Book Antiqua" w:hAnsi="Book Antiqua"/>
          <w:sz w:val="22"/>
          <w:u w:val="single"/>
        </w:rPr>
        <w:tab/>
      </w:r>
    </w:p>
    <w:p w:rsidR="00C02CED" w:rsidRPr="001921AE" w:rsidRDefault="00C02CED">
      <w:pPr>
        <w:tabs>
          <w:tab w:val="left" w:pos="1080"/>
          <w:tab w:val="left" w:pos="5760"/>
        </w:tabs>
        <w:suppressAutoHyphens/>
        <w:rPr>
          <w:rFonts w:ascii="Book Antiqua" w:hAnsi="Book Antiqua"/>
          <w:sz w:val="16"/>
          <w:szCs w:val="16"/>
        </w:rPr>
      </w:pPr>
    </w:p>
    <w:p w:rsidR="00B438B5" w:rsidRDefault="00B438B5" w:rsidP="001B7057">
      <w:pPr>
        <w:suppressAutoHyphens/>
        <w:rPr>
          <w:rFonts w:ascii="Book Antiqua" w:hAnsi="Book Antiqua"/>
          <w:sz w:val="22"/>
        </w:rPr>
      </w:pPr>
      <w:r w:rsidRPr="00B438B5">
        <w:rPr>
          <w:rFonts w:ascii="Book Antiqua" w:hAnsi="Book Antiqua"/>
          <w:sz w:val="22"/>
        </w:rPr>
        <w:t xml:space="preserve">The </w:t>
      </w:r>
      <w:r w:rsidR="00C77A95">
        <w:rPr>
          <w:rFonts w:ascii="Book Antiqua" w:hAnsi="Book Antiqua"/>
          <w:sz w:val="22"/>
        </w:rPr>
        <w:t>amended MassHealth coverage t</w:t>
      </w:r>
      <w:r w:rsidRPr="00B438B5">
        <w:rPr>
          <w:rFonts w:ascii="Book Antiqua" w:hAnsi="Book Antiqua"/>
          <w:sz w:val="22"/>
        </w:rPr>
        <w:t>ypes (130 CMR 519.010 and 519.011)</w:t>
      </w:r>
      <w:r w:rsidR="00CE12EA">
        <w:rPr>
          <w:rFonts w:ascii="Book Antiqua" w:hAnsi="Book Antiqua"/>
          <w:sz w:val="22"/>
        </w:rPr>
        <w:t xml:space="preserve"> expands these programs by</w:t>
      </w:r>
      <w:r w:rsidRPr="00B438B5">
        <w:rPr>
          <w:rFonts w:ascii="Book Antiqua" w:hAnsi="Book Antiqua"/>
          <w:sz w:val="22"/>
        </w:rPr>
        <w:t xml:space="preserve"> increas</w:t>
      </w:r>
      <w:r w:rsidR="00CE12EA">
        <w:rPr>
          <w:rFonts w:ascii="Book Antiqua" w:hAnsi="Book Antiqua"/>
          <w:sz w:val="22"/>
        </w:rPr>
        <w:t>ing</w:t>
      </w:r>
      <w:r w:rsidRPr="00B438B5">
        <w:rPr>
          <w:rFonts w:ascii="Book Antiqua" w:hAnsi="Book Antiqua"/>
          <w:sz w:val="22"/>
        </w:rPr>
        <w:t xml:space="preserve"> the income and asset eligibility limits for the three Medicare Savings Programs (MSPs)</w:t>
      </w:r>
      <w:r w:rsidR="00CE12EA">
        <w:rPr>
          <w:rFonts w:ascii="Book Antiqua" w:hAnsi="Book Antiqua"/>
          <w:sz w:val="22"/>
        </w:rPr>
        <w:t>.</w:t>
      </w:r>
    </w:p>
    <w:p w:rsidR="00B438B5" w:rsidRPr="00E323BC" w:rsidRDefault="00B438B5" w:rsidP="001B7057">
      <w:pPr>
        <w:suppressAutoHyphens/>
        <w:rPr>
          <w:rFonts w:ascii="Book Antiqua" w:hAnsi="Book Antiqua"/>
          <w:sz w:val="16"/>
          <w:szCs w:val="16"/>
        </w:rPr>
      </w:pPr>
    </w:p>
    <w:p w:rsidR="001B7057" w:rsidRDefault="001B7057" w:rsidP="001B7057">
      <w:pPr>
        <w:suppressAutoHyphens/>
        <w:rPr>
          <w:rFonts w:ascii="Book Antiqua" w:hAnsi="Book Antiqua"/>
          <w:sz w:val="22"/>
        </w:rPr>
      </w:pPr>
      <w:r>
        <w:rPr>
          <w:rFonts w:ascii="Book Antiqua" w:hAnsi="Book Antiqua"/>
          <w:sz w:val="22"/>
        </w:rPr>
        <w:t>The amendments</w:t>
      </w:r>
      <w:r w:rsidRPr="001B7057">
        <w:rPr>
          <w:rFonts w:ascii="Book Antiqua" w:hAnsi="Book Antiqua"/>
          <w:sz w:val="22"/>
        </w:rPr>
        <w:t xml:space="preserve"> to 130 CMR 520</w:t>
      </w:r>
      <w:r>
        <w:rPr>
          <w:rFonts w:ascii="Book Antiqua" w:hAnsi="Book Antiqua"/>
          <w:sz w:val="22"/>
        </w:rPr>
        <w:t xml:space="preserve">.000 </w:t>
      </w:r>
      <w:r w:rsidRPr="001B7057">
        <w:rPr>
          <w:rFonts w:ascii="Book Antiqua" w:hAnsi="Book Antiqua"/>
          <w:sz w:val="22"/>
        </w:rPr>
        <w:t>allow self-declaration of income and assets for</w:t>
      </w:r>
      <w:r>
        <w:rPr>
          <w:rFonts w:ascii="Book Antiqua" w:hAnsi="Book Antiqua"/>
          <w:sz w:val="22"/>
        </w:rPr>
        <w:t xml:space="preserve"> </w:t>
      </w:r>
      <w:r w:rsidR="00893B18">
        <w:rPr>
          <w:rFonts w:ascii="Book Antiqua" w:hAnsi="Book Antiqua"/>
          <w:sz w:val="22"/>
        </w:rPr>
        <w:t xml:space="preserve">applicants of </w:t>
      </w:r>
      <w:r>
        <w:rPr>
          <w:rFonts w:ascii="Book Antiqua" w:hAnsi="Book Antiqua"/>
          <w:sz w:val="22"/>
        </w:rPr>
        <w:t>the Medicare Savings Programs</w:t>
      </w:r>
      <w:r w:rsidR="00FD0A77">
        <w:rPr>
          <w:rFonts w:ascii="Book Antiqua" w:hAnsi="Book Antiqua"/>
          <w:sz w:val="22"/>
        </w:rPr>
        <w:t xml:space="preserve"> (MSP)</w:t>
      </w:r>
      <w:r w:rsidR="00893B18">
        <w:rPr>
          <w:rFonts w:ascii="Book Antiqua" w:hAnsi="Book Antiqua"/>
          <w:sz w:val="22"/>
        </w:rPr>
        <w:t xml:space="preserve"> only</w:t>
      </w:r>
      <w:r>
        <w:rPr>
          <w:rFonts w:ascii="Book Antiqua" w:hAnsi="Book Antiqua"/>
          <w:sz w:val="22"/>
        </w:rPr>
        <w:t>,</w:t>
      </w:r>
      <w:r w:rsidRPr="001B7057">
        <w:rPr>
          <w:rFonts w:ascii="Book Antiqua" w:hAnsi="Book Antiqua"/>
          <w:sz w:val="22"/>
        </w:rPr>
        <w:t xml:space="preserve"> with language noting that MassHealth may subject the applicant to an electronic asset verification system search and reserves the right to request additional verification measures at its discretion. MassHealth will perform post-eligibility </w:t>
      </w:r>
      <w:r w:rsidR="005F79A2">
        <w:rPr>
          <w:rFonts w:ascii="Book Antiqua" w:hAnsi="Book Antiqua"/>
          <w:sz w:val="22"/>
        </w:rPr>
        <w:t xml:space="preserve">asset </w:t>
      </w:r>
      <w:r w:rsidRPr="001B7057">
        <w:rPr>
          <w:rFonts w:ascii="Book Antiqua" w:hAnsi="Book Antiqua"/>
          <w:sz w:val="22"/>
        </w:rPr>
        <w:t xml:space="preserve">verification activity for a sample of members, in addition to the existing electronic bank verification, as a monitoring step to ensure program integrity. </w:t>
      </w:r>
    </w:p>
    <w:p w:rsidR="001B7057" w:rsidRPr="00E323BC" w:rsidRDefault="001B7057" w:rsidP="001B7057">
      <w:pPr>
        <w:suppressAutoHyphens/>
        <w:rPr>
          <w:rFonts w:ascii="Book Antiqua" w:hAnsi="Book Antiqua"/>
          <w:sz w:val="16"/>
          <w:szCs w:val="16"/>
        </w:rPr>
      </w:pPr>
    </w:p>
    <w:p w:rsidR="00C02CED" w:rsidRDefault="00C02CED">
      <w:pPr>
        <w:suppressAutoHyphens/>
        <w:rPr>
          <w:rFonts w:ascii="Book Antiqua" w:hAnsi="Book Antiqua"/>
          <w:sz w:val="22"/>
        </w:rPr>
      </w:pPr>
      <w:r>
        <w:rPr>
          <w:rFonts w:ascii="Book Antiqua" w:hAnsi="Book Antiqua"/>
          <w:sz w:val="22"/>
        </w:rPr>
        <w:t>These</w:t>
      </w:r>
      <w:r w:rsidR="00A90674">
        <w:rPr>
          <w:rFonts w:ascii="Book Antiqua" w:hAnsi="Book Antiqua"/>
          <w:sz w:val="22"/>
        </w:rPr>
        <w:t xml:space="preserve"> regulations are effective January 1, 2020</w:t>
      </w:r>
      <w:r>
        <w:rPr>
          <w:rFonts w:ascii="Book Antiqua" w:hAnsi="Book Antiqua"/>
          <w:sz w:val="22"/>
        </w:rPr>
        <w:t>.</w:t>
      </w:r>
    </w:p>
    <w:p w:rsidR="001B7057" w:rsidRPr="00E323BC" w:rsidRDefault="001B7057">
      <w:pPr>
        <w:suppressAutoHyphens/>
        <w:rPr>
          <w:rFonts w:ascii="Book Antiqua" w:hAnsi="Book Antiqua"/>
          <w:sz w:val="16"/>
          <w:szCs w:val="16"/>
        </w:rPr>
      </w:pPr>
    </w:p>
    <w:p w:rsidR="00C02CED" w:rsidRDefault="00C02CED">
      <w:pPr>
        <w:tabs>
          <w:tab w:val="center" w:pos="4680"/>
        </w:tabs>
        <w:suppressAutoHyphens/>
        <w:rPr>
          <w:rFonts w:ascii="Book Antiqua" w:hAnsi="Book Antiqua"/>
          <w:sz w:val="22"/>
        </w:rPr>
      </w:pPr>
      <w:r>
        <w:rPr>
          <w:rFonts w:ascii="Book Antiqua" w:hAnsi="Book Antiqua"/>
          <w:b/>
          <w:sz w:val="22"/>
        </w:rPr>
        <w:tab/>
        <w:t>MANUAL UPKEEP</w:t>
      </w:r>
    </w:p>
    <w:p w:rsidR="00C02CED" w:rsidRDefault="00C02CED">
      <w:pPr>
        <w:tabs>
          <w:tab w:val="left" w:pos="3960"/>
          <w:tab w:val="left" w:pos="6480"/>
        </w:tabs>
        <w:suppressAutoHyphens/>
        <w:rPr>
          <w:rFonts w:ascii="Book Antiqua" w:hAnsi="Book Antiqua"/>
          <w:sz w:val="22"/>
        </w:rPr>
      </w:pPr>
    </w:p>
    <w:p w:rsidR="00C02CED" w:rsidRDefault="00C02CED">
      <w:pPr>
        <w:tabs>
          <w:tab w:val="left" w:pos="3960"/>
          <w:tab w:val="left" w:pos="6480"/>
        </w:tabs>
        <w:suppressAutoHyphens/>
        <w:rPr>
          <w:rFonts w:ascii="Book Antiqua" w:hAnsi="Book Antiqua"/>
          <w:sz w:val="22"/>
        </w:rPr>
      </w:pPr>
      <w:r>
        <w:rPr>
          <w:rFonts w:ascii="Book Antiqua" w:hAnsi="Book Antiqua"/>
          <w:b/>
          <w:sz w:val="22"/>
          <w:u w:val="single"/>
        </w:rPr>
        <w:t>Insert</w:t>
      </w:r>
      <w:r>
        <w:rPr>
          <w:rFonts w:ascii="Book Antiqua" w:hAnsi="Book Antiqua"/>
          <w:b/>
          <w:sz w:val="22"/>
        </w:rPr>
        <w:tab/>
      </w:r>
      <w:r>
        <w:rPr>
          <w:rFonts w:ascii="Book Antiqua" w:hAnsi="Book Antiqua"/>
          <w:b/>
          <w:sz w:val="22"/>
          <w:u w:val="single"/>
        </w:rPr>
        <w:t>Remove</w:t>
      </w:r>
      <w:r>
        <w:rPr>
          <w:rFonts w:ascii="Book Antiqua" w:hAnsi="Book Antiqua"/>
          <w:b/>
          <w:sz w:val="22"/>
        </w:rPr>
        <w:tab/>
      </w:r>
      <w:r>
        <w:rPr>
          <w:rFonts w:ascii="Book Antiqua" w:hAnsi="Book Antiqua"/>
          <w:b/>
          <w:sz w:val="22"/>
          <w:u w:val="single"/>
        </w:rPr>
        <w:t>Trans. By</w:t>
      </w:r>
    </w:p>
    <w:p w:rsidR="00C02CED" w:rsidRPr="00EB0EC4" w:rsidRDefault="00C02CED">
      <w:pPr>
        <w:tabs>
          <w:tab w:val="left" w:pos="3960"/>
          <w:tab w:val="left" w:pos="6480"/>
        </w:tabs>
        <w:suppressAutoHyphens/>
        <w:rPr>
          <w:rFonts w:ascii="Book Antiqua" w:hAnsi="Book Antiqua"/>
          <w:sz w:val="16"/>
          <w:szCs w:val="16"/>
        </w:rPr>
      </w:pPr>
    </w:p>
    <w:p w:rsidR="001921AE" w:rsidRDefault="001921AE" w:rsidP="0025207E">
      <w:pPr>
        <w:tabs>
          <w:tab w:val="left" w:pos="3960"/>
          <w:tab w:val="left" w:pos="6480"/>
        </w:tabs>
        <w:suppressAutoHyphens/>
        <w:rPr>
          <w:rFonts w:ascii="Book Antiqua" w:hAnsi="Book Antiqua"/>
          <w:sz w:val="22"/>
        </w:rPr>
      </w:pPr>
      <w:proofErr w:type="gramStart"/>
      <w:r>
        <w:rPr>
          <w:rFonts w:ascii="Book Antiqua" w:hAnsi="Book Antiqua"/>
          <w:sz w:val="22"/>
        </w:rPr>
        <w:t>519.000</w:t>
      </w:r>
      <w:r>
        <w:rPr>
          <w:rFonts w:ascii="Book Antiqua" w:hAnsi="Book Antiqua"/>
          <w:sz w:val="22"/>
        </w:rPr>
        <w:tab/>
        <w:t>519.000</w:t>
      </w:r>
      <w:r>
        <w:rPr>
          <w:rFonts w:ascii="Book Antiqua" w:hAnsi="Book Antiqua"/>
          <w:sz w:val="22"/>
        </w:rPr>
        <w:tab/>
        <w:t>E.L. 217</w:t>
      </w:r>
      <w:proofErr w:type="gramEnd"/>
    </w:p>
    <w:p w:rsidR="0025207E" w:rsidRDefault="0025207E" w:rsidP="0025207E">
      <w:pPr>
        <w:tabs>
          <w:tab w:val="left" w:pos="3960"/>
          <w:tab w:val="left" w:pos="6480"/>
        </w:tabs>
        <w:suppressAutoHyphens/>
        <w:rPr>
          <w:rFonts w:ascii="Book Antiqua" w:hAnsi="Book Antiqua"/>
          <w:sz w:val="22"/>
        </w:rPr>
      </w:pPr>
      <w:proofErr w:type="gramStart"/>
      <w:r>
        <w:rPr>
          <w:rFonts w:ascii="Book Antiqua" w:hAnsi="Book Antiqua"/>
          <w:sz w:val="22"/>
        </w:rPr>
        <w:t>519.010</w:t>
      </w:r>
      <w:r>
        <w:rPr>
          <w:rFonts w:ascii="Book Antiqua" w:hAnsi="Book Antiqua"/>
          <w:sz w:val="22"/>
        </w:rPr>
        <w:tab/>
        <w:t>519.010</w:t>
      </w:r>
      <w:r>
        <w:rPr>
          <w:rFonts w:ascii="Book Antiqua" w:hAnsi="Book Antiqua"/>
          <w:sz w:val="22"/>
        </w:rPr>
        <w:tab/>
        <w:t>E.L. 217</w:t>
      </w:r>
      <w:proofErr w:type="gramEnd"/>
    </w:p>
    <w:p w:rsidR="0025207E" w:rsidRDefault="0025207E" w:rsidP="0025207E">
      <w:pPr>
        <w:tabs>
          <w:tab w:val="left" w:pos="3960"/>
          <w:tab w:val="left" w:pos="6480"/>
        </w:tabs>
        <w:suppressAutoHyphens/>
        <w:rPr>
          <w:rFonts w:ascii="Book Antiqua" w:hAnsi="Book Antiqua"/>
          <w:sz w:val="22"/>
        </w:rPr>
      </w:pPr>
      <w:proofErr w:type="gramStart"/>
      <w:r>
        <w:rPr>
          <w:rFonts w:ascii="Book Antiqua" w:hAnsi="Book Antiqua"/>
          <w:sz w:val="22"/>
        </w:rPr>
        <w:t>519.011</w:t>
      </w:r>
      <w:r>
        <w:rPr>
          <w:rFonts w:ascii="Book Antiqua" w:hAnsi="Book Antiqua"/>
          <w:sz w:val="22"/>
        </w:rPr>
        <w:tab/>
        <w:t>519.011</w:t>
      </w:r>
      <w:r>
        <w:rPr>
          <w:rFonts w:ascii="Book Antiqua" w:hAnsi="Book Antiqua"/>
          <w:sz w:val="22"/>
        </w:rPr>
        <w:tab/>
        <w:t>E.L. 217</w:t>
      </w:r>
      <w:proofErr w:type="gramEnd"/>
    </w:p>
    <w:p w:rsidR="0025207E" w:rsidRPr="00EB0EC4" w:rsidRDefault="0025207E">
      <w:pPr>
        <w:tabs>
          <w:tab w:val="left" w:pos="3960"/>
          <w:tab w:val="left" w:pos="6480"/>
        </w:tabs>
        <w:suppressAutoHyphens/>
        <w:rPr>
          <w:rFonts w:ascii="Book Antiqua" w:hAnsi="Book Antiqua"/>
          <w:sz w:val="16"/>
          <w:szCs w:val="16"/>
        </w:rPr>
      </w:pPr>
    </w:p>
    <w:p w:rsidR="00AA6BD6" w:rsidRDefault="001B7057">
      <w:pPr>
        <w:tabs>
          <w:tab w:val="left" w:pos="3960"/>
          <w:tab w:val="left" w:pos="6480"/>
        </w:tabs>
        <w:suppressAutoHyphens/>
        <w:rPr>
          <w:rFonts w:ascii="Book Antiqua" w:hAnsi="Book Antiqua"/>
          <w:sz w:val="22"/>
        </w:rPr>
      </w:pPr>
      <w:proofErr w:type="gramStart"/>
      <w:r>
        <w:rPr>
          <w:rFonts w:ascii="Book Antiqua" w:hAnsi="Book Antiqua"/>
          <w:sz w:val="22"/>
        </w:rPr>
        <w:t>520.003</w:t>
      </w:r>
      <w:r>
        <w:rPr>
          <w:rFonts w:ascii="Book Antiqua" w:hAnsi="Book Antiqua"/>
          <w:sz w:val="22"/>
        </w:rPr>
        <w:tab/>
        <w:t>520.003</w:t>
      </w:r>
      <w:r>
        <w:rPr>
          <w:rFonts w:ascii="Book Antiqua" w:hAnsi="Book Antiqua"/>
          <w:sz w:val="22"/>
        </w:rPr>
        <w:tab/>
        <w:t>E.L. 213</w:t>
      </w:r>
      <w:proofErr w:type="gramEnd"/>
    </w:p>
    <w:p w:rsidR="00AA6BD6" w:rsidRDefault="001B7057">
      <w:pPr>
        <w:tabs>
          <w:tab w:val="left" w:pos="3960"/>
          <w:tab w:val="left" w:pos="6480"/>
        </w:tabs>
        <w:suppressAutoHyphens/>
        <w:rPr>
          <w:rFonts w:ascii="Book Antiqua" w:hAnsi="Book Antiqua"/>
          <w:sz w:val="22"/>
        </w:rPr>
      </w:pPr>
      <w:r>
        <w:rPr>
          <w:rFonts w:ascii="Book Antiqua" w:hAnsi="Book Antiqua"/>
          <w:sz w:val="22"/>
        </w:rPr>
        <w:t>520.005</w:t>
      </w:r>
      <w:r w:rsidR="00E323BC">
        <w:rPr>
          <w:rFonts w:ascii="Book Antiqua" w:hAnsi="Book Antiqua"/>
          <w:sz w:val="22"/>
        </w:rPr>
        <w:t xml:space="preserve"> (2 of</w:t>
      </w:r>
      <w:r w:rsidR="00925CFB">
        <w:rPr>
          <w:rFonts w:ascii="Book Antiqua" w:hAnsi="Book Antiqua"/>
          <w:sz w:val="22"/>
        </w:rPr>
        <w:t xml:space="preserve"> 2</w:t>
      </w:r>
      <w:r w:rsidR="00E323BC">
        <w:rPr>
          <w:rFonts w:ascii="Book Antiqua" w:hAnsi="Book Antiqua"/>
          <w:sz w:val="22"/>
        </w:rPr>
        <w:t>)</w:t>
      </w:r>
      <w:r>
        <w:rPr>
          <w:rFonts w:ascii="Book Antiqua" w:hAnsi="Book Antiqua"/>
          <w:sz w:val="22"/>
        </w:rPr>
        <w:tab/>
        <w:t>520.005</w:t>
      </w:r>
      <w:r w:rsidR="00925CFB">
        <w:rPr>
          <w:rFonts w:ascii="Book Antiqua" w:hAnsi="Book Antiqua"/>
          <w:sz w:val="22"/>
        </w:rPr>
        <w:t xml:space="preserve"> (2 of 2)</w:t>
      </w:r>
      <w:r>
        <w:rPr>
          <w:rFonts w:ascii="Book Antiqua" w:hAnsi="Book Antiqua"/>
          <w:sz w:val="22"/>
        </w:rPr>
        <w:tab/>
        <w:t>E.L. 213</w:t>
      </w:r>
    </w:p>
    <w:p w:rsidR="001B7057" w:rsidRDefault="001B7057">
      <w:pPr>
        <w:tabs>
          <w:tab w:val="left" w:pos="3960"/>
          <w:tab w:val="left" w:pos="6480"/>
        </w:tabs>
        <w:suppressAutoHyphens/>
        <w:rPr>
          <w:rFonts w:ascii="Book Antiqua" w:hAnsi="Book Antiqua"/>
          <w:sz w:val="22"/>
        </w:rPr>
      </w:pPr>
      <w:r>
        <w:rPr>
          <w:rFonts w:ascii="Book Antiqua" w:hAnsi="Book Antiqua"/>
          <w:sz w:val="22"/>
        </w:rPr>
        <w:t>520.007</w:t>
      </w:r>
      <w:r w:rsidR="00E323BC">
        <w:rPr>
          <w:rFonts w:ascii="Book Antiqua" w:hAnsi="Book Antiqua"/>
          <w:sz w:val="22"/>
        </w:rPr>
        <w:t xml:space="preserve"> (1 of</w:t>
      </w:r>
      <w:r w:rsidR="00925CFB">
        <w:rPr>
          <w:rFonts w:ascii="Book Antiqua" w:hAnsi="Book Antiqua"/>
          <w:sz w:val="22"/>
        </w:rPr>
        <w:t xml:space="preserve"> 9)</w:t>
      </w:r>
      <w:r>
        <w:rPr>
          <w:rFonts w:ascii="Book Antiqua" w:hAnsi="Book Antiqua"/>
          <w:sz w:val="22"/>
        </w:rPr>
        <w:tab/>
        <w:t>520.007</w:t>
      </w:r>
      <w:r w:rsidR="00925CFB">
        <w:rPr>
          <w:rFonts w:ascii="Book Antiqua" w:hAnsi="Book Antiqua"/>
          <w:sz w:val="22"/>
        </w:rPr>
        <w:t xml:space="preserve"> (1 of 9)</w:t>
      </w:r>
      <w:r>
        <w:rPr>
          <w:rFonts w:ascii="Book Antiqua" w:hAnsi="Book Antiqua"/>
          <w:sz w:val="22"/>
        </w:rPr>
        <w:tab/>
        <w:t>E.L. 213</w:t>
      </w:r>
    </w:p>
    <w:p w:rsidR="001B7057" w:rsidRDefault="001B7057">
      <w:pPr>
        <w:tabs>
          <w:tab w:val="left" w:pos="3960"/>
          <w:tab w:val="left" w:pos="6480"/>
        </w:tabs>
        <w:suppressAutoHyphens/>
        <w:rPr>
          <w:rFonts w:ascii="Book Antiqua" w:hAnsi="Book Antiqua"/>
          <w:sz w:val="22"/>
        </w:rPr>
      </w:pPr>
      <w:r>
        <w:rPr>
          <w:rFonts w:ascii="Book Antiqua" w:hAnsi="Book Antiqua"/>
          <w:sz w:val="22"/>
        </w:rPr>
        <w:t>520.009</w:t>
      </w:r>
      <w:r w:rsidR="00E323BC">
        <w:rPr>
          <w:rFonts w:ascii="Book Antiqua" w:hAnsi="Book Antiqua"/>
          <w:sz w:val="22"/>
        </w:rPr>
        <w:t xml:space="preserve"> (3 of</w:t>
      </w:r>
      <w:r w:rsidR="00925CFB">
        <w:rPr>
          <w:rFonts w:ascii="Book Antiqua" w:hAnsi="Book Antiqua"/>
          <w:sz w:val="22"/>
        </w:rPr>
        <w:t xml:space="preserve"> 3</w:t>
      </w:r>
      <w:r w:rsidR="00E323BC">
        <w:rPr>
          <w:rFonts w:ascii="Book Antiqua" w:hAnsi="Book Antiqua"/>
          <w:sz w:val="22"/>
        </w:rPr>
        <w:t>)</w:t>
      </w:r>
      <w:r>
        <w:rPr>
          <w:rFonts w:ascii="Book Antiqua" w:hAnsi="Book Antiqua"/>
          <w:sz w:val="22"/>
        </w:rPr>
        <w:tab/>
        <w:t>520.009</w:t>
      </w:r>
      <w:r w:rsidR="00925CFB">
        <w:rPr>
          <w:rFonts w:ascii="Book Antiqua" w:hAnsi="Book Antiqua"/>
          <w:sz w:val="22"/>
        </w:rPr>
        <w:t xml:space="preserve"> (3 of 3)</w:t>
      </w:r>
      <w:r>
        <w:rPr>
          <w:rFonts w:ascii="Book Antiqua" w:hAnsi="Book Antiqua"/>
          <w:sz w:val="22"/>
        </w:rPr>
        <w:tab/>
        <w:t>E.L. 213</w:t>
      </w:r>
    </w:p>
    <w:p w:rsidR="000D19CD" w:rsidRDefault="00E323BC">
      <w:pPr>
        <w:tabs>
          <w:tab w:val="left" w:pos="3960"/>
          <w:tab w:val="left" w:pos="6480"/>
        </w:tabs>
        <w:suppressAutoHyphens/>
        <w:rPr>
          <w:rFonts w:ascii="Book Antiqua" w:hAnsi="Book Antiqua"/>
          <w:sz w:val="22"/>
        </w:rPr>
        <w:sectPr w:rsidR="000D19CD">
          <w:headerReference w:type="default" r:id="rId13"/>
          <w:type w:val="continuous"/>
          <w:pgSz w:w="12240" w:h="15840" w:code="1"/>
          <w:pgMar w:top="1440" w:right="1440" w:bottom="1440" w:left="1440" w:header="720" w:footer="720" w:gutter="0"/>
          <w:cols w:space="720"/>
        </w:sectPr>
      </w:pPr>
      <w:proofErr w:type="gramStart"/>
      <w:r>
        <w:rPr>
          <w:rFonts w:ascii="Book Antiqua" w:hAnsi="Book Antiqua"/>
          <w:sz w:val="22"/>
        </w:rPr>
        <w:t>520.010</w:t>
      </w:r>
      <w:r>
        <w:rPr>
          <w:rFonts w:ascii="Book Antiqua" w:hAnsi="Book Antiqua"/>
          <w:sz w:val="22"/>
        </w:rPr>
        <w:tab/>
        <w:t>520.010</w:t>
      </w:r>
      <w:r>
        <w:rPr>
          <w:rFonts w:ascii="Book Antiqua" w:hAnsi="Book Antiqua"/>
          <w:sz w:val="22"/>
        </w:rPr>
        <w:tab/>
        <w:t>E.L. 213</w:t>
      </w:r>
      <w:proofErr w:type="gramEnd"/>
    </w:p>
    <w:p w:rsidR="000D19CD" w:rsidRPr="003B32CA" w:rsidRDefault="000D19CD" w:rsidP="00DE5243">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0D19CD" w:rsidRPr="003B32CA" w:rsidRDefault="000D19CD" w:rsidP="00DE5243">
      <w:pPr>
        <w:rPr>
          <w:rFonts w:ascii="Helvetica" w:hAnsi="Helvetica"/>
          <w:b/>
          <w:sz w:val="22"/>
          <w:szCs w:val="22"/>
        </w:rPr>
      </w:pPr>
      <w:r>
        <w:rPr>
          <w:noProof/>
        </w:rPr>
        <mc:AlternateContent>
          <mc:Choice Requires="wps">
            <w:drawing>
              <wp:anchor distT="4294967293" distB="4294967293" distL="114300" distR="114300" simplePos="0" relativeHeight="251661824"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21.7pt;margin-top:6.25pt;width:492pt;height:0;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A5y+9lJgIAAEoEAAAOAAAAAAAAAAAAAAAAAC4CAABkcnMvZTJvRG9j&#10;LnhtbFBLAQItABQABgAIAAAAIQDSjDlP3QAAAAkBAAAPAAAAAAAAAAAAAAAAAIAEAABkcnMvZG93&#10;bnJldi54bWxQSwUGAAAAAAQABADzAAAAigUAAAAA&#10;"/>
            </w:pict>
          </mc:Fallback>
        </mc:AlternateContent>
      </w:r>
    </w:p>
    <w:p w:rsidR="000D19CD" w:rsidRPr="003B32CA" w:rsidRDefault="000D19CD" w:rsidP="00DE5243">
      <w:pPr>
        <w:rPr>
          <w:rFonts w:ascii="Helvetica" w:hAnsi="Helvetica"/>
          <w:b/>
          <w:sz w:val="22"/>
          <w:szCs w:val="22"/>
        </w:rPr>
      </w:pPr>
      <w:r>
        <w:rPr>
          <w:rFonts w:ascii="Helvetica" w:hAnsi="Helvetica"/>
          <w:b/>
          <w:sz w:val="22"/>
          <w:szCs w:val="22"/>
        </w:rPr>
        <w:t>Trans. by E.L. 236</w:t>
      </w:r>
    </w:p>
    <w:p w:rsidR="000D19CD" w:rsidRPr="003B32CA" w:rsidRDefault="000D19CD" w:rsidP="00DE5243">
      <w:pPr>
        <w:rPr>
          <w:rFonts w:ascii="Helvetica" w:hAnsi="Helvetica"/>
          <w:b/>
          <w:sz w:val="22"/>
          <w:szCs w:val="22"/>
        </w:rPr>
      </w:pPr>
      <w:r w:rsidRPr="003B32CA">
        <w:rPr>
          <w:rFonts w:ascii="Helvetica" w:hAnsi="Helvetica"/>
          <w:b/>
          <w:sz w:val="22"/>
          <w:szCs w:val="22"/>
        </w:rPr>
        <w:t xml:space="preserve">Rev. </w:t>
      </w:r>
      <w:r w:rsidR="00DC275A">
        <w:rPr>
          <w:rFonts w:ascii="Helvetica" w:hAnsi="Helvetica"/>
          <w:b/>
          <w:sz w:val="22"/>
          <w:szCs w:val="22"/>
        </w:rPr>
        <w:t>01/01/20</w:t>
      </w:r>
    </w:p>
    <w:p w:rsidR="000D19CD" w:rsidRDefault="000D19CD" w:rsidP="00DE5243">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rsidR="000D19CD" w:rsidRDefault="000D19CD" w:rsidP="00DE5243">
      <w:pPr>
        <w:jc w:val="center"/>
        <w:rPr>
          <w:rFonts w:ascii="Helvetica" w:hAnsi="Helvetica"/>
          <w:b/>
          <w:sz w:val="22"/>
        </w:rPr>
      </w:pPr>
      <w:r>
        <w:rPr>
          <w:rFonts w:ascii="Helvetica" w:hAnsi="Helvetica"/>
          <w:b/>
          <w:sz w:val="22"/>
        </w:rPr>
        <w:t>COVERAGE TYPES</w:t>
      </w:r>
    </w:p>
    <w:p w:rsidR="000D19CD" w:rsidRPr="003B32CA" w:rsidRDefault="000D19CD" w:rsidP="00DE5243">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519</w:t>
      </w:r>
    </w:p>
    <w:p w:rsidR="000D19CD" w:rsidRPr="003B32CA" w:rsidRDefault="000D19CD" w:rsidP="00DE5243">
      <w:pPr>
        <w:rPr>
          <w:rFonts w:ascii="Helvetica" w:hAnsi="Helvetica"/>
          <w:b/>
          <w:sz w:val="22"/>
          <w:szCs w:val="22"/>
        </w:rPr>
      </w:pPr>
      <w:r>
        <w:rPr>
          <w:rFonts w:ascii="Helvetica" w:hAnsi="Helvetica"/>
          <w:b/>
          <w:sz w:val="22"/>
          <w:szCs w:val="22"/>
        </w:rPr>
        <w:t>Page 519.000</w:t>
      </w:r>
    </w:p>
    <w:p w:rsidR="000D19CD" w:rsidRPr="00162A3C" w:rsidRDefault="000D19CD" w:rsidP="00DE5243">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62848"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21.4pt;margin-top:9.95pt;width:492pt;height:0;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kzJA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"/>
            </w:pict>
          </mc:Fallback>
        </mc:AlternateContent>
      </w:r>
    </w:p>
    <w:p w:rsidR="000D19CD" w:rsidRPr="0049392F" w:rsidRDefault="000D19CD" w:rsidP="00DE5243">
      <w:pPr>
        <w:rPr>
          <w:sz w:val="22"/>
          <w:szCs w:val="22"/>
        </w:rPr>
      </w:pPr>
    </w:p>
    <w:p w:rsidR="000D19CD" w:rsidRDefault="000D19CD" w:rsidP="00DE5243">
      <w:pPr>
        <w:widowControl w:val="0"/>
        <w:tabs>
          <w:tab w:val="center" w:pos="4798"/>
        </w:tabs>
        <w:rPr>
          <w:sz w:val="22"/>
        </w:rPr>
      </w:pPr>
      <w:r>
        <w:rPr>
          <w:sz w:val="22"/>
        </w:rPr>
        <w:tab/>
      </w:r>
      <w:r>
        <w:rPr>
          <w:b/>
          <w:sz w:val="22"/>
          <w:u w:val="single"/>
        </w:rPr>
        <w:t>TABLE OF CONTENTS</w:t>
      </w:r>
    </w:p>
    <w:p w:rsidR="000D19CD" w:rsidRDefault="000D19CD" w:rsidP="00DE5243">
      <w:pPr>
        <w:widowControl w:val="0"/>
        <w:tabs>
          <w:tab w:val="left" w:pos="936"/>
          <w:tab w:val="left" w:pos="1314"/>
          <w:tab w:val="left" w:pos="1692"/>
          <w:tab w:val="left" w:pos="2070"/>
        </w:tabs>
        <w:rPr>
          <w:sz w:val="22"/>
        </w:rPr>
      </w:pPr>
    </w:p>
    <w:p w:rsidR="000D19CD" w:rsidRDefault="000D19CD" w:rsidP="00DE5243">
      <w:pPr>
        <w:widowControl w:val="0"/>
        <w:tabs>
          <w:tab w:val="left" w:pos="936"/>
          <w:tab w:val="left" w:pos="1314"/>
          <w:tab w:val="left" w:pos="1692"/>
          <w:tab w:val="left" w:pos="2070"/>
        </w:tabs>
        <w:rPr>
          <w:sz w:val="22"/>
        </w:rPr>
      </w:pPr>
      <w:r>
        <w:rPr>
          <w:sz w:val="22"/>
        </w:rPr>
        <w:t>Section</w:t>
      </w:r>
    </w:p>
    <w:p w:rsidR="000D19CD" w:rsidRDefault="000D19CD" w:rsidP="00DE5243">
      <w:pPr>
        <w:widowControl w:val="0"/>
        <w:tabs>
          <w:tab w:val="left" w:pos="936"/>
          <w:tab w:val="left" w:pos="1314"/>
          <w:tab w:val="left" w:pos="1692"/>
          <w:tab w:val="left" w:pos="2070"/>
        </w:tabs>
        <w:rPr>
          <w:sz w:val="22"/>
        </w:rPr>
      </w:pPr>
    </w:p>
    <w:p w:rsidR="000D19CD" w:rsidRDefault="000D19CD" w:rsidP="00DE5243">
      <w:pPr>
        <w:widowControl w:val="0"/>
        <w:tabs>
          <w:tab w:val="left" w:pos="936"/>
          <w:tab w:val="left" w:pos="1314"/>
          <w:tab w:val="left" w:pos="1692"/>
          <w:tab w:val="left" w:pos="2070"/>
        </w:tabs>
        <w:rPr>
          <w:sz w:val="22"/>
        </w:rPr>
      </w:pPr>
      <w:r>
        <w:rPr>
          <w:sz w:val="22"/>
        </w:rPr>
        <w:t>519.001:</w:t>
      </w:r>
      <w:r>
        <w:rPr>
          <w:sz w:val="22"/>
        </w:rPr>
        <w:tab/>
        <w:t>Introduction</w:t>
      </w:r>
    </w:p>
    <w:p w:rsidR="000D19CD" w:rsidRDefault="000D19CD" w:rsidP="00DE5243">
      <w:pPr>
        <w:widowControl w:val="0"/>
        <w:tabs>
          <w:tab w:val="left" w:pos="936"/>
          <w:tab w:val="left" w:pos="1314"/>
          <w:tab w:val="left" w:pos="1692"/>
          <w:tab w:val="left" w:pos="2070"/>
        </w:tabs>
        <w:rPr>
          <w:sz w:val="22"/>
        </w:rPr>
      </w:pPr>
      <w:r>
        <w:rPr>
          <w:sz w:val="22"/>
        </w:rPr>
        <w:t>519.002:</w:t>
      </w:r>
      <w:r>
        <w:rPr>
          <w:sz w:val="22"/>
        </w:rPr>
        <w:tab/>
        <w:t>MassHealth Standard</w:t>
      </w:r>
    </w:p>
    <w:p w:rsidR="000D19CD" w:rsidRDefault="000D19CD" w:rsidP="00DE5243">
      <w:pPr>
        <w:widowControl w:val="0"/>
        <w:tabs>
          <w:tab w:val="left" w:pos="936"/>
          <w:tab w:val="left" w:pos="1314"/>
          <w:tab w:val="left" w:pos="1692"/>
          <w:tab w:val="left" w:pos="2070"/>
        </w:tabs>
        <w:rPr>
          <w:sz w:val="22"/>
        </w:rPr>
      </w:pPr>
      <w:r>
        <w:rPr>
          <w:sz w:val="22"/>
        </w:rPr>
        <w:t>519.003:</w:t>
      </w:r>
      <w:r>
        <w:rPr>
          <w:sz w:val="22"/>
        </w:rPr>
        <w:tab/>
        <w:t>Pickle Amendment Cases</w:t>
      </w:r>
    </w:p>
    <w:p w:rsidR="000D19CD" w:rsidRDefault="000D19CD" w:rsidP="00DE5243">
      <w:pPr>
        <w:widowControl w:val="0"/>
        <w:tabs>
          <w:tab w:val="left" w:pos="936"/>
          <w:tab w:val="left" w:pos="1314"/>
          <w:tab w:val="left" w:pos="1692"/>
          <w:tab w:val="left" w:pos="2070"/>
        </w:tabs>
        <w:rPr>
          <w:sz w:val="22"/>
        </w:rPr>
      </w:pPr>
      <w:r>
        <w:rPr>
          <w:sz w:val="22"/>
        </w:rPr>
        <w:t>519.004:</w:t>
      </w:r>
      <w:r>
        <w:rPr>
          <w:sz w:val="22"/>
        </w:rPr>
        <w:tab/>
        <w:t>Disabled Adult Children</w:t>
      </w:r>
    </w:p>
    <w:p w:rsidR="000D19CD" w:rsidRDefault="000D19CD" w:rsidP="00DE5243">
      <w:pPr>
        <w:widowControl w:val="0"/>
        <w:tabs>
          <w:tab w:val="left" w:pos="936"/>
          <w:tab w:val="left" w:pos="1314"/>
          <w:tab w:val="left" w:pos="1692"/>
          <w:tab w:val="left" w:pos="2070"/>
        </w:tabs>
        <w:rPr>
          <w:sz w:val="22"/>
        </w:rPr>
      </w:pPr>
      <w:r>
        <w:rPr>
          <w:sz w:val="22"/>
        </w:rPr>
        <w:t>519.005:</w:t>
      </w:r>
      <w:r>
        <w:rPr>
          <w:sz w:val="22"/>
        </w:rPr>
        <w:tab/>
        <w:t>Community Residents 65 Years of Age and Older</w:t>
      </w:r>
    </w:p>
    <w:p w:rsidR="000D19CD" w:rsidRDefault="000D19CD" w:rsidP="00DE5243">
      <w:pPr>
        <w:widowControl w:val="0"/>
        <w:tabs>
          <w:tab w:val="left" w:pos="936"/>
          <w:tab w:val="left" w:pos="1314"/>
          <w:tab w:val="left" w:pos="1692"/>
          <w:tab w:val="left" w:pos="2070"/>
        </w:tabs>
        <w:rPr>
          <w:sz w:val="22"/>
        </w:rPr>
      </w:pPr>
      <w:r>
        <w:rPr>
          <w:sz w:val="22"/>
        </w:rPr>
        <w:t>519.006:</w:t>
      </w:r>
      <w:r>
        <w:rPr>
          <w:sz w:val="22"/>
        </w:rPr>
        <w:tab/>
        <w:t>Long-term-care Residents</w:t>
      </w:r>
    </w:p>
    <w:p w:rsidR="000D19CD" w:rsidRDefault="000D19CD" w:rsidP="00DE5243">
      <w:pPr>
        <w:widowControl w:val="0"/>
        <w:tabs>
          <w:tab w:val="left" w:pos="936"/>
          <w:tab w:val="left" w:pos="1314"/>
          <w:tab w:val="left" w:pos="1692"/>
          <w:tab w:val="left" w:pos="2070"/>
        </w:tabs>
        <w:rPr>
          <w:sz w:val="22"/>
        </w:rPr>
      </w:pPr>
      <w:r>
        <w:rPr>
          <w:sz w:val="22"/>
        </w:rPr>
        <w:t>519.007:</w:t>
      </w:r>
      <w:r>
        <w:rPr>
          <w:sz w:val="22"/>
        </w:rPr>
        <w:tab/>
        <w:t>Individuals Who Would Be Institutionalized</w:t>
      </w:r>
    </w:p>
    <w:p w:rsidR="000D19CD" w:rsidRDefault="000D19CD" w:rsidP="00DE5243">
      <w:pPr>
        <w:widowControl w:val="0"/>
        <w:tabs>
          <w:tab w:val="left" w:pos="936"/>
          <w:tab w:val="left" w:pos="1314"/>
          <w:tab w:val="left" w:pos="1692"/>
          <w:tab w:val="left" w:pos="2070"/>
        </w:tabs>
        <w:rPr>
          <w:sz w:val="22"/>
        </w:rPr>
      </w:pPr>
      <w:r>
        <w:rPr>
          <w:sz w:val="22"/>
        </w:rPr>
        <w:t>(130 CMR 519.008 Reserved)</w:t>
      </w:r>
    </w:p>
    <w:p w:rsidR="000D19CD" w:rsidRDefault="000D19CD" w:rsidP="00DE5243">
      <w:pPr>
        <w:widowControl w:val="0"/>
        <w:tabs>
          <w:tab w:val="left" w:pos="936"/>
          <w:tab w:val="left" w:pos="1314"/>
          <w:tab w:val="left" w:pos="1692"/>
          <w:tab w:val="left" w:pos="2070"/>
        </w:tabs>
        <w:rPr>
          <w:sz w:val="22"/>
        </w:rPr>
      </w:pPr>
      <w:r>
        <w:rPr>
          <w:sz w:val="22"/>
        </w:rPr>
        <w:t>519.009:</w:t>
      </w:r>
      <w:r>
        <w:rPr>
          <w:sz w:val="22"/>
        </w:rPr>
        <w:tab/>
        <w:t>MassHealth Limited</w:t>
      </w:r>
    </w:p>
    <w:p w:rsidR="000D19CD" w:rsidRDefault="000D19CD" w:rsidP="00DE5243">
      <w:pPr>
        <w:widowControl w:val="0"/>
        <w:tabs>
          <w:tab w:val="left" w:pos="936"/>
          <w:tab w:val="left" w:pos="1314"/>
          <w:tab w:val="left" w:pos="1692"/>
          <w:tab w:val="left" w:pos="2070"/>
        </w:tabs>
        <w:rPr>
          <w:sz w:val="22"/>
        </w:rPr>
      </w:pPr>
      <w:r>
        <w:rPr>
          <w:sz w:val="22"/>
        </w:rPr>
        <w:t>519.010:</w:t>
      </w:r>
      <w:r>
        <w:rPr>
          <w:sz w:val="22"/>
        </w:rPr>
        <w:tab/>
        <w:t xml:space="preserve">MassHealth Senior Buy-In </w:t>
      </w:r>
      <w:r w:rsidRPr="00806DCC">
        <w:rPr>
          <w:sz w:val="22"/>
        </w:rPr>
        <w:t>(for Qualified Medicare Beneficiaries (QMB))</w:t>
      </w:r>
    </w:p>
    <w:p w:rsidR="000D19CD" w:rsidRDefault="000D19CD" w:rsidP="00DE5243">
      <w:pPr>
        <w:widowControl w:val="0"/>
        <w:tabs>
          <w:tab w:val="left" w:pos="936"/>
          <w:tab w:val="left" w:pos="1314"/>
          <w:tab w:val="left" w:pos="1692"/>
          <w:tab w:val="left" w:pos="2070"/>
        </w:tabs>
        <w:rPr>
          <w:sz w:val="22"/>
        </w:rPr>
      </w:pPr>
      <w:r>
        <w:rPr>
          <w:sz w:val="22"/>
        </w:rPr>
        <w:t>519.011:</w:t>
      </w:r>
      <w:r>
        <w:rPr>
          <w:sz w:val="22"/>
        </w:rPr>
        <w:tab/>
        <w:t>MassHealth Buy-In</w:t>
      </w:r>
    </w:p>
    <w:p w:rsidR="000D19CD" w:rsidRDefault="000D19CD" w:rsidP="00DE5243">
      <w:pPr>
        <w:widowControl w:val="0"/>
        <w:tabs>
          <w:tab w:val="left" w:pos="936"/>
          <w:tab w:val="left" w:pos="1314"/>
          <w:tab w:val="left" w:pos="1692"/>
          <w:tab w:val="left" w:pos="2070"/>
        </w:tabs>
        <w:rPr>
          <w:sz w:val="22"/>
        </w:rPr>
      </w:pPr>
      <w:r>
        <w:rPr>
          <w:sz w:val="22"/>
        </w:rPr>
        <w:t>519.012:</w:t>
      </w:r>
      <w:r>
        <w:rPr>
          <w:sz w:val="22"/>
        </w:rPr>
        <w:tab/>
        <w:t>MassHealth CommonHealth</w:t>
      </w:r>
    </w:p>
    <w:p w:rsidR="000D19CD" w:rsidRDefault="000D19CD" w:rsidP="00DE5243">
      <w:pPr>
        <w:widowControl w:val="0"/>
        <w:tabs>
          <w:tab w:val="left" w:pos="936"/>
          <w:tab w:val="left" w:pos="1314"/>
          <w:tab w:val="left" w:pos="1692"/>
          <w:tab w:val="left" w:pos="2070"/>
        </w:tabs>
        <w:rPr>
          <w:sz w:val="22"/>
        </w:rPr>
      </w:pPr>
      <w:r>
        <w:rPr>
          <w:sz w:val="22"/>
        </w:rPr>
        <w:t>519.013:</w:t>
      </w:r>
      <w:r>
        <w:rPr>
          <w:sz w:val="22"/>
        </w:rPr>
        <w:tab/>
        <w:t>MassHealth Family Assistance</w:t>
      </w:r>
    </w:p>
    <w:p w:rsidR="000D19CD" w:rsidRDefault="000D19CD" w:rsidP="00DE5243">
      <w:pPr>
        <w:widowControl w:val="0"/>
        <w:tabs>
          <w:tab w:val="left" w:pos="936"/>
          <w:tab w:val="left" w:pos="1314"/>
          <w:tab w:val="left" w:pos="1692"/>
          <w:tab w:val="left" w:pos="2070"/>
        </w:tabs>
        <w:rPr>
          <w:sz w:val="22"/>
        </w:rPr>
      </w:pPr>
    </w:p>
    <w:p w:rsidR="000D19CD" w:rsidRDefault="000D19CD">
      <w:pPr>
        <w:spacing w:after="200" w:line="276" w:lineRule="auto"/>
        <w:rPr>
          <w:rFonts w:ascii="Helvetica" w:hAnsi="Helvetica"/>
          <w:b/>
          <w:sz w:val="22"/>
          <w:szCs w:val="22"/>
        </w:rPr>
      </w:pPr>
    </w:p>
    <w:p w:rsidR="000D19CD" w:rsidRDefault="000D19CD">
      <w:pPr>
        <w:spacing w:after="200" w:line="276" w:lineRule="auto"/>
        <w:rPr>
          <w:rFonts w:ascii="Helvetica" w:hAnsi="Helvetica"/>
          <w:b/>
          <w:sz w:val="22"/>
          <w:szCs w:val="22"/>
        </w:rPr>
      </w:pPr>
    </w:p>
    <w:p w:rsidR="000D19CD" w:rsidRDefault="000D19CD">
      <w:pPr>
        <w:spacing w:after="200" w:line="276" w:lineRule="auto"/>
        <w:rPr>
          <w:rFonts w:ascii="Helvetica" w:hAnsi="Helvetica"/>
          <w:b/>
          <w:sz w:val="22"/>
          <w:szCs w:val="22"/>
        </w:rPr>
      </w:pPr>
    </w:p>
    <w:p w:rsidR="000D19CD" w:rsidRDefault="000D19CD">
      <w:pPr>
        <w:spacing w:after="200" w:line="276" w:lineRule="auto"/>
        <w:rPr>
          <w:rFonts w:ascii="Helvetica" w:hAnsi="Helvetica"/>
          <w:b/>
          <w:sz w:val="22"/>
          <w:szCs w:val="22"/>
        </w:rPr>
      </w:pPr>
    </w:p>
    <w:p w:rsidR="000D19CD" w:rsidRDefault="000D19CD">
      <w:pPr>
        <w:spacing w:after="200" w:line="276" w:lineRule="auto"/>
        <w:rPr>
          <w:rFonts w:ascii="Helvetica" w:hAnsi="Helvetica"/>
          <w:b/>
          <w:sz w:val="22"/>
          <w:szCs w:val="22"/>
        </w:rPr>
      </w:pPr>
    </w:p>
    <w:p w:rsidR="000D19CD" w:rsidRDefault="000D19CD">
      <w:pPr>
        <w:spacing w:after="200" w:line="276" w:lineRule="auto"/>
        <w:rPr>
          <w:rFonts w:ascii="Helvetica" w:hAnsi="Helvetica"/>
          <w:b/>
          <w:sz w:val="22"/>
          <w:szCs w:val="22"/>
        </w:rPr>
      </w:pPr>
    </w:p>
    <w:p w:rsidR="000D19CD" w:rsidRDefault="000D19CD">
      <w:pPr>
        <w:spacing w:after="200" w:line="276" w:lineRule="auto"/>
        <w:rPr>
          <w:rFonts w:ascii="Helvetica" w:hAnsi="Helvetica"/>
          <w:b/>
          <w:sz w:val="22"/>
          <w:szCs w:val="22"/>
        </w:rPr>
      </w:pPr>
    </w:p>
    <w:p w:rsidR="000D19CD" w:rsidRDefault="000D19CD">
      <w:pPr>
        <w:spacing w:after="200" w:line="276" w:lineRule="auto"/>
        <w:rPr>
          <w:rFonts w:ascii="Helvetica" w:hAnsi="Helvetica"/>
          <w:b/>
          <w:sz w:val="22"/>
          <w:szCs w:val="22"/>
        </w:rPr>
      </w:pPr>
    </w:p>
    <w:p w:rsidR="000D19CD" w:rsidRDefault="000D19CD">
      <w:pPr>
        <w:spacing w:after="200" w:line="276" w:lineRule="auto"/>
        <w:rPr>
          <w:rFonts w:ascii="Helvetica" w:hAnsi="Helvetica"/>
          <w:b/>
          <w:sz w:val="22"/>
          <w:szCs w:val="22"/>
        </w:rPr>
      </w:pPr>
    </w:p>
    <w:p w:rsidR="000D19CD" w:rsidRDefault="000D19CD">
      <w:pPr>
        <w:spacing w:after="200" w:line="276" w:lineRule="auto"/>
        <w:rPr>
          <w:rFonts w:ascii="Helvetica" w:hAnsi="Helvetica"/>
          <w:b/>
          <w:sz w:val="22"/>
          <w:szCs w:val="22"/>
        </w:rPr>
      </w:pPr>
    </w:p>
    <w:p w:rsidR="000D19CD" w:rsidRDefault="000D19CD">
      <w:pPr>
        <w:spacing w:after="200" w:line="276" w:lineRule="auto"/>
        <w:rPr>
          <w:rFonts w:ascii="Helvetica" w:hAnsi="Helvetica"/>
          <w:b/>
          <w:sz w:val="22"/>
          <w:szCs w:val="22"/>
        </w:rPr>
      </w:pPr>
    </w:p>
    <w:p w:rsidR="000D19CD" w:rsidRDefault="000D19CD">
      <w:pPr>
        <w:spacing w:after="200" w:line="276" w:lineRule="auto"/>
        <w:rPr>
          <w:rFonts w:ascii="Helvetica" w:hAnsi="Helvetica"/>
          <w:b/>
          <w:sz w:val="22"/>
          <w:szCs w:val="22"/>
        </w:rPr>
      </w:pPr>
    </w:p>
    <w:p w:rsidR="000D19CD" w:rsidRDefault="000D19CD" w:rsidP="00551981">
      <w:pPr>
        <w:jc w:val="center"/>
        <w:rPr>
          <w:rFonts w:ascii="Helvetica" w:hAnsi="Helvetica"/>
          <w:b/>
          <w:sz w:val="22"/>
          <w:szCs w:val="22"/>
        </w:rPr>
      </w:pPr>
    </w:p>
    <w:p w:rsidR="004A7064" w:rsidRDefault="004A7064" w:rsidP="00551981">
      <w:pPr>
        <w:jc w:val="center"/>
        <w:rPr>
          <w:rFonts w:ascii="Helvetica" w:hAnsi="Helvetica"/>
          <w:b/>
          <w:sz w:val="22"/>
          <w:szCs w:val="22"/>
        </w:rPr>
      </w:pPr>
    </w:p>
    <w:p w:rsidR="000D19CD" w:rsidRDefault="000D19CD" w:rsidP="00551981">
      <w:pPr>
        <w:jc w:val="center"/>
        <w:rPr>
          <w:rFonts w:ascii="Helvetica" w:hAnsi="Helvetica"/>
          <w:b/>
          <w:sz w:val="22"/>
          <w:szCs w:val="22"/>
        </w:rPr>
      </w:pPr>
    </w:p>
    <w:p w:rsidR="000D19CD" w:rsidRPr="003B32CA" w:rsidRDefault="000D19CD" w:rsidP="00551981">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0D19CD" w:rsidRPr="003B32CA" w:rsidRDefault="000D19CD" w:rsidP="00551981">
      <w:pPr>
        <w:rPr>
          <w:rFonts w:ascii="Helvetica" w:hAnsi="Helvetica"/>
          <w:b/>
          <w:sz w:val="22"/>
          <w:szCs w:val="22"/>
        </w:rPr>
      </w:pPr>
      <w:r>
        <w:rPr>
          <w:noProof/>
        </w:rPr>
        <mc:AlternateContent>
          <mc:Choice Requires="wps">
            <w:drawing>
              <wp:anchor distT="4294967293" distB="4294967293" distL="114300" distR="114300" simplePos="0" relativeHeight="251663872"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1" o:spid="_x0000_s1026" type="#_x0000_t32" style="position:absolute;margin-left:-21.7pt;margin-top:6.25pt;width:492pt;height:0;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"/>
            </w:pict>
          </mc:Fallback>
        </mc:AlternateContent>
      </w:r>
    </w:p>
    <w:p w:rsidR="000D19CD" w:rsidRPr="003B32CA" w:rsidRDefault="004A7064" w:rsidP="00551981">
      <w:pPr>
        <w:rPr>
          <w:rFonts w:ascii="Helvetica" w:hAnsi="Helvetica"/>
          <w:b/>
          <w:sz w:val="22"/>
          <w:szCs w:val="22"/>
        </w:rPr>
      </w:pPr>
      <w:r>
        <w:rPr>
          <w:rFonts w:ascii="Helvetica" w:hAnsi="Helvetica"/>
          <w:b/>
          <w:sz w:val="22"/>
          <w:szCs w:val="22"/>
        </w:rPr>
        <w:t>Trans. by E.L. 236</w:t>
      </w:r>
    </w:p>
    <w:p w:rsidR="000D19CD" w:rsidRPr="003B32CA" w:rsidRDefault="000D19CD" w:rsidP="00551981">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01/01/20</w:t>
      </w:r>
    </w:p>
    <w:p w:rsidR="000D19CD" w:rsidRDefault="000D19CD" w:rsidP="00551981">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rsidR="000D19CD" w:rsidRDefault="000D19CD" w:rsidP="00551981">
      <w:pPr>
        <w:jc w:val="center"/>
        <w:rPr>
          <w:rFonts w:ascii="Helvetica" w:hAnsi="Helvetica"/>
          <w:b/>
          <w:sz w:val="22"/>
        </w:rPr>
      </w:pPr>
      <w:r>
        <w:rPr>
          <w:rFonts w:ascii="Helvetica" w:hAnsi="Helvetica"/>
          <w:b/>
          <w:sz w:val="22"/>
        </w:rPr>
        <w:t>COVERAGE TYPES</w:t>
      </w:r>
    </w:p>
    <w:p w:rsidR="000D19CD" w:rsidRPr="003B32CA" w:rsidRDefault="000D19CD" w:rsidP="00551981">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519</w:t>
      </w:r>
    </w:p>
    <w:p w:rsidR="000D19CD" w:rsidRPr="003B32CA" w:rsidRDefault="000D19CD" w:rsidP="00551981">
      <w:pPr>
        <w:rPr>
          <w:rFonts w:ascii="Helvetica" w:hAnsi="Helvetica"/>
          <w:b/>
          <w:sz w:val="22"/>
          <w:szCs w:val="22"/>
        </w:rPr>
      </w:pPr>
      <w:r>
        <w:rPr>
          <w:rFonts w:ascii="Helvetica" w:hAnsi="Helvetica"/>
          <w:b/>
          <w:sz w:val="22"/>
          <w:szCs w:val="22"/>
        </w:rPr>
        <w:t xml:space="preserve">Page 519.010 </w:t>
      </w:r>
    </w:p>
    <w:p w:rsidR="000D19CD" w:rsidRPr="00162A3C" w:rsidRDefault="000D19CD" w:rsidP="00551981">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64896"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2" o:spid="_x0000_s1026" type="#_x0000_t32" style="position:absolute;margin-left:-21.4pt;margin-top:9.95pt;width:492pt;height:0;z-index:251664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"/>
            </w:pict>
          </mc:Fallback>
        </mc:AlternateContent>
      </w:r>
    </w:p>
    <w:p w:rsidR="000D19CD" w:rsidRPr="0049392F" w:rsidRDefault="000D19CD" w:rsidP="00551981">
      <w:pPr>
        <w:rPr>
          <w:sz w:val="22"/>
          <w:szCs w:val="22"/>
        </w:rPr>
      </w:pPr>
    </w:p>
    <w:p w:rsidR="000D19CD" w:rsidRPr="009023F4" w:rsidRDefault="000D19CD" w:rsidP="00551981">
      <w:pPr>
        <w:widowControl w:val="0"/>
        <w:tabs>
          <w:tab w:val="left" w:pos="936"/>
          <w:tab w:val="left" w:pos="1314"/>
          <w:tab w:val="left" w:pos="1692"/>
          <w:tab w:val="left" w:pos="2070"/>
        </w:tabs>
        <w:rPr>
          <w:sz w:val="22"/>
        </w:rPr>
      </w:pPr>
      <w:r>
        <w:rPr>
          <w:sz w:val="22"/>
          <w:u w:val="single"/>
        </w:rPr>
        <w:t>519.010:</w:t>
      </w:r>
      <w:r>
        <w:rPr>
          <w:sz w:val="22"/>
          <w:u w:val="single"/>
        </w:rPr>
        <w:tab/>
        <w:t xml:space="preserve">MassHealth </w:t>
      </w:r>
      <w:r w:rsidRPr="009023F4">
        <w:rPr>
          <w:sz w:val="22"/>
          <w:u w:val="single"/>
        </w:rPr>
        <w:t>Senior Buy-In (for Qualified Medicare Beneficiaries (QMB))</w:t>
      </w:r>
    </w:p>
    <w:p w:rsidR="000D19CD" w:rsidRPr="009023F4" w:rsidRDefault="000D19CD" w:rsidP="00551981">
      <w:pPr>
        <w:widowControl w:val="0"/>
        <w:tabs>
          <w:tab w:val="left" w:pos="936"/>
          <w:tab w:val="left" w:pos="1314"/>
          <w:tab w:val="left" w:pos="1692"/>
          <w:tab w:val="left" w:pos="2070"/>
        </w:tabs>
        <w:rPr>
          <w:sz w:val="22"/>
        </w:rPr>
      </w:pPr>
    </w:p>
    <w:p w:rsidR="000D19CD" w:rsidRDefault="000D19CD" w:rsidP="00551981">
      <w:pPr>
        <w:widowControl w:val="0"/>
        <w:tabs>
          <w:tab w:val="left" w:pos="936"/>
          <w:tab w:val="left" w:pos="1314"/>
          <w:tab w:val="left" w:pos="1692"/>
          <w:tab w:val="left" w:pos="2070"/>
        </w:tabs>
        <w:ind w:left="936"/>
        <w:rPr>
          <w:sz w:val="22"/>
        </w:rPr>
      </w:pPr>
      <w:r w:rsidRPr="009023F4">
        <w:rPr>
          <w:sz w:val="22"/>
        </w:rPr>
        <w:t xml:space="preserve">(A)  </w:t>
      </w:r>
      <w:r w:rsidRPr="009023F4">
        <w:rPr>
          <w:sz w:val="22"/>
          <w:u w:val="single"/>
        </w:rPr>
        <w:t>Eligibility Requirements</w:t>
      </w:r>
      <w:r>
        <w:rPr>
          <w:sz w:val="22"/>
        </w:rPr>
        <w:t xml:space="preserve">. </w:t>
      </w:r>
      <w:r w:rsidRPr="004862B8">
        <w:rPr>
          <w:sz w:val="22"/>
        </w:rPr>
        <w:t>(</w:t>
      </w:r>
      <w:r w:rsidRPr="008928A3">
        <w:rPr>
          <w:sz w:val="22"/>
        </w:rPr>
        <w:t xml:space="preserve">Qualified </w:t>
      </w:r>
      <w:r>
        <w:rPr>
          <w:sz w:val="22"/>
        </w:rPr>
        <w:t>Medicare Beneficiary (</w:t>
      </w:r>
      <w:r w:rsidRPr="008928A3">
        <w:rPr>
          <w:sz w:val="22"/>
        </w:rPr>
        <w:t>QMB</w:t>
      </w:r>
      <w:r w:rsidRPr="004862B8">
        <w:rPr>
          <w:sz w:val="22"/>
        </w:rPr>
        <w:t>)</w:t>
      </w:r>
      <w:r>
        <w:rPr>
          <w:sz w:val="22"/>
        </w:rPr>
        <w:t xml:space="preserve"> coverage is available to Medicare beneficiaries who</w:t>
      </w:r>
    </w:p>
    <w:p w:rsidR="000D19CD" w:rsidRDefault="000D19CD" w:rsidP="00551981">
      <w:pPr>
        <w:widowControl w:val="0"/>
        <w:tabs>
          <w:tab w:val="left" w:pos="936"/>
          <w:tab w:val="left" w:pos="1314"/>
          <w:tab w:val="left" w:pos="1692"/>
          <w:tab w:val="left" w:pos="2070"/>
        </w:tabs>
        <w:ind w:left="1314"/>
        <w:rPr>
          <w:sz w:val="22"/>
        </w:rPr>
      </w:pPr>
      <w:r>
        <w:rPr>
          <w:sz w:val="22"/>
        </w:rPr>
        <w:t>(1)  are entitled to hospital benefits under Medicare Part A;</w:t>
      </w:r>
    </w:p>
    <w:p w:rsidR="000D19CD" w:rsidRPr="00C52401" w:rsidRDefault="000D19CD" w:rsidP="00551981">
      <w:pPr>
        <w:widowControl w:val="0"/>
        <w:tabs>
          <w:tab w:val="left" w:pos="936"/>
          <w:tab w:val="left" w:pos="1314"/>
          <w:tab w:val="left" w:pos="1692"/>
          <w:tab w:val="left" w:pos="2070"/>
        </w:tabs>
        <w:ind w:left="1314"/>
        <w:rPr>
          <w:sz w:val="22"/>
        </w:rPr>
      </w:pPr>
      <w:r w:rsidRPr="00C52401">
        <w:rPr>
          <w:sz w:val="22"/>
        </w:rPr>
        <w:t xml:space="preserve">(2)  </w:t>
      </w:r>
      <w:proofErr w:type="gramStart"/>
      <w:r w:rsidRPr="00C52401">
        <w:rPr>
          <w:sz w:val="22"/>
        </w:rPr>
        <w:t>have</w:t>
      </w:r>
      <w:proofErr w:type="gramEnd"/>
      <w:r w:rsidRPr="00C52401">
        <w:rPr>
          <w:sz w:val="22"/>
        </w:rPr>
        <w:t xml:space="preserve"> a countable income amount (including the income of the spouse with whom he or she lives) that is less than or equal to </w:t>
      </w:r>
      <w:r>
        <w:rPr>
          <w:sz w:val="22"/>
        </w:rPr>
        <w:t>130%</w:t>
      </w:r>
      <w:r w:rsidRPr="00C52401">
        <w:rPr>
          <w:sz w:val="22"/>
        </w:rPr>
        <w:t xml:space="preserve"> of the federal poverty level;</w:t>
      </w:r>
    </w:p>
    <w:p w:rsidR="000D19CD" w:rsidRDefault="000D19CD" w:rsidP="00551981">
      <w:pPr>
        <w:widowControl w:val="0"/>
        <w:tabs>
          <w:tab w:val="left" w:pos="936"/>
          <w:tab w:val="left" w:pos="1692"/>
          <w:tab w:val="left" w:pos="2070"/>
        </w:tabs>
        <w:ind w:left="1314"/>
        <w:rPr>
          <w:sz w:val="22"/>
        </w:rPr>
      </w:pPr>
      <w:r>
        <w:rPr>
          <w:sz w:val="22"/>
        </w:rPr>
        <w:t xml:space="preserve">(3)  have countable assets less than or equal to two times the amount of allowable assets for  Medicare Savings Programs as identified by the Centers for Medicare and Medicaid Services. Each calendar year, the allowable asset limits shall be made available on MassHealth’s website; and </w:t>
      </w:r>
    </w:p>
    <w:p w:rsidR="000D19CD" w:rsidRDefault="000D19CD" w:rsidP="00551981">
      <w:pPr>
        <w:widowControl w:val="0"/>
        <w:tabs>
          <w:tab w:val="left" w:pos="936"/>
          <w:tab w:val="left" w:pos="1314"/>
          <w:tab w:val="left" w:pos="1692"/>
          <w:tab w:val="left" w:pos="2070"/>
        </w:tabs>
        <w:ind w:left="1314"/>
        <w:rPr>
          <w:sz w:val="22"/>
        </w:rPr>
      </w:pPr>
      <w:r>
        <w:rPr>
          <w:sz w:val="22"/>
        </w:rPr>
        <w:t xml:space="preserve">(4)  meet the universal requirements of </w:t>
      </w:r>
      <w:proofErr w:type="gramStart"/>
      <w:r>
        <w:rPr>
          <w:sz w:val="22"/>
        </w:rPr>
        <w:t xml:space="preserve">MassHealth </w:t>
      </w:r>
      <w:r w:rsidRPr="00F422C8">
        <w:rPr>
          <w:sz w:val="22"/>
        </w:rPr>
        <w:t xml:space="preserve"> </w:t>
      </w:r>
      <w:r>
        <w:rPr>
          <w:sz w:val="22"/>
        </w:rPr>
        <w:t>benefits</w:t>
      </w:r>
      <w:proofErr w:type="gramEnd"/>
      <w:r>
        <w:rPr>
          <w:sz w:val="22"/>
        </w:rPr>
        <w:t xml:space="preserve"> in accordance with 130 CMR 503.000</w:t>
      </w:r>
      <w:r w:rsidR="004414BE">
        <w:rPr>
          <w:sz w:val="22"/>
        </w:rPr>
        <w:t xml:space="preserve">: </w:t>
      </w:r>
      <w:r w:rsidR="004414BE">
        <w:rPr>
          <w:i/>
          <w:sz w:val="22"/>
        </w:rPr>
        <w:t>Health Care Reform: MassHealth Universal Eligibility Requirements</w:t>
      </w:r>
      <w:r>
        <w:rPr>
          <w:sz w:val="22"/>
        </w:rPr>
        <w:t xml:space="preserve"> or 517.000</w:t>
      </w:r>
      <w:r w:rsidR="004414BE">
        <w:rPr>
          <w:sz w:val="22"/>
        </w:rPr>
        <w:t xml:space="preserve">: </w:t>
      </w:r>
      <w:r w:rsidR="004414BE">
        <w:rPr>
          <w:i/>
          <w:sz w:val="22"/>
        </w:rPr>
        <w:t>MassHealth Universal Eligibility Requirements</w:t>
      </w:r>
      <w:r>
        <w:rPr>
          <w:sz w:val="22"/>
        </w:rPr>
        <w:t>, as applicable.</w:t>
      </w:r>
    </w:p>
    <w:p w:rsidR="000D19CD" w:rsidRDefault="000D19CD" w:rsidP="00551981">
      <w:pPr>
        <w:widowControl w:val="0"/>
        <w:tabs>
          <w:tab w:val="left" w:pos="936"/>
          <w:tab w:val="left" w:pos="1314"/>
          <w:tab w:val="left" w:pos="1692"/>
          <w:tab w:val="left" w:pos="2070"/>
        </w:tabs>
        <w:rPr>
          <w:sz w:val="22"/>
        </w:rPr>
      </w:pPr>
    </w:p>
    <w:p w:rsidR="000D19CD" w:rsidRDefault="000D19CD" w:rsidP="00551981">
      <w:pPr>
        <w:widowControl w:val="0"/>
        <w:tabs>
          <w:tab w:val="left" w:pos="936"/>
          <w:tab w:val="left" w:pos="1314"/>
          <w:tab w:val="left" w:pos="1692"/>
          <w:tab w:val="left" w:pos="2070"/>
        </w:tabs>
        <w:ind w:left="936"/>
        <w:rPr>
          <w:sz w:val="22"/>
        </w:rPr>
      </w:pPr>
      <w:r>
        <w:rPr>
          <w:sz w:val="22"/>
        </w:rPr>
        <w:t xml:space="preserve">(B)  </w:t>
      </w:r>
      <w:r>
        <w:rPr>
          <w:sz w:val="22"/>
          <w:u w:val="single"/>
        </w:rPr>
        <w:t>Benefits</w:t>
      </w:r>
      <w:r>
        <w:rPr>
          <w:sz w:val="22"/>
        </w:rPr>
        <w:t xml:space="preserve">. The MassHealth agency pays for Medicare Part A and Part B premiums and for deductibles and coinsurance under Medicare Parts A and B </w:t>
      </w:r>
      <w:r w:rsidRPr="003818C8">
        <w:rPr>
          <w:sz w:val="22"/>
        </w:rPr>
        <w:t xml:space="preserve">for </w:t>
      </w:r>
      <w:r>
        <w:rPr>
          <w:sz w:val="22"/>
        </w:rPr>
        <w:t xml:space="preserve">members who establish eligibility for </w:t>
      </w:r>
      <w:r w:rsidRPr="003818C8">
        <w:rPr>
          <w:sz w:val="22"/>
        </w:rPr>
        <w:t xml:space="preserve">MassHealth </w:t>
      </w:r>
      <w:r>
        <w:rPr>
          <w:sz w:val="22"/>
        </w:rPr>
        <w:t xml:space="preserve">Senior </w:t>
      </w:r>
      <w:r w:rsidRPr="003818C8">
        <w:rPr>
          <w:sz w:val="22"/>
        </w:rPr>
        <w:t>Buy-In coverage in</w:t>
      </w:r>
      <w:r>
        <w:rPr>
          <w:sz w:val="22"/>
        </w:rPr>
        <w:t xml:space="preserve"> accordance with 130 CMR 519.010</w:t>
      </w:r>
      <w:r w:rsidRPr="003818C8">
        <w:rPr>
          <w:sz w:val="22"/>
        </w:rPr>
        <w:t>(A)</w:t>
      </w:r>
      <w:r>
        <w:rPr>
          <w:sz w:val="22"/>
        </w:rPr>
        <w:t>.</w:t>
      </w:r>
    </w:p>
    <w:p w:rsidR="000D19CD" w:rsidRDefault="000D19CD" w:rsidP="00551981">
      <w:pPr>
        <w:pStyle w:val="ban"/>
        <w:suppressAutoHyphens w:val="0"/>
        <w:rPr>
          <w:rFonts w:ascii="Times New Roman" w:hAnsi="Times New Roman"/>
        </w:rPr>
      </w:pPr>
    </w:p>
    <w:p w:rsidR="000D19CD" w:rsidRDefault="000D19CD" w:rsidP="00551981">
      <w:pPr>
        <w:widowControl w:val="0"/>
        <w:tabs>
          <w:tab w:val="left" w:pos="936"/>
          <w:tab w:val="left" w:pos="1314"/>
          <w:tab w:val="left" w:pos="1692"/>
          <w:tab w:val="left" w:pos="2070"/>
        </w:tabs>
        <w:ind w:left="936"/>
        <w:rPr>
          <w:sz w:val="22"/>
        </w:rPr>
      </w:pPr>
      <w:r>
        <w:rPr>
          <w:sz w:val="22"/>
        </w:rPr>
        <w:t xml:space="preserve">(C)  </w:t>
      </w:r>
      <w:r>
        <w:rPr>
          <w:sz w:val="22"/>
          <w:u w:val="single"/>
        </w:rPr>
        <w:t>Begin Date</w:t>
      </w:r>
      <w:r>
        <w:rPr>
          <w:sz w:val="22"/>
        </w:rPr>
        <w:t>. The begin date for MassHealth Senior Buy-In coverage is the first day of the calendar month following the date of the MassHealth eligibility determination.</w:t>
      </w:r>
    </w:p>
    <w:p w:rsidR="000D19CD" w:rsidRDefault="000D19CD" w:rsidP="00551981">
      <w:pPr>
        <w:widowControl w:val="0"/>
        <w:tabs>
          <w:tab w:val="left" w:pos="936"/>
          <w:tab w:val="left" w:pos="1314"/>
          <w:tab w:val="left" w:pos="1692"/>
          <w:tab w:val="left" w:pos="2070"/>
        </w:tabs>
        <w:rPr>
          <w:sz w:val="22"/>
        </w:rPr>
      </w:pPr>
    </w:p>
    <w:p w:rsidR="000D19CD" w:rsidRDefault="000D19CD" w:rsidP="00551981">
      <w:pPr>
        <w:widowControl w:val="0"/>
        <w:tabs>
          <w:tab w:val="left" w:pos="936"/>
          <w:tab w:val="left" w:pos="1314"/>
          <w:tab w:val="left" w:pos="1692"/>
          <w:tab w:val="left" w:pos="2070"/>
        </w:tabs>
        <w:rPr>
          <w:sz w:val="22"/>
        </w:rPr>
      </w:pPr>
      <w:r>
        <w:rPr>
          <w:sz w:val="22"/>
          <w:u w:val="single"/>
        </w:rPr>
        <w:t>519.011:</w:t>
      </w:r>
      <w:r>
        <w:rPr>
          <w:sz w:val="22"/>
          <w:u w:val="single"/>
        </w:rPr>
        <w:tab/>
        <w:t>MassHealth Buy-In</w:t>
      </w:r>
    </w:p>
    <w:p w:rsidR="000D19CD" w:rsidRDefault="000D19CD" w:rsidP="00551981">
      <w:pPr>
        <w:widowControl w:val="0"/>
        <w:tabs>
          <w:tab w:val="left" w:pos="936"/>
          <w:tab w:val="left" w:pos="1314"/>
          <w:tab w:val="left" w:pos="1692"/>
          <w:tab w:val="left" w:pos="2070"/>
        </w:tabs>
        <w:rPr>
          <w:sz w:val="22"/>
        </w:rPr>
      </w:pPr>
    </w:p>
    <w:p w:rsidR="000D19CD" w:rsidRPr="009E2674" w:rsidRDefault="000D19CD" w:rsidP="00551981">
      <w:pPr>
        <w:widowControl w:val="0"/>
        <w:tabs>
          <w:tab w:val="left" w:pos="936"/>
          <w:tab w:val="left" w:pos="1314"/>
          <w:tab w:val="left" w:pos="1692"/>
          <w:tab w:val="left" w:pos="2070"/>
        </w:tabs>
        <w:ind w:left="936"/>
        <w:rPr>
          <w:sz w:val="22"/>
        </w:rPr>
      </w:pPr>
      <w:r>
        <w:rPr>
          <w:sz w:val="22"/>
        </w:rPr>
        <w:t xml:space="preserve">(A)  </w:t>
      </w:r>
      <w:r>
        <w:rPr>
          <w:sz w:val="22"/>
          <w:u w:val="single"/>
        </w:rPr>
        <w:t>MassHealth Buy-In for Specified Low Income Medicare Beneficiaries (SLMB)</w:t>
      </w:r>
      <w:r>
        <w:rPr>
          <w:sz w:val="22"/>
        </w:rPr>
        <w:t>.</w:t>
      </w:r>
    </w:p>
    <w:p w:rsidR="000D19CD" w:rsidRDefault="000D19CD" w:rsidP="00551981">
      <w:pPr>
        <w:widowControl w:val="0"/>
        <w:tabs>
          <w:tab w:val="left" w:pos="936"/>
          <w:tab w:val="left" w:pos="1314"/>
          <w:tab w:val="left" w:pos="1692"/>
          <w:tab w:val="left" w:pos="2070"/>
        </w:tabs>
        <w:ind w:left="1314"/>
        <w:rPr>
          <w:sz w:val="22"/>
        </w:rPr>
      </w:pPr>
      <w:r>
        <w:rPr>
          <w:sz w:val="22"/>
        </w:rPr>
        <w:t xml:space="preserve">(1)  </w:t>
      </w:r>
      <w:r>
        <w:rPr>
          <w:sz w:val="22"/>
          <w:u w:val="single"/>
        </w:rPr>
        <w:t>Eligibility Requirements</w:t>
      </w:r>
      <w:r>
        <w:rPr>
          <w:sz w:val="22"/>
        </w:rPr>
        <w:t xml:space="preserve">. MassHealth Buy-In for Specified Low Income Medicare Beneficiaries (SLMB) coverage is available to Medicare beneficiaries who meet the eligibility requirements of MassHealth Senior Buy-In coverage at 130 CMR 519.010: </w:t>
      </w:r>
      <w:r w:rsidRPr="00DE713C">
        <w:rPr>
          <w:sz w:val="22"/>
        </w:rPr>
        <w:t>MassHealth Senior Buy-In (Q</w:t>
      </w:r>
      <w:r>
        <w:rPr>
          <w:sz w:val="22"/>
        </w:rPr>
        <w:t>ualified Medicare Beneficiaries (</w:t>
      </w:r>
      <w:r w:rsidRPr="00DE713C">
        <w:rPr>
          <w:sz w:val="22"/>
        </w:rPr>
        <w:t>QMB</w:t>
      </w:r>
      <w:r>
        <w:rPr>
          <w:sz w:val="22"/>
        </w:rPr>
        <w:t>)) with the following exception: the countable income amount of the individual and his or her spouse must be greater than 130% of the federal poverty level and less than or equal to 150% of the federal poverty level.</w:t>
      </w:r>
    </w:p>
    <w:p w:rsidR="000D19CD" w:rsidRDefault="000D19CD" w:rsidP="00551981">
      <w:pPr>
        <w:widowControl w:val="0"/>
        <w:tabs>
          <w:tab w:val="left" w:pos="936"/>
          <w:tab w:val="left" w:pos="1314"/>
          <w:tab w:val="left" w:pos="1692"/>
          <w:tab w:val="left" w:pos="2070"/>
        </w:tabs>
        <w:ind w:left="1314"/>
        <w:rPr>
          <w:sz w:val="22"/>
        </w:rPr>
      </w:pPr>
      <w:r>
        <w:rPr>
          <w:sz w:val="22"/>
        </w:rPr>
        <w:t xml:space="preserve">(2)  </w:t>
      </w:r>
      <w:r>
        <w:rPr>
          <w:sz w:val="22"/>
          <w:u w:val="single"/>
        </w:rPr>
        <w:t>Benefits</w:t>
      </w:r>
      <w:r>
        <w:rPr>
          <w:sz w:val="22"/>
        </w:rPr>
        <w:t>. The MassHealth agency pays the cost of the monthly Medicare Part B premium for members who establish eligibility for MassHealth Buy-In for SLMB coverage in accordance with 130</w:t>
      </w:r>
      <w:r>
        <w:rPr>
          <w:b/>
          <w:sz w:val="22"/>
        </w:rPr>
        <w:t xml:space="preserve"> </w:t>
      </w:r>
      <w:r>
        <w:rPr>
          <w:sz w:val="22"/>
        </w:rPr>
        <w:t>CMR 519.011(A).</w:t>
      </w:r>
    </w:p>
    <w:p w:rsidR="000D19CD" w:rsidRDefault="000D19CD" w:rsidP="00551981">
      <w:pPr>
        <w:widowControl w:val="0"/>
        <w:tabs>
          <w:tab w:val="left" w:pos="936"/>
          <w:tab w:val="left" w:pos="1314"/>
          <w:tab w:val="left" w:pos="1692"/>
          <w:tab w:val="left" w:pos="2070"/>
        </w:tabs>
        <w:ind w:left="1314"/>
        <w:rPr>
          <w:sz w:val="22"/>
        </w:rPr>
      </w:pPr>
      <w:r>
        <w:rPr>
          <w:sz w:val="22"/>
        </w:rPr>
        <w:t xml:space="preserve">(3)  </w:t>
      </w:r>
      <w:r>
        <w:rPr>
          <w:sz w:val="22"/>
          <w:u w:val="single"/>
        </w:rPr>
        <w:t>Begin Date</w:t>
      </w:r>
      <w:r>
        <w:rPr>
          <w:sz w:val="22"/>
        </w:rPr>
        <w:t>. MassHealth Buy-In for SLMB coverage, in accordance with 130 CMR 519.011(A), begins with the month of application and may be retroactive up to three calendar months before the month of application.</w:t>
      </w:r>
    </w:p>
    <w:p w:rsidR="000D19CD" w:rsidRDefault="000D19CD" w:rsidP="00551981">
      <w:pPr>
        <w:widowControl w:val="0"/>
        <w:tabs>
          <w:tab w:val="left" w:pos="936"/>
          <w:tab w:val="left" w:pos="1314"/>
          <w:tab w:val="left" w:pos="1692"/>
          <w:tab w:val="left" w:pos="2070"/>
        </w:tabs>
        <w:ind w:left="1314"/>
        <w:rPr>
          <w:sz w:val="22"/>
        </w:rPr>
      </w:pPr>
    </w:p>
    <w:p w:rsidR="000D19CD" w:rsidRPr="009023F4" w:rsidRDefault="000D19CD" w:rsidP="00551981">
      <w:pPr>
        <w:pStyle w:val="ban"/>
        <w:suppressAutoHyphens w:val="0"/>
        <w:ind w:left="936"/>
        <w:rPr>
          <w:rFonts w:ascii="Times New Roman" w:hAnsi="Times New Roman"/>
        </w:rPr>
      </w:pPr>
      <w:r>
        <w:rPr>
          <w:rFonts w:ascii="Times New Roman" w:hAnsi="Times New Roman"/>
        </w:rPr>
        <w:t xml:space="preserve">(B)  </w:t>
      </w:r>
      <w:r>
        <w:rPr>
          <w:rFonts w:ascii="Times New Roman" w:hAnsi="Times New Roman"/>
          <w:u w:val="single"/>
        </w:rPr>
        <w:t xml:space="preserve">MassHealth Buy-In for Qualifying </w:t>
      </w:r>
      <w:r w:rsidRPr="009023F4">
        <w:rPr>
          <w:rFonts w:ascii="Times New Roman" w:hAnsi="Times New Roman"/>
          <w:u w:val="single"/>
        </w:rPr>
        <w:t>Individuals (QI)</w:t>
      </w:r>
      <w:r w:rsidRPr="009023F4">
        <w:rPr>
          <w:rFonts w:ascii="Times New Roman" w:hAnsi="Times New Roman"/>
        </w:rPr>
        <w:t>.</w:t>
      </w:r>
    </w:p>
    <w:p w:rsidR="000D19CD" w:rsidRPr="009023F4" w:rsidRDefault="000D19CD" w:rsidP="00551981">
      <w:pPr>
        <w:pStyle w:val="ban"/>
        <w:suppressAutoHyphens w:val="0"/>
        <w:ind w:left="1314"/>
        <w:rPr>
          <w:rFonts w:ascii="Times New Roman" w:hAnsi="Times New Roman"/>
        </w:rPr>
      </w:pPr>
      <w:r w:rsidRPr="009023F4">
        <w:rPr>
          <w:rFonts w:ascii="Times New Roman" w:hAnsi="Times New Roman"/>
        </w:rPr>
        <w:t xml:space="preserve">(1)  </w:t>
      </w:r>
      <w:r w:rsidRPr="009023F4">
        <w:rPr>
          <w:rFonts w:ascii="Times New Roman" w:hAnsi="Times New Roman"/>
          <w:u w:val="single"/>
        </w:rPr>
        <w:t>Eligibility Requirements</w:t>
      </w:r>
      <w:r w:rsidRPr="009023F4">
        <w:rPr>
          <w:rFonts w:ascii="Times New Roman" w:hAnsi="Times New Roman"/>
        </w:rPr>
        <w:t xml:space="preserve">. MassHealth Buy-In </w:t>
      </w:r>
      <w:r w:rsidRPr="00263354">
        <w:rPr>
          <w:rFonts w:ascii="Times New Roman" w:hAnsi="Times New Roman"/>
        </w:rPr>
        <w:t>for Qualifying Individuals (QI)</w:t>
      </w:r>
      <w:r w:rsidRPr="009023F4">
        <w:rPr>
          <w:rFonts w:ascii="Times New Roman" w:hAnsi="Times New Roman"/>
          <w:u w:val="single"/>
        </w:rPr>
        <w:t xml:space="preserve"> </w:t>
      </w:r>
      <w:r w:rsidRPr="009023F4">
        <w:rPr>
          <w:rFonts w:ascii="Times New Roman" w:hAnsi="Times New Roman"/>
        </w:rPr>
        <w:t>coverage available to Medicare beneficiaries who</w:t>
      </w:r>
    </w:p>
    <w:p w:rsidR="000D19CD" w:rsidRPr="009023F4" w:rsidRDefault="000D19CD" w:rsidP="00551981">
      <w:pPr>
        <w:pStyle w:val="ban"/>
        <w:suppressAutoHyphens w:val="0"/>
        <w:ind w:left="1692"/>
        <w:rPr>
          <w:rFonts w:ascii="Times New Roman" w:hAnsi="Times New Roman"/>
        </w:rPr>
      </w:pPr>
      <w:r w:rsidRPr="009023F4">
        <w:rPr>
          <w:rFonts w:ascii="Times New Roman" w:hAnsi="Times New Roman"/>
        </w:rPr>
        <w:t>(a)  are entitled to hospital benefits under Medicare Part A;</w:t>
      </w:r>
    </w:p>
    <w:p w:rsidR="000D19CD" w:rsidRDefault="000D19CD" w:rsidP="00551981">
      <w:pPr>
        <w:pStyle w:val="ban"/>
        <w:tabs>
          <w:tab w:val="clear" w:pos="2070"/>
          <w:tab w:val="num" w:pos="2067"/>
        </w:tabs>
        <w:suppressAutoHyphens w:val="0"/>
        <w:ind w:left="1692"/>
        <w:rPr>
          <w:rFonts w:ascii="Times New Roman" w:hAnsi="Times New Roman"/>
        </w:rPr>
      </w:pPr>
      <w:r w:rsidRPr="009023F4">
        <w:rPr>
          <w:rFonts w:ascii="Times New Roman" w:hAnsi="Times New Roman"/>
        </w:rPr>
        <w:t xml:space="preserve">(b)  </w:t>
      </w:r>
      <w:proofErr w:type="gramStart"/>
      <w:r w:rsidRPr="009023F4">
        <w:rPr>
          <w:rFonts w:ascii="Times New Roman" w:hAnsi="Times New Roman"/>
        </w:rPr>
        <w:t>are</w:t>
      </w:r>
      <w:proofErr w:type="gramEnd"/>
      <w:r w:rsidRPr="009023F4">
        <w:rPr>
          <w:rFonts w:ascii="Times New Roman" w:hAnsi="Times New Roman"/>
        </w:rPr>
        <w:t xml:space="preserve"> not eligible for MassHealth benefits under the Medicaid State Plan;</w:t>
      </w:r>
    </w:p>
    <w:p w:rsidR="004A7064" w:rsidRDefault="004A7064" w:rsidP="00551981">
      <w:pPr>
        <w:pStyle w:val="ban"/>
        <w:tabs>
          <w:tab w:val="clear" w:pos="2070"/>
          <w:tab w:val="num" w:pos="2067"/>
        </w:tabs>
        <w:suppressAutoHyphens w:val="0"/>
        <w:ind w:left="1692"/>
        <w:rPr>
          <w:rFonts w:ascii="Times New Roman" w:hAnsi="Times New Roman"/>
        </w:rPr>
      </w:pPr>
    </w:p>
    <w:p w:rsidR="000D19CD" w:rsidRPr="003B32CA" w:rsidRDefault="000D19CD" w:rsidP="0091315F">
      <w:pPr>
        <w:jc w:val="center"/>
        <w:rPr>
          <w:rFonts w:ascii="Helvetica" w:hAnsi="Helvetica"/>
          <w:b/>
          <w:sz w:val="22"/>
          <w:szCs w:val="22"/>
        </w:rPr>
      </w:pPr>
      <w:r w:rsidRPr="003B32CA">
        <w:rPr>
          <w:rFonts w:ascii="Helvetica" w:hAnsi="Helvetica"/>
          <w:b/>
          <w:sz w:val="22"/>
          <w:szCs w:val="22"/>
        </w:rPr>
        <w:t>130 CMR:  DIVISION OF MEDICAL ASSISTANCE</w:t>
      </w:r>
    </w:p>
    <w:p w:rsidR="000D19CD" w:rsidRPr="003B32CA" w:rsidRDefault="000D19CD" w:rsidP="0091315F">
      <w:pPr>
        <w:rPr>
          <w:rFonts w:ascii="Helvetica" w:hAnsi="Helvetica"/>
          <w:b/>
          <w:sz w:val="22"/>
          <w:szCs w:val="22"/>
        </w:rPr>
      </w:pPr>
      <w:r>
        <w:rPr>
          <w:noProof/>
        </w:rPr>
        <mc:AlternateContent>
          <mc:Choice Requires="wps">
            <w:drawing>
              <wp:anchor distT="4294967293" distB="4294967293" distL="114300" distR="114300" simplePos="0" relativeHeight="251665920"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9" o:spid="_x0000_s1026" type="#_x0000_t32" style="position:absolute;margin-left:-21.7pt;margin-top:6.25pt;width:492pt;height:0;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B4X5VmJgIAAEwEAAAOAAAAAAAAAAAAAAAAAC4CAABkcnMvZTJvRG9j&#10;LnhtbFBLAQItABQABgAIAAAAIQDSjDlP3QAAAAkBAAAPAAAAAAAAAAAAAAAAAIAEAABkcnMvZG93&#10;bnJldi54bWxQSwUGAAAAAAQABADzAAAAigUAAAAA&#10;"/>
            </w:pict>
          </mc:Fallback>
        </mc:AlternateContent>
      </w:r>
    </w:p>
    <w:p w:rsidR="000D19CD" w:rsidRPr="003B32CA" w:rsidRDefault="004A7064" w:rsidP="0091315F">
      <w:pPr>
        <w:rPr>
          <w:rFonts w:ascii="Helvetica" w:hAnsi="Helvetica"/>
          <w:b/>
          <w:sz w:val="22"/>
          <w:szCs w:val="22"/>
        </w:rPr>
      </w:pPr>
      <w:r>
        <w:rPr>
          <w:rFonts w:ascii="Helvetica" w:hAnsi="Helvetica"/>
          <w:b/>
          <w:sz w:val="22"/>
          <w:szCs w:val="22"/>
        </w:rPr>
        <w:t>Trans. by E.L. 236</w:t>
      </w:r>
    </w:p>
    <w:p w:rsidR="000D19CD" w:rsidRPr="003B32CA" w:rsidRDefault="000D19CD" w:rsidP="0091315F">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01/01/20</w:t>
      </w:r>
    </w:p>
    <w:p w:rsidR="000D19CD" w:rsidRDefault="000D19CD" w:rsidP="0091315F">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rsidR="000D19CD" w:rsidRDefault="000D19CD" w:rsidP="0091315F">
      <w:pPr>
        <w:jc w:val="center"/>
        <w:rPr>
          <w:rFonts w:ascii="Helvetica" w:hAnsi="Helvetica"/>
          <w:b/>
          <w:sz w:val="22"/>
        </w:rPr>
      </w:pPr>
      <w:r>
        <w:rPr>
          <w:rFonts w:ascii="Helvetica" w:hAnsi="Helvetica"/>
          <w:b/>
          <w:sz w:val="22"/>
        </w:rPr>
        <w:t>COVERAGE TYPES</w:t>
      </w:r>
    </w:p>
    <w:p w:rsidR="000D19CD" w:rsidRPr="003B32CA" w:rsidRDefault="000D19CD" w:rsidP="0091315F">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519</w:t>
      </w:r>
    </w:p>
    <w:p w:rsidR="000D19CD" w:rsidRPr="003B32CA" w:rsidRDefault="000D19CD" w:rsidP="0091315F">
      <w:pPr>
        <w:rPr>
          <w:rFonts w:ascii="Helvetica" w:hAnsi="Helvetica"/>
          <w:b/>
          <w:sz w:val="22"/>
          <w:szCs w:val="22"/>
        </w:rPr>
      </w:pPr>
      <w:r>
        <w:rPr>
          <w:rFonts w:ascii="Helvetica" w:hAnsi="Helvetica"/>
          <w:b/>
          <w:sz w:val="22"/>
          <w:szCs w:val="22"/>
        </w:rPr>
        <w:t>Page 519.011</w:t>
      </w:r>
    </w:p>
    <w:p w:rsidR="000D19CD" w:rsidRPr="00162A3C" w:rsidRDefault="000D19CD" w:rsidP="0091315F">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3" distB="4294967293" distL="114300" distR="114300" simplePos="0" relativeHeight="251666944"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0" o:spid="_x0000_s1026" type="#_x0000_t32" style="position:absolute;margin-left:-21.4pt;margin-top:9.95pt;width:492pt;height:0;z-index:251666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621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KmrrbUlAgAATAQAAA4AAAAAAAAAAAAAAAAALgIAAGRycy9lMm9Eb2Mu&#10;eG1sUEsBAi0AFAAGAAgAAAAhAKfmR7LdAAAACQEAAA8AAAAAAAAAAAAAAAAAfwQAAGRycy9kb3du&#10;cmV2LnhtbFBLBQYAAAAABAAEAPMAAACJBQAAAAA=&#10;"/>
            </w:pict>
          </mc:Fallback>
        </mc:AlternateContent>
      </w:r>
    </w:p>
    <w:p w:rsidR="000D19CD" w:rsidRPr="0049392F" w:rsidRDefault="000D19CD" w:rsidP="0091315F">
      <w:pPr>
        <w:rPr>
          <w:sz w:val="22"/>
          <w:szCs w:val="22"/>
        </w:rPr>
      </w:pPr>
    </w:p>
    <w:p w:rsidR="000D19CD" w:rsidRPr="009023F4" w:rsidRDefault="000D19CD" w:rsidP="00FA4591">
      <w:pPr>
        <w:pStyle w:val="ban"/>
        <w:suppressAutoHyphens w:val="0"/>
        <w:ind w:left="1692"/>
        <w:rPr>
          <w:rFonts w:ascii="Times New Roman" w:hAnsi="Times New Roman"/>
        </w:rPr>
      </w:pPr>
      <w:r>
        <w:rPr>
          <w:rFonts w:ascii="Times New Roman" w:hAnsi="Times New Roman"/>
        </w:rPr>
        <w:t xml:space="preserve">(c)  </w:t>
      </w:r>
      <w:proofErr w:type="gramStart"/>
      <w:r>
        <w:rPr>
          <w:rFonts w:ascii="Times New Roman" w:hAnsi="Times New Roman"/>
        </w:rPr>
        <w:t>have</w:t>
      </w:r>
      <w:proofErr w:type="gramEnd"/>
      <w:r>
        <w:rPr>
          <w:rFonts w:ascii="Times New Roman" w:hAnsi="Times New Roman"/>
        </w:rPr>
        <w:t xml:space="preserve"> a countable income amount (including the income of the spouse with whom he or she lives) that is equal to or greater than 150% </w:t>
      </w:r>
      <w:r w:rsidRPr="009023F4">
        <w:rPr>
          <w:rFonts w:ascii="Times New Roman" w:hAnsi="Times New Roman"/>
        </w:rPr>
        <w:t xml:space="preserve">of the federal poverty level and less than or equal to 165% of the federal poverty level; </w:t>
      </w:r>
    </w:p>
    <w:p w:rsidR="000D19CD" w:rsidRPr="009023F4" w:rsidRDefault="000D19CD" w:rsidP="00FA4591">
      <w:pPr>
        <w:pStyle w:val="ban"/>
        <w:tabs>
          <w:tab w:val="clear" w:pos="1692"/>
          <w:tab w:val="left" w:pos="2160"/>
        </w:tabs>
        <w:suppressAutoHyphens w:val="0"/>
        <w:ind w:left="1692"/>
        <w:rPr>
          <w:rFonts w:ascii="Times New Roman" w:hAnsi="Times New Roman"/>
        </w:rPr>
      </w:pPr>
      <w:r w:rsidRPr="009023F4">
        <w:rPr>
          <w:rFonts w:ascii="Times New Roman" w:hAnsi="Times New Roman"/>
        </w:rPr>
        <w:t xml:space="preserve">(d)  have countable assets less than or equal to two times the amount of allowable assets for Medicare Savings Programs as identified by the Centers for Medicare &amp; Medicaid Services. Each calendar year, the allowable asset limits shall be made available on </w:t>
      </w:r>
      <w:proofErr w:type="spellStart"/>
      <w:r w:rsidRPr="009023F4">
        <w:rPr>
          <w:rFonts w:ascii="Times New Roman" w:hAnsi="Times New Roman"/>
        </w:rPr>
        <w:t>MassHealth’s</w:t>
      </w:r>
      <w:proofErr w:type="spellEnd"/>
      <w:r w:rsidRPr="009023F4">
        <w:rPr>
          <w:rFonts w:ascii="Times New Roman" w:hAnsi="Times New Roman"/>
        </w:rPr>
        <w:t xml:space="preserve"> website and</w:t>
      </w:r>
    </w:p>
    <w:p w:rsidR="000D19CD" w:rsidRPr="009023F4" w:rsidRDefault="000D19CD" w:rsidP="0040756E">
      <w:pPr>
        <w:widowControl w:val="0"/>
        <w:tabs>
          <w:tab w:val="left" w:pos="936"/>
          <w:tab w:val="left" w:pos="1314"/>
          <w:tab w:val="left" w:pos="2070"/>
          <w:tab w:val="left" w:pos="2160"/>
        </w:tabs>
        <w:ind w:left="1692"/>
        <w:rPr>
          <w:sz w:val="22"/>
        </w:rPr>
      </w:pPr>
      <w:r w:rsidRPr="009023F4">
        <w:rPr>
          <w:sz w:val="22"/>
        </w:rPr>
        <w:t xml:space="preserve">(e)  </w:t>
      </w:r>
      <w:proofErr w:type="gramStart"/>
      <w:r w:rsidRPr="009023F4">
        <w:rPr>
          <w:sz w:val="22"/>
        </w:rPr>
        <w:t>meet</w:t>
      </w:r>
      <w:proofErr w:type="gramEnd"/>
      <w:r w:rsidRPr="009023F4">
        <w:rPr>
          <w:sz w:val="22"/>
        </w:rPr>
        <w:t xml:space="preserve"> the universal requirements of MassHealth benefits in accordance with 130 CMR 503.000 or 517.000, as applicable.</w:t>
      </w:r>
      <w:r w:rsidRPr="009023F4">
        <w:t xml:space="preserve"> </w:t>
      </w:r>
    </w:p>
    <w:p w:rsidR="000D19CD" w:rsidRPr="00163F7A" w:rsidRDefault="000D19CD" w:rsidP="00FA4591">
      <w:pPr>
        <w:pStyle w:val="ban"/>
        <w:suppressAutoHyphens w:val="0"/>
        <w:ind w:left="1314"/>
        <w:rPr>
          <w:rFonts w:ascii="Times New Roman" w:hAnsi="Times New Roman"/>
        </w:rPr>
      </w:pPr>
      <w:r w:rsidRPr="009023F4">
        <w:rPr>
          <w:rFonts w:ascii="Times New Roman" w:hAnsi="Times New Roman"/>
        </w:rPr>
        <w:t xml:space="preserve">(2)  </w:t>
      </w:r>
      <w:r w:rsidRPr="009023F4">
        <w:rPr>
          <w:rFonts w:ascii="Times New Roman" w:hAnsi="Times New Roman"/>
          <w:u w:val="single"/>
        </w:rPr>
        <w:t>Benefits</w:t>
      </w:r>
      <w:r w:rsidRPr="009023F4">
        <w:rPr>
          <w:rFonts w:ascii="Times New Roman" w:hAnsi="Times New Roman"/>
        </w:rPr>
        <w:t>. The MassHealth agency pays the entire Medic</w:t>
      </w:r>
      <w:r>
        <w:rPr>
          <w:rFonts w:ascii="Times New Roman" w:hAnsi="Times New Roman"/>
        </w:rPr>
        <w:t xml:space="preserve">are Part B premium, in accordance with section 1933 of the Social Security Act (42 U.S.C. § 1396u-3), for members who </w:t>
      </w:r>
      <w:r w:rsidRPr="00FF2FD7">
        <w:rPr>
          <w:rFonts w:ascii="Times New Roman" w:hAnsi="Times New Roman"/>
        </w:rPr>
        <w:t>establish eligibi</w:t>
      </w:r>
      <w:r>
        <w:rPr>
          <w:rFonts w:ascii="Times New Roman" w:hAnsi="Times New Roman"/>
        </w:rPr>
        <w:t>lity for MassHealth Buy-In for QI</w:t>
      </w:r>
      <w:r w:rsidRPr="00FF2FD7">
        <w:rPr>
          <w:rFonts w:ascii="Times New Roman" w:hAnsi="Times New Roman"/>
        </w:rPr>
        <w:t xml:space="preserve"> coverage in a</w:t>
      </w:r>
      <w:r>
        <w:rPr>
          <w:rFonts w:ascii="Times New Roman" w:hAnsi="Times New Roman"/>
        </w:rPr>
        <w:t>ccordance with 130 CMR 519.011(B</w:t>
      </w:r>
      <w:r w:rsidRPr="00FF2FD7">
        <w:rPr>
          <w:rFonts w:ascii="Times New Roman" w:hAnsi="Times New Roman"/>
        </w:rPr>
        <w:t>)</w:t>
      </w:r>
      <w:r w:rsidRPr="00163F7A">
        <w:rPr>
          <w:rFonts w:ascii="Times New Roman" w:hAnsi="Times New Roman"/>
        </w:rPr>
        <w:t>.</w:t>
      </w:r>
    </w:p>
    <w:p w:rsidR="000D19CD" w:rsidRPr="00874B24" w:rsidRDefault="000D19CD" w:rsidP="00FA4591">
      <w:pPr>
        <w:pStyle w:val="ban"/>
        <w:suppressAutoHyphens w:val="0"/>
        <w:ind w:left="1314"/>
        <w:rPr>
          <w:rFonts w:ascii="Times New Roman" w:hAnsi="Times New Roman"/>
        </w:rPr>
      </w:pPr>
      <w:r w:rsidRPr="00F54F41">
        <w:rPr>
          <w:rFonts w:ascii="Times New Roman" w:hAnsi="Times New Roman"/>
        </w:rPr>
        <w:t xml:space="preserve">(3)  </w:t>
      </w:r>
      <w:r w:rsidRPr="00F54F41">
        <w:rPr>
          <w:rFonts w:ascii="Times New Roman" w:hAnsi="Times New Roman"/>
          <w:u w:val="single"/>
        </w:rPr>
        <w:t>Eligibility Coverage Period</w:t>
      </w:r>
      <w:r w:rsidRPr="00874B24">
        <w:rPr>
          <w:rFonts w:ascii="Times New Roman" w:hAnsi="Times New Roman"/>
        </w:rPr>
        <w:t>.</w:t>
      </w:r>
    </w:p>
    <w:p w:rsidR="000D19CD" w:rsidRPr="008C294F" w:rsidRDefault="000D19CD" w:rsidP="00FA4591">
      <w:pPr>
        <w:pStyle w:val="ban"/>
        <w:suppressAutoHyphens w:val="0"/>
        <w:ind w:left="1692"/>
        <w:rPr>
          <w:rFonts w:ascii="Times New Roman" w:hAnsi="Times New Roman"/>
        </w:rPr>
      </w:pPr>
      <w:r w:rsidRPr="008C294F">
        <w:rPr>
          <w:rFonts w:ascii="Times New Roman" w:hAnsi="Times New Roman"/>
        </w:rPr>
        <w:t xml:space="preserve">(a)  MassHealth Buy-In </w:t>
      </w:r>
      <w:r>
        <w:rPr>
          <w:rFonts w:ascii="Times New Roman" w:hAnsi="Times New Roman"/>
        </w:rPr>
        <w:t xml:space="preserve">for QI </w:t>
      </w:r>
      <w:r w:rsidRPr="008C294F">
        <w:rPr>
          <w:rFonts w:ascii="Times New Roman" w:hAnsi="Times New Roman"/>
        </w:rPr>
        <w:t>coverage, in accordance with 130 CMR 519.011(B), begins with the month of application. Coverage may be retroactive up to three months before the month of application provided</w:t>
      </w:r>
    </w:p>
    <w:p w:rsidR="000D19CD" w:rsidRPr="008C294F" w:rsidRDefault="000D19CD">
      <w:pPr>
        <w:pStyle w:val="ban"/>
        <w:suppressAutoHyphens w:val="0"/>
        <w:ind w:left="2070"/>
        <w:rPr>
          <w:rFonts w:ascii="Times New Roman" w:hAnsi="Times New Roman"/>
        </w:rPr>
      </w:pPr>
      <w:r>
        <w:rPr>
          <w:rFonts w:ascii="Times New Roman" w:hAnsi="Times New Roman"/>
        </w:rPr>
        <w:t>1.</w:t>
      </w:r>
      <w:r w:rsidRPr="008C294F">
        <w:rPr>
          <w:rFonts w:ascii="Times New Roman" w:hAnsi="Times New Roman"/>
        </w:rPr>
        <w:t xml:space="preserve">  </w:t>
      </w:r>
      <w:proofErr w:type="gramStart"/>
      <w:r w:rsidRPr="008C294F">
        <w:rPr>
          <w:rFonts w:ascii="Times New Roman" w:hAnsi="Times New Roman"/>
        </w:rPr>
        <w:t>the</w:t>
      </w:r>
      <w:proofErr w:type="gramEnd"/>
      <w:r w:rsidRPr="008C294F">
        <w:rPr>
          <w:rFonts w:ascii="Times New Roman" w:hAnsi="Times New Roman"/>
        </w:rPr>
        <w:t xml:space="preserve"> retroactive date does not extend into a calendar year in which the expenditure cap described at 130 CMR 519.011(B)(4) has been met;</w:t>
      </w:r>
      <w:r>
        <w:rPr>
          <w:rFonts w:ascii="Times New Roman" w:hAnsi="Times New Roman"/>
        </w:rPr>
        <w:t xml:space="preserve"> and</w:t>
      </w:r>
    </w:p>
    <w:p w:rsidR="000D19CD" w:rsidRPr="008C294F" w:rsidRDefault="000D19CD" w:rsidP="00FA4591">
      <w:pPr>
        <w:pStyle w:val="ban"/>
        <w:suppressAutoHyphens w:val="0"/>
        <w:ind w:left="2070"/>
        <w:rPr>
          <w:rFonts w:ascii="Times New Roman" w:hAnsi="Times New Roman"/>
        </w:rPr>
      </w:pPr>
      <w:r>
        <w:rPr>
          <w:rFonts w:ascii="Times New Roman" w:hAnsi="Times New Roman"/>
        </w:rPr>
        <w:t>2.</w:t>
      </w:r>
      <w:r w:rsidRPr="008C294F">
        <w:rPr>
          <w:rFonts w:ascii="Times New Roman" w:hAnsi="Times New Roman"/>
        </w:rPr>
        <w:t xml:space="preserve">  </w:t>
      </w:r>
      <w:proofErr w:type="gramStart"/>
      <w:r w:rsidRPr="008C294F">
        <w:rPr>
          <w:rFonts w:ascii="Times New Roman" w:hAnsi="Times New Roman"/>
        </w:rPr>
        <w:t>the</w:t>
      </w:r>
      <w:proofErr w:type="gramEnd"/>
      <w:r w:rsidRPr="008C294F">
        <w:rPr>
          <w:rFonts w:ascii="Times New Roman" w:hAnsi="Times New Roman"/>
        </w:rPr>
        <w:t xml:space="preserve"> applicant was not receiving MassHealth </w:t>
      </w:r>
      <w:r>
        <w:rPr>
          <w:rFonts w:ascii="Times New Roman" w:hAnsi="Times New Roman"/>
        </w:rPr>
        <w:t>benefits under the Medicaid state plan</w:t>
      </w:r>
      <w:r w:rsidRPr="008C294F">
        <w:rPr>
          <w:rFonts w:ascii="Times New Roman" w:hAnsi="Times New Roman"/>
        </w:rPr>
        <w:t xml:space="preserve"> during the retroactive period.</w:t>
      </w:r>
    </w:p>
    <w:p w:rsidR="000D19CD" w:rsidRPr="008C294F" w:rsidRDefault="000D19CD" w:rsidP="00FA4591">
      <w:pPr>
        <w:pStyle w:val="ban"/>
        <w:suppressAutoHyphens w:val="0"/>
        <w:ind w:left="1692"/>
        <w:rPr>
          <w:rFonts w:ascii="Times New Roman" w:hAnsi="Times New Roman"/>
        </w:rPr>
      </w:pPr>
      <w:r w:rsidRPr="008C294F">
        <w:rPr>
          <w:rFonts w:ascii="Times New Roman" w:hAnsi="Times New Roman"/>
        </w:rPr>
        <w:t>(b)  Once determined eligible, a member who continues to meet the requirements of 130 CMR 519.011(B) is eligible for the balance of the calendar year. Such members are not adversely impacted by the provisions of 130 CMR 519.011(B)(4).</w:t>
      </w:r>
    </w:p>
    <w:p w:rsidR="000D19CD" w:rsidRPr="008C294F" w:rsidRDefault="000D19CD" w:rsidP="0091315F">
      <w:pPr>
        <w:pStyle w:val="ban"/>
        <w:suppressAutoHyphens w:val="0"/>
        <w:ind w:left="1310"/>
        <w:rPr>
          <w:rFonts w:ascii="Times New Roman" w:hAnsi="Times New Roman"/>
        </w:rPr>
      </w:pPr>
      <w:r w:rsidRPr="008C294F">
        <w:rPr>
          <w:rFonts w:ascii="Times New Roman" w:hAnsi="Times New Roman"/>
        </w:rPr>
        <w:t xml:space="preserve">(4)  </w:t>
      </w:r>
      <w:r w:rsidRPr="008C294F">
        <w:rPr>
          <w:rFonts w:ascii="Times New Roman" w:hAnsi="Times New Roman"/>
          <w:u w:val="single"/>
        </w:rPr>
        <w:t>Cap on Expenditures</w:t>
      </w:r>
      <w:r w:rsidRPr="008C294F">
        <w:rPr>
          <w:rFonts w:ascii="Times New Roman" w:hAnsi="Times New Roman"/>
        </w:rPr>
        <w:t>.</w:t>
      </w:r>
    </w:p>
    <w:p w:rsidR="000D19CD" w:rsidRDefault="000D19CD" w:rsidP="00FA4591">
      <w:pPr>
        <w:pStyle w:val="ban"/>
        <w:suppressAutoHyphens w:val="0"/>
        <w:ind w:left="1692"/>
        <w:rPr>
          <w:rFonts w:ascii="Times New Roman" w:hAnsi="Times New Roman"/>
        </w:rPr>
      </w:pPr>
      <w:r w:rsidRPr="008C294F">
        <w:rPr>
          <w:rFonts w:ascii="Times New Roman" w:hAnsi="Times New Roman"/>
        </w:rPr>
        <w:t>(a)  The MassHealth agency does not extend eligibility to individuals who meet the requirements of MassHealth Buy-In</w:t>
      </w:r>
      <w:r>
        <w:rPr>
          <w:rFonts w:ascii="Times New Roman" w:hAnsi="Times New Roman"/>
        </w:rPr>
        <w:t xml:space="preserve"> for QI</w:t>
      </w:r>
      <w:r w:rsidRPr="008C294F">
        <w:rPr>
          <w:rFonts w:ascii="Times New Roman" w:hAnsi="Times New Roman"/>
        </w:rPr>
        <w:t xml:space="preserve"> in accordance with 130 CMR 519.011(B)</w:t>
      </w:r>
      <w:r>
        <w:rPr>
          <w:rFonts w:ascii="Times New Roman" w:hAnsi="Times New Roman"/>
        </w:rPr>
        <w:t>, if the MassHealth agency estimates the amount of assistance provided to these members during the calendar year will exceed the state’s allocation, as described in section 1933 of the Social Security Act.</w:t>
      </w:r>
    </w:p>
    <w:p w:rsidR="000D19CD" w:rsidRDefault="000D19CD" w:rsidP="00FA4591">
      <w:pPr>
        <w:pStyle w:val="ban"/>
        <w:suppressAutoHyphens w:val="0"/>
        <w:ind w:left="1692"/>
        <w:rPr>
          <w:rFonts w:ascii="Times New Roman" w:hAnsi="Times New Roman"/>
        </w:rPr>
      </w:pPr>
      <w:r>
        <w:rPr>
          <w:rFonts w:ascii="Times New Roman" w:hAnsi="Times New Roman"/>
        </w:rPr>
        <w:t xml:space="preserve">(b)  The MassHealth agency gives preference to members who were eligible for MassHealth Buy-In, as described in </w:t>
      </w:r>
      <w:r w:rsidRPr="00163F7A">
        <w:rPr>
          <w:rFonts w:ascii="Times New Roman" w:hAnsi="Times New Roman"/>
        </w:rPr>
        <w:t xml:space="preserve">130 CMR 519.011, or MassHealth Senior Buy-In, as described in </w:t>
      </w:r>
      <w:r w:rsidRPr="00F54F41">
        <w:rPr>
          <w:rFonts w:ascii="Times New Roman" w:hAnsi="Times New Roman"/>
        </w:rPr>
        <w:t>130 CMR 519.010, in December of the previous calendar year when determining an individual’s eligibility for MassHealth Buy-In</w:t>
      </w:r>
      <w:r>
        <w:rPr>
          <w:rFonts w:ascii="Times New Roman" w:hAnsi="Times New Roman"/>
        </w:rPr>
        <w:t xml:space="preserve"> for QI</w:t>
      </w:r>
      <w:r w:rsidRPr="00F54F41">
        <w:rPr>
          <w:rFonts w:ascii="Times New Roman" w:hAnsi="Times New Roman"/>
        </w:rPr>
        <w:t xml:space="preserve">, as described in </w:t>
      </w:r>
      <w:r w:rsidRPr="00874B24">
        <w:rPr>
          <w:rFonts w:ascii="Times New Roman" w:hAnsi="Times New Roman"/>
        </w:rPr>
        <w:t>130 CMR 519.011(B)</w:t>
      </w:r>
      <w:r w:rsidRPr="008C294F">
        <w:rPr>
          <w:rFonts w:ascii="Times New Roman" w:hAnsi="Times New Roman"/>
        </w:rPr>
        <w:t>, in the subsequent calendar</w:t>
      </w:r>
      <w:r>
        <w:rPr>
          <w:rFonts w:ascii="Times New Roman" w:hAnsi="Times New Roman"/>
        </w:rPr>
        <w:t xml:space="preserve"> year.</w:t>
      </w:r>
    </w:p>
    <w:p w:rsidR="000D19CD" w:rsidRDefault="000D19CD" w:rsidP="00551981">
      <w:pPr>
        <w:pStyle w:val="ban"/>
        <w:tabs>
          <w:tab w:val="clear" w:pos="2070"/>
          <w:tab w:val="num" w:pos="2067"/>
        </w:tabs>
        <w:suppressAutoHyphens w:val="0"/>
        <w:ind w:left="1692"/>
        <w:rPr>
          <w:rFonts w:ascii="Times New Roman" w:hAnsi="Times New Roman"/>
        </w:rPr>
      </w:pPr>
    </w:p>
    <w:p w:rsidR="000D19CD" w:rsidRDefault="000D19CD" w:rsidP="00551981">
      <w:pPr>
        <w:pStyle w:val="ban"/>
        <w:tabs>
          <w:tab w:val="clear" w:pos="2070"/>
          <w:tab w:val="num" w:pos="2067"/>
        </w:tabs>
        <w:suppressAutoHyphens w:val="0"/>
        <w:ind w:left="1692"/>
        <w:rPr>
          <w:rFonts w:ascii="Times New Roman" w:hAnsi="Times New Roman"/>
        </w:rPr>
      </w:pPr>
    </w:p>
    <w:p w:rsidR="000D19CD" w:rsidRDefault="000D19CD" w:rsidP="00551981">
      <w:pPr>
        <w:pStyle w:val="ban"/>
        <w:tabs>
          <w:tab w:val="clear" w:pos="2070"/>
          <w:tab w:val="num" w:pos="2067"/>
        </w:tabs>
        <w:suppressAutoHyphens w:val="0"/>
        <w:ind w:left="1692"/>
        <w:rPr>
          <w:rFonts w:ascii="Times New Roman" w:hAnsi="Times New Roman"/>
        </w:rPr>
      </w:pPr>
    </w:p>
    <w:p w:rsidR="000D19CD" w:rsidRDefault="000D19CD" w:rsidP="00551981">
      <w:pPr>
        <w:pStyle w:val="ban"/>
        <w:tabs>
          <w:tab w:val="clear" w:pos="2070"/>
          <w:tab w:val="num" w:pos="2067"/>
        </w:tabs>
        <w:suppressAutoHyphens w:val="0"/>
        <w:ind w:left="1692"/>
        <w:rPr>
          <w:rFonts w:ascii="Times New Roman" w:hAnsi="Times New Roman"/>
        </w:rPr>
      </w:pPr>
    </w:p>
    <w:p w:rsidR="000D19CD" w:rsidRDefault="000D19CD" w:rsidP="00551981">
      <w:pPr>
        <w:pStyle w:val="ban"/>
        <w:tabs>
          <w:tab w:val="clear" w:pos="2070"/>
          <w:tab w:val="num" w:pos="2067"/>
        </w:tabs>
        <w:suppressAutoHyphens w:val="0"/>
        <w:ind w:left="1692"/>
        <w:rPr>
          <w:rFonts w:ascii="Times New Roman" w:hAnsi="Times New Roman"/>
        </w:rPr>
      </w:pPr>
    </w:p>
    <w:p w:rsidR="000D19CD" w:rsidRDefault="000D19CD" w:rsidP="00551981">
      <w:pPr>
        <w:pStyle w:val="ban"/>
        <w:tabs>
          <w:tab w:val="clear" w:pos="2070"/>
          <w:tab w:val="num" w:pos="2067"/>
        </w:tabs>
        <w:suppressAutoHyphens w:val="0"/>
        <w:ind w:left="1692"/>
        <w:rPr>
          <w:rFonts w:ascii="Times New Roman" w:hAnsi="Times New Roman"/>
        </w:rPr>
      </w:pPr>
    </w:p>
    <w:p w:rsidR="000D19CD" w:rsidRDefault="000D19CD" w:rsidP="00551981">
      <w:pPr>
        <w:pStyle w:val="ban"/>
        <w:tabs>
          <w:tab w:val="clear" w:pos="2070"/>
          <w:tab w:val="num" w:pos="2067"/>
        </w:tabs>
        <w:suppressAutoHyphens w:val="0"/>
        <w:ind w:left="1692"/>
        <w:rPr>
          <w:rFonts w:ascii="Times New Roman" w:hAnsi="Times New Roman"/>
        </w:rPr>
      </w:pPr>
    </w:p>
    <w:p w:rsidR="000D19CD" w:rsidRDefault="000D19CD" w:rsidP="00551981">
      <w:pPr>
        <w:pStyle w:val="ban"/>
        <w:tabs>
          <w:tab w:val="clear" w:pos="2070"/>
          <w:tab w:val="num" w:pos="2067"/>
        </w:tabs>
        <w:suppressAutoHyphens w:val="0"/>
        <w:ind w:left="1692"/>
        <w:rPr>
          <w:rFonts w:ascii="Times New Roman" w:hAnsi="Times New Roman"/>
        </w:rPr>
      </w:pPr>
    </w:p>
    <w:p w:rsidR="004A7064" w:rsidRDefault="004A7064" w:rsidP="00551981">
      <w:pPr>
        <w:pStyle w:val="ban"/>
        <w:tabs>
          <w:tab w:val="clear" w:pos="2070"/>
          <w:tab w:val="num" w:pos="2067"/>
        </w:tabs>
        <w:suppressAutoHyphens w:val="0"/>
        <w:ind w:left="1692"/>
        <w:rPr>
          <w:rFonts w:ascii="Times New Roman" w:hAnsi="Times New Roman"/>
        </w:rPr>
      </w:pPr>
    </w:p>
    <w:p w:rsidR="000D19CD" w:rsidRPr="003B32CA" w:rsidRDefault="000D19CD" w:rsidP="00FD70F0">
      <w:pPr>
        <w:jc w:val="center"/>
        <w:rPr>
          <w:rFonts w:ascii="Helvetica" w:hAnsi="Helvetica"/>
          <w:b/>
          <w:sz w:val="22"/>
          <w:szCs w:val="22"/>
        </w:rPr>
      </w:pPr>
      <w:r w:rsidRPr="003B32CA">
        <w:rPr>
          <w:rFonts w:ascii="Helvetica" w:hAnsi="Helvetica"/>
          <w:b/>
          <w:sz w:val="22"/>
          <w:szCs w:val="22"/>
        </w:rPr>
        <w:t>130 CMR:  DIVISION OF MEDICAL ASSISTANCE</w:t>
      </w:r>
    </w:p>
    <w:p w:rsidR="000D19CD" w:rsidRPr="003B32CA" w:rsidRDefault="000D19CD" w:rsidP="00FD70F0">
      <w:pPr>
        <w:rPr>
          <w:rFonts w:ascii="Helvetica" w:hAnsi="Helvetica"/>
          <w:b/>
          <w:sz w:val="22"/>
          <w:szCs w:val="22"/>
        </w:rPr>
      </w:pPr>
      <w:r>
        <w:rPr>
          <w:noProof/>
        </w:rPr>
        <mc:AlternateContent>
          <mc:Choice Requires="wps">
            <w:drawing>
              <wp:anchor distT="4294967294" distB="4294967294" distL="114300" distR="114300" simplePos="0" relativeHeight="251667968"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21.7pt;margin-top:6.25pt;width:492pt;height:0;z-index:251667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ZdcJgIAAEw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D9PZdcJgIAAEwEAAAOAAAAAAAAAAAAAAAAAC4CAABkcnMvZTJvRG9j&#10;LnhtbFBLAQItABQABgAIAAAAIQDSjDlP3QAAAAkBAAAPAAAAAAAAAAAAAAAAAIAEAABkcnMvZG93&#10;bnJldi54bWxQSwUGAAAAAAQABADzAAAAigUAAAAA&#10;"/>
            </w:pict>
          </mc:Fallback>
        </mc:AlternateContent>
      </w:r>
    </w:p>
    <w:p w:rsidR="000D19CD" w:rsidRPr="003B32CA" w:rsidRDefault="004A7064" w:rsidP="00FD70F0">
      <w:pPr>
        <w:rPr>
          <w:rFonts w:ascii="Helvetica" w:hAnsi="Helvetica"/>
          <w:b/>
          <w:sz w:val="22"/>
          <w:szCs w:val="22"/>
        </w:rPr>
      </w:pPr>
      <w:r>
        <w:rPr>
          <w:rFonts w:ascii="Helvetica" w:hAnsi="Helvetica"/>
          <w:b/>
          <w:sz w:val="22"/>
          <w:szCs w:val="22"/>
        </w:rPr>
        <w:t>Trans. by E.L. 236</w:t>
      </w:r>
    </w:p>
    <w:p w:rsidR="000D19CD" w:rsidRPr="003B32CA" w:rsidRDefault="000D19CD" w:rsidP="00FD70F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01/01/20</w:t>
      </w:r>
    </w:p>
    <w:p w:rsidR="000D19CD" w:rsidRDefault="000D19CD" w:rsidP="00FD70F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rsidR="000D19CD" w:rsidRDefault="000D19CD" w:rsidP="00FD70F0">
      <w:pPr>
        <w:jc w:val="center"/>
        <w:rPr>
          <w:rFonts w:ascii="Helvetica" w:hAnsi="Helvetica"/>
          <w:b/>
          <w:sz w:val="22"/>
        </w:rPr>
      </w:pPr>
      <w:r>
        <w:rPr>
          <w:rFonts w:ascii="Helvetica" w:hAnsi="Helvetica"/>
          <w:b/>
          <w:sz w:val="22"/>
        </w:rPr>
        <w:t>FINANCIAL ELIGIBILITY</w:t>
      </w:r>
    </w:p>
    <w:p w:rsidR="000D19CD" w:rsidRPr="003B32CA" w:rsidRDefault="000D19CD" w:rsidP="00FD70F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rsidR="000D19CD" w:rsidRPr="003B32CA" w:rsidRDefault="000D19CD" w:rsidP="00FD70F0">
      <w:pPr>
        <w:rPr>
          <w:rFonts w:ascii="Helvetica" w:hAnsi="Helvetica"/>
          <w:b/>
          <w:sz w:val="22"/>
          <w:szCs w:val="22"/>
        </w:rPr>
      </w:pPr>
      <w:r>
        <w:rPr>
          <w:rFonts w:ascii="Helvetica" w:hAnsi="Helvetica"/>
          <w:b/>
          <w:sz w:val="22"/>
          <w:szCs w:val="22"/>
        </w:rPr>
        <w:t>Page 520.003</w:t>
      </w:r>
    </w:p>
    <w:p w:rsidR="000D19CD" w:rsidRPr="00162A3C" w:rsidRDefault="000D19CD" w:rsidP="00FD70F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4" distB="4294967294" distL="114300" distR="114300" simplePos="0" relativeHeight="251668992"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21.4pt;margin-top:9.95pt;width:492pt;height:0;z-index:251668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Fe4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LxEV7glAgAATAQAAA4AAAAAAAAAAAAAAAAALgIAAGRycy9lMm9Eb2Mu&#10;eG1sUEsBAi0AFAAGAAgAAAAhAKfmR7LdAAAACQEAAA8AAAAAAAAAAAAAAAAAfwQAAGRycy9kb3du&#10;cmV2LnhtbFBLBQYAAAAABAAEAPMAAACJBQAAAAA=&#10;"/>
            </w:pict>
          </mc:Fallback>
        </mc:AlternateContent>
      </w:r>
    </w:p>
    <w:p w:rsidR="000D19CD" w:rsidRPr="00A02B2D" w:rsidRDefault="000D19CD" w:rsidP="00FD70F0">
      <w:pPr>
        <w:rPr>
          <w:sz w:val="22"/>
          <w:szCs w:val="22"/>
        </w:rPr>
      </w:pPr>
    </w:p>
    <w:p w:rsidR="000D19CD" w:rsidRDefault="000D19CD" w:rsidP="00FD70F0">
      <w:pPr>
        <w:widowControl w:val="0"/>
        <w:tabs>
          <w:tab w:val="left" w:pos="936"/>
          <w:tab w:val="left" w:pos="1314"/>
          <w:tab w:val="left" w:pos="1692"/>
          <w:tab w:val="left" w:pos="2070"/>
        </w:tabs>
        <w:rPr>
          <w:sz w:val="22"/>
        </w:rPr>
      </w:pPr>
      <w:r>
        <w:rPr>
          <w:sz w:val="22"/>
          <w:u w:val="single"/>
        </w:rPr>
        <w:t>520.003:</w:t>
      </w:r>
      <w:r>
        <w:rPr>
          <w:sz w:val="22"/>
          <w:u w:val="single"/>
        </w:rPr>
        <w:tab/>
        <w:t>Asset Limit</w:t>
      </w:r>
    </w:p>
    <w:p w:rsidR="000D19CD" w:rsidRDefault="000D19CD" w:rsidP="00FD70F0">
      <w:pPr>
        <w:widowControl w:val="0"/>
        <w:tabs>
          <w:tab w:val="left" w:pos="936"/>
          <w:tab w:val="left" w:pos="1314"/>
          <w:tab w:val="left" w:pos="1692"/>
          <w:tab w:val="left" w:pos="2070"/>
        </w:tabs>
        <w:rPr>
          <w:sz w:val="22"/>
        </w:rPr>
      </w:pPr>
    </w:p>
    <w:p w:rsidR="000D19CD" w:rsidRPr="002D321E" w:rsidRDefault="000D19CD" w:rsidP="00FD70F0">
      <w:pPr>
        <w:widowControl w:val="0"/>
        <w:tabs>
          <w:tab w:val="left" w:pos="936"/>
          <w:tab w:val="left" w:pos="1314"/>
          <w:tab w:val="left" w:pos="1692"/>
          <w:tab w:val="left" w:pos="2070"/>
        </w:tabs>
        <w:ind w:left="936"/>
        <w:rPr>
          <w:sz w:val="22"/>
          <w:szCs w:val="22"/>
        </w:rPr>
      </w:pPr>
      <w:r w:rsidRPr="002D321E">
        <w:rPr>
          <w:sz w:val="22"/>
          <w:szCs w:val="22"/>
        </w:rPr>
        <w:t>(A)</w:t>
      </w:r>
      <w:r>
        <w:rPr>
          <w:sz w:val="22"/>
          <w:szCs w:val="22"/>
        </w:rPr>
        <w:t xml:space="preserve">  </w:t>
      </w:r>
      <w:r w:rsidRPr="002D321E">
        <w:rPr>
          <w:sz w:val="22"/>
          <w:szCs w:val="22"/>
        </w:rPr>
        <w:t>The total value of countable assets owned by or available to individuals applying for or</w:t>
      </w:r>
      <w:r w:rsidRPr="002D321E">
        <w:rPr>
          <w:b/>
          <w:sz w:val="22"/>
          <w:szCs w:val="22"/>
        </w:rPr>
        <w:t xml:space="preserve"> </w:t>
      </w:r>
      <w:r w:rsidRPr="002D321E">
        <w:rPr>
          <w:sz w:val="22"/>
          <w:szCs w:val="22"/>
        </w:rPr>
        <w:t xml:space="preserve">receiving MassHealth Standard, </w:t>
      </w:r>
      <w:r w:rsidRPr="002E6A82">
        <w:rPr>
          <w:sz w:val="22"/>
          <w:szCs w:val="22"/>
        </w:rPr>
        <w:t>Family Assistance</w:t>
      </w:r>
      <w:r w:rsidRPr="002D321E">
        <w:rPr>
          <w:sz w:val="22"/>
          <w:szCs w:val="22"/>
        </w:rPr>
        <w:t>, or Limited may not exceed the following limits:</w:t>
      </w:r>
    </w:p>
    <w:p w:rsidR="000D19CD" w:rsidRDefault="000D19CD" w:rsidP="00FD70F0">
      <w:pPr>
        <w:widowControl w:val="0"/>
        <w:tabs>
          <w:tab w:val="left" w:pos="936"/>
          <w:tab w:val="left" w:pos="1314"/>
          <w:tab w:val="left" w:pos="1692"/>
          <w:tab w:val="left" w:pos="2070"/>
        </w:tabs>
        <w:ind w:left="1314"/>
        <w:rPr>
          <w:sz w:val="22"/>
        </w:rPr>
      </w:pPr>
      <w:r>
        <w:rPr>
          <w:sz w:val="22"/>
        </w:rPr>
        <w:t xml:space="preserve">(1)  </w:t>
      </w:r>
      <w:proofErr w:type="gramStart"/>
      <w:r>
        <w:rPr>
          <w:sz w:val="22"/>
        </w:rPr>
        <w:t>for</w:t>
      </w:r>
      <w:proofErr w:type="gramEnd"/>
      <w:r>
        <w:rPr>
          <w:sz w:val="22"/>
        </w:rPr>
        <w:t xml:space="preserve"> an individual — $2,000; and</w:t>
      </w:r>
    </w:p>
    <w:p w:rsidR="000D19CD" w:rsidRDefault="000D19CD" w:rsidP="00FD70F0">
      <w:pPr>
        <w:widowControl w:val="0"/>
        <w:tabs>
          <w:tab w:val="left" w:pos="936"/>
          <w:tab w:val="left" w:pos="1314"/>
          <w:tab w:val="left" w:pos="1692"/>
          <w:tab w:val="left" w:pos="2070"/>
        </w:tabs>
        <w:ind w:left="1314"/>
      </w:pPr>
      <w:r>
        <w:rPr>
          <w:sz w:val="22"/>
        </w:rPr>
        <w:t xml:space="preserve">(2)  </w:t>
      </w:r>
      <w:proofErr w:type="gramStart"/>
      <w:r>
        <w:rPr>
          <w:sz w:val="22"/>
        </w:rPr>
        <w:t>for</w:t>
      </w:r>
      <w:proofErr w:type="gramEnd"/>
      <w:r>
        <w:rPr>
          <w:sz w:val="22"/>
        </w:rPr>
        <w:t xml:space="preserve"> a couple living together in the community where there is financial responsibility according to 130 CMR 520.002(A)(1) — $3,000.</w:t>
      </w:r>
    </w:p>
    <w:p w:rsidR="000D19CD" w:rsidRDefault="000D19CD" w:rsidP="00FD70F0">
      <w:pPr>
        <w:widowControl w:val="0"/>
        <w:tabs>
          <w:tab w:val="left" w:pos="936"/>
          <w:tab w:val="left" w:pos="1314"/>
          <w:tab w:val="left" w:pos="1692"/>
          <w:tab w:val="left" w:pos="2070"/>
        </w:tabs>
        <w:rPr>
          <w:sz w:val="22"/>
          <w:u w:val="single"/>
        </w:rPr>
      </w:pPr>
    </w:p>
    <w:p w:rsidR="000D19CD" w:rsidRDefault="000D19CD" w:rsidP="00A8745B">
      <w:pPr>
        <w:widowControl w:val="0"/>
        <w:tabs>
          <w:tab w:val="left" w:pos="936"/>
          <w:tab w:val="left" w:pos="1314"/>
          <w:tab w:val="left" w:pos="1692"/>
          <w:tab w:val="left" w:pos="2070"/>
        </w:tabs>
        <w:ind w:left="936"/>
        <w:rPr>
          <w:sz w:val="22"/>
          <w:szCs w:val="22"/>
        </w:rPr>
      </w:pPr>
      <w:r w:rsidRPr="0078489A">
        <w:rPr>
          <w:sz w:val="22"/>
          <w:szCs w:val="22"/>
        </w:rPr>
        <w:t xml:space="preserve">(B)  The total value of countable assets owned by or available to individuals applying for or receiving </w:t>
      </w:r>
      <w:r w:rsidRPr="00AD06B7">
        <w:rPr>
          <w:sz w:val="22"/>
          <w:szCs w:val="22"/>
        </w:rPr>
        <w:t>MassHealth Senior Buy-In for Qualified Medicare Beneficiaries (QMB)</w:t>
      </w:r>
      <w:r w:rsidRPr="0078489A">
        <w:rPr>
          <w:sz w:val="22"/>
          <w:szCs w:val="22"/>
        </w:rPr>
        <w:t xml:space="preserve"> as described in 130 CMR 519.010</w:t>
      </w:r>
      <w:r w:rsidRPr="00EC28CF">
        <w:rPr>
          <w:sz w:val="22"/>
          <w:szCs w:val="22"/>
        </w:rPr>
        <w:t xml:space="preserve">:  </w:t>
      </w:r>
      <w:r w:rsidRPr="00CF2B8B">
        <w:rPr>
          <w:i/>
          <w:sz w:val="22"/>
          <w:szCs w:val="22"/>
        </w:rPr>
        <w:t xml:space="preserve">MassHealth </w:t>
      </w:r>
      <w:r w:rsidRPr="00EC28CF">
        <w:rPr>
          <w:i/>
          <w:sz w:val="22"/>
          <w:szCs w:val="22"/>
        </w:rPr>
        <w:t xml:space="preserve">Senior </w:t>
      </w:r>
      <w:r w:rsidRPr="00CF2B8B">
        <w:rPr>
          <w:i/>
          <w:sz w:val="22"/>
          <w:szCs w:val="22"/>
        </w:rPr>
        <w:t xml:space="preserve">Buy-In </w:t>
      </w:r>
      <w:r w:rsidRPr="00EC28CF">
        <w:rPr>
          <w:i/>
          <w:sz w:val="22"/>
          <w:szCs w:val="22"/>
        </w:rPr>
        <w:t>(for Qualified Medicare Beneficiaries</w:t>
      </w:r>
      <w:r w:rsidRPr="00CF2B8B">
        <w:rPr>
          <w:i/>
          <w:sz w:val="22"/>
          <w:szCs w:val="22"/>
        </w:rPr>
        <w:t xml:space="preserve"> (</w:t>
      </w:r>
      <w:r w:rsidRPr="00EC28CF">
        <w:rPr>
          <w:i/>
          <w:sz w:val="22"/>
          <w:szCs w:val="22"/>
        </w:rPr>
        <w:t>Q</w:t>
      </w:r>
      <w:r w:rsidRPr="00CF2B8B">
        <w:rPr>
          <w:i/>
          <w:sz w:val="22"/>
          <w:szCs w:val="22"/>
        </w:rPr>
        <w:t>MB)</w:t>
      </w:r>
      <w:r w:rsidRPr="00EC28CF">
        <w:rPr>
          <w:i/>
          <w:sz w:val="22"/>
          <w:szCs w:val="22"/>
        </w:rPr>
        <w:t>)</w:t>
      </w:r>
      <w:r w:rsidRPr="00EC28CF">
        <w:rPr>
          <w:sz w:val="22"/>
          <w:szCs w:val="22"/>
        </w:rPr>
        <w:t xml:space="preserve"> or MassHealth Buy-In for Specified Low Income Medicare</w:t>
      </w:r>
      <w:r>
        <w:rPr>
          <w:sz w:val="22"/>
          <w:szCs w:val="22"/>
        </w:rPr>
        <w:t xml:space="preserve"> Beneficiaries (SLMB)</w:t>
      </w:r>
      <w:r w:rsidRPr="0078489A">
        <w:rPr>
          <w:sz w:val="22"/>
          <w:szCs w:val="22"/>
        </w:rPr>
        <w:t xml:space="preserve"> or </w:t>
      </w:r>
      <w:r w:rsidRPr="00AD06B7">
        <w:rPr>
          <w:sz w:val="22"/>
          <w:szCs w:val="22"/>
        </w:rPr>
        <w:t>MassHealth Buy-In for Qualifying Individuals (QI)</w:t>
      </w:r>
      <w:r>
        <w:rPr>
          <w:sz w:val="22"/>
          <w:szCs w:val="22"/>
        </w:rPr>
        <w:t xml:space="preserve">, </w:t>
      </w:r>
      <w:r w:rsidRPr="0078489A">
        <w:rPr>
          <w:sz w:val="22"/>
          <w:szCs w:val="22"/>
        </w:rPr>
        <w:t xml:space="preserve">both as described in 130 CMR </w:t>
      </w:r>
      <w:r w:rsidRPr="00EC28CF">
        <w:rPr>
          <w:sz w:val="22"/>
          <w:szCs w:val="22"/>
        </w:rPr>
        <w:t xml:space="preserve">519.011: </w:t>
      </w:r>
      <w:r w:rsidRPr="00EC28CF">
        <w:rPr>
          <w:i/>
          <w:sz w:val="22"/>
          <w:szCs w:val="22"/>
        </w:rPr>
        <w:t>MassHealth Buy-in</w:t>
      </w:r>
      <w:r w:rsidRPr="00EC28CF">
        <w:rPr>
          <w:sz w:val="22"/>
          <w:szCs w:val="22"/>
        </w:rPr>
        <w:t>, may not exceed the amount</w:t>
      </w:r>
      <w:r w:rsidRPr="00EC28CF" w:rsidDel="00A8745B">
        <w:rPr>
          <w:sz w:val="22"/>
          <w:szCs w:val="22"/>
        </w:rPr>
        <w:t xml:space="preserve"> </w:t>
      </w:r>
      <w:r w:rsidRPr="00EC28CF">
        <w:rPr>
          <w:sz w:val="22"/>
          <w:szCs w:val="22"/>
        </w:rPr>
        <w:t>equal to two times the amount of allowable assets for Medicare Savings Programs as identified by the Centers for Medicare and Medicaid</w:t>
      </w:r>
      <w:r>
        <w:rPr>
          <w:sz w:val="22"/>
          <w:szCs w:val="22"/>
        </w:rPr>
        <w:t xml:space="preserve"> Services</w:t>
      </w:r>
      <w:r w:rsidRPr="0078489A">
        <w:rPr>
          <w:sz w:val="22"/>
          <w:szCs w:val="22"/>
        </w:rPr>
        <w:t xml:space="preserve">. Each calendar year, the allowable asset limits shall be made available on </w:t>
      </w:r>
      <w:proofErr w:type="spellStart"/>
      <w:r w:rsidRPr="0078489A">
        <w:rPr>
          <w:sz w:val="22"/>
          <w:szCs w:val="22"/>
        </w:rPr>
        <w:t>MassHealth’s</w:t>
      </w:r>
      <w:proofErr w:type="spellEnd"/>
      <w:r w:rsidRPr="0078489A">
        <w:rPr>
          <w:sz w:val="22"/>
          <w:szCs w:val="22"/>
        </w:rPr>
        <w:t xml:space="preserve"> website.</w:t>
      </w:r>
    </w:p>
    <w:p w:rsidR="000D19CD" w:rsidRPr="0078489A" w:rsidRDefault="000D19CD" w:rsidP="00A8745B">
      <w:pPr>
        <w:widowControl w:val="0"/>
        <w:tabs>
          <w:tab w:val="left" w:pos="936"/>
          <w:tab w:val="left" w:pos="1314"/>
          <w:tab w:val="left" w:pos="1692"/>
          <w:tab w:val="left" w:pos="2070"/>
        </w:tabs>
        <w:ind w:left="936"/>
        <w:rPr>
          <w:sz w:val="22"/>
          <w:szCs w:val="22"/>
        </w:rPr>
      </w:pPr>
    </w:p>
    <w:p w:rsidR="000D19CD" w:rsidRPr="0078489A" w:rsidRDefault="000D19CD" w:rsidP="00A8745B">
      <w:pPr>
        <w:widowControl w:val="0"/>
        <w:tabs>
          <w:tab w:val="left" w:pos="936"/>
          <w:tab w:val="left" w:pos="1314"/>
          <w:tab w:val="left" w:pos="1692"/>
          <w:tab w:val="left" w:pos="2070"/>
        </w:tabs>
        <w:ind w:left="936"/>
        <w:rPr>
          <w:sz w:val="22"/>
          <w:szCs w:val="22"/>
        </w:rPr>
      </w:pPr>
      <w:r w:rsidRPr="0078489A">
        <w:rPr>
          <w:sz w:val="22"/>
          <w:szCs w:val="22"/>
        </w:rPr>
        <w:t>(C)  The treatment of a married couple's assets when one spouse is institutionalized is described in 130 CMR 520.016(B).</w:t>
      </w:r>
    </w:p>
    <w:p w:rsidR="000D19CD" w:rsidRDefault="000D19CD" w:rsidP="00FD70F0">
      <w:pPr>
        <w:widowControl w:val="0"/>
        <w:tabs>
          <w:tab w:val="left" w:pos="936"/>
          <w:tab w:val="left" w:pos="1314"/>
          <w:tab w:val="left" w:pos="1692"/>
          <w:tab w:val="left" w:pos="2070"/>
        </w:tabs>
        <w:rPr>
          <w:sz w:val="22"/>
        </w:rPr>
      </w:pPr>
    </w:p>
    <w:p w:rsidR="000D19CD" w:rsidRDefault="000D19CD" w:rsidP="00FD70F0">
      <w:pPr>
        <w:widowControl w:val="0"/>
        <w:tabs>
          <w:tab w:val="left" w:pos="936"/>
          <w:tab w:val="left" w:pos="1314"/>
          <w:tab w:val="left" w:pos="1692"/>
          <w:tab w:val="left" w:pos="2070"/>
        </w:tabs>
        <w:rPr>
          <w:sz w:val="22"/>
        </w:rPr>
      </w:pPr>
      <w:r>
        <w:rPr>
          <w:sz w:val="22"/>
          <w:u w:val="single"/>
        </w:rPr>
        <w:t>520.004:</w:t>
      </w:r>
      <w:r>
        <w:rPr>
          <w:sz w:val="22"/>
          <w:u w:val="single"/>
        </w:rPr>
        <w:tab/>
        <w:t>Asset Reduction</w:t>
      </w:r>
    </w:p>
    <w:p w:rsidR="000D19CD" w:rsidRDefault="000D19CD" w:rsidP="00FD70F0">
      <w:pPr>
        <w:pStyle w:val="ban"/>
        <w:suppressAutoHyphens w:val="0"/>
        <w:rPr>
          <w:rFonts w:ascii="Times New Roman" w:hAnsi="Times New Roman"/>
        </w:rPr>
      </w:pPr>
    </w:p>
    <w:p w:rsidR="000D19CD" w:rsidRDefault="000D19CD" w:rsidP="00FD70F0">
      <w:pPr>
        <w:widowControl w:val="0"/>
        <w:tabs>
          <w:tab w:val="left" w:pos="936"/>
          <w:tab w:val="left" w:pos="1314"/>
          <w:tab w:val="left" w:pos="1692"/>
          <w:tab w:val="left" w:pos="2070"/>
        </w:tabs>
        <w:ind w:left="936"/>
        <w:rPr>
          <w:sz w:val="22"/>
        </w:rPr>
      </w:pPr>
      <w:r>
        <w:rPr>
          <w:sz w:val="22"/>
        </w:rPr>
        <w:t xml:space="preserve">(A)  </w:t>
      </w:r>
      <w:r>
        <w:rPr>
          <w:sz w:val="22"/>
          <w:u w:val="single"/>
        </w:rPr>
        <w:t>Criteria</w:t>
      </w:r>
      <w:r>
        <w:rPr>
          <w:sz w:val="22"/>
        </w:rPr>
        <w:t>.</w:t>
      </w:r>
    </w:p>
    <w:p w:rsidR="000D19CD" w:rsidRDefault="000D19CD" w:rsidP="00FD70F0">
      <w:pPr>
        <w:widowControl w:val="0"/>
        <w:tabs>
          <w:tab w:val="left" w:pos="936"/>
          <w:tab w:val="left" w:pos="1314"/>
          <w:tab w:val="left" w:pos="1692"/>
          <w:tab w:val="left" w:pos="2070"/>
        </w:tabs>
        <w:ind w:left="1314"/>
        <w:rPr>
          <w:sz w:val="22"/>
        </w:rPr>
      </w:pPr>
      <w:r>
        <w:rPr>
          <w:sz w:val="22"/>
        </w:rPr>
        <w:t xml:space="preserve">(1)  An applicant whose countable assets exceed the asset limit of MassHealth Standard, </w:t>
      </w:r>
      <w:r w:rsidRPr="002E6A82">
        <w:rPr>
          <w:sz w:val="22"/>
        </w:rPr>
        <w:t>Family Assistance</w:t>
      </w:r>
      <w:r>
        <w:rPr>
          <w:sz w:val="22"/>
        </w:rPr>
        <w:t>, or Limited may be eligible for MassHealth</w:t>
      </w:r>
    </w:p>
    <w:p w:rsidR="000D19CD" w:rsidRDefault="000D19CD" w:rsidP="00FD70F0">
      <w:pPr>
        <w:widowControl w:val="0"/>
        <w:tabs>
          <w:tab w:val="left" w:pos="936"/>
          <w:tab w:val="left" w:pos="1314"/>
          <w:tab w:val="left" w:pos="1692"/>
          <w:tab w:val="left" w:pos="2070"/>
        </w:tabs>
        <w:ind w:left="1692"/>
        <w:rPr>
          <w:sz w:val="22"/>
        </w:rPr>
      </w:pPr>
      <w:r>
        <w:rPr>
          <w:sz w:val="22"/>
        </w:rPr>
        <w:t>(a) as of the date the applicant reduces his or her excess assets to the allowable asset limit without violating the transfer of resource provisions for nursing-facility residents at 130 CMR 520.019(F); or</w:t>
      </w:r>
    </w:p>
    <w:p w:rsidR="000D19CD" w:rsidRDefault="000D19CD" w:rsidP="00FD70F0">
      <w:pPr>
        <w:widowControl w:val="0"/>
        <w:tabs>
          <w:tab w:val="left" w:pos="936"/>
          <w:tab w:val="left" w:pos="1314"/>
          <w:tab w:val="left" w:pos="1692"/>
          <w:tab w:val="left" w:pos="2070"/>
        </w:tabs>
        <w:ind w:left="1692"/>
        <w:rPr>
          <w:sz w:val="22"/>
        </w:rPr>
      </w:pPr>
      <w:r>
        <w:rPr>
          <w:sz w:val="22"/>
        </w:rPr>
        <w:t xml:space="preserve">(b) </w:t>
      </w:r>
      <w:proofErr w:type="gramStart"/>
      <w:r>
        <w:rPr>
          <w:sz w:val="22"/>
        </w:rPr>
        <w:t>as</w:t>
      </w:r>
      <w:proofErr w:type="gramEnd"/>
      <w:r>
        <w:rPr>
          <w:sz w:val="22"/>
        </w:rPr>
        <w:t xml:space="preserve"> of the date, described in 130 CMR 520.004(C), the applicant incurs medical bills that equal the amount of the excess assets and reduces the assets to the allowable asset limit within 30 days after the date of the notification of excess assets.</w:t>
      </w:r>
    </w:p>
    <w:p w:rsidR="000D19CD" w:rsidRDefault="000D19CD" w:rsidP="00FD70F0">
      <w:pPr>
        <w:widowControl w:val="0"/>
        <w:tabs>
          <w:tab w:val="left" w:pos="936"/>
          <w:tab w:val="left" w:pos="1314"/>
          <w:tab w:val="left" w:pos="1692"/>
          <w:tab w:val="left" w:pos="2070"/>
        </w:tabs>
        <w:ind w:left="1314"/>
        <w:rPr>
          <w:sz w:val="22"/>
        </w:rPr>
      </w:pPr>
      <w:r>
        <w:rPr>
          <w:sz w:val="22"/>
        </w:rPr>
        <w:t>(2)  In addition, the applicant must be otherwise eligible for MassHealth.</w:t>
      </w:r>
    </w:p>
    <w:p w:rsidR="000D19CD" w:rsidRDefault="000D19CD" w:rsidP="00FD70F0">
      <w:pPr>
        <w:widowControl w:val="0"/>
        <w:tabs>
          <w:tab w:val="left" w:pos="936"/>
          <w:tab w:val="left" w:pos="1314"/>
          <w:tab w:val="left" w:pos="1692"/>
          <w:tab w:val="left" w:pos="2070"/>
        </w:tabs>
        <w:ind w:left="1314"/>
        <w:rPr>
          <w:sz w:val="22"/>
        </w:rPr>
      </w:pPr>
    </w:p>
    <w:p w:rsidR="000D19CD" w:rsidRDefault="000D19CD" w:rsidP="00FD70F0">
      <w:pPr>
        <w:widowControl w:val="0"/>
        <w:tabs>
          <w:tab w:val="left" w:pos="936"/>
          <w:tab w:val="left" w:pos="1314"/>
          <w:tab w:val="left" w:pos="1692"/>
          <w:tab w:val="left" w:pos="2070"/>
        </w:tabs>
        <w:ind w:left="1314"/>
        <w:rPr>
          <w:sz w:val="22"/>
        </w:rPr>
      </w:pPr>
    </w:p>
    <w:p w:rsidR="000D19CD" w:rsidRDefault="000D19CD" w:rsidP="00FD70F0">
      <w:pPr>
        <w:widowControl w:val="0"/>
        <w:tabs>
          <w:tab w:val="left" w:pos="936"/>
          <w:tab w:val="left" w:pos="1314"/>
          <w:tab w:val="left" w:pos="1692"/>
          <w:tab w:val="left" w:pos="2070"/>
        </w:tabs>
        <w:ind w:left="1314"/>
        <w:rPr>
          <w:sz w:val="22"/>
        </w:rPr>
      </w:pPr>
    </w:p>
    <w:p w:rsidR="000D19CD" w:rsidRDefault="000D19CD" w:rsidP="00FD70F0">
      <w:pPr>
        <w:widowControl w:val="0"/>
        <w:tabs>
          <w:tab w:val="left" w:pos="936"/>
          <w:tab w:val="left" w:pos="1314"/>
          <w:tab w:val="left" w:pos="1692"/>
          <w:tab w:val="left" w:pos="2070"/>
        </w:tabs>
        <w:ind w:left="1314"/>
        <w:rPr>
          <w:sz w:val="22"/>
        </w:rPr>
      </w:pPr>
    </w:p>
    <w:p w:rsidR="000D19CD" w:rsidRDefault="000D19CD" w:rsidP="00FD70F0">
      <w:pPr>
        <w:widowControl w:val="0"/>
        <w:tabs>
          <w:tab w:val="left" w:pos="936"/>
          <w:tab w:val="left" w:pos="1314"/>
          <w:tab w:val="left" w:pos="1692"/>
          <w:tab w:val="left" w:pos="2070"/>
        </w:tabs>
        <w:ind w:left="1314"/>
        <w:rPr>
          <w:sz w:val="22"/>
        </w:rPr>
      </w:pPr>
    </w:p>
    <w:p w:rsidR="000D19CD" w:rsidRDefault="000D19CD" w:rsidP="00FD70F0">
      <w:pPr>
        <w:widowControl w:val="0"/>
        <w:tabs>
          <w:tab w:val="left" w:pos="936"/>
          <w:tab w:val="left" w:pos="1314"/>
          <w:tab w:val="left" w:pos="1692"/>
          <w:tab w:val="left" w:pos="2070"/>
        </w:tabs>
        <w:ind w:left="1314"/>
        <w:rPr>
          <w:sz w:val="22"/>
        </w:rPr>
      </w:pPr>
    </w:p>
    <w:p w:rsidR="000D19CD" w:rsidRDefault="000D19CD" w:rsidP="00FD70F0">
      <w:pPr>
        <w:widowControl w:val="0"/>
        <w:tabs>
          <w:tab w:val="left" w:pos="936"/>
          <w:tab w:val="left" w:pos="1314"/>
          <w:tab w:val="left" w:pos="1692"/>
          <w:tab w:val="left" w:pos="2070"/>
        </w:tabs>
        <w:ind w:left="1314"/>
        <w:rPr>
          <w:sz w:val="22"/>
        </w:rPr>
      </w:pPr>
    </w:p>
    <w:p w:rsidR="000D19CD" w:rsidRDefault="000D19CD" w:rsidP="00FD70F0">
      <w:pPr>
        <w:widowControl w:val="0"/>
        <w:tabs>
          <w:tab w:val="left" w:pos="936"/>
          <w:tab w:val="left" w:pos="1314"/>
          <w:tab w:val="left" w:pos="1692"/>
          <w:tab w:val="left" w:pos="2070"/>
        </w:tabs>
        <w:ind w:left="1314"/>
        <w:rPr>
          <w:sz w:val="22"/>
        </w:rPr>
      </w:pPr>
    </w:p>
    <w:p w:rsidR="004A7064" w:rsidRDefault="004A7064" w:rsidP="00FD70F0">
      <w:pPr>
        <w:widowControl w:val="0"/>
        <w:tabs>
          <w:tab w:val="left" w:pos="936"/>
          <w:tab w:val="left" w:pos="1314"/>
          <w:tab w:val="left" w:pos="1692"/>
          <w:tab w:val="left" w:pos="2070"/>
        </w:tabs>
        <w:ind w:left="1314"/>
        <w:rPr>
          <w:sz w:val="22"/>
        </w:rPr>
      </w:pPr>
    </w:p>
    <w:p w:rsidR="004A7064" w:rsidRDefault="004A7064" w:rsidP="00FD70F0">
      <w:pPr>
        <w:widowControl w:val="0"/>
        <w:tabs>
          <w:tab w:val="left" w:pos="936"/>
          <w:tab w:val="left" w:pos="1314"/>
          <w:tab w:val="left" w:pos="1692"/>
          <w:tab w:val="left" w:pos="2070"/>
        </w:tabs>
        <w:ind w:left="1314"/>
        <w:rPr>
          <w:sz w:val="22"/>
        </w:rPr>
      </w:pPr>
    </w:p>
    <w:p w:rsidR="003B1C84" w:rsidRDefault="003B1C84" w:rsidP="00FD70F0">
      <w:pPr>
        <w:widowControl w:val="0"/>
        <w:tabs>
          <w:tab w:val="left" w:pos="936"/>
          <w:tab w:val="left" w:pos="1314"/>
          <w:tab w:val="left" w:pos="1692"/>
          <w:tab w:val="left" w:pos="2070"/>
        </w:tabs>
        <w:ind w:left="1314"/>
        <w:rPr>
          <w:sz w:val="22"/>
        </w:rPr>
      </w:pPr>
    </w:p>
    <w:p w:rsidR="000D19CD" w:rsidRPr="003B32CA" w:rsidRDefault="000D19CD" w:rsidP="00E12676">
      <w:pPr>
        <w:jc w:val="center"/>
        <w:rPr>
          <w:rFonts w:ascii="Helvetica" w:hAnsi="Helvetica"/>
          <w:b/>
          <w:sz w:val="22"/>
          <w:szCs w:val="22"/>
        </w:rPr>
      </w:pPr>
      <w:r w:rsidRPr="003B32CA">
        <w:rPr>
          <w:rFonts w:ascii="Helvetica" w:hAnsi="Helvetica"/>
          <w:b/>
          <w:sz w:val="22"/>
          <w:szCs w:val="22"/>
        </w:rPr>
        <w:t>130 CMR:  DIVISION OF MEDICAL ASSISTANCE</w:t>
      </w:r>
    </w:p>
    <w:p w:rsidR="000D19CD" w:rsidRPr="003B32CA" w:rsidRDefault="000D19CD" w:rsidP="00E12676">
      <w:pPr>
        <w:rPr>
          <w:rFonts w:ascii="Helvetica" w:hAnsi="Helvetica"/>
          <w:b/>
          <w:sz w:val="22"/>
          <w:szCs w:val="22"/>
        </w:rPr>
      </w:pPr>
      <w:r>
        <w:rPr>
          <w:noProof/>
        </w:rPr>
        <mc:AlternateContent>
          <mc:Choice Requires="wps">
            <w:drawing>
              <wp:anchor distT="4294967294" distB="4294967294" distL="114300" distR="114300" simplePos="0" relativeHeight="251670016"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1.7pt;margin-top:6.25pt;width:492pt;height:0;z-index:251670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vRYJgIAAEo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CtovRYJgIAAEoEAAAOAAAAAAAAAAAAAAAAAC4CAABkcnMvZTJvRG9j&#10;LnhtbFBLAQItABQABgAIAAAAIQDSjDlP3QAAAAkBAAAPAAAAAAAAAAAAAAAAAIAEAABkcnMvZG93&#10;bnJldi54bWxQSwUGAAAAAAQABADzAAAAigUAAAAA&#10;"/>
            </w:pict>
          </mc:Fallback>
        </mc:AlternateContent>
      </w:r>
    </w:p>
    <w:p w:rsidR="000D19CD" w:rsidRPr="003B32CA" w:rsidRDefault="004A7064" w:rsidP="00E12676">
      <w:pPr>
        <w:rPr>
          <w:rFonts w:ascii="Helvetica" w:hAnsi="Helvetica"/>
          <w:b/>
          <w:sz w:val="22"/>
          <w:szCs w:val="22"/>
        </w:rPr>
      </w:pPr>
      <w:r>
        <w:rPr>
          <w:rFonts w:ascii="Helvetica" w:hAnsi="Helvetica"/>
          <w:b/>
          <w:sz w:val="22"/>
          <w:szCs w:val="22"/>
        </w:rPr>
        <w:t>Trans. by E.L. 236</w:t>
      </w:r>
    </w:p>
    <w:p w:rsidR="000D19CD" w:rsidRPr="003B32CA" w:rsidRDefault="000D19CD" w:rsidP="00E12676">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01/01/20</w:t>
      </w:r>
    </w:p>
    <w:p w:rsidR="000D19CD" w:rsidRDefault="000D19CD" w:rsidP="00E12676">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rsidR="000D19CD" w:rsidRDefault="000D19CD" w:rsidP="00E12676">
      <w:pPr>
        <w:jc w:val="center"/>
        <w:rPr>
          <w:rFonts w:ascii="Helvetica" w:hAnsi="Helvetica"/>
          <w:b/>
          <w:sz w:val="22"/>
        </w:rPr>
      </w:pPr>
      <w:r>
        <w:rPr>
          <w:rFonts w:ascii="Helvetica" w:hAnsi="Helvetica"/>
          <w:b/>
          <w:sz w:val="22"/>
        </w:rPr>
        <w:t>FINANCIAL ELIGIBILITY</w:t>
      </w:r>
    </w:p>
    <w:p w:rsidR="000D19CD" w:rsidRPr="003B32CA" w:rsidRDefault="000D19CD" w:rsidP="00E12676">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rsidR="000D19CD" w:rsidRPr="003B32CA" w:rsidRDefault="000D19CD" w:rsidP="00E12676">
      <w:pPr>
        <w:rPr>
          <w:rFonts w:ascii="Helvetica" w:hAnsi="Helvetica"/>
          <w:b/>
          <w:sz w:val="22"/>
          <w:szCs w:val="22"/>
        </w:rPr>
      </w:pPr>
      <w:r>
        <w:rPr>
          <w:rFonts w:ascii="Helvetica" w:hAnsi="Helvetica"/>
          <w:b/>
          <w:sz w:val="22"/>
          <w:szCs w:val="22"/>
        </w:rPr>
        <w:t>Page 520.005 (2 of 2)</w:t>
      </w:r>
    </w:p>
    <w:p w:rsidR="000D19CD" w:rsidRPr="00162A3C" w:rsidRDefault="000D19CD" w:rsidP="00E12676">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4" distB="4294967294" distL="114300" distR="114300" simplePos="0" relativeHeight="251671040"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1.4pt;margin-top:9.95pt;width:492pt;height:0;z-index:251671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JalJHQlAgAASgQAAA4AAAAAAAAAAAAAAAAALgIAAGRycy9lMm9Eb2Mu&#10;eG1sUEsBAi0AFAAGAAgAAAAhAKfmR7LdAAAACQEAAA8AAAAAAAAAAAAAAAAAfwQAAGRycy9kb3du&#10;cmV2LnhtbFBLBQYAAAAABAAEAPMAAACJBQAAAAA=&#10;"/>
            </w:pict>
          </mc:Fallback>
        </mc:AlternateContent>
      </w:r>
    </w:p>
    <w:p w:rsidR="000D19CD" w:rsidRPr="004A7064" w:rsidRDefault="000D19CD" w:rsidP="00E12676">
      <w:pPr>
        <w:rPr>
          <w:sz w:val="8"/>
          <w:szCs w:val="8"/>
        </w:rPr>
      </w:pPr>
    </w:p>
    <w:p w:rsidR="000D19CD" w:rsidRDefault="000D19CD" w:rsidP="00E12676">
      <w:pPr>
        <w:widowControl w:val="0"/>
        <w:tabs>
          <w:tab w:val="left" w:pos="936"/>
          <w:tab w:val="left" w:pos="1314"/>
          <w:tab w:val="left" w:pos="1692"/>
          <w:tab w:val="left" w:pos="2070"/>
        </w:tabs>
        <w:ind w:left="1314"/>
        <w:rPr>
          <w:sz w:val="22"/>
        </w:rPr>
      </w:pPr>
      <w:r>
        <w:rPr>
          <w:sz w:val="22"/>
        </w:rPr>
        <w:t>(3)  If the applicant or member claims partial ownership of the funds in the joint account, he or she must verify the amount owned by each joint depositor. When such a partial ownership is verified, the countable value of the assets is attributed to each owner in proportion to the ownership interest.</w:t>
      </w:r>
    </w:p>
    <w:p w:rsidR="000D19CD" w:rsidRDefault="000D19CD" w:rsidP="00E12676">
      <w:pPr>
        <w:widowControl w:val="0"/>
        <w:tabs>
          <w:tab w:val="left" w:pos="936"/>
          <w:tab w:val="left" w:pos="1314"/>
          <w:tab w:val="left" w:pos="1692"/>
          <w:tab w:val="left" w:pos="2070"/>
        </w:tabs>
        <w:ind w:left="1314"/>
      </w:pPr>
      <w:r>
        <w:rPr>
          <w:sz w:val="22"/>
        </w:rPr>
        <w:t>(4)  The applicant or member may transfer the funds owned by him or her into an account that accurately reflects his or her ownership interest. The MassHealth agency does not consider such a transfer of assets to make oneself eligible for MassHealth if the transfer is completed within 30 days after written notification by the MassHealth agency of this requirement, except in the case of a community spouse as described at 130 CMR 520.016 who is allowed 90 days to make the transfer.</w:t>
      </w:r>
    </w:p>
    <w:p w:rsidR="000D19CD" w:rsidRPr="004A7064" w:rsidRDefault="000D19CD" w:rsidP="00E12676">
      <w:pPr>
        <w:widowControl w:val="0"/>
        <w:tabs>
          <w:tab w:val="center" w:pos="4798"/>
        </w:tabs>
        <w:rPr>
          <w:sz w:val="8"/>
          <w:szCs w:val="8"/>
        </w:rPr>
      </w:pPr>
    </w:p>
    <w:p w:rsidR="000D19CD" w:rsidRDefault="000D19CD" w:rsidP="00E12676">
      <w:pPr>
        <w:widowControl w:val="0"/>
        <w:tabs>
          <w:tab w:val="left" w:pos="936"/>
          <w:tab w:val="left" w:pos="1314"/>
          <w:tab w:val="left" w:pos="1692"/>
          <w:tab w:val="left" w:pos="2070"/>
        </w:tabs>
        <w:ind w:left="936"/>
        <w:rPr>
          <w:sz w:val="22"/>
        </w:rPr>
      </w:pPr>
      <w:r>
        <w:rPr>
          <w:sz w:val="22"/>
        </w:rPr>
        <w:t xml:space="preserve">(D)  </w:t>
      </w:r>
      <w:r>
        <w:rPr>
          <w:sz w:val="22"/>
          <w:u w:val="single"/>
        </w:rPr>
        <w:t>Verifications</w:t>
      </w:r>
      <w:r>
        <w:rPr>
          <w:sz w:val="22"/>
        </w:rPr>
        <w:t>. Individual or joint ownership of any countable asset must be verified by a written document providing reasonable evidence of ownership. The MassHealth agency determines whether a verification is acceptable in accordance with 130 CMR 520.007(B</w:t>
      </w:r>
      <w:proofErr w:type="gramStart"/>
      <w:r>
        <w:rPr>
          <w:sz w:val="22"/>
        </w:rPr>
        <w:t>)(</w:t>
      </w:r>
      <w:proofErr w:type="gramEnd"/>
      <w:r>
        <w:rPr>
          <w:sz w:val="22"/>
        </w:rPr>
        <w:t>3) and 130 CMR 520.005(D). Acceptable verification includes, but is not limited to, the following:</w:t>
      </w:r>
    </w:p>
    <w:p w:rsidR="000D19CD" w:rsidRDefault="000D19CD" w:rsidP="00E12676">
      <w:pPr>
        <w:widowControl w:val="0"/>
        <w:tabs>
          <w:tab w:val="left" w:pos="936"/>
          <w:tab w:val="left" w:pos="1314"/>
          <w:tab w:val="left" w:pos="1692"/>
          <w:tab w:val="left" w:pos="2070"/>
        </w:tabs>
        <w:ind w:left="1314"/>
        <w:rPr>
          <w:sz w:val="22"/>
        </w:rPr>
      </w:pPr>
      <w:r>
        <w:rPr>
          <w:sz w:val="22"/>
        </w:rPr>
        <w:t xml:space="preserve">(1)  </w:t>
      </w:r>
      <w:proofErr w:type="gramStart"/>
      <w:r>
        <w:rPr>
          <w:sz w:val="22"/>
        </w:rPr>
        <w:t>a</w:t>
      </w:r>
      <w:proofErr w:type="gramEnd"/>
      <w:r>
        <w:rPr>
          <w:sz w:val="22"/>
        </w:rPr>
        <w:t xml:space="preserve"> title;</w:t>
      </w:r>
    </w:p>
    <w:p w:rsidR="000D19CD" w:rsidRDefault="000D19CD" w:rsidP="00E12676">
      <w:pPr>
        <w:widowControl w:val="0"/>
        <w:tabs>
          <w:tab w:val="left" w:pos="936"/>
          <w:tab w:val="left" w:pos="1314"/>
          <w:tab w:val="left" w:pos="1692"/>
          <w:tab w:val="left" w:pos="2070"/>
        </w:tabs>
        <w:ind w:firstLine="1314"/>
        <w:rPr>
          <w:sz w:val="22"/>
        </w:rPr>
      </w:pPr>
      <w:r>
        <w:rPr>
          <w:sz w:val="22"/>
        </w:rPr>
        <w:t xml:space="preserve">(2)  </w:t>
      </w:r>
      <w:proofErr w:type="gramStart"/>
      <w:r>
        <w:rPr>
          <w:sz w:val="22"/>
        </w:rPr>
        <w:t>a</w:t>
      </w:r>
      <w:proofErr w:type="gramEnd"/>
      <w:r>
        <w:rPr>
          <w:sz w:val="22"/>
        </w:rPr>
        <w:t xml:space="preserve"> purchase contract;</w:t>
      </w:r>
    </w:p>
    <w:p w:rsidR="000D19CD" w:rsidRDefault="000D19CD" w:rsidP="00E12676">
      <w:pPr>
        <w:widowControl w:val="0"/>
        <w:tabs>
          <w:tab w:val="left" w:pos="936"/>
          <w:tab w:val="left" w:pos="1314"/>
          <w:tab w:val="left" w:pos="1692"/>
          <w:tab w:val="left" w:pos="2070"/>
        </w:tabs>
        <w:ind w:left="1314"/>
        <w:rPr>
          <w:sz w:val="22"/>
        </w:rPr>
      </w:pPr>
      <w:r>
        <w:rPr>
          <w:sz w:val="22"/>
        </w:rPr>
        <w:t xml:space="preserve">(3)  </w:t>
      </w:r>
      <w:proofErr w:type="gramStart"/>
      <w:r>
        <w:rPr>
          <w:sz w:val="22"/>
        </w:rPr>
        <w:t>documents</w:t>
      </w:r>
      <w:proofErr w:type="gramEnd"/>
      <w:r>
        <w:rPr>
          <w:sz w:val="22"/>
        </w:rPr>
        <w:t xml:space="preserve"> establishing ownership of joint bank accounts that demonstrate the following:</w:t>
      </w:r>
    </w:p>
    <w:p w:rsidR="000D19CD" w:rsidRDefault="000D19CD" w:rsidP="00E12676">
      <w:pPr>
        <w:widowControl w:val="0"/>
        <w:tabs>
          <w:tab w:val="left" w:pos="936"/>
          <w:tab w:val="left" w:pos="1314"/>
          <w:tab w:val="left" w:pos="1692"/>
          <w:tab w:val="left" w:pos="2070"/>
        </w:tabs>
        <w:ind w:left="1692"/>
        <w:rPr>
          <w:sz w:val="22"/>
        </w:rPr>
      </w:pPr>
      <w:r>
        <w:rPr>
          <w:sz w:val="22"/>
        </w:rPr>
        <w:t xml:space="preserve">(a)  </w:t>
      </w:r>
      <w:proofErr w:type="gramStart"/>
      <w:r>
        <w:rPr>
          <w:sz w:val="22"/>
        </w:rPr>
        <w:t>the</w:t>
      </w:r>
      <w:proofErr w:type="gramEnd"/>
      <w:r>
        <w:rPr>
          <w:sz w:val="22"/>
        </w:rPr>
        <w:t xml:space="preserve"> origin of the funds in a joint bank account, who opened the account, or whose money was used to open the account;</w:t>
      </w:r>
    </w:p>
    <w:p w:rsidR="000D19CD" w:rsidRDefault="000D19CD" w:rsidP="00E12676">
      <w:pPr>
        <w:widowControl w:val="0"/>
        <w:tabs>
          <w:tab w:val="left" w:pos="936"/>
          <w:tab w:val="left" w:pos="1314"/>
          <w:tab w:val="left" w:pos="1692"/>
          <w:tab w:val="left" w:pos="2070"/>
        </w:tabs>
        <w:ind w:left="1692"/>
        <w:rPr>
          <w:sz w:val="22"/>
        </w:rPr>
      </w:pPr>
      <w:r>
        <w:rPr>
          <w:sz w:val="22"/>
        </w:rPr>
        <w:t>(b)  federal and state tax records as to which joint account holders pay the tax on interest credited to the account as income;</w:t>
      </w:r>
    </w:p>
    <w:p w:rsidR="000D19CD" w:rsidRDefault="000D19CD" w:rsidP="00E12676">
      <w:pPr>
        <w:widowControl w:val="0"/>
        <w:tabs>
          <w:tab w:val="left" w:pos="936"/>
          <w:tab w:val="left" w:pos="1314"/>
          <w:tab w:val="left" w:pos="1692"/>
          <w:tab w:val="left" w:pos="2070"/>
        </w:tabs>
        <w:ind w:left="1692"/>
        <w:rPr>
          <w:sz w:val="22"/>
        </w:rPr>
      </w:pPr>
      <w:r>
        <w:rPr>
          <w:sz w:val="22"/>
        </w:rPr>
        <w:t xml:space="preserve">(c)  </w:t>
      </w:r>
      <w:proofErr w:type="gramStart"/>
      <w:r>
        <w:rPr>
          <w:sz w:val="22"/>
        </w:rPr>
        <w:t>records</w:t>
      </w:r>
      <w:proofErr w:type="gramEnd"/>
      <w:r>
        <w:rPr>
          <w:sz w:val="22"/>
        </w:rPr>
        <w:t xml:space="preserve"> of who makes deposits and withdrawals and, if appropriate, how withdrawn funds are spent;</w:t>
      </w:r>
    </w:p>
    <w:p w:rsidR="000D19CD" w:rsidRDefault="000D19CD" w:rsidP="00E12676">
      <w:pPr>
        <w:widowControl w:val="0"/>
        <w:tabs>
          <w:tab w:val="left" w:pos="936"/>
          <w:tab w:val="left" w:pos="1314"/>
          <w:tab w:val="left" w:pos="1692"/>
          <w:tab w:val="left" w:pos="2070"/>
        </w:tabs>
        <w:ind w:left="1692"/>
        <w:rPr>
          <w:sz w:val="22"/>
        </w:rPr>
      </w:pPr>
      <w:r>
        <w:rPr>
          <w:sz w:val="22"/>
        </w:rPr>
        <w:t xml:space="preserve">(d)  </w:t>
      </w:r>
      <w:proofErr w:type="gramStart"/>
      <w:r>
        <w:rPr>
          <w:sz w:val="22"/>
        </w:rPr>
        <w:t>any</w:t>
      </w:r>
      <w:proofErr w:type="gramEnd"/>
      <w:r>
        <w:rPr>
          <w:sz w:val="22"/>
        </w:rPr>
        <w:t xml:space="preserve"> evidence of written or oral agreements made between the parties at the time of the creation of the account;</w:t>
      </w:r>
    </w:p>
    <w:p w:rsidR="000D19CD" w:rsidRDefault="000D19CD" w:rsidP="00E12676">
      <w:pPr>
        <w:widowControl w:val="0"/>
        <w:tabs>
          <w:tab w:val="left" w:pos="936"/>
          <w:tab w:val="left" w:pos="1314"/>
          <w:tab w:val="left" w:pos="1692"/>
          <w:tab w:val="left" w:pos="2070"/>
        </w:tabs>
        <w:ind w:left="1692"/>
        <w:rPr>
          <w:sz w:val="22"/>
        </w:rPr>
      </w:pPr>
      <w:r>
        <w:rPr>
          <w:sz w:val="22"/>
        </w:rPr>
        <w:t>(e)  evidence of age, relationship, physical or mental condition, or place of residence of the co-holders when the applicant or member states that he or she does not own the account but is listed as a co</w:t>
      </w:r>
      <w:r>
        <w:rPr>
          <w:sz w:val="22"/>
        </w:rPr>
        <w:noBreakHyphen/>
        <w:t>holder solely as a convenience to the other co</w:t>
      </w:r>
      <w:r>
        <w:rPr>
          <w:sz w:val="22"/>
        </w:rPr>
        <w:noBreakHyphen/>
        <w:t>holder to conduct bank transactions on his or her behalf; and</w:t>
      </w:r>
    </w:p>
    <w:p w:rsidR="000D19CD" w:rsidRDefault="000D19CD" w:rsidP="00E12676">
      <w:pPr>
        <w:widowControl w:val="0"/>
        <w:tabs>
          <w:tab w:val="left" w:pos="936"/>
          <w:tab w:val="left" w:pos="1314"/>
          <w:tab w:val="left" w:pos="1692"/>
          <w:tab w:val="left" w:pos="2070"/>
        </w:tabs>
        <w:ind w:left="1692"/>
        <w:rPr>
          <w:sz w:val="22"/>
        </w:rPr>
      </w:pPr>
      <w:r>
        <w:rPr>
          <w:sz w:val="22"/>
        </w:rPr>
        <w:t xml:space="preserve">(f)  </w:t>
      </w:r>
      <w:proofErr w:type="gramStart"/>
      <w:r>
        <w:rPr>
          <w:sz w:val="22"/>
        </w:rPr>
        <w:t>why</w:t>
      </w:r>
      <w:proofErr w:type="gramEnd"/>
      <w:r>
        <w:rPr>
          <w:sz w:val="22"/>
        </w:rPr>
        <w:t xml:space="preserve"> the applicant or member is listed on the account;</w:t>
      </w:r>
    </w:p>
    <w:p w:rsidR="000D19CD" w:rsidRDefault="000D19CD" w:rsidP="00E12676">
      <w:pPr>
        <w:widowControl w:val="0"/>
        <w:tabs>
          <w:tab w:val="left" w:pos="936"/>
          <w:tab w:val="left" w:pos="1314"/>
          <w:tab w:val="left" w:pos="1692"/>
          <w:tab w:val="left" w:pos="2070"/>
        </w:tabs>
        <w:ind w:left="1310"/>
        <w:rPr>
          <w:sz w:val="22"/>
        </w:rPr>
      </w:pPr>
      <w:r>
        <w:rPr>
          <w:sz w:val="22"/>
        </w:rPr>
        <w:t xml:space="preserve">(4)  </w:t>
      </w:r>
      <w:proofErr w:type="gramStart"/>
      <w:r>
        <w:rPr>
          <w:sz w:val="22"/>
        </w:rPr>
        <w:t>certification</w:t>
      </w:r>
      <w:proofErr w:type="gramEnd"/>
      <w:r>
        <w:rPr>
          <w:sz w:val="22"/>
        </w:rPr>
        <w:t xml:space="preserve"> of ownership;</w:t>
      </w:r>
    </w:p>
    <w:p w:rsidR="000D19CD" w:rsidRDefault="000D19CD" w:rsidP="00E12676">
      <w:pPr>
        <w:widowControl w:val="0"/>
        <w:tabs>
          <w:tab w:val="left" w:pos="936"/>
          <w:tab w:val="left" w:pos="1314"/>
          <w:tab w:val="left" w:pos="1692"/>
          <w:tab w:val="left" w:pos="2070"/>
        </w:tabs>
        <w:ind w:left="1314"/>
        <w:rPr>
          <w:sz w:val="22"/>
        </w:rPr>
      </w:pPr>
      <w:r>
        <w:rPr>
          <w:sz w:val="22"/>
        </w:rPr>
        <w:t>(5)  financial-institution records indicating the establishment of an account that accurately reflect the ownership interest of funds from the joint account;</w:t>
      </w:r>
    </w:p>
    <w:p w:rsidR="000D19CD" w:rsidRDefault="000D19CD" w:rsidP="00E12676">
      <w:pPr>
        <w:widowControl w:val="0"/>
        <w:tabs>
          <w:tab w:val="left" w:pos="936"/>
          <w:tab w:val="left" w:pos="1314"/>
          <w:tab w:val="left" w:pos="1692"/>
          <w:tab w:val="left" w:pos="2070"/>
        </w:tabs>
        <w:ind w:left="1314"/>
        <w:rPr>
          <w:sz w:val="22"/>
        </w:rPr>
      </w:pPr>
      <w:r>
        <w:rPr>
          <w:sz w:val="22"/>
        </w:rPr>
        <w:t xml:space="preserve">(6)  </w:t>
      </w:r>
      <w:proofErr w:type="gramStart"/>
      <w:r>
        <w:rPr>
          <w:sz w:val="22"/>
        </w:rPr>
        <w:t>other</w:t>
      </w:r>
      <w:proofErr w:type="gramEnd"/>
      <w:r>
        <w:rPr>
          <w:sz w:val="22"/>
        </w:rPr>
        <w:t xml:space="preserve"> documentation that indicates ownership, asset value, and restrictions on access;</w:t>
      </w:r>
    </w:p>
    <w:p w:rsidR="000D19CD" w:rsidRDefault="000D19CD" w:rsidP="00E12676">
      <w:pPr>
        <w:widowControl w:val="0"/>
        <w:tabs>
          <w:tab w:val="left" w:pos="936"/>
          <w:tab w:val="left" w:pos="1314"/>
          <w:tab w:val="left" w:pos="1692"/>
          <w:tab w:val="left" w:pos="2070"/>
        </w:tabs>
        <w:ind w:left="1310"/>
        <w:rPr>
          <w:sz w:val="22"/>
        </w:rPr>
      </w:pPr>
      <w:r>
        <w:rPr>
          <w:sz w:val="22"/>
        </w:rPr>
        <w:t xml:space="preserve">(7)  </w:t>
      </w:r>
      <w:proofErr w:type="gramStart"/>
      <w:r>
        <w:rPr>
          <w:sz w:val="22"/>
        </w:rPr>
        <w:t>a</w:t>
      </w:r>
      <w:proofErr w:type="gramEnd"/>
      <w:r>
        <w:rPr>
          <w:sz w:val="22"/>
        </w:rPr>
        <w:t xml:space="preserve"> notarized affidavit, sworn to under penalty of perjury, signed by all owners of the asset, and attesting to the distribution of ownership; or</w:t>
      </w:r>
    </w:p>
    <w:p w:rsidR="000D19CD" w:rsidRDefault="000D19CD" w:rsidP="00554E2D">
      <w:pPr>
        <w:widowControl w:val="0"/>
        <w:tabs>
          <w:tab w:val="left" w:pos="936"/>
          <w:tab w:val="left" w:pos="1080"/>
          <w:tab w:val="left" w:pos="2070"/>
        </w:tabs>
        <w:ind w:left="1350" w:hanging="40"/>
        <w:rPr>
          <w:sz w:val="22"/>
        </w:rPr>
      </w:pPr>
      <w:r>
        <w:rPr>
          <w:sz w:val="22"/>
        </w:rPr>
        <w:t xml:space="preserve">(8)  the self-declaration of the individual who </w:t>
      </w:r>
      <w:r w:rsidRPr="00641D9A">
        <w:rPr>
          <w:sz w:val="22"/>
        </w:rPr>
        <w:t xml:space="preserve">is applying solely for MassHealth Senior Buy-In for Qualified Medicare Beneficiaries (QMB) as described in 130 CMR 519.010: MassHealth Senior Buy-In (for Qualified Medicare Beneficiaries (QMB)) or MassHealth Buy-In for Specified Low Income Medicare Beneficiaries (SLMB) or MassHealth Buy-In for Qualifying Individuals (QI) both as described in 130 CMR 519.011: </w:t>
      </w:r>
      <w:r w:rsidRPr="00641D9A">
        <w:rPr>
          <w:i/>
          <w:sz w:val="22"/>
        </w:rPr>
        <w:t>MassHealth Buy-In</w:t>
      </w:r>
      <w:r w:rsidRPr="00641D9A">
        <w:rPr>
          <w:sz w:val="22"/>
        </w:rPr>
        <w:t>, provided that the MassHealth agency may use electronic data sources to verify eligibility, and at its discretion, request additional verification from the individual</w:t>
      </w:r>
      <w:r>
        <w:rPr>
          <w:sz w:val="22"/>
        </w:rPr>
        <w:t>.</w:t>
      </w:r>
    </w:p>
    <w:p w:rsidR="003B1C84" w:rsidRDefault="003B1C84" w:rsidP="00554E2D">
      <w:pPr>
        <w:widowControl w:val="0"/>
        <w:tabs>
          <w:tab w:val="left" w:pos="936"/>
          <w:tab w:val="left" w:pos="1080"/>
          <w:tab w:val="left" w:pos="2070"/>
        </w:tabs>
        <w:ind w:left="1350" w:hanging="40"/>
        <w:rPr>
          <w:sz w:val="22"/>
        </w:rPr>
      </w:pPr>
    </w:p>
    <w:p w:rsidR="003B1C84" w:rsidRDefault="003B1C84" w:rsidP="00554E2D">
      <w:pPr>
        <w:widowControl w:val="0"/>
        <w:tabs>
          <w:tab w:val="left" w:pos="936"/>
          <w:tab w:val="left" w:pos="1080"/>
          <w:tab w:val="left" w:pos="2070"/>
        </w:tabs>
        <w:ind w:left="1350" w:hanging="40"/>
        <w:rPr>
          <w:sz w:val="22"/>
        </w:rPr>
      </w:pPr>
    </w:p>
    <w:p w:rsidR="000D19CD" w:rsidRPr="003B32CA" w:rsidRDefault="000D19CD" w:rsidP="00E62F02">
      <w:pPr>
        <w:jc w:val="center"/>
        <w:rPr>
          <w:rFonts w:ascii="Helvetica" w:hAnsi="Helvetica"/>
          <w:b/>
          <w:sz w:val="22"/>
          <w:szCs w:val="22"/>
        </w:rPr>
      </w:pPr>
      <w:r w:rsidRPr="003B32CA">
        <w:rPr>
          <w:rFonts w:ascii="Helvetica" w:hAnsi="Helvetica"/>
          <w:b/>
          <w:sz w:val="22"/>
          <w:szCs w:val="22"/>
        </w:rPr>
        <w:t>130 CMR:  DIVISION OF MEDICAL ASSISTANCE</w:t>
      </w:r>
    </w:p>
    <w:p w:rsidR="000D19CD" w:rsidRPr="003B32CA" w:rsidRDefault="000D19CD" w:rsidP="00E62F02">
      <w:pPr>
        <w:rPr>
          <w:rFonts w:ascii="Helvetica" w:hAnsi="Helvetica"/>
          <w:b/>
          <w:sz w:val="22"/>
          <w:szCs w:val="22"/>
        </w:rPr>
      </w:pPr>
      <w:r>
        <w:rPr>
          <w:noProof/>
        </w:rPr>
        <mc:AlternateContent>
          <mc:Choice Requires="wps">
            <w:drawing>
              <wp:anchor distT="4294967294" distB="4294967294" distL="114300" distR="114300" simplePos="0" relativeHeight="251672064"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1.7pt;margin-top:6.25pt;width:492pt;height:0;z-index:251672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"/>
            </w:pict>
          </mc:Fallback>
        </mc:AlternateContent>
      </w:r>
    </w:p>
    <w:p w:rsidR="000D19CD" w:rsidRPr="003B32CA" w:rsidRDefault="008446C7" w:rsidP="00E62F02">
      <w:pPr>
        <w:rPr>
          <w:rFonts w:ascii="Helvetica" w:hAnsi="Helvetica"/>
          <w:b/>
          <w:sz w:val="22"/>
          <w:szCs w:val="22"/>
        </w:rPr>
      </w:pPr>
      <w:r>
        <w:rPr>
          <w:rFonts w:ascii="Helvetica" w:hAnsi="Helvetica"/>
          <w:b/>
          <w:sz w:val="22"/>
          <w:szCs w:val="22"/>
        </w:rPr>
        <w:t>Trans. by E.L. 236</w:t>
      </w:r>
    </w:p>
    <w:p w:rsidR="000D19CD" w:rsidRPr="003B32CA" w:rsidRDefault="000D19CD" w:rsidP="00E62F02">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01/01/20</w:t>
      </w:r>
    </w:p>
    <w:p w:rsidR="000D19CD" w:rsidRDefault="000D19CD" w:rsidP="00E62F02">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rsidR="000D19CD" w:rsidRDefault="000D19CD" w:rsidP="00E62F02">
      <w:pPr>
        <w:jc w:val="center"/>
        <w:rPr>
          <w:rFonts w:ascii="Helvetica" w:hAnsi="Helvetica"/>
          <w:b/>
          <w:sz w:val="22"/>
        </w:rPr>
      </w:pPr>
      <w:r>
        <w:rPr>
          <w:rFonts w:ascii="Helvetica" w:hAnsi="Helvetica"/>
          <w:b/>
          <w:sz w:val="22"/>
        </w:rPr>
        <w:t>FINANCIAL ELIGIBILITY</w:t>
      </w:r>
    </w:p>
    <w:p w:rsidR="000D19CD" w:rsidRPr="003B32CA" w:rsidRDefault="000D19CD" w:rsidP="00E62F02">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rsidR="000D19CD" w:rsidRPr="003B32CA" w:rsidRDefault="000D19CD" w:rsidP="00E62F02">
      <w:pPr>
        <w:rPr>
          <w:rFonts w:ascii="Helvetica" w:hAnsi="Helvetica"/>
          <w:b/>
          <w:sz w:val="22"/>
          <w:szCs w:val="22"/>
        </w:rPr>
      </w:pPr>
      <w:r>
        <w:rPr>
          <w:rFonts w:ascii="Helvetica" w:hAnsi="Helvetica"/>
          <w:b/>
          <w:sz w:val="22"/>
          <w:szCs w:val="22"/>
        </w:rPr>
        <w:t>Page 520.007 (1 of 9)</w:t>
      </w:r>
    </w:p>
    <w:p w:rsidR="000D19CD" w:rsidRPr="00162A3C" w:rsidRDefault="000D19CD" w:rsidP="00E62F02">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4" distB="4294967294" distL="114300" distR="114300" simplePos="0" relativeHeight="251673088"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1.4pt;margin-top:9.95pt;width:492pt;height:0;z-index:251673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FwRqWolAgAASgQAAA4AAAAAAAAAAAAAAAAALgIAAGRycy9lMm9Eb2Mu&#10;eG1sUEsBAi0AFAAGAAgAAAAhAKfmR7LdAAAACQEAAA8AAAAAAAAAAAAAAAAAfwQAAGRycy9kb3du&#10;cmV2LnhtbFBLBQYAAAAABAAEAPMAAACJBQAAAAA=&#10;"/>
            </w:pict>
          </mc:Fallback>
        </mc:AlternateContent>
      </w:r>
    </w:p>
    <w:p w:rsidR="000D19CD" w:rsidRPr="007E70ED" w:rsidRDefault="000D19CD" w:rsidP="00E62F02">
      <w:pPr>
        <w:rPr>
          <w:sz w:val="22"/>
          <w:szCs w:val="22"/>
        </w:rPr>
      </w:pPr>
    </w:p>
    <w:p w:rsidR="000D19CD" w:rsidRDefault="000D19CD" w:rsidP="00E62F02">
      <w:pPr>
        <w:widowControl w:val="0"/>
        <w:tabs>
          <w:tab w:val="left" w:pos="936"/>
          <w:tab w:val="left" w:pos="1314"/>
          <w:tab w:val="left" w:pos="1692"/>
          <w:tab w:val="left" w:pos="2070"/>
        </w:tabs>
        <w:ind w:left="936" w:hanging="936"/>
        <w:rPr>
          <w:sz w:val="22"/>
        </w:rPr>
      </w:pPr>
      <w:r>
        <w:rPr>
          <w:sz w:val="22"/>
          <w:u w:val="single"/>
        </w:rPr>
        <w:t>520.007:</w:t>
      </w:r>
      <w:r>
        <w:rPr>
          <w:sz w:val="22"/>
          <w:u w:val="single"/>
        </w:rPr>
        <w:tab/>
        <w:t>Countable Assets</w:t>
      </w:r>
    </w:p>
    <w:p w:rsidR="000D19CD" w:rsidRDefault="000D19CD" w:rsidP="00E62F02">
      <w:pPr>
        <w:widowControl w:val="0"/>
        <w:tabs>
          <w:tab w:val="left" w:pos="936"/>
          <w:tab w:val="left" w:pos="1314"/>
          <w:tab w:val="left" w:pos="1692"/>
          <w:tab w:val="left" w:pos="2070"/>
        </w:tabs>
        <w:rPr>
          <w:sz w:val="22"/>
        </w:rPr>
      </w:pPr>
    </w:p>
    <w:p w:rsidR="000D19CD" w:rsidRDefault="000D19CD" w:rsidP="00E62F02">
      <w:pPr>
        <w:widowControl w:val="0"/>
        <w:tabs>
          <w:tab w:val="left" w:pos="936"/>
          <w:tab w:val="left" w:pos="1314"/>
          <w:tab w:val="left" w:pos="1692"/>
          <w:tab w:val="left" w:pos="2070"/>
        </w:tabs>
        <w:ind w:left="936" w:firstLine="378"/>
        <w:rPr>
          <w:sz w:val="22"/>
        </w:rPr>
      </w:pPr>
      <w:r>
        <w:rPr>
          <w:sz w:val="22"/>
        </w:rPr>
        <w:t xml:space="preserve">Countable assets are all assets that must be included in the determination of eligibility. Countable assets include assets to which the applicant or member or his or her spouse would be entitled whether or not these assets are actually received when failure to receive such assets results from the action or inaction of the applicant, member, spouse, or person acting on his or her behalf. In determining whether or not failure to receive such assets is reasonably considered to result from such action or inaction, the MassHealth agency considers the specific circumstances involved. The applicant or member and the spouse must verify the total value of countable assets. However, if he </w:t>
      </w:r>
      <w:r w:rsidRPr="00220582">
        <w:rPr>
          <w:sz w:val="22"/>
        </w:rPr>
        <w:t xml:space="preserve">or she is applying solely for MassHealth Senior Buy-In for Qualified Medicare Beneficiaries (QMB) as described in 130 CMR 519.010: </w:t>
      </w:r>
      <w:r w:rsidRPr="00CF2B8B">
        <w:rPr>
          <w:i/>
          <w:sz w:val="22"/>
        </w:rPr>
        <w:t xml:space="preserve">MassHealth Senior </w:t>
      </w:r>
      <w:r w:rsidRPr="00220582">
        <w:rPr>
          <w:i/>
          <w:sz w:val="22"/>
        </w:rPr>
        <w:t>Buy-In for Qualified Medicare Beneficiaries</w:t>
      </w:r>
      <w:r w:rsidRPr="00CF2B8B">
        <w:rPr>
          <w:i/>
          <w:sz w:val="22"/>
        </w:rPr>
        <w:t xml:space="preserve"> (</w:t>
      </w:r>
      <w:r w:rsidRPr="00220582">
        <w:rPr>
          <w:i/>
          <w:sz w:val="22"/>
        </w:rPr>
        <w:t>Q</w:t>
      </w:r>
      <w:r w:rsidRPr="00CF2B8B">
        <w:rPr>
          <w:i/>
          <w:sz w:val="22"/>
        </w:rPr>
        <w:t>MB)</w:t>
      </w:r>
      <w:r w:rsidRPr="00220582">
        <w:rPr>
          <w:sz w:val="22"/>
        </w:rPr>
        <w:t xml:space="preserve"> or MassHealth Buy-In for Specified Low Income Medicare Beneficiaries (SLMB) or MassHealth Buy-In for Qualifying Individuals (QI) both as described in 130 CMR 519.011: </w:t>
      </w:r>
      <w:r w:rsidRPr="00220582">
        <w:rPr>
          <w:i/>
          <w:sz w:val="22"/>
        </w:rPr>
        <w:t>MassHealth Buy-In</w:t>
      </w:r>
      <w:r w:rsidRPr="00220582">
        <w:rPr>
          <w:sz w:val="22"/>
        </w:rPr>
        <w:t>, verification is required only upon request by the MassHealth agency. 130 CMR 520.007 also contains the verification requirements for certain as</w:t>
      </w:r>
      <w:r>
        <w:rPr>
          <w:sz w:val="22"/>
        </w:rPr>
        <w:t>sets. The assets that the MassHealth agency considers include, but are not limited to, the following.</w:t>
      </w:r>
    </w:p>
    <w:p w:rsidR="000D19CD" w:rsidRPr="004414BE" w:rsidRDefault="000D19CD" w:rsidP="00E62F02">
      <w:pPr>
        <w:widowControl w:val="0"/>
        <w:tabs>
          <w:tab w:val="left" w:pos="936"/>
          <w:tab w:val="left" w:pos="1314"/>
          <w:tab w:val="left" w:pos="1692"/>
          <w:tab w:val="left" w:pos="2070"/>
        </w:tabs>
        <w:ind w:left="936" w:firstLine="378"/>
        <w:rPr>
          <w:sz w:val="16"/>
          <w:szCs w:val="16"/>
        </w:rPr>
      </w:pPr>
    </w:p>
    <w:p w:rsidR="000D19CD" w:rsidRDefault="000D19CD" w:rsidP="00E62F02">
      <w:pPr>
        <w:widowControl w:val="0"/>
        <w:tabs>
          <w:tab w:val="left" w:pos="936"/>
          <w:tab w:val="left" w:pos="1314"/>
          <w:tab w:val="left" w:pos="1692"/>
          <w:tab w:val="left" w:pos="2070"/>
        </w:tabs>
        <w:ind w:left="936"/>
        <w:rPr>
          <w:sz w:val="22"/>
        </w:rPr>
      </w:pPr>
      <w:r>
        <w:rPr>
          <w:sz w:val="22"/>
        </w:rPr>
        <w:t xml:space="preserve">(A)  </w:t>
      </w:r>
      <w:r>
        <w:rPr>
          <w:sz w:val="22"/>
          <w:u w:val="single"/>
        </w:rPr>
        <w:t>Cash</w:t>
      </w:r>
      <w:r>
        <w:rPr>
          <w:sz w:val="22"/>
        </w:rPr>
        <w:t>.</w:t>
      </w:r>
    </w:p>
    <w:p w:rsidR="000D19CD" w:rsidRDefault="000D19CD" w:rsidP="00E62F02">
      <w:pPr>
        <w:widowControl w:val="0"/>
        <w:tabs>
          <w:tab w:val="left" w:pos="936"/>
          <w:tab w:val="left" w:pos="1314"/>
          <w:tab w:val="left" w:pos="1692"/>
          <w:tab w:val="left" w:pos="2070"/>
        </w:tabs>
        <w:ind w:left="1314"/>
        <w:rPr>
          <w:sz w:val="22"/>
        </w:rPr>
      </w:pPr>
      <w:r>
        <w:rPr>
          <w:sz w:val="22"/>
        </w:rPr>
        <w:t xml:space="preserve">(1)  </w:t>
      </w:r>
      <w:r>
        <w:rPr>
          <w:sz w:val="22"/>
          <w:u w:val="single"/>
        </w:rPr>
        <w:t>Definition</w:t>
      </w:r>
      <w:r>
        <w:rPr>
          <w:sz w:val="22"/>
        </w:rPr>
        <w:t>. Cash is defined as currency, checks, and bank drafts in the possession of or available to the applicant, member, or spouse.</w:t>
      </w:r>
    </w:p>
    <w:p w:rsidR="000D19CD" w:rsidRDefault="000D19CD" w:rsidP="00E62F02">
      <w:pPr>
        <w:widowControl w:val="0"/>
        <w:tabs>
          <w:tab w:val="left" w:pos="936"/>
          <w:tab w:val="left" w:pos="1314"/>
          <w:tab w:val="left" w:pos="1692"/>
          <w:tab w:val="left" w:pos="2070"/>
        </w:tabs>
        <w:ind w:left="1314"/>
        <w:rPr>
          <w:sz w:val="22"/>
        </w:rPr>
      </w:pPr>
      <w:r>
        <w:rPr>
          <w:sz w:val="22"/>
        </w:rPr>
        <w:t xml:space="preserve">(2)  </w:t>
      </w:r>
      <w:r>
        <w:rPr>
          <w:sz w:val="22"/>
          <w:u w:val="single"/>
        </w:rPr>
        <w:t>Verification</w:t>
      </w:r>
      <w:r>
        <w:rPr>
          <w:sz w:val="22"/>
        </w:rPr>
        <w:t>. The applicant's or member's declaration on the application or redetermination form stating the amount of cash available to him or her is sufficient verification.</w:t>
      </w:r>
    </w:p>
    <w:p w:rsidR="000D19CD" w:rsidRPr="004414BE" w:rsidRDefault="000D19CD" w:rsidP="00E62F02">
      <w:pPr>
        <w:widowControl w:val="0"/>
        <w:tabs>
          <w:tab w:val="left" w:pos="936"/>
          <w:tab w:val="left" w:pos="1314"/>
          <w:tab w:val="left" w:pos="1692"/>
          <w:tab w:val="left" w:pos="2070"/>
        </w:tabs>
        <w:ind w:left="1692"/>
        <w:rPr>
          <w:sz w:val="16"/>
          <w:szCs w:val="16"/>
        </w:rPr>
      </w:pPr>
    </w:p>
    <w:p w:rsidR="000D19CD" w:rsidRDefault="000D19CD" w:rsidP="00E62F02">
      <w:pPr>
        <w:widowControl w:val="0"/>
        <w:tabs>
          <w:tab w:val="left" w:pos="936"/>
          <w:tab w:val="left" w:pos="1314"/>
          <w:tab w:val="left" w:pos="1692"/>
          <w:tab w:val="left" w:pos="2070"/>
        </w:tabs>
        <w:ind w:left="936"/>
        <w:rPr>
          <w:sz w:val="22"/>
        </w:rPr>
      </w:pPr>
      <w:r>
        <w:rPr>
          <w:sz w:val="22"/>
        </w:rPr>
        <w:t xml:space="preserve">(B)  </w:t>
      </w:r>
      <w:r>
        <w:rPr>
          <w:sz w:val="22"/>
          <w:u w:val="single"/>
        </w:rPr>
        <w:t>Bank Accounts</w:t>
      </w:r>
      <w:r>
        <w:rPr>
          <w:sz w:val="22"/>
        </w:rPr>
        <w:t>.</w:t>
      </w:r>
    </w:p>
    <w:p w:rsidR="000D19CD" w:rsidRDefault="000D19CD" w:rsidP="00E62F02">
      <w:pPr>
        <w:widowControl w:val="0"/>
        <w:tabs>
          <w:tab w:val="left" w:pos="936"/>
          <w:tab w:val="left" w:pos="1314"/>
          <w:tab w:val="left" w:pos="1692"/>
          <w:tab w:val="left" w:pos="2070"/>
        </w:tabs>
        <w:ind w:left="1314"/>
        <w:rPr>
          <w:sz w:val="22"/>
        </w:rPr>
      </w:pPr>
      <w:r>
        <w:rPr>
          <w:sz w:val="22"/>
        </w:rPr>
        <w:t xml:space="preserve">(1)  </w:t>
      </w:r>
      <w:r>
        <w:rPr>
          <w:sz w:val="22"/>
          <w:u w:val="single"/>
        </w:rPr>
        <w:t>Definition</w:t>
      </w:r>
      <w:r>
        <w:rPr>
          <w:sz w:val="22"/>
        </w:rPr>
        <w:t>. Bank accounts are defined as deposits in a bank, savings and loan institution, credit union, or other financial institution. Bank accounts may be in the form of savings, checking, or trust accounts, term certificates, or other types of accounts.</w:t>
      </w:r>
    </w:p>
    <w:p w:rsidR="000D19CD" w:rsidRDefault="000D19CD" w:rsidP="00E62F02">
      <w:pPr>
        <w:widowControl w:val="0"/>
        <w:tabs>
          <w:tab w:val="left" w:pos="936"/>
          <w:tab w:val="left" w:pos="1314"/>
          <w:tab w:val="left" w:pos="1692"/>
          <w:tab w:val="left" w:pos="2070"/>
        </w:tabs>
        <w:ind w:left="1314"/>
        <w:rPr>
          <w:sz w:val="22"/>
        </w:rPr>
      </w:pPr>
      <w:r>
        <w:rPr>
          <w:sz w:val="22"/>
        </w:rPr>
        <w:t xml:space="preserve">(2)  </w:t>
      </w:r>
      <w:r>
        <w:rPr>
          <w:sz w:val="22"/>
          <w:u w:val="single"/>
        </w:rPr>
        <w:t>Determination of Ownership and Accessibility</w:t>
      </w:r>
      <w:r>
        <w:rPr>
          <w:sz w:val="22"/>
        </w:rPr>
        <w:t>. The MassHealth agency considers funds in a bank account available only to the extent that the applicant or member has both ownership of and access to such funds. The MassHealth agency determines the ownership of and access to the funds in accordance with 130 CMR 520.005 and 520.006.</w:t>
      </w:r>
    </w:p>
    <w:p w:rsidR="000D19CD" w:rsidRDefault="000D19CD" w:rsidP="00E62F02">
      <w:pPr>
        <w:widowControl w:val="0"/>
        <w:tabs>
          <w:tab w:val="left" w:pos="936"/>
          <w:tab w:val="left" w:pos="1314"/>
          <w:tab w:val="left" w:pos="2070"/>
        </w:tabs>
        <w:ind w:left="1314"/>
        <w:rPr>
          <w:sz w:val="22"/>
        </w:rPr>
      </w:pPr>
      <w:r>
        <w:rPr>
          <w:sz w:val="22"/>
        </w:rPr>
        <w:t xml:space="preserve">(3)  </w:t>
      </w:r>
      <w:r>
        <w:rPr>
          <w:sz w:val="22"/>
          <w:u w:val="single"/>
        </w:rPr>
        <w:t>Verification of Account Balances</w:t>
      </w:r>
      <w:r>
        <w:rPr>
          <w:sz w:val="22"/>
        </w:rPr>
        <w:t>. The MassHealth agency requires verification of the current balance of each account at application, during eligibility review, and at times of reported change.</w:t>
      </w:r>
    </w:p>
    <w:p w:rsidR="000D19CD" w:rsidRDefault="000D19CD" w:rsidP="00E62F02">
      <w:pPr>
        <w:widowControl w:val="0"/>
        <w:tabs>
          <w:tab w:val="left" w:pos="936"/>
          <w:tab w:val="left" w:pos="1314"/>
          <w:tab w:val="left" w:pos="1692"/>
        </w:tabs>
        <w:ind w:left="1692"/>
        <w:rPr>
          <w:sz w:val="22"/>
        </w:rPr>
      </w:pPr>
      <w:r>
        <w:rPr>
          <w:sz w:val="22"/>
        </w:rPr>
        <w:t xml:space="preserve">(a)  Noninstitutionalized individuals excluding the individuals described at 130 CMR 519.007(B): </w:t>
      </w:r>
      <w:r>
        <w:rPr>
          <w:i/>
          <w:sz w:val="22"/>
        </w:rPr>
        <w:t>Home- and Community-Based Services Waiver-Frail Elder</w:t>
      </w:r>
      <w:r>
        <w:rPr>
          <w:sz w:val="22"/>
        </w:rPr>
        <w:t xml:space="preserve"> must verify the amount on deposit by bank books or bank statements that show the bank balance within 45 days of the date of application or the date that the eligibility review is received in a MassHealth Enrollment Center or outreach site.</w:t>
      </w:r>
    </w:p>
    <w:p w:rsidR="000D19CD" w:rsidRDefault="000D19CD" w:rsidP="00E62F02">
      <w:pPr>
        <w:widowControl w:val="0"/>
        <w:tabs>
          <w:tab w:val="left" w:pos="936"/>
          <w:tab w:val="left" w:pos="1314"/>
          <w:tab w:val="left" w:pos="1692"/>
          <w:tab w:val="left" w:pos="2070"/>
        </w:tabs>
        <w:ind w:left="1692"/>
        <w:rPr>
          <w:sz w:val="22"/>
        </w:rPr>
      </w:pPr>
      <w:r>
        <w:rPr>
          <w:sz w:val="22"/>
        </w:rPr>
        <w:t>(b)  Nursing-facility residents as described at 130 CMR 515.001</w:t>
      </w:r>
      <w:r w:rsidRPr="00476BB0">
        <w:rPr>
          <w:sz w:val="22"/>
          <w:szCs w:val="22"/>
        </w:rPr>
        <w:t xml:space="preserve">: </w:t>
      </w:r>
      <w:r w:rsidRPr="00476BB0">
        <w:rPr>
          <w:i/>
          <w:sz w:val="22"/>
          <w:szCs w:val="22"/>
        </w:rPr>
        <w:t>Definition of Terms</w:t>
      </w:r>
      <w:r>
        <w:rPr>
          <w:sz w:val="22"/>
        </w:rPr>
        <w:t xml:space="preserve"> must verify the amount on deposit by bank books or bank statements that show the current balance and account activity during the look</w:t>
      </w:r>
      <w:r>
        <w:rPr>
          <w:sz w:val="22"/>
        </w:rPr>
        <w:noBreakHyphen/>
        <w:t>back period.</w:t>
      </w:r>
    </w:p>
    <w:p w:rsidR="000D19CD" w:rsidRPr="003B32CA" w:rsidRDefault="000D19CD" w:rsidP="007D5690">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0D19CD" w:rsidRPr="003B32CA" w:rsidRDefault="000D19CD" w:rsidP="007D5690">
      <w:pPr>
        <w:rPr>
          <w:rFonts w:ascii="Helvetica" w:hAnsi="Helvetica"/>
          <w:b/>
          <w:sz w:val="22"/>
          <w:szCs w:val="22"/>
        </w:rPr>
      </w:pPr>
      <w:r>
        <w:rPr>
          <w:noProof/>
        </w:rPr>
        <mc:AlternateContent>
          <mc:Choice Requires="wps">
            <w:drawing>
              <wp:anchor distT="4294967294" distB="4294967294" distL="114300" distR="114300" simplePos="0" relativeHeight="251674112"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21.7pt;margin-top:6.25pt;width:492pt;height:0;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88JA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"/>
            </w:pict>
          </mc:Fallback>
        </mc:AlternateContent>
      </w:r>
    </w:p>
    <w:p w:rsidR="000D19CD" w:rsidRPr="003B32CA" w:rsidRDefault="008446C7" w:rsidP="007D5690">
      <w:pPr>
        <w:rPr>
          <w:rFonts w:ascii="Helvetica" w:hAnsi="Helvetica"/>
          <w:b/>
          <w:sz w:val="22"/>
          <w:szCs w:val="22"/>
        </w:rPr>
      </w:pPr>
      <w:r>
        <w:rPr>
          <w:rFonts w:ascii="Helvetica" w:hAnsi="Helvetica"/>
          <w:b/>
          <w:sz w:val="22"/>
          <w:szCs w:val="22"/>
        </w:rPr>
        <w:t>Trans. by E.L. 236</w:t>
      </w:r>
    </w:p>
    <w:p w:rsidR="000D19CD" w:rsidRPr="003B32CA" w:rsidRDefault="000D19CD" w:rsidP="007D5690">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01/01/20</w:t>
      </w:r>
    </w:p>
    <w:p w:rsidR="000D19CD" w:rsidRDefault="000D19CD" w:rsidP="007D5690">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rsidR="000D19CD" w:rsidRDefault="000D19CD" w:rsidP="007D5690">
      <w:pPr>
        <w:jc w:val="center"/>
        <w:rPr>
          <w:rFonts w:ascii="Helvetica" w:hAnsi="Helvetica"/>
          <w:b/>
          <w:sz w:val="22"/>
        </w:rPr>
      </w:pPr>
      <w:r>
        <w:rPr>
          <w:rFonts w:ascii="Helvetica" w:hAnsi="Helvetica"/>
          <w:b/>
          <w:sz w:val="22"/>
        </w:rPr>
        <w:t>FINANCIAL ELIGIBILITY</w:t>
      </w:r>
    </w:p>
    <w:p w:rsidR="000D19CD" w:rsidRPr="003B32CA" w:rsidRDefault="000D19CD" w:rsidP="007D5690">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rsidR="000D19CD" w:rsidRPr="003B32CA" w:rsidRDefault="000D19CD" w:rsidP="007D5690">
      <w:pPr>
        <w:rPr>
          <w:rFonts w:ascii="Helvetica" w:hAnsi="Helvetica"/>
          <w:b/>
          <w:sz w:val="22"/>
          <w:szCs w:val="22"/>
        </w:rPr>
      </w:pPr>
      <w:r>
        <w:rPr>
          <w:rFonts w:ascii="Helvetica" w:hAnsi="Helvetica"/>
          <w:b/>
          <w:sz w:val="22"/>
          <w:szCs w:val="22"/>
        </w:rPr>
        <w:t>Page 520.009 (3 of 3)</w:t>
      </w:r>
    </w:p>
    <w:p w:rsidR="000D19CD" w:rsidRPr="00162A3C" w:rsidRDefault="000D19CD" w:rsidP="007D5690">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4" distB="4294967294" distL="114300" distR="114300" simplePos="0" relativeHeight="251675136" behindDoc="0" locked="0" layoutInCell="1" allowOverlap="1">
                <wp:simplePos x="0" y="0"/>
                <wp:positionH relativeFrom="column">
                  <wp:posOffset>-271780</wp:posOffset>
                </wp:positionH>
                <wp:positionV relativeFrom="paragraph">
                  <wp:posOffset>81839</wp:posOffset>
                </wp:positionV>
                <wp:extent cx="62484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21.4pt;margin-top:6.45pt;width:492pt;height:0;z-index:2516751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Ae2JA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"/>
            </w:pict>
          </mc:Fallback>
        </mc:AlternateContent>
      </w:r>
    </w:p>
    <w:p w:rsidR="000D19CD" w:rsidRPr="004A7064" w:rsidRDefault="000D19CD" w:rsidP="007D5690">
      <w:pPr>
        <w:rPr>
          <w:sz w:val="8"/>
          <w:szCs w:val="8"/>
        </w:rPr>
      </w:pPr>
    </w:p>
    <w:p w:rsidR="000D19CD" w:rsidRDefault="000D19CD" w:rsidP="007D5690">
      <w:pPr>
        <w:widowControl w:val="0"/>
        <w:tabs>
          <w:tab w:val="left" w:pos="936"/>
          <w:tab w:val="left" w:pos="1314"/>
          <w:tab w:val="left" w:pos="1692"/>
          <w:tab w:val="left" w:pos="2070"/>
        </w:tabs>
        <w:ind w:left="1314"/>
        <w:rPr>
          <w:sz w:val="22"/>
        </w:rPr>
      </w:pPr>
      <w:r>
        <w:rPr>
          <w:sz w:val="22"/>
        </w:rPr>
        <w:t xml:space="preserve">(3)  </w:t>
      </w:r>
      <w:r>
        <w:rPr>
          <w:sz w:val="22"/>
          <w:u w:val="single"/>
        </w:rPr>
        <w:t>Verification of Earned Income</w:t>
      </w:r>
      <w:r>
        <w:rPr>
          <w:sz w:val="22"/>
        </w:rPr>
        <w:t xml:space="preserve">. The applicant or member must verify gross earned income. However, if he or she is </w:t>
      </w:r>
      <w:r w:rsidRPr="00B9493C">
        <w:rPr>
          <w:sz w:val="22"/>
        </w:rPr>
        <w:t xml:space="preserve">applying solely for MassHealth Senior Buy-In for Qualified Medicare Beneficiaries (QMB) as described in 130 CMR 519.010: </w:t>
      </w:r>
      <w:r w:rsidRPr="00CF2B8B">
        <w:rPr>
          <w:i/>
          <w:sz w:val="22"/>
        </w:rPr>
        <w:t>MassHealth Buy-In</w:t>
      </w:r>
      <w:r w:rsidRPr="00B9493C">
        <w:rPr>
          <w:sz w:val="22"/>
        </w:rPr>
        <w:t xml:space="preserve"> (</w:t>
      </w:r>
      <w:r w:rsidRPr="00CF2B8B">
        <w:rPr>
          <w:i/>
          <w:sz w:val="22"/>
        </w:rPr>
        <w:t xml:space="preserve">for </w:t>
      </w:r>
      <w:r w:rsidRPr="00B9493C">
        <w:rPr>
          <w:i/>
          <w:sz w:val="22"/>
        </w:rPr>
        <w:t>Qualified Medicare Beneficiaries (QMB)</w:t>
      </w:r>
      <w:proofErr w:type="gramStart"/>
      <w:r w:rsidRPr="00B9493C">
        <w:rPr>
          <w:i/>
          <w:sz w:val="22"/>
        </w:rPr>
        <w:t>)</w:t>
      </w:r>
      <w:r w:rsidRPr="00B9493C">
        <w:rPr>
          <w:sz w:val="22"/>
        </w:rPr>
        <w:t xml:space="preserve">  or</w:t>
      </w:r>
      <w:proofErr w:type="gramEnd"/>
      <w:r w:rsidRPr="00B9493C">
        <w:rPr>
          <w:sz w:val="22"/>
        </w:rPr>
        <w:t xml:space="preserve"> MassHealth Buy-In for Specified Low Income Medicare Beneficiaries (SLMB), or MassHealth Buy-In for Qualifying Individuals (QI), both as described in 130 CMR 519.011:</w:t>
      </w:r>
      <w:r w:rsidRPr="00CF2B8B">
        <w:rPr>
          <w:i/>
          <w:sz w:val="22"/>
        </w:rPr>
        <w:t>MassHealth Buy-In</w:t>
      </w:r>
      <w:r w:rsidRPr="00B9493C">
        <w:rPr>
          <w:sz w:val="22"/>
        </w:rPr>
        <w:t>, , verification is required only upon the request of the MassHealth agency. Verifications include</w:t>
      </w:r>
    </w:p>
    <w:p w:rsidR="000D19CD" w:rsidRDefault="000D19CD" w:rsidP="007D5690">
      <w:pPr>
        <w:widowControl w:val="0"/>
        <w:tabs>
          <w:tab w:val="left" w:pos="936"/>
          <w:tab w:val="left" w:pos="1314"/>
          <w:tab w:val="left" w:pos="1692"/>
          <w:tab w:val="left" w:pos="2070"/>
        </w:tabs>
        <w:ind w:left="1692"/>
        <w:rPr>
          <w:sz w:val="22"/>
        </w:rPr>
      </w:pPr>
      <w:r>
        <w:rPr>
          <w:sz w:val="22"/>
        </w:rPr>
        <w:t xml:space="preserve">(a)  </w:t>
      </w:r>
      <w:proofErr w:type="gramStart"/>
      <w:r>
        <w:rPr>
          <w:sz w:val="22"/>
        </w:rPr>
        <w:t>two</w:t>
      </w:r>
      <w:proofErr w:type="gramEnd"/>
      <w:r>
        <w:rPr>
          <w:sz w:val="22"/>
        </w:rPr>
        <w:t xml:space="preserve"> recent pay stubs;</w:t>
      </w:r>
    </w:p>
    <w:p w:rsidR="000D19CD" w:rsidRDefault="000D19CD" w:rsidP="007D5690">
      <w:pPr>
        <w:widowControl w:val="0"/>
        <w:tabs>
          <w:tab w:val="left" w:pos="936"/>
          <w:tab w:val="left" w:pos="1314"/>
          <w:tab w:val="left" w:pos="1692"/>
          <w:tab w:val="left" w:pos="2070"/>
        </w:tabs>
        <w:ind w:left="1692"/>
        <w:rPr>
          <w:sz w:val="22"/>
        </w:rPr>
      </w:pPr>
      <w:r>
        <w:rPr>
          <w:sz w:val="22"/>
        </w:rPr>
        <w:t xml:space="preserve">(b)  </w:t>
      </w:r>
      <w:proofErr w:type="gramStart"/>
      <w:r>
        <w:rPr>
          <w:sz w:val="22"/>
        </w:rPr>
        <w:t>a</w:t>
      </w:r>
      <w:proofErr w:type="gramEnd"/>
      <w:r>
        <w:rPr>
          <w:sz w:val="22"/>
        </w:rPr>
        <w:t xml:space="preserve"> signed statement from the employer;</w:t>
      </w:r>
    </w:p>
    <w:p w:rsidR="000D19CD" w:rsidRDefault="000D19CD" w:rsidP="007D5690">
      <w:pPr>
        <w:widowControl w:val="0"/>
        <w:tabs>
          <w:tab w:val="left" w:pos="936"/>
          <w:tab w:val="left" w:pos="1314"/>
          <w:tab w:val="left" w:pos="1692"/>
          <w:tab w:val="left" w:pos="2070"/>
        </w:tabs>
        <w:ind w:left="1692"/>
        <w:rPr>
          <w:sz w:val="22"/>
        </w:rPr>
      </w:pPr>
      <w:r>
        <w:rPr>
          <w:sz w:val="22"/>
        </w:rPr>
        <w:t>(</w:t>
      </w:r>
      <w:proofErr w:type="gramStart"/>
      <w:r>
        <w:rPr>
          <w:sz w:val="22"/>
        </w:rPr>
        <w:t>c</w:t>
      </w:r>
      <w:proofErr w:type="gramEnd"/>
      <w:r>
        <w:rPr>
          <w:sz w:val="22"/>
        </w:rPr>
        <w:t>)  the most recent U.S. tax return or self-employment income records;</w:t>
      </w:r>
    </w:p>
    <w:p w:rsidR="000D19CD" w:rsidRDefault="000D19CD" w:rsidP="007D5690">
      <w:pPr>
        <w:widowControl w:val="0"/>
        <w:tabs>
          <w:tab w:val="left" w:pos="936"/>
          <w:tab w:val="left" w:pos="1314"/>
          <w:tab w:val="left" w:pos="1692"/>
          <w:tab w:val="left" w:pos="2070"/>
        </w:tabs>
        <w:ind w:left="1692"/>
        <w:rPr>
          <w:sz w:val="22"/>
        </w:rPr>
      </w:pPr>
      <w:r>
        <w:rPr>
          <w:sz w:val="22"/>
        </w:rPr>
        <w:t xml:space="preserve">(d)  </w:t>
      </w:r>
      <w:proofErr w:type="gramStart"/>
      <w:r>
        <w:rPr>
          <w:sz w:val="22"/>
        </w:rPr>
        <w:t>for</w:t>
      </w:r>
      <w:proofErr w:type="gramEnd"/>
      <w:r>
        <w:rPr>
          <w:sz w:val="22"/>
        </w:rPr>
        <w:t xml:space="preserve"> room and board: a statement signed by both parties stating the amount and frequency of payments; or</w:t>
      </w:r>
    </w:p>
    <w:p w:rsidR="000D19CD" w:rsidRDefault="000D19CD" w:rsidP="007D5690">
      <w:pPr>
        <w:widowControl w:val="0"/>
        <w:tabs>
          <w:tab w:val="left" w:pos="936"/>
          <w:tab w:val="left" w:pos="1314"/>
          <w:tab w:val="left" w:pos="1692"/>
          <w:tab w:val="left" w:pos="2070"/>
        </w:tabs>
        <w:ind w:left="1692"/>
        <w:rPr>
          <w:sz w:val="22"/>
        </w:rPr>
      </w:pPr>
      <w:r>
        <w:rPr>
          <w:sz w:val="22"/>
        </w:rPr>
        <w:t xml:space="preserve">(e)  </w:t>
      </w:r>
      <w:proofErr w:type="gramStart"/>
      <w:r>
        <w:rPr>
          <w:sz w:val="22"/>
        </w:rPr>
        <w:t>other</w:t>
      </w:r>
      <w:proofErr w:type="gramEnd"/>
      <w:r>
        <w:rPr>
          <w:sz w:val="22"/>
        </w:rPr>
        <w:t xml:space="preserve"> reliable evidence.</w:t>
      </w:r>
    </w:p>
    <w:p w:rsidR="000D19CD" w:rsidRPr="004A7064" w:rsidRDefault="000D19CD" w:rsidP="007D5690">
      <w:pPr>
        <w:rPr>
          <w:sz w:val="8"/>
          <w:szCs w:val="8"/>
        </w:rPr>
      </w:pPr>
    </w:p>
    <w:p w:rsidR="000D19CD" w:rsidRDefault="000D19CD" w:rsidP="007D5690">
      <w:pPr>
        <w:widowControl w:val="0"/>
        <w:tabs>
          <w:tab w:val="left" w:pos="936"/>
          <w:tab w:val="left" w:pos="1314"/>
          <w:tab w:val="left" w:pos="1692"/>
          <w:tab w:val="left" w:pos="2070"/>
        </w:tabs>
        <w:ind w:left="936"/>
        <w:rPr>
          <w:sz w:val="22"/>
        </w:rPr>
      </w:pPr>
      <w:r>
        <w:rPr>
          <w:sz w:val="22"/>
        </w:rPr>
        <w:t xml:space="preserve">(D)  </w:t>
      </w:r>
      <w:r>
        <w:rPr>
          <w:sz w:val="22"/>
          <w:u w:val="single"/>
        </w:rPr>
        <w:t>Unearned Income</w:t>
      </w:r>
      <w:r>
        <w:rPr>
          <w:sz w:val="22"/>
        </w:rPr>
        <w:t xml:space="preserve">. Income that does not directly result from an individual's own labor or services is unearned. Unearned income includes, but is not limited to, social security benefits, railroad retirement benefits, pensions, annuities, federal veterans' benefits, rental income, interest, and dividend income. Gross rental income is the countable rental-income amount received less business expenses as described at 130 CMR 520.010(C). The applicant or member must verify gross unearned income. However, if he or she is applying </w:t>
      </w:r>
      <w:r w:rsidRPr="00E50A0F">
        <w:rPr>
          <w:sz w:val="22"/>
        </w:rPr>
        <w:t xml:space="preserve">solely for MassHealth Senior Buy-In for Qualified Medicare Beneficiaries (QMB) as described in 130 CMR 519.010: </w:t>
      </w:r>
      <w:r w:rsidRPr="00CF2B8B">
        <w:rPr>
          <w:i/>
          <w:sz w:val="22"/>
        </w:rPr>
        <w:t xml:space="preserve">MassHealth Senior Buy-in </w:t>
      </w:r>
      <w:r w:rsidRPr="00E50A0F">
        <w:rPr>
          <w:i/>
          <w:sz w:val="22"/>
        </w:rPr>
        <w:t>(for Qualified Medicare Beneficiaries (QMB)</w:t>
      </w:r>
      <w:r w:rsidRPr="00CF2B8B">
        <w:rPr>
          <w:i/>
          <w:sz w:val="22"/>
        </w:rPr>
        <w:t>)</w:t>
      </w:r>
      <w:r w:rsidRPr="00E50A0F">
        <w:rPr>
          <w:sz w:val="22"/>
        </w:rPr>
        <w:t xml:space="preserve"> or MassHealth Buy-In for Specified Low Income Medicare Beneficiaries (SLMB) or MassHealth Buy-In for Qualifying Individuals (QI) or both as described in 130 CMR 519.011: </w:t>
      </w:r>
      <w:r w:rsidRPr="00CF2B8B">
        <w:rPr>
          <w:i/>
          <w:sz w:val="22"/>
        </w:rPr>
        <w:t>MassHealth Buy-In</w:t>
      </w:r>
      <w:proofErr w:type="gramStart"/>
      <w:r w:rsidRPr="00E50A0F">
        <w:rPr>
          <w:sz w:val="22"/>
        </w:rPr>
        <w:t>, ,</w:t>
      </w:r>
      <w:proofErr w:type="gramEnd"/>
      <w:r w:rsidRPr="00E50A0F">
        <w:rPr>
          <w:sz w:val="22"/>
        </w:rPr>
        <w:t xml:space="preserve"> verification is required only upon MassHealth agency request. Verifications include</w:t>
      </w:r>
    </w:p>
    <w:p w:rsidR="000D19CD" w:rsidRDefault="000D19CD" w:rsidP="007D5690">
      <w:pPr>
        <w:widowControl w:val="0"/>
        <w:tabs>
          <w:tab w:val="left" w:pos="936"/>
          <w:tab w:val="left" w:pos="1314"/>
          <w:tab w:val="left" w:pos="1692"/>
          <w:tab w:val="left" w:pos="2070"/>
        </w:tabs>
        <w:ind w:left="1314"/>
        <w:rPr>
          <w:sz w:val="22"/>
        </w:rPr>
      </w:pPr>
      <w:r>
        <w:rPr>
          <w:sz w:val="22"/>
        </w:rPr>
        <w:t xml:space="preserve">(1)  </w:t>
      </w:r>
      <w:proofErr w:type="gramStart"/>
      <w:r>
        <w:rPr>
          <w:sz w:val="22"/>
        </w:rPr>
        <w:t>a</w:t>
      </w:r>
      <w:proofErr w:type="gramEnd"/>
      <w:r>
        <w:rPr>
          <w:sz w:val="22"/>
        </w:rPr>
        <w:t xml:space="preserve"> recent check stub showing gross income;</w:t>
      </w:r>
    </w:p>
    <w:p w:rsidR="000D19CD" w:rsidRDefault="000D19CD" w:rsidP="007D5690">
      <w:pPr>
        <w:widowControl w:val="0"/>
        <w:tabs>
          <w:tab w:val="left" w:pos="936"/>
          <w:tab w:val="left" w:pos="1314"/>
          <w:tab w:val="left" w:pos="1692"/>
          <w:tab w:val="left" w:pos="2070"/>
        </w:tabs>
        <w:ind w:left="1314"/>
        <w:rPr>
          <w:sz w:val="22"/>
        </w:rPr>
      </w:pPr>
      <w:r>
        <w:rPr>
          <w:sz w:val="22"/>
        </w:rPr>
        <w:t xml:space="preserve">(2)  </w:t>
      </w:r>
      <w:proofErr w:type="gramStart"/>
      <w:r>
        <w:rPr>
          <w:sz w:val="22"/>
        </w:rPr>
        <w:t>a</w:t>
      </w:r>
      <w:proofErr w:type="gramEnd"/>
      <w:r>
        <w:rPr>
          <w:sz w:val="22"/>
        </w:rPr>
        <w:t xml:space="preserve"> statement from the income source when matching is not available;</w:t>
      </w:r>
    </w:p>
    <w:p w:rsidR="000D19CD" w:rsidRDefault="000D19CD" w:rsidP="007D5690">
      <w:pPr>
        <w:widowControl w:val="0"/>
        <w:tabs>
          <w:tab w:val="left" w:pos="936"/>
          <w:tab w:val="left" w:pos="1314"/>
          <w:tab w:val="left" w:pos="1692"/>
          <w:tab w:val="left" w:pos="2070"/>
        </w:tabs>
        <w:ind w:left="1314"/>
        <w:rPr>
          <w:sz w:val="22"/>
        </w:rPr>
      </w:pPr>
      <w:r>
        <w:rPr>
          <w:sz w:val="22"/>
        </w:rPr>
        <w:t xml:space="preserve">(3)  </w:t>
      </w:r>
      <w:proofErr w:type="gramStart"/>
      <w:r>
        <w:rPr>
          <w:sz w:val="22"/>
        </w:rPr>
        <w:t>for</w:t>
      </w:r>
      <w:proofErr w:type="gramEnd"/>
      <w:r>
        <w:rPr>
          <w:sz w:val="22"/>
        </w:rPr>
        <w:t xml:space="preserve"> rental income: a written statement from the tenant or a copy of the lease; or</w:t>
      </w:r>
    </w:p>
    <w:p w:rsidR="000D19CD" w:rsidRDefault="000D19CD" w:rsidP="007D5690">
      <w:pPr>
        <w:widowControl w:val="0"/>
        <w:tabs>
          <w:tab w:val="left" w:pos="936"/>
          <w:tab w:val="left" w:pos="1314"/>
          <w:tab w:val="left" w:pos="1692"/>
          <w:tab w:val="left" w:pos="2070"/>
        </w:tabs>
        <w:ind w:left="1314"/>
        <w:rPr>
          <w:sz w:val="22"/>
        </w:rPr>
      </w:pPr>
      <w:r>
        <w:rPr>
          <w:sz w:val="22"/>
        </w:rPr>
        <w:t xml:space="preserve">(4)  </w:t>
      </w:r>
      <w:proofErr w:type="gramStart"/>
      <w:r>
        <w:rPr>
          <w:sz w:val="22"/>
        </w:rPr>
        <w:t>other</w:t>
      </w:r>
      <w:proofErr w:type="gramEnd"/>
      <w:r>
        <w:rPr>
          <w:sz w:val="22"/>
        </w:rPr>
        <w:t xml:space="preserve"> reliable evidence.</w:t>
      </w:r>
    </w:p>
    <w:p w:rsidR="000D19CD" w:rsidRPr="004A7064" w:rsidRDefault="000D19CD" w:rsidP="007D5690">
      <w:pPr>
        <w:rPr>
          <w:sz w:val="8"/>
          <w:szCs w:val="8"/>
        </w:rPr>
      </w:pPr>
    </w:p>
    <w:p w:rsidR="000D19CD" w:rsidRDefault="000D19CD" w:rsidP="007D5690">
      <w:pPr>
        <w:widowControl w:val="0"/>
        <w:tabs>
          <w:tab w:val="left" w:pos="936"/>
          <w:tab w:val="left" w:pos="1314"/>
          <w:tab w:val="left" w:pos="1692"/>
          <w:tab w:val="left" w:pos="2070"/>
        </w:tabs>
        <w:ind w:left="936"/>
        <w:rPr>
          <w:sz w:val="22"/>
        </w:rPr>
      </w:pPr>
      <w:r>
        <w:rPr>
          <w:sz w:val="22"/>
        </w:rPr>
        <w:t xml:space="preserve">(E)  </w:t>
      </w:r>
      <w:r>
        <w:rPr>
          <w:sz w:val="22"/>
          <w:u w:val="single"/>
        </w:rPr>
        <w:t>Lump-Sum Payments</w:t>
      </w:r>
      <w:r>
        <w:rPr>
          <w:sz w:val="22"/>
        </w:rPr>
        <w:t xml:space="preserve">. A lump-sum payment is </w:t>
      </w:r>
      <w:proofErr w:type="gramStart"/>
      <w:r>
        <w:rPr>
          <w:sz w:val="22"/>
        </w:rPr>
        <w:t>a</w:t>
      </w:r>
      <w:proofErr w:type="gramEnd"/>
      <w:r>
        <w:rPr>
          <w:sz w:val="22"/>
        </w:rPr>
        <w:t xml:space="preserve"> one</w:t>
      </w:r>
      <w:r>
        <w:rPr>
          <w:sz w:val="22"/>
        </w:rPr>
        <w:noBreakHyphen/>
        <w:t>time</w:t>
      </w:r>
      <w:r>
        <w:rPr>
          <w:sz w:val="22"/>
        </w:rPr>
        <w:noBreakHyphen/>
        <w:t>only payment that represents either windfall payments such as inheritances or legacies, or the accumulation of recurring countable income such as retroactive unemployment compensation or federal veterans' retirement benefits. Generally, lump-sum payments are counted as unearned income in the calendar month received and as an asset in subsequent months, except as provided in 130 CMR 520.009(E)(1).</w:t>
      </w:r>
    </w:p>
    <w:p w:rsidR="000D19CD" w:rsidRDefault="000D19CD" w:rsidP="007D5690">
      <w:pPr>
        <w:widowControl w:val="0"/>
        <w:tabs>
          <w:tab w:val="left" w:pos="936"/>
          <w:tab w:val="left" w:pos="1314"/>
          <w:tab w:val="left" w:pos="1692"/>
          <w:tab w:val="left" w:pos="2070"/>
        </w:tabs>
        <w:ind w:left="1314"/>
        <w:rPr>
          <w:sz w:val="22"/>
        </w:rPr>
      </w:pPr>
      <w:r>
        <w:rPr>
          <w:sz w:val="22"/>
        </w:rPr>
        <w:t xml:space="preserve">(1)  </w:t>
      </w:r>
      <w:r>
        <w:rPr>
          <w:sz w:val="22"/>
          <w:u w:val="single"/>
        </w:rPr>
        <w:t>Exceptions</w:t>
      </w:r>
      <w:r>
        <w:rPr>
          <w:sz w:val="22"/>
        </w:rPr>
        <w:t>. The following lump-sum payments are noncountable:</w:t>
      </w:r>
    </w:p>
    <w:p w:rsidR="000D19CD" w:rsidRDefault="000D19CD" w:rsidP="007D5690">
      <w:pPr>
        <w:widowControl w:val="0"/>
        <w:tabs>
          <w:tab w:val="left" w:pos="936"/>
          <w:tab w:val="left" w:pos="1314"/>
          <w:tab w:val="left" w:pos="1692"/>
          <w:tab w:val="left" w:pos="2070"/>
        </w:tabs>
        <w:ind w:left="1692"/>
        <w:rPr>
          <w:sz w:val="22"/>
        </w:rPr>
      </w:pPr>
      <w:r>
        <w:rPr>
          <w:sz w:val="22"/>
        </w:rPr>
        <w:t xml:space="preserve">(a)  </w:t>
      </w:r>
      <w:proofErr w:type="gramStart"/>
      <w:r>
        <w:rPr>
          <w:sz w:val="22"/>
        </w:rPr>
        <w:t>a</w:t>
      </w:r>
      <w:proofErr w:type="gramEnd"/>
      <w:r>
        <w:rPr>
          <w:sz w:val="22"/>
        </w:rPr>
        <w:t xml:space="preserve"> retroactive RSDI and/or SSI benefit payment, subject to the provisions of 130 CMR 520.007(H)(1);</w:t>
      </w:r>
    </w:p>
    <w:p w:rsidR="000D19CD" w:rsidRDefault="000D19CD" w:rsidP="007D5690">
      <w:pPr>
        <w:widowControl w:val="0"/>
        <w:tabs>
          <w:tab w:val="left" w:pos="936"/>
          <w:tab w:val="left" w:pos="1314"/>
          <w:tab w:val="left" w:pos="1692"/>
          <w:tab w:val="left" w:pos="2070"/>
        </w:tabs>
        <w:ind w:left="1692"/>
        <w:rPr>
          <w:sz w:val="22"/>
        </w:rPr>
      </w:pPr>
      <w:r>
        <w:rPr>
          <w:sz w:val="22"/>
        </w:rPr>
        <w:t>(b)  proceeds reserved for the replacement or repair of an asset that is lost, damaged, or stolen and any interest earned on such proceeds are exempt from consideration as assets for nine calendar months after the month of receipt and may be exempt for an additional nine calendar months where good cause exists;</w:t>
      </w:r>
    </w:p>
    <w:p w:rsidR="000D19CD" w:rsidRPr="005417FA" w:rsidRDefault="000D19CD" w:rsidP="004A7064">
      <w:pPr>
        <w:widowControl w:val="0"/>
        <w:tabs>
          <w:tab w:val="left" w:pos="936"/>
          <w:tab w:val="left" w:pos="1314"/>
          <w:tab w:val="left" w:pos="1692"/>
          <w:tab w:val="left" w:pos="2070"/>
        </w:tabs>
        <w:ind w:left="1692" w:right="-90"/>
        <w:rPr>
          <w:sz w:val="22"/>
        </w:rPr>
      </w:pPr>
      <w:r>
        <w:rPr>
          <w:sz w:val="22"/>
        </w:rPr>
        <w:t xml:space="preserve">(c)  </w:t>
      </w:r>
      <w:proofErr w:type="gramStart"/>
      <w:r>
        <w:rPr>
          <w:sz w:val="22"/>
        </w:rPr>
        <w:t>proceeds</w:t>
      </w:r>
      <w:proofErr w:type="gramEnd"/>
      <w:r>
        <w:rPr>
          <w:sz w:val="22"/>
        </w:rPr>
        <w:t xml:space="preserve"> from the sale of a home used as the principal place of residence provided the proceeds are used to purchase another home to be used as the principal place of residence. Such proceeds are exempt from considerations as assets for three calendar months after the month of receipt;</w:t>
      </w:r>
    </w:p>
    <w:p w:rsidR="000D19CD" w:rsidRPr="003B32CA" w:rsidRDefault="000D19CD" w:rsidP="0006506E">
      <w:pPr>
        <w:jc w:val="center"/>
        <w:rPr>
          <w:rFonts w:ascii="Helvetica" w:hAnsi="Helvetica"/>
          <w:b/>
          <w:sz w:val="22"/>
          <w:szCs w:val="22"/>
        </w:rPr>
      </w:pPr>
      <w:r w:rsidRPr="003B32CA">
        <w:rPr>
          <w:rFonts w:ascii="Helvetica" w:hAnsi="Helvetica"/>
          <w:b/>
          <w:sz w:val="22"/>
          <w:szCs w:val="22"/>
        </w:rPr>
        <w:lastRenderedPageBreak/>
        <w:t>130 CMR:  DIVISION OF MEDICAL ASSISTANCE</w:t>
      </w:r>
    </w:p>
    <w:p w:rsidR="000D19CD" w:rsidRPr="003B32CA" w:rsidRDefault="000D19CD" w:rsidP="0006506E">
      <w:pPr>
        <w:rPr>
          <w:rFonts w:ascii="Helvetica" w:hAnsi="Helvetica"/>
          <w:b/>
          <w:sz w:val="22"/>
          <w:szCs w:val="22"/>
        </w:rPr>
      </w:pPr>
      <w:r>
        <w:rPr>
          <w:noProof/>
        </w:rPr>
        <mc:AlternateContent>
          <mc:Choice Requires="wps">
            <w:drawing>
              <wp:anchor distT="4294967294" distB="4294967294" distL="114300" distR="114300" simplePos="0" relativeHeight="251676160" behindDoc="0" locked="0" layoutInCell="1" allowOverlap="1">
                <wp:simplePos x="0" y="0"/>
                <wp:positionH relativeFrom="column">
                  <wp:posOffset>-275590</wp:posOffset>
                </wp:positionH>
                <wp:positionV relativeFrom="paragraph">
                  <wp:posOffset>79374</wp:posOffset>
                </wp:positionV>
                <wp:extent cx="6248400" cy="0"/>
                <wp:effectExtent l="0" t="0" r="1905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21.7pt;margin-top:6.25pt;width:492pt;height:0;z-index:251676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cdSJgIAAEw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"/>
            </w:pict>
          </mc:Fallback>
        </mc:AlternateContent>
      </w:r>
    </w:p>
    <w:p w:rsidR="000D19CD" w:rsidRPr="003B32CA" w:rsidRDefault="008446C7" w:rsidP="0006506E">
      <w:pPr>
        <w:rPr>
          <w:rFonts w:ascii="Helvetica" w:hAnsi="Helvetica"/>
          <w:b/>
          <w:sz w:val="22"/>
          <w:szCs w:val="22"/>
        </w:rPr>
      </w:pPr>
      <w:r>
        <w:rPr>
          <w:rFonts w:ascii="Helvetica" w:hAnsi="Helvetica"/>
          <w:b/>
          <w:sz w:val="22"/>
          <w:szCs w:val="22"/>
        </w:rPr>
        <w:t>Trans. by E.L. 236</w:t>
      </w:r>
    </w:p>
    <w:p w:rsidR="000D19CD" w:rsidRPr="003B32CA" w:rsidRDefault="000D19CD" w:rsidP="0006506E">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01/01/20</w:t>
      </w:r>
    </w:p>
    <w:p w:rsidR="000D19CD" w:rsidRDefault="000D19CD" w:rsidP="0006506E">
      <w:pPr>
        <w:jc w:val="center"/>
        <w:rPr>
          <w:rFonts w:ascii="Helvetica" w:hAnsi="Helvetica"/>
          <w:b/>
          <w:sz w:val="22"/>
        </w:rPr>
      </w:pPr>
      <w:r w:rsidRPr="003B32CA">
        <w:rPr>
          <w:rFonts w:ascii="Helvetica" w:hAnsi="Helvetica"/>
          <w:b/>
          <w:sz w:val="22"/>
          <w:szCs w:val="22"/>
        </w:rPr>
        <w:t>MASSHEALTH</w:t>
      </w:r>
      <w:r w:rsidRPr="004460A0">
        <w:rPr>
          <w:rFonts w:ascii="Helvetica" w:hAnsi="Helvetica"/>
          <w:b/>
          <w:sz w:val="22"/>
        </w:rPr>
        <w:t xml:space="preserve"> </w:t>
      </w:r>
    </w:p>
    <w:p w:rsidR="000D19CD" w:rsidRDefault="000D19CD" w:rsidP="0006506E">
      <w:pPr>
        <w:jc w:val="center"/>
        <w:rPr>
          <w:rFonts w:ascii="Helvetica" w:hAnsi="Helvetica"/>
          <w:b/>
          <w:sz w:val="22"/>
        </w:rPr>
      </w:pPr>
      <w:r>
        <w:rPr>
          <w:rFonts w:ascii="Helvetica" w:hAnsi="Helvetica"/>
          <w:b/>
          <w:sz w:val="22"/>
        </w:rPr>
        <w:t>FINANCIAL ELIGIBILITY</w:t>
      </w:r>
    </w:p>
    <w:p w:rsidR="000D19CD" w:rsidRPr="003B32CA" w:rsidRDefault="000D19CD" w:rsidP="0006506E">
      <w:pPr>
        <w:rPr>
          <w:rFonts w:ascii="Helvetica" w:hAnsi="Helvetica"/>
          <w:b/>
          <w:sz w:val="22"/>
          <w:szCs w:val="22"/>
        </w:rPr>
      </w:pPr>
      <w:r w:rsidRPr="003B32CA">
        <w:rPr>
          <w:rFonts w:ascii="Helvetica" w:hAnsi="Helvetica"/>
          <w:b/>
          <w:sz w:val="22"/>
          <w:szCs w:val="22"/>
        </w:rPr>
        <w:t xml:space="preserve">Chapter </w:t>
      </w:r>
      <w:r>
        <w:rPr>
          <w:rFonts w:ascii="Helvetica" w:hAnsi="Helvetica"/>
          <w:b/>
          <w:sz w:val="22"/>
          <w:szCs w:val="22"/>
        </w:rPr>
        <w:t>520</w:t>
      </w:r>
    </w:p>
    <w:p w:rsidR="000D19CD" w:rsidRPr="003B32CA" w:rsidRDefault="000D19CD" w:rsidP="0006506E">
      <w:pPr>
        <w:rPr>
          <w:rFonts w:ascii="Helvetica" w:hAnsi="Helvetica"/>
          <w:b/>
          <w:sz w:val="22"/>
          <w:szCs w:val="22"/>
        </w:rPr>
      </w:pPr>
      <w:r>
        <w:rPr>
          <w:rFonts w:ascii="Helvetica" w:hAnsi="Helvetica"/>
          <w:b/>
          <w:sz w:val="22"/>
          <w:szCs w:val="22"/>
        </w:rPr>
        <w:t>Page 520.010</w:t>
      </w:r>
    </w:p>
    <w:p w:rsidR="000D19CD" w:rsidRPr="00162A3C" w:rsidRDefault="000D19CD" w:rsidP="0006506E">
      <w:pPr>
        <w:widowControl w:val="0"/>
        <w:tabs>
          <w:tab w:val="left" w:pos="936"/>
          <w:tab w:val="left" w:pos="1314"/>
          <w:tab w:val="left" w:pos="1692"/>
          <w:tab w:val="left" w:pos="2070"/>
        </w:tabs>
        <w:spacing w:after="19"/>
        <w:rPr>
          <w:rFonts w:ascii="Helvetica" w:hAnsi="Helvetica" w:cs="Helvetica"/>
          <w:b/>
          <w:bCs/>
          <w:sz w:val="22"/>
          <w:szCs w:val="22"/>
        </w:rPr>
      </w:pPr>
      <w:r>
        <w:rPr>
          <w:noProof/>
        </w:rPr>
        <mc:AlternateContent>
          <mc:Choice Requires="wps">
            <w:drawing>
              <wp:anchor distT="4294967294" distB="4294967294" distL="114300" distR="114300" simplePos="0" relativeHeight="251677184" behindDoc="0" locked="0" layoutInCell="1" allowOverlap="1">
                <wp:simplePos x="0" y="0"/>
                <wp:positionH relativeFrom="column">
                  <wp:posOffset>-271780</wp:posOffset>
                </wp:positionH>
                <wp:positionV relativeFrom="paragraph">
                  <wp:posOffset>126364</wp:posOffset>
                </wp:positionV>
                <wp:extent cx="6248400" cy="0"/>
                <wp:effectExtent l="0" t="0" r="190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21.4pt;margin-top:9.95pt;width:492pt;height:0;z-index:251677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q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"/>
            </w:pict>
          </mc:Fallback>
        </mc:AlternateContent>
      </w:r>
    </w:p>
    <w:p w:rsidR="000D19CD" w:rsidRPr="00AA1705" w:rsidRDefault="000D19CD" w:rsidP="0006506E">
      <w:pPr>
        <w:rPr>
          <w:sz w:val="22"/>
          <w:szCs w:val="22"/>
        </w:rPr>
      </w:pPr>
    </w:p>
    <w:p w:rsidR="000D19CD" w:rsidRDefault="000D19CD" w:rsidP="0006506E">
      <w:pPr>
        <w:widowControl w:val="0"/>
        <w:tabs>
          <w:tab w:val="left" w:pos="936"/>
          <w:tab w:val="left" w:pos="1314"/>
          <w:tab w:val="left" w:pos="1692"/>
          <w:tab w:val="left" w:pos="2070"/>
        </w:tabs>
        <w:ind w:left="1692"/>
        <w:rPr>
          <w:sz w:val="22"/>
        </w:rPr>
      </w:pPr>
      <w:r>
        <w:rPr>
          <w:sz w:val="22"/>
        </w:rPr>
        <w:t>(d)  proceeds from the sale of real estate other than a home subject to the provisions of 130 CMR 520.007(G); and</w:t>
      </w:r>
    </w:p>
    <w:p w:rsidR="000D19CD" w:rsidRDefault="000D19CD" w:rsidP="0006506E">
      <w:pPr>
        <w:widowControl w:val="0"/>
        <w:tabs>
          <w:tab w:val="left" w:pos="936"/>
          <w:tab w:val="left" w:pos="1314"/>
          <w:tab w:val="left" w:pos="1692"/>
          <w:tab w:val="left" w:pos="2070"/>
        </w:tabs>
        <w:ind w:left="1692"/>
        <w:rPr>
          <w:sz w:val="22"/>
        </w:rPr>
      </w:pPr>
      <w:r>
        <w:rPr>
          <w:sz w:val="22"/>
        </w:rPr>
        <w:t>(e)  proceeds from the sale of nonexempt vehicles subject to the provisions of 130 CMR 520.007(F).</w:t>
      </w:r>
    </w:p>
    <w:p w:rsidR="000D19CD" w:rsidRDefault="000D19CD" w:rsidP="0006506E">
      <w:pPr>
        <w:widowControl w:val="0"/>
        <w:tabs>
          <w:tab w:val="left" w:pos="936"/>
          <w:tab w:val="left" w:pos="1314"/>
          <w:tab w:val="left" w:pos="1692"/>
          <w:tab w:val="left" w:pos="2070"/>
        </w:tabs>
        <w:ind w:left="1314"/>
        <w:rPr>
          <w:sz w:val="22"/>
        </w:rPr>
      </w:pPr>
      <w:r>
        <w:rPr>
          <w:sz w:val="22"/>
        </w:rPr>
        <w:t xml:space="preserve">(2)  </w:t>
      </w:r>
      <w:r>
        <w:rPr>
          <w:sz w:val="22"/>
          <w:u w:val="single"/>
        </w:rPr>
        <w:t>Verifications</w:t>
      </w:r>
      <w:r>
        <w:rPr>
          <w:sz w:val="22"/>
        </w:rPr>
        <w:t xml:space="preserve">. The applicant or member must verify a lump-sum payment. However, if he or she is applying solely for </w:t>
      </w:r>
      <w:r w:rsidRPr="004C253D">
        <w:rPr>
          <w:sz w:val="22"/>
        </w:rPr>
        <w:t>MassHealth Senior Buy-In for Qualified Medicare Beneficiaries (QMB) as described in 130 CMR 519.010</w:t>
      </w:r>
      <w:r w:rsidRPr="00CF2B8B">
        <w:rPr>
          <w:i/>
          <w:sz w:val="22"/>
        </w:rPr>
        <w:t>: MassHealth Senior Buy-In</w:t>
      </w:r>
      <w:r w:rsidRPr="004C253D">
        <w:rPr>
          <w:sz w:val="22"/>
        </w:rPr>
        <w:t xml:space="preserve"> </w:t>
      </w:r>
      <w:r w:rsidRPr="00CF2B8B">
        <w:rPr>
          <w:i/>
          <w:sz w:val="22"/>
        </w:rPr>
        <w:t>(for Qualified Medicare Beneficiaries (QMB))</w:t>
      </w:r>
      <w:r w:rsidRPr="004C253D">
        <w:rPr>
          <w:sz w:val="22"/>
        </w:rPr>
        <w:t xml:space="preserve"> or MassHealth Buy-In for Specified Low Income Medicare Beneficiaries (SLMB) or MassHealth Buy-in for Qualifying Individuals (QI) both as described in 130 CMR 519.011</w:t>
      </w:r>
      <w:proofErr w:type="gramStart"/>
      <w:r w:rsidRPr="00CF2B8B">
        <w:rPr>
          <w:i/>
          <w:sz w:val="22"/>
        </w:rPr>
        <w:t>:MassHealth</w:t>
      </w:r>
      <w:proofErr w:type="gramEnd"/>
      <w:r w:rsidRPr="00CF2B8B">
        <w:rPr>
          <w:i/>
          <w:sz w:val="22"/>
        </w:rPr>
        <w:t xml:space="preserve"> Buy-In</w:t>
      </w:r>
      <w:r w:rsidRPr="004C253D">
        <w:rPr>
          <w:sz w:val="22"/>
        </w:rPr>
        <w:t>, , verification is required only at MassHealth agency request. Verifications include</w:t>
      </w:r>
    </w:p>
    <w:p w:rsidR="000D19CD" w:rsidRDefault="000D19CD" w:rsidP="0006506E">
      <w:pPr>
        <w:widowControl w:val="0"/>
        <w:tabs>
          <w:tab w:val="left" w:pos="936"/>
          <w:tab w:val="left" w:pos="1314"/>
          <w:tab w:val="left" w:pos="1692"/>
          <w:tab w:val="left" w:pos="2070"/>
        </w:tabs>
        <w:ind w:left="1692"/>
        <w:rPr>
          <w:sz w:val="22"/>
        </w:rPr>
      </w:pPr>
      <w:r>
        <w:rPr>
          <w:sz w:val="22"/>
        </w:rPr>
        <w:t>(a)  a benefit or settlement award letter;</w:t>
      </w:r>
    </w:p>
    <w:p w:rsidR="000D19CD" w:rsidRDefault="000D19CD" w:rsidP="0006506E">
      <w:pPr>
        <w:widowControl w:val="0"/>
        <w:tabs>
          <w:tab w:val="left" w:pos="936"/>
          <w:tab w:val="left" w:pos="1314"/>
          <w:tab w:val="left" w:pos="1692"/>
          <w:tab w:val="left" w:pos="2070"/>
        </w:tabs>
        <w:ind w:left="1692"/>
        <w:rPr>
          <w:sz w:val="22"/>
        </w:rPr>
      </w:pPr>
      <w:r>
        <w:rPr>
          <w:sz w:val="22"/>
        </w:rPr>
        <w:t>(b)  a retirement-fund document indicating the amount of the lump-sum payment;</w:t>
      </w:r>
    </w:p>
    <w:p w:rsidR="000D19CD" w:rsidRDefault="000D19CD" w:rsidP="0006506E">
      <w:pPr>
        <w:widowControl w:val="0"/>
        <w:tabs>
          <w:tab w:val="left" w:pos="936"/>
          <w:tab w:val="left" w:pos="1314"/>
          <w:tab w:val="left" w:pos="1692"/>
          <w:tab w:val="left" w:pos="2070"/>
        </w:tabs>
        <w:ind w:left="1692"/>
        <w:rPr>
          <w:sz w:val="22"/>
        </w:rPr>
      </w:pPr>
      <w:r>
        <w:rPr>
          <w:sz w:val="22"/>
        </w:rPr>
        <w:t>(c)  a written statement from the agency, company, or institution making the payment;</w:t>
      </w:r>
    </w:p>
    <w:p w:rsidR="000D19CD" w:rsidRDefault="000D19CD" w:rsidP="0006506E">
      <w:pPr>
        <w:widowControl w:val="0"/>
        <w:tabs>
          <w:tab w:val="left" w:pos="936"/>
          <w:tab w:val="left" w:pos="1314"/>
          <w:tab w:val="left" w:pos="1692"/>
          <w:tab w:val="left" w:pos="2070"/>
        </w:tabs>
        <w:ind w:left="1692"/>
        <w:rPr>
          <w:sz w:val="22"/>
        </w:rPr>
      </w:pPr>
      <w:r>
        <w:rPr>
          <w:sz w:val="22"/>
        </w:rPr>
        <w:t>(d)  a copy of the payment document; or</w:t>
      </w:r>
    </w:p>
    <w:p w:rsidR="000D19CD" w:rsidRDefault="000D19CD" w:rsidP="0006506E">
      <w:pPr>
        <w:widowControl w:val="0"/>
        <w:tabs>
          <w:tab w:val="left" w:pos="936"/>
          <w:tab w:val="left" w:pos="1314"/>
          <w:tab w:val="left" w:pos="1692"/>
          <w:tab w:val="left" w:pos="2070"/>
        </w:tabs>
        <w:ind w:left="1692"/>
        <w:rPr>
          <w:sz w:val="22"/>
        </w:rPr>
      </w:pPr>
      <w:r>
        <w:rPr>
          <w:sz w:val="22"/>
        </w:rPr>
        <w:t>(e)  other reliable evidence.</w:t>
      </w:r>
    </w:p>
    <w:p w:rsidR="000D19CD" w:rsidRDefault="000D19CD" w:rsidP="0006506E">
      <w:pPr>
        <w:widowControl w:val="0"/>
        <w:tabs>
          <w:tab w:val="left" w:pos="936"/>
          <w:tab w:val="left" w:pos="1314"/>
          <w:tab w:val="left" w:pos="1692"/>
          <w:tab w:val="left" w:pos="2070"/>
        </w:tabs>
        <w:rPr>
          <w:sz w:val="22"/>
        </w:rPr>
      </w:pPr>
    </w:p>
    <w:p w:rsidR="000D19CD" w:rsidRDefault="000D19CD" w:rsidP="0006506E">
      <w:pPr>
        <w:widowControl w:val="0"/>
        <w:tabs>
          <w:tab w:val="left" w:pos="936"/>
          <w:tab w:val="left" w:pos="1314"/>
          <w:tab w:val="left" w:pos="1692"/>
          <w:tab w:val="left" w:pos="2070"/>
        </w:tabs>
        <w:rPr>
          <w:sz w:val="22"/>
        </w:rPr>
      </w:pPr>
      <w:r>
        <w:rPr>
          <w:sz w:val="22"/>
          <w:u w:val="single"/>
        </w:rPr>
        <w:t>520.010:</w:t>
      </w:r>
      <w:r>
        <w:rPr>
          <w:sz w:val="22"/>
          <w:u w:val="single"/>
        </w:rPr>
        <w:tab/>
        <w:t>Business Expenses</w:t>
      </w:r>
    </w:p>
    <w:p w:rsidR="000D19CD" w:rsidRDefault="000D19CD" w:rsidP="0006506E">
      <w:pPr>
        <w:widowControl w:val="0"/>
        <w:tabs>
          <w:tab w:val="left" w:pos="936"/>
          <w:tab w:val="left" w:pos="1314"/>
          <w:tab w:val="left" w:pos="1692"/>
          <w:tab w:val="left" w:pos="2070"/>
        </w:tabs>
        <w:rPr>
          <w:sz w:val="22"/>
        </w:rPr>
      </w:pPr>
    </w:p>
    <w:p w:rsidR="000D19CD" w:rsidRDefault="000D19CD" w:rsidP="0006506E">
      <w:pPr>
        <w:widowControl w:val="0"/>
        <w:tabs>
          <w:tab w:val="left" w:pos="936"/>
          <w:tab w:val="left" w:pos="1314"/>
          <w:tab w:val="left" w:pos="1692"/>
          <w:tab w:val="left" w:pos="2070"/>
        </w:tabs>
        <w:ind w:left="936"/>
        <w:rPr>
          <w:sz w:val="22"/>
        </w:rPr>
      </w:pPr>
      <w:r>
        <w:rPr>
          <w:sz w:val="22"/>
        </w:rPr>
        <w:t xml:space="preserve">(A)  </w:t>
      </w:r>
      <w:r>
        <w:rPr>
          <w:sz w:val="22"/>
          <w:u w:val="single"/>
        </w:rPr>
        <w:t>Self-employment</w:t>
      </w:r>
      <w:r>
        <w:rPr>
          <w:sz w:val="22"/>
        </w:rPr>
        <w:t>. Allowable business expenses from self-employment are those listed on Schedule C of the U.S. Tax Return form.</w:t>
      </w:r>
    </w:p>
    <w:p w:rsidR="000D19CD" w:rsidRDefault="000D19CD" w:rsidP="0006506E">
      <w:pPr>
        <w:widowControl w:val="0"/>
        <w:tabs>
          <w:tab w:val="left" w:pos="936"/>
          <w:tab w:val="left" w:pos="1314"/>
          <w:tab w:val="left" w:pos="1692"/>
          <w:tab w:val="left" w:pos="2070"/>
        </w:tabs>
        <w:ind w:left="936"/>
        <w:rPr>
          <w:sz w:val="22"/>
        </w:rPr>
      </w:pPr>
    </w:p>
    <w:p w:rsidR="000D19CD" w:rsidRDefault="000D19CD" w:rsidP="0006506E">
      <w:pPr>
        <w:widowControl w:val="0"/>
        <w:tabs>
          <w:tab w:val="left" w:pos="936"/>
          <w:tab w:val="left" w:pos="1314"/>
          <w:tab w:val="left" w:pos="1692"/>
          <w:tab w:val="left" w:pos="2070"/>
        </w:tabs>
        <w:ind w:left="936"/>
        <w:rPr>
          <w:sz w:val="22"/>
        </w:rPr>
      </w:pPr>
      <w:r>
        <w:rPr>
          <w:sz w:val="22"/>
        </w:rPr>
        <w:t xml:space="preserve">(B)  </w:t>
      </w:r>
      <w:r>
        <w:rPr>
          <w:sz w:val="22"/>
          <w:u w:val="single"/>
        </w:rPr>
        <w:t>Room and Board</w:t>
      </w:r>
      <w:r>
        <w:rPr>
          <w:sz w:val="22"/>
        </w:rPr>
        <w:t>. For the rental of a room only, the MassHealth agency allows 25% of the income to be deducted as business expenses. For income from both room and meals, the MassHealth agency allows 75% of the income to be deducted as business expenses. The MassHealth agency allows actual expenses only if the provider can document that they exceed these standard deductions.</w:t>
      </w:r>
    </w:p>
    <w:p w:rsidR="000D19CD" w:rsidRDefault="000D19CD" w:rsidP="0006506E">
      <w:pPr>
        <w:widowControl w:val="0"/>
        <w:tabs>
          <w:tab w:val="left" w:pos="936"/>
          <w:tab w:val="left" w:pos="1314"/>
          <w:tab w:val="left" w:pos="1692"/>
          <w:tab w:val="left" w:pos="2070"/>
        </w:tabs>
        <w:ind w:left="936"/>
        <w:rPr>
          <w:sz w:val="22"/>
        </w:rPr>
      </w:pPr>
    </w:p>
    <w:p w:rsidR="000D19CD" w:rsidRDefault="000D19CD" w:rsidP="0006506E">
      <w:pPr>
        <w:widowControl w:val="0"/>
        <w:tabs>
          <w:tab w:val="left" w:pos="936"/>
          <w:tab w:val="left" w:pos="1314"/>
          <w:tab w:val="left" w:pos="1692"/>
          <w:tab w:val="left" w:pos="2070"/>
        </w:tabs>
        <w:ind w:left="936"/>
        <w:rPr>
          <w:sz w:val="22"/>
        </w:rPr>
      </w:pPr>
      <w:r>
        <w:rPr>
          <w:sz w:val="22"/>
        </w:rPr>
        <w:t xml:space="preserve">(C)  </w:t>
      </w:r>
      <w:r>
        <w:rPr>
          <w:sz w:val="22"/>
          <w:u w:val="single"/>
        </w:rPr>
        <w:t>Rental Income</w:t>
      </w:r>
      <w:r>
        <w:rPr>
          <w:sz w:val="22"/>
        </w:rPr>
        <w:t>.</w:t>
      </w:r>
    </w:p>
    <w:p w:rsidR="000D19CD" w:rsidRDefault="000D19CD" w:rsidP="0006506E">
      <w:pPr>
        <w:widowControl w:val="0"/>
        <w:tabs>
          <w:tab w:val="left" w:pos="936"/>
          <w:tab w:val="left" w:pos="1314"/>
          <w:tab w:val="left" w:pos="1692"/>
          <w:tab w:val="left" w:pos="2070"/>
        </w:tabs>
        <w:ind w:left="1314"/>
        <w:rPr>
          <w:sz w:val="22"/>
        </w:rPr>
      </w:pPr>
      <w:r>
        <w:rPr>
          <w:sz w:val="22"/>
        </w:rPr>
        <w:t>(1)  Allowable business expenses from rental income include carrying charges, cost of fuel and utilities provided to tenants, and any maintenance and repair costs.</w:t>
      </w:r>
    </w:p>
    <w:p w:rsidR="000D19CD" w:rsidRDefault="000D19CD" w:rsidP="0006506E">
      <w:pPr>
        <w:widowControl w:val="0"/>
        <w:tabs>
          <w:tab w:val="left" w:pos="936"/>
          <w:tab w:val="left" w:pos="1314"/>
          <w:tab w:val="left" w:pos="1692"/>
          <w:tab w:val="left" w:pos="2070"/>
        </w:tabs>
        <w:ind w:left="1314"/>
        <w:rPr>
          <w:sz w:val="22"/>
        </w:rPr>
      </w:pPr>
      <w:r>
        <w:rPr>
          <w:sz w:val="22"/>
        </w:rPr>
        <w:t>(2)  If the individual occupies an apartment in the same building from which he or she receives rental income, carrying charges are prorated per unit. The cost of fuel and utilities are prorated if they are paid through a single heating unit or meter.</w:t>
      </w:r>
    </w:p>
    <w:p w:rsidR="000D19CD" w:rsidRDefault="000D19CD" w:rsidP="0006506E">
      <w:pPr>
        <w:widowControl w:val="0"/>
        <w:tabs>
          <w:tab w:val="left" w:pos="936"/>
          <w:tab w:val="left" w:pos="1314"/>
          <w:tab w:val="left" w:pos="1692"/>
          <w:tab w:val="left" w:pos="2070"/>
        </w:tabs>
        <w:ind w:left="1314"/>
        <w:rPr>
          <w:sz w:val="22"/>
        </w:rPr>
      </w:pPr>
      <w:r>
        <w:rPr>
          <w:sz w:val="22"/>
        </w:rPr>
        <w:t xml:space="preserve">(3)  The MassHealth agency may deduct actual maintenance and repair costs, other than cosmetic changes, from the amount of rental income if the individual verifies such expenses. </w:t>
      </w:r>
    </w:p>
    <w:p w:rsidR="000D19CD" w:rsidRDefault="000D19CD" w:rsidP="0006506E"/>
    <w:p w:rsidR="000D19CD" w:rsidRDefault="000D19CD" w:rsidP="0006506E">
      <w:pPr>
        <w:widowControl w:val="0"/>
        <w:tabs>
          <w:tab w:val="left" w:pos="936"/>
          <w:tab w:val="left" w:pos="1314"/>
          <w:tab w:val="left" w:pos="1692"/>
          <w:tab w:val="left" w:pos="2070"/>
        </w:tabs>
        <w:rPr>
          <w:sz w:val="22"/>
        </w:rPr>
      </w:pPr>
      <w:r>
        <w:rPr>
          <w:sz w:val="22"/>
          <w:u w:val="single"/>
        </w:rPr>
        <w:t>520.011:</w:t>
      </w:r>
      <w:r>
        <w:rPr>
          <w:sz w:val="22"/>
          <w:u w:val="single"/>
        </w:rPr>
        <w:tab/>
        <w:t>Standard Income Deductions</w:t>
      </w:r>
    </w:p>
    <w:p w:rsidR="000D19CD" w:rsidRDefault="000D19CD" w:rsidP="0006506E">
      <w:pPr>
        <w:widowControl w:val="0"/>
        <w:tabs>
          <w:tab w:val="left" w:pos="936"/>
          <w:tab w:val="left" w:pos="1314"/>
          <w:tab w:val="left" w:pos="1692"/>
          <w:tab w:val="left" w:pos="2070"/>
        </w:tabs>
        <w:rPr>
          <w:sz w:val="22"/>
        </w:rPr>
      </w:pPr>
    </w:p>
    <w:p w:rsidR="000D19CD" w:rsidRDefault="000D19CD" w:rsidP="0006506E">
      <w:pPr>
        <w:widowControl w:val="0"/>
        <w:tabs>
          <w:tab w:val="left" w:pos="936"/>
          <w:tab w:val="left" w:pos="1314"/>
          <w:tab w:val="left" w:pos="1692"/>
          <w:tab w:val="left" w:pos="2070"/>
        </w:tabs>
        <w:ind w:left="936" w:firstLine="378"/>
        <w:rPr>
          <w:sz w:val="22"/>
        </w:rPr>
      </w:pPr>
      <w:r>
        <w:rPr>
          <w:sz w:val="22"/>
        </w:rPr>
        <w:t>For community and institutionalized individuals, the MassHealth agency allows certain standard earned</w:t>
      </w:r>
      <w:r>
        <w:rPr>
          <w:sz w:val="22"/>
        </w:rPr>
        <w:noBreakHyphen/>
        <w:t xml:space="preserve"> and unearned</w:t>
      </w:r>
      <w:r>
        <w:rPr>
          <w:sz w:val="22"/>
        </w:rPr>
        <w:noBreakHyphen/>
        <w:t>income deductions from gross income. These deductions are described in 130 CMR 520.012 through 520.014.</w:t>
      </w:r>
    </w:p>
    <w:p w:rsidR="000D19CD" w:rsidRDefault="000D19CD" w:rsidP="00FD70F0">
      <w:pPr>
        <w:widowControl w:val="0"/>
        <w:tabs>
          <w:tab w:val="left" w:pos="936"/>
          <w:tab w:val="left" w:pos="1314"/>
          <w:tab w:val="left" w:pos="1692"/>
          <w:tab w:val="left" w:pos="2070"/>
        </w:tabs>
        <w:ind w:left="1314"/>
        <w:rPr>
          <w:sz w:val="22"/>
        </w:rPr>
      </w:pPr>
    </w:p>
    <w:p w:rsidR="000D19CD" w:rsidRDefault="000D19CD" w:rsidP="00FD70F0">
      <w:pPr>
        <w:widowControl w:val="0"/>
        <w:tabs>
          <w:tab w:val="left" w:pos="936"/>
          <w:tab w:val="left" w:pos="1314"/>
          <w:tab w:val="left" w:pos="1692"/>
          <w:tab w:val="left" w:pos="2070"/>
        </w:tabs>
        <w:ind w:left="1314"/>
        <w:rPr>
          <w:sz w:val="22"/>
        </w:rPr>
      </w:pPr>
    </w:p>
    <w:sectPr w:rsidR="000D19CD" w:rsidSect="004A7064">
      <w:pgSz w:w="12240" w:h="15840" w:code="1"/>
      <w:pgMar w:top="26" w:right="1260" w:bottom="1440" w:left="1440" w:header="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588" w:rsidRDefault="005D5588">
      <w:r>
        <w:separator/>
      </w:r>
    </w:p>
  </w:endnote>
  <w:endnote w:type="continuationSeparator" w:id="0">
    <w:p w:rsidR="005D5588" w:rsidRDefault="005D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588" w:rsidRDefault="005D5588">
      <w:r>
        <w:separator/>
      </w:r>
    </w:p>
  </w:footnote>
  <w:footnote w:type="continuationSeparator" w:id="0">
    <w:p w:rsidR="005D5588" w:rsidRDefault="005D5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CED" w:rsidRDefault="00C02CED" w:rsidP="000D19C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r>
  </w:p>
  <w:p w:rsidR="00C02CED" w:rsidRDefault="00C02C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025"/>
    <w:rsid w:val="000D19CD"/>
    <w:rsid w:val="000D4540"/>
    <w:rsid w:val="00141BCE"/>
    <w:rsid w:val="00157732"/>
    <w:rsid w:val="001921AE"/>
    <w:rsid w:val="00192E72"/>
    <w:rsid w:val="001B62DF"/>
    <w:rsid w:val="001B7057"/>
    <w:rsid w:val="001B7FD4"/>
    <w:rsid w:val="001C0890"/>
    <w:rsid w:val="001D4F49"/>
    <w:rsid w:val="00200025"/>
    <w:rsid w:val="0021757F"/>
    <w:rsid w:val="0022004C"/>
    <w:rsid w:val="00241563"/>
    <w:rsid w:val="0025207E"/>
    <w:rsid w:val="00263354"/>
    <w:rsid w:val="00263747"/>
    <w:rsid w:val="002872DB"/>
    <w:rsid w:val="002A52AB"/>
    <w:rsid w:val="003212AF"/>
    <w:rsid w:val="00342EAD"/>
    <w:rsid w:val="003B1C84"/>
    <w:rsid w:val="003B52C2"/>
    <w:rsid w:val="003D17AD"/>
    <w:rsid w:val="00407AA7"/>
    <w:rsid w:val="0041600D"/>
    <w:rsid w:val="00440A12"/>
    <w:rsid w:val="004414BE"/>
    <w:rsid w:val="004934F6"/>
    <w:rsid w:val="004A7064"/>
    <w:rsid w:val="004B24E5"/>
    <w:rsid w:val="004B70B4"/>
    <w:rsid w:val="00597020"/>
    <w:rsid w:val="0059744B"/>
    <w:rsid w:val="005B200D"/>
    <w:rsid w:val="005D1BCB"/>
    <w:rsid w:val="005D5588"/>
    <w:rsid w:val="005F79A2"/>
    <w:rsid w:val="00605B0F"/>
    <w:rsid w:val="00630E59"/>
    <w:rsid w:val="006A5283"/>
    <w:rsid w:val="006B0AC3"/>
    <w:rsid w:val="007B49ED"/>
    <w:rsid w:val="007D4A15"/>
    <w:rsid w:val="007D5062"/>
    <w:rsid w:val="007D6A84"/>
    <w:rsid w:val="007E3B87"/>
    <w:rsid w:val="00813558"/>
    <w:rsid w:val="00820252"/>
    <w:rsid w:val="0082612C"/>
    <w:rsid w:val="00837535"/>
    <w:rsid w:val="008446C7"/>
    <w:rsid w:val="00893B18"/>
    <w:rsid w:val="008A65F4"/>
    <w:rsid w:val="008D5716"/>
    <w:rsid w:val="00925CFB"/>
    <w:rsid w:val="00963428"/>
    <w:rsid w:val="0096574E"/>
    <w:rsid w:val="00985141"/>
    <w:rsid w:val="00991453"/>
    <w:rsid w:val="009A0C08"/>
    <w:rsid w:val="009B6998"/>
    <w:rsid w:val="009D3710"/>
    <w:rsid w:val="009F10CA"/>
    <w:rsid w:val="009F7602"/>
    <w:rsid w:val="00A536CA"/>
    <w:rsid w:val="00A62F11"/>
    <w:rsid w:val="00A90674"/>
    <w:rsid w:val="00AA6BD6"/>
    <w:rsid w:val="00AD7570"/>
    <w:rsid w:val="00B01A4D"/>
    <w:rsid w:val="00B20321"/>
    <w:rsid w:val="00B438B5"/>
    <w:rsid w:val="00B47F40"/>
    <w:rsid w:val="00B7370B"/>
    <w:rsid w:val="00BD1582"/>
    <w:rsid w:val="00BE6C00"/>
    <w:rsid w:val="00C00DDB"/>
    <w:rsid w:val="00C02CED"/>
    <w:rsid w:val="00C24D63"/>
    <w:rsid w:val="00C334A1"/>
    <w:rsid w:val="00C6071D"/>
    <w:rsid w:val="00C77A95"/>
    <w:rsid w:val="00CE12EA"/>
    <w:rsid w:val="00D300E0"/>
    <w:rsid w:val="00D3692A"/>
    <w:rsid w:val="00D56067"/>
    <w:rsid w:val="00D907BE"/>
    <w:rsid w:val="00D90CCB"/>
    <w:rsid w:val="00D96B5C"/>
    <w:rsid w:val="00DC09F8"/>
    <w:rsid w:val="00DC275A"/>
    <w:rsid w:val="00DD2455"/>
    <w:rsid w:val="00DE293F"/>
    <w:rsid w:val="00E009C5"/>
    <w:rsid w:val="00E04798"/>
    <w:rsid w:val="00E323BC"/>
    <w:rsid w:val="00E3764F"/>
    <w:rsid w:val="00E62638"/>
    <w:rsid w:val="00E7082D"/>
    <w:rsid w:val="00EA3363"/>
    <w:rsid w:val="00EB0EC4"/>
    <w:rsid w:val="00EB6C70"/>
    <w:rsid w:val="00ED0733"/>
    <w:rsid w:val="00F374D1"/>
    <w:rsid w:val="00F82100"/>
    <w:rsid w:val="00FD0A77"/>
    <w:rsid w:val="00FE1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character" w:styleId="CommentReference">
    <w:name w:val="annotation reference"/>
    <w:rsid w:val="00893B18"/>
    <w:rPr>
      <w:sz w:val="16"/>
      <w:szCs w:val="16"/>
    </w:rPr>
  </w:style>
  <w:style w:type="paragraph" w:styleId="CommentText">
    <w:name w:val="annotation text"/>
    <w:basedOn w:val="Normal"/>
    <w:link w:val="CommentTextChar"/>
    <w:rsid w:val="00893B18"/>
  </w:style>
  <w:style w:type="character" w:customStyle="1" w:styleId="CommentTextChar">
    <w:name w:val="Comment Text Char"/>
    <w:basedOn w:val="DefaultParagraphFont"/>
    <w:link w:val="CommentText"/>
    <w:rsid w:val="00893B18"/>
  </w:style>
  <w:style w:type="paragraph" w:styleId="CommentSubject">
    <w:name w:val="annotation subject"/>
    <w:basedOn w:val="CommentText"/>
    <w:next w:val="CommentText"/>
    <w:link w:val="CommentSubjectChar"/>
    <w:rsid w:val="00893B18"/>
    <w:rPr>
      <w:b/>
      <w:bCs/>
    </w:rPr>
  </w:style>
  <w:style w:type="character" w:customStyle="1" w:styleId="CommentSubjectChar">
    <w:name w:val="Comment Subject Char"/>
    <w:link w:val="CommentSubject"/>
    <w:rsid w:val="00893B18"/>
    <w:rPr>
      <w:b/>
      <w:bCs/>
    </w:rPr>
  </w:style>
  <w:style w:type="paragraph" w:styleId="BalloonText">
    <w:name w:val="Balloon Text"/>
    <w:basedOn w:val="Normal"/>
    <w:link w:val="BalloonTextChar"/>
    <w:rsid w:val="00893B18"/>
    <w:rPr>
      <w:rFonts w:ascii="Tahoma" w:hAnsi="Tahoma" w:cs="Tahoma"/>
      <w:sz w:val="16"/>
      <w:szCs w:val="16"/>
    </w:rPr>
  </w:style>
  <w:style w:type="character" w:customStyle="1" w:styleId="BalloonTextChar">
    <w:name w:val="Balloon Text Char"/>
    <w:link w:val="BalloonText"/>
    <w:rsid w:val="00893B18"/>
    <w:rPr>
      <w:rFonts w:ascii="Tahoma" w:hAnsi="Tahoma" w:cs="Tahoma"/>
      <w:sz w:val="16"/>
      <w:szCs w:val="16"/>
    </w:rPr>
  </w:style>
  <w:style w:type="paragraph" w:customStyle="1" w:styleId="ban">
    <w:name w:val="ban"/>
    <w:rsid w:val="000D19CD"/>
    <w:pPr>
      <w:widowControl w:val="0"/>
      <w:tabs>
        <w:tab w:val="left" w:pos="936"/>
        <w:tab w:val="left" w:pos="1314"/>
        <w:tab w:val="left" w:pos="1692"/>
        <w:tab w:val="left" w:pos="2070"/>
      </w:tabs>
      <w:suppressAutoHyphens/>
    </w:pPr>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character" w:styleId="CommentReference">
    <w:name w:val="annotation reference"/>
    <w:rsid w:val="00893B18"/>
    <w:rPr>
      <w:sz w:val="16"/>
      <w:szCs w:val="16"/>
    </w:rPr>
  </w:style>
  <w:style w:type="paragraph" w:styleId="CommentText">
    <w:name w:val="annotation text"/>
    <w:basedOn w:val="Normal"/>
    <w:link w:val="CommentTextChar"/>
    <w:rsid w:val="00893B18"/>
  </w:style>
  <w:style w:type="character" w:customStyle="1" w:styleId="CommentTextChar">
    <w:name w:val="Comment Text Char"/>
    <w:basedOn w:val="DefaultParagraphFont"/>
    <w:link w:val="CommentText"/>
    <w:rsid w:val="00893B18"/>
  </w:style>
  <w:style w:type="paragraph" w:styleId="CommentSubject">
    <w:name w:val="annotation subject"/>
    <w:basedOn w:val="CommentText"/>
    <w:next w:val="CommentText"/>
    <w:link w:val="CommentSubjectChar"/>
    <w:rsid w:val="00893B18"/>
    <w:rPr>
      <w:b/>
      <w:bCs/>
    </w:rPr>
  </w:style>
  <w:style w:type="character" w:customStyle="1" w:styleId="CommentSubjectChar">
    <w:name w:val="Comment Subject Char"/>
    <w:link w:val="CommentSubject"/>
    <w:rsid w:val="00893B18"/>
    <w:rPr>
      <w:b/>
      <w:bCs/>
    </w:rPr>
  </w:style>
  <w:style w:type="paragraph" w:styleId="BalloonText">
    <w:name w:val="Balloon Text"/>
    <w:basedOn w:val="Normal"/>
    <w:link w:val="BalloonTextChar"/>
    <w:rsid w:val="00893B18"/>
    <w:rPr>
      <w:rFonts w:ascii="Tahoma" w:hAnsi="Tahoma" w:cs="Tahoma"/>
      <w:sz w:val="16"/>
      <w:szCs w:val="16"/>
    </w:rPr>
  </w:style>
  <w:style w:type="character" w:customStyle="1" w:styleId="BalloonTextChar">
    <w:name w:val="Balloon Text Char"/>
    <w:link w:val="BalloonText"/>
    <w:rsid w:val="00893B18"/>
    <w:rPr>
      <w:rFonts w:ascii="Tahoma" w:hAnsi="Tahoma" w:cs="Tahoma"/>
      <w:sz w:val="16"/>
      <w:szCs w:val="16"/>
    </w:rPr>
  </w:style>
  <w:style w:type="paragraph" w:customStyle="1" w:styleId="ban">
    <w:name w:val="ban"/>
    <w:rsid w:val="000D19CD"/>
    <w:pPr>
      <w:widowControl w:val="0"/>
      <w:tabs>
        <w:tab w:val="left" w:pos="936"/>
        <w:tab w:val="left" w:pos="1314"/>
        <w:tab w:val="left" w:pos="1692"/>
        <w:tab w:val="left" w:pos="2070"/>
      </w:tabs>
      <w:suppressAutoHyphens/>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55987-5103-4E38-9460-9E321E8D7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3337</Words>
  <Characters>19022</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22315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2019-12-23T19:34:00Z</cp:lastPrinted>
  <dcterms:created xsi:type="dcterms:W3CDTF">2019-12-24T16:15:00Z</dcterms:created>
  <dcterms:modified xsi:type="dcterms:W3CDTF">2019-12-24T16:15:00Z</dcterms:modified>
</cp:coreProperties>
</file>