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ayout w:type="fixed"/>
        <w:tblLook w:val="0000" w:firstRow="0" w:lastRow="0" w:firstColumn="0" w:lastColumn="0" w:noHBand="0" w:noVBand="0"/>
      </w:tblPr>
      <w:tblGrid>
        <w:gridCol w:w="1728"/>
        <w:gridCol w:w="5760"/>
      </w:tblGrid>
      <w:tr w:rsidR="00C02CED" w14:paraId="35D002CE" w14:textId="77777777" w:rsidTr="000247B5">
        <w:tc>
          <w:tcPr>
            <w:tcW w:w="1728" w:type="dxa"/>
          </w:tcPr>
          <w:p w14:paraId="5A6E5146" w14:textId="1BE7A97D" w:rsidR="00C02CED" w:rsidRDefault="001802A0" w:rsidP="000247B5">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14:anchorId="0B7ED0EF" wp14:editId="7D5E0B62">
                  <wp:extent cx="85725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000125"/>
                          </a:xfrm>
                          <a:prstGeom prst="rect">
                            <a:avLst/>
                          </a:prstGeom>
                          <a:noFill/>
                          <a:ln>
                            <a:noFill/>
                          </a:ln>
                        </pic:spPr>
                      </pic:pic>
                    </a:graphicData>
                  </a:graphic>
                </wp:inline>
              </w:drawing>
            </w:r>
          </w:p>
        </w:tc>
        <w:tc>
          <w:tcPr>
            <w:tcW w:w="5760"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4CB23650" w:rsidR="00C02CED" w:rsidRDefault="00C02CED" w:rsidP="000247B5">
            <w:pPr>
              <w:rPr>
                <w:rFonts w:ascii="Bookman Old Style" w:hAnsi="Bookman Old Style"/>
                <w:i/>
                <w:iCs/>
                <w:sz w:val="18"/>
              </w:rPr>
            </w:pPr>
            <w:r>
              <w:rPr>
                <w:rFonts w:ascii="Bookman Old Style" w:hAnsi="Bookman Old Style"/>
                <w:i/>
                <w:iCs/>
                <w:sz w:val="18"/>
              </w:rPr>
              <w:t>www.mass.gov/masshealth</w:t>
            </w:r>
          </w:p>
        </w:tc>
      </w:tr>
    </w:tbl>
    <w:p w14:paraId="620D0E4A" w14:textId="77777777" w:rsidR="00C02CED" w:rsidRDefault="002D33C2" w:rsidP="002D33C2">
      <w:pPr>
        <w:tabs>
          <w:tab w:val="left" w:pos="1080"/>
          <w:tab w:val="left" w:pos="1800"/>
          <w:tab w:val="left" w:pos="6480"/>
        </w:tabs>
        <w:suppressAutoHyphens/>
        <w:rPr>
          <w:rFonts w:ascii="Book Antiqua" w:hAnsi="Book Antiqua"/>
          <w:sz w:val="22"/>
        </w:rPr>
      </w:pPr>
      <w:r>
        <w:rPr>
          <w:rFonts w:ascii="Book Antiqua" w:hAnsi="Book Antiqua"/>
          <w:noProof/>
          <w:sz w:val="22"/>
        </w:rPr>
        <w:drawing>
          <wp:anchor distT="0" distB="0" distL="114300" distR="114300" simplePos="0" relativeHeight="251658240" behindDoc="1" locked="0" layoutInCell="1" allowOverlap="1" wp14:anchorId="7F299A26" wp14:editId="15FED1D3">
            <wp:simplePos x="0" y="0"/>
            <wp:positionH relativeFrom="column">
              <wp:posOffset>4819650</wp:posOffset>
            </wp:positionH>
            <wp:positionV relativeFrom="paragraph">
              <wp:posOffset>146050</wp:posOffset>
            </wp:positionV>
            <wp:extent cx="1438275" cy="714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pic:spPr>
                </pic:pic>
              </a:graphicData>
            </a:graphic>
            <wp14:sizeRelH relativeFrom="page">
              <wp14:pctWidth>0</wp14:pctWidth>
            </wp14:sizeRelH>
            <wp14:sizeRelV relativeFrom="page">
              <wp14:pctHeight>0</wp14:pctHeight>
            </wp14:sizeRelV>
          </wp:anchor>
        </w:drawing>
      </w:r>
      <w:r w:rsidR="000247B5">
        <w:rPr>
          <w:rFonts w:ascii="Book Antiqua" w:hAnsi="Book Antiqua"/>
          <w:sz w:val="22"/>
        </w:rPr>
        <w:br w:type="textWrapping" w:clear="all"/>
      </w:r>
    </w:p>
    <w:p w14:paraId="13F3A328" w14:textId="77777777" w:rsidR="002D33C2" w:rsidRDefault="002D33C2" w:rsidP="002D33C2">
      <w:pPr>
        <w:tabs>
          <w:tab w:val="left" w:pos="1080"/>
          <w:tab w:val="left" w:pos="1800"/>
          <w:tab w:val="left" w:pos="6480"/>
        </w:tabs>
        <w:suppressAutoHyphens/>
        <w:rPr>
          <w:rFonts w:ascii="Book Antiqua" w:hAnsi="Book Antiqua"/>
          <w:sz w:val="22"/>
        </w:rPr>
      </w:pPr>
    </w:p>
    <w:p w14:paraId="173F5797" w14:textId="29EA1350" w:rsidR="002D33C2" w:rsidRDefault="002D33C2" w:rsidP="002D33C2">
      <w:pPr>
        <w:tabs>
          <w:tab w:val="left" w:pos="1080"/>
          <w:tab w:val="left" w:pos="1800"/>
          <w:tab w:val="left" w:pos="6480"/>
        </w:tabs>
        <w:suppressAutoHyphens/>
        <w:rPr>
          <w:rFonts w:ascii="Book Antiqua" w:hAnsi="Book Antiqua"/>
          <w:sz w:val="22"/>
        </w:rPr>
        <w:sectPr w:rsidR="002D33C2" w:rsidSect="000247B5">
          <w:pgSz w:w="12240" w:h="15840" w:code="1"/>
          <w:pgMar w:top="810" w:right="1440" w:bottom="1440" w:left="1440" w:header="720" w:footer="720" w:gutter="0"/>
          <w:cols w:space="720"/>
        </w:sectPr>
      </w:pPr>
    </w:p>
    <w:p w14:paraId="238B33F9" w14:textId="5E911253"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058ED513"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8C199B" w:rsidRPr="008C199B">
        <w:rPr>
          <w:rFonts w:ascii="Book Antiqua" w:hAnsi="Book Antiqua"/>
          <w:sz w:val="22"/>
        </w:rPr>
        <w:t>EL-</w:t>
      </w:r>
      <w:r w:rsidR="00A519B7">
        <w:rPr>
          <w:rFonts w:ascii="Book Antiqua" w:hAnsi="Book Antiqua"/>
          <w:sz w:val="22"/>
        </w:rPr>
        <w:t>242</w:t>
      </w:r>
    </w:p>
    <w:p w14:paraId="26D6156C" w14:textId="78CA4119" w:rsidR="00C02CED" w:rsidRPr="008C199B"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D12EC9">
        <w:rPr>
          <w:rFonts w:ascii="Book Antiqua" w:hAnsi="Book Antiqua"/>
          <w:sz w:val="22"/>
        </w:rPr>
        <w:t>Ma</w:t>
      </w:r>
      <w:r w:rsidR="00A519B7">
        <w:rPr>
          <w:rFonts w:ascii="Book Antiqua" w:hAnsi="Book Antiqua"/>
          <w:sz w:val="22"/>
        </w:rPr>
        <w:t>y</w:t>
      </w:r>
      <w:r w:rsidR="008C199B" w:rsidRPr="008C199B">
        <w:rPr>
          <w:rFonts w:ascii="Book Antiqua" w:hAnsi="Book Antiqua"/>
          <w:sz w:val="22"/>
        </w:rPr>
        <w:t xml:space="preserve"> 202</w:t>
      </w:r>
      <w:r w:rsidR="00675B86">
        <w:rPr>
          <w:rFonts w:ascii="Book Antiqua" w:hAnsi="Book Antiqua"/>
          <w:sz w:val="22"/>
        </w:rPr>
        <w:t>3</w:t>
      </w:r>
    </w:p>
    <w:p w14:paraId="79E2B412" w14:textId="77777777" w:rsidR="00C02CED" w:rsidRDefault="00C02CED">
      <w:pPr>
        <w:tabs>
          <w:tab w:val="left" w:pos="1080"/>
          <w:tab w:val="left" w:pos="5760"/>
        </w:tabs>
        <w:suppressAutoHyphens/>
        <w:rPr>
          <w:rFonts w:ascii="Book Antiqua" w:hAnsi="Book Antiqua"/>
          <w:sz w:val="22"/>
        </w:rPr>
      </w:pPr>
    </w:p>
    <w:p w14:paraId="09231F23" w14:textId="5C5A4DD7"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01C6034C" w:rsidR="00C02CED" w:rsidRDefault="00C02CED">
      <w:pPr>
        <w:tabs>
          <w:tab w:val="left" w:pos="1080"/>
          <w:tab w:val="left" w:pos="5760"/>
        </w:tabs>
        <w:suppressAutoHyphens/>
        <w:rPr>
          <w:rFonts w:ascii="Book Antiqua" w:hAnsi="Book Antiqua"/>
          <w:sz w:val="22"/>
        </w:rPr>
      </w:pPr>
    </w:p>
    <w:p w14:paraId="56BEE1AD" w14:textId="40CDB152"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675B86">
        <w:rPr>
          <w:rFonts w:ascii="Book Antiqua" w:hAnsi="Book Antiqua"/>
          <w:sz w:val="22"/>
        </w:rPr>
        <w:t>Mike Levine</w:t>
      </w:r>
      <w:r w:rsidR="0041600D">
        <w:rPr>
          <w:rFonts w:ascii="Book Antiqua" w:hAnsi="Book Antiqua"/>
          <w:sz w:val="22"/>
        </w:rPr>
        <w:t xml:space="preserve">, </w:t>
      </w:r>
      <w:r w:rsidR="0065196E">
        <w:rPr>
          <w:rFonts w:ascii="Book Antiqua" w:hAnsi="Book Antiqua"/>
          <w:sz w:val="22"/>
        </w:rPr>
        <w:t>Assistant Secretary for MassHealth</w:t>
      </w:r>
      <w:r w:rsidR="00B43750">
        <w:rPr>
          <w:rFonts w:ascii="Book Antiqua" w:hAnsi="Book Antiqua"/>
          <w:sz w:val="22"/>
        </w:rPr>
        <w:t xml:space="preserve"> </w:t>
      </w:r>
      <w:r w:rsidR="00B67F85">
        <w:rPr>
          <w:rFonts w:ascii="Book Antiqua" w:hAnsi="Book Antiqua"/>
          <w:sz w:val="22"/>
        </w:rPr>
        <w:t>[signature of Mike Levine]</w:t>
      </w:r>
    </w:p>
    <w:p w14:paraId="73E49DE9" w14:textId="77777777" w:rsidR="00C02CED" w:rsidRDefault="00C02CED">
      <w:pPr>
        <w:tabs>
          <w:tab w:val="left" w:pos="1080"/>
          <w:tab w:val="left" w:pos="5760"/>
        </w:tabs>
        <w:suppressAutoHyphens/>
        <w:rPr>
          <w:rFonts w:ascii="Book Antiqua" w:hAnsi="Book Antiqua"/>
          <w:sz w:val="22"/>
        </w:rPr>
      </w:pPr>
    </w:p>
    <w:p w14:paraId="248ADB59" w14:textId="7A8D3C11" w:rsidR="00C02CED" w:rsidRPr="00675B86" w:rsidRDefault="00C02CED">
      <w:pPr>
        <w:pStyle w:val="BodyTextIndent"/>
      </w:pPr>
      <w:r>
        <w:t>RE:</w:t>
      </w:r>
      <w:r w:rsidRPr="00675B86">
        <w:tab/>
      </w:r>
      <w:r w:rsidR="008C199B" w:rsidRPr="00675B86">
        <w:t xml:space="preserve">Revisions to Pooled Trust in 130 CMR 515.000: MassHealth: General Policies and 130 CMR 520.000: MassHealth: Financial Eligibility  </w:t>
      </w:r>
    </w:p>
    <w:p w14:paraId="7E0DA7CA" w14:textId="77777777" w:rsidR="00C02CED" w:rsidRPr="00675B86" w:rsidRDefault="00C02CED">
      <w:pPr>
        <w:tabs>
          <w:tab w:val="right" w:pos="9360"/>
        </w:tabs>
        <w:suppressAutoHyphens/>
        <w:rPr>
          <w:rFonts w:ascii="Book Antiqua" w:hAnsi="Book Antiqua"/>
          <w:sz w:val="22"/>
        </w:rPr>
      </w:pPr>
      <w:r w:rsidRPr="00675B86">
        <w:rPr>
          <w:rFonts w:ascii="Book Antiqua" w:hAnsi="Book Antiqua"/>
          <w:sz w:val="22"/>
          <w:u w:val="single"/>
        </w:rPr>
        <w:tab/>
      </w:r>
    </w:p>
    <w:p w14:paraId="6CEAF501" w14:textId="77777777" w:rsidR="00C02CED" w:rsidRPr="00675B86" w:rsidRDefault="00C02CED">
      <w:pPr>
        <w:tabs>
          <w:tab w:val="left" w:pos="1080"/>
          <w:tab w:val="left" w:pos="5760"/>
        </w:tabs>
        <w:suppressAutoHyphens/>
        <w:rPr>
          <w:rFonts w:ascii="Book Antiqua" w:hAnsi="Book Antiqua"/>
          <w:sz w:val="22"/>
        </w:rPr>
      </w:pPr>
    </w:p>
    <w:p w14:paraId="624A0DBB" w14:textId="1D460719" w:rsidR="008C199B" w:rsidRPr="00675B86" w:rsidRDefault="008C199B">
      <w:pPr>
        <w:suppressAutoHyphens/>
        <w:rPr>
          <w:rFonts w:ascii="Book Antiqua" w:hAnsi="Book Antiqua"/>
          <w:sz w:val="22"/>
        </w:rPr>
      </w:pPr>
      <w:r w:rsidRPr="00675B86">
        <w:rPr>
          <w:rFonts w:ascii="Book Antiqua" w:hAnsi="Book Antiqua"/>
          <w:sz w:val="22"/>
        </w:rPr>
        <w:t xml:space="preserve">MassHealth </w:t>
      </w:r>
      <w:r w:rsidR="0054528C" w:rsidRPr="00675B86">
        <w:rPr>
          <w:rFonts w:ascii="Book Antiqua" w:hAnsi="Book Antiqua"/>
          <w:sz w:val="22"/>
        </w:rPr>
        <w:t xml:space="preserve">updated its regulations at 130 CMR 515.000 and 130 CMR 520.000 related to </w:t>
      </w:r>
      <w:r w:rsidRPr="00675B86">
        <w:rPr>
          <w:rFonts w:ascii="Book Antiqua" w:hAnsi="Book Antiqua"/>
          <w:sz w:val="22"/>
        </w:rPr>
        <w:t>pooled trusts to comply with federal law</w:t>
      </w:r>
      <w:r w:rsidR="0038751B" w:rsidRPr="00675B86">
        <w:rPr>
          <w:rFonts w:ascii="Book Antiqua" w:hAnsi="Book Antiqua"/>
          <w:sz w:val="22"/>
        </w:rPr>
        <w:t xml:space="preserve">. 130 CMR 515.001: </w:t>
      </w:r>
      <w:r w:rsidR="0038751B" w:rsidRPr="00675B86">
        <w:rPr>
          <w:rFonts w:ascii="Book Antiqua" w:hAnsi="Book Antiqua"/>
          <w:i/>
          <w:iCs/>
          <w:sz w:val="22"/>
        </w:rPr>
        <w:t>Definition of Terms</w:t>
      </w:r>
      <w:r w:rsidR="0038751B" w:rsidRPr="00675B86">
        <w:rPr>
          <w:rFonts w:ascii="Book Antiqua" w:hAnsi="Book Antiqua"/>
          <w:sz w:val="22"/>
        </w:rPr>
        <w:t xml:space="preserve"> was updated to provide additional guidance to MassHealth applicants and members by clarifying or expanding definitions and providing additional definitions to ensure compliance with federal law for “pooled trust” and “special-needs trust.” 130 CMR 520.008(H), 130 CMR 520.008(I), and 130 CMR 520.019(D) were revised to</w:t>
      </w:r>
      <w:r w:rsidRPr="00675B86">
        <w:rPr>
          <w:rFonts w:ascii="Book Antiqua" w:hAnsi="Book Antiqua"/>
          <w:sz w:val="22"/>
        </w:rPr>
        <w:t xml:space="preserve"> </w:t>
      </w:r>
      <w:r w:rsidR="0038751B" w:rsidRPr="00675B86">
        <w:rPr>
          <w:rFonts w:ascii="Book Antiqua" w:hAnsi="Book Antiqua"/>
          <w:sz w:val="22"/>
        </w:rPr>
        <w:t xml:space="preserve">comply with guidance stating that  transfers are not permissible if the applicant or member is age 65 or older. </w:t>
      </w:r>
    </w:p>
    <w:p w14:paraId="3B7F3552" w14:textId="77777777" w:rsidR="0054528C" w:rsidRPr="00675B86" w:rsidRDefault="0054528C">
      <w:pPr>
        <w:suppressAutoHyphens/>
        <w:rPr>
          <w:rFonts w:ascii="Book Antiqua" w:hAnsi="Book Antiqua"/>
          <w:sz w:val="22"/>
        </w:rPr>
      </w:pPr>
    </w:p>
    <w:p w14:paraId="15DD69F7" w14:textId="6E0D71FE" w:rsidR="008C199B" w:rsidRPr="00675B86" w:rsidRDefault="008C199B">
      <w:pPr>
        <w:suppressAutoHyphens/>
        <w:rPr>
          <w:rFonts w:ascii="Book Antiqua" w:hAnsi="Book Antiqua"/>
          <w:sz w:val="22"/>
        </w:rPr>
      </w:pPr>
      <w:r w:rsidRPr="00675B86">
        <w:rPr>
          <w:rFonts w:ascii="Book Antiqua" w:hAnsi="Book Antiqua"/>
          <w:sz w:val="22"/>
        </w:rPr>
        <w:t xml:space="preserve">Changes </w:t>
      </w:r>
      <w:r w:rsidR="0054528C" w:rsidRPr="00675B86">
        <w:rPr>
          <w:rFonts w:ascii="Book Antiqua" w:hAnsi="Book Antiqua"/>
          <w:sz w:val="22"/>
        </w:rPr>
        <w:t>to both regulations are effective</w:t>
      </w:r>
      <w:r w:rsidRPr="00675B86">
        <w:rPr>
          <w:rFonts w:ascii="Book Antiqua" w:hAnsi="Book Antiqua"/>
          <w:sz w:val="22"/>
        </w:rPr>
        <w:t xml:space="preserve"> </w:t>
      </w:r>
      <w:r w:rsidR="00DA520C" w:rsidRPr="00DA520C">
        <w:rPr>
          <w:rFonts w:ascii="Book Antiqua" w:hAnsi="Book Antiqua"/>
          <w:sz w:val="22"/>
        </w:rPr>
        <w:t>60 days from December 31, 2023</w:t>
      </w:r>
      <w:r w:rsidR="000F6D64">
        <w:rPr>
          <w:rFonts w:ascii="Book Antiqua" w:hAnsi="Book Antiqua"/>
          <w:sz w:val="22"/>
        </w:rPr>
        <w:t>,</w:t>
      </w:r>
      <w:r w:rsidR="00DA520C" w:rsidRPr="00DA520C">
        <w:rPr>
          <w:rFonts w:ascii="Book Antiqua" w:hAnsi="Book Antiqua"/>
          <w:sz w:val="22"/>
        </w:rPr>
        <w:t xml:space="preserve"> (60 days from the end of </w:t>
      </w:r>
      <w:r w:rsidR="00DA520C">
        <w:rPr>
          <w:rFonts w:ascii="Book Antiqua" w:hAnsi="Book Antiqua"/>
          <w:sz w:val="22"/>
        </w:rPr>
        <w:t xml:space="preserve">Maintenance of </w:t>
      </w:r>
      <w:r w:rsidR="00DA520C" w:rsidRPr="00DA520C">
        <w:rPr>
          <w:rFonts w:ascii="Book Antiqua" w:hAnsi="Book Antiqua"/>
          <w:sz w:val="22"/>
        </w:rPr>
        <w:t>E</w:t>
      </w:r>
      <w:r w:rsidR="00DA520C">
        <w:rPr>
          <w:rFonts w:ascii="Book Antiqua" w:hAnsi="Book Antiqua"/>
          <w:sz w:val="22"/>
        </w:rPr>
        <w:t>ffort (MOE)</w:t>
      </w:r>
      <w:r w:rsidR="00DA520C" w:rsidRPr="00DA520C">
        <w:rPr>
          <w:rFonts w:ascii="Book Antiqua" w:hAnsi="Book Antiqua"/>
          <w:sz w:val="22"/>
        </w:rPr>
        <w:t>)</w:t>
      </w:r>
      <w:r w:rsidR="00C619E3">
        <w:rPr>
          <w:rFonts w:ascii="Book Antiqua" w:hAnsi="Book Antiqua"/>
          <w:sz w:val="22"/>
        </w:rPr>
        <w:t xml:space="preserve"> on March 1, 2024</w:t>
      </w:r>
      <w:r w:rsidR="00DA520C">
        <w:rPr>
          <w:rFonts w:ascii="Book Antiqua" w:hAnsi="Book Antiqua"/>
          <w:sz w:val="22"/>
        </w:rPr>
        <w:t>.</w:t>
      </w:r>
    </w:p>
    <w:p w14:paraId="2D64ED23" w14:textId="77777777" w:rsidR="00C02CED" w:rsidRDefault="00C02CED">
      <w:pPr>
        <w:suppressAutoHyphens/>
        <w:rPr>
          <w:rFonts w:ascii="Book Antiqua" w:hAnsi="Book Antiqua"/>
          <w:sz w:val="22"/>
        </w:rPr>
      </w:pPr>
    </w:p>
    <w:p w14:paraId="13EA1B27"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692108E2" w:rsidR="00C02CED" w:rsidRDefault="00C02CED">
      <w:pPr>
        <w:tabs>
          <w:tab w:val="left" w:pos="3960"/>
          <w:tab w:val="left" w:pos="6480"/>
        </w:tabs>
        <w:suppressAutoHyphens/>
        <w:rPr>
          <w:rFonts w:ascii="Book Antiqua" w:hAnsi="Book Antiqua"/>
          <w:sz w:val="22"/>
        </w:rPr>
      </w:pPr>
    </w:p>
    <w:p w14:paraId="3D51F23A" w14:textId="0B26BB4F" w:rsidR="00FF7570" w:rsidRPr="00FF7570" w:rsidRDefault="00FF7570" w:rsidP="00FF7570">
      <w:pPr>
        <w:tabs>
          <w:tab w:val="left" w:pos="3960"/>
          <w:tab w:val="left" w:pos="6480"/>
        </w:tabs>
        <w:suppressAutoHyphens/>
      </w:pPr>
      <w:r w:rsidRPr="00FF7570">
        <w:t>515.001 (9 of 11)</w:t>
      </w:r>
      <w:r>
        <w:t xml:space="preserve">                                               </w:t>
      </w:r>
      <w:r w:rsidRPr="00FF7570">
        <w:t>515.001 (9 of 11)</w:t>
      </w:r>
      <w:r>
        <w:t xml:space="preserve">                           E.L. 213</w:t>
      </w:r>
    </w:p>
    <w:p w14:paraId="3D971B0E" w14:textId="3C033033" w:rsidR="00FF7570" w:rsidRPr="00FF7570" w:rsidRDefault="00FF7570" w:rsidP="00FF7570">
      <w:pPr>
        <w:tabs>
          <w:tab w:val="left" w:pos="3960"/>
          <w:tab w:val="left" w:pos="6480"/>
        </w:tabs>
        <w:suppressAutoHyphens/>
      </w:pPr>
      <w:r w:rsidRPr="00FF7570">
        <w:t>515.001 (</w:t>
      </w:r>
      <w:r>
        <w:t>10</w:t>
      </w:r>
      <w:r w:rsidRPr="00FF7570">
        <w:t xml:space="preserve"> of 11)</w:t>
      </w:r>
      <w:r>
        <w:t xml:space="preserve">                                             </w:t>
      </w:r>
      <w:r w:rsidRPr="00FF7570">
        <w:t>515.001 (</w:t>
      </w:r>
      <w:r>
        <w:t>10</w:t>
      </w:r>
      <w:r w:rsidRPr="00FF7570">
        <w:t xml:space="preserve"> of 11)</w:t>
      </w:r>
      <w:r>
        <w:t xml:space="preserve">                         E.L. 213</w:t>
      </w:r>
    </w:p>
    <w:p w14:paraId="68F5B63C" w14:textId="43F52C0C" w:rsidR="00FF7570" w:rsidRPr="00FF7570" w:rsidRDefault="00FF7570" w:rsidP="00FF7570">
      <w:pPr>
        <w:tabs>
          <w:tab w:val="left" w:pos="3960"/>
          <w:tab w:val="left" w:pos="6480"/>
        </w:tabs>
        <w:suppressAutoHyphens/>
      </w:pPr>
      <w:r w:rsidRPr="00FF7570">
        <w:t>515.001 (</w:t>
      </w:r>
      <w:r>
        <w:t>11</w:t>
      </w:r>
      <w:r w:rsidRPr="00FF7570">
        <w:t xml:space="preserve"> of 11)</w:t>
      </w:r>
      <w:r>
        <w:t xml:space="preserve">                                             </w:t>
      </w:r>
      <w:r w:rsidRPr="00FF7570">
        <w:t>515.001 (</w:t>
      </w:r>
      <w:r>
        <w:t>11</w:t>
      </w:r>
      <w:r w:rsidRPr="00FF7570">
        <w:t xml:space="preserve"> of 11)</w:t>
      </w:r>
      <w:r>
        <w:t xml:space="preserve">                         E.L. 213</w:t>
      </w:r>
    </w:p>
    <w:p w14:paraId="335EA470" w14:textId="0BC677AF" w:rsidR="00FF7570" w:rsidRPr="00FF7570" w:rsidRDefault="00FF7570">
      <w:pPr>
        <w:tabs>
          <w:tab w:val="left" w:pos="3960"/>
          <w:tab w:val="left" w:pos="6480"/>
        </w:tabs>
        <w:suppressAutoHyphens/>
      </w:pPr>
    </w:p>
    <w:p w14:paraId="736752B1" w14:textId="211DE499" w:rsidR="00466B71" w:rsidRDefault="00466B71">
      <w:pPr>
        <w:tabs>
          <w:tab w:val="right" w:pos="1152"/>
          <w:tab w:val="left" w:pos="1404"/>
          <w:tab w:val="left" w:pos="7200"/>
        </w:tabs>
        <w:suppressAutoHyphens/>
        <w:spacing w:line="260" w:lineRule="exact"/>
        <w:jc w:val="both"/>
      </w:pPr>
      <w:r>
        <w:t>520.008 (3 of 3)</w:t>
      </w:r>
    </w:p>
    <w:p w14:paraId="275B5A4D" w14:textId="31D55558" w:rsidR="00C02CED" w:rsidRDefault="0038751B">
      <w:pPr>
        <w:tabs>
          <w:tab w:val="right" w:pos="1152"/>
          <w:tab w:val="left" w:pos="1404"/>
          <w:tab w:val="left" w:pos="7200"/>
        </w:tabs>
        <w:suppressAutoHyphens/>
        <w:spacing w:line="260" w:lineRule="exact"/>
        <w:jc w:val="both"/>
      </w:pPr>
      <w:r>
        <w:t xml:space="preserve">520.009 (1 of </w:t>
      </w:r>
      <w:r w:rsidR="00440323">
        <w:t>2</w:t>
      </w:r>
      <w:r>
        <w:t>)</w:t>
      </w:r>
      <w:r>
        <w:tab/>
        <w:t xml:space="preserve">                                               520.009 (1 of 3)                             E.L. 239</w:t>
      </w:r>
    </w:p>
    <w:p w14:paraId="33865FAB" w14:textId="4EB27B45" w:rsidR="0038751B" w:rsidRDefault="0038751B" w:rsidP="0038751B">
      <w:pPr>
        <w:tabs>
          <w:tab w:val="right" w:pos="1152"/>
          <w:tab w:val="left" w:pos="1404"/>
          <w:tab w:val="left" w:pos="7200"/>
        </w:tabs>
        <w:suppressAutoHyphens/>
        <w:spacing w:line="260" w:lineRule="exact"/>
        <w:jc w:val="both"/>
      </w:pPr>
      <w:r>
        <w:t>520.015</w:t>
      </w:r>
      <w:r>
        <w:tab/>
      </w:r>
      <w:r>
        <w:tab/>
        <w:t xml:space="preserve">                                               520.015                                          E.L. 213</w:t>
      </w:r>
    </w:p>
    <w:p w14:paraId="23F9A72A" w14:textId="1CDFBF16" w:rsidR="0038751B" w:rsidRDefault="0038751B" w:rsidP="0038751B">
      <w:pPr>
        <w:tabs>
          <w:tab w:val="right" w:pos="1152"/>
          <w:tab w:val="left" w:pos="1404"/>
          <w:tab w:val="left" w:pos="7200"/>
        </w:tabs>
        <w:suppressAutoHyphens/>
        <w:spacing w:line="260" w:lineRule="exact"/>
        <w:jc w:val="both"/>
      </w:pPr>
      <w:r>
        <w:t>520.019 (1 of 8)</w:t>
      </w:r>
      <w:r>
        <w:tab/>
        <w:t xml:space="preserve">                                               520.019 (1 of 8)                             E.L. 213</w:t>
      </w:r>
    </w:p>
    <w:p w14:paraId="58C2DD1A" w14:textId="54500514" w:rsidR="0038751B" w:rsidRDefault="0038751B" w:rsidP="0038751B">
      <w:pPr>
        <w:tabs>
          <w:tab w:val="right" w:pos="1152"/>
          <w:tab w:val="left" w:pos="1404"/>
          <w:tab w:val="left" w:pos="7200"/>
        </w:tabs>
        <w:suppressAutoHyphens/>
        <w:spacing w:line="260" w:lineRule="exact"/>
        <w:jc w:val="both"/>
      </w:pPr>
      <w:r>
        <w:t>520.019 (2 of 8)                                                 520.019 (2 of 8)                             E.L. 213</w:t>
      </w:r>
    </w:p>
    <w:p w14:paraId="5696A30C" w14:textId="6476F069" w:rsidR="0038751B" w:rsidRPr="0038751B" w:rsidRDefault="0038751B" w:rsidP="0038751B">
      <w:pPr>
        <w:tabs>
          <w:tab w:val="right" w:pos="1152"/>
          <w:tab w:val="left" w:pos="1404"/>
          <w:tab w:val="left" w:pos="7200"/>
        </w:tabs>
        <w:suppressAutoHyphens/>
        <w:spacing w:line="260" w:lineRule="exact"/>
        <w:jc w:val="both"/>
      </w:pPr>
      <w:r>
        <w:t>520.019 (7 of 8)                                                 520.019 (7 of 8)</w:t>
      </w:r>
      <w:r w:rsidR="00FF7570">
        <w:t xml:space="preserve">                             E.L. 213</w:t>
      </w:r>
    </w:p>
    <w:p w14:paraId="0BEB9F2B" w14:textId="6921691B" w:rsidR="00FF7570" w:rsidRPr="0038751B" w:rsidRDefault="00FF7570" w:rsidP="00FF7570">
      <w:pPr>
        <w:tabs>
          <w:tab w:val="right" w:pos="1152"/>
          <w:tab w:val="left" w:pos="1404"/>
          <w:tab w:val="left" w:pos="7200"/>
        </w:tabs>
        <w:suppressAutoHyphens/>
        <w:spacing w:line="260" w:lineRule="exact"/>
        <w:jc w:val="both"/>
      </w:pPr>
      <w:r>
        <w:t>520.019 (8 of 8)                                                 520.019 (8 of 8)                             E.L. 213</w:t>
      </w:r>
    </w:p>
    <w:p w14:paraId="0F7938C7" w14:textId="77777777" w:rsidR="00700E75" w:rsidRDefault="00700E75">
      <w:pPr>
        <w:tabs>
          <w:tab w:val="right" w:pos="1152"/>
          <w:tab w:val="left" w:pos="1404"/>
          <w:tab w:val="left" w:pos="7200"/>
        </w:tabs>
        <w:suppressAutoHyphens/>
        <w:spacing w:line="260" w:lineRule="exact"/>
        <w:jc w:val="both"/>
        <w:sectPr w:rsidR="00700E75">
          <w:headerReference w:type="default" r:id="rId9"/>
          <w:type w:val="continuous"/>
          <w:pgSz w:w="12240" w:h="15840" w:code="1"/>
          <w:pgMar w:top="1440" w:right="1440" w:bottom="1440" w:left="1440" w:header="720" w:footer="720" w:gutter="0"/>
          <w:cols w:space="720"/>
        </w:sectPr>
      </w:pPr>
    </w:p>
    <w:p w14:paraId="0AAEFC4B"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6119179" w14:textId="77777777" w:rsidR="00700E75" w:rsidRPr="00B37EFC" w:rsidRDefault="00700E75" w:rsidP="00CF2175">
      <w:pPr>
        <w:rPr>
          <w:rFonts w:ascii="Helvetica" w:hAnsi="Helvetica"/>
          <w:b/>
          <w:sz w:val="22"/>
          <w:szCs w:val="22"/>
        </w:rPr>
      </w:pPr>
      <w:r w:rsidRPr="00B37EFC">
        <w:rPr>
          <w:noProof/>
        </w:rPr>
        <mc:AlternateContent>
          <mc:Choice Requires="wps">
            <w:drawing>
              <wp:anchor distT="4294967294" distB="4294967294" distL="114300" distR="114300" simplePos="0" relativeHeight="251678720" behindDoc="0" locked="0" layoutInCell="1" allowOverlap="1" wp14:anchorId="10E9CDD8" wp14:editId="748A9582">
                <wp:simplePos x="0" y="0"/>
                <wp:positionH relativeFrom="column">
                  <wp:posOffset>-275590</wp:posOffset>
                </wp:positionH>
                <wp:positionV relativeFrom="paragraph">
                  <wp:posOffset>79374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88EC4" id="_x0000_t32" coordsize="21600,21600" o:spt="32" o:oned="t" path="m,l21600,21600e" filled="f">
                <v:path arrowok="t" fillok="f" o:connecttype="none"/>
                <o:lock v:ext="edit" shapetype="t"/>
              </v:shapetype>
              <v:shape id="Straight Arrow Connector 15" o:spid="_x0000_s1026" type="#_x0000_t32" style="position:absolute;margin-left:-21.7pt;margin-top:6.25pt;width:492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mc:Fallback>
        </mc:AlternateContent>
      </w:r>
    </w:p>
    <w:p w14:paraId="1B06D30F" w14:textId="77777777" w:rsidR="00700E75" w:rsidRPr="00B37EFC" w:rsidRDefault="00700E75" w:rsidP="00CF2175">
      <w:pPr>
        <w:rPr>
          <w:rFonts w:ascii="Helvetica" w:hAnsi="Helvetica"/>
          <w:b/>
          <w:sz w:val="22"/>
          <w:szCs w:val="22"/>
        </w:rPr>
      </w:pPr>
      <w:r w:rsidRPr="00B37EFC">
        <w:rPr>
          <w:rFonts w:ascii="Helvetica" w:hAnsi="Helvetica"/>
          <w:b/>
          <w:sz w:val="22"/>
          <w:szCs w:val="22"/>
        </w:rPr>
        <w:t>Trans. by E.L. 2</w:t>
      </w:r>
      <w:r>
        <w:rPr>
          <w:rFonts w:ascii="Helvetica" w:hAnsi="Helvetica"/>
          <w:b/>
          <w:sz w:val="22"/>
          <w:szCs w:val="22"/>
        </w:rPr>
        <w:t>42</w:t>
      </w:r>
    </w:p>
    <w:p w14:paraId="6FDBA2EA" w14:textId="77777777" w:rsidR="00700E75" w:rsidRPr="00B37EFC" w:rsidRDefault="00700E75" w:rsidP="00CF2175">
      <w:pPr>
        <w:rPr>
          <w:rFonts w:ascii="Helvetica" w:hAnsi="Helvetica"/>
          <w:b/>
          <w:sz w:val="22"/>
          <w:szCs w:val="22"/>
        </w:rPr>
      </w:pPr>
      <w:r w:rsidRPr="00B37EFC">
        <w:rPr>
          <w:rFonts w:ascii="Helvetica" w:hAnsi="Helvetica"/>
          <w:b/>
          <w:sz w:val="22"/>
          <w:szCs w:val="22"/>
        </w:rPr>
        <w:t>Rev. 01/0</w:t>
      </w:r>
      <w:r>
        <w:rPr>
          <w:rFonts w:ascii="Helvetica" w:hAnsi="Helvetica"/>
          <w:b/>
          <w:sz w:val="22"/>
          <w:szCs w:val="22"/>
        </w:rPr>
        <w:t>6</w:t>
      </w:r>
      <w:r w:rsidRPr="00B37EFC">
        <w:rPr>
          <w:rFonts w:ascii="Helvetica" w:hAnsi="Helvetica"/>
          <w:b/>
          <w:sz w:val="22"/>
          <w:szCs w:val="22"/>
        </w:rPr>
        <w:t>/</w:t>
      </w:r>
      <w:r>
        <w:rPr>
          <w:rFonts w:ascii="Helvetica" w:hAnsi="Helvetica"/>
          <w:b/>
          <w:sz w:val="22"/>
          <w:szCs w:val="22"/>
        </w:rPr>
        <w:t>23</w:t>
      </w:r>
    </w:p>
    <w:p w14:paraId="5805DB40"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t>MASSHEALTH: GENERAL POLICIES</w:t>
      </w:r>
    </w:p>
    <w:p w14:paraId="73B903FC" w14:textId="77777777" w:rsidR="00700E75" w:rsidRPr="00B37EFC" w:rsidRDefault="00700E75" w:rsidP="00CF2175">
      <w:pPr>
        <w:rPr>
          <w:rFonts w:ascii="Helvetica" w:hAnsi="Helvetica"/>
          <w:b/>
          <w:sz w:val="22"/>
          <w:szCs w:val="22"/>
        </w:rPr>
      </w:pPr>
      <w:r w:rsidRPr="00B37EFC">
        <w:rPr>
          <w:rFonts w:ascii="Helvetica" w:hAnsi="Helvetica"/>
          <w:b/>
          <w:sz w:val="22"/>
          <w:szCs w:val="22"/>
        </w:rPr>
        <w:t>Chapter 515</w:t>
      </w:r>
    </w:p>
    <w:p w14:paraId="1BDABD4E" w14:textId="77777777" w:rsidR="00700E75" w:rsidRPr="00B37EFC" w:rsidRDefault="00700E75" w:rsidP="00CF2175">
      <w:pPr>
        <w:rPr>
          <w:rFonts w:ascii="Helvetica" w:hAnsi="Helvetica"/>
          <w:b/>
          <w:sz w:val="22"/>
          <w:szCs w:val="22"/>
        </w:rPr>
      </w:pPr>
      <w:r w:rsidRPr="00B37EFC">
        <w:rPr>
          <w:rFonts w:ascii="Helvetica" w:hAnsi="Helvetica"/>
          <w:b/>
          <w:sz w:val="22"/>
          <w:szCs w:val="22"/>
        </w:rPr>
        <w:t>Page 515.001 (9 of 11)</w:t>
      </w:r>
    </w:p>
    <w:p w14:paraId="319D1C66" w14:textId="77777777" w:rsidR="00700E75" w:rsidRPr="00B37EFC" w:rsidRDefault="00700E75" w:rsidP="00CF2175">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79744" behindDoc="0" locked="0" layoutInCell="1" allowOverlap="1" wp14:anchorId="0396855B" wp14:editId="4086A18A">
                <wp:simplePos x="0" y="0"/>
                <wp:positionH relativeFrom="column">
                  <wp:posOffset>-271780</wp:posOffset>
                </wp:positionH>
                <wp:positionV relativeFrom="paragraph">
                  <wp:posOffset>126364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E84A2" id="Straight Arrow Connector 16" o:spid="_x0000_s1026" type="#_x0000_t32" style="position:absolute;margin-left:-21.4pt;margin-top:9.95pt;width:492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mc:Fallback>
        </mc:AlternateContent>
      </w:r>
    </w:p>
    <w:p w14:paraId="73573E55" w14:textId="77777777" w:rsidR="00700E75" w:rsidRPr="00B37EFC" w:rsidRDefault="00700E75" w:rsidP="00CF2175">
      <w:pPr>
        <w:rPr>
          <w:sz w:val="22"/>
          <w:szCs w:val="22"/>
        </w:rPr>
      </w:pPr>
    </w:p>
    <w:p w14:paraId="74FF3571" w14:textId="77777777" w:rsidR="00700E75" w:rsidRPr="00B37EFC" w:rsidRDefault="00700E75" w:rsidP="00CF2175">
      <w:pPr>
        <w:widowControl w:val="0"/>
        <w:tabs>
          <w:tab w:val="left" w:pos="810"/>
          <w:tab w:val="left" w:pos="1314"/>
          <w:tab w:val="left" w:pos="1692"/>
          <w:tab w:val="left" w:pos="2070"/>
        </w:tabs>
        <w:ind w:left="936"/>
        <w:rPr>
          <w:sz w:val="22"/>
        </w:rPr>
      </w:pPr>
      <w:r w:rsidRPr="00B37EFC">
        <w:rPr>
          <w:sz w:val="22"/>
          <w:u w:val="single"/>
        </w:rPr>
        <w:t>Personal Needs Allowance (PNA)</w:t>
      </w:r>
      <w:r w:rsidRPr="00B37EFC">
        <w:rPr>
          <w:sz w:val="22"/>
        </w:rPr>
        <w:t xml:space="preserve"> – the designated portion of monthly income that a person in long-term care is allowed to retain for personal expenses. In some instances, the MassHealth agency pays all or a portion of the PNA to the member. The PNA must not be used for payment of any item included in the daily rate at the long-term-care facility.</w:t>
      </w:r>
    </w:p>
    <w:p w14:paraId="7DB225E9" w14:textId="77777777" w:rsidR="00700E75" w:rsidRPr="00B37EFC" w:rsidRDefault="00700E75" w:rsidP="00CF2175">
      <w:pPr>
        <w:widowControl w:val="0"/>
        <w:tabs>
          <w:tab w:val="left" w:pos="810"/>
          <w:tab w:val="left" w:pos="1314"/>
          <w:tab w:val="left" w:pos="1692"/>
          <w:tab w:val="left" w:pos="2070"/>
        </w:tabs>
        <w:ind w:left="936"/>
        <w:rPr>
          <w:sz w:val="22"/>
        </w:rPr>
      </w:pPr>
    </w:p>
    <w:p w14:paraId="36655135" w14:textId="77777777" w:rsidR="00700E75" w:rsidRPr="00B37EFC" w:rsidRDefault="00700E75" w:rsidP="00CF2175">
      <w:pPr>
        <w:tabs>
          <w:tab w:val="left" w:pos="810"/>
        </w:tabs>
        <w:ind w:left="936"/>
        <w:rPr>
          <w:sz w:val="22"/>
        </w:rPr>
      </w:pPr>
      <w:r w:rsidRPr="00B37EFC">
        <w:rPr>
          <w:sz w:val="22"/>
          <w:u w:val="single"/>
        </w:rPr>
        <w:t>Personal Needs Allowance (PNA) Account</w:t>
      </w:r>
      <w:r w:rsidRPr="00B37EFC">
        <w:rPr>
          <w:sz w:val="22"/>
        </w:rPr>
        <w:t xml:space="preserve"> – an account administered by a long-term-care facility on behalf of a member. Regulations regarding the administration of PNA accounts are contained in 130 CMR 456.601: </w:t>
      </w:r>
      <w:r w:rsidRPr="00B37EFC">
        <w:rPr>
          <w:i/>
          <w:sz w:val="22"/>
          <w:szCs w:val="22"/>
        </w:rPr>
        <w:t>Personal Needs Allowance Account</w:t>
      </w:r>
      <w:r w:rsidRPr="00B37EFC">
        <w:rPr>
          <w:sz w:val="22"/>
        </w:rPr>
        <w:t xml:space="preserve"> through 456.615: </w:t>
      </w:r>
      <w:r w:rsidRPr="00B37EFC">
        <w:rPr>
          <w:i/>
          <w:sz w:val="22"/>
          <w:szCs w:val="22"/>
        </w:rPr>
        <w:t>Annual Accounting to the Division of PNA Balance</w:t>
      </w:r>
      <w:r w:rsidRPr="00B37EFC">
        <w:rPr>
          <w:sz w:val="22"/>
        </w:rPr>
        <w:t>.</w:t>
      </w:r>
    </w:p>
    <w:p w14:paraId="67E937F1" w14:textId="77777777" w:rsidR="00700E75" w:rsidRPr="00B37EFC" w:rsidRDefault="00700E75" w:rsidP="00CF2175">
      <w:pPr>
        <w:tabs>
          <w:tab w:val="left" w:pos="810"/>
        </w:tabs>
        <w:ind w:left="936"/>
        <w:rPr>
          <w:sz w:val="22"/>
        </w:rPr>
      </w:pPr>
    </w:p>
    <w:p w14:paraId="791402A5" w14:textId="77777777" w:rsidR="00700E75" w:rsidRPr="00B37EFC" w:rsidRDefault="00700E75" w:rsidP="00CF2175">
      <w:pPr>
        <w:widowControl w:val="0"/>
        <w:tabs>
          <w:tab w:val="left" w:pos="936"/>
          <w:tab w:val="left" w:pos="1309"/>
          <w:tab w:val="left" w:pos="1698"/>
          <w:tab w:val="left" w:pos="2073"/>
        </w:tabs>
        <w:ind w:left="936"/>
        <w:rPr>
          <w:sz w:val="22"/>
        </w:rPr>
      </w:pPr>
      <w:r w:rsidRPr="00B37EFC">
        <w:rPr>
          <w:sz w:val="22"/>
          <w:u w:val="single"/>
        </w:rPr>
        <w:t>Pooled Trust</w:t>
      </w:r>
      <w:r w:rsidRPr="00B37EFC">
        <w:rPr>
          <w:sz w:val="22"/>
        </w:rPr>
        <w:t xml:space="preserve"> – Effective until sixty days after the end of the maintenance of effort and continuous eligibility provisions of Section 6008 of the Families First Coronavirus Response Act (Public Law No. 116-127), a trust that meets all the following criteria as determined by the MassHealth agency. </w:t>
      </w:r>
    </w:p>
    <w:p w14:paraId="0FB67BF1"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(1)  The trust was created by a nonprofit organization. </w:t>
      </w:r>
    </w:p>
    <w:p w14:paraId="66BD73BC"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(2)  A separate account is maintained for each beneficiary of the trust, but the assets of the trust are pooled for investment and management purposes. </w:t>
      </w:r>
    </w:p>
    <w:p w14:paraId="0D0DF36D"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(3)  The account in a pooled trust was created for the sole benefit of the individual by the individual, the individual's parents or grandparents, or by a legal guardian or court acting on behalf of the individual. </w:t>
      </w:r>
    </w:p>
    <w:p w14:paraId="6B40674D"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(4)  The trust provides that the Commonwealth of Massachusetts will receive amounts remaining in the account upon the death of the individual up to the amount paid by the MassHealth agency for services to the individual. The trust may retain reasonable and appropriate amounts as determined by the MassHealth agency.</w:t>
      </w:r>
    </w:p>
    <w:p w14:paraId="20C7D27C"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(5)  The individual was disabled at the time his or her account in the pool was created.</w:t>
      </w:r>
    </w:p>
    <w:p w14:paraId="2CE2ACE6" w14:textId="77777777" w:rsidR="00700E75" w:rsidRPr="00B37EFC" w:rsidRDefault="00700E75" w:rsidP="00CF2175">
      <w:pPr>
        <w:widowControl w:val="0"/>
        <w:tabs>
          <w:tab w:val="left" w:pos="936"/>
          <w:tab w:val="left" w:pos="1309"/>
          <w:tab w:val="left" w:pos="1698"/>
          <w:tab w:val="left" w:pos="2073"/>
        </w:tabs>
        <w:rPr>
          <w:sz w:val="22"/>
        </w:rPr>
      </w:pPr>
      <w:r w:rsidRPr="00B37EFC">
        <w:rPr>
          <w:sz w:val="22"/>
        </w:rPr>
        <w:tab/>
      </w:r>
    </w:p>
    <w:p w14:paraId="0F0FC2D5" w14:textId="77777777" w:rsidR="00700E75" w:rsidRPr="00B37EFC" w:rsidRDefault="00700E75" w:rsidP="00CF2175">
      <w:pPr>
        <w:widowControl w:val="0"/>
        <w:tabs>
          <w:tab w:val="left" w:pos="936"/>
          <w:tab w:val="left" w:pos="1309"/>
          <w:tab w:val="left" w:pos="1698"/>
          <w:tab w:val="left" w:pos="2073"/>
        </w:tabs>
        <w:ind w:left="936" w:firstLine="360"/>
        <w:rPr>
          <w:sz w:val="22"/>
        </w:rPr>
      </w:pPr>
      <w:bookmarkStart w:id="0" w:name="_Hlk121993442"/>
      <w:r w:rsidRPr="00B37EFC">
        <w:rPr>
          <w:sz w:val="22"/>
        </w:rPr>
        <w:t xml:space="preserve">Effective sixty days </w:t>
      </w:r>
      <w:bookmarkStart w:id="1" w:name="_Hlk122514478"/>
      <w:r w:rsidRPr="00B37EFC">
        <w:rPr>
          <w:sz w:val="22"/>
        </w:rPr>
        <w:t>after the end of the maintenance of effort and continuous eligibility provisions of Section 6008 of the Families First Coronavirus Response Act (Public Law No. 116-127)</w:t>
      </w:r>
      <w:bookmarkEnd w:id="1"/>
      <w:r w:rsidRPr="00B37EFC">
        <w:rPr>
          <w:sz w:val="22"/>
        </w:rPr>
        <w:t>, a trust that meets all the following criteria as determined by the MassHealth agency:</w:t>
      </w:r>
    </w:p>
    <w:p w14:paraId="6AB21F99"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(1)  The trust was created by a nonprofit organization. </w:t>
      </w:r>
    </w:p>
    <w:p w14:paraId="4E730F97"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(2)  A separate account is maintained for each beneficiary of the trust, but the assets of the trust are pooled for investment and management purposes. </w:t>
      </w:r>
    </w:p>
    <w:p w14:paraId="2F29F9FC"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 xml:space="preserve">(3)  The account in a pooled trust was created for the sole benefit of the individual by the individual, the individual's parents or grandparents, or by a legal guardian or court acting on behalf of the individual. </w:t>
      </w:r>
    </w:p>
    <w:p w14:paraId="78680220"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(4)  The trust provides that the Commonwealth of Massachusetts will receive amounts remaining in the account upon the death of the individual and, if applicable, early termination of the account  up to the amount paid by the MassHealth agency for services to the individual. The trust may retain reasonable and appropriate amounts as determined by the MassHealth agency.</w:t>
      </w:r>
    </w:p>
    <w:p w14:paraId="49266DB3"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(5)  The individual was disabled at the time his or her account in the pool was created and funded.</w:t>
      </w:r>
    </w:p>
    <w:p w14:paraId="624B5167" w14:textId="77777777" w:rsidR="00700E75" w:rsidRPr="00B37EFC" w:rsidRDefault="00700E75" w:rsidP="00CF2175">
      <w:pPr>
        <w:widowControl w:val="0"/>
        <w:tabs>
          <w:tab w:val="left" w:pos="936"/>
          <w:tab w:val="left" w:pos="1309"/>
          <w:tab w:val="left" w:pos="1698"/>
          <w:tab w:val="left" w:pos="2073"/>
        </w:tabs>
        <w:ind w:left="1314"/>
        <w:rPr>
          <w:sz w:val="22"/>
        </w:rPr>
      </w:pPr>
      <w:r w:rsidRPr="00B37EFC">
        <w:rPr>
          <w:sz w:val="22"/>
        </w:rPr>
        <w:t>(6)  The trust must include provisions that the trustee will promptly provide written notice of the death of the individual, proposed early termination or transfer of the account, and trust accountings to the MassHealth agency or its designee.</w:t>
      </w:r>
    </w:p>
    <w:bookmarkEnd w:id="0"/>
    <w:p w14:paraId="7E7ED367" w14:textId="77777777" w:rsidR="00700E75" w:rsidRPr="00B37EFC" w:rsidRDefault="00700E75" w:rsidP="00CF2175">
      <w:pPr>
        <w:widowControl w:val="0"/>
        <w:tabs>
          <w:tab w:val="left" w:pos="936"/>
          <w:tab w:val="left" w:pos="1309"/>
          <w:tab w:val="left" w:pos="1698"/>
          <w:tab w:val="left" w:pos="2073"/>
        </w:tabs>
        <w:ind w:left="936"/>
        <w:rPr>
          <w:sz w:val="22"/>
        </w:rPr>
      </w:pPr>
    </w:p>
    <w:p w14:paraId="62810157" w14:textId="77777777" w:rsidR="00700E75" w:rsidRPr="00B37EFC" w:rsidRDefault="00700E75" w:rsidP="00CF2175">
      <w:pPr>
        <w:widowControl w:val="0"/>
        <w:tabs>
          <w:tab w:val="left" w:pos="936"/>
          <w:tab w:val="left" w:pos="1309"/>
          <w:tab w:val="left" w:pos="1698"/>
          <w:tab w:val="left" w:pos="2073"/>
        </w:tabs>
        <w:ind w:left="936"/>
        <w:rPr>
          <w:sz w:val="22"/>
        </w:rPr>
      </w:pPr>
    </w:p>
    <w:p w14:paraId="0A1D483E" w14:textId="77777777" w:rsidR="00700E75" w:rsidRPr="00B37EFC" w:rsidRDefault="00700E75" w:rsidP="00CF2175">
      <w:pPr>
        <w:widowControl w:val="0"/>
        <w:tabs>
          <w:tab w:val="left" w:pos="936"/>
          <w:tab w:val="left" w:pos="1314"/>
          <w:tab w:val="left" w:pos="1692"/>
          <w:tab w:val="left" w:pos="2070"/>
        </w:tabs>
        <w:ind w:left="936"/>
        <w:rPr>
          <w:sz w:val="22"/>
        </w:rPr>
        <w:sectPr w:rsidR="00700E75" w:rsidRPr="00B37EFC" w:rsidSect="00700E75">
          <w:headerReference w:type="default" r:id="rId10"/>
          <w:pgSz w:w="12240" w:h="15840"/>
          <w:pgMar w:top="432" w:right="1296" w:bottom="432" w:left="1296" w:header="432" w:footer="720" w:gutter="0"/>
          <w:cols w:space="720"/>
          <w:docGrid w:linePitch="360"/>
        </w:sectPr>
      </w:pPr>
    </w:p>
    <w:p w14:paraId="206919A3"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B095502" w14:textId="77777777" w:rsidR="00700E75" w:rsidRPr="00B37EFC" w:rsidRDefault="00700E75" w:rsidP="00CF2175">
      <w:pPr>
        <w:rPr>
          <w:rFonts w:ascii="Helvetica" w:hAnsi="Helvetica"/>
          <w:b/>
          <w:sz w:val="22"/>
          <w:szCs w:val="22"/>
        </w:rPr>
      </w:pPr>
      <w:r w:rsidRPr="00B37EFC">
        <w:rPr>
          <w:noProof/>
        </w:rPr>
        <mc:AlternateContent>
          <mc:Choice Requires="wps">
            <w:drawing>
              <wp:anchor distT="4294967294" distB="4294967294" distL="114300" distR="114300" simplePos="0" relativeHeight="251680768" behindDoc="0" locked="0" layoutInCell="1" allowOverlap="1" wp14:anchorId="07F00ECB" wp14:editId="1F742531">
                <wp:simplePos x="0" y="0"/>
                <wp:positionH relativeFrom="column">
                  <wp:posOffset>-275590</wp:posOffset>
                </wp:positionH>
                <wp:positionV relativeFrom="paragraph">
                  <wp:posOffset>79374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8828" id="Straight Arrow Connector 17" o:spid="_x0000_s1026" type="#_x0000_t32" style="position:absolute;margin-left:-21.7pt;margin-top:6.25pt;width:492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X+njU0gEAAI0D&#10;AAAOAAAAAAAAAAAAAAAAAC4CAABkcnMvZTJvRG9jLnhtbFBLAQItABQABgAIAAAAIQDSjDlP3QAA&#10;AAkBAAAPAAAAAAAAAAAAAAAAACwEAABkcnMvZG93bnJldi54bWxQSwUGAAAAAAQABADzAAAANgUA&#10;AAAA&#10;"/>
            </w:pict>
          </mc:Fallback>
        </mc:AlternateContent>
      </w:r>
    </w:p>
    <w:p w14:paraId="300F22EA" w14:textId="77777777" w:rsidR="00700E75" w:rsidRPr="00B37EFC" w:rsidRDefault="00700E75" w:rsidP="00CF2175">
      <w:pPr>
        <w:rPr>
          <w:rFonts w:ascii="Helvetica" w:hAnsi="Helvetica"/>
          <w:b/>
          <w:sz w:val="22"/>
          <w:szCs w:val="22"/>
        </w:rPr>
      </w:pPr>
      <w:r w:rsidRPr="00B37EFC">
        <w:rPr>
          <w:rFonts w:ascii="Helvetica" w:hAnsi="Helvetica"/>
          <w:b/>
          <w:sz w:val="22"/>
          <w:szCs w:val="22"/>
        </w:rPr>
        <w:t>Trans. by E.L. 2</w:t>
      </w:r>
      <w:r>
        <w:rPr>
          <w:rFonts w:ascii="Helvetica" w:hAnsi="Helvetica"/>
          <w:b/>
          <w:sz w:val="22"/>
          <w:szCs w:val="22"/>
        </w:rPr>
        <w:t>42</w:t>
      </w:r>
    </w:p>
    <w:p w14:paraId="4FBB4825" w14:textId="77777777" w:rsidR="00700E75" w:rsidRPr="00B37EFC" w:rsidRDefault="00700E75" w:rsidP="00CF2175">
      <w:pPr>
        <w:rPr>
          <w:rFonts w:ascii="Helvetica" w:hAnsi="Helvetica"/>
          <w:b/>
          <w:sz w:val="22"/>
          <w:szCs w:val="22"/>
        </w:rPr>
      </w:pPr>
      <w:r w:rsidRPr="00B37EFC">
        <w:rPr>
          <w:rFonts w:ascii="Helvetica" w:hAnsi="Helvetica"/>
          <w:b/>
          <w:sz w:val="22"/>
          <w:szCs w:val="22"/>
        </w:rPr>
        <w:t>Rev. 0</w:t>
      </w:r>
      <w:r>
        <w:rPr>
          <w:rFonts w:ascii="Helvetica" w:hAnsi="Helvetica"/>
          <w:b/>
          <w:sz w:val="22"/>
          <w:szCs w:val="22"/>
        </w:rPr>
        <w:t>1</w:t>
      </w:r>
      <w:r w:rsidRPr="00B37EFC">
        <w:rPr>
          <w:rFonts w:ascii="Helvetica" w:hAnsi="Helvetica"/>
          <w:b/>
          <w:sz w:val="22"/>
          <w:szCs w:val="22"/>
        </w:rPr>
        <w:t>/</w:t>
      </w:r>
      <w:r>
        <w:rPr>
          <w:rFonts w:ascii="Helvetica" w:hAnsi="Helvetica"/>
          <w:b/>
          <w:sz w:val="22"/>
          <w:szCs w:val="22"/>
        </w:rPr>
        <w:t>06</w:t>
      </w:r>
      <w:r w:rsidRPr="00B37EFC">
        <w:rPr>
          <w:rFonts w:ascii="Helvetica" w:hAnsi="Helvetica"/>
          <w:b/>
          <w:sz w:val="22"/>
          <w:szCs w:val="22"/>
        </w:rPr>
        <w:t>/2</w:t>
      </w:r>
      <w:r>
        <w:rPr>
          <w:rFonts w:ascii="Helvetica" w:hAnsi="Helvetica"/>
          <w:b/>
          <w:sz w:val="22"/>
          <w:szCs w:val="22"/>
        </w:rPr>
        <w:t>3</w:t>
      </w:r>
    </w:p>
    <w:p w14:paraId="5ECB84D0"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t>MASSHEALTH: GENERAL POLICIES</w:t>
      </w:r>
    </w:p>
    <w:p w14:paraId="40B30371" w14:textId="77777777" w:rsidR="00700E75" w:rsidRPr="00B37EFC" w:rsidRDefault="00700E75" w:rsidP="00CF2175">
      <w:pPr>
        <w:rPr>
          <w:rFonts w:ascii="Helvetica" w:hAnsi="Helvetica"/>
          <w:b/>
          <w:sz w:val="22"/>
          <w:szCs w:val="22"/>
        </w:rPr>
      </w:pPr>
      <w:r w:rsidRPr="00B37EFC">
        <w:rPr>
          <w:rFonts w:ascii="Helvetica" w:hAnsi="Helvetica"/>
          <w:b/>
          <w:sz w:val="22"/>
          <w:szCs w:val="22"/>
        </w:rPr>
        <w:t>Chapter 515</w:t>
      </w:r>
    </w:p>
    <w:p w14:paraId="2E97E4C3" w14:textId="77777777" w:rsidR="00700E75" w:rsidRPr="00B37EFC" w:rsidRDefault="00700E75" w:rsidP="00CF2175">
      <w:pPr>
        <w:rPr>
          <w:rFonts w:ascii="Helvetica" w:hAnsi="Helvetica"/>
          <w:b/>
          <w:sz w:val="22"/>
          <w:szCs w:val="22"/>
        </w:rPr>
      </w:pPr>
      <w:r w:rsidRPr="00B37EFC">
        <w:rPr>
          <w:rFonts w:ascii="Helvetica" w:hAnsi="Helvetica"/>
          <w:b/>
          <w:sz w:val="22"/>
          <w:szCs w:val="22"/>
        </w:rPr>
        <w:t>Page 515.001 (10 of 11)</w:t>
      </w:r>
    </w:p>
    <w:p w14:paraId="142FD719" w14:textId="77777777" w:rsidR="00700E75" w:rsidRPr="00B37EFC" w:rsidRDefault="00700E75" w:rsidP="00CF2175">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81792" behindDoc="0" locked="0" layoutInCell="1" allowOverlap="1" wp14:anchorId="45C3790E" wp14:editId="7707E706">
                <wp:simplePos x="0" y="0"/>
                <wp:positionH relativeFrom="column">
                  <wp:posOffset>-271780</wp:posOffset>
                </wp:positionH>
                <wp:positionV relativeFrom="paragraph">
                  <wp:posOffset>126364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C9C63" id="Straight Arrow Connector 18" o:spid="_x0000_s1026" type="#_x0000_t32" style="position:absolute;margin-left:-21.4pt;margin-top:9.95pt;width:492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K3WncHRAQAAjQMA&#10;AA4AAAAAAAAAAAAAAAAALgIAAGRycy9lMm9Eb2MueG1sUEsBAi0AFAAGAAgAAAAhAKfmR7LdAAAA&#10;CQEAAA8AAAAAAAAAAAAAAAAAKwQAAGRycy9kb3ducmV2LnhtbFBLBQYAAAAABAAEAPMAAAA1BQAA&#10;AAA=&#10;"/>
            </w:pict>
          </mc:Fallback>
        </mc:AlternateContent>
      </w:r>
    </w:p>
    <w:p w14:paraId="0A5B8DC9" w14:textId="77777777" w:rsidR="00700E75" w:rsidRDefault="00700E75" w:rsidP="00CF2175">
      <w:pPr>
        <w:widowControl w:val="0"/>
        <w:tabs>
          <w:tab w:val="left" w:pos="936"/>
          <w:tab w:val="left" w:pos="1309"/>
          <w:tab w:val="left" w:pos="1698"/>
          <w:tab w:val="left" w:pos="2073"/>
        </w:tabs>
        <w:ind w:left="936"/>
        <w:rPr>
          <w:sz w:val="22"/>
          <w:u w:val="single"/>
        </w:rPr>
      </w:pPr>
    </w:p>
    <w:p w14:paraId="755B183B" w14:textId="77777777" w:rsidR="00700E75" w:rsidRPr="00B37EFC" w:rsidRDefault="00700E75" w:rsidP="00CF2175">
      <w:pPr>
        <w:widowControl w:val="0"/>
        <w:tabs>
          <w:tab w:val="left" w:pos="936"/>
          <w:tab w:val="left" w:pos="1309"/>
          <w:tab w:val="left" w:pos="1698"/>
          <w:tab w:val="left" w:pos="2073"/>
        </w:tabs>
        <w:ind w:left="936"/>
        <w:rPr>
          <w:sz w:val="22"/>
        </w:rPr>
      </w:pPr>
      <w:r w:rsidRPr="00B37EFC">
        <w:rPr>
          <w:sz w:val="22"/>
          <w:u w:val="single"/>
        </w:rPr>
        <w:t>Premium Tax Credit</w:t>
      </w:r>
      <w:r w:rsidRPr="00B37EFC">
        <w:rPr>
          <w:sz w:val="22"/>
        </w:rPr>
        <w:t xml:space="preserve"> – payment made pursuant to 26 U.S.C. § 36B on behalf of an eligible individual to reduce the costs of a health benefit plan premium to the individual.</w:t>
      </w:r>
    </w:p>
    <w:p w14:paraId="42BD82D3" w14:textId="77777777" w:rsidR="00700E75" w:rsidRPr="00B37EFC" w:rsidRDefault="00700E75" w:rsidP="00CF2175">
      <w:pPr>
        <w:widowControl w:val="0"/>
        <w:tabs>
          <w:tab w:val="left" w:pos="936"/>
          <w:tab w:val="left" w:pos="1309"/>
          <w:tab w:val="left" w:pos="1698"/>
          <w:tab w:val="left" w:pos="2073"/>
        </w:tabs>
        <w:ind w:left="936"/>
        <w:rPr>
          <w:sz w:val="22"/>
        </w:rPr>
      </w:pPr>
    </w:p>
    <w:p w14:paraId="7B50A800" w14:textId="77777777" w:rsidR="00700E75" w:rsidRPr="00B37EFC" w:rsidRDefault="00700E75" w:rsidP="00CF2175">
      <w:pPr>
        <w:widowControl w:val="0"/>
        <w:tabs>
          <w:tab w:val="left" w:pos="936"/>
          <w:tab w:val="left" w:pos="1309"/>
          <w:tab w:val="left" w:pos="1698"/>
          <w:tab w:val="left" w:pos="2073"/>
        </w:tabs>
        <w:ind w:left="936"/>
        <w:rPr>
          <w:sz w:val="22"/>
        </w:rPr>
      </w:pPr>
      <w:r w:rsidRPr="00B37EFC">
        <w:rPr>
          <w:sz w:val="22"/>
          <w:u w:val="single"/>
        </w:rPr>
        <w:t>Promissory Note</w:t>
      </w:r>
      <w:r w:rsidRPr="00B37EFC">
        <w:rPr>
          <w:sz w:val="22"/>
        </w:rPr>
        <w:t xml:space="preserve"> – a written promise to pay another.</w:t>
      </w:r>
    </w:p>
    <w:p w14:paraId="6049EF8D" w14:textId="77777777" w:rsidR="00700E75" w:rsidRPr="00B37EFC" w:rsidRDefault="00700E75" w:rsidP="00CF2175">
      <w:pPr>
        <w:widowControl w:val="0"/>
        <w:tabs>
          <w:tab w:val="left" w:pos="936"/>
          <w:tab w:val="left" w:pos="1314"/>
          <w:tab w:val="left" w:pos="1692"/>
          <w:tab w:val="left" w:pos="2070"/>
        </w:tabs>
        <w:ind w:left="936"/>
        <w:rPr>
          <w:sz w:val="22"/>
        </w:rPr>
      </w:pPr>
    </w:p>
    <w:p w14:paraId="0F77CF44" w14:textId="77777777" w:rsidR="00700E75" w:rsidRPr="00B37EFC" w:rsidRDefault="00700E75" w:rsidP="00CF2175">
      <w:pPr>
        <w:widowControl w:val="0"/>
        <w:tabs>
          <w:tab w:val="left" w:pos="936"/>
          <w:tab w:val="left" w:pos="1314"/>
          <w:tab w:val="left" w:pos="1692"/>
          <w:tab w:val="left" w:pos="2070"/>
        </w:tabs>
        <w:ind w:left="936"/>
        <w:rPr>
          <w:sz w:val="22"/>
          <w:szCs w:val="22"/>
        </w:rPr>
      </w:pPr>
      <w:r w:rsidRPr="00B37EFC">
        <w:rPr>
          <w:sz w:val="22"/>
          <w:szCs w:val="22"/>
          <w:u w:val="single"/>
        </w:rPr>
        <w:t>Protected Noncitizens</w:t>
      </w:r>
      <w:r w:rsidRPr="00B37EFC">
        <w:rPr>
          <w:sz w:val="22"/>
          <w:szCs w:val="22"/>
        </w:rPr>
        <w:t xml:space="preserve"> </w:t>
      </w:r>
      <w:r w:rsidRPr="00B37EFC">
        <w:rPr>
          <w:sz w:val="22"/>
          <w:szCs w:val="22"/>
        </w:rPr>
        <w:sym w:font="Symbol" w:char="F02D"/>
      </w:r>
      <w:r w:rsidRPr="00B37EFC">
        <w:rPr>
          <w:sz w:val="22"/>
          <w:szCs w:val="22"/>
        </w:rPr>
        <w:t xml:space="preserve"> see 130 CMR 518.003(B): </w:t>
      </w:r>
      <w:r w:rsidRPr="00B37EFC">
        <w:rPr>
          <w:i/>
          <w:sz w:val="22"/>
          <w:szCs w:val="22"/>
        </w:rPr>
        <w:t>Protected Noncitizens</w:t>
      </w:r>
      <w:r w:rsidRPr="00B37EFC">
        <w:rPr>
          <w:sz w:val="22"/>
          <w:szCs w:val="22"/>
        </w:rPr>
        <w:t>.</w:t>
      </w:r>
    </w:p>
    <w:p w14:paraId="02570B6B" w14:textId="77777777" w:rsidR="00700E75" w:rsidRPr="00B37EFC" w:rsidRDefault="00700E75" w:rsidP="00CF2175">
      <w:pPr>
        <w:widowControl w:val="0"/>
        <w:tabs>
          <w:tab w:val="left" w:pos="936"/>
          <w:tab w:val="left" w:pos="1314"/>
          <w:tab w:val="left" w:pos="1692"/>
          <w:tab w:val="left" w:pos="2070"/>
        </w:tabs>
        <w:ind w:left="936"/>
        <w:rPr>
          <w:sz w:val="22"/>
          <w:szCs w:val="22"/>
        </w:rPr>
      </w:pPr>
    </w:p>
    <w:p w14:paraId="605DC5AF"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Qualified Health Plan (QHP)</w:t>
      </w:r>
      <w:r w:rsidRPr="00B37EFC">
        <w:rPr>
          <w:sz w:val="22"/>
        </w:rPr>
        <w:t xml:space="preserve"> </w:t>
      </w:r>
      <w:r w:rsidRPr="00B37EFC">
        <w:rPr>
          <w:sz w:val="22"/>
          <w:szCs w:val="22"/>
        </w:rPr>
        <w:sym w:font="Symbol" w:char="F02D"/>
      </w:r>
      <w:r w:rsidRPr="00B37EFC">
        <w:rPr>
          <w:sz w:val="22"/>
          <w:szCs w:val="22"/>
        </w:rPr>
        <w:t xml:space="preserve"> </w:t>
      </w:r>
      <w:r w:rsidRPr="00B37EFC">
        <w:rPr>
          <w:sz w:val="22"/>
        </w:rPr>
        <w:t xml:space="preserve">a health plan licensed under M.G.L. </w:t>
      </w:r>
      <w:proofErr w:type="spellStart"/>
      <w:r w:rsidRPr="00B37EFC">
        <w:rPr>
          <w:sz w:val="22"/>
        </w:rPr>
        <w:t>chs</w:t>
      </w:r>
      <w:proofErr w:type="spellEnd"/>
      <w:r w:rsidRPr="00B37EFC">
        <w:rPr>
          <w:sz w:val="22"/>
        </w:rPr>
        <w:t xml:space="preserve">. 175, 176A, 176B, or 176G that has received the Commonwealth Health Insurance Connector’s Seal of Approval as meeting the criteria under 45 CFR §155.1000 and is offered through the Health Connector in accordance with the provisions of 45 CFR §155.1010. </w:t>
      </w:r>
    </w:p>
    <w:p w14:paraId="0875C52A" w14:textId="77777777" w:rsidR="00700E75" w:rsidRPr="00B37EFC" w:rsidRDefault="00700E75" w:rsidP="00CF2175">
      <w:pPr>
        <w:widowControl w:val="0"/>
        <w:tabs>
          <w:tab w:val="left" w:pos="936"/>
          <w:tab w:val="left" w:pos="1314"/>
          <w:tab w:val="left" w:pos="1692"/>
          <w:tab w:val="left" w:pos="2070"/>
        </w:tabs>
        <w:ind w:left="936"/>
        <w:rPr>
          <w:sz w:val="22"/>
          <w:u w:val="single"/>
        </w:rPr>
      </w:pPr>
    </w:p>
    <w:p w14:paraId="291986AB" w14:textId="77777777" w:rsidR="00700E75" w:rsidRPr="00B37EFC" w:rsidRDefault="00700E75" w:rsidP="00CF2175">
      <w:pPr>
        <w:widowControl w:val="0"/>
        <w:tabs>
          <w:tab w:val="left" w:pos="936"/>
          <w:tab w:val="left" w:pos="1314"/>
          <w:tab w:val="left" w:pos="1692"/>
          <w:tab w:val="left" w:pos="2070"/>
        </w:tabs>
        <w:ind w:left="936"/>
        <w:rPr>
          <w:sz w:val="22"/>
          <w:szCs w:val="22"/>
          <w:u w:val="single"/>
        </w:rPr>
      </w:pPr>
      <w:r w:rsidRPr="00B37EFC">
        <w:rPr>
          <w:sz w:val="22"/>
          <w:szCs w:val="22"/>
          <w:u w:val="single"/>
        </w:rPr>
        <w:t>Qualified Noncitizens</w:t>
      </w:r>
      <w:r w:rsidRPr="00B37EFC">
        <w:rPr>
          <w:sz w:val="22"/>
          <w:szCs w:val="22"/>
        </w:rPr>
        <w:t xml:space="preserve"> </w:t>
      </w:r>
      <w:r w:rsidRPr="00B37EFC">
        <w:rPr>
          <w:sz w:val="22"/>
          <w:szCs w:val="22"/>
        </w:rPr>
        <w:sym w:font="Symbol" w:char="F02D"/>
      </w:r>
      <w:r w:rsidRPr="00B37EFC">
        <w:rPr>
          <w:sz w:val="22"/>
          <w:szCs w:val="22"/>
        </w:rPr>
        <w:t xml:space="preserve"> see 130 CMR 518.003(A)(1): </w:t>
      </w:r>
      <w:r w:rsidRPr="00B37EFC">
        <w:rPr>
          <w:i/>
          <w:sz w:val="22"/>
          <w:szCs w:val="22"/>
        </w:rPr>
        <w:t>Qualified Noncitizens</w:t>
      </w:r>
      <w:r w:rsidRPr="00B37EFC">
        <w:rPr>
          <w:sz w:val="22"/>
          <w:szCs w:val="22"/>
        </w:rPr>
        <w:t>.</w:t>
      </w:r>
    </w:p>
    <w:p w14:paraId="5350209E" w14:textId="77777777" w:rsidR="00700E75" w:rsidRPr="00B37EFC" w:rsidRDefault="00700E75" w:rsidP="00CF2175">
      <w:pPr>
        <w:widowControl w:val="0"/>
        <w:tabs>
          <w:tab w:val="left" w:pos="936"/>
          <w:tab w:val="left" w:pos="1314"/>
          <w:tab w:val="left" w:pos="1692"/>
          <w:tab w:val="left" w:pos="2070"/>
        </w:tabs>
        <w:ind w:left="936"/>
        <w:rPr>
          <w:sz w:val="22"/>
          <w:szCs w:val="22"/>
          <w:u w:val="single"/>
        </w:rPr>
      </w:pPr>
    </w:p>
    <w:p w14:paraId="440026B7" w14:textId="77777777" w:rsidR="00700E75" w:rsidRPr="00B37EFC" w:rsidRDefault="00700E75" w:rsidP="00CF2175">
      <w:pPr>
        <w:widowControl w:val="0"/>
        <w:tabs>
          <w:tab w:val="left" w:pos="936"/>
          <w:tab w:val="left" w:pos="1314"/>
          <w:tab w:val="left" w:pos="1692"/>
          <w:tab w:val="left" w:pos="2070"/>
        </w:tabs>
        <w:ind w:left="936"/>
        <w:rPr>
          <w:sz w:val="22"/>
          <w:szCs w:val="22"/>
          <w:u w:val="single"/>
        </w:rPr>
      </w:pPr>
      <w:r w:rsidRPr="00B37EFC">
        <w:rPr>
          <w:sz w:val="22"/>
          <w:szCs w:val="22"/>
          <w:u w:val="single"/>
        </w:rPr>
        <w:t>Qualified Noncitizens Barred</w:t>
      </w:r>
      <w:r w:rsidRPr="00B37EFC">
        <w:rPr>
          <w:sz w:val="22"/>
          <w:szCs w:val="22"/>
        </w:rPr>
        <w:t xml:space="preserve"> </w:t>
      </w:r>
      <w:r w:rsidRPr="00B37EFC">
        <w:rPr>
          <w:sz w:val="22"/>
          <w:szCs w:val="22"/>
        </w:rPr>
        <w:sym w:font="Symbol" w:char="F02D"/>
      </w:r>
      <w:r w:rsidRPr="00B37EFC">
        <w:rPr>
          <w:sz w:val="22"/>
          <w:szCs w:val="22"/>
        </w:rPr>
        <w:t xml:space="preserve"> see 130 CMR 518.003(A)(2): </w:t>
      </w:r>
      <w:r w:rsidRPr="00B37EFC">
        <w:rPr>
          <w:i/>
          <w:sz w:val="22"/>
          <w:szCs w:val="22"/>
        </w:rPr>
        <w:t>Qualified Noncitizens Barred</w:t>
      </w:r>
      <w:r w:rsidRPr="00B37EFC">
        <w:rPr>
          <w:sz w:val="22"/>
          <w:szCs w:val="22"/>
        </w:rPr>
        <w:t>.</w:t>
      </w:r>
    </w:p>
    <w:p w14:paraId="54DA01BD" w14:textId="77777777" w:rsidR="00700E75" w:rsidRPr="00B37EFC" w:rsidRDefault="00700E75" w:rsidP="00CF2175">
      <w:pPr>
        <w:widowControl w:val="0"/>
        <w:tabs>
          <w:tab w:val="left" w:pos="936"/>
          <w:tab w:val="left" w:pos="1314"/>
          <w:tab w:val="left" w:pos="1692"/>
          <w:tab w:val="left" w:pos="2070"/>
        </w:tabs>
        <w:ind w:left="936"/>
        <w:rPr>
          <w:sz w:val="22"/>
        </w:rPr>
      </w:pPr>
    </w:p>
    <w:p w14:paraId="4A817F89"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Quality Control</w:t>
      </w:r>
      <w:r w:rsidRPr="00B37EFC">
        <w:rPr>
          <w:sz w:val="22"/>
        </w:rPr>
        <w:t xml:space="preserve"> – a system of continuing review to measure the accuracy of eligibility decisions.</w:t>
      </w:r>
    </w:p>
    <w:p w14:paraId="6506765F" w14:textId="77777777" w:rsidR="00700E75" w:rsidRPr="00B37EFC" w:rsidRDefault="00700E75" w:rsidP="00CF2175">
      <w:pPr>
        <w:rPr>
          <w:sz w:val="22"/>
          <w:szCs w:val="22"/>
        </w:rPr>
      </w:pPr>
    </w:p>
    <w:p w14:paraId="43F7FEEA"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Reapplication</w:t>
      </w:r>
      <w:r w:rsidRPr="00B37EFC">
        <w:rPr>
          <w:sz w:val="22"/>
        </w:rPr>
        <w:t xml:space="preserve"> – the MassHealth agency’s reopening of the application process when the application has been denied pursuant to 130 CMR 516.001(D): </w:t>
      </w:r>
      <w:r w:rsidRPr="00B37EFC">
        <w:rPr>
          <w:i/>
          <w:sz w:val="22"/>
        </w:rPr>
        <w:t>Receipt of Corroborative Information</w:t>
      </w:r>
      <w:r w:rsidRPr="00B37EFC">
        <w:rPr>
          <w:sz w:val="22"/>
        </w:rPr>
        <w:t>.</w:t>
      </w:r>
    </w:p>
    <w:p w14:paraId="1BFB4022" w14:textId="77777777" w:rsidR="00700E75" w:rsidRPr="00B37EFC" w:rsidRDefault="00700E75" w:rsidP="00CF2175">
      <w:pPr>
        <w:widowControl w:val="0"/>
        <w:tabs>
          <w:tab w:val="left" w:pos="936"/>
          <w:tab w:val="left" w:pos="1314"/>
          <w:tab w:val="left" w:pos="1692"/>
          <w:tab w:val="left" w:pos="2070"/>
        </w:tabs>
        <w:ind w:left="936"/>
        <w:rPr>
          <w:sz w:val="22"/>
        </w:rPr>
      </w:pPr>
    </w:p>
    <w:p w14:paraId="10D82C20"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Redetermination</w:t>
      </w:r>
      <w:r w:rsidRPr="00B37EFC">
        <w:rPr>
          <w:sz w:val="22"/>
        </w:rPr>
        <w:t xml:space="preserve"> – a review of a member’s circumstances to establish whether or not he or she remains eligible for benefits.</w:t>
      </w:r>
    </w:p>
    <w:p w14:paraId="50217DF3" w14:textId="77777777" w:rsidR="00700E75" w:rsidRPr="00B37EFC" w:rsidRDefault="00700E75" w:rsidP="00CF2175">
      <w:pPr>
        <w:widowControl w:val="0"/>
        <w:tabs>
          <w:tab w:val="left" w:pos="936"/>
          <w:tab w:val="left" w:pos="1314"/>
          <w:tab w:val="left" w:pos="1692"/>
          <w:tab w:val="left" w:pos="2070"/>
        </w:tabs>
        <w:ind w:left="936"/>
        <w:rPr>
          <w:sz w:val="22"/>
          <w:u w:val="single"/>
        </w:rPr>
      </w:pPr>
    </w:p>
    <w:p w14:paraId="2FE9A134" w14:textId="77777777" w:rsidR="00700E75" w:rsidRPr="00B37EFC" w:rsidRDefault="00700E75" w:rsidP="00CF2175">
      <w:pPr>
        <w:widowControl w:val="0"/>
        <w:tabs>
          <w:tab w:val="left" w:pos="936"/>
          <w:tab w:val="left" w:pos="1314"/>
          <w:tab w:val="left" w:pos="1692"/>
          <w:tab w:val="left" w:pos="2070"/>
        </w:tabs>
        <w:ind w:left="936"/>
        <w:rPr>
          <w:sz w:val="22"/>
          <w:u w:val="single"/>
        </w:rPr>
      </w:pPr>
      <w:r w:rsidRPr="00B37EFC">
        <w:rPr>
          <w:sz w:val="22"/>
          <w:u w:val="single"/>
        </w:rPr>
        <w:t>Resources</w:t>
      </w:r>
      <w:r w:rsidRPr="00B37EFC">
        <w:rPr>
          <w:sz w:val="22"/>
        </w:rPr>
        <w:t xml:space="preserve"> – all income and assets owned by the individual or the spouse. For the purposes of determining eligibility, resources include income and assets to which the individual or the spouse is or would be entitled whether or not they are actually received. This term has the same meaning as “assets” as defined in 42 U.S.C. 1396p(e)(1).</w:t>
      </w:r>
    </w:p>
    <w:p w14:paraId="30DA1E22" w14:textId="77777777" w:rsidR="00700E75" w:rsidRPr="00B37EFC" w:rsidRDefault="00700E75" w:rsidP="00CF2175">
      <w:pPr>
        <w:widowControl w:val="0"/>
        <w:tabs>
          <w:tab w:val="left" w:pos="936"/>
          <w:tab w:val="left" w:pos="1314"/>
          <w:tab w:val="left" w:pos="1692"/>
          <w:tab w:val="left" w:pos="2070"/>
        </w:tabs>
        <w:ind w:left="936"/>
        <w:rPr>
          <w:sz w:val="22"/>
          <w:u w:val="single"/>
        </w:rPr>
      </w:pPr>
    </w:p>
    <w:p w14:paraId="3AC2DAD0"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Reverse Mortgage</w:t>
      </w:r>
      <w:r w:rsidRPr="00B37EFC">
        <w:rPr>
          <w:sz w:val="22"/>
        </w:rPr>
        <w:t xml:space="preserve"> – a loan on the equity value of a house paid in installments by a lender to the homeowner who is 60 years of age or older.</w:t>
      </w:r>
    </w:p>
    <w:p w14:paraId="60513CF2" w14:textId="77777777" w:rsidR="00700E75" w:rsidRPr="00B37EFC" w:rsidRDefault="00700E75" w:rsidP="00CF2175">
      <w:pPr>
        <w:widowControl w:val="0"/>
        <w:tabs>
          <w:tab w:val="left" w:pos="936"/>
          <w:tab w:val="left" w:pos="1314"/>
          <w:tab w:val="left" w:pos="1692"/>
          <w:tab w:val="left" w:pos="2070"/>
        </w:tabs>
        <w:ind w:left="936"/>
        <w:rPr>
          <w:sz w:val="22"/>
        </w:rPr>
      </w:pPr>
    </w:p>
    <w:p w14:paraId="279BF286"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Revocable Trust</w:t>
      </w:r>
      <w:r w:rsidRPr="00B37EFC">
        <w:rPr>
          <w:sz w:val="22"/>
        </w:rPr>
        <w:t xml:space="preserve"> – a trust whose terms allow the grantor to take action to regain any of the property or funds in the trust.</w:t>
      </w:r>
    </w:p>
    <w:p w14:paraId="24B3B3A8" w14:textId="77777777" w:rsidR="00700E75" w:rsidRPr="00B37EFC" w:rsidRDefault="00700E75" w:rsidP="00CF2175">
      <w:pPr>
        <w:widowControl w:val="0"/>
        <w:tabs>
          <w:tab w:val="left" w:pos="936"/>
          <w:tab w:val="left" w:pos="1314"/>
          <w:tab w:val="left" w:pos="1692"/>
          <w:tab w:val="left" w:pos="2070"/>
        </w:tabs>
        <w:ind w:left="936"/>
        <w:rPr>
          <w:sz w:val="22"/>
        </w:rPr>
      </w:pPr>
    </w:p>
    <w:p w14:paraId="1CFFF79E"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Senior Application or Application</w:t>
      </w:r>
      <w:r w:rsidRPr="00B37EFC">
        <w:rPr>
          <w:sz w:val="22"/>
        </w:rPr>
        <w:t xml:space="preserve"> – the request for health benefits for an individual who is 65 years of age and older, or not living in the community that is received by the MassHealth agency and includes all required information and a signature by the applicant or his or her authorized representative.</w:t>
      </w:r>
    </w:p>
    <w:p w14:paraId="22CB3C18" w14:textId="77777777" w:rsidR="00700E75" w:rsidRPr="00B37EFC" w:rsidRDefault="00700E75" w:rsidP="00CF2175">
      <w:pPr>
        <w:widowControl w:val="0"/>
        <w:tabs>
          <w:tab w:val="left" w:pos="936"/>
          <w:tab w:val="left" w:pos="1314"/>
          <w:tab w:val="left" w:pos="1692"/>
          <w:tab w:val="left" w:pos="2070"/>
        </w:tabs>
        <w:ind w:left="936"/>
        <w:rPr>
          <w:sz w:val="22"/>
          <w:u w:val="single"/>
        </w:rPr>
      </w:pPr>
    </w:p>
    <w:p w14:paraId="35BA7E2A" w14:textId="5AB725E4" w:rsidR="00700E75" w:rsidRPr="00700E75" w:rsidRDefault="00700E75" w:rsidP="00700E75">
      <w:pPr>
        <w:widowControl w:val="0"/>
        <w:tabs>
          <w:tab w:val="left" w:pos="936"/>
          <w:tab w:val="left" w:pos="1314"/>
          <w:tab w:val="left" w:pos="1692"/>
          <w:tab w:val="left" w:pos="2070"/>
        </w:tabs>
        <w:ind w:left="936"/>
        <w:rPr>
          <w:sz w:val="22"/>
          <w:u w:val="single"/>
        </w:rPr>
      </w:pPr>
      <w:r w:rsidRPr="00B37EFC">
        <w:rPr>
          <w:sz w:val="22"/>
          <w:u w:val="single"/>
        </w:rPr>
        <w:t>Senior Care Organization</w:t>
      </w:r>
      <w:r w:rsidRPr="00B37EFC">
        <w:rPr>
          <w:sz w:val="22"/>
        </w:rPr>
        <w:t xml:space="preserve"> – an organization that participates in MassHealth under a contract with the MassHealth agency and Centers for Medicare &amp; Medicaid Services (CMS) to provide a comprehensive network or medical, health-care, and social-service providers that integrates all components of care, either directly or through subcontracts. Senior care organizations are responsible for providing enrollees with the full continuum of Medicare- and MassHealth-covered services.</w:t>
      </w:r>
    </w:p>
    <w:p w14:paraId="4E86F13E" w14:textId="77777777" w:rsidR="00700E75" w:rsidRPr="00B37EFC" w:rsidRDefault="00700E75" w:rsidP="00CF2175">
      <w:pPr>
        <w:sectPr w:rsidR="00700E75" w:rsidRPr="00B37EFC" w:rsidSect="00700E75">
          <w:pgSz w:w="12240" w:h="15840"/>
          <w:pgMar w:top="432" w:right="1296" w:bottom="432" w:left="1296" w:header="432" w:footer="720" w:gutter="0"/>
          <w:cols w:space="720"/>
          <w:docGrid w:linePitch="360"/>
        </w:sectPr>
      </w:pPr>
    </w:p>
    <w:p w14:paraId="29E1B09D"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2414FC0" w14:textId="77777777" w:rsidR="00700E75" w:rsidRPr="00B37EFC" w:rsidRDefault="00700E75" w:rsidP="00CF2175">
      <w:pPr>
        <w:rPr>
          <w:rFonts w:ascii="Helvetica" w:hAnsi="Helvetica"/>
          <w:b/>
          <w:sz w:val="22"/>
          <w:szCs w:val="22"/>
        </w:rPr>
      </w:pPr>
      <w:r w:rsidRPr="00B37EFC">
        <w:rPr>
          <w:noProof/>
        </w:rPr>
        <mc:AlternateContent>
          <mc:Choice Requires="wps">
            <w:drawing>
              <wp:anchor distT="4294967294" distB="4294967294" distL="114300" distR="114300" simplePos="0" relativeHeight="251682816" behindDoc="0" locked="0" layoutInCell="1" allowOverlap="1" wp14:anchorId="0536C253" wp14:editId="20C9A86C">
                <wp:simplePos x="0" y="0"/>
                <wp:positionH relativeFrom="column">
                  <wp:posOffset>-275590</wp:posOffset>
                </wp:positionH>
                <wp:positionV relativeFrom="paragraph">
                  <wp:posOffset>79374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914A5" id="Straight Arrow Connector 19" o:spid="_x0000_s1026" type="#_x0000_t32" style="position:absolute;margin-left:-21.7pt;margin-top:6.25pt;width:492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ltmKL0gEAAI0D&#10;AAAOAAAAAAAAAAAAAAAAAC4CAABkcnMvZTJvRG9jLnhtbFBLAQItABQABgAIAAAAIQDSjDlP3QAA&#10;AAkBAAAPAAAAAAAAAAAAAAAAACwEAABkcnMvZG93bnJldi54bWxQSwUGAAAAAAQABADzAAAANgUA&#10;AAAA&#10;"/>
            </w:pict>
          </mc:Fallback>
        </mc:AlternateContent>
      </w:r>
    </w:p>
    <w:p w14:paraId="2E9D54FD" w14:textId="77777777" w:rsidR="00700E75" w:rsidRPr="00B37EFC" w:rsidRDefault="00700E75" w:rsidP="00CF2175">
      <w:pPr>
        <w:rPr>
          <w:rFonts w:ascii="Helvetica" w:hAnsi="Helvetica"/>
          <w:b/>
          <w:sz w:val="22"/>
          <w:szCs w:val="22"/>
        </w:rPr>
      </w:pPr>
      <w:r w:rsidRPr="00B37EFC">
        <w:rPr>
          <w:rFonts w:ascii="Helvetica" w:hAnsi="Helvetica"/>
          <w:b/>
          <w:sz w:val="22"/>
          <w:szCs w:val="22"/>
        </w:rPr>
        <w:t>Trans. by E.L. 2</w:t>
      </w:r>
      <w:r>
        <w:rPr>
          <w:rFonts w:ascii="Helvetica" w:hAnsi="Helvetica"/>
          <w:b/>
          <w:sz w:val="22"/>
          <w:szCs w:val="22"/>
        </w:rPr>
        <w:t>42</w:t>
      </w:r>
    </w:p>
    <w:p w14:paraId="64D23863" w14:textId="77777777" w:rsidR="00700E75" w:rsidRPr="00B37EFC" w:rsidRDefault="00700E75" w:rsidP="00CF2175">
      <w:pPr>
        <w:rPr>
          <w:rFonts w:ascii="Helvetica" w:hAnsi="Helvetica"/>
          <w:b/>
          <w:sz w:val="22"/>
          <w:szCs w:val="22"/>
        </w:rPr>
      </w:pPr>
      <w:r w:rsidRPr="00B37EFC">
        <w:rPr>
          <w:rFonts w:ascii="Helvetica" w:hAnsi="Helvetica"/>
          <w:b/>
          <w:sz w:val="22"/>
          <w:szCs w:val="22"/>
        </w:rPr>
        <w:t>Rev. 0</w:t>
      </w:r>
      <w:r>
        <w:rPr>
          <w:rFonts w:ascii="Helvetica" w:hAnsi="Helvetica"/>
          <w:b/>
          <w:sz w:val="22"/>
          <w:szCs w:val="22"/>
        </w:rPr>
        <w:t>1</w:t>
      </w:r>
      <w:r w:rsidRPr="00B37EFC">
        <w:rPr>
          <w:rFonts w:ascii="Helvetica" w:hAnsi="Helvetica"/>
          <w:b/>
          <w:sz w:val="22"/>
          <w:szCs w:val="22"/>
        </w:rPr>
        <w:t>/</w:t>
      </w:r>
      <w:r>
        <w:rPr>
          <w:rFonts w:ascii="Helvetica" w:hAnsi="Helvetica"/>
          <w:b/>
          <w:sz w:val="22"/>
          <w:szCs w:val="22"/>
        </w:rPr>
        <w:t>06</w:t>
      </w:r>
      <w:r w:rsidRPr="00B37EFC">
        <w:rPr>
          <w:rFonts w:ascii="Helvetica" w:hAnsi="Helvetica"/>
          <w:b/>
          <w:sz w:val="22"/>
          <w:szCs w:val="22"/>
        </w:rPr>
        <w:t>/2</w:t>
      </w:r>
      <w:r>
        <w:rPr>
          <w:rFonts w:ascii="Helvetica" w:hAnsi="Helvetica"/>
          <w:b/>
          <w:sz w:val="22"/>
          <w:szCs w:val="22"/>
        </w:rPr>
        <w:t>3</w:t>
      </w:r>
    </w:p>
    <w:p w14:paraId="6FCA1CEE" w14:textId="77777777" w:rsidR="00700E75" w:rsidRPr="00B37EFC" w:rsidRDefault="00700E75" w:rsidP="00CF2175">
      <w:pPr>
        <w:jc w:val="center"/>
        <w:rPr>
          <w:rFonts w:ascii="Helvetica" w:hAnsi="Helvetica"/>
          <w:b/>
          <w:sz w:val="22"/>
          <w:szCs w:val="22"/>
        </w:rPr>
      </w:pPr>
      <w:r w:rsidRPr="00B37EFC">
        <w:rPr>
          <w:rFonts w:ascii="Helvetica" w:hAnsi="Helvetica"/>
          <w:b/>
          <w:sz w:val="22"/>
          <w:szCs w:val="22"/>
        </w:rPr>
        <w:t>MASSHEALTH: GENERAL POLICIES</w:t>
      </w:r>
    </w:p>
    <w:p w14:paraId="37C4D70A" w14:textId="77777777" w:rsidR="00700E75" w:rsidRPr="00B37EFC" w:rsidRDefault="00700E75" w:rsidP="00CF2175">
      <w:pPr>
        <w:rPr>
          <w:rFonts w:ascii="Helvetica" w:hAnsi="Helvetica"/>
          <w:b/>
          <w:sz w:val="22"/>
          <w:szCs w:val="22"/>
        </w:rPr>
      </w:pPr>
      <w:r w:rsidRPr="00B37EFC">
        <w:rPr>
          <w:rFonts w:ascii="Helvetica" w:hAnsi="Helvetica"/>
          <w:b/>
          <w:sz w:val="22"/>
          <w:szCs w:val="22"/>
        </w:rPr>
        <w:t>Chapter 515</w:t>
      </w:r>
    </w:p>
    <w:p w14:paraId="157A68C9" w14:textId="77777777" w:rsidR="00700E75" w:rsidRPr="00B37EFC" w:rsidRDefault="00700E75" w:rsidP="00CF2175">
      <w:pPr>
        <w:rPr>
          <w:rFonts w:ascii="Helvetica" w:hAnsi="Helvetica"/>
          <w:b/>
          <w:sz w:val="22"/>
          <w:szCs w:val="22"/>
        </w:rPr>
      </w:pPr>
      <w:r w:rsidRPr="00B37EFC">
        <w:rPr>
          <w:rFonts w:ascii="Helvetica" w:hAnsi="Helvetica"/>
          <w:b/>
          <w:sz w:val="22"/>
          <w:szCs w:val="22"/>
        </w:rPr>
        <w:t>Page 515.001 (11 of 11)</w:t>
      </w:r>
    </w:p>
    <w:p w14:paraId="1412ABCF" w14:textId="77777777" w:rsidR="00700E75" w:rsidRPr="00B37EFC" w:rsidRDefault="00700E75" w:rsidP="00CF2175">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83840" behindDoc="0" locked="0" layoutInCell="1" allowOverlap="1" wp14:anchorId="734EE889" wp14:editId="353BBD8A">
                <wp:simplePos x="0" y="0"/>
                <wp:positionH relativeFrom="column">
                  <wp:posOffset>-271780</wp:posOffset>
                </wp:positionH>
                <wp:positionV relativeFrom="paragraph">
                  <wp:posOffset>126364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08E2B" id="Straight Arrow Connector 20" o:spid="_x0000_s1026" type="#_x0000_t32" style="position:absolute;margin-left:-21.4pt;margin-top:9.95pt;width:492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hFRujRAQAAjQMA&#10;AA4AAAAAAAAAAAAAAAAALgIAAGRycy9lMm9Eb2MueG1sUEsBAi0AFAAGAAgAAAAhAKfmR7LdAAAA&#10;CQEAAA8AAAAAAAAAAAAAAAAAKwQAAGRycy9kb3ducmV2LnhtbFBLBQYAAAAABAAEAPMAAAA1BQAA&#10;AAA=&#10;"/>
            </w:pict>
          </mc:Fallback>
        </mc:AlternateContent>
      </w:r>
    </w:p>
    <w:p w14:paraId="2B55CDF0" w14:textId="77777777" w:rsidR="00700E75" w:rsidRPr="00B37EFC" w:rsidRDefault="00700E75" w:rsidP="00CF2175">
      <w:pPr>
        <w:widowControl w:val="0"/>
        <w:tabs>
          <w:tab w:val="left" w:pos="936"/>
          <w:tab w:val="left" w:pos="1314"/>
          <w:tab w:val="left" w:pos="1692"/>
          <w:tab w:val="left" w:pos="2070"/>
        </w:tabs>
        <w:ind w:left="936"/>
        <w:rPr>
          <w:sz w:val="22"/>
          <w:u w:val="single"/>
        </w:rPr>
      </w:pPr>
    </w:p>
    <w:p w14:paraId="15CA2A56"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Skilled-nursing Services</w:t>
      </w:r>
      <w:r w:rsidRPr="00B37EFC">
        <w:rPr>
          <w:sz w:val="22"/>
        </w:rPr>
        <w:t xml:space="preserve"> – the planning, provision, and evaluation of goal-oriented nursing care that requires specialized knowledge and skills acquired under the established curriculum of a school of nursing approved by a board of registration in nursing. Such services include only those services that must be provided by a registered nurse, a licensed practical nurse, or a licensed vocational nurse.</w:t>
      </w:r>
    </w:p>
    <w:p w14:paraId="07C6D6EC" w14:textId="77777777" w:rsidR="00700E75" w:rsidRPr="00B37EFC" w:rsidRDefault="00700E75" w:rsidP="00CF2175">
      <w:pPr>
        <w:rPr>
          <w:sz w:val="22"/>
          <w:szCs w:val="22"/>
        </w:rPr>
      </w:pPr>
    </w:p>
    <w:p w14:paraId="722FDF9E"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Special-needs Trust</w:t>
      </w:r>
      <w:r w:rsidRPr="00B37EFC">
        <w:rPr>
          <w:sz w:val="22"/>
        </w:rPr>
        <w:t xml:space="preserve"> – Effective until sixty days after the end of the maintenance of effort and continuous eligibility provisions of Section 6008 of the Families First Coronavirus Response Act (Public Law No. 116-127), a special-needs trust is one that meets all the following criteria as determined by the MassHealth agency. </w:t>
      </w:r>
    </w:p>
    <w:p w14:paraId="31A29FF8" w14:textId="77777777" w:rsidR="00700E75" w:rsidRPr="00B37EFC" w:rsidRDefault="00700E75" w:rsidP="00CF2175">
      <w:pPr>
        <w:widowControl w:val="0"/>
        <w:tabs>
          <w:tab w:val="left" w:pos="936"/>
          <w:tab w:val="left" w:pos="1260"/>
          <w:tab w:val="left" w:pos="1692"/>
          <w:tab w:val="left" w:pos="2070"/>
        </w:tabs>
        <w:ind w:left="1310"/>
        <w:rPr>
          <w:sz w:val="22"/>
        </w:rPr>
      </w:pPr>
      <w:r w:rsidRPr="00B37EFC">
        <w:rPr>
          <w:sz w:val="22"/>
        </w:rPr>
        <w:t xml:space="preserve">(1)  The trust was created for a disabled individual younger than 65 years old. </w:t>
      </w:r>
    </w:p>
    <w:p w14:paraId="46DFB267"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(2)  The trust was created for the sole benefit of the individual by the individual's parent, grandparent, legal guardian, or a court.</w:t>
      </w:r>
    </w:p>
    <w:p w14:paraId="0ECBF3EF"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 xml:space="preserve">(3)  The trust provides that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will receive amounts remaining in the account upon the death of the individual up to the amount paid by the MassHealth agency for services to the individual.</w:t>
      </w:r>
    </w:p>
    <w:p w14:paraId="4159DB7C"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 xml:space="preserve">(4)  When the member has lived in more than one state, the trust must provide that the funds remaining upon the death of the member are distributed to each state in which the member received Medicaid based on each state’s proportionate share of the total amount of Medicaid benefits paid by all states on the member’s behalf. </w:t>
      </w:r>
    </w:p>
    <w:p w14:paraId="2F45FEB6" w14:textId="77777777" w:rsidR="00700E75" w:rsidRPr="00B37EFC" w:rsidRDefault="00700E75" w:rsidP="00CF2175">
      <w:pPr>
        <w:widowControl w:val="0"/>
        <w:tabs>
          <w:tab w:val="left" w:pos="936"/>
          <w:tab w:val="left" w:pos="1260"/>
          <w:tab w:val="left" w:pos="1314"/>
          <w:tab w:val="left" w:pos="1692"/>
          <w:tab w:val="left" w:pos="2070"/>
        </w:tabs>
        <w:rPr>
          <w:sz w:val="22"/>
        </w:rPr>
      </w:pPr>
    </w:p>
    <w:p w14:paraId="2B495DB7" w14:textId="77777777" w:rsidR="00700E75" w:rsidRPr="00B37EFC" w:rsidRDefault="00700E75" w:rsidP="00CF2175">
      <w:pPr>
        <w:widowControl w:val="0"/>
        <w:tabs>
          <w:tab w:val="left" w:pos="936"/>
          <w:tab w:val="left" w:pos="1309"/>
          <w:tab w:val="left" w:pos="1698"/>
          <w:tab w:val="left" w:pos="2073"/>
        </w:tabs>
        <w:ind w:left="936" w:firstLine="360"/>
        <w:rPr>
          <w:sz w:val="22"/>
        </w:rPr>
      </w:pPr>
      <w:r w:rsidRPr="00B37EFC">
        <w:rPr>
          <w:sz w:val="22"/>
        </w:rPr>
        <w:t>Effective sixty days after the end of the maintenance of effort and continuous eligibility provisions of Section 6008 of the Families First Coronavirus Response Act (Public Law No. 116-127), a trust that meets all the following criteria as determined by the MassHealth agency:</w:t>
      </w:r>
    </w:p>
    <w:p w14:paraId="389D07E7" w14:textId="77777777" w:rsidR="00700E75" w:rsidRPr="00B37EFC" w:rsidRDefault="00700E75" w:rsidP="00CF2175">
      <w:pPr>
        <w:widowControl w:val="0"/>
        <w:tabs>
          <w:tab w:val="left" w:pos="936"/>
          <w:tab w:val="left" w:pos="1260"/>
          <w:tab w:val="left" w:pos="1692"/>
          <w:tab w:val="left" w:pos="2070"/>
        </w:tabs>
        <w:ind w:left="1310"/>
        <w:rPr>
          <w:sz w:val="22"/>
        </w:rPr>
      </w:pPr>
      <w:r w:rsidRPr="00B37EFC">
        <w:rPr>
          <w:sz w:val="22"/>
        </w:rPr>
        <w:t xml:space="preserve">(1)  The trust was created for a disabled individual younger than 65 years old. </w:t>
      </w:r>
    </w:p>
    <w:p w14:paraId="7B44FB43"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(2)  (a)  The trust was created for the sole benefit of the individual, by the individual, on or after December 13, 2016; or</w:t>
      </w:r>
    </w:p>
    <w:p w14:paraId="20682B15" w14:textId="77777777" w:rsidR="00700E75" w:rsidRPr="00B37EFC" w:rsidRDefault="00700E75" w:rsidP="00CF2175">
      <w:pPr>
        <w:widowControl w:val="0"/>
        <w:tabs>
          <w:tab w:val="left" w:pos="936"/>
          <w:tab w:val="left" w:pos="1260"/>
          <w:tab w:val="left" w:pos="1314"/>
          <w:tab w:val="left" w:pos="1692"/>
          <w:tab w:val="left" w:pos="2070"/>
        </w:tabs>
        <w:ind w:left="1699"/>
        <w:rPr>
          <w:sz w:val="22"/>
        </w:rPr>
      </w:pPr>
      <w:r w:rsidRPr="00B37EFC">
        <w:rPr>
          <w:sz w:val="22"/>
        </w:rPr>
        <w:t>(b)  The trust was created for the sole benefit of the individual by the individual's parent, grandparent, legal guardian, conservator, or a court.</w:t>
      </w:r>
    </w:p>
    <w:p w14:paraId="57499447"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 xml:space="preserve">(3)  The trust provides that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will receive amounts remaining in the account upon the death of the individual up to the amount paid by the MassHealth agency for services to the individual.</w:t>
      </w:r>
    </w:p>
    <w:p w14:paraId="3CCA44DB"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(4)  When the member has lived in more than one state, the trust must provide that the funds remaining upon the death of the member or early termination of the trust are distributed to each state in which the member received Medicaid based on each state’s proportionate share of the total amount of Medicaid benefits paid by all states on the member’s behalf.</w:t>
      </w:r>
    </w:p>
    <w:p w14:paraId="36C04FF7" w14:textId="77777777" w:rsidR="00700E75" w:rsidRPr="00B37EFC" w:rsidRDefault="00700E75" w:rsidP="00CF2175">
      <w:pPr>
        <w:widowControl w:val="0"/>
        <w:tabs>
          <w:tab w:val="left" w:pos="936"/>
          <w:tab w:val="left" w:pos="1260"/>
          <w:tab w:val="left" w:pos="1314"/>
          <w:tab w:val="left" w:pos="1692"/>
          <w:tab w:val="left" w:pos="2070"/>
        </w:tabs>
        <w:ind w:left="1310"/>
        <w:rPr>
          <w:sz w:val="22"/>
        </w:rPr>
      </w:pPr>
      <w:r w:rsidRPr="00B37EFC">
        <w:rPr>
          <w:sz w:val="22"/>
        </w:rPr>
        <w:t>(5)  The trust must include provisions that the trustee will promptly provide written notice of the death of the individual, proposed early termination, and any other changes, such as the appointment of another trustee, as well as accountings or other documents of the administration of the trust to the MassHealth agency or its designee.</w:t>
      </w:r>
    </w:p>
    <w:p w14:paraId="0AC8785F" w14:textId="77777777" w:rsidR="00700E75" w:rsidRPr="00B37EFC" w:rsidRDefault="00700E75" w:rsidP="00CF2175">
      <w:pPr>
        <w:widowControl w:val="0"/>
        <w:tabs>
          <w:tab w:val="left" w:pos="936"/>
          <w:tab w:val="left" w:pos="1314"/>
          <w:tab w:val="left" w:pos="1692"/>
          <w:tab w:val="left" w:pos="2070"/>
        </w:tabs>
        <w:ind w:left="936"/>
      </w:pPr>
    </w:p>
    <w:p w14:paraId="47BE8C7C" w14:textId="77777777" w:rsidR="00700E75" w:rsidRPr="00B37EFC" w:rsidRDefault="00700E75" w:rsidP="00CF2175">
      <w:pPr>
        <w:widowControl w:val="0"/>
        <w:tabs>
          <w:tab w:val="left" w:pos="936"/>
          <w:tab w:val="left" w:pos="1314"/>
          <w:tab w:val="left" w:pos="1692"/>
          <w:tab w:val="left" w:pos="2070"/>
        </w:tabs>
        <w:ind w:left="936"/>
        <w:rPr>
          <w:sz w:val="22"/>
        </w:rPr>
      </w:pPr>
      <w:r w:rsidRPr="00B37EFC">
        <w:rPr>
          <w:sz w:val="22"/>
          <w:u w:val="single"/>
        </w:rPr>
        <w:t>Spouse</w:t>
      </w:r>
      <w:r w:rsidRPr="00B37EFC">
        <w:rPr>
          <w:sz w:val="22"/>
        </w:rPr>
        <w:t xml:space="preserve"> – a person married to the applicant or member according to the laws of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t>
      </w:r>
    </w:p>
    <w:p w14:paraId="74203ED2" w14:textId="77777777" w:rsidR="00700E75" w:rsidRPr="00B37EFC" w:rsidRDefault="00700E75" w:rsidP="00CF2175">
      <w:pPr>
        <w:widowControl w:val="0"/>
        <w:tabs>
          <w:tab w:val="left" w:pos="936"/>
          <w:tab w:val="left" w:pos="1314"/>
          <w:tab w:val="left" w:pos="1692"/>
          <w:tab w:val="left" w:pos="2070"/>
        </w:tabs>
        <w:ind w:left="936"/>
        <w:rPr>
          <w:sz w:val="22"/>
        </w:rPr>
      </w:pPr>
    </w:p>
    <w:p w14:paraId="6CF772CE" w14:textId="77777777" w:rsidR="00CF2175" w:rsidRDefault="00700E75" w:rsidP="00CF2175">
      <w:pPr>
        <w:widowControl w:val="0"/>
        <w:tabs>
          <w:tab w:val="left" w:pos="936"/>
          <w:tab w:val="left" w:pos="1314"/>
          <w:tab w:val="left" w:pos="1692"/>
          <w:tab w:val="left" w:pos="2070"/>
        </w:tabs>
        <w:ind w:left="936"/>
        <w:rPr>
          <w:sz w:val="22"/>
        </w:rPr>
        <w:sectPr w:rsidR="00CF2175" w:rsidSect="00700E75">
          <w:pgSz w:w="12240" w:h="15840"/>
          <w:pgMar w:top="432" w:right="1296" w:bottom="432" w:left="1296" w:header="432" w:footer="720" w:gutter="0"/>
          <w:cols w:space="720"/>
          <w:docGrid w:linePitch="360"/>
        </w:sectPr>
      </w:pPr>
      <w:r w:rsidRPr="00B37EFC">
        <w:rPr>
          <w:sz w:val="22"/>
          <w:u w:val="single"/>
        </w:rPr>
        <w:t>Stream of Income</w:t>
      </w:r>
      <w:r w:rsidRPr="00B37EFC">
        <w:rPr>
          <w:sz w:val="22"/>
        </w:rPr>
        <w:t xml:space="preserve"> – income received on a regular basis.</w:t>
      </w:r>
    </w:p>
    <w:p w14:paraId="767329B9" w14:textId="67546A9B" w:rsidR="00CF2175" w:rsidRPr="003B32CA" w:rsidRDefault="00CF2175" w:rsidP="00CF2175">
      <w:pPr>
        <w:jc w:val="center"/>
        <w:rPr>
          <w:rFonts w:ascii="Helvetica" w:hAnsi="Helvetica"/>
          <w:b/>
          <w:sz w:val="22"/>
          <w:szCs w:val="22"/>
        </w:rPr>
      </w:pPr>
      <w:r w:rsidRPr="003B32CA">
        <w:rPr>
          <w:rFonts w:ascii="Helvetica" w:hAnsi="Helvetica"/>
          <w:b/>
          <w:sz w:val="22"/>
          <w:szCs w:val="22"/>
        </w:rPr>
        <w:t>130 CMR:  DIVISION OF MEDICAL ASSISTANCE</w:t>
      </w:r>
    </w:p>
    <w:p w14:paraId="3B149F62"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14560" behindDoc="0" locked="0" layoutInCell="1" allowOverlap="1" wp14:anchorId="7A7A6FC1" wp14:editId="461E3BA5">
                <wp:simplePos x="0" y="0"/>
                <wp:positionH relativeFrom="column">
                  <wp:posOffset>-275590</wp:posOffset>
                </wp:positionH>
                <wp:positionV relativeFrom="paragraph">
                  <wp:posOffset>79374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51088" id="Straight Arrow Connector 72" o:spid="_x0000_s1026" type="#_x0000_t32" style="position:absolute;margin-left:-21.7pt;margin-top:6.25pt;width:492pt;height:0;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xJ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SL2xJ0gEAAI0D&#10;AAAOAAAAAAAAAAAAAAAAAC4CAABkcnMvZTJvRG9jLnhtbFBLAQItABQABgAIAAAAIQDSjDlP3QAA&#10;AAkBAAAPAAAAAAAAAAAAAAAAACwEAABkcnMvZG93bnJldi54bWxQSwUGAAAAAAQABADzAAAANgUA&#10;AAAA&#10;"/>
            </w:pict>
          </mc:Fallback>
        </mc:AlternateContent>
      </w:r>
    </w:p>
    <w:p w14:paraId="21335223"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48E2D2E5"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01/06/23</w:t>
      </w:r>
    </w:p>
    <w:p w14:paraId="40C16E4A"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7B0D137" w14:textId="77777777" w:rsidR="00CF2175" w:rsidRDefault="00CF2175" w:rsidP="00CF2175">
      <w:pPr>
        <w:jc w:val="center"/>
        <w:rPr>
          <w:rFonts w:ascii="Helvetica" w:hAnsi="Helvetica"/>
          <w:b/>
          <w:sz w:val="22"/>
        </w:rPr>
      </w:pPr>
      <w:r>
        <w:rPr>
          <w:rFonts w:ascii="Helvetica" w:hAnsi="Helvetica"/>
          <w:b/>
          <w:sz w:val="22"/>
        </w:rPr>
        <w:t>FINANCIAL ELIGIBILITY</w:t>
      </w:r>
    </w:p>
    <w:p w14:paraId="35571DFF"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A269281" w14:textId="77777777" w:rsidR="00CF2175" w:rsidRPr="003B32CA" w:rsidRDefault="00CF2175" w:rsidP="00CF2175">
      <w:pPr>
        <w:rPr>
          <w:rFonts w:ascii="Helvetica" w:hAnsi="Helvetica"/>
          <w:b/>
          <w:sz w:val="22"/>
          <w:szCs w:val="22"/>
        </w:rPr>
      </w:pPr>
      <w:r>
        <w:rPr>
          <w:rFonts w:ascii="Helvetica" w:hAnsi="Helvetica"/>
          <w:b/>
          <w:sz w:val="22"/>
          <w:szCs w:val="22"/>
        </w:rPr>
        <w:t>Page 520.008 (3 of 3)</w:t>
      </w:r>
    </w:p>
    <w:p w14:paraId="64CF5B04"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5584" behindDoc="0" locked="0" layoutInCell="1" allowOverlap="1" wp14:anchorId="10E2FE96" wp14:editId="6F4D8B91">
                <wp:simplePos x="0" y="0"/>
                <wp:positionH relativeFrom="column">
                  <wp:posOffset>-271780</wp:posOffset>
                </wp:positionH>
                <wp:positionV relativeFrom="paragraph">
                  <wp:posOffset>126364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2E614" id="Straight Arrow Connector 71" o:spid="_x0000_s1026" type="#_x0000_t32" style="position:absolute;margin-left:-21.4pt;margin-top:9.95pt;width:492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2W0gEAAI0DAAAOAAAAZHJzL2Uyb0RvYy54bWysU02P0zAQvSPxHyzfadpqd1m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Kj22W0gEAAI0D&#10;AAAOAAAAAAAAAAAAAAAAAC4CAABkcnMvZTJvRG9jLnhtbFBLAQItABQABgAIAAAAIQCn5key3QAA&#10;AAkBAAAPAAAAAAAAAAAAAAAAACwEAABkcnMvZG93bnJldi54bWxQSwUGAAAAAAQABADzAAAANgUA&#10;AAAA&#10;"/>
            </w:pict>
          </mc:Fallback>
        </mc:AlternateContent>
      </w:r>
    </w:p>
    <w:p w14:paraId="01E3A7D6" w14:textId="77777777" w:rsidR="00CF2175" w:rsidRPr="00AA1705" w:rsidRDefault="00CF2175" w:rsidP="00CF2175">
      <w:pPr>
        <w:rPr>
          <w:sz w:val="22"/>
          <w:szCs w:val="22"/>
        </w:rPr>
      </w:pPr>
    </w:p>
    <w:p w14:paraId="15AA6821" w14:textId="77777777" w:rsidR="00CF2175" w:rsidRDefault="00CF2175" w:rsidP="00CF2175">
      <w:pPr>
        <w:widowControl w:val="0"/>
        <w:tabs>
          <w:tab w:val="left" w:pos="936"/>
          <w:tab w:val="left" w:pos="1314"/>
          <w:tab w:val="left" w:pos="1692"/>
          <w:tab w:val="left" w:pos="2070"/>
        </w:tabs>
        <w:ind w:left="1314"/>
        <w:rPr>
          <w:rFonts w:ascii="Arial" w:hAnsi="Arial"/>
          <w:b/>
          <w:sz w:val="22"/>
        </w:rPr>
      </w:pPr>
      <w:r>
        <w:rPr>
          <w:sz w:val="22"/>
        </w:rPr>
        <w:t>(2)  Appreciated value or interest earned or accrued and left to accumulate on any contracts, accounts, or life insurance is also noncountable. If the applicant, member, or spouse uses any of these assets, including the interest accrued, for other than funeral or burial arrangements of the applicant, member, or spouse, the MassHealth agency considers the asset available and countable under the provisions of 130 CMR 520.007, 520.018, and 520.019.</w:t>
      </w:r>
    </w:p>
    <w:p w14:paraId="456973FC" w14:textId="77777777" w:rsidR="00CF2175" w:rsidRDefault="00CF2175" w:rsidP="00CF2175">
      <w:pPr>
        <w:widowControl w:val="0"/>
        <w:tabs>
          <w:tab w:val="left" w:pos="936"/>
          <w:tab w:val="left" w:pos="1314"/>
          <w:tab w:val="left" w:pos="1692"/>
          <w:tab w:val="left" w:pos="2070"/>
        </w:tabs>
        <w:ind w:left="1314"/>
        <w:rPr>
          <w:sz w:val="22"/>
        </w:rPr>
      </w:pPr>
      <w:r>
        <w:rPr>
          <w:sz w:val="22"/>
        </w:rPr>
        <w:t>(3)  The applicant, member, or spouse has the right to establish a burial arrangement or change the designation of his or her funds to a burial arrangement described in 130 CMR 520.008(F). If such arrangement is made within 60 days after the date that the applicant or member was notified of his or her right to do so, then the MassHealth agency considers the arrangement to have been in existence on the first day of the third month before the application.</w:t>
      </w:r>
    </w:p>
    <w:p w14:paraId="79936BA7" w14:textId="77777777" w:rsidR="00CF2175" w:rsidRDefault="00CF2175" w:rsidP="00CF2175">
      <w:pPr>
        <w:widowControl w:val="0"/>
        <w:tabs>
          <w:tab w:val="left" w:pos="936"/>
          <w:tab w:val="left" w:pos="1314"/>
          <w:tab w:val="left" w:pos="1692"/>
          <w:tab w:val="left" w:pos="2070"/>
        </w:tabs>
        <w:rPr>
          <w:sz w:val="22"/>
        </w:rPr>
      </w:pPr>
    </w:p>
    <w:p w14:paraId="2795CF18"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(G)  </w:t>
      </w:r>
      <w:r>
        <w:rPr>
          <w:sz w:val="22"/>
          <w:u w:val="single"/>
        </w:rPr>
        <w:t>Veterans’ Payments</w:t>
      </w:r>
      <w:r>
        <w:rPr>
          <w:sz w:val="22"/>
        </w:rPr>
        <w:t>. Veterans’ payments for aid and attendance, unreimbursed medical expenses, housebound benefits, and enhanced benefits retained after the month of receipt, provided these payments are separately identifiable, are considered noncountable assets. Appreciated value and earned interest are also noncountable.</w:t>
      </w:r>
    </w:p>
    <w:p w14:paraId="39369513" w14:textId="77777777" w:rsidR="00CF2175" w:rsidRDefault="00CF2175" w:rsidP="00CF2175">
      <w:pPr>
        <w:widowControl w:val="0"/>
        <w:tabs>
          <w:tab w:val="left" w:pos="936"/>
          <w:tab w:val="left" w:pos="1314"/>
          <w:tab w:val="left" w:pos="1692"/>
          <w:tab w:val="left" w:pos="2070"/>
        </w:tabs>
        <w:rPr>
          <w:sz w:val="22"/>
        </w:rPr>
      </w:pPr>
    </w:p>
    <w:p w14:paraId="7E01CD12"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(H)  </w:t>
      </w:r>
      <w:r>
        <w:rPr>
          <w:sz w:val="22"/>
          <w:u w:val="single"/>
        </w:rPr>
        <w:t>Special-needs Trust</w:t>
      </w:r>
      <w:r>
        <w:rPr>
          <w:sz w:val="22"/>
        </w:rPr>
        <w:t xml:space="preserve">. Effective until sixty days </w:t>
      </w:r>
      <w:bookmarkStart w:id="2" w:name="_Hlk122585402"/>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w:t>
      </w:r>
      <w:bookmarkEnd w:id="2"/>
      <w:r>
        <w:rPr>
          <w:sz w:val="22"/>
        </w:rPr>
        <w:t xml:space="preserve">, a special-needs trust in accordance with </w:t>
      </w:r>
      <w:r w:rsidRPr="006C1558">
        <w:rPr>
          <w:sz w:val="22"/>
        </w:rPr>
        <w:t>the trust rules at 130 CMR 520.021 through 520.024 is considered a noncountable asset.</w:t>
      </w:r>
      <w:r>
        <w:rPr>
          <w:sz w:val="22"/>
        </w:rPr>
        <w:t xml:space="preserve"> </w:t>
      </w:r>
    </w:p>
    <w:p w14:paraId="26251D35" w14:textId="77777777" w:rsidR="00CF2175" w:rsidRDefault="00CF2175" w:rsidP="00CF2175">
      <w:pPr>
        <w:widowControl w:val="0"/>
        <w:tabs>
          <w:tab w:val="left" w:pos="936"/>
          <w:tab w:val="left" w:pos="1314"/>
          <w:tab w:val="left" w:pos="1692"/>
          <w:tab w:val="left" w:pos="2070"/>
        </w:tabs>
        <w:ind w:left="936"/>
        <w:rPr>
          <w:sz w:val="22"/>
        </w:rPr>
      </w:pPr>
    </w:p>
    <w:p w14:paraId="78DE42DB" w14:textId="77777777" w:rsidR="00CF2175" w:rsidRDefault="00CF2175" w:rsidP="00CF2175">
      <w:pPr>
        <w:widowControl w:val="0"/>
        <w:tabs>
          <w:tab w:val="left" w:pos="936"/>
          <w:tab w:val="left" w:pos="1314"/>
          <w:tab w:val="left" w:pos="1692"/>
          <w:tab w:val="left" w:pos="2070"/>
        </w:tabs>
        <w:ind w:left="936" w:firstLine="360"/>
        <w:rPr>
          <w:sz w:val="22"/>
        </w:rPr>
      </w:pPr>
      <w:r>
        <w:rPr>
          <w:sz w:val="22"/>
        </w:rPr>
        <w:t>Effective s</w:t>
      </w:r>
      <w:r w:rsidRPr="00F74734">
        <w:rPr>
          <w:sz w:val="22"/>
        </w:rPr>
        <w:t xml:space="preserve">ixty </w:t>
      </w:r>
      <w:r>
        <w:rPr>
          <w:sz w:val="22"/>
        </w:rPr>
        <w:t xml:space="preserve">days </w:t>
      </w:r>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 a</w:t>
      </w:r>
      <w:r w:rsidRPr="00F74734">
        <w:rPr>
          <w:sz w:val="22"/>
        </w:rPr>
        <w:t xml:space="preserve"> valid special-needs trust as determined by the MassHealth agency in accordance with 130 CMR 515.001: </w:t>
      </w:r>
      <w:r w:rsidRPr="00F74734">
        <w:rPr>
          <w:i/>
          <w:iCs/>
          <w:sz w:val="22"/>
        </w:rPr>
        <w:t>Definition of Terms</w:t>
      </w:r>
      <w:r w:rsidRPr="00F74734">
        <w:rPr>
          <w:sz w:val="22"/>
        </w:rPr>
        <w:t xml:space="preserve"> and the trust rules at 130 CMR 520.021 through 520.024 is considered a noncountable asset. A special-needs trust that does not meet federal Medicaid and state MassHealth requirements may be considered a countable asset or transfers into such trusts may be considered disqualifying transfer of resources.</w:t>
      </w:r>
    </w:p>
    <w:p w14:paraId="01B7CC24" w14:textId="77777777" w:rsidR="00CF2175" w:rsidRDefault="00CF2175" w:rsidP="00CF2175">
      <w:pPr>
        <w:widowControl w:val="0"/>
        <w:tabs>
          <w:tab w:val="left" w:pos="936"/>
          <w:tab w:val="left" w:pos="1314"/>
          <w:tab w:val="left" w:pos="1692"/>
          <w:tab w:val="left" w:pos="2070"/>
        </w:tabs>
        <w:ind w:left="936"/>
        <w:rPr>
          <w:sz w:val="22"/>
        </w:rPr>
      </w:pPr>
    </w:p>
    <w:p w14:paraId="031F28DE" w14:textId="77777777" w:rsidR="00CF2175" w:rsidRDefault="00CF2175" w:rsidP="00CF2175">
      <w:pPr>
        <w:widowControl w:val="0"/>
        <w:tabs>
          <w:tab w:val="left" w:pos="936"/>
          <w:tab w:val="left" w:pos="1314"/>
          <w:tab w:val="left" w:pos="1692"/>
          <w:tab w:val="left" w:pos="2070"/>
        </w:tabs>
        <w:ind w:left="936"/>
      </w:pPr>
      <w:r w:rsidRPr="00F74734">
        <w:rPr>
          <w:sz w:val="22"/>
        </w:rPr>
        <w:t>(I</w:t>
      </w:r>
      <w:r>
        <w:rPr>
          <w:sz w:val="22"/>
        </w:rPr>
        <w:t xml:space="preserve">)  </w:t>
      </w:r>
      <w:r w:rsidRPr="0024633F">
        <w:rPr>
          <w:sz w:val="22"/>
          <w:u w:val="single"/>
        </w:rPr>
        <w:t>Pooled Trust</w:t>
      </w:r>
      <w:r w:rsidRPr="0024633F">
        <w:rPr>
          <w:sz w:val="22"/>
        </w:rPr>
        <w:t xml:space="preserve">. </w:t>
      </w:r>
      <w:r>
        <w:rPr>
          <w:sz w:val="22"/>
        </w:rPr>
        <w:t xml:space="preserve">Effective until </w:t>
      </w:r>
      <w:r w:rsidRPr="00F74734">
        <w:rPr>
          <w:sz w:val="22"/>
        </w:rPr>
        <w:t xml:space="preserve">sixty </w:t>
      </w:r>
      <w:r>
        <w:rPr>
          <w:sz w:val="22"/>
        </w:rPr>
        <w:t xml:space="preserve">days </w:t>
      </w:r>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w:t>
      </w:r>
      <w:r>
        <w:t xml:space="preserve"> a</w:t>
      </w:r>
      <w:r w:rsidRPr="00F74734">
        <w:t xml:space="preserve"> </w:t>
      </w:r>
      <w:r w:rsidRPr="00FE792F">
        <w:rPr>
          <w:sz w:val="22"/>
        </w:rPr>
        <w:t>pooled trust in accordance with the trust rules at 130 CMR 520.021 through 520.024 is considered a noncountable asset.</w:t>
      </w:r>
    </w:p>
    <w:p w14:paraId="5D6F916F" w14:textId="77777777" w:rsidR="00CF2175" w:rsidRPr="00F74734" w:rsidRDefault="00CF2175" w:rsidP="00CF2175">
      <w:pPr>
        <w:widowControl w:val="0"/>
        <w:tabs>
          <w:tab w:val="left" w:pos="936"/>
          <w:tab w:val="left" w:pos="1314"/>
          <w:tab w:val="left" w:pos="1692"/>
          <w:tab w:val="left" w:pos="2070"/>
        </w:tabs>
        <w:ind w:left="936"/>
        <w:rPr>
          <w:sz w:val="22"/>
        </w:rPr>
      </w:pPr>
    </w:p>
    <w:p w14:paraId="1C2B366C" w14:textId="77777777" w:rsidR="00CF2175" w:rsidRPr="00F74734" w:rsidRDefault="00CF2175" w:rsidP="00CF2175">
      <w:pPr>
        <w:ind w:left="936" w:firstLine="360"/>
        <w:rPr>
          <w:sz w:val="22"/>
          <w:szCs w:val="22"/>
        </w:rPr>
      </w:pPr>
      <w:r w:rsidRPr="00F74734">
        <w:rPr>
          <w:sz w:val="22"/>
          <w:szCs w:val="22"/>
        </w:rPr>
        <w:t xml:space="preserve">Effective sixty days </w:t>
      </w:r>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w:t>
      </w:r>
      <w:r w:rsidRPr="00F74734">
        <w:rPr>
          <w:sz w:val="22"/>
          <w:szCs w:val="22"/>
        </w:rPr>
        <w:t xml:space="preserve">, a valid pooled trust as determined by the MassHealth agency in accordance with 130 CMR 515.001: </w:t>
      </w:r>
      <w:r w:rsidRPr="00F74734">
        <w:rPr>
          <w:i/>
          <w:iCs/>
          <w:sz w:val="22"/>
          <w:szCs w:val="22"/>
        </w:rPr>
        <w:t xml:space="preserve">Definition of Terms </w:t>
      </w:r>
      <w:r w:rsidRPr="00F74734">
        <w:rPr>
          <w:sz w:val="22"/>
          <w:szCs w:val="22"/>
        </w:rPr>
        <w:t>and the trust rules at 130 CMR 520.021 through 520.024 is considered a noncountable asset. A pooled trust that does not meet federal Medicaid and state MassHealth requirements may be considered a countable asset or transfers into such trusts may be considered disqualifying transfer of resources.</w:t>
      </w:r>
    </w:p>
    <w:p w14:paraId="40D39D09" w14:textId="77777777" w:rsidR="00CF2175" w:rsidRDefault="00CF2175" w:rsidP="00CF2175">
      <w:pPr>
        <w:widowControl w:val="0"/>
        <w:tabs>
          <w:tab w:val="left" w:pos="936"/>
          <w:tab w:val="left" w:pos="1314"/>
          <w:tab w:val="left" w:pos="1692"/>
          <w:tab w:val="left" w:pos="2070"/>
        </w:tabs>
        <w:ind w:left="936"/>
        <w:rPr>
          <w:sz w:val="22"/>
        </w:rPr>
      </w:pPr>
    </w:p>
    <w:p w14:paraId="113C26E8"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(J)  </w:t>
      </w:r>
      <w:r>
        <w:rPr>
          <w:sz w:val="22"/>
          <w:u w:val="single"/>
        </w:rPr>
        <w:t>ICF/MR Trust</w:t>
      </w:r>
      <w:r>
        <w:rPr>
          <w:sz w:val="22"/>
        </w:rPr>
        <w:t>. A trust established before April 7, 1986, solely for the benefit of a resident of an intermediate-care facility for the mentally retarded (ICF/MR) is considered a noncountable asset.</w:t>
      </w:r>
    </w:p>
    <w:p w14:paraId="4BAD5471" w14:textId="77777777" w:rsidR="00CF2175" w:rsidRDefault="00CF2175" w:rsidP="00CF2175">
      <w:pPr>
        <w:widowControl w:val="0"/>
        <w:tabs>
          <w:tab w:val="left" w:pos="936"/>
          <w:tab w:val="left" w:pos="1314"/>
          <w:tab w:val="left" w:pos="1692"/>
          <w:tab w:val="left" w:pos="2070"/>
        </w:tabs>
        <w:ind w:left="936"/>
        <w:rPr>
          <w:sz w:val="22"/>
        </w:rPr>
      </w:pPr>
    </w:p>
    <w:p w14:paraId="538D5BCD" w14:textId="77777777" w:rsidR="00CF2175" w:rsidRPr="003B32CA" w:rsidRDefault="00CF2175" w:rsidP="00CF2175">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1079EC3"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16608" behindDoc="0" locked="0" layoutInCell="1" allowOverlap="1" wp14:anchorId="0CF03A08" wp14:editId="76EEFE39">
                <wp:simplePos x="0" y="0"/>
                <wp:positionH relativeFrom="column">
                  <wp:posOffset>-275590</wp:posOffset>
                </wp:positionH>
                <wp:positionV relativeFrom="paragraph">
                  <wp:posOffset>79374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2C3AD" id="Straight Arrow Connector 70" o:spid="_x0000_s1026" type="#_x0000_t32" style="position:absolute;margin-left:-21.7pt;margin-top:6.25pt;width:492pt;height:0;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c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C75Lc0gEAAI0D&#10;AAAOAAAAAAAAAAAAAAAAAC4CAABkcnMvZTJvRG9jLnhtbFBLAQItABQABgAIAAAAIQDSjDlP3QAA&#10;AAkBAAAPAAAAAAAAAAAAAAAAACwEAABkcnMvZG93bnJldi54bWxQSwUGAAAAAAQABADzAAAANgUA&#10;AAAA&#10;"/>
            </w:pict>
          </mc:Fallback>
        </mc:AlternateContent>
      </w:r>
    </w:p>
    <w:p w14:paraId="4C629022"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7C403467" w14:textId="77777777" w:rsidR="00CF2175" w:rsidRPr="003B32CA" w:rsidRDefault="00CF2175" w:rsidP="00CF2175">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Pr>
          <w:rFonts w:ascii="Helvetica" w:hAnsi="Helvetica"/>
          <w:b/>
          <w:sz w:val="22"/>
          <w:szCs w:val="22"/>
        </w:rPr>
        <w:t>6</w:t>
      </w:r>
      <w:r w:rsidRPr="003B32CA">
        <w:rPr>
          <w:rFonts w:ascii="Helvetica" w:hAnsi="Helvetica"/>
          <w:b/>
          <w:sz w:val="22"/>
          <w:szCs w:val="22"/>
        </w:rPr>
        <w:t>/</w:t>
      </w:r>
      <w:r>
        <w:rPr>
          <w:rFonts w:ascii="Helvetica" w:hAnsi="Helvetica"/>
          <w:b/>
          <w:sz w:val="22"/>
          <w:szCs w:val="22"/>
        </w:rPr>
        <w:t>23</w:t>
      </w:r>
    </w:p>
    <w:p w14:paraId="46273B45"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A19969D" w14:textId="77777777" w:rsidR="00CF2175" w:rsidRDefault="00CF2175" w:rsidP="00CF2175">
      <w:pPr>
        <w:jc w:val="center"/>
        <w:rPr>
          <w:rFonts w:ascii="Helvetica" w:hAnsi="Helvetica"/>
          <w:b/>
          <w:sz w:val="22"/>
        </w:rPr>
      </w:pPr>
      <w:r>
        <w:rPr>
          <w:rFonts w:ascii="Helvetica" w:hAnsi="Helvetica"/>
          <w:b/>
          <w:sz w:val="22"/>
        </w:rPr>
        <w:t>FINANCIAL ELIGIBILITY</w:t>
      </w:r>
    </w:p>
    <w:p w14:paraId="72B3E8FD"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AFE1796" w14:textId="77777777" w:rsidR="00CF2175" w:rsidRPr="003B32CA" w:rsidRDefault="00CF2175" w:rsidP="00CF2175">
      <w:pPr>
        <w:rPr>
          <w:rFonts w:ascii="Helvetica" w:hAnsi="Helvetica"/>
          <w:b/>
          <w:sz w:val="22"/>
          <w:szCs w:val="22"/>
        </w:rPr>
      </w:pPr>
      <w:r>
        <w:rPr>
          <w:rFonts w:ascii="Helvetica" w:hAnsi="Helvetica"/>
          <w:b/>
          <w:sz w:val="22"/>
          <w:szCs w:val="22"/>
        </w:rPr>
        <w:t>Page 520.009 (1 of 2)</w:t>
      </w:r>
    </w:p>
    <w:p w14:paraId="00DBC211"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7632" behindDoc="0" locked="0" layoutInCell="1" allowOverlap="1" wp14:anchorId="499BCF30" wp14:editId="79682F4A">
                <wp:simplePos x="0" y="0"/>
                <wp:positionH relativeFrom="column">
                  <wp:posOffset>-271780</wp:posOffset>
                </wp:positionH>
                <wp:positionV relativeFrom="paragraph">
                  <wp:posOffset>126364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A8480" id="Straight Arrow Connector 69" o:spid="_x0000_s1026" type="#_x0000_t32" style="position:absolute;margin-left:-21.4pt;margin-top:9.95pt;width:492pt;height:0;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b8pSi0gEAAI0D&#10;AAAOAAAAAAAAAAAAAAAAAC4CAABkcnMvZTJvRG9jLnhtbFBLAQItABQABgAIAAAAIQCn5key3QAA&#10;AAkBAAAPAAAAAAAAAAAAAAAAACwEAABkcnMvZG93bnJldi54bWxQSwUGAAAAAAQABADzAAAANgUA&#10;AAAA&#10;"/>
            </w:pict>
          </mc:Fallback>
        </mc:AlternateContent>
      </w:r>
    </w:p>
    <w:p w14:paraId="09B0C14C" w14:textId="77777777" w:rsidR="00CF2175" w:rsidRDefault="00CF2175" w:rsidP="00CF2175">
      <w:pPr>
        <w:widowControl w:val="0"/>
        <w:tabs>
          <w:tab w:val="left" w:pos="936"/>
          <w:tab w:val="left" w:pos="1314"/>
          <w:tab w:val="left" w:pos="1692"/>
          <w:tab w:val="left" w:pos="2070"/>
        </w:tabs>
        <w:ind w:left="936"/>
        <w:rPr>
          <w:sz w:val="22"/>
        </w:rPr>
      </w:pPr>
    </w:p>
    <w:p w14:paraId="5CF44026"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(K)  </w:t>
      </w:r>
      <w:r>
        <w:rPr>
          <w:sz w:val="22"/>
          <w:u w:val="single"/>
        </w:rPr>
        <w:t>Other Assets</w:t>
      </w:r>
      <w:r>
        <w:rPr>
          <w:sz w:val="22"/>
        </w:rPr>
        <w:t>. Any other assets considered noncountable for Title XIX eligibility purposes is considered a noncountable asset.</w:t>
      </w:r>
    </w:p>
    <w:p w14:paraId="214DD859" w14:textId="77777777" w:rsidR="00CF2175" w:rsidRDefault="00CF2175" w:rsidP="00CF2175">
      <w:pPr>
        <w:widowControl w:val="0"/>
        <w:tabs>
          <w:tab w:val="left" w:pos="936"/>
          <w:tab w:val="left" w:pos="1314"/>
          <w:tab w:val="left" w:pos="1692"/>
          <w:tab w:val="left" w:pos="2070"/>
        </w:tabs>
        <w:rPr>
          <w:sz w:val="22"/>
          <w:u w:val="single"/>
        </w:rPr>
      </w:pPr>
    </w:p>
    <w:p w14:paraId="427184BB" w14:textId="77777777" w:rsidR="00CF2175" w:rsidRDefault="00CF2175" w:rsidP="00CF2175">
      <w:pPr>
        <w:widowControl w:val="0"/>
        <w:tabs>
          <w:tab w:val="left" w:pos="936"/>
          <w:tab w:val="left" w:pos="1314"/>
          <w:tab w:val="left" w:pos="1692"/>
          <w:tab w:val="left" w:pos="2070"/>
        </w:tabs>
        <w:rPr>
          <w:sz w:val="22"/>
        </w:rPr>
      </w:pPr>
      <w:r>
        <w:rPr>
          <w:sz w:val="22"/>
          <w:u w:val="single"/>
        </w:rPr>
        <w:t>520.009:</w:t>
      </w:r>
      <w:r>
        <w:rPr>
          <w:sz w:val="22"/>
          <w:u w:val="single"/>
        </w:rPr>
        <w:tab/>
        <w:t>Countable-income Amount</w:t>
      </w:r>
    </w:p>
    <w:p w14:paraId="17FDCED5" w14:textId="77777777" w:rsidR="00CF2175" w:rsidRDefault="00CF2175" w:rsidP="00CF2175">
      <w:pPr>
        <w:widowControl w:val="0"/>
        <w:tabs>
          <w:tab w:val="left" w:pos="936"/>
          <w:tab w:val="left" w:pos="1314"/>
          <w:tab w:val="left" w:pos="1692"/>
          <w:tab w:val="left" w:pos="2070"/>
        </w:tabs>
        <w:rPr>
          <w:sz w:val="22"/>
        </w:rPr>
      </w:pPr>
    </w:p>
    <w:p w14:paraId="7EF46D22"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(A)  </w:t>
      </w:r>
      <w:r>
        <w:rPr>
          <w:sz w:val="22"/>
          <w:u w:val="single"/>
        </w:rPr>
        <w:t>Overview</w:t>
      </w:r>
      <w:r>
        <w:rPr>
          <w:sz w:val="22"/>
        </w:rPr>
        <w:t>.</w:t>
      </w:r>
    </w:p>
    <w:p w14:paraId="020BB48E"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(1)  An individual’s and the spouse's gross </w:t>
      </w:r>
      <w:proofErr w:type="gramStart"/>
      <w:r>
        <w:rPr>
          <w:sz w:val="22"/>
        </w:rPr>
        <w:t>earned</w:t>
      </w:r>
      <w:proofErr w:type="gramEnd"/>
      <w:r>
        <w:rPr>
          <w:sz w:val="22"/>
        </w:rPr>
        <w:t xml:space="preserve"> and unearned income less certain business expenses and standard income deductions is referred to as the countable-income amount. In determining gross monthly income, the MassHealth agency multiplies the average weekly income by 4.333 unless the income is monthly.</w:t>
      </w:r>
    </w:p>
    <w:p w14:paraId="161A612A" w14:textId="77777777" w:rsidR="00CF2175" w:rsidRDefault="00CF2175" w:rsidP="00CF2175">
      <w:pPr>
        <w:widowControl w:val="0"/>
        <w:tabs>
          <w:tab w:val="left" w:pos="936"/>
          <w:tab w:val="left" w:pos="1314"/>
          <w:tab w:val="left" w:pos="1692"/>
          <w:tab w:val="left" w:pos="2070"/>
        </w:tabs>
        <w:ind w:left="1314"/>
        <w:rPr>
          <w:sz w:val="22"/>
        </w:rPr>
      </w:pPr>
      <w:r>
        <w:rPr>
          <w:sz w:val="22"/>
        </w:rPr>
        <w:t>(2)  For community residents, the countable-income amount is compared to the applicable income standard to determine the individual's financial eligibility.</w:t>
      </w:r>
    </w:p>
    <w:p w14:paraId="0D0E36DE" w14:textId="77777777" w:rsidR="00CF2175" w:rsidRPr="00AA1705" w:rsidRDefault="00CF2175" w:rsidP="00CF2175">
      <w:pPr>
        <w:rPr>
          <w:sz w:val="22"/>
          <w:szCs w:val="22"/>
        </w:rPr>
      </w:pPr>
    </w:p>
    <w:p w14:paraId="755BAC60" w14:textId="77777777" w:rsidR="00CF2175" w:rsidRDefault="00CF2175" w:rsidP="00CF2175">
      <w:pPr>
        <w:widowControl w:val="0"/>
        <w:tabs>
          <w:tab w:val="left" w:pos="936"/>
          <w:tab w:val="left" w:pos="1314"/>
          <w:tab w:val="left" w:pos="1692"/>
          <w:tab w:val="left" w:pos="2070"/>
        </w:tabs>
        <w:ind w:left="1314"/>
        <w:rPr>
          <w:sz w:val="22"/>
        </w:rPr>
      </w:pPr>
      <w:r>
        <w:rPr>
          <w:sz w:val="22"/>
        </w:rPr>
        <w:t>(3)  For institutionalized individuals, specific deductions described in 130 CMR 520.026 are applied against the individual's countable</w:t>
      </w:r>
      <w:r>
        <w:rPr>
          <w:sz w:val="22"/>
        </w:rPr>
        <w:noBreakHyphen/>
        <w:t>income amount to determine the patient-paid amount.</w:t>
      </w:r>
    </w:p>
    <w:p w14:paraId="58F0D4E3"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(4)  The types of income that are considered in the determination of eligibility are described in 130 CMR 520.009, 520.018, 520.019, and 520.021 through 520.024. These include income to which the applicant, member, or spouse would be entitled whether or not actually received when failure to receive such income results from the action or inaction of the applicant, member, spouse, or person acting on his or her behalf. In determining </w:t>
      </w:r>
      <w:proofErr w:type="gramStart"/>
      <w:r>
        <w:rPr>
          <w:sz w:val="22"/>
        </w:rPr>
        <w:t>whether or not</w:t>
      </w:r>
      <w:proofErr w:type="gramEnd"/>
      <w:r>
        <w:rPr>
          <w:sz w:val="22"/>
        </w:rPr>
        <w:t xml:space="preserve"> failure to receive such income is reasonably considered to result from such action or inaction, the MassHealth agency will consider the specific circumstances involved.</w:t>
      </w:r>
    </w:p>
    <w:p w14:paraId="2A23E59A" w14:textId="77777777" w:rsidR="00CF2175" w:rsidRDefault="00CF2175" w:rsidP="00CF2175"/>
    <w:p w14:paraId="3E2C1651" w14:textId="77777777" w:rsidR="00CF2175" w:rsidRPr="000D0FF3" w:rsidRDefault="00CF2175" w:rsidP="00CF2175">
      <w:pPr>
        <w:widowControl w:val="0"/>
        <w:tabs>
          <w:tab w:val="left" w:pos="936"/>
          <w:tab w:val="left" w:pos="1314"/>
          <w:tab w:val="left" w:pos="1692"/>
          <w:tab w:val="left" w:pos="2070"/>
        </w:tabs>
        <w:ind w:left="936"/>
        <w:rPr>
          <w:sz w:val="22"/>
          <w:szCs w:val="22"/>
        </w:rPr>
      </w:pPr>
      <w:r w:rsidRPr="000D0FF3">
        <w:rPr>
          <w:sz w:val="22"/>
          <w:szCs w:val="22"/>
        </w:rPr>
        <w:t>(B)</w:t>
      </w:r>
      <w:r>
        <w:rPr>
          <w:sz w:val="22"/>
          <w:szCs w:val="22"/>
        </w:rPr>
        <w:t xml:space="preserve">  </w:t>
      </w:r>
      <w:r w:rsidRPr="000D0FF3">
        <w:rPr>
          <w:sz w:val="22"/>
          <w:szCs w:val="22"/>
          <w:u w:val="single"/>
        </w:rPr>
        <w:t>MassHealth Income Standards</w:t>
      </w:r>
      <w:r>
        <w:rPr>
          <w:sz w:val="22"/>
          <w:szCs w:val="22"/>
        </w:rPr>
        <w:t xml:space="preserve">. </w:t>
      </w:r>
      <w:r w:rsidRPr="000D0FF3">
        <w:rPr>
          <w:sz w:val="22"/>
          <w:szCs w:val="22"/>
        </w:rPr>
        <w:t>Generally, financial eligibility is based on a percentage of the federal poverty level. The monthly federal</w:t>
      </w:r>
      <w:r>
        <w:rPr>
          <w:sz w:val="22"/>
          <w:szCs w:val="22"/>
        </w:rPr>
        <w:t xml:space="preserve"> </w:t>
      </w:r>
      <w:r w:rsidRPr="000D0FF3">
        <w:rPr>
          <w:sz w:val="22"/>
          <w:szCs w:val="22"/>
        </w:rPr>
        <w:t>poverty</w:t>
      </w:r>
      <w:r>
        <w:rPr>
          <w:sz w:val="22"/>
          <w:szCs w:val="22"/>
        </w:rPr>
        <w:t xml:space="preserve"> </w:t>
      </w:r>
      <w:r w:rsidRPr="000D0FF3">
        <w:rPr>
          <w:sz w:val="22"/>
          <w:szCs w:val="22"/>
        </w:rPr>
        <w:t xml:space="preserve">level standards are determined according to annual standards published in the </w:t>
      </w:r>
      <w:r w:rsidRPr="000D0FF3">
        <w:rPr>
          <w:i/>
          <w:sz w:val="22"/>
          <w:szCs w:val="22"/>
        </w:rPr>
        <w:t xml:space="preserve">Federal Register. </w:t>
      </w:r>
      <w:r w:rsidRPr="000D0FF3">
        <w:rPr>
          <w:sz w:val="22"/>
          <w:szCs w:val="22"/>
        </w:rPr>
        <w:t>The MassHealth agency adjusts these standards annually using the following formula.</w:t>
      </w:r>
    </w:p>
    <w:p w14:paraId="3C61054E" w14:textId="77777777" w:rsidR="00CF2175" w:rsidRPr="000D0FF3" w:rsidRDefault="00CF2175" w:rsidP="00CF2175">
      <w:pPr>
        <w:widowControl w:val="0"/>
        <w:tabs>
          <w:tab w:val="left" w:pos="936"/>
          <w:tab w:val="left" w:pos="1314"/>
          <w:tab w:val="left" w:pos="1692"/>
          <w:tab w:val="left" w:pos="2070"/>
        </w:tabs>
        <w:ind w:left="1314"/>
        <w:rPr>
          <w:sz w:val="22"/>
          <w:szCs w:val="22"/>
        </w:rPr>
      </w:pPr>
      <w:r w:rsidRPr="000D0FF3">
        <w:rPr>
          <w:sz w:val="22"/>
          <w:szCs w:val="22"/>
        </w:rPr>
        <w:t>(1)</w:t>
      </w:r>
      <w:r>
        <w:rPr>
          <w:sz w:val="22"/>
          <w:szCs w:val="22"/>
        </w:rPr>
        <w:t xml:space="preserve">  </w:t>
      </w:r>
      <w:r w:rsidRPr="000D0FF3">
        <w:rPr>
          <w:sz w:val="22"/>
          <w:szCs w:val="22"/>
        </w:rPr>
        <w:t>Divide the annual federal</w:t>
      </w:r>
      <w:r>
        <w:rPr>
          <w:sz w:val="22"/>
          <w:szCs w:val="22"/>
        </w:rPr>
        <w:t xml:space="preserve"> </w:t>
      </w:r>
      <w:r w:rsidRPr="000D0FF3">
        <w:rPr>
          <w:sz w:val="22"/>
          <w:szCs w:val="22"/>
        </w:rPr>
        <w:t>poverty</w:t>
      </w:r>
      <w:r>
        <w:rPr>
          <w:sz w:val="22"/>
          <w:szCs w:val="22"/>
        </w:rPr>
        <w:t xml:space="preserve"> </w:t>
      </w:r>
      <w:r w:rsidRPr="000D0FF3">
        <w:rPr>
          <w:sz w:val="22"/>
          <w:szCs w:val="22"/>
        </w:rPr>
        <w:t xml:space="preserve">level income standard as it appears in the </w:t>
      </w:r>
      <w:r w:rsidRPr="000D0FF3">
        <w:rPr>
          <w:i/>
          <w:sz w:val="22"/>
          <w:szCs w:val="22"/>
        </w:rPr>
        <w:t>Federal Register</w:t>
      </w:r>
      <w:r w:rsidRPr="000D0FF3">
        <w:rPr>
          <w:sz w:val="22"/>
          <w:szCs w:val="22"/>
        </w:rPr>
        <w:t xml:space="preserve"> by 12.</w:t>
      </w:r>
    </w:p>
    <w:p w14:paraId="7115600B" w14:textId="77777777" w:rsidR="00CF2175" w:rsidRPr="000D0FF3" w:rsidRDefault="00CF2175" w:rsidP="00CF2175">
      <w:pPr>
        <w:widowControl w:val="0"/>
        <w:tabs>
          <w:tab w:val="left" w:pos="936"/>
          <w:tab w:val="left" w:pos="1314"/>
          <w:tab w:val="left" w:pos="1692"/>
          <w:tab w:val="left" w:pos="2070"/>
        </w:tabs>
        <w:ind w:left="1314"/>
        <w:rPr>
          <w:sz w:val="22"/>
          <w:szCs w:val="22"/>
        </w:rPr>
      </w:pPr>
      <w:r w:rsidRPr="000D0FF3">
        <w:rPr>
          <w:sz w:val="22"/>
          <w:szCs w:val="22"/>
        </w:rPr>
        <w:t>(2)</w:t>
      </w:r>
      <w:r>
        <w:rPr>
          <w:sz w:val="22"/>
          <w:szCs w:val="22"/>
        </w:rPr>
        <w:t xml:space="preserve">  </w:t>
      </w:r>
      <w:r w:rsidRPr="000D0FF3">
        <w:rPr>
          <w:sz w:val="22"/>
          <w:szCs w:val="22"/>
        </w:rPr>
        <w:t>Multiply the unrounded monthly income standard by the applicable federal</w:t>
      </w:r>
      <w:r>
        <w:rPr>
          <w:sz w:val="22"/>
          <w:szCs w:val="22"/>
        </w:rPr>
        <w:t xml:space="preserve"> </w:t>
      </w:r>
      <w:r w:rsidRPr="000D0FF3">
        <w:rPr>
          <w:sz w:val="22"/>
          <w:szCs w:val="22"/>
        </w:rPr>
        <w:t>poverty</w:t>
      </w:r>
      <w:r>
        <w:rPr>
          <w:sz w:val="22"/>
          <w:szCs w:val="22"/>
        </w:rPr>
        <w:t xml:space="preserve"> </w:t>
      </w:r>
      <w:r w:rsidRPr="000D0FF3">
        <w:rPr>
          <w:sz w:val="22"/>
          <w:szCs w:val="22"/>
        </w:rPr>
        <w:t>level percentage.</w:t>
      </w:r>
    </w:p>
    <w:p w14:paraId="5C12769D" w14:textId="77777777" w:rsidR="00CF2175" w:rsidRPr="000D0FF3" w:rsidRDefault="00CF2175" w:rsidP="00CF2175">
      <w:pPr>
        <w:pStyle w:val="BodyTextIndent3"/>
        <w:ind w:left="1314"/>
        <w:rPr>
          <w:szCs w:val="22"/>
        </w:rPr>
      </w:pPr>
      <w:r w:rsidRPr="000D0FF3">
        <w:rPr>
          <w:szCs w:val="22"/>
        </w:rPr>
        <w:t>(3)</w:t>
      </w:r>
      <w:r>
        <w:rPr>
          <w:szCs w:val="22"/>
        </w:rPr>
        <w:t xml:space="preserve">  </w:t>
      </w:r>
      <w:r w:rsidRPr="000D0FF3">
        <w:rPr>
          <w:szCs w:val="22"/>
        </w:rPr>
        <w:t>Round up to the next whole dollar to arrive at the monthly income standards.</w:t>
      </w:r>
    </w:p>
    <w:p w14:paraId="4B5D3F2C" w14:textId="77777777" w:rsidR="00CF2175" w:rsidRDefault="00CF2175" w:rsidP="00CF2175">
      <w:pPr>
        <w:widowControl w:val="0"/>
        <w:tabs>
          <w:tab w:val="left" w:pos="936"/>
          <w:tab w:val="left" w:pos="1314"/>
          <w:tab w:val="left" w:pos="1692"/>
          <w:tab w:val="left" w:pos="2070"/>
        </w:tabs>
        <w:ind w:left="936"/>
        <w:rPr>
          <w:sz w:val="22"/>
        </w:rPr>
      </w:pPr>
    </w:p>
    <w:p w14:paraId="534D6887"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(C)  </w:t>
      </w:r>
      <w:r>
        <w:rPr>
          <w:sz w:val="22"/>
          <w:u w:val="single"/>
        </w:rPr>
        <w:t>Types of Earned Income</w:t>
      </w:r>
      <w:r>
        <w:rPr>
          <w:sz w:val="22"/>
        </w:rPr>
        <w:t>. Earned income is the total amount of compensation received for work or services performed. Earned income includes wages, self-employment income, and payment from roomers and boarders.</w:t>
      </w:r>
    </w:p>
    <w:p w14:paraId="5BAFF24F"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(1)  </w:t>
      </w:r>
      <w:r>
        <w:rPr>
          <w:sz w:val="22"/>
          <w:u w:val="single"/>
        </w:rPr>
        <w:t>Self-employment Income</w:t>
      </w:r>
      <w:r>
        <w:rPr>
          <w:sz w:val="22"/>
        </w:rPr>
        <w:t>. Gross income for the self-employed is the total amount of income listed on the most recent tax return before adjustments to income are made. A real-estate dealer, if engaged in the business of selling real estate to customers for profit, is considered to have self-employment earned income. Income from property that is owned by an individual who is not a real-estate dealer or is owned by the individual's spouse is considered unearned income.</w:t>
      </w:r>
    </w:p>
    <w:p w14:paraId="07EFB6CA"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(2)  </w:t>
      </w:r>
      <w:r>
        <w:rPr>
          <w:sz w:val="22"/>
          <w:u w:val="single"/>
        </w:rPr>
        <w:t>Income from Roomers and Boarders</w:t>
      </w:r>
      <w:r>
        <w:rPr>
          <w:sz w:val="22"/>
        </w:rPr>
        <w:t>. Payment for room and meals received from anyone other than the spouse of the applicant or member is countable earned income. Gross income from roomers and boarders is the amount received for the room and board, less business expenses as described at 130 CMR 520.010(B).</w:t>
      </w:r>
    </w:p>
    <w:p w14:paraId="1244210D" w14:textId="77777777" w:rsidR="00CF2175" w:rsidRDefault="00CF2175" w:rsidP="00CF2175">
      <w:pPr>
        <w:widowControl w:val="0"/>
        <w:tabs>
          <w:tab w:val="left" w:pos="936"/>
          <w:tab w:val="left" w:pos="1314"/>
          <w:tab w:val="left" w:pos="1692"/>
          <w:tab w:val="left" w:pos="2070"/>
        </w:tabs>
        <w:ind w:left="1314"/>
        <w:rPr>
          <w:sz w:val="22"/>
        </w:rPr>
      </w:pPr>
    </w:p>
    <w:p w14:paraId="05937D56" w14:textId="2C8AA0DD" w:rsidR="00CF2175" w:rsidRPr="003B32CA" w:rsidRDefault="00CF2175" w:rsidP="00CF2175">
      <w:pPr>
        <w:jc w:val="center"/>
        <w:rPr>
          <w:rFonts w:ascii="Helvetica" w:hAnsi="Helvetica"/>
          <w:b/>
          <w:sz w:val="22"/>
          <w:szCs w:val="22"/>
        </w:rPr>
      </w:pPr>
      <w:r w:rsidRPr="003B32CA">
        <w:rPr>
          <w:rFonts w:ascii="Helvetica" w:hAnsi="Helvetica"/>
          <w:b/>
          <w:sz w:val="22"/>
          <w:szCs w:val="22"/>
        </w:rPr>
        <w:t>130 CMR:  DIVISION OF MEDICAL ASSISTANCE</w:t>
      </w:r>
    </w:p>
    <w:p w14:paraId="063BED4A"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22752" behindDoc="0" locked="0" layoutInCell="1" allowOverlap="1" wp14:anchorId="0AB49B9E" wp14:editId="4DC2BA37">
                <wp:simplePos x="0" y="0"/>
                <wp:positionH relativeFrom="column">
                  <wp:posOffset>-275590</wp:posOffset>
                </wp:positionH>
                <wp:positionV relativeFrom="paragraph">
                  <wp:posOffset>79374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2E4ED" id="Straight Arrow Connector 60" o:spid="_x0000_s1026" type="#_x0000_t32" style="position:absolute;margin-left:-21.7pt;margin-top:6.25pt;width:492pt;height:0;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PS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C5bHw8Az2iQC&#10;2/VJfCLCUazRe9YRSXAI6zWGWHPa2j9TZqwOfhOeUP2MwuO6B9+Z0vfLMTDWLGdUv6VkIwauuh2/&#10;ouYY2CUs4h1aGjIkyyIOZUbH64zMIQnFj4v5zd3NlHtVF18F9SUxUExfDA4iXxoZz0SuDGalDOyf&#10;YsptQX1JyFU9PlrnykI4L8ZGfryd35a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QmAPS0gEAAI0D&#10;AAAOAAAAAAAAAAAAAAAAAC4CAABkcnMvZTJvRG9jLnhtbFBLAQItABQABgAIAAAAIQDSjDlP3QAA&#10;AAkBAAAPAAAAAAAAAAAAAAAAACwEAABkcnMvZG93bnJldi54bWxQSwUGAAAAAAQABADzAAAANgUA&#10;AAAA&#10;"/>
            </w:pict>
          </mc:Fallback>
        </mc:AlternateContent>
      </w:r>
    </w:p>
    <w:p w14:paraId="440AE754"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71596B3D" w14:textId="77777777" w:rsidR="00CF2175" w:rsidRPr="003B32CA" w:rsidRDefault="00CF2175" w:rsidP="00CF2175">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Pr>
          <w:rFonts w:ascii="Helvetica" w:hAnsi="Helvetica"/>
          <w:b/>
          <w:sz w:val="22"/>
          <w:szCs w:val="22"/>
        </w:rPr>
        <w:t>6</w:t>
      </w:r>
      <w:r w:rsidRPr="003B32CA">
        <w:rPr>
          <w:rFonts w:ascii="Helvetica" w:hAnsi="Helvetica"/>
          <w:b/>
          <w:sz w:val="22"/>
          <w:szCs w:val="22"/>
        </w:rPr>
        <w:t>/</w:t>
      </w:r>
      <w:r>
        <w:rPr>
          <w:rFonts w:ascii="Helvetica" w:hAnsi="Helvetica"/>
          <w:b/>
          <w:sz w:val="22"/>
          <w:szCs w:val="22"/>
        </w:rPr>
        <w:t>23</w:t>
      </w:r>
    </w:p>
    <w:p w14:paraId="0E73E851"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FA4274C" w14:textId="77777777" w:rsidR="00CF2175" w:rsidRDefault="00CF2175" w:rsidP="00CF2175">
      <w:pPr>
        <w:jc w:val="center"/>
        <w:rPr>
          <w:rFonts w:ascii="Helvetica" w:hAnsi="Helvetica"/>
          <w:b/>
          <w:sz w:val="22"/>
        </w:rPr>
      </w:pPr>
      <w:r>
        <w:rPr>
          <w:rFonts w:ascii="Helvetica" w:hAnsi="Helvetica"/>
          <w:b/>
          <w:sz w:val="22"/>
        </w:rPr>
        <w:t>FINANCIAL ELIGIBILITY</w:t>
      </w:r>
    </w:p>
    <w:p w14:paraId="2784471B"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8A8AF00" w14:textId="77777777" w:rsidR="00CF2175" w:rsidRPr="003B32CA" w:rsidRDefault="00CF2175" w:rsidP="00CF2175">
      <w:pPr>
        <w:rPr>
          <w:rFonts w:ascii="Helvetica" w:hAnsi="Helvetica"/>
          <w:b/>
          <w:sz w:val="22"/>
          <w:szCs w:val="22"/>
        </w:rPr>
      </w:pPr>
      <w:r>
        <w:rPr>
          <w:rFonts w:ascii="Helvetica" w:hAnsi="Helvetica"/>
          <w:b/>
          <w:sz w:val="22"/>
          <w:szCs w:val="22"/>
        </w:rPr>
        <w:t>Page 520.015</w:t>
      </w:r>
    </w:p>
    <w:p w14:paraId="1A4E64D3"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3776" behindDoc="0" locked="0" layoutInCell="1" allowOverlap="1" wp14:anchorId="426EA433" wp14:editId="299E18A9">
                <wp:simplePos x="0" y="0"/>
                <wp:positionH relativeFrom="column">
                  <wp:posOffset>-271780</wp:posOffset>
                </wp:positionH>
                <wp:positionV relativeFrom="paragraph">
                  <wp:posOffset>126364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D7287" id="Straight Arrow Connector 59" o:spid="_x0000_s1026" type="#_x0000_t32" style="position:absolute;margin-left:-21.4pt;margin-top:9.95pt;width:492pt;height:0;z-index:251723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x0gEAAI0DAAAOAAAAZHJzL2Uyb0RvYy54bWysU01v2zAMvQ/YfxB0X5wET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fnN3M+VRqouvgvqSGCimzwYHkS+NjGciVwazUgb2&#10;zzHltqC+JOSqHp+sc2UhnBdjI+8X80VJiOiszs4cFqnbrh2JPeSVKl/hyJ63YYQ7rwtYb0B/Ot8T&#10;WHe6c3Hnz9JkNU66blEfX+giGc+8dHnez7xUb+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tayex0gEAAI0D&#10;AAAOAAAAAAAAAAAAAAAAAC4CAABkcnMvZTJvRG9jLnhtbFBLAQItABQABgAIAAAAIQCn5key3QAA&#10;AAkBAAAPAAAAAAAAAAAAAAAAACwEAABkcnMvZG93bnJldi54bWxQSwUGAAAAAAQABADzAAAANgUA&#10;AAAA&#10;"/>
            </w:pict>
          </mc:Fallback>
        </mc:AlternateContent>
      </w:r>
    </w:p>
    <w:p w14:paraId="4C7EB39D" w14:textId="77777777" w:rsidR="00CF2175" w:rsidRPr="00512D1B" w:rsidRDefault="00CF2175" w:rsidP="00CF2175">
      <w:pPr>
        <w:rPr>
          <w:sz w:val="22"/>
          <w:szCs w:val="22"/>
        </w:rPr>
      </w:pPr>
    </w:p>
    <w:p w14:paraId="33BD7A62" w14:textId="77777777" w:rsidR="00CF2175" w:rsidRDefault="00CF2175" w:rsidP="00CF2175">
      <w:pPr>
        <w:widowControl w:val="0"/>
        <w:tabs>
          <w:tab w:val="left" w:pos="936"/>
          <w:tab w:val="left" w:pos="1314"/>
          <w:tab w:val="left" w:pos="1692"/>
          <w:tab w:val="left" w:pos="2070"/>
        </w:tabs>
        <w:ind w:left="936"/>
        <w:rPr>
          <w:sz w:val="22"/>
        </w:rPr>
      </w:pPr>
      <w:r>
        <w:rPr>
          <w:sz w:val="22"/>
        </w:rPr>
        <w:t>(E)  veterans’ aid and attendance benefits, unreimbursed medical expenses, housebound benefits, enhanced benefits ($90 Veterans’ Administration pension to long-term-care-facility residents, including veterans and their childless surviving spouses who live in a state veterans' home), or veterans’ benefits that are based on need and are provided by municipalities to resident veterans;</w:t>
      </w:r>
    </w:p>
    <w:p w14:paraId="070CCE1B" w14:textId="77777777" w:rsidR="00CF2175" w:rsidRDefault="00CF2175" w:rsidP="00CF2175">
      <w:pPr>
        <w:widowControl w:val="0"/>
        <w:tabs>
          <w:tab w:val="left" w:pos="936"/>
          <w:tab w:val="left" w:pos="1314"/>
          <w:tab w:val="left" w:pos="1692"/>
          <w:tab w:val="left" w:pos="2070"/>
        </w:tabs>
        <w:ind w:left="936"/>
        <w:rPr>
          <w:sz w:val="22"/>
        </w:rPr>
      </w:pPr>
    </w:p>
    <w:p w14:paraId="114BA6BF" w14:textId="77777777" w:rsidR="00CF2175" w:rsidRDefault="00CF2175" w:rsidP="00CF2175">
      <w:pPr>
        <w:widowControl w:val="0"/>
        <w:tabs>
          <w:tab w:val="left" w:pos="936"/>
          <w:tab w:val="left" w:pos="1314"/>
          <w:tab w:val="left" w:pos="1692"/>
          <w:tab w:val="left" w:pos="2070"/>
        </w:tabs>
        <w:ind w:left="936"/>
        <w:rPr>
          <w:sz w:val="22"/>
        </w:rPr>
      </w:pPr>
      <w:r>
        <w:rPr>
          <w:sz w:val="22"/>
        </w:rPr>
        <w:t xml:space="preserve">(F)  the amount of the increase due to a social security cost-of-living adjustment (COLA), if the amount of such increase can be verified, until the subsequent federal-poverty-level adjustment for applicants and members who are community </w:t>
      </w:r>
      <w:proofErr w:type="gramStart"/>
      <w:r>
        <w:rPr>
          <w:sz w:val="22"/>
        </w:rPr>
        <w:t>residents;</w:t>
      </w:r>
      <w:proofErr w:type="gramEnd"/>
    </w:p>
    <w:p w14:paraId="1E48A510" w14:textId="77777777" w:rsidR="00CF2175" w:rsidRDefault="00CF2175" w:rsidP="00CF2175">
      <w:pPr>
        <w:widowControl w:val="0"/>
        <w:tabs>
          <w:tab w:val="left" w:pos="936"/>
          <w:tab w:val="left" w:pos="1314"/>
          <w:tab w:val="left" w:pos="1692"/>
          <w:tab w:val="left" w:pos="2070"/>
        </w:tabs>
        <w:ind w:left="936" w:hanging="1692"/>
        <w:rPr>
          <w:sz w:val="22"/>
        </w:rPr>
      </w:pPr>
    </w:p>
    <w:p w14:paraId="63F108B6" w14:textId="77777777" w:rsidR="00CF2175" w:rsidRDefault="00CF2175" w:rsidP="00CF2175">
      <w:pPr>
        <w:widowControl w:val="0"/>
        <w:tabs>
          <w:tab w:val="left" w:pos="936"/>
          <w:tab w:val="left" w:pos="1350"/>
          <w:tab w:val="left" w:pos="2070"/>
        </w:tabs>
        <w:ind w:left="936"/>
        <w:rPr>
          <w:sz w:val="22"/>
        </w:rPr>
      </w:pPr>
      <w:r>
        <w:rPr>
          <w:sz w:val="22"/>
        </w:rPr>
        <w:t xml:space="preserve">(G)  retroactive RSDI and SSI benefit </w:t>
      </w:r>
      <w:proofErr w:type="gramStart"/>
      <w:r>
        <w:rPr>
          <w:sz w:val="22"/>
        </w:rPr>
        <w:t>payments;</w:t>
      </w:r>
      <w:proofErr w:type="gramEnd"/>
      <w:r>
        <w:rPr>
          <w:sz w:val="22"/>
        </w:rPr>
        <w:t xml:space="preserve"> </w:t>
      </w:r>
    </w:p>
    <w:p w14:paraId="30E82D46" w14:textId="77777777" w:rsidR="00CF2175" w:rsidRDefault="00CF2175" w:rsidP="00CF2175">
      <w:pPr>
        <w:widowControl w:val="0"/>
        <w:tabs>
          <w:tab w:val="left" w:pos="936"/>
          <w:tab w:val="left" w:pos="1350"/>
          <w:tab w:val="left" w:pos="2070"/>
        </w:tabs>
        <w:ind w:left="900"/>
        <w:rPr>
          <w:sz w:val="22"/>
        </w:rPr>
      </w:pPr>
    </w:p>
    <w:p w14:paraId="561D9345" w14:textId="77777777" w:rsidR="00CF2175" w:rsidRDefault="00CF2175" w:rsidP="00CF2175">
      <w:pPr>
        <w:widowControl w:val="0"/>
        <w:tabs>
          <w:tab w:val="left" w:pos="936"/>
          <w:tab w:val="left" w:pos="1350"/>
          <w:tab w:val="left" w:pos="2070"/>
        </w:tabs>
        <w:ind w:left="936"/>
        <w:rPr>
          <w:sz w:val="22"/>
        </w:rPr>
      </w:pPr>
      <w:r>
        <w:rPr>
          <w:sz w:val="22"/>
        </w:rPr>
        <w:t>(H)  income received by individuals who have verified their membership as an American Indian or Alaska Native and who are members of an Indian tribe, a tribal organization, or an urban Indian organization in accordance with federal law that meets one of the following:</w:t>
      </w:r>
    </w:p>
    <w:p w14:paraId="47A7AACA"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(1)  distributions from Alaska Native Corporations and Settlement </w:t>
      </w:r>
      <w:proofErr w:type="gramStart"/>
      <w:r>
        <w:rPr>
          <w:sz w:val="22"/>
        </w:rPr>
        <w:t>Trusts;</w:t>
      </w:r>
      <w:proofErr w:type="gramEnd"/>
    </w:p>
    <w:p w14:paraId="064FD05E"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(2)  distributions from any property held in trust, subject to federal restrictions, located within the most recent boundaries of a prior federal reservation, or otherwise under the supervision of the Secretary of the </w:t>
      </w:r>
      <w:proofErr w:type="gramStart"/>
      <w:r>
        <w:rPr>
          <w:sz w:val="22"/>
        </w:rPr>
        <w:t>Interior;</w:t>
      </w:r>
      <w:proofErr w:type="gramEnd"/>
    </w:p>
    <w:p w14:paraId="3EF9567A" w14:textId="77777777" w:rsidR="00CF2175" w:rsidRDefault="00CF2175" w:rsidP="00CF2175">
      <w:pPr>
        <w:widowControl w:val="0"/>
        <w:tabs>
          <w:tab w:val="left" w:pos="936"/>
          <w:tab w:val="left" w:pos="1314"/>
          <w:tab w:val="left" w:pos="1692"/>
          <w:tab w:val="left" w:pos="2070"/>
        </w:tabs>
        <w:ind w:left="1314"/>
        <w:rPr>
          <w:sz w:val="22"/>
        </w:rPr>
      </w:pPr>
      <w:r>
        <w:rPr>
          <w:sz w:val="22"/>
        </w:rPr>
        <w:t>(3)  distributions and payments from rents, leases, rights of way, royalties, usage rights, or natural resource extractions and harvest from</w:t>
      </w:r>
    </w:p>
    <w:p w14:paraId="7E77663A" w14:textId="77777777" w:rsidR="00CF2175" w:rsidRDefault="00CF2175" w:rsidP="00CF2175">
      <w:pPr>
        <w:widowControl w:val="0"/>
        <w:tabs>
          <w:tab w:val="left" w:pos="936"/>
          <w:tab w:val="left" w:pos="1710"/>
          <w:tab w:val="left" w:pos="2070"/>
        </w:tabs>
        <w:ind w:left="1699"/>
        <w:rPr>
          <w:sz w:val="22"/>
        </w:rPr>
      </w:pPr>
      <w:r>
        <w:rPr>
          <w:sz w:val="22"/>
        </w:rPr>
        <w:t>(a)  rights of ownership or possession in any lands described in 130 CMR 520.008(K); or</w:t>
      </w:r>
    </w:p>
    <w:p w14:paraId="4599AC17" w14:textId="77777777" w:rsidR="00CF2175" w:rsidRDefault="00CF2175" w:rsidP="00CF2175">
      <w:pPr>
        <w:widowControl w:val="0"/>
        <w:tabs>
          <w:tab w:val="left" w:pos="936"/>
          <w:tab w:val="left" w:pos="1710"/>
          <w:tab w:val="left" w:pos="2070"/>
        </w:tabs>
        <w:ind w:left="1699"/>
        <w:rPr>
          <w:sz w:val="22"/>
        </w:rPr>
      </w:pPr>
      <w:r>
        <w:rPr>
          <w:sz w:val="22"/>
        </w:rPr>
        <w:t xml:space="preserve">(b)  federally protected rights about off-reservation hunting, fishing, gathering, or usage of natural </w:t>
      </w:r>
      <w:proofErr w:type="gramStart"/>
      <w:r>
        <w:rPr>
          <w:sz w:val="22"/>
        </w:rPr>
        <w:t>resources;</w:t>
      </w:r>
      <w:proofErr w:type="gramEnd"/>
    </w:p>
    <w:p w14:paraId="336BD349" w14:textId="77777777" w:rsidR="00CF2175" w:rsidRDefault="00CF2175" w:rsidP="00CF2175">
      <w:pPr>
        <w:widowControl w:val="0"/>
        <w:tabs>
          <w:tab w:val="left" w:pos="936"/>
          <w:tab w:val="left" w:pos="1314"/>
          <w:tab w:val="left" w:pos="1692"/>
          <w:tab w:val="left" w:pos="2070"/>
        </w:tabs>
        <w:ind w:left="1314"/>
        <w:rPr>
          <w:sz w:val="22"/>
        </w:rPr>
      </w:pPr>
      <w:r>
        <w:rPr>
          <w:sz w:val="22"/>
        </w:rPr>
        <w:t>(4)  distributions resulting from real property ownership interests related to natural resources and improvements</w:t>
      </w:r>
    </w:p>
    <w:p w14:paraId="4A9564B2" w14:textId="77777777" w:rsidR="00CF2175" w:rsidRDefault="00CF2175" w:rsidP="00CF2175">
      <w:pPr>
        <w:widowControl w:val="0"/>
        <w:tabs>
          <w:tab w:val="left" w:pos="936"/>
          <w:tab w:val="left" w:pos="1710"/>
          <w:tab w:val="left" w:pos="2070"/>
        </w:tabs>
        <w:ind w:left="1699"/>
        <w:rPr>
          <w:sz w:val="22"/>
        </w:rPr>
      </w:pPr>
      <w:r>
        <w:rPr>
          <w:sz w:val="22"/>
        </w:rPr>
        <w:t>(a)  located on or near a reservation or within the most recent boundaries of a prior federal reservation; or</w:t>
      </w:r>
    </w:p>
    <w:p w14:paraId="6044DDF3" w14:textId="77777777" w:rsidR="00CF2175" w:rsidRDefault="00CF2175" w:rsidP="00CF2175">
      <w:pPr>
        <w:widowControl w:val="0"/>
        <w:tabs>
          <w:tab w:val="left" w:pos="936"/>
          <w:tab w:val="left" w:pos="1710"/>
          <w:tab w:val="left" w:pos="2070"/>
        </w:tabs>
        <w:ind w:left="1699"/>
        <w:rPr>
          <w:sz w:val="22"/>
        </w:rPr>
      </w:pPr>
      <w:r>
        <w:rPr>
          <w:sz w:val="22"/>
        </w:rPr>
        <w:t xml:space="preserve">(b)  resulting from the exercise of federally protected rights relating to such real property ownership </w:t>
      </w:r>
      <w:proofErr w:type="gramStart"/>
      <w:r>
        <w:rPr>
          <w:sz w:val="22"/>
        </w:rPr>
        <w:t>interests;</w:t>
      </w:r>
      <w:proofErr w:type="gramEnd"/>
    </w:p>
    <w:p w14:paraId="4D039296" w14:textId="77777777" w:rsidR="00CF2175" w:rsidRDefault="00CF2175" w:rsidP="00CF2175">
      <w:pPr>
        <w:widowControl w:val="0"/>
        <w:tabs>
          <w:tab w:val="left" w:pos="936"/>
          <w:tab w:val="left" w:pos="1314"/>
          <w:tab w:val="left" w:pos="1692"/>
          <w:tab w:val="left" w:pos="2070"/>
        </w:tabs>
        <w:ind w:left="1314"/>
        <w:rPr>
          <w:sz w:val="22"/>
        </w:rPr>
      </w:pPr>
      <w:r>
        <w:rPr>
          <w:sz w:val="22"/>
        </w:rPr>
        <w:t xml:space="preserve">(5)  payments resulting from ownership interests in or usage rights to items that have unique religious, spiritual, traditional, or cultural significance or rights that support subsistence or traditional lifestyle according to applicable tribal law or </w:t>
      </w:r>
      <w:proofErr w:type="gramStart"/>
      <w:r>
        <w:rPr>
          <w:sz w:val="22"/>
        </w:rPr>
        <w:t>custom;</w:t>
      </w:r>
      <w:proofErr w:type="gramEnd"/>
    </w:p>
    <w:p w14:paraId="1D1B6022" w14:textId="77777777" w:rsidR="00CF2175" w:rsidRDefault="00CF2175" w:rsidP="00CF2175">
      <w:pPr>
        <w:widowControl w:val="0"/>
        <w:tabs>
          <w:tab w:val="left" w:pos="936"/>
          <w:tab w:val="left" w:pos="1314"/>
          <w:tab w:val="left" w:pos="1692"/>
          <w:tab w:val="left" w:pos="2070"/>
        </w:tabs>
        <w:ind w:left="1314"/>
        <w:rPr>
          <w:sz w:val="22"/>
        </w:rPr>
      </w:pPr>
      <w:r>
        <w:rPr>
          <w:sz w:val="22"/>
        </w:rPr>
        <w:t>(6)  student financial assistance provided under the Bureau of Indian Affairs education programs; or</w:t>
      </w:r>
    </w:p>
    <w:p w14:paraId="3E43B173" w14:textId="77777777" w:rsidR="00CF2175" w:rsidRDefault="00CF2175" w:rsidP="00CF2175">
      <w:pPr>
        <w:widowControl w:val="0"/>
        <w:tabs>
          <w:tab w:val="left" w:pos="936"/>
          <w:tab w:val="left" w:pos="1314"/>
          <w:tab w:val="left" w:pos="1692"/>
          <w:tab w:val="left" w:pos="2070"/>
        </w:tabs>
        <w:rPr>
          <w:sz w:val="22"/>
        </w:rPr>
      </w:pPr>
    </w:p>
    <w:p w14:paraId="45FB4BFD" w14:textId="77777777" w:rsidR="00CF2175" w:rsidRDefault="00CF2175" w:rsidP="00CF2175">
      <w:pPr>
        <w:widowControl w:val="0"/>
        <w:tabs>
          <w:tab w:val="left" w:pos="936"/>
          <w:tab w:val="left" w:pos="1314"/>
          <w:tab w:val="left" w:pos="1692"/>
          <w:tab w:val="left" w:pos="2070"/>
        </w:tabs>
        <w:ind w:left="936"/>
        <w:rPr>
          <w:sz w:val="22"/>
        </w:rPr>
      </w:pPr>
      <w:r>
        <w:rPr>
          <w:sz w:val="22"/>
        </w:rPr>
        <w:t>(I)  any other income considered noncountable under Title XIX.</w:t>
      </w:r>
    </w:p>
    <w:p w14:paraId="549F0020" w14:textId="77777777" w:rsidR="00CF2175" w:rsidRDefault="00CF2175" w:rsidP="00CF2175">
      <w:pPr>
        <w:widowControl w:val="0"/>
        <w:tabs>
          <w:tab w:val="left" w:pos="936"/>
          <w:tab w:val="left" w:pos="1314"/>
          <w:tab w:val="left" w:pos="1692"/>
          <w:tab w:val="left" w:pos="2070"/>
        </w:tabs>
        <w:rPr>
          <w:sz w:val="22"/>
        </w:rPr>
      </w:pPr>
    </w:p>
    <w:p w14:paraId="72D4B5F2" w14:textId="5B22A756" w:rsidR="00440323" w:rsidRPr="003B32CA" w:rsidRDefault="00CF2175" w:rsidP="00440323">
      <w:pPr>
        <w:jc w:val="center"/>
        <w:rPr>
          <w:rFonts w:ascii="Helvetica" w:hAnsi="Helvetica"/>
          <w:b/>
          <w:sz w:val="22"/>
          <w:szCs w:val="22"/>
        </w:rPr>
      </w:pPr>
      <w:r>
        <w:rPr>
          <w:sz w:val="22"/>
          <w:u w:val="single"/>
        </w:rPr>
        <w:br w:type="page"/>
      </w:r>
    </w:p>
    <w:p w14:paraId="27DE4196" w14:textId="5D4A0EFB" w:rsidR="00CF2175" w:rsidRPr="003B32CA" w:rsidRDefault="00CF2175" w:rsidP="00CF2175">
      <w:pPr>
        <w:jc w:val="center"/>
        <w:rPr>
          <w:rFonts w:ascii="Helvetica" w:hAnsi="Helvetica"/>
          <w:b/>
          <w:sz w:val="22"/>
          <w:szCs w:val="22"/>
        </w:rPr>
      </w:pPr>
      <w:r w:rsidRPr="003B32CA">
        <w:rPr>
          <w:rFonts w:ascii="Helvetica" w:hAnsi="Helvetica"/>
          <w:b/>
          <w:sz w:val="22"/>
          <w:szCs w:val="22"/>
        </w:rPr>
        <w:t>130 CMR:  DIVISION OF MEDICAL ASSISTANCE</w:t>
      </w:r>
    </w:p>
    <w:p w14:paraId="1486E1AD"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35040" behindDoc="0" locked="0" layoutInCell="1" allowOverlap="1" wp14:anchorId="6EC68E69" wp14:editId="525249E1">
                <wp:simplePos x="0" y="0"/>
                <wp:positionH relativeFrom="column">
                  <wp:posOffset>-275590</wp:posOffset>
                </wp:positionH>
                <wp:positionV relativeFrom="paragraph">
                  <wp:posOffset>79374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B4D9E" id="Straight Arrow Connector 48" o:spid="_x0000_s1026" type="#_x0000_t32" style="position:absolute;margin-left:-21.7pt;margin-top:6.25pt;width:492pt;height:0;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n1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F3eLKY9SXXwV1JfEQDF9MTiIfGlkPBO5MpiVMrB/&#10;iim3BfUlIVf1+GidKwvhvBgb+fFmflMSIjqrszOHReq2a0diD3mlylc4sudtGOHO6wLWG9Cfz/cE&#10;1p3uXNz5szRZjZOuW9THZ7pIxjMvXZ73My/VW7tkv/5Fq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3fEn10gEAAI0D&#10;AAAOAAAAAAAAAAAAAAAAAC4CAABkcnMvZTJvRG9jLnhtbFBLAQItABQABgAIAAAAIQDSjDlP3QAA&#10;AAkBAAAPAAAAAAAAAAAAAAAAACwEAABkcnMvZG93bnJldi54bWxQSwUGAAAAAAQABADzAAAANgUA&#10;AAAA&#10;"/>
            </w:pict>
          </mc:Fallback>
        </mc:AlternateContent>
      </w:r>
    </w:p>
    <w:p w14:paraId="158C5695"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43E25677" w14:textId="77777777" w:rsidR="00CF2175" w:rsidRPr="003B32CA" w:rsidRDefault="00CF2175" w:rsidP="00CF2175">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Pr>
          <w:rFonts w:ascii="Helvetica" w:hAnsi="Helvetica"/>
          <w:b/>
          <w:sz w:val="22"/>
          <w:szCs w:val="22"/>
        </w:rPr>
        <w:t>6</w:t>
      </w:r>
      <w:r w:rsidRPr="003B32CA">
        <w:rPr>
          <w:rFonts w:ascii="Helvetica" w:hAnsi="Helvetica"/>
          <w:b/>
          <w:sz w:val="22"/>
          <w:szCs w:val="22"/>
        </w:rPr>
        <w:t>/</w:t>
      </w:r>
      <w:r>
        <w:rPr>
          <w:rFonts w:ascii="Helvetica" w:hAnsi="Helvetica"/>
          <w:b/>
          <w:sz w:val="22"/>
          <w:szCs w:val="22"/>
        </w:rPr>
        <w:t>23</w:t>
      </w:r>
    </w:p>
    <w:p w14:paraId="5D1BDFE1"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168B3FA" w14:textId="77777777" w:rsidR="00CF2175" w:rsidRDefault="00CF2175" w:rsidP="00CF2175">
      <w:pPr>
        <w:jc w:val="center"/>
        <w:rPr>
          <w:rFonts w:ascii="Helvetica" w:hAnsi="Helvetica"/>
          <w:b/>
          <w:sz w:val="22"/>
        </w:rPr>
      </w:pPr>
      <w:r>
        <w:rPr>
          <w:rFonts w:ascii="Helvetica" w:hAnsi="Helvetica"/>
          <w:b/>
          <w:sz w:val="22"/>
        </w:rPr>
        <w:t>FINANCIAL ELIGIBILITY</w:t>
      </w:r>
    </w:p>
    <w:p w14:paraId="78CD2D3F"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24DC943" w14:textId="77777777" w:rsidR="00CF2175" w:rsidRPr="003B32CA" w:rsidRDefault="00CF2175" w:rsidP="00CF2175">
      <w:pPr>
        <w:rPr>
          <w:rFonts w:ascii="Helvetica" w:hAnsi="Helvetica"/>
          <w:b/>
          <w:sz w:val="22"/>
          <w:szCs w:val="22"/>
        </w:rPr>
      </w:pPr>
      <w:r>
        <w:rPr>
          <w:rFonts w:ascii="Helvetica" w:hAnsi="Helvetica"/>
          <w:b/>
          <w:sz w:val="22"/>
          <w:szCs w:val="22"/>
        </w:rPr>
        <w:t>Page 520.019 (1 of 8)</w:t>
      </w:r>
    </w:p>
    <w:p w14:paraId="2D2F0774"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6064" behindDoc="0" locked="0" layoutInCell="1" allowOverlap="1" wp14:anchorId="39E920C5" wp14:editId="3F9AEBD9">
                <wp:simplePos x="0" y="0"/>
                <wp:positionH relativeFrom="column">
                  <wp:posOffset>-271780</wp:posOffset>
                </wp:positionH>
                <wp:positionV relativeFrom="paragraph">
                  <wp:posOffset>126364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AD4B4" id="Straight Arrow Connector 47" o:spid="_x0000_s1026" type="#_x0000_t32" style="position:absolute;margin-left:-21.4pt;margin-top:9.95pt;width:492pt;height:0;z-index:251736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zg0gEAAI0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NUKzg0gEAAI0D&#10;AAAOAAAAAAAAAAAAAAAAAC4CAABkcnMvZTJvRG9jLnhtbFBLAQItABQABgAIAAAAIQCn5key3QAA&#10;AAkBAAAPAAAAAAAAAAAAAAAAACwEAABkcnMvZG93bnJldi54bWxQSwUGAAAAAAQABADzAAAANgUA&#10;AAAA&#10;"/>
            </w:pict>
          </mc:Fallback>
        </mc:AlternateContent>
      </w:r>
    </w:p>
    <w:p w14:paraId="003DA737" w14:textId="77777777" w:rsidR="00CF2175" w:rsidRPr="0083462A" w:rsidRDefault="00CF2175" w:rsidP="00CF2175">
      <w:pPr>
        <w:rPr>
          <w:sz w:val="22"/>
          <w:szCs w:val="22"/>
        </w:rPr>
      </w:pPr>
    </w:p>
    <w:p w14:paraId="584493B0" w14:textId="77777777" w:rsidR="00CF2175" w:rsidRDefault="00CF2175" w:rsidP="00CF2175">
      <w:pPr>
        <w:widowControl w:val="0"/>
        <w:tabs>
          <w:tab w:val="left" w:pos="936"/>
          <w:tab w:val="left" w:pos="1310"/>
          <w:tab w:val="left" w:pos="1699"/>
          <w:tab w:val="left" w:pos="2030"/>
        </w:tabs>
        <w:ind w:left="935"/>
        <w:rPr>
          <w:sz w:val="22"/>
        </w:rPr>
      </w:pPr>
      <w:r>
        <w:rPr>
          <w:sz w:val="22"/>
        </w:rPr>
        <w:t xml:space="preserve">(C)  </w:t>
      </w:r>
      <w:r>
        <w:rPr>
          <w:sz w:val="22"/>
          <w:u w:val="single"/>
        </w:rPr>
        <w:t>Disqualifying Transfer of Resources</w:t>
      </w:r>
      <w:r>
        <w:rPr>
          <w:sz w:val="22"/>
        </w:rPr>
        <w:t>. The MassHealth agency considers any transfer during the appropriate look-back period by the nursing</w:t>
      </w:r>
      <w:r>
        <w:rPr>
          <w:sz w:val="22"/>
        </w:rPr>
        <w:noBreakHyphen/>
        <w:t>facility resident or spouse of a resource, or interest in a resource, owned by or available to the nursing-facility resident or the spouse (including the home or former home of the nursing-facility resident or the spouse) for less than fair</w:t>
      </w:r>
      <w:r>
        <w:rPr>
          <w:sz w:val="22"/>
        </w:rPr>
        <w:noBreakHyphen/>
        <w:t xml:space="preserve">market value a disqualifying transfer unless listed as permissible in 130 CMR 520.019(D), identified in 130 CMR 520.019(F), or exempted in 130 CMR 520.019(J). The MassHealth agency may consider as a disqualifying transfer any action taken to avoid receiving a resource to which the nursing-facility resident or spouse is or would be entitled if such action had not been taken. Action taken to avoid receiving a resource may include, but is not limited to, waiving the right to receive a resource, not accepting a resource, agreeing to the diversion of a resource, or failure to take legal action to obtain a resource. In determining </w:t>
      </w:r>
      <w:proofErr w:type="gramStart"/>
      <w:r>
        <w:rPr>
          <w:sz w:val="22"/>
        </w:rPr>
        <w:t>whether or not</w:t>
      </w:r>
      <w:proofErr w:type="gramEnd"/>
      <w:r>
        <w:rPr>
          <w:sz w:val="22"/>
        </w:rPr>
        <w:t xml:space="preserve"> failure to take legal action to receive a resource is reasonably considered a transfer by the individual, the MassHealth agency considers the specific circumstances involved. A disqualifying transfer may include any action taken that would result in making a formerly available asset no longer available.</w:t>
      </w:r>
    </w:p>
    <w:p w14:paraId="59E2B54F" w14:textId="77777777" w:rsidR="00CF2175" w:rsidRDefault="00CF2175" w:rsidP="00CF2175">
      <w:pPr>
        <w:widowControl w:val="0"/>
        <w:tabs>
          <w:tab w:val="left" w:pos="936"/>
          <w:tab w:val="left" w:pos="1310"/>
          <w:tab w:val="left" w:pos="1699"/>
          <w:tab w:val="left" w:pos="2030"/>
        </w:tabs>
        <w:ind w:left="935"/>
        <w:rPr>
          <w:sz w:val="22"/>
        </w:rPr>
      </w:pPr>
    </w:p>
    <w:p w14:paraId="69526EEA" w14:textId="77777777" w:rsidR="00CF2175" w:rsidRPr="00DC0AC4" w:rsidRDefault="00CF2175" w:rsidP="00CF2175">
      <w:pPr>
        <w:widowControl w:val="0"/>
        <w:tabs>
          <w:tab w:val="left" w:pos="936"/>
          <w:tab w:val="left" w:pos="1310"/>
          <w:tab w:val="left" w:pos="1699"/>
          <w:tab w:val="left" w:pos="2030"/>
        </w:tabs>
        <w:ind w:left="936"/>
        <w:rPr>
          <w:sz w:val="22"/>
        </w:rPr>
      </w:pPr>
      <w:r>
        <w:rPr>
          <w:sz w:val="22"/>
        </w:rPr>
        <w:t xml:space="preserve">(D)  </w:t>
      </w:r>
      <w:r>
        <w:rPr>
          <w:sz w:val="22"/>
          <w:u w:val="single"/>
        </w:rPr>
        <w:t>Permissible Transfers</w:t>
      </w:r>
      <w:r>
        <w:rPr>
          <w:sz w:val="22"/>
        </w:rPr>
        <w:t xml:space="preserve">. The MassHealth agency considers the following transfers permissible. Transfers of resources made for the sole benefit of </w:t>
      </w:r>
      <w:r w:rsidRPr="00DC0AC4">
        <w:rPr>
          <w:sz w:val="22"/>
        </w:rPr>
        <w:t>a particular person must be in accordance with federal law.</w:t>
      </w:r>
    </w:p>
    <w:p w14:paraId="1A75F155" w14:textId="77777777" w:rsidR="00CF2175" w:rsidRPr="00DC0AC4" w:rsidRDefault="00CF2175" w:rsidP="00CF2175">
      <w:pPr>
        <w:widowControl w:val="0"/>
        <w:tabs>
          <w:tab w:val="left" w:pos="936"/>
          <w:tab w:val="left" w:pos="1310"/>
          <w:tab w:val="left" w:pos="1699"/>
          <w:tab w:val="left" w:pos="2030"/>
        </w:tabs>
        <w:ind w:left="1310"/>
        <w:rPr>
          <w:sz w:val="22"/>
        </w:rPr>
      </w:pPr>
      <w:r w:rsidRPr="00DC0AC4">
        <w:rPr>
          <w:sz w:val="22"/>
        </w:rPr>
        <w:t>(1)  The resources were transferred to the spouse of the nursing-facility resident or to another for the sole benefit of the spouse. A nursing</w:t>
      </w:r>
      <w:r>
        <w:rPr>
          <w:sz w:val="22"/>
        </w:rPr>
        <w:t xml:space="preserve"> </w:t>
      </w:r>
      <w:r w:rsidRPr="00DC0AC4">
        <w:rPr>
          <w:sz w:val="22"/>
        </w:rPr>
        <w:t>facility resident who has been determined eligible for MassHealth agency payment of nursing</w:t>
      </w:r>
      <w:r>
        <w:rPr>
          <w:sz w:val="22"/>
        </w:rPr>
        <w:t xml:space="preserve"> </w:t>
      </w:r>
      <w:r w:rsidRPr="00DC0AC4">
        <w:rPr>
          <w:sz w:val="22"/>
        </w:rPr>
        <w:t>facility services and who has received an asset assessment from the MassHealth agency must make any necessary transfers within 90 days after the date of the notice of approval for MassHealth in accordance with 130 CMR 520.016(B)(3).</w:t>
      </w:r>
    </w:p>
    <w:p w14:paraId="39B81A0E" w14:textId="77777777" w:rsidR="00CF2175" w:rsidRPr="00DC0AC4" w:rsidRDefault="00CF2175" w:rsidP="00CF2175">
      <w:pPr>
        <w:widowControl w:val="0"/>
        <w:tabs>
          <w:tab w:val="left" w:pos="936"/>
          <w:tab w:val="left" w:pos="1310"/>
          <w:tab w:val="left" w:pos="1699"/>
          <w:tab w:val="left" w:pos="2030"/>
        </w:tabs>
        <w:ind w:left="1310"/>
        <w:rPr>
          <w:sz w:val="22"/>
        </w:rPr>
      </w:pPr>
      <w:r w:rsidRPr="00DC0AC4">
        <w:rPr>
          <w:sz w:val="22"/>
        </w:rPr>
        <w:t>(2)  The resources were transferred from the spouse of the nursing</w:t>
      </w:r>
      <w:r>
        <w:rPr>
          <w:sz w:val="22"/>
        </w:rPr>
        <w:t xml:space="preserve"> </w:t>
      </w:r>
      <w:r w:rsidRPr="00DC0AC4">
        <w:rPr>
          <w:sz w:val="22"/>
        </w:rPr>
        <w:t>facility resident to another for the sole benefit of the spouse.</w:t>
      </w:r>
    </w:p>
    <w:p w14:paraId="66CC4C32" w14:textId="77777777" w:rsidR="00CF2175" w:rsidRDefault="00CF2175" w:rsidP="00CF2175">
      <w:pPr>
        <w:widowControl w:val="0"/>
        <w:tabs>
          <w:tab w:val="left" w:pos="936"/>
          <w:tab w:val="left" w:pos="1310"/>
          <w:tab w:val="left" w:pos="1699"/>
          <w:tab w:val="left" w:pos="2030"/>
        </w:tabs>
        <w:ind w:left="1310"/>
        <w:rPr>
          <w:sz w:val="22"/>
        </w:rPr>
      </w:pPr>
      <w:r w:rsidRPr="00DC0AC4">
        <w:rPr>
          <w:sz w:val="22"/>
        </w:rPr>
        <w:t>(3)  The resources were transferred to the nursing</w:t>
      </w:r>
      <w:r>
        <w:rPr>
          <w:sz w:val="22"/>
        </w:rPr>
        <w:t xml:space="preserve"> </w:t>
      </w:r>
      <w:r w:rsidRPr="00DC0AC4">
        <w:rPr>
          <w:sz w:val="22"/>
        </w:rPr>
        <w:t xml:space="preserve">facility resident's permanently and totally disabled or blind child or to a trust, a pooled trust, or a special-needs trust created for the sole benefit of such child. </w:t>
      </w:r>
    </w:p>
    <w:p w14:paraId="46941472" w14:textId="77777777" w:rsidR="00CF2175" w:rsidRDefault="00CF2175" w:rsidP="00CF2175">
      <w:pPr>
        <w:widowControl w:val="0"/>
        <w:tabs>
          <w:tab w:val="left" w:pos="936"/>
          <w:tab w:val="left" w:pos="1310"/>
          <w:tab w:val="left" w:pos="1699"/>
          <w:tab w:val="left" w:pos="2030"/>
        </w:tabs>
        <w:ind w:left="1310"/>
        <w:rPr>
          <w:sz w:val="22"/>
        </w:rPr>
      </w:pPr>
      <w:r>
        <w:rPr>
          <w:sz w:val="22"/>
        </w:rPr>
        <w:t xml:space="preserve">(4)  The resources were transferred to a trust, a special-needs trust, or a pooled trust created for the sole benefit of a permanently and totally disabled person who was younger than 65 years old at the time the trust was created or funded. </w:t>
      </w:r>
    </w:p>
    <w:p w14:paraId="39E1440A" w14:textId="77777777" w:rsidR="00CF2175" w:rsidRDefault="00CF2175" w:rsidP="00CF2175">
      <w:pPr>
        <w:widowControl w:val="0"/>
        <w:tabs>
          <w:tab w:val="left" w:pos="936"/>
          <w:tab w:val="left" w:pos="1310"/>
          <w:tab w:val="left" w:pos="1699"/>
          <w:tab w:val="left" w:pos="2030"/>
        </w:tabs>
        <w:ind w:left="1310"/>
        <w:rPr>
          <w:sz w:val="22"/>
        </w:rPr>
      </w:pPr>
      <w:r>
        <w:rPr>
          <w:sz w:val="22"/>
        </w:rPr>
        <w:t xml:space="preserve">(5)  </w:t>
      </w:r>
      <w:bookmarkStart w:id="3" w:name="_Hlk122612504"/>
      <w:r>
        <w:rPr>
          <w:sz w:val="22"/>
        </w:rPr>
        <w:t>Effective until</w:t>
      </w:r>
      <w:r w:rsidRPr="00F74734">
        <w:rPr>
          <w:sz w:val="22"/>
        </w:rPr>
        <w:t xml:space="preserve"> sixty days </w:t>
      </w:r>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w:t>
      </w:r>
      <w:r w:rsidRPr="00F74734">
        <w:rPr>
          <w:sz w:val="22"/>
        </w:rPr>
        <w:t xml:space="preserve">, </w:t>
      </w:r>
      <w:r>
        <w:rPr>
          <w:sz w:val="22"/>
        </w:rPr>
        <w:t xml:space="preserve">the resources were transferred to a pooled trust created for the sole benefit of the permanently and totally disabled nursing-facility resident. </w:t>
      </w:r>
      <w:r w:rsidRPr="00A70926">
        <w:rPr>
          <w:sz w:val="22"/>
        </w:rPr>
        <w:t xml:space="preserve">Effective sixty days </w:t>
      </w:r>
      <w:r w:rsidRPr="00FF2690">
        <w:rPr>
          <w:sz w:val="22"/>
        </w:rPr>
        <w:t>after the end of the</w:t>
      </w:r>
      <w:r>
        <w:rPr>
          <w:sz w:val="22"/>
        </w:rPr>
        <w:t xml:space="preserve"> maintenance of effort and continuous eligibility provisions of Section 6008 of the </w:t>
      </w:r>
      <w:r w:rsidRPr="00AD1C6B">
        <w:rPr>
          <w:sz w:val="22"/>
        </w:rPr>
        <w:t>Families First Coronavirus Response Act</w:t>
      </w:r>
      <w:r>
        <w:rPr>
          <w:sz w:val="22"/>
        </w:rPr>
        <w:t xml:space="preserve"> (Public Law No. 116-127)</w:t>
      </w:r>
      <w:r w:rsidRPr="00A70926">
        <w:rPr>
          <w:sz w:val="22"/>
        </w:rPr>
        <w:t>,</w:t>
      </w:r>
      <w:r>
        <w:rPr>
          <w:sz w:val="22"/>
        </w:rPr>
        <w:t xml:space="preserve"> this transfer is no longer permissible.</w:t>
      </w:r>
    </w:p>
    <w:bookmarkEnd w:id="3"/>
    <w:p w14:paraId="11FBF952" w14:textId="77777777" w:rsidR="00CF2175" w:rsidRPr="003B32CA" w:rsidRDefault="00CF2175" w:rsidP="00CF2175">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0A986F6C"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37088" behindDoc="0" locked="0" layoutInCell="1" allowOverlap="1" wp14:anchorId="3556CC35" wp14:editId="5DE4E811">
                <wp:simplePos x="0" y="0"/>
                <wp:positionH relativeFrom="column">
                  <wp:posOffset>-275590</wp:posOffset>
                </wp:positionH>
                <wp:positionV relativeFrom="paragraph">
                  <wp:posOffset>79374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012B9" id="Straight Arrow Connector 46" o:spid="_x0000_s1026" type="#_x0000_t32" style="position:absolute;margin-left:-21.7pt;margin-top:6.25pt;width:492pt;height:0;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Oq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hK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FMFOq0gEAAI0D&#10;AAAOAAAAAAAAAAAAAAAAAC4CAABkcnMvZTJvRG9jLnhtbFBLAQItABQABgAIAAAAIQDSjDlP3QAA&#10;AAkBAAAPAAAAAAAAAAAAAAAAACwEAABkcnMvZG93bnJldi54bWxQSwUGAAAAAAQABADzAAAANgUA&#10;AAAA&#10;"/>
            </w:pict>
          </mc:Fallback>
        </mc:AlternateContent>
      </w:r>
    </w:p>
    <w:p w14:paraId="14F7314B"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6A2AC06B" w14:textId="77777777" w:rsidR="00CF2175" w:rsidRPr="003B32CA" w:rsidRDefault="00CF2175" w:rsidP="00CF2175">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Pr>
          <w:rFonts w:ascii="Helvetica" w:hAnsi="Helvetica"/>
          <w:b/>
          <w:sz w:val="22"/>
          <w:szCs w:val="22"/>
        </w:rPr>
        <w:t>6</w:t>
      </w:r>
      <w:r w:rsidRPr="003B32CA">
        <w:rPr>
          <w:rFonts w:ascii="Helvetica" w:hAnsi="Helvetica"/>
          <w:b/>
          <w:sz w:val="22"/>
          <w:szCs w:val="22"/>
        </w:rPr>
        <w:t>/</w:t>
      </w:r>
      <w:r>
        <w:rPr>
          <w:rFonts w:ascii="Helvetica" w:hAnsi="Helvetica"/>
          <w:b/>
          <w:sz w:val="22"/>
          <w:szCs w:val="22"/>
        </w:rPr>
        <w:t>23</w:t>
      </w:r>
    </w:p>
    <w:p w14:paraId="0524AF3A"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B62FC30" w14:textId="77777777" w:rsidR="00CF2175" w:rsidRDefault="00CF2175" w:rsidP="00CF2175">
      <w:pPr>
        <w:jc w:val="center"/>
        <w:rPr>
          <w:rFonts w:ascii="Helvetica" w:hAnsi="Helvetica"/>
          <w:b/>
          <w:sz w:val="22"/>
        </w:rPr>
      </w:pPr>
      <w:r>
        <w:rPr>
          <w:rFonts w:ascii="Helvetica" w:hAnsi="Helvetica"/>
          <w:b/>
          <w:sz w:val="22"/>
        </w:rPr>
        <w:t>FINANCIAL ELIGIBILITY</w:t>
      </w:r>
    </w:p>
    <w:p w14:paraId="4F71BF83"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9CCEB04" w14:textId="77777777" w:rsidR="00CF2175" w:rsidRPr="003B32CA" w:rsidRDefault="00CF2175" w:rsidP="00CF2175">
      <w:pPr>
        <w:rPr>
          <w:rFonts w:ascii="Helvetica" w:hAnsi="Helvetica"/>
          <w:b/>
          <w:sz w:val="22"/>
          <w:szCs w:val="22"/>
        </w:rPr>
      </w:pPr>
      <w:r>
        <w:rPr>
          <w:rFonts w:ascii="Helvetica" w:hAnsi="Helvetica"/>
          <w:b/>
          <w:sz w:val="22"/>
          <w:szCs w:val="22"/>
        </w:rPr>
        <w:t>Page 520.019 (2 of 8)</w:t>
      </w:r>
    </w:p>
    <w:p w14:paraId="2560DDE8"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8112" behindDoc="0" locked="0" layoutInCell="1" allowOverlap="1" wp14:anchorId="31A7B3B6" wp14:editId="09A6174D">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89DE6" id="Straight Arrow Connector 45" o:spid="_x0000_s1026" type="#_x0000_t32" style="position:absolute;margin-left:-21.4pt;margin-top:9.95pt;width:492pt;height:0;z-index:251738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1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GU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dkFJ10gEAAI0D&#10;AAAOAAAAAAAAAAAAAAAAAC4CAABkcnMvZTJvRG9jLnhtbFBLAQItABQABgAIAAAAIQCn5key3QAA&#10;AAkBAAAPAAAAAAAAAAAAAAAAACwEAABkcnMvZG93bnJldi54bWxQSwUGAAAAAAQABADzAAAANgUA&#10;AAAA&#10;"/>
            </w:pict>
          </mc:Fallback>
        </mc:AlternateContent>
      </w:r>
    </w:p>
    <w:p w14:paraId="102DE4E0" w14:textId="77777777" w:rsidR="00CF2175" w:rsidRPr="0083462A" w:rsidRDefault="00CF2175" w:rsidP="00CF2175">
      <w:pPr>
        <w:rPr>
          <w:sz w:val="22"/>
          <w:szCs w:val="22"/>
        </w:rPr>
      </w:pPr>
    </w:p>
    <w:p w14:paraId="4BB225D0" w14:textId="77777777" w:rsidR="00CF2175" w:rsidRDefault="00CF2175" w:rsidP="00CF2175">
      <w:pPr>
        <w:widowControl w:val="0"/>
        <w:tabs>
          <w:tab w:val="left" w:pos="936"/>
          <w:tab w:val="left" w:pos="1310"/>
          <w:tab w:val="left" w:pos="1699"/>
          <w:tab w:val="left" w:pos="2030"/>
        </w:tabs>
        <w:ind w:left="1310"/>
        <w:rPr>
          <w:sz w:val="22"/>
        </w:rPr>
      </w:pPr>
      <w:r>
        <w:rPr>
          <w:sz w:val="22"/>
        </w:rPr>
        <w:t>(6)  The nursing facility resident transferred the home he or she used as the principal residence at the time of transfer and the title to the home to one of the following persons:</w:t>
      </w:r>
    </w:p>
    <w:p w14:paraId="0C617E7F" w14:textId="77777777" w:rsidR="00CF2175" w:rsidRDefault="00CF2175" w:rsidP="00CF2175">
      <w:pPr>
        <w:widowControl w:val="0"/>
        <w:tabs>
          <w:tab w:val="left" w:pos="936"/>
          <w:tab w:val="left" w:pos="1310"/>
          <w:tab w:val="left" w:pos="1699"/>
          <w:tab w:val="left" w:pos="2030"/>
        </w:tabs>
        <w:ind w:left="1699"/>
        <w:rPr>
          <w:sz w:val="22"/>
        </w:rPr>
      </w:pPr>
      <w:r>
        <w:rPr>
          <w:sz w:val="22"/>
        </w:rPr>
        <w:t xml:space="preserve">(a)  the </w:t>
      </w:r>
      <w:proofErr w:type="gramStart"/>
      <w:r>
        <w:rPr>
          <w:sz w:val="22"/>
        </w:rPr>
        <w:t>spouse;</w:t>
      </w:r>
      <w:proofErr w:type="gramEnd"/>
    </w:p>
    <w:p w14:paraId="133E9120" w14:textId="77777777" w:rsidR="00CF2175" w:rsidRDefault="00CF2175" w:rsidP="00CF2175">
      <w:pPr>
        <w:widowControl w:val="0"/>
        <w:tabs>
          <w:tab w:val="left" w:pos="936"/>
          <w:tab w:val="left" w:pos="1310"/>
          <w:tab w:val="left" w:pos="1699"/>
          <w:tab w:val="left" w:pos="2030"/>
        </w:tabs>
        <w:ind w:left="1699"/>
      </w:pPr>
      <w:r>
        <w:rPr>
          <w:sz w:val="22"/>
        </w:rPr>
        <w:t xml:space="preserve">(b)  the nursing facility resident’s child who is younger than 21 years old, or who is blind or permanently and totally </w:t>
      </w:r>
      <w:proofErr w:type="gramStart"/>
      <w:r>
        <w:rPr>
          <w:sz w:val="22"/>
        </w:rPr>
        <w:t>disabled;</w:t>
      </w:r>
      <w:proofErr w:type="gramEnd"/>
    </w:p>
    <w:p w14:paraId="62523AEF" w14:textId="77777777" w:rsidR="00CF2175" w:rsidRDefault="00CF2175" w:rsidP="00CF2175">
      <w:pPr>
        <w:widowControl w:val="0"/>
        <w:tabs>
          <w:tab w:val="left" w:pos="936"/>
          <w:tab w:val="left" w:pos="1310"/>
          <w:tab w:val="left" w:pos="1699"/>
          <w:tab w:val="left" w:pos="2030"/>
        </w:tabs>
        <w:ind w:left="1699"/>
        <w:rPr>
          <w:sz w:val="22"/>
        </w:rPr>
      </w:pPr>
      <w:r>
        <w:rPr>
          <w:sz w:val="22"/>
        </w:rPr>
        <w:t>(c)  the nursing facility resident’s sibling who has a legal interest in the nursing facility resident's home and was living in the nursing facility resident’s home for at least one year immediately before the date of the nursing-facility resident’s admission to the nursing facility; or</w:t>
      </w:r>
    </w:p>
    <w:p w14:paraId="07ABD984" w14:textId="77777777" w:rsidR="00CF2175" w:rsidRDefault="00CF2175" w:rsidP="00CF2175">
      <w:pPr>
        <w:widowControl w:val="0"/>
        <w:tabs>
          <w:tab w:val="left" w:pos="936"/>
          <w:tab w:val="left" w:pos="1310"/>
          <w:tab w:val="left" w:pos="1699"/>
          <w:tab w:val="left" w:pos="2030"/>
        </w:tabs>
        <w:ind w:left="1699"/>
      </w:pPr>
      <w:r>
        <w:rPr>
          <w:sz w:val="22"/>
        </w:rPr>
        <w:t>(d)  the nursing facility resident’s child (other than the child described in 130 CMR 520.019(D)(6)(b)) who was living in the nursing facility resident’s home for at least two years immediately before the date of the nursing facility resident’s admission to the institution, and who, as determined by the MassHealth agency, provided care to the nursing facility resident that permitted him or her to live at home rather than in a nursing facility.</w:t>
      </w:r>
    </w:p>
    <w:p w14:paraId="66C445A3" w14:textId="77777777" w:rsidR="00CF2175" w:rsidRDefault="00CF2175" w:rsidP="00CF2175">
      <w:pPr>
        <w:widowControl w:val="0"/>
        <w:tabs>
          <w:tab w:val="left" w:pos="936"/>
          <w:tab w:val="left" w:pos="1310"/>
          <w:tab w:val="left" w:pos="1699"/>
          <w:tab w:val="left" w:pos="2030"/>
        </w:tabs>
        <w:ind w:left="1310"/>
        <w:rPr>
          <w:sz w:val="22"/>
        </w:rPr>
      </w:pPr>
      <w:r>
        <w:rPr>
          <w:sz w:val="22"/>
        </w:rPr>
        <w:t>(7)  The resources were transferred to a separately identifiable burial account, burial arrangement, or a similar device for the nursing facility resident or the spouse in accordance with 130 CMR 520.008(F).</w:t>
      </w:r>
    </w:p>
    <w:p w14:paraId="12B07042" w14:textId="77777777" w:rsidR="00CF2175" w:rsidRPr="0083462A" w:rsidRDefault="00CF2175" w:rsidP="00CF2175">
      <w:pPr>
        <w:rPr>
          <w:sz w:val="22"/>
          <w:szCs w:val="22"/>
        </w:rPr>
      </w:pPr>
    </w:p>
    <w:p w14:paraId="15CF58FD" w14:textId="77777777" w:rsidR="00CF2175" w:rsidRDefault="00CF2175" w:rsidP="00CF2175">
      <w:pPr>
        <w:widowControl w:val="0"/>
        <w:tabs>
          <w:tab w:val="left" w:pos="936"/>
          <w:tab w:val="left" w:pos="1310"/>
          <w:tab w:val="left" w:pos="1699"/>
          <w:tab w:val="left" w:pos="2030"/>
        </w:tabs>
        <w:ind w:left="936"/>
        <w:rPr>
          <w:sz w:val="22"/>
        </w:rPr>
      </w:pPr>
      <w:r>
        <w:rPr>
          <w:sz w:val="22"/>
        </w:rPr>
        <w:t xml:space="preserve">(E)  </w:t>
      </w:r>
      <w:r>
        <w:rPr>
          <w:sz w:val="22"/>
          <w:u w:val="single"/>
        </w:rPr>
        <w:t>Repayment of Financial and Medical Assistance</w:t>
      </w:r>
      <w:r>
        <w:rPr>
          <w:sz w:val="22"/>
        </w:rPr>
        <w:t>. A nursing-facility resident who has received or will be receiving payment from a third party as a result of an accident, injury, or other loss must first repay the MassHealth agency for medical assistance under M.G.L. c. 118E, § 22 and 42 U.S.C. 1396a(a)(25)(A) and (B) and the Department of Transitional Assistance for financial assistance under M.G.L. c. 18, § 5G, before the MassHealth agency will consider whether a transfer of such third-party payments may be permissible under 130 CMR 520.019(D), (F), or (J).</w:t>
      </w:r>
    </w:p>
    <w:p w14:paraId="4E95A08D" w14:textId="77777777" w:rsidR="00CF2175" w:rsidRDefault="00CF2175" w:rsidP="00CF2175">
      <w:pPr>
        <w:widowControl w:val="0"/>
        <w:tabs>
          <w:tab w:val="left" w:pos="936"/>
          <w:tab w:val="left" w:pos="1310"/>
          <w:tab w:val="left" w:pos="1699"/>
          <w:tab w:val="left" w:pos="2030"/>
        </w:tabs>
        <w:ind w:left="921"/>
        <w:rPr>
          <w:sz w:val="22"/>
        </w:rPr>
      </w:pPr>
    </w:p>
    <w:p w14:paraId="5D3D155E" w14:textId="77777777" w:rsidR="00CF2175" w:rsidRDefault="00CF2175" w:rsidP="00CF2175">
      <w:pPr>
        <w:widowControl w:val="0"/>
        <w:tabs>
          <w:tab w:val="left" w:pos="936"/>
          <w:tab w:val="left" w:pos="1310"/>
          <w:tab w:val="left" w:pos="1699"/>
          <w:tab w:val="left" w:pos="2030"/>
        </w:tabs>
        <w:ind w:left="936"/>
      </w:pPr>
      <w:r>
        <w:rPr>
          <w:sz w:val="22"/>
        </w:rPr>
        <w:t xml:space="preserve">(F)  </w:t>
      </w:r>
      <w:r>
        <w:rPr>
          <w:sz w:val="22"/>
          <w:u w:val="single"/>
        </w:rPr>
        <w:t>Determination of Intent</w:t>
      </w:r>
      <w:r>
        <w:rPr>
          <w:sz w:val="22"/>
        </w:rPr>
        <w:t>. In addition to the permissible transfers described in 130 CMR 520.019(D), the MassHealth agency will not impose a period of ineligibility for transferring resources at less than fair-market value if the nursing-facility resident or the spouse demonstrates to the MassHealth agency’s satisfaction that</w:t>
      </w:r>
    </w:p>
    <w:p w14:paraId="0B699051" w14:textId="77777777" w:rsidR="00CF2175" w:rsidRDefault="00CF2175" w:rsidP="00CF2175">
      <w:pPr>
        <w:widowControl w:val="0"/>
        <w:tabs>
          <w:tab w:val="left" w:pos="936"/>
          <w:tab w:val="left" w:pos="1310"/>
          <w:tab w:val="left" w:pos="1699"/>
          <w:tab w:val="left" w:pos="2030"/>
        </w:tabs>
        <w:ind w:left="1310"/>
        <w:rPr>
          <w:sz w:val="22"/>
        </w:rPr>
      </w:pPr>
      <w:r>
        <w:rPr>
          <w:sz w:val="22"/>
        </w:rPr>
        <w:t>(1)  the resources were transferred exclusively for a purpose other than to qualify for MassHealth; or</w:t>
      </w:r>
    </w:p>
    <w:p w14:paraId="6BD22CBE" w14:textId="77777777" w:rsidR="00CF2175" w:rsidRDefault="00CF2175" w:rsidP="00CF2175">
      <w:pPr>
        <w:widowControl w:val="0"/>
        <w:tabs>
          <w:tab w:val="left" w:pos="936"/>
          <w:tab w:val="left" w:pos="1310"/>
          <w:tab w:val="left" w:pos="1699"/>
          <w:tab w:val="left" w:pos="2030"/>
        </w:tabs>
        <w:ind w:left="1310"/>
        <w:rPr>
          <w:sz w:val="22"/>
        </w:rPr>
      </w:pPr>
      <w:r>
        <w:rPr>
          <w:sz w:val="22"/>
        </w:rPr>
        <w:t>(2)  the nursing-facility resident or spouse intended to dispose of the resource at either fair</w:t>
      </w:r>
      <w:r>
        <w:rPr>
          <w:sz w:val="22"/>
        </w:rPr>
        <w:noBreakHyphen/>
        <w:t>market value or for other valuable consideration. Valuable consideration is a tangible benefit equal to at least the fair</w:t>
      </w:r>
      <w:r>
        <w:rPr>
          <w:sz w:val="22"/>
        </w:rPr>
        <w:noBreakHyphen/>
        <w:t>market value of the transferred resource.</w:t>
      </w:r>
    </w:p>
    <w:p w14:paraId="790B7380" w14:textId="77777777" w:rsidR="00CF2175" w:rsidRDefault="00CF2175" w:rsidP="00CF2175">
      <w:pPr>
        <w:widowControl w:val="0"/>
        <w:tabs>
          <w:tab w:val="left" w:pos="936"/>
          <w:tab w:val="left" w:pos="1310"/>
          <w:tab w:val="left" w:pos="1699"/>
          <w:tab w:val="left" w:pos="2030"/>
        </w:tabs>
        <w:ind w:left="936"/>
        <w:rPr>
          <w:sz w:val="22"/>
        </w:rPr>
      </w:pPr>
    </w:p>
    <w:p w14:paraId="475AE6B7" w14:textId="17F651F0" w:rsidR="00440323" w:rsidRPr="003B32CA" w:rsidRDefault="00CF2175" w:rsidP="00440323">
      <w:pPr>
        <w:jc w:val="center"/>
        <w:rPr>
          <w:rFonts w:ascii="Helvetica" w:hAnsi="Helvetica"/>
          <w:b/>
          <w:sz w:val="22"/>
          <w:szCs w:val="22"/>
        </w:rPr>
      </w:pPr>
      <w:r>
        <w:rPr>
          <w:sz w:val="22"/>
        </w:rPr>
        <w:br w:type="page"/>
      </w:r>
    </w:p>
    <w:p w14:paraId="252206F8" w14:textId="5B7A7B90" w:rsidR="00CF2175" w:rsidRPr="003B32CA" w:rsidRDefault="00CF2175" w:rsidP="00CF2175">
      <w:pPr>
        <w:jc w:val="center"/>
        <w:rPr>
          <w:rFonts w:ascii="Helvetica" w:hAnsi="Helvetica"/>
          <w:b/>
          <w:sz w:val="22"/>
          <w:szCs w:val="22"/>
        </w:rPr>
      </w:pPr>
      <w:r w:rsidRPr="003B32CA">
        <w:rPr>
          <w:rFonts w:ascii="Helvetica" w:hAnsi="Helvetica"/>
          <w:b/>
          <w:sz w:val="22"/>
          <w:szCs w:val="22"/>
        </w:rPr>
        <w:t>130 CMR:  DIVISION OF MEDICAL ASSISTANCE</w:t>
      </w:r>
    </w:p>
    <w:p w14:paraId="25721097"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47328" behindDoc="0" locked="0" layoutInCell="1" allowOverlap="1" wp14:anchorId="18E721BB" wp14:editId="7605C731">
                <wp:simplePos x="0" y="0"/>
                <wp:positionH relativeFrom="column">
                  <wp:posOffset>-275590</wp:posOffset>
                </wp:positionH>
                <wp:positionV relativeFrom="paragraph">
                  <wp:posOffset>79374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3B547" id="Straight Arrow Connector 36" o:spid="_x0000_s1026" type="#_x0000_t32" style="position:absolute;margin-left:-21.7pt;margin-top:6.25pt;width:492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D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7dKWD0gEAAI0D&#10;AAAOAAAAAAAAAAAAAAAAAC4CAABkcnMvZTJvRG9jLnhtbFBLAQItABQABgAIAAAAIQDSjDlP3QAA&#10;AAkBAAAPAAAAAAAAAAAAAAAAACwEAABkcnMvZG93bnJldi54bWxQSwUGAAAAAAQABADzAAAANgUA&#10;AAAA&#10;"/>
            </w:pict>
          </mc:Fallback>
        </mc:AlternateContent>
      </w:r>
    </w:p>
    <w:p w14:paraId="23F3490C"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4746232E"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01/06/23</w:t>
      </w:r>
    </w:p>
    <w:p w14:paraId="68C08309"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C6FDC9E" w14:textId="77777777" w:rsidR="00CF2175" w:rsidRDefault="00CF2175" w:rsidP="00CF2175">
      <w:pPr>
        <w:jc w:val="center"/>
        <w:rPr>
          <w:rFonts w:ascii="Helvetica" w:hAnsi="Helvetica"/>
          <w:b/>
          <w:sz w:val="22"/>
        </w:rPr>
      </w:pPr>
      <w:r>
        <w:rPr>
          <w:rFonts w:ascii="Helvetica" w:hAnsi="Helvetica"/>
          <w:b/>
          <w:sz w:val="22"/>
        </w:rPr>
        <w:t>FINANCIAL ELIGIBILITY</w:t>
      </w:r>
    </w:p>
    <w:p w14:paraId="2A6F65E7"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EA513DB" w14:textId="77777777" w:rsidR="00CF2175" w:rsidRPr="003B32CA" w:rsidRDefault="00CF2175" w:rsidP="00CF2175">
      <w:pPr>
        <w:rPr>
          <w:rFonts w:ascii="Helvetica" w:hAnsi="Helvetica"/>
          <w:b/>
          <w:sz w:val="22"/>
          <w:szCs w:val="22"/>
        </w:rPr>
      </w:pPr>
      <w:r>
        <w:rPr>
          <w:rFonts w:ascii="Helvetica" w:hAnsi="Helvetica"/>
          <w:b/>
          <w:sz w:val="22"/>
          <w:szCs w:val="22"/>
        </w:rPr>
        <w:t>Page 520.019 (7 of 8)</w:t>
      </w:r>
    </w:p>
    <w:p w14:paraId="6DF7703A"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8352" behindDoc="0" locked="0" layoutInCell="1" allowOverlap="1" wp14:anchorId="56B78ED9" wp14:editId="5AEFF1F9">
                <wp:simplePos x="0" y="0"/>
                <wp:positionH relativeFrom="column">
                  <wp:posOffset>-271780</wp:posOffset>
                </wp:positionH>
                <wp:positionV relativeFrom="paragraph">
                  <wp:posOffset>126364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E0270" id="Straight Arrow Connector 35" o:spid="_x0000_s1026" type="#_x0000_t32" style="position:absolute;margin-left:-21.4pt;margin-top:9.95pt;width:492pt;height:0;z-index:251748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Rc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j1KRc0gEAAI0D&#10;AAAOAAAAAAAAAAAAAAAAAC4CAABkcnMvZTJvRG9jLnhtbFBLAQItABQABgAIAAAAIQCn5key3QAA&#10;AAkBAAAPAAAAAAAAAAAAAAAAACwEAABkcnMvZG93bnJldi54bWxQSwUGAAAAAAQABADzAAAANgUA&#10;AAAA&#10;"/>
            </w:pict>
          </mc:Fallback>
        </mc:AlternateContent>
      </w:r>
    </w:p>
    <w:p w14:paraId="48995FB3" w14:textId="77777777" w:rsidR="00CF2175" w:rsidRPr="0083462A" w:rsidRDefault="00CF2175" w:rsidP="00CF2175">
      <w:pPr>
        <w:rPr>
          <w:sz w:val="22"/>
          <w:szCs w:val="22"/>
        </w:rPr>
      </w:pPr>
    </w:p>
    <w:p w14:paraId="3EF92EF8" w14:textId="77777777" w:rsidR="00CF2175" w:rsidRDefault="00CF2175" w:rsidP="00CF2175">
      <w:pPr>
        <w:tabs>
          <w:tab w:val="left" w:pos="936"/>
          <w:tab w:val="left" w:pos="1296"/>
          <w:tab w:val="left" w:pos="1656"/>
          <w:tab w:val="left" w:pos="2016"/>
          <w:tab w:val="left" w:pos="2340"/>
        </w:tabs>
        <w:ind w:left="2074"/>
        <w:rPr>
          <w:sz w:val="22"/>
        </w:rPr>
      </w:pPr>
      <w:r>
        <w:rPr>
          <w:sz w:val="22"/>
        </w:rPr>
        <w:t>1.  The MassHealth agency uses the original application date if the nursing-facility resident provides proof within 60 days after the date of the notice of the period of ineligibility that the transfer has been fully or partially cured. In the case of a partial cure, the MassHealth agency recalculates the period of ineligibility based on the transferred amount remaining after deducting the cured portion, beginning with the date of transfer or, for cures of transfers occurring on or after February 8, 2006, the later of the date of transfer or the date on which the individual would have otherwise been eligible.</w:t>
      </w:r>
    </w:p>
    <w:p w14:paraId="788BAADE" w14:textId="77777777" w:rsidR="00CF2175" w:rsidRDefault="00CF2175" w:rsidP="00CF2175">
      <w:pPr>
        <w:tabs>
          <w:tab w:val="left" w:pos="936"/>
          <w:tab w:val="left" w:pos="1296"/>
          <w:tab w:val="left" w:pos="1656"/>
          <w:tab w:val="left" w:pos="2016"/>
        </w:tabs>
        <w:ind w:left="2074"/>
        <w:rPr>
          <w:sz w:val="22"/>
        </w:rPr>
      </w:pPr>
      <w:r>
        <w:rPr>
          <w:sz w:val="22"/>
        </w:rPr>
        <w:t>2.  If the nursing-facility resident provides proof later than the 60</w:t>
      </w:r>
      <w:r>
        <w:rPr>
          <w:vertAlign w:val="superscript"/>
        </w:rPr>
        <w:t>th</w:t>
      </w:r>
      <w:r>
        <w:rPr>
          <w:sz w:val="22"/>
        </w:rPr>
        <w:t xml:space="preserve"> day after the date of the notice of a period of ineligibility that the transfer has been fully or partially cured, the nursing-facility resident must reapply. The MassHealth agency recalculates the period of ineligibility based on the amount of the transfer remaining after the cure, beginning with the date of transfer or, for cures of transfers occurring on or after February 8, 2006, the later of the date of transfer or the date on which the individual would have otherwise been eligible.</w:t>
      </w:r>
    </w:p>
    <w:p w14:paraId="2127117E" w14:textId="77777777" w:rsidR="00CF2175" w:rsidRDefault="00CF2175" w:rsidP="00CF2175">
      <w:pPr>
        <w:tabs>
          <w:tab w:val="left" w:pos="936"/>
          <w:tab w:val="left" w:pos="1296"/>
          <w:tab w:val="left" w:pos="1656"/>
          <w:tab w:val="left" w:pos="2016"/>
        </w:tabs>
        <w:ind w:left="2016"/>
        <w:rPr>
          <w:sz w:val="22"/>
        </w:rPr>
      </w:pPr>
    </w:p>
    <w:p w14:paraId="72D6D893" w14:textId="77777777" w:rsidR="00CF2175" w:rsidRDefault="00CF2175" w:rsidP="00CF2175">
      <w:pPr>
        <w:tabs>
          <w:tab w:val="left" w:pos="936"/>
          <w:tab w:val="left" w:pos="1296"/>
          <w:tab w:val="left" w:pos="1656"/>
          <w:tab w:val="left" w:pos="2016"/>
        </w:tabs>
        <w:ind w:left="936"/>
        <w:rPr>
          <w:sz w:val="22"/>
        </w:rPr>
      </w:pPr>
      <w:r>
        <w:rPr>
          <w:sz w:val="22"/>
        </w:rPr>
        <w:t xml:space="preserve">(L)  </w:t>
      </w:r>
      <w:r>
        <w:rPr>
          <w:sz w:val="22"/>
          <w:u w:val="single"/>
        </w:rPr>
        <w:t>Waiver of the Period of Ineligibility Due to Undue Hardship</w:t>
      </w:r>
      <w:r>
        <w:rPr>
          <w:sz w:val="22"/>
        </w:rPr>
        <w:t>. In addition to revising a trust and curing a transfer, the nursing-facility resident may claim undue hardship in order to eliminate the period of ineligibility.</w:t>
      </w:r>
    </w:p>
    <w:p w14:paraId="373F7C62" w14:textId="77777777" w:rsidR="00CF2175" w:rsidRDefault="00CF2175" w:rsidP="00CF2175">
      <w:pPr>
        <w:tabs>
          <w:tab w:val="left" w:pos="936"/>
          <w:tab w:val="left" w:pos="1296"/>
          <w:tab w:val="left" w:pos="1656"/>
          <w:tab w:val="left" w:pos="2016"/>
        </w:tabs>
        <w:ind w:left="1310"/>
        <w:rPr>
          <w:sz w:val="22"/>
        </w:rPr>
      </w:pPr>
      <w:r>
        <w:rPr>
          <w:sz w:val="22"/>
        </w:rPr>
        <w:t>(1)  The MassHealth agency may waive a period of ineligibility due to a disqualifying transfer of resources if ineligibility would cause the nursing-facility resident undue hardship. The MassHealth agency may waive the entire period of ineligibility or only a portion when all of the following circumstances exist.</w:t>
      </w:r>
    </w:p>
    <w:p w14:paraId="1993948B" w14:textId="77777777" w:rsidR="00CF2175" w:rsidRDefault="00CF2175" w:rsidP="00CF2175">
      <w:pPr>
        <w:widowControl w:val="0"/>
        <w:tabs>
          <w:tab w:val="left" w:pos="936"/>
          <w:tab w:val="left" w:pos="1296"/>
          <w:tab w:val="left" w:pos="1656"/>
          <w:tab w:val="left" w:pos="1699"/>
          <w:tab w:val="left" w:pos="2016"/>
        </w:tabs>
        <w:ind w:left="1699"/>
        <w:rPr>
          <w:sz w:val="22"/>
        </w:rPr>
      </w:pPr>
      <w:r>
        <w:rPr>
          <w:sz w:val="22"/>
        </w:rPr>
        <w:t>(a)  The denial of MassHealth would deprive the nursing-facility resident of medical care such that his or her health or life would be endangered, or the nursing-facility resident would be deprived of food, shelter, clothing, or other necessities such that he or she would be at risk of serious deprivation.</w:t>
      </w:r>
    </w:p>
    <w:p w14:paraId="4DB66346" w14:textId="77777777" w:rsidR="00CF2175" w:rsidRDefault="00CF2175" w:rsidP="00CF2175">
      <w:pPr>
        <w:widowControl w:val="0"/>
        <w:tabs>
          <w:tab w:val="left" w:pos="936"/>
          <w:tab w:val="left" w:pos="1296"/>
          <w:tab w:val="left" w:pos="1656"/>
          <w:tab w:val="left" w:pos="1699"/>
          <w:tab w:val="left" w:pos="2016"/>
        </w:tabs>
        <w:ind w:left="1699"/>
        <w:rPr>
          <w:sz w:val="22"/>
        </w:rPr>
      </w:pPr>
      <w:r>
        <w:rPr>
          <w:sz w:val="22"/>
        </w:rPr>
        <w:t>(b)  Documentary evidence has been provided that demonstrates to the satisfaction of the MassHealth agency that all appropriate attempts to retrieve the transferred resource have been exhausted and that the resource or other adequate compensation cannot be obtained to provide payment, in whole or part, to the nursing-facility resident or the nursing facility.</w:t>
      </w:r>
    </w:p>
    <w:p w14:paraId="690B58E8" w14:textId="77777777" w:rsidR="00CF2175" w:rsidRDefault="00CF2175" w:rsidP="00CF2175">
      <w:pPr>
        <w:widowControl w:val="0"/>
        <w:tabs>
          <w:tab w:val="left" w:pos="936"/>
          <w:tab w:val="left" w:pos="1296"/>
          <w:tab w:val="left" w:pos="1656"/>
          <w:tab w:val="left" w:pos="1699"/>
          <w:tab w:val="left" w:pos="2016"/>
        </w:tabs>
        <w:ind w:left="1699"/>
        <w:rPr>
          <w:sz w:val="22"/>
        </w:rPr>
      </w:pPr>
      <w:r>
        <w:rPr>
          <w:sz w:val="22"/>
        </w:rPr>
        <w:t>(c)  The institution has notified the nursing-facility resident of its intent to initiate a discharge of the resident because the resident has not paid for his or her institutionalization.</w:t>
      </w:r>
    </w:p>
    <w:p w14:paraId="735EAC5F" w14:textId="77777777" w:rsidR="00CF2175" w:rsidRDefault="00CF2175" w:rsidP="00CF2175">
      <w:pPr>
        <w:widowControl w:val="0"/>
        <w:tabs>
          <w:tab w:val="left" w:pos="936"/>
          <w:tab w:val="left" w:pos="1296"/>
          <w:tab w:val="left" w:pos="1656"/>
          <w:tab w:val="left" w:pos="1699"/>
          <w:tab w:val="left" w:pos="2016"/>
        </w:tabs>
        <w:ind w:left="1699"/>
        <w:rPr>
          <w:sz w:val="22"/>
        </w:rPr>
      </w:pPr>
      <w:r>
        <w:rPr>
          <w:sz w:val="22"/>
        </w:rPr>
        <w:t>(d)  There is no less costly noninstitutional alternative available to meet the nursing-facility resident's needs.</w:t>
      </w:r>
    </w:p>
    <w:p w14:paraId="1207AE87" w14:textId="77777777" w:rsidR="00CF2175" w:rsidRDefault="00CF2175" w:rsidP="00CF2175">
      <w:pPr>
        <w:tabs>
          <w:tab w:val="left" w:pos="936"/>
          <w:tab w:val="left" w:pos="1296"/>
          <w:tab w:val="left" w:pos="1656"/>
          <w:tab w:val="left" w:pos="2016"/>
        </w:tabs>
        <w:ind w:left="1310"/>
        <w:rPr>
          <w:sz w:val="22"/>
        </w:rPr>
      </w:pPr>
      <w:r>
        <w:rPr>
          <w:sz w:val="22"/>
        </w:rPr>
        <w:t>(2)  Undue hardship does not exist when imposition of the period of ineligibility would merely inconvenience or restrict the nursing-facility resident without putting the nursing-facility resident at risk of serious deprivation.</w:t>
      </w:r>
    </w:p>
    <w:p w14:paraId="4BBF27D1" w14:textId="77777777" w:rsidR="00CF2175" w:rsidRPr="003B32CA" w:rsidRDefault="00CF2175" w:rsidP="00CF2175">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F674E4B" w14:textId="77777777" w:rsidR="00CF2175" w:rsidRPr="003B32CA" w:rsidRDefault="00CF2175" w:rsidP="00CF2175">
      <w:pPr>
        <w:rPr>
          <w:rFonts w:ascii="Helvetica" w:hAnsi="Helvetica"/>
          <w:b/>
          <w:sz w:val="22"/>
          <w:szCs w:val="22"/>
        </w:rPr>
      </w:pPr>
      <w:r>
        <w:rPr>
          <w:noProof/>
        </w:rPr>
        <mc:AlternateContent>
          <mc:Choice Requires="wps">
            <w:drawing>
              <wp:anchor distT="4294967293" distB="4294967293" distL="114300" distR="114300" simplePos="0" relativeHeight="251749376" behindDoc="0" locked="0" layoutInCell="1" allowOverlap="1" wp14:anchorId="4222C0D0" wp14:editId="4A4BBFDB">
                <wp:simplePos x="0" y="0"/>
                <wp:positionH relativeFrom="column">
                  <wp:posOffset>-275590</wp:posOffset>
                </wp:positionH>
                <wp:positionV relativeFrom="paragraph">
                  <wp:posOffset>79374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DB08D" id="Straight Arrow Connector 34" o:spid="_x0000_s1026" type="#_x0000_t32" style="position:absolute;margin-left:-21.7pt;margin-top:6.25pt;width:492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W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rtFsW0gEAAI0D&#10;AAAOAAAAAAAAAAAAAAAAAC4CAABkcnMvZTJvRG9jLnhtbFBLAQItABQABgAIAAAAIQDSjDlP3QAA&#10;AAkBAAAPAAAAAAAAAAAAAAAAACwEAABkcnMvZG93bnJldi54bWxQSwUGAAAAAAQABADzAAAANgUA&#10;AAAA&#10;"/>
            </w:pict>
          </mc:Fallback>
        </mc:AlternateContent>
      </w:r>
    </w:p>
    <w:p w14:paraId="39339D7D" w14:textId="77777777" w:rsidR="00CF2175" w:rsidRPr="003B32CA" w:rsidRDefault="00CF2175" w:rsidP="00CF2175">
      <w:pPr>
        <w:rPr>
          <w:rFonts w:ascii="Helvetica" w:hAnsi="Helvetica"/>
          <w:b/>
          <w:sz w:val="22"/>
          <w:szCs w:val="22"/>
        </w:rPr>
      </w:pPr>
      <w:r>
        <w:rPr>
          <w:rFonts w:ascii="Helvetica" w:hAnsi="Helvetica"/>
          <w:b/>
          <w:sz w:val="22"/>
          <w:szCs w:val="22"/>
        </w:rPr>
        <w:t>Trans. by E.L. 242</w:t>
      </w:r>
    </w:p>
    <w:p w14:paraId="0C2DA333" w14:textId="77777777" w:rsidR="00CF2175" w:rsidRPr="003B32CA" w:rsidRDefault="00CF2175" w:rsidP="00CF2175">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Pr>
          <w:rFonts w:ascii="Helvetica" w:hAnsi="Helvetica"/>
          <w:b/>
          <w:sz w:val="22"/>
          <w:szCs w:val="22"/>
        </w:rPr>
        <w:t>6</w:t>
      </w:r>
      <w:r w:rsidRPr="003B32CA">
        <w:rPr>
          <w:rFonts w:ascii="Helvetica" w:hAnsi="Helvetica"/>
          <w:b/>
          <w:sz w:val="22"/>
          <w:szCs w:val="22"/>
        </w:rPr>
        <w:t>/</w:t>
      </w:r>
      <w:r>
        <w:rPr>
          <w:rFonts w:ascii="Helvetica" w:hAnsi="Helvetica"/>
          <w:b/>
          <w:sz w:val="22"/>
          <w:szCs w:val="22"/>
        </w:rPr>
        <w:t>23</w:t>
      </w:r>
    </w:p>
    <w:p w14:paraId="4DDA8663" w14:textId="77777777" w:rsidR="00CF2175" w:rsidRDefault="00CF2175" w:rsidP="00CF2175">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36259E8" w14:textId="77777777" w:rsidR="00CF2175" w:rsidRDefault="00CF2175" w:rsidP="00CF2175">
      <w:pPr>
        <w:jc w:val="center"/>
        <w:rPr>
          <w:rFonts w:ascii="Helvetica" w:hAnsi="Helvetica"/>
          <w:b/>
          <w:sz w:val="22"/>
        </w:rPr>
      </w:pPr>
      <w:r>
        <w:rPr>
          <w:rFonts w:ascii="Helvetica" w:hAnsi="Helvetica"/>
          <w:b/>
          <w:sz w:val="22"/>
        </w:rPr>
        <w:t>FINANCIAL ELIGIBILITY</w:t>
      </w:r>
    </w:p>
    <w:p w14:paraId="7F20003B" w14:textId="77777777" w:rsidR="00CF2175" w:rsidRPr="003B32CA" w:rsidRDefault="00CF2175" w:rsidP="00CF217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9B5C74E" w14:textId="77777777" w:rsidR="00CF2175" w:rsidRPr="003B32CA" w:rsidRDefault="00CF2175" w:rsidP="00CF2175">
      <w:pPr>
        <w:rPr>
          <w:rFonts w:ascii="Helvetica" w:hAnsi="Helvetica"/>
          <w:b/>
          <w:sz w:val="22"/>
          <w:szCs w:val="22"/>
        </w:rPr>
      </w:pPr>
      <w:r>
        <w:rPr>
          <w:rFonts w:ascii="Helvetica" w:hAnsi="Helvetica"/>
          <w:b/>
          <w:sz w:val="22"/>
          <w:szCs w:val="22"/>
        </w:rPr>
        <w:t>Page 520.019 (8 of 8)</w:t>
      </w:r>
    </w:p>
    <w:p w14:paraId="1DABB628" w14:textId="77777777" w:rsidR="00CF2175" w:rsidRPr="00162A3C" w:rsidRDefault="00CF2175" w:rsidP="00CF217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0400" behindDoc="0" locked="0" layoutInCell="1" allowOverlap="1" wp14:anchorId="570C1BA9" wp14:editId="068DF9D7">
                <wp:simplePos x="0" y="0"/>
                <wp:positionH relativeFrom="column">
                  <wp:posOffset>-271780</wp:posOffset>
                </wp:positionH>
                <wp:positionV relativeFrom="paragraph">
                  <wp:posOffset>126364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E5442" id="Straight Arrow Connector 33" o:spid="_x0000_s1026" type="#_x0000_t32" style="position:absolute;margin-left:-21.4pt;margin-top:9.95pt;width:492pt;height:0;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50wEAAI0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XUjr66k8DDwjDaJ&#10;wHZ9Ep+IcBQr9J51RBIcwnqNIdactvJryozVwW/CE6qfUXhc9eA7U/p+PgbGmuWM6reUbMTAVbfj&#10;V9QcA7uERbxDS0OGZFnEoczoeJmROSSh+PF2fn13PeVRqrOvgvqcGCimLwYHkS+NjCciFwazUgb2&#10;TzHltqA+J+SqHh+tc2UhnBdjIz/ezG9KQkRndXbmsEjdduVI7CGvVPkKR/a8DSPceV3AegP68+me&#10;wLqXOxd3/iRNVuNF1y3q45rOkvHMS5en/cxL9dYu2a9/0fIX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kpLWOdMBAACN&#10;AwAADgAAAAAAAAAAAAAAAAAuAgAAZHJzL2Uyb0RvYy54bWxQSwECLQAUAAYACAAAACEAp+ZHst0A&#10;AAAJAQAADwAAAAAAAAAAAAAAAAAtBAAAZHJzL2Rvd25yZXYueG1sUEsFBgAAAAAEAAQA8wAAADcF&#10;AAAAAA==&#10;"/>
            </w:pict>
          </mc:Fallback>
        </mc:AlternateContent>
      </w:r>
    </w:p>
    <w:p w14:paraId="5F77E68F" w14:textId="77777777" w:rsidR="00CF2175" w:rsidRPr="0083462A" w:rsidRDefault="00CF2175" w:rsidP="00CF2175">
      <w:pPr>
        <w:rPr>
          <w:sz w:val="22"/>
          <w:szCs w:val="22"/>
        </w:rPr>
      </w:pPr>
    </w:p>
    <w:p w14:paraId="15D4E779" w14:textId="77777777" w:rsidR="00CF2175" w:rsidRDefault="00CF2175" w:rsidP="00CF2175">
      <w:pPr>
        <w:tabs>
          <w:tab w:val="left" w:pos="936"/>
          <w:tab w:val="left" w:pos="1296"/>
          <w:tab w:val="left" w:pos="1656"/>
          <w:tab w:val="left" w:pos="2016"/>
        </w:tabs>
        <w:ind w:left="1310"/>
        <w:rPr>
          <w:sz w:val="22"/>
        </w:rPr>
      </w:pPr>
      <w:r>
        <w:rPr>
          <w:sz w:val="22"/>
        </w:rPr>
        <w:t>(3)  Where the MassHealth agency has issued a notice of the period of ineligibility due to a disqualifying transfer of resources, the nursing-facility resident may request a hardship waiver. For transfers occurring on or after February 8, 2006, nursing facilities may apply for a hardship waiver on behalf of a resident, with the consent of the nursing-facility resident or the resident’s authorized representative.</w:t>
      </w:r>
    </w:p>
    <w:p w14:paraId="23C0D989" w14:textId="77777777" w:rsidR="00CF2175" w:rsidRDefault="00CF2175" w:rsidP="00CF2175">
      <w:pPr>
        <w:tabs>
          <w:tab w:val="left" w:pos="936"/>
          <w:tab w:val="left" w:pos="1296"/>
          <w:tab w:val="left" w:pos="1656"/>
          <w:tab w:val="left" w:pos="2016"/>
        </w:tabs>
        <w:ind w:left="1310"/>
        <w:rPr>
          <w:sz w:val="22"/>
        </w:rPr>
      </w:pPr>
      <w:r>
        <w:rPr>
          <w:sz w:val="22"/>
        </w:rPr>
        <w:t>(4)  If the nursing-facility resident feels the imposition of a period of ineligibility would result in undue hardship, the nursing-facility resident must submit a written request for consideration of undue hardship and any supporting documentation to the MassHealth Enrollment Center listed on the notice of the period of ineligibility within 15 days after the date on the notice. Within 30 days after the date of the nursing-facility resident's request, the MassHealth agency will inform the nursing-facility resident in writing of the undue</w:t>
      </w:r>
      <w:r>
        <w:rPr>
          <w:sz w:val="22"/>
        </w:rPr>
        <w:noBreakHyphen/>
        <w:t>hardship decision and of the right to a fair hearing. The MassHealth agency will extend this 30-day period if the MassHealth agency requests additional documentation or if extenuating circumstances as determined by the MassHealth agency require additional time.</w:t>
      </w:r>
    </w:p>
    <w:p w14:paraId="386628AC" w14:textId="77777777" w:rsidR="00CF2175" w:rsidRDefault="00CF2175" w:rsidP="00CF2175">
      <w:pPr>
        <w:tabs>
          <w:tab w:val="left" w:pos="936"/>
          <w:tab w:val="left" w:pos="1296"/>
          <w:tab w:val="left" w:pos="1656"/>
          <w:tab w:val="left" w:pos="2016"/>
        </w:tabs>
        <w:ind w:left="1310"/>
        <w:rPr>
          <w:sz w:val="22"/>
        </w:rPr>
      </w:pPr>
      <w:r>
        <w:rPr>
          <w:sz w:val="22"/>
        </w:rPr>
        <w:t>(5)  The nursing-facility resident may appeal the MassHealth agency’s undue</w:t>
      </w:r>
      <w:r>
        <w:rPr>
          <w:sz w:val="22"/>
        </w:rPr>
        <w:noBreakHyphen/>
        <w:t>hardship decision and the imposition of a period of ineligibility by submitting a request for a fair hearing to the Office of Medicaid Board of Hearings within 30 days after the nursing-facility resident’s receipt of the MassHealth agency’s written undue</w:t>
      </w:r>
      <w:r>
        <w:rPr>
          <w:sz w:val="22"/>
        </w:rPr>
        <w:noBreakHyphen/>
        <w:t>hardship notice, in accordance with 130 CMR 610.000</w:t>
      </w:r>
      <w:r w:rsidRPr="00E11483">
        <w:rPr>
          <w:sz w:val="22"/>
          <w:szCs w:val="22"/>
        </w:rPr>
        <w:t xml:space="preserve">: </w:t>
      </w:r>
      <w:r w:rsidRPr="00E11483">
        <w:rPr>
          <w:i/>
          <w:sz w:val="22"/>
          <w:szCs w:val="22"/>
        </w:rPr>
        <w:t>MassHealth: Fair Hearing Rules</w:t>
      </w:r>
      <w:r>
        <w:rPr>
          <w:sz w:val="22"/>
        </w:rPr>
        <w:t xml:space="preserve">. </w:t>
      </w:r>
    </w:p>
    <w:p w14:paraId="42332866" w14:textId="77777777" w:rsidR="00CF2175" w:rsidRDefault="00CF2175" w:rsidP="00CF2175">
      <w:pPr>
        <w:tabs>
          <w:tab w:val="left" w:pos="936"/>
          <w:tab w:val="left" w:pos="1296"/>
          <w:tab w:val="left" w:pos="1656"/>
          <w:tab w:val="left" w:pos="2016"/>
        </w:tabs>
        <w:ind w:left="1310"/>
        <w:rPr>
          <w:sz w:val="22"/>
        </w:rPr>
      </w:pPr>
      <w:r>
        <w:rPr>
          <w:sz w:val="22"/>
        </w:rPr>
        <w:t>(6)  The nursing-facility resident’s request for consideration of undue hardship does not limit his or her right to request a fair hearing for reasons other than undue hardship.</w:t>
      </w:r>
    </w:p>
    <w:p w14:paraId="3FA1A9B2" w14:textId="77777777" w:rsidR="00CF2175" w:rsidRDefault="00CF2175" w:rsidP="00CF2175">
      <w:pPr>
        <w:tabs>
          <w:tab w:val="left" w:pos="936"/>
          <w:tab w:val="left" w:pos="1296"/>
          <w:tab w:val="left" w:pos="1656"/>
          <w:tab w:val="left" w:pos="2016"/>
        </w:tabs>
        <w:ind w:left="1296"/>
        <w:rPr>
          <w:sz w:val="22"/>
        </w:rPr>
      </w:pPr>
    </w:p>
    <w:p w14:paraId="37F7E6EF" w14:textId="77777777" w:rsidR="00CF2175" w:rsidRDefault="00CF2175" w:rsidP="00CF2175">
      <w:pPr>
        <w:tabs>
          <w:tab w:val="left" w:pos="936"/>
          <w:tab w:val="left" w:pos="1296"/>
          <w:tab w:val="left" w:pos="1656"/>
          <w:tab w:val="left" w:pos="2016"/>
        </w:tabs>
        <w:ind w:left="936"/>
        <w:rPr>
          <w:sz w:val="22"/>
        </w:rPr>
      </w:pPr>
      <w:r>
        <w:rPr>
          <w:sz w:val="22"/>
        </w:rPr>
        <w:t xml:space="preserve">(M)  </w:t>
      </w:r>
      <w:r>
        <w:rPr>
          <w:sz w:val="22"/>
          <w:u w:val="single"/>
        </w:rPr>
        <w:t>Fraudulent Transfer or Sale</w:t>
      </w:r>
      <w:r>
        <w:rPr>
          <w:sz w:val="22"/>
        </w:rPr>
        <w:t xml:space="preserve">. If a nursing-facility resident whose estate would be subject to a claim under 130 CMR 515.011: </w:t>
      </w:r>
      <w:r>
        <w:rPr>
          <w:i/>
          <w:sz w:val="22"/>
        </w:rPr>
        <w:t>Estate Recovery</w:t>
      </w:r>
      <w:r>
        <w:rPr>
          <w:sz w:val="22"/>
        </w:rPr>
        <w:t xml:space="preserve"> transfers or sells any property including a home or an interest in the property for less than fair</w:t>
      </w:r>
      <w:r>
        <w:rPr>
          <w:sz w:val="22"/>
        </w:rPr>
        <w:noBreakHyphen/>
        <w:t>market value, the MassHealth agency may consider the transfer or sale that does not meet the conditions of 130 CMR 520.019(D)(</w:t>
      </w:r>
      <w:r w:rsidRPr="00FE792F">
        <w:rPr>
          <w:sz w:val="22"/>
        </w:rPr>
        <w:t>6</w:t>
      </w:r>
      <w:r>
        <w:rPr>
          <w:sz w:val="22"/>
        </w:rPr>
        <w:t>) to be fraudulent under the Uniform Fraudulent Conveyance Act (M.G.L. c. 109(A)) and take appropriate legal action to set aside the transfer or sale.</w:t>
      </w:r>
    </w:p>
    <w:p w14:paraId="3C632D6D" w14:textId="77777777" w:rsidR="00CF2175" w:rsidRDefault="00CF2175" w:rsidP="00CF2175">
      <w:pPr>
        <w:tabs>
          <w:tab w:val="left" w:pos="936"/>
          <w:tab w:val="left" w:pos="1296"/>
          <w:tab w:val="left" w:pos="1656"/>
          <w:tab w:val="left" w:pos="2016"/>
        </w:tabs>
        <w:ind w:left="936"/>
        <w:rPr>
          <w:sz w:val="22"/>
        </w:rPr>
      </w:pPr>
    </w:p>
    <w:p w14:paraId="43D276D4" w14:textId="77777777" w:rsidR="00CF2175" w:rsidRDefault="00CF2175" w:rsidP="00CF2175">
      <w:pPr>
        <w:tabs>
          <w:tab w:val="left" w:pos="936"/>
          <w:tab w:val="left" w:pos="1296"/>
          <w:tab w:val="left" w:pos="1656"/>
          <w:tab w:val="left" w:pos="2016"/>
        </w:tabs>
        <w:ind w:left="936"/>
        <w:rPr>
          <w:sz w:val="22"/>
        </w:rPr>
      </w:pPr>
      <w:r>
        <w:rPr>
          <w:sz w:val="22"/>
        </w:rPr>
        <w:t xml:space="preserve">(N)  </w:t>
      </w:r>
      <w:r>
        <w:rPr>
          <w:sz w:val="22"/>
          <w:u w:val="single"/>
        </w:rPr>
        <w:t>No Double Penalty</w:t>
      </w:r>
      <w:r>
        <w:rPr>
          <w:sz w:val="22"/>
        </w:rPr>
        <w:t xml:space="preserve">. In the event that application of the transfer rules and the trust rules in 130 CMR 520.000 results in a nursing-facility resident being subject to a transfer penalty twice for actions involving the same resource, the trust rules will supersede the transfer rules in the determination of eligibility. </w:t>
      </w:r>
    </w:p>
    <w:p w14:paraId="7C2580BF" w14:textId="77777777" w:rsidR="00CF2175" w:rsidRDefault="00CF2175" w:rsidP="00CF2175">
      <w:pPr>
        <w:tabs>
          <w:tab w:val="left" w:pos="936"/>
          <w:tab w:val="left" w:pos="1296"/>
          <w:tab w:val="left" w:pos="1656"/>
          <w:tab w:val="left" w:pos="2016"/>
        </w:tabs>
        <w:ind w:left="720"/>
        <w:rPr>
          <w:sz w:val="22"/>
        </w:rPr>
      </w:pPr>
    </w:p>
    <w:p w14:paraId="45C92881" w14:textId="77777777" w:rsidR="00CF2175" w:rsidRDefault="00CF2175" w:rsidP="00CF2175">
      <w:pPr>
        <w:widowControl w:val="0"/>
        <w:tabs>
          <w:tab w:val="left" w:pos="936"/>
          <w:tab w:val="left" w:pos="1314"/>
          <w:tab w:val="left" w:pos="1692"/>
          <w:tab w:val="left" w:pos="2070"/>
        </w:tabs>
        <w:rPr>
          <w:sz w:val="22"/>
        </w:rPr>
      </w:pPr>
      <w:r>
        <w:rPr>
          <w:sz w:val="22"/>
        </w:rPr>
        <w:t>(130 CMR 520.020 Reserved)</w:t>
      </w:r>
    </w:p>
    <w:p w14:paraId="5123C649" w14:textId="77777777" w:rsidR="00CF2175" w:rsidRPr="0083462A" w:rsidRDefault="00CF2175" w:rsidP="00CF2175">
      <w:pPr>
        <w:rPr>
          <w:sz w:val="22"/>
          <w:szCs w:val="22"/>
        </w:rPr>
      </w:pPr>
    </w:p>
    <w:sectPr w:rsidR="00CF2175" w:rsidRPr="0083462A" w:rsidSect="00CF2175">
      <w:pgSz w:w="12240" w:h="15840"/>
      <w:pgMar w:top="432" w:right="1296" w:bottom="432" w:left="129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B488D" w14:textId="77777777" w:rsidR="00CF2175" w:rsidRDefault="00CF2175">
      <w:r>
        <w:separator/>
      </w:r>
    </w:p>
  </w:endnote>
  <w:endnote w:type="continuationSeparator" w:id="0">
    <w:p w14:paraId="3CBD2ECD" w14:textId="77777777" w:rsidR="00CF2175" w:rsidRDefault="00CF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B95EA" w14:textId="77777777" w:rsidR="00CF2175" w:rsidRDefault="00CF2175">
      <w:r>
        <w:separator/>
      </w:r>
    </w:p>
  </w:footnote>
  <w:footnote w:type="continuationSeparator" w:id="0">
    <w:p w14:paraId="21513984" w14:textId="77777777" w:rsidR="00CF2175" w:rsidRDefault="00CF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4DE4" w14:textId="77777777"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5E48CF9A"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XX</w:t>
    </w:r>
  </w:p>
  <w:p w14:paraId="429A7ADE" w14:textId="3D5A1180"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January 2023</w:t>
    </w:r>
  </w:p>
  <w:p w14:paraId="3B686240" w14:textId="77777777"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CF2175" w:rsidRDefault="00CF2175">
    <w:pPr>
      <w:tabs>
        <w:tab w:val="left" w:pos="1080"/>
        <w:tab w:val="left" w:pos="5760"/>
      </w:tabs>
      <w:suppressAutoHyphens/>
      <w:rPr>
        <w:rFonts w:ascii="Book Antiqua" w:hAnsi="Book Antiqua"/>
        <w:sz w:val="22"/>
      </w:rPr>
    </w:pPr>
  </w:p>
  <w:p w14:paraId="1BE190CB" w14:textId="77777777" w:rsidR="00CF2175" w:rsidRDefault="00CF2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974E" w14:textId="12D99244" w:rsidR="00CF2175" w:rsidRDefault="00CF2175" w:rsidP="00700E75">
    <w:pPr>
      <w:tabs>
        <w:tab w:val="left" w:pos="1080"/>
        <w:tab w:val="left" w:pos="5760"/>
      </w:tabs>
      <w:suppressAutoHyphens/>
    </w:pPr>
    <w:r>
      <w:rPr>
        <w:rFonts w:ascii="Book Antiqua" w:hAnsi="Book Antiqua"/>
        <w:sz w:val="22"/>
      </w:rPr>
      <w:tab/>
    </w:r>
    <w:r>
      <w:rPr>
        <w:rFonts w:ascii="Book Antiqua" w:hAnsi="Book Antiqua"/>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B4C5136"/>
    <w:lvl w:ilvl="0">
      <w:start w:val="1"/>
      <w:numFmt w:val="decimal"/>
      <w:pStyle w:val="ListBullet"/>
      <w:lvlText w:val="(%1)"/>
      <w:lvlJc w:val="left"/>
      <w:pPr>
        <w:ind w:left="360" w:hanging="360"/>
      </w:pPr>
      <w:rPr>
        <w:rFonts w:cs="Times New Roman" w:hint="default"/>
      </w:rPr>
    </w:lvl>
  </w:abstractNum>
  <w:abstractNum w:abstractNumId="1" w15:restartNumberingAfterBreak="0">
    <w:nsid w:val="204F2E69"/>
    <w:multiLevelType w:val="singleLevel"/>
    <w:tmpl w:val="6C14C966"/>
    <w:lvl w:ilvl="0">
      <w:start w:val="3"/>
      <w:numFmt w:val="decimal"/>
      <w:lvlText w:val="(%1)"/>
      <w:lvlJc w:val="left"/>
      <w:pPr>
        <w:tabs>
          <w:tab w:val="num" w:pos="1689"/>
        </w:tabs>
        <w:ind w:left="1689" w:hanging="375"/>
      </w:pPr>
      <w:rPr>
        <w:rFonts w:hint="default"/>
      </w:rPr>
    </w:lvl>
  </w:abstractNum>
  <w:abstractNum w:abstractNumId="2" w15:restartNumberingAfterBreak="0">
    <w:nsid w:val="28201A74"/>
    <w:multiLevelType w:val="hybridMultilevel"/>
    <w:tmpl w:val="7E68BFAC"/>
    <w:lvl w:ilvl="0" w:tplc="C8C276F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291721EA"/>
    <w:multiLevelType w:val="singleLevel"/>
    <w:tmpl w:val="AED6EEC4"/>
    <w:lvl w:ilvl="0">
      <w:start w:val="1"/>
      <w:numFmt w:val="upperLetter"/>
      <w:lvlText w:val="(%1)"/>
      <w:lvlJc w:val="left"/>
      <w:pPr>
        <w:tabs>
          <w:tab w:val="num" w:pos="1356"/>
        </w:tabs>
        <w:ind w:left="1356" w:hanging="420"/>
      </w:pPr>
      <w:rPr>
        <w:rFonts w:hint="default"/>
      </w:rPr>
    </w:lvl>
  </w:abstractNum>
  <w:abstractNum w:abstractNumId="4" w15:restartNumberingAfterBreak="0">
    <w:nsid w:val="32EE0471"/>
    <w:multiLevelType w:val="hybridMultilevel"/>
    <w:tmpl w:val="80EEA6FC"/>
    <w:lvl w:ilvl="0" w:tplc="78143C78">
      <w:start w:val="1"/>
      <w:numFmt w:val="upperLetter"/>
      <w:lvlText w:val="(%1)"/>
      <w:lvlJc w:val="left"/>
      <w:pPr>
        <w:tabs>
          <w:tab w:val="num" w:pos="1350"/>
        </w:tabs>
        <w:ind w:left="1350" w:hanging="420"/>
      </w:pPr>
      <w:rPr>
        <w:rFonts w:hint="default"/>
      </w:rPr>
    </w:lvl>
    <w:lvl w:ilvl="1" w:tplc="8EC46FAC">
      <w:start w:val="1"/>
      <w:numFmt w:val="decimal"/>
      <w:lvlText w:val="(%2)"/>
      <w:lvlJc w:val="left"/>
      <w:pPr>
        <w:tabs>
          <w:tab w:val="num" w:pos="2025"/>
        </w:tabs>
        <w:ind w:left="2025" w:hanging="375"/>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3BBC6688"/>
    <w:multiLevelType w:val="singleLevel"/>
    <w:tmpl w:val="629EBDC0"/>
    <w:lvl w:ilvl="0">
      <w:start w:val="7"/>
      <w:numFmt w:val="lowerLetter"/>
      <w:lvlText w:val="(%1)"/>
      <w:lvlJc w:val="left"/>
      <w:pPr>
        <w:tabs>
          <w:tab w:val="num" w:pos="2067"/>
        </w:tabs>
        <w:ind w:left="2067" w:hanging="375"/>
      </w:pPr>
      <w:rPr>
        <w:rFonts w:hint="default"/>
      </w:rPr>
    </w:lvl>
  </w:abstractNum>
  <w:abstractNum w:abstractNumId="6" w15:restartNumberingAfterBreak="0">
    <w:nsid w:val="3D2279B9"/>
    <w:multiLevelType w:val="singleLevel"/>
    <w:tmpl w:val="2126F4E4"/>
    <w:lvl w:ilvl="0">
      <w:start w:val="2"/>
      <w:numFmt w:val="upperLetter"/>
      <w:lvlText w:val="(%1)"/>
      <w:lvlJc w:val="left"/>
      <w:pPr>
        <w:tabs>
          <w:tab w:val="num" w:pos="1356"/>
        </w:tabs>
        <w:ind w:left="1356" w:hanging="420"/>
      </w:pPr>
      <w:rPr>
        <w:rFonts w:hint="default"/>
      </w:rPr>
    </w:lvl>
  </w:abstractNum>
  <w:abstractNum w:abstractNumId="7" w15:restartNumberingAfterBreak="0">
    <w:nsid w:val="40582BF7"/>
    <w:multiLevelType w:val="hybridMultilevel"/>
    <w:tmpl w:val="F408956E"/>
    <w:lvl w:ilvl="0" w:tplc="61347820">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4E8F1BBC"/>
    <w:multiLevelType w:val="hybridMultilevel"/>
    <w:tmpl w:val="90D6F1EC"/>
    <w:lvl w:ilvl="0" w:tplc="02E20ACC">
      <w:start w:val="1"/>
      <w:numFmt w:val="lowerLetter"/>
      <w:lvlText w:val="(%1)"/>
      <w:lvlJc w:val="left"/>
      <w:pPr>
        <w:tabs>
          <w:tab w:val="num" w:pos="2055"/>
        </w:tabs>
        <w:ind w:left="2055" w:hanging="36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9" w15:restartNumberingAfterBreak="0">
    <w:nsid w:val="50C37FCB"/>
    <w:multiLevelType w:val="singleLevel"/>
    <w:tmpl w:val="A0E4D480"/>
    <w:lvl w:ilvl="0">
      <w:start w:val="8"/>
      <w:numFmt w:val="decimal"/>
      <w:lvlText w:val="(%1)"/>
      <w:lvlJc w:val="left"/>
      <w:pPr>
        <w:tabs>
          <w:tab w:val="num" w:pos="1674"/>
        </w:tabs>
        <w:ind w:left="1674" w:hanging="360"/>
      </w:pPr>
      <w:rPr>
        <w:rFonts w:hint="default"/>
      </w:rPr>
    </w:lvl>
  </w:abstractNum>
  <w:abstractNum w:abstractNumId="10" w15:restartNumberingAfterBreak="0">
    <w:nsid w:val="55060A24"/>
    <w:multiLevelType w:val="singleLevel"/>
    <w:tmpl w:val="80E2D7B2"/>
    <w:lvl w:ilvl="0">
      <w:start w:val="2"/>
      <w:numFmt w:val="decimal"/>
      <w:lvlText w:val="(%1)"/>
      <w:lvlJc w:val="left"/>
      <w:pPr>
        <w:tabs>
          <w:tab w:val="num" w:pos="1671"/>
        </w:tabs>
        <w:ind w:left="1671" w:hanging="375"/>
      </w:pPr>
      <w:rPr>
        <w:rFonts w:hint="default"/>
      </w:rPr>
    </w:lvl>
  </w:abstractNum>
  <w:abstractNum w:abstractNumId="11" w15:restartNumberingAfterBreak="0">
    <w:nsid w:val="5DD753AD"/>
    <w:multiLevelType w:val="singleLevel"/>
    <w:tmpl w:val="B816B12E"/>
    <w:lvl w:ilvl="0">
      <w:start w:val="4"/>
      <w:numFmt w:val="lowerLetter"/>
      <w:lvlText w:val="(%1)"/>
      <w:lvlJc w:val="left"/>
      <w:pPr>
        <w:tabs>
          <w:tab w:val="num" w:pos="2049"/>
        </w:tabs>
        <w:ind w:left="2049" w:hanging="360"/>
      </w:pPr>
      <w:rPr>
        <w:rFonts w:hint="default"/>
      </w:rPr>
    </w:lvl>
  </w:abstractNum>
  <w:abstractNum w:abstractNumId="12" w15:restartNumberingAfterBreak="0">
    <w:nsid w:val="63AE6420"/>
    <w:multiLevelType w:val="hybridMultilevel"/>
    <w:tmpl w:val="B0AAE04C"/>
    <w:lvl w:ilvl="0" w:tplc="1B7CD57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64711F72"/>
    <w:multiLevelType w:val="singleLevel"/>
    <w:tmpl w:val="2C9CCA0E"/>
    <w:lvl w:ilvl="0">
      <w:start w:val="2"/>
      <w:numFmt w:val="upperLetter"/>
      <w:lvlText w:val="(%1)"/>
      <w:lvlJc w:val="left"/>
      <w:pPr>
        <w:tabs>
          <w:tab w:val="num" w:pos="1296"/>
        </w:tabs>
        <w:ind w:left="1296" w:hanging="360"/>
      </w:pPr>
      <w:rPr>
        <w:rFonts w:hint="default"/>
      </w:rPr>
    </w:lvl>
  </w:abstractNum>
  <w:abstractNum w:abstractNumId="14" w15:restartNumberingAfterBreak="0">
    <w:nsid w:val="648C174D"/>
    <w:multiLevelType w:val="hybridMultilevel"/>
    <w:tmpl w:val="5AB2DA96"/>
    <w:lvl w:ilvl="0" w:tplc="1CCAF3BE">
      <w:start w:val="1"/>
      <w:numFmt w:val="upperLetter"/>
      <w:lvlText w:val="(%1)"/>
      <w:lvlJc w:val="left"/>
      <w:pPr>
        <w:ind w:left="1295" w:hanging="360"/>
      </w:pPr>
      <w:rPr>
        <w:rFonts w:hint="default"/>
        <w:i w:val="0"/>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15" w15:restartNumberingAfterBreak="0">
    <w:nsid w:val="720A457F"/>
    <w:multiLevelType w:val="singleLevel"/>
    <w:tmpl w:val="CC347574"/>
    <w:lvl w:ilvl="0">
      <w:start w:val="1"/>
      <w:numFmt w:val="lowerLetter"/>
      <w:lvlText w:val="(%1)"/>
      <w:lvlJc w:val="left"/>
      <w:pPr>
        <w:tabs>
          <w:tab w:val="num" w:pos="2064"/>
        </w:tabs>
        <w:ind w:left="2064" w:hanging="375"/>
      </w:pPr>
      <w:rPr>
        <w:rFonts w:hint="default"/>
      </w:rPr>
    </w:lvl>
  </w:abstractNum>
  <w:abstractNum w:abstractNumId="16" w15:restartNumberingAfterBreak="0">
    <w:nsid w:val="73DB7BDE"/>
    <w:multiLevelType w:val="hybridMultilevel"/>
    <w:tmpl w:val="49DE199E"/>
    <w:lvl w:ilvl="0" w:tplc="7F486E06">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7710777F"/>
    <w:multiLevelType w:val="hybridMultilevel"/>
    <w:tmpl w:val="EA64A64E"/>
    <w:lvl w:ilvl="0" w:tplc="63EA8BCE">
      <w:start w:val="2"/>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num w:numId="1">
    <w:abstractNumId w:val="0"/>
  </w:num>
  <w:num w:numId="2">
    <w:abstractNumId w:val="13"/>
  </w:num>
  <w:num w:numId="3">
    <w:abstractNumId w:val="9"/>
  </w:num>
  <w:num w:numId="4">
    <w:abstractNumId w:val="17"/>
  </w:num>
  <w:num w:numId="5">
    <w:abstractNumId w:val="4"/>
  </w:num>
  <w:num w:numId="6">
    <w:abstractNumId w:val="8"/>
  </w:num>
  <w:num w:numId="7">
    <w:abstractNumId w:val="12"/>
  </w:num>
  <w:num w:numId="8">
    <w:abstractNumId w:val="6"/>
  </w:num>
  <w:num w:numId="9">
    <w:abstractNumId w:val="10"/>
  </w:num>
  <w:num w:numId="10">
    <w:abstractNumId w:val="1"/>
  </w:num>
  <w:num w:numId="11">
    <w:abstractNumId w:val="15"/>
  </w:num>
  <w:num w:numId="12">
    <w:abstractNumId w:val="11"/>
  </w:num>
  <w:num w:numId="13">
    <w:abstractNumId w:val="5"/>
  </w:num>
  <w:num w:numId="14">
    <w:abstractNumId w:val="3"/>
  </w:num>
  <w:num w:numId="15">
    <w:abstractNumId w:val="14"/>
  </w:num>
  <w:num w:numId="16">
    <w:abstractNumId w:val="1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47B5"/>
    <w:rsid w:val="000F6D64"/>
    <w:rsid w:val="00110230"/>
    <w:rsid w:val="00141BCE"/>
    <w:rsid w:val="00157732"/>
    <w:rsid w:val="001802A0"/>
    <w:rsid w:val="00192E72"/>
    <w:rsid w:val="00197628"/>
    <w:rsid w:val="001B7FD4"/>
    <w:rsid w:val="001D4F49"/>
    <w:rsid w:val="00200025"/>
    <w:rsid w:val="0022004C"/>
    <w:rsid w:val="00241563"/>
    <w:rsid w:val="00263747"/>
    <w:rsid w:val="002A52AB"/>
    <w:rsid w:val="002D33C2"/>
    <w:rsid w:val="003212AF"/>
    <w:rsid w:val="00342EAD"/>
    <w:rsid w:val="0038751B"/>
    <w:rsid w:val="003D17AD"/>
    <w:rsid w:val="0041600D"/>
    <w:rsid w:val="00440323"/>
    <w:rsid w:val="00466B71"/>
    <w:rsid w:val="004934F6"/>
    <w:rsid w:val="004B70B4"/>
    <w:rsid w:val="0054528C"/>
    <w:rsid w:val="005615E7"/>
    <w:rsid w:val="00597020"/>
    <w:rsid w:val="005C160D"/>
    <w:rsid w:val="005D1BCB"/>
    <w:rsid w:val="00605B0F"/>
    <w:rsid w:val="006156B7"/>
    <w:rsid w:val="00630E59"/>
    <w:rsid w:val="0065196E"/>
    <w:rsid w:val="00675B86"/>
    <w:rsid w:val="006B0AC3"/>
    <w:rsid w:val="006D631C"/>
    <w:rsid w:val="00700E75"/>
    <w:rsid w:val="0076073D"/>
    <w:rsid w:val="007D4A15"/>
    <w:rsid w:val="007E0062"/>
    <w:rsid w:val="007F5214"/>
    <w:rsid w:val="00820252"/>
    <w:rsid w:val="0082612C"/>
    <w:rsid w:val="008C199B"/>
    <w:rsid w:val="008C5C04"/>
    <w:rsid w:val="008D4DE6"/>
    <w:rsid w:val="00963428"/>
    <w:rsid w:val="0096574E"/>
    <w:rsid w:val="0097004A"/>
    <w:rsid w:val="00991453"/>
    <w:rsid w:val="009A0C08"/>
    <w:rsid w:val="009F10CA"/>
    <w:rsid w:val="00A519B7"/>
    <w:rsid w:val="00A536CA"/>
    <w:rsid w:val="00A62F11"/>
    <w:rsid w:val="00B01A4D"/>
    <w:rsid w:val="00B20321"/>
    <w:rsid w:val="00B43750"/>
    <w:rsid w:val="00B67F85"/>
    <w:rsid w:val="00B7370B"/>
    <w:rsid w:val="00B8102C"/>
    <w:rsid w:val="00BD1582"/>
    <w:rsid w:val="00C02CED"/>
    <w:rsid w:val="00C334A1"/>
    <w:rsid w:val="00C33E5C"/>
    <w:rsid w:val="00C34F64"/>
    <w:rsid w:val="00C619E3"/>
    <w:rsid w:val="00C931CA"/>
    <w:rsid w:val="00CB33AA"/>
    <w:rsid w:val="00CF2175"/>
    <w:rsid w:val="00D12EC9"/>
    <w:rsid w:val="00D300E0"/>
    <w:rsid w:val="00D417E0"/>
    <w:rsid w:val="00D90CCB"/>
    <w:rsid w:val="00DA3A68"/>
    <w:rsid w:val="00DA520C"/>
    <w:rsid w:val="00DC09F8"/>
    <w:rsid w:val="00DD2455"/>
    <w:rsid w:val="00E009C5"/>
    <w:rsid w:val="00E04798"/>
    <w:rsid w:val="00E3764F"/>
    <w:rsid w:val="00E4109D"/>
    <w:rsid w:val="00E62638"/>
    <w:rsid w:val="00EB6C70"/>
    <w:rsid w:val="00ED0733"/>
    <w:rsid w:val="00F82100"/>
    <w:rsid w:val="00FE1F19"/>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CommentReference">
    <w:name w:val="annotation reference"/>
    <w:basedOn w:val="DefaultParagraphFont"/>
    <w:rsid w:val="00DA520C"/>
    <w:rPr>
      <w:sz w:val="16"/>
      <w:szCs w:val="16"/>
    </w:rPr>
  </w:style>
  <w:style w:type="paragraph" w:styleId="CommentText">
    <w:name w:val="annotation text"/>
    <w:basedOn w:val="Normal"/>
    <w:link w:val="CommentTextChar"/>
    <w:rsid w:val="00DA520C"/>
  </w:style>
  <w:style w:type="character" w:customStyle="1" w:styleId="CommentTextChar">
    <w:name w:val="Comment Text Char"/>
    <w:basedOn w:val="DefaultParagraphFont"/>
    <w:link w:val="CommentText"/>
    <w:rsid w:val="00DA520C"/>
  </w:style>
  <w:style w:type="paragraph" w:styleId="CommentSubject">
    <w:name w:val="annotation subject"/>
    <w:basedOn w:val="CommentText"/>
    <w:next w:val="CommentText"/>
    <w:link w:val="CommentSubjectChar"/>
    <w:uiPriority w:val="99"/>
    <w:rsid w:val="00DA520C"/>
    <w:rPr>
      <w:b/>
      <w:bCs/>
    </w:rPr>
  </w:style>
  <w:style w:type="character" w:customStyle="1" w:styleId="CommentSubjectChar">
    <w:name w:val="Comment Subject Char"/>
    <w:basedOn w:val="CommentTextChar"/>
    <w:link w:val="CommentSubject"/>
    <w:uiPriority w:val="99"/>
    <w:rsid w:val="00DA520C"/>
    <w:rPr>
      <w:b/>
      <w:bCs/>
    </w:rPr>
  </w:style>
  <w:style w:type="paragraph" w:styleId="BalloonText">
    <w:name w:val="Balloon Text"/>
    <w:basedOn w:val="Normal"/>
    <w:link w:val="BalloonTextChar"/>
    <w:rsid w:val="00DA520C"/>
    <w:rPr>
      <w:rFonts w:ascii="Segoe UI" w:hAnsi="Segoe UI" w:cs="Segoe UI"/>
      <w:sz w:val="18"/>
      <w:szCs w:val="18"/>
    </w:rPr>
  </w:style>
  <w:style w:type="character" w:customStyle="1" w:styleId="BalloonTextChar">
    <w:name w:val="Balloon Text Char"/>
    <w:basedOn w:val="DefaultParagraphFont"/>
    <w:link w:val="BalloonText"/>
    <w:rsid w:val="00DA520C"/>
    <w:rPr>
      <w:rFonts w:ascii="Segoe UI" w:hAnsi="Segoe UI" w:cs="Segoe UI"/>
      <w:sz w:val="18"/>
      <w:szCs w:val="18"/>
    </w:rPr>
  </w:style>
  <w:style w:type="paragraph" w:styleId="NoSpacing">
    <w:name w:val="No Spacing"/>
    <w:uiPriority w:val="1"/>
    <w:qFormat/>
    <w:rsid w:val="00700E75"/>
    <w:rPr>
      <w:rFonts w:ascii="Tahoma" w:eastAsiaTheme="minorHAnsi" w:hAnsi="Tahoma" w:cs="Tahoma"/>
      <w:sz w:val="22"/>
      <w:szCs w:val="28"/>
      <w:u w:val="single"/>
    </w:rPr>
  </w:style>
  <w:style w:type="paragraph" w:customStyle="1" w:styleId="ban">
    <w:name w:val="ban"/>
    <w:rsid w:val="00700E75"/>
    <w:pPr>
      <w:widowControl w:val="0"/>
      <w:tabs>
        <w:tab w:val="left" w:pos="936"/>
        <w:tab w:val="left" w:pos="1314"/>
        <w:tab w:val="left" w:pos="1692"/>
        <w:tab w:val="left" w:pos="2070"/>
      </w:tabs>
      <w:suppressAutoHyphens/>
    </w:pPr>
    <w:rPr>
      <w:rFonts w:ascii="Arial" w:hAnsi="Arial"/>
      <w:sz w:val="22"/>
    </w:rPr>
  </w:style>
  <w:style w:type="paragraph" w:styleId="ListBullet">
    <w:name w:val="List Bullet"/>
    <w:basedOn w:val="Normal"/>
    <w:rsid w:val="00700E75"/>
    <w:pPr>
      <w:numPr>
        <w:numId w:val="1"/>
      </w:numPr>
      <w:ind w:left="0" w:firstLine="0"/>
      <w:contextualSpacing/>
    </w:pPr>
  </w:style>
  <w:style w:type="paragraph" w:styleId="PlainText">
    <w:name w:val="Plain Text"/>
    <w:basedOn w:val="Normal"/>
    <w:link w:val="PlainTextChar"/>
    <w:rsid w:val="00700E75"/>
    <w:rPr>
      <w:rFonts w:ascii="Courier New" w:hAnsi="Courier New" w:cs="Courier New"/>
    </w:rPr>
  </w:style>
  <w:style w:type="character" w:customStyle="1" w:styleId="PlainTextChar">
    <w:name w:val="Plain Text Char"/>
    <w:basedOn w:val="DefaultParagraphFont"/>
    <w:link w:val="PlainText"/>
    <w:rsid w:val="00700E75"/>
    <w:rPr>
      <w:rFonts w:ascii="Courier New" w:hAnsi="Courier New" w:cs="Courier New"/>
    </w:rPr>
  </w:style>
  <w:style w:type="paragraph" w:styleId="BodyTextIndent2">
    <w:name w:val="Body Text Indent 2"/>
    <w:basedOn w:val="Normal"/>
    <w:link w:val="BodyTextIndent2Char"/>
    <w:rsid w:val="00700E75"/>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700E75"/>
    <w:rPr>
      <w:b/>
      <w:sz w:val="22"/>
    </w:rPr>
  </w:style>
  <w:style w:type="paragraph" w:styleId="ListParagraph">
    <w:name w:val="List Paragraph"/>
    <w:basedOn w:val="Normal"/>
    <w:uiPriority w:val="34"/>
    <w:qFormat/>
    <w:rsid w:val="00700E75"/>
    <w:pPr>
      <w:ind w:left="720"/>
      <w:contextualSpacing/>
    </w:pPr>
  </w:style>
  <w:style w:type="paragraph" w:styleId="BodyTextIndent3">
    <w:name w:val="Body Text Indent 3"/>
    <w:basedOn w:val="Normal"/>
    <w:link w:val="BodyTextIndent3Char"/>
    <w:rsid w:val="00700E75"/>
    <w:pPr>
      <w:widowControl w:val="0"/>
      <w:tabs>
        <w:tab w:val="left" w:pos="936"/>
        <w:tab w:val="left" w:pos="1314"/>
        <w:tab w:val="left" w:pos="1692"/>
        <w:tab w:val="left" w:pos="2070"/>
      </w:tabs>
      <w:ind w:left="1692"/>
    </w:pPr>
    <w:rPr>
      <w:b/>
      <w:sz w:val="22"/>
    </w:rPr>
  </w:style>
  <w:style w:type="character" w:customStyle="1" w:styleId="BodyTextIndent3Char">
    <w:name w:val="Body Text Indent 3 Char"/>
    <w:basedOn w:val="DefaultParagraphFont"/>
    <w:link w:val="BodyTextIndent3"/>
    <w:rsid w:val="00700E75"/>
    <w:rPr>
      <w:b/>
      <w:sz w:val="22"/>
    </w:rPr>
  </w:style>
  <w:style w:type="character" w:customStyle="1" w:styleId="BodyTextIndentChar">
    <w:name w:val="Body Text Indent Char"/>
    <w:basedOn w:val="DefaultParagraphFont"/>
    <w:link w:val="BodyTextIndent"/>
    <w:rsid w:val="00700E75"/>
    <w:rPr>
      <w:rFonts w:ascii="Book Antiqua" w:hAnsi="Book Antiqua"/>
      <w:b/>
      <w:sz w:val="22"/>
    </w:rPr>
  </w:style>
  <w:style w:type="character" w:customStyle="1" w:styleId="HeaderChar">
    <w:name w:val="Header Char"/>
    <w:basedOn w:val="DefaultParagraphFont"/>
    <w:link w:val="Header"/>
    <w:uiPriority w:val="99"/>
    <w:rsid w:val="00700E75"/>
  </w:style>
  <w:style w:type="character" w:customStyle="1" w:styleId="FooterChar">
    <w:name w:val="Footer Char"/>
    <w:basedOn w:val="DefaultParagraphFont"/>
    <w:link w:val="Footer"/>
    <w:uiPriority w:val="99"/>
    <w:rsid w:val="00700E75"/>
  </w:style>
  <w:style w:type="paragraph" w:styleId="Revision">
    <w:name w:val="Revision"/>
    <w:hidden/>
    <w:uiPriority w:val="99"/>
    <w:semiHidden/>
    <w:rsid w:val="00700E75"/>
  </w:style>
  <w:style w:type="character" w:customStyle="1" w:styleId="Heading2Char">
    <w:name w:val="Heading 2 Char"/>
    <w:link w:val="Heading2"/>
    <w:rsid w:val="00CF2175"/>
    <w:rPr>
      <w:rFonts w:ascii="Bookman Old Style" w:hAnsi="Bookman Old Style"/>
      <w:b/>
      <w:i/>
    </w:rPr>
  </w:style>
  <w:style w:type="paragraph" w:styleId="Title">
    <w:name w:val="Title"/>
    <w:basedOn w:val="Normal"/>
    <w:link w:val="TitleChar"/>
    <w:qFormat/>
    <w:rsid w:val="00CF2175"/>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CF2175"/>
    <w:rPr>
      <w:rFonts w:ascii="Helvetica" w:hAnsi="Helvetica"/>
      <w:b/>
      <w:sz w:val="22"/>
    </w:rPr>
  </w:style>
  <w:style w:type="paragraph" w:styleId="Subtitle">
    <w:name w:val="Subtitle"/>
    <w:basedOn w:val="Normal"/>
    <w:link w:val="SubtitleChar"/>
    <w:qFormat/>
    <w:rsid w:val="00CF2175"/>
    <w:pPr>
      <w:widowControl w:val="0"/>
      <w:tabs>
        <w:tab w:val="left" w:pos="936"/>
        <w:tab w:val="left" w:pos="1314"/>
        <w:tab w:val="left" w:pos="1692"/>
        <w:tab w:val="left" w:pos="2070"/>
      </w:tabs>
    </w:pPr>
    <w:rPr>
      <w:rFonts w:ascii="Helvetica" w:hAnsi="Helvetica"/>
      <w:b/>
      <w:sz w:val="22"/>
    </w:rPr>
  </w:style>
  <w:style w:type="character" w:customStyle="1" w:styleId="SubtitleChar">
    <w:name w:val="Subtitle Char"/>
    <w:basedOn w:val="DefaultParagraphFont"/>
    <w:link w:val="Subtitle"/>
    <w:rsid w:val="00CF2175"/>
    <w:rPr>
      <w:rFonts w:ascii="Helvetica" w:hAnsi="Helvetic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4990</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20</cp:revision>
  <cp:lastPrinted>2023-05-01T15:08:00Z</cp:lastPrinted>
  <dcterms:created xsi:type="dcterms:W3CDTF">2023-01-27T17:50:00Z</dcterms:created>
  <dcterms:modified xsi:type="dcterms:W3CDTF">2023-05-01T16:18:00Z</dcterms:modified>
</cp:coreProperties>
</file>