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F73F3" w:rsidR="000537DA" w:rsidP="000F315B" w:rsidRDefault="000537DA" w14:paraId="4D13015A" w14:textId="77777777">
      <w:pPr>
        <w:framePr w:w="6926" w:hSpace="187" w:wrap="notBeside" w:hAnchor="page" w:vAnchor="page" w:x="2884" w:y="711"/>
        <w:jc w:val="center"/>
        <w:rPr>
          <w:rFonts w:ascii="Arial" w:hAnsi="Arial"/>
          <w:sz w:val="36"/>
        </w:rPr>
      </w:pPr>
      <w:bookmarkStart w:name="_Hlk203127234" w:id="0"/>
      <w:bookmarkEnd w:id="0"/>
      <w:r w:rsidRPr="00BF73F3">
        <w:rPr>
          <w:rFonts w:ascii="Arial" w:hAnsi="Arial"/>
          <w:sz w:val="36"/>
        </w:rPr>
        <w:t>The Commonwealth of Massachusetts</w:t>
      </w:r>
    </w:p>
    <w:p w:rsidRPr="00BF73F3" w:rsidR="000537DA" w:rsidP="000F315B" w:rsidRDefault="000537DA" w14:paraId="6D27BA80" w14:textId="77777777">
      <w:pPr>
        <w:pStyle w:val="ExecOffice"/>
        <w:framePr w:w="6926" w:wrap="notBeside" w:vAnchor="page" w:x="2884" w:y="711"/>
      </w:pPr>
      <w:r w:rsidRPr="00BF73F3">
        <w:t>Executive Office of Health and Human Services</w:t>
      </w:r>
    </w:p>
    <w:p w:rsidRPr="00BF73F3" w:rsidR="00D76119" w:rsidP="00D76119" w:rsidRDefault="000537DA" w14:paraId="2FE9E88A" w14:textId="635A6638">
      <w:pPr>
        <w:pStyle w:val="ExecOffice"/>
        <w:framePr w:w="6926" w:wrap="notBeside" w:vAnchor="page" w:x="2884" w:y="711"/>
      </w:pPr>
      <w:r w:rsidRPr="00BF73F3">
        <w:t>Department of Public Health</w:t>
      </w:r>
    </w:p>
    <w:p w:rsidRPr="00BF73F3" w:rsidR="006D06D9" w:rsidP="000F315B" w:rsidRDefault="000537DA" w14:paraId="0958205A" w14:textId="77777777">
      <w:pPr>
        <w:pStyle w:val="ExecOffice"/>
        <w:framePr w:w="6926" w:wrap="notBeside" w:vAnchor="page" w:x="2884" w:y="711"/>
        <w:rPr>
          <w:sz w:val="24"/>
          <w:szCs w:val="18"/>
        </w:rPr>
      </w:pPr>
      <w:r w:rsidRPr="00BF73F3">
        <w:rPr>
          <w:sz w:val="24"/>
          <w:szCs w:val="18"/>
        </w:rPr>
        <w:t>250 Washington Street, Boston, MA 02108-4619</w:t>
      </w:r>
    </w:p>
    <w:p w:rsidRPr="00BF73F3" w:rsidR="0017749A" w:rsidP="000F315B" w:rsidRDefault="0017749A" w14:paraId="10BFC7A4" w14:textId="1D6C16C5">
      <w:pPr>
        <w:pStyle w:val="ExecOffice"/>
        <w:framePr w:w="6926" w:wrap="notBeside" w:vAnchor="page" w:x="2884" w:y="711"/>
        <w:rPr>
          <w:sz w:val="24"/>
          <w:szCs w:val="18"/>
        </w:rPr>
      </w:pPr>
      <w:r w:rsidRPr="00BF73F3">
        <w:rPr>
          <w:sz w:val="24"/>
          <w:szCs w:val="18"/>
        </w:rPr>
        <w:t>617-624-6000 | mass.gov/dph</w:t>
      </w:r>
    </w:p>
    <w:p w:rsidRPr="00BF73F3" w:rsidR="00BA4055" w:rsidP="00E814A1" w:rsidRDefault="00E814A1" w14:paraId="14DDC802" w14:textId="3FA133ED">
      <w:pPr>
        <w:framePr w:w="2300" w:hSpace="180" w:wrap="auto" w:hAnchor="page" w:vAnchor="text" w:x="940" w:y="-951"/>
        <w:ind w:left="630"/>
        <w:rPr>
          <w:rFonts w:ascii="LinePrinter" w:hAnsi="LinePrinter"/>
        </w:rPr>
      </w:pPr>
      <w:r w:rsidRPr="00BF73F3">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Pr="00BF73F3" w:rsidR="00FC6B42" w:rsidP="0072610D" w:rsidRDefault="00FC6B42" w14:paraId="33866557" w14:textId="7B11C513"/>
    <w:p w:rsidRPr="00BF73F3" w:rsidR="00802852" w:rsidP="0072610D" w:rsidRDefault="00802852" w14:paraId="5523EF4D" w14:textId="77777777">
      <w:pPr>
        <w:rPr>
          <w:rFonts w:ascii="Arial" w:hAnsi="Arial" w:cs="Arial"/>
          <w:b/>
          <w:bCs/>
        </w:rPr>
        <w:sectPr w:rsidRPr="00BF73F3" w:rsidR="00802852">
          <w:pgSz w:w="12240" w:h="15840" w:orient="portrait"/>
          <w:pgMar w:top="1440" w:right="1440" w:bottom="1440" w:left="1440" w:header="720" w:footer="720" w:gutter="0"/>
          <w:cols w:space="720"/>
        </w:sectPr>
      </w:pPr>
    </w:p>
    <w:p w:rsidRPr="00BF73F3" w:rsidR="00802852" w:rsidP="0072610D" w:rsidRDefault="00E814A1" w14:paraId="70EB315F" w14:textId="77777777">
      <w:pPr>
        <w:rPr>
          <w:rFonts w:ascii="Arial" w:hAnsi="Arial" w:cs="Arial"/>
          <w:b/>
          <w:bCs/>
        </w:rPr>
      </w:pPr>
      <w:r w:rsidRPr="00BF73F3">
        <w:rPr>
          <w:rFonts w:ascii="Arial" w:hAnsi="Arial" w:cs="Arial"/>
          <w:b/>
          <w:bCs/>
        </w:rPr>
        <w:t>Maura T. Healey</w:t>
      </w:r>
    </w:p>
    <w:p w:rsidRPr="00BF73F3" w:rsidR="0088305B" w:rsidP="000C2E20" w:rsidRDefault="00802852" w14:paraId="25BE71A6" w14:textId="51C5E49E">
      <w:pPr>
        <w:spacing w:line="360" w:lineRule="auto"/>
        <w:rPr>
          <w:rFonts w:ascii="Arial" w:hAnsi="Arial" w:cs="Arial"/>
        </w:rPr>
      </w:pPr>
      <w:r w:rsidRPr="00BF73F3">
        <w:rPr>
          <w:rFonts w:ascii="Arial" w:hAnsi="Arial" w:cs="Arial"/>
        </w:rPr>
        <w:t>Governor</w:t>
      </w:r>
    </w:p>
    <w:p w:rsidRPr="00BF73F3" w:rsidR="00951305" w:rsidP="0072610D" w:rsidRDefault="0088305B" w14:paraId="19D02B02" w14:textId="77777777">
      <w:pPr>
        <w:rPr>
          <w:rFonts w:ascii="Arial" w:hAnsi="Arial" w:cs="Arial"/>
        </w:rPr>
      </w:pPr>
      <w:r w:rsidRPr="00BF73F3">
        <w:rPr>
          <w:rFonts w:ascii="Arial" w:hAnsi="Arial" w:cs="Arial"/>
          <w:b/>
          <w:bCs/>
        </w:rPr>
        <w:t>Kimberley Driscoll</w:t>
      </w:r>
    </w:p>
    <w:p w:rsidRPr="00BF73F3" w:rsidR="00FC6B42" w:rsidP="0072610D" w:rsidRDefault="0088305B" w14:paraId="45EA865C" w14:textId="703E4E09">
      <w:pPr>
        <w:rPr>
          <w:rFonts w:ascii="Arial" w:hAnsi="Arial" w:cs="Arial"/>
        </w:rPr>
      </w:pPr>
      <w:r w:rsidRPr="00BF73F3">
        <w:rPr>
          <w:rFonts w:ascii="Arial" w:hAnsi="Arial" w:cs="Arial"/>
        </w:rPr>
        <w:t>Lieutenant Governor</w:t>
      </w:r>
      <w:r w:rsidRPr="00BF73F3" w:rsidR="00237280">
        <w:rPr>
          <w:rFonts w:ascii="Arial" w:hAnsi="Arial" w:cs="Arial"/>
          <w:b/>
          <w:bCs/>
        </w:rPr>
        <w:t xml:space="preserve"> </w:t>
      </w:r>
    </w:p>
    <w:p w:rsidRPr="00BF73F3" w:rsidR="007D1D51" w:rsidP="00802852" w:rsidRDefault="00802852" w14:paraId="723AD3B1" w14:textId="5030074F">
      <w:pPr>
        <w:jc w:val="right"/>
        <w:rPr>
          <w:rFonts w:ascii="Arial" w:hAnsi="Arial" w:cs="Arial"/>
        </w:rPr>
      </w:pPr>
      <w:r w:rsidRPr="00BF73F3">
        <w:rPr>
          <w:rFonts w:ascii="Arial" w:hAnsi="Arial" w:cs="Arial"/>
          <w:b/>
          <w:bCs/>
        </w:rPr>
        <w:t>Kiame Mahaniah, MD</w:t>
      </w:r>
      <w:r w:rsidRPr="00BF73F3" w:rsidR="000164B3">
        <w:rPr>
          <w:rFonts w:ascii="Arial" w:hAnsi="Arial" w:cs="Arial"/>
          <w:b/>
          <w:bCs/>
        </w:rPr>
        <w:t>, MBA</w:t>
      </w:r>
    </w:p>
    <w:p w:rsidRPr="00BF73F3" w:rsidR="00033154" w:rsidP="007D1D51" w:rsidRDefault="00237280" w14:paraId="51314366" w14:textId="498AF08B">
      <w:pPr>
        <w:spacing w:line="360" w:lineRule="auto"/>
        <w:jc w:val="right"/>
        <w:rPr>
          <w:rFonts w:ascii="Arial" w:hAnsi="Arial" w:cs="Arial"/>
        </w:rPr>
      </w:pPr>
      <w:r w:rsidRPr="00BF73F3">
        <w:rPr>
          <w:rFonts w:ascii="Arial" w:hAnsi="Arial" w:cs="Arial"/>
        </w:rPr>
        <w:t>Secretary</w:t>
      </w:r>
    </w:p>
    <w:p w:rsidRPr="00BF73F3" w:rsidR="00951305" w:rsidP="00802852" w:rsidRDefault="00951305" w14:paraId="49013D2D" w14:textId="509F30C9">
      <w:pPr>
        <w:jc w:val="right"/>
        <w:rPr>
          <w:rFonts w:ascii="Arial" w:hAnsi="Arial" w:cs="Arial"/>
          <w:b/>
          <w:bCs/>
        </w:rPr>
      </w:pPr>
      <w:r w:rsidRPr="00BF73F3">
        <w:rPr>
          <w:rFonts w:ascii="Arial" w:hAnsi="Arial" w:cs="Arial"/>
          <w:b/>
          <w:bCs/>
        </w:rPr>
        <w:t>Robert Goldstein, MD, PhD</w:t>
      </w:r>
    </w:p>
    <w:p w:rsidRPr="00BF73F3" w:rsidR="00802852" w:rsidP="00951305" w:rsidRDefault="00951305" w14:paraId="5EA03CA8" w14:textId="7173ADCA">
      <w:pPr>
        <w:jc w:val="right"/>
        <w:rPr>
          <w:rFonts w:ascii="Arial" w:hAnsi="Arial" w:cs="Arial"/>
        </w:rPr>
        <w:sectPr w:rsidRPr="00BF73F3" w:rsidR="00802852" w:rsidSect="00802852">
          <w:type w:val="continuous"/>
          <w:pgSz w:w="12240" w:h="15840" w:orient="portrait"/>
          <w:pgMar w:top="1440" w:right="1440" w:bottom="1440" w:left="1440" w:header="720" w:footer="720" w:gutter="0"/>
          <w:cols w:space="720" w:num="2"/>
        </w:sectPr>
      </w:pPr>
      <w:r w:rsidRPr="00BF73F3">
        <w:rPr>
          <w:rFonts w:ascii="Arial" w:hAnsi="Arial" w:cs="Arial"/>
        </w:rPr>
        <w:t>Commissione</w:t>
      </w:r>
      <w:r w:rsidRPr="00BF73F3" w:rsidR="00D10DDE">
        <w:rPr>
          <w:rFonts w:ascii="Arial" w:hAnsi="Arial" w:cs="Arial"/>
        </w:rPr>
        <w:t>r</w:t>
      </w:r>
    </w:p>
    <w:p w:rsidRPr="00BF73F3" w:rsidR="00D10DDE" w:rsidP="0072610D" w:rsidRDefault="00D10DDE" w14:paraId="76751140" w14:textId="77777777"/>
    <w:p w:rsidRPr="00BF73F3" w:rsidR="007210FB" w:rsidP="0072610D" w:rsidRDefault="007210FB" w14:paraId="74BAC1E1" w14:textId="77777777"/>
    <w:p w:rsidRPr="00BF73F3" w:rsidR="00BD69D7" w:rsidP="0072610D" w:rsidRDefault="00BD69D7" w14:paraId="287D272C" w14:textId="77777777"/>
    <w:p w:rsidRPr="00BF73F3" w:rsidR="00BD69D7" w:rsidP="08342302" w:rsidRDefault="003A450B" w14:paraId="5BC283EC" w14:textId="632006D1">
      <w:pPr>
        <w:textAlignment w:val="baseline"/>
        <w:rPr>
          <w:rFonts w:asciiTheme="minorHAnsi" w:hAnsiTheme="minorHAnsi" w:cstheme="minorBidi"/>
          <w:sz w:val="22"/>
          <w:szCs w:val="22"/>
        </w:rPr>
      </w:pPr>
      <w:r w:rsidRPr="00BA0E57">
        <w:rPr>
          <w:rFonts w:asciiTheme="minorHAnsi" w:hAnsiTheme="minorHAnsi" w:cstheme="minorBidi"/>
          <w:sz w:val="22"/>
          <w:szCs w:val="22"/>
        </w:rPr>
        <w:t xml:space="preserve">January </w:t>
      </w:r>
      <w:r w:rsidR="00567111">
        <w:rPr>
          <w:rFonts w:asciiTheme="minorHAnsi" w:hAnsiTheme="minorHAnsi" w:cstheme="minorBidi"/>
          <w:sz w:val="22"/>
          <w:szCs w:val="22"/>
        </w:rPr>
        <w:t xml:space="preserve">22, </w:t>
      </w:r>
      <w:r w:rsidRPr="00BA0E57">
        <w:rPr>
          <w:rFonts w:asciiTheme="minorHAnsi" w:hAnsiTheme="minorHAnsi" w:cstheme="minorBidi"/>
          <w:sz w:val="22"/>
          <w:szCs w:val="22"/>
        </w:rPr>
        <w:t>2026</w:t>
      </w:r>
    </w:p>
    <w:p w:rsidRPr="00BF73F3" w:rsidR="003A450B" w:rsidP="08342302" w:rsidRDefault="003A450B" w14:paraId="16804A03" w14:textId="77777777">
      <w:pPr>
        <w:textAlignment w:val="baseline"/>
        <w:rPr>
          <w:rFonts w:asciiTheme="minorHAnsi" w:hAnsiTheme="minorHAnsi" w:cstheme="minorBidi"/>
          <w:sz w:val="22"/>
          <w:szCs w:val="22"/>
        </w:rPr>
      </w:pPr>
    </w:p>
    <w:p w:rsidRPr="00BF73F3" w:rsidR="003A450B" w:rsidP="003A450B" w:rsidRDefault="003A450B" w14:paraId="6144E6F0" w14:textId="77777777">
      <w:pPr>
        <w:rPr>
          <w:rFonts w:ascii="Calibri" w:hAnsi="Calibri" w:cs="Calibri"/>
          <w:sz w:val="22"/>
          <w:szCs w:val="22"/>
        </w:rPr>
      </w:pPr>
      <w:r w:rsidRPr="00BF73F3">
        <w:rPr>
          <w:rFonts w:ascii="Calibri" w:hAnsi="Calibri" w:cs="Calibri"/>
          <w:sz w:val="22"/>
          <w:szCs w:val="22"/>
        </w:rPr>
        <w:t>Laurie Tobey Freedman</w:t>
      </w:r>
    </w:p>
    <w:p w:rsidRPr="00BF73F3" w:rsidR="003A450B" w:rsidP="003A450B" w:rsidRDefault="003A450B" w14:paraId="2B5C6EC3" w14:textId="77777777">
      <w:pPr>
        <w:rPr>
          <w:rFonts w:ascii="Calibri" w:hAnsi="Calibri" w:cs="Calibri"/>
          <w:sz w:val="22"/>
          <w:szCs w:val="22"/>
        </w:rPr>
      </w:pPr>
      <w:r w:rsidRPr="00BF73F3">
        <w:rPr>
          <w:rFonts w:ascii="Calibri" w:hAnsi="Calibri" w:cs="Calibri"/>
          <w:sz w:val="22"/>
          <w:szCs w:val="22"/>
        </w:rPr>
        <w:t>Eliot Malden Early Intervention Program</w:t>
      </w:r>
    </w:p>
    <w:p w:rsidRPr="00BF73F3" w:rsidR="003A450B" w:rsidP="003A450B" w:rsidRDefault="003A450B" w14:paraId="1412060F" w14:textId="77777777">
      <w:pPr>
        <w:rPr>
          <w:rFonts w:ascii="Calibri" w:hAnsi="Calibri" w:cs="Calibri"/>
          <w:sz w:val="22"/>
          <w:szCs w:val="22"/>
        </w:rPr>
      </w:pPr>
      <w:r w:rsidRPr="00BF73F3">
        <w:rPr>
          <w:rFonts w:ascii="Calibri" w:hAnsi="Calibri" w:cs="Calibri"/>
          <w:sz w:val="22"/>
          <w:szCs w:val="22"/>
        </w:rPr>
        <w:t>43 Dartmouth St.</w:t>
      </w:r>
      <w:r w:rsidRPr="00BF73F3">
        <w:rPr>
          <w:rFonts w:ascii="Calibri" w:hAnsi="Calibri" w:cs="Calibri"/>
          <w:sz w:val="22"/>
          <w:szCs w:val="22"/>
        </w:rPr>
        <w:br/>
      </w:r>
      <w:r w:rsidRPr="00BF73F3">
        <w:rPr>
          <w:rFonts w:ascii="Calibri" w:hAnsi="Calibri" w:cs="Calibri"/>
          <w:sz w:val="22"/>
          <w:szCs w:val="22"/>
        </w:rPr>
        <w:t>Malden, MA 02148</w:t>
      </w:r>
    </w:p>
    <w:p w:rsidRPr="00BF73F3" w:rsidR="003A450B" w:rsidP="003A450B" w:rsidRDefault="003A450B" w14:paraId="127F316A" w14:textId="77777777">
      <w:pPr>
        <w:rPr>
          <w:rFonts w:ascii="Calibri" w:hAnsi="Calibri" w:cs="Calibri"/>
          <w:sz w:val="22"/>
          <w:szCs w:val="22"/>
        </w:rPr>
      </w:pPr>
    </w:p>
    <w:p w:rsidRPr="00BF73F3" w:rsidR="00BD69D7" w:rsidP="00BD69D7" w:rsidRDefault="00BD69D7" w14:paraId="4F7B8700" w14:textId="1D2F0A82">
      <w:pPr>
        <w:textAlignment w:val="baseline"/>
        <w:rPr>
          <w:rFonts w:asciiTheme="minorHAnsi" w:hAnsiTheme="minorHAnsi" w:cstheme="minorHAnsi"/>
          <w:sz w:val="18"/>
          <w:szCs w:val="18"/>
        </w:rPr>
      </w:pPr>
    </w:p>
    <w:p w:rsidRPr="00BF73F3" w:rsidR="00BD69D7" w:rsidP="00BD69D7" w:rsidRDefault="00BD69D7" w14:paraId="50F6F2DA" w14:textId="0F4D07D5">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Dear </w:t>
      </w:r>
      <w:r w:rsidRPr="00BF73F3" w:rsidR="0081106D">
        <w:rPr>
          <w:rFonts w:asciiTheme="minorHAnsi" w:hAnsiTheme="minorHAnsi" w:cstheme="minorHAnsi"/>
          <w:sz w:val="22"/>
          <w:szCs w:val="22"/>
        </w:rPr>
        <w:t>Laurie</w:t>
      </w:r>
      <w:r w:rsidR="00EC18F3">
        <w:rPr>
          <w:rFonts w:asciiTheme="minorHAnsi" w:hAnsiTheme="minorHAnsi" w:cstheme="minorHAnsi"/>
          <w:sz w:val="22"/>
          <w:szCs w:val="22"/>
        </w:rPr>
        <w:t>,</w:t>
      </w:r>
    </w:p>
    <w:p w:rsidRPr="00BF73F3" w:rsidR="00BD69D7" w:rsidP="00BD69D7" w:rsidRDefault="00BD69D7" w14:paraId="2CCF6598" w14:textId="77777777">
      <w:pPr>
        <w:textAlignment w:val="baseline"/>
        <w:rPr>
          <w:rFonts w:asciiTheme="minorHAnsi" w:hAnsiTheme="minorHAnsi" w:cstheme="minorHAnsi"/>
          <w:sz w:val="18"/>
          <w:szCs w:val="18"/>
        </w:rPr>
      </w:pPr>
    </w:p>
    <w:p w:rsidRPr="00BF73F3" w:rsidR="00BD69D7" w:rsidP="00BD69D7" w:rsidRDefault="00BD69D7" w14:paraId="2B794E3D"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BF73F3" w:rsidR="00BD69D7" w:rsidP="00BD69D7" w:rsidRDefault="00BD69D7" w14:paraId="67BB41B7" w14:textId="77777777">
      <w:pPr>
        <w:textAlignment w:val="baseline"/>
        <w:rPr>
          <w:rFonts w:asciiTheme="minorHAnsi" w:hAnsiTheme="minorHAnsi" w:cstheme="minorHAnsi"/>
          <w:sz w:val="22"/>
          <w:szCs w:val="22"/>
        </w:rPr>
      </w:pPr>
    </w:p>
    <w:p w:rsidRPr="00BF73F3" w:rsidR="00BD69D7" w:rsidP="00BD69D7" w:rsidRDefault="00BD69D7" w14:paraId="15D4F53B" w14:textId="77777777">
      <w:pPr>
        <w:textAlignment w:val="baseline"/>
        <w:rPr>
          <w:rFonts w:asciiTheme="minorHAnsi" w:hAnsiTheme="minorHAnsi" w:cstheme="minorHAnsi"/>
          <w:sz w:val="18"/>
          <w:szCs w:val="18"/>
        </w:rPr>
      </w:pPr>
      <w:r w:rsidRPr="00BF73F3">
        <w:rPr>
          <w:rFonts w:asciiTheme="minorHAnsi" w:hAnsiTheme="minorHAnsi" w:cstheme="minorHAnsi"/>
          <w:sz w:val="22"/>
          <w:szCs w:val="22"/>
        </w:rPr>
        <w:t>Those requirements include:  </w:t>
      </w:r>
    </w:p>
    <w:p w:rsidRPr="00BF73F3" w:rsidR="00BD69D7" w:rsidP="00BD69D7" w:rsidRDefault="00BD69D7" w14:paraId="25D0938E" w14:textId="77777777">
      <w:pPr>
        <w:textAlignment w:val="baseline"/>
        <w:rPr>
          <w:rFonts w:asciiTheme="minorHAnsi" w:hAnsiTheme="minorHAnsi" w:cstheme="minorHAnsi"/>
          <w:sz w:val="18"/>
          <w:szCs w:val="18"/>
        </w:rPr>
      </w:pPr>
      <w:r w:rsidRPr="00BF73F3">
        <w:rPr>
          <w:rFonts w:asciiTheme="minorHAnsi" w:hAnsiTheme="minorHAnsi" w:cstheme="minorHAnsi"/>
          <w:sz w:val="22"/>
          <w:szCs w:val="22"/>
        </w:rPr>
        <w:t>1) Improving educational results and functional outcomes for all infants, toddlers, children, and youth with disabilities; and  </w:t>
      </w:r>
    </w:p>
    <w:p w:rsidRPr="00BF73F3" w:rsidR="00BD69D7" w:rsidP="00BD69D7" w:rsidRDefault="00BD69D7" w14:paraId="4DB96E20"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BF73F3" w:rsidR="00BD69D7" w:rsidP="00BD69D7" w:rsidRDefault="00BD69D7" w14:paraId="5DC29CA9" w14:textId="77777777">
      <w:pPr>
        <w:textAlignment w:val="baseline"/>
        <w:rPr>
          <w:rFonts w:asciiTheme="minorHAnsi" w:hAnsiTheme="minorHAnsi" w:cstheme="minorHAnsi"/>
          <w:sz w:val="22"/>
          <w:szCs w:val="22"/>
        </w:rPr>
      </w:pPr>
    </w:p>
    <w:p w:rsidRPr="00BF73F3" w:rsidR="00BD69D7" w:rsidP="00BD69D7" w:rsidRDefault="00BD69D7" w14:paraId="0E00F3D6" w14:textId="77777777">
      <w:pPr>
        <w:textAlignment w:val="baseline"/>
        <w:rPr>
          <w:rFonts w:asciiTheme="minorHAnsi" w:hAnsiTheme="minorHAnsi" w:cstheme="minorHAnsi"/>
          <w:sz w:val="18"/>
          <w:szCs w:val="18"/>
        </w:rPr>
      </w:pPr>
      <w:r w:rsidRPr="00BF73F3">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BF73F3" w:rsidR="00BD69D7" w:rsidP="00BD69D7" w:rsidRDefault="00BD69D7" w14:paraId="5597168F" w14:textId="77777777">
      <w:pPr>
        <w:numPr>
          <w:ilvl w:val="0"/>
          <w:numId w:val="2"/>
        </w:numPr>
        <w:textAlignment w:val="baseline"/>
        <w:rPr>
          <w:rFonts w:asciiTheme="minorHAnsi" w:hAnsiTheme="minorHAnsi" w:cstheme="minorHAnsi"/>
          <w:sz w:val="22"/>
          <w:szCs w:val="22"/>
        </w:rPr>
      </w:pPr>
      <w:r w:rsidRPr="00BF73F3">
        <w:rPr>
          <w:rFonts w:asciiTheme="minorHAnsi" w:hAnsiTheme="minorHAnsi" w:cstheme="minorHAnsi"/>
          <w:sz w:val="22"/>
          <w:szCs w:val="22"/>
        </w:rPr>
        <w:t>Compliance Indicators (45 Day IFSP timeline, timely services, service delivery, and supervision) </w:t>
      </w:r>
    </w:p>
    <w:p w:rsidRPr="00BF73F3" w:rsidR="00BD69D7" w:rsidP="00BD69D7" w:rsidRDefault="00BD69D7" w14:paraId="2049402C" w14:textId="1AFE9DC4">
      <w:pPr>
        <w:numPr>
          <w:ilvl w:val="0"/>
          <w:numId w:val="2"/>
        </w:numPr>
        <w:textAlignment w:val="baseline"/>
        <w:rPr>
          <w:rFonts w:asciiTheme="minorHAnsi" w:hAnsiTheme="minorHAnsi" w:cstheme="minorHAnsi"/>
          <w:sz w:val="22"/>
          <w:szCs w:val="22"/>
        </w:rPr>
      </w:pPr>
      <w:r w:rsidRPr="00BF73F3">
        <w:rPr>
          <w:rFonts w:asciiTheme="minorHAnsi" w:hAnsiTheme="minorHAnsi" w:cstheme="minorHAnsi"/>
          <w:sz w:val="22"/>
          <w:szCs w:val="22"/>
        </w:rPr>
        <w:t>Results Indicators (services provided in the natural environment, child find, evaluations, assessments, and outcomes) </w:t>
      </w:r>
    </w:p>
    <w:p w:rsidRPr="00BF73F3" w:rsidR="00BD69D7" w:rsidP="00BD69D7" w:rsidRDefault="00BD69D7" w14:paraId="352F91C1" w14:textId="77777777">
      <w:pPr>
        <w:numPr>
          <w:ilvl w:val="0"/>
          <w:numId w:val="2"/>
        </w:numPr>
        <w:textAlignment w:val="baseline"/>
        <w:rPr>
          <w:rFonts w:asciiTheme="minorHAnsi" w:hAnsiTheme="minorHAnsi" w:cstheme="minorHAnsi"/>
          <w:sz w:val="22"/>
          <w:szCs w:val="22"/>
        </w:rPr>
      </w:pPr>
      <w:r w:rsidRPr="00BF73F3">
        <w:rPr>
          <w:rFonts w:asciiTheme="minorHAnsi" w:hAnsiTheme="minorHAnsi" w:cstheme="minorHAnsi"/>
          <w:sz w:val="22"/>
          <w:szCs w:val="22"/>
        </w:rPr>
        <w:t>Dispute Resolution and family rights </w:t>
      </w:r>
    </w:p>
    <w:p w:rsidRPr="00BF73F3" w:rsidR="00BD69D7" w:rsidP="00BD69D7" w:rsidRDefault="00BD69D7" w14:paraId="7CF774AC" w14:textId="77777777">
      <w:pPr>
        <w:numPr>
          <w:ilvl w:val="0"/>
          <w:numId w:val="2"/>
        </w:numPr>
        <w:textAlignment w:val="baseline"/>
        <w:rPr>
          <w:rFonts w:asciiTheme="minorHAnsi" w:hAnsiTheme="minorHAnsi" w:cstheme="minorHAnsi"/>
          <w:sz w:val="22"/>
          <w:szCs w:val="22"/>
        </w:rPr>
      </w:pPr>
      <w:r w:rsidRPr="00BF73F3">
        <w:rPr>
          <w:rFonts w:asciiTheme="minorHAnsi" w:hAnsiTheme="minorHAnsi" w:cstheme="minorHAnsi"/>
          <w:sz w:val="22"/>
          <w:szCs w:val="22"/>
        </w:rPr>
        <w:t>Data Quality (timely and accurate data entry) </w:t>
      </w:r>
    </w:p>
    <w:p w:rsidRPr="00BF73F3" w:rsidR="00BD69D7" w:rsidP="00BD69D7" w:rsidRDefault="00BD69D7" w14:paraId="3C43E957" w14:textId="77777777">
      <w:pPr>
        <w:numPr>
          <w:ilvl w:val="0"/>
          <w:numId w:val="2"/>
        </w:numPr>
        <w:textAlignment w:val="baseline"/>
        <w:rPr>
          <w:rFonts w:asciiTheme="minorHAnsi" w:hAnsiTheme="minorHAnsi" w:cstheme="minorHAnsi"/>
          <w:sz w:val="22"/>
          <w:szCs w:val="22"/>
        </w:rPr>
      </w:pPr>
      <w:r w:rsidRPr="00BF73F3">
        <w:rPr>
          <w:rFonts w:asciiTheme="minorHAnsi" w:hAnsiTheme="minorHAnsi" w:cstheme="minorHAnsi"/>
          <w:sz w:val="22"/>
          <w:szCs w:val="22"/>
        </w:rPr>
        <w:t>Fiscal (claims and responsibility)</w:t>
      </w:r>
    </w:p>
    <w:p w:rsidRPr="00BF73F3" w:rsidR="00BD69D7" w:rsidP="00BD69D7" w:rsidRDefault="00BD69D7" w14:paraId="145B7604" w14:textId="7AA35394">
      <w:pPr>
        <w:textAlignment w:val="baseline"/>
        <w:rPr>
          <w:rFonts w:asciiTheme="minorHAnsi" w:hAnsiTheme="minorHAnsi" w:cstheme="minorBidi"/>
          <w:sz w:val="18"/>
          <w:szCs w:val="18"/>
        </w:rPr>
      </w:pPr>
      <w:r w:rsidRPr="00BF73F3">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t>
      </w:r>
      <w:r w:rsidRPr="00BF73F3">
        <w:rPr>
          <w:rFonts w:asciiTheme="minorHAnsi" w:hAnsiTheme="minorHAnsi" w:cstheme="minorBidi"/>
          <w:sz w:val="22"/>
          <w:szCs w:val="22"/>
        </w:rPr>
        <w:t xml:space="preserve">with representatives from </w:t>
      </w:r>
      <w:r w:rsidRPr="00BF73F3" w:rsidR="00F15840">
        <w:rPr>
          <w:rFonts w:asciiTheme="minorHAnsi" w:hAnsiTheme="minorHAnsi" w:cstheme="minorBidi"/>
          <w:sz w:val="22"/>
          <w:szCs w:val="22"/>
        </w:rPr>
        <w:t>Eliot</w:t>
      </w:r>
      <w:r w:rsidRPr="00BF73F3">
        <w:rPr>
          <w:rFonts w:asciiTheme="minorHAnsi" w:hAnsiTheme="minorHAnsi" w:cstheme="minorBidi"/>
          <w:sz w:val="22"/>
          <w:szCs w:val="22"/>
        </w:rPr>
        <w:t xml:space="preserve"> </w:t>
      </w:r>
      <w:r w:rsidRPr="00BF73F3" w:rsidR="00F15840">
        <w:rPr>
          <w:rFonts w:asciiTheme="minorHAnsi" w:hAnsiTheme="minorHAnsi" w:cstheme="minorBidi"/>
          <w:sz w:val="22"/>
          <w:szCs w:val="22"/>
        </w:rPr>
        <w:t xml:space="preserve">Malden Early Intervention </w:t>
      </w:r>
      <w:r w:rsidRPr="00BF73F3">
        <w:rPr>
          <w:rFonts w:asciiTheme="minorHAnsi" w:hAnsiTheme="minorHAnsi" w:cstheme="minorBidi"/>
          <w:sz w:val="22"/>
          <w:szCs w:val="22"/>
        </w:rPr>
        <w:t xml:space="preserve">and families that participated in Part C services at </w:t>
      </w:r>
      <w:r w:rsidRPr="00BF73F3" w:rsidR="00F15840">
        <w:rPr>
          <w:rFonts w:asciiTheme="minorHAnsi" w:hAnsiTheme="minorHAnsi" w:cstheme="minorBidi"/>
          <w:sz w:val="22"/>
          <w:szCs w:val="22"/>
        </w:rPr>
        <w:t>Eliot Malden</w:t>
      </w:r>
      <w:r w:rsidRPr="00BF73F3">
        <w:rPr>
          <w:rFonts w:asciiTheme="minorHAnsi" w:hAnsiTheme="minorHAnsi" w:cstheme="minorBidi"/>
          <w:sz w:val="22"/>
          <w:szCs w:val="22"/>
        </w:rPr>
        <w:t>. In addition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Pr="00BF73F3" w:rsidR="00BD69D7" w:rsidP="00BD69D7" w:rsidRDefault="00BD69D7" w14:paraId="13CB2EE7" w14:textId="77777777">
      <w:pPr>
        <w:textAlignment w:val="baseline"/>
        <w:rPr>
          <w:rFonts w:asciiTheme="minorHAnsi" w:hAnsiTheme="minorHAnsi" w:cstheme="minorHAnsi"/>
          <w:sz w:val="22"/>
          <w:szCs w:val="22"/>
        </w:rPr>
      </w:pPr>
    </w:p>
    <w:p w:rsidRPr="00BF73F3" w:rsidR="00BD69D7" w:rsidP="00BD69D7" w:rsidRDefault="00BD69D7" w14:paraId="74D31747" w14:textId="32367156">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Based on its review of available documents, information, and interviews conducted, the EI Division has identified </w:t>
      </w:r>
      <w:r w:rsidRPr="00BF73F3" w:rsidR="00137434">
        <w:rPr>
          <w:rFonts w:asciiTheme="minorHAnsi" w:hAnsiTheme="minorHAnsi" w:cstheme="minorHAnsi"/>
          <w:sz w:val="22"/>
          <w:szCs w:val="22"/>
        </w:rPr>
        <w:t>8</w:t>
      </w:r>
      <w:r w:rsidRPr="00BF73F3">
        <w:rPr>
          <w:rFonts w:asciiTheme="minorHAnsi" w:hAnsiTheme="minorHAnsi" w:cstheme="minorHAnsi"/>
          <w:sz w:val="22"/>
          <w:szCs w:val="22"/>
        </w:rPr>
        <w:t xml:space="preserve"> findings of noncompliance with IDEA and state requirements described in further detail in the monitoring report, including any required actions.  </w:t>
      </w:r>
    </w:p>
    <w:p w:rsidRPr="00BF73F3" w:rsidR="00BD69D7" w:rsidP="00BD69D7" w:rsidRDefault="00BD69D7" w14:paraId="2BA59D26" w14:textId="4A087D62">
      <w:pPr>
        <w:spacing w:after="160" w:line="257" w:lineRule="auto"/>
        <w:textAlignment w:val="baseline"/>
        <w:rPr>
          <w:rFonts w:eastAsia="Aptos" w:asciiTheme="minorHAnsi" w:hAnsiTheme="minorHAnsi" w:cstheme="minorHAnsi"/>
          <w:sz w:val="22"/>
          <w:szCs w:val="22"/>
        </w:rPr>
      </w:pPr>
    </w:p>
    <w:p w:rsidRPr="00BF73F3" w:rsidR="00BD69D7" w:rsidP="00BD69D7" w:rsidRDefault="00BD69D7" w14:paraId="0B8A734E" w14:textId="77777777">
      <w:pPr>
        <w:textAlignment w:val="baseline"/>
        <w:rPr>
          <w:rFonts w:asciiTheme="minorHAnsi" w:hAnsiTheme="minorHAnsi" w:cstheme="minorHAnsi"/>
          <w:sz w:val="18"/>
          <w:szCs w:val="18"/>
        </w:rPr>
      </w:pPr>
      <w:r w:rsidRPr="00BF73F3">
        <w:rPr>
          <w:rFonts w:asciiTheme="minorHAnsi" w:hAnsiTheme="minorHAnsi" w:cstheme="minorHAnsi"/>
          <w:sz w:val="22"/>
          <w:szCs w:val="22"/>
        </w:rPr>
        <w:t>Summary of Monitoring Priorities and Outcomes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8"/>
        <w:gridCol w:w="4676"/>
      </w:tblGrid>
      <w:tr w:rsidRPr="00BF73F3" w:rsidR="00BF73F3" w:rsidTr="00B82828" w14:paraId="585AA097"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BF73F3" w:rsidR="00BD69D7" w:rsidP="006E498D" w:rsidRDefault="00BD69D7" w14:paraId="59762929" w14:textId="77777777">
            <w:pPr>
              <w:textAlignment w:val="baseline"/>
              <w:rPr>
                <w:rFonts w:asciiTheme="minorHAnsi" w:hAnsiTheme="minorHAnsi" w:cstheme="minorHAnsi"/>
                <w:szCs w:val="24"/>
              </w:rPr>
            </w:pPr>
            <w:r w:rsidRPr="00BF73F3">
              <w:rPr>
                <w:rFonts w:asciiTheme="minorHAnsi" w:hAnsiTheme="minorHAnsi" w:cstheme="minorHAnsi"/>
                <w:sz w:val="22"/>
                <w:szCs w:val="22"/>
              </w:rPr>
              <w:t>MONITORING COMPONENT  </w:t>
            </w:r>
          </w:p>
        </w:tc>
        <w:tc>
          <w:tcPr>
            <w:tcW w:w="4676"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BF73F3" w:rsidR="00BD69D7" w:rsidP="006E498D" w:rsidRDefault="00BD69D7" w14:paraId="25160215" w14:textId="77777777">
            <w:pPr>
              <w:textAlignment w:val="baseline"/>
              <w:rPr>
                <w:rFonts w:asciiTheme="minorHAnsi" w:hAnsiTheme="minorHAnsi" w:cstheme="minorHAnsi"/>
                <w:szCs w:val="24"/>
              </w:rPr>
            </w:pPr>
            <w:r w:rsidRPr="00BF73F3">
              <w:rPr>
                <w:rFonts w:asciiTheme="minorHAnsi" w:hAnsiTheme="minorHAnsi" w:cstheme="minorHAnsi"/>
                <w:sz w:val="22"/>
                <w:szCs w:val="22"/>
              </w:rPr>
              <w:t>FINDINGS SUMMARY </w:t>
            </w:r>
          </w:p>
        </w:tc>
      </w:tr>
      <w:tr w:rsidRPr="00BF73F3" w:rsidR="00BF73F3" w:rsidTr="00B82828" w14:paraId="645AF485"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BF73F3" w:rsidR="00E02230" w:rsidP="006E498D" w:rsidRDefault="00BD69D7" w14:paraId="1424B345" w14:textId="517443EB">
            <w:pPr>
              <w:textAlignment w:val="baseline"/>
              <w:rPr>
                <w:rFonts w:asciiTheme="minorHAnsi" w:hAnsiTheme="minorHAnsi" w:cstheme="minorHAnsi"/>
                <w:sz w:val="22"/>
                <w:szCs w:val="22"/>
              </w:rPr>
            </w:pPr>
            <w:r w:rsidRPr="00BF73F3">
              <w:rPr>
                <w:rFonts w:asciiTheme="minorHAnsi" w:hAnsiTheme="minorHAnsi" w:cstheme="minorHAnsi"/>
                <w:sz w:val="22"/>
                <w:szCs w:val="22"/>
              </w:rPr>
              <w:t>Compliance  </w:t>
            </w:r>
          </w:p>
          <w:p w:rsidRPr="00BF73F3" w:rsidR="003D2125" w:rsidP="006E498D" w:rsidRDefault="003D2125" w14:paraId="27CFAD34" w14:textId="2DCA9202">
            <w:pPr>
              <w:textAlignment w:val="baseline"/>
              <w:rPr>
                <w:rFonts w:asciiTheme="minorHAnsi" w:hAnsiTheme="minorHAnsi" w:cstheme="minorHAnsi"/>
                <w:szCs w:val="24"/>
              </w:rPr>
            </w:pPr>
          </w:p>
        </w:tc>
        <w:tc>
          <w:tcPr>
            <w:tcW w:w="4676" w:type="dxa"/>
            <w:tcBorders>
              <w:top w:val="single" w:color="auto" w:sz="6" w:space="0"/>
              <w:left w:val="single" w:color="auto" w:sz="6" w:space="0"/>
              <w:bottom w:val="single" w:color="auto" w:sz="6" w:space="0"/>
              <w:right w:val="single" w:color="auto" w:sz="6" w:space="0"/>
            </w:tcBorders>
            <w:hideMark/>
          </w:tcPr>
          <w:p w:rsidRPr="00BF73F3" w:rsidR="00BD69D7" w:rsidP="00C90274" w:rsidRDefault="00BD69D7" w14:paraId="4BDB274B" w14:textId="70BFD7A0">
            <w:pPr>
              <w:pStyle w:val="ListParagraph"/>
              <w:numPr>
                <w:ilvl w:val="1"/>
                <w:numId w:val="1"/>
              </w:num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The EI Division finds that the program </w:t>
            </w:r>
            <w:r w:rsidR="0008138E">
              <w:rPr>
                <w:rFonts w:asciiTheme="minorHAnsi" w:hAnsiTheme="minorHAnsi" w:cstheme="minorHAnsi"/>
                <w:sz w:val="22"/>
                <w:szCs w:val="22"/>
              </w:rPr>
              <w:t>does not</w:t>
            </w:r>
            <w:r w:rsidRPr="00BF73F3">
              <w:rPr>
                <w:rFonts w:asciiTheme="minorHAnsi" w:hAnsiTheme="minorHAnsi" w:cstheme="minorHAnsi"/>
                <w:sz w:val="22"/>
                <w:szCs w:val="22"/>
              </w:rPr>
              <w:t xml:space="preserve"> complete the</w:t>
            </w:r>
            <w:r w:rsidRPr="00BF73F3" w:rsidDel="0008138E" w:rsidR="006E7AB4">
              <w:rPr>
                <w:rFonts w:asciiTheme="minorHAnsi" w:hAnsiTheme="minorHAnsi" w:cstheme="minorHAnsi"/>
                <w:sz w:val="22"/>
                <w:szCs w:val="22"/>
              </w:rPr>
              <w:t xml:space="preserve"> </w:t>
            </w:r>
            <w:r w:rsidR="003B646A">
              <w:rPr>
                <w:rFonts w:asciiTheme="minorHAnsi" w:hAnsiTheme="minorHAnsi" w:cstheme="minorHAnsi"/>
                <w:sz w:val="22"/>
                <w:szCs w:val="22"/>
              </w:rPr>
              <w:t xml:space="preserve">requirement to provide </w:t>
            </w:r>
            <w:r w:rsidRPr="00BF73F3" w:rsidR="006E7AB4">
              <w:rPr>
                <w:rFonts w:asciiTheme="minorHAnsi" w:hAnsiTheme="minorHAnsi" w:cstheme="minorHAnsi"/>
                <w:sz w:val="22"/>
                <w:szCs w:val="22"/>
              </w:rPr>
              <w:t>IFSP</w:t>
            </w:r>
            <w:r w:rsidR="003B646A">
              <w:rPr>
                <w:rFonts w:asciiTheme="minorHAnsi" w:hAnsiTheme="minorHAnsi" w:cstheme="minorHAnsi"/>
                <w:sz w:val="22"/>
                <w:szCs w:val="22"/>
              </w:rPr>
              <w:t>s</w:t>
            </w:r>
            <w:r w:rsidRPr="00BF73F3" w:rsidR="006E7AB4">
              <w:rPr>
                <w:rFonts w:asciiTheme="minorHAnsi" w:hAnsiTheme="minorHAnsi" w:cstheme="minorHAnsi"/>
                <w:sz w:val="22"/>
                <w:szCs w:val="22"/>
              </w:rPr>
              <w:t xml:space="preserve"> in the family’s native language</w:t>
            </w:r>
            <w:r w:rsidRPr="00BF73F3">
              <w:rPr>
                <w:rFonts w:asciiTheme="minorHAnsi" w:hAnsiTheme="minorHAnsi" w:cstheme="minorHAnsi"/>
                <w:sz w:val="22"/>
                <w:szCs w:val="22"/>
              </w:rPr>
              <w:t xml:space="preserve"> unde</w:t>
            </w:r>
            <w:r w:rsidRPr="00BF73F3" w:rsidR="00C90274">
              <w:rPr>
                <w:rFonts w:asciiTheme="minorHAnsi" w:hAnsiTheme="minorHAnsi" w:cstheme="minorHAnsi"/>
                <w:sz w:val="22"/>
                <w:szCs w:val="22"/>
              </w:rPr>
              <w:t>r (34 CFR 303.342 (d) (1).</w:t>
            </w:r>
          </w:p>
          <w:p w:rsidRPr="00BF73F3" w:rsidR="007A733C" w:rsidP="007A733C" w:rsidRDefault="007A733C" w14:paraId="7FD40768" w14:textId="77777777">
            <w:pPr>
              <w:ind w:left="50"/>
              <w:textAlignment w:val="baseline"/>
              <w:rPr>
                <w:rFonts w:asciiTheme="minorHAnsi" w:hAnsiTheme="minorHAnsi" w:cstheme="minorHAnsi"/>
                <w:sz w:val="22"/>
                <w:szCs w:val="22"/>
              </w:rPr>
            </w:pPr>
          </w:p>
          <w:p w:rsidRPr="00BF73F3" w:rsidR="0081036C" w:rsidP="0081036C" w:rsidRDefault="0081036C" w14:paraId="01862E6E" w14:textId="2DAB7243">
            <w:pPr>
              <w:pStyle w:val="ListParagraph"/>
              <w:numPr>
                <w:ilvl w:val="1"/>
                <w:numId w:val="1"/>
              </w:num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The EI Division finds that the EIS program </w:t>
            </w:r>
            <w:r w:rsidR="00D16738">
              <w:rPr>
                <w:rFonts w:asciiTheme="minorHAnsi" w:hAnsiTheme="minorHAnsi" w:cstheme="minorHAnsi"/>
                <w:sz w:val="22"/>
                <w:szCs w:val="22"/>
              </w:rPr>
              <w:t xml:space="preserve">does not </w:t>
            </w:r>
            <w:r w:rsidRPr="00BF73F3">
              <w:rPr>
                <w:rFonts w:asciiTheme="minorHAnsi" w:hAnsiTheme="minorHAnsi" w:cstheme="minorHAnsi"/>
                <w:sz w:val="22"/>
                <w:szCs w:val="22"/>
              </w:rPr>
              <w:t>complete the</w:t>
            </w:r>
            <w:r w:rsidRPr="00BF73F3" w:rsidDel="00D16738">
              <w:rPr>
                <w:rFonts w:asciiTheme="minorHAnsi" w:hAnsiTheme="minorHAnsi" w:cstheme="minorHAnsi"/>
                <w:sz w:val="22"/>
                <w:szCs w:val="22"/>
              </w:rPr>
              <w:t xml:space="preserve"> </w:t>
            </w:r>
            <w:r w:rsidRPr="00BF73F3">
              <w:rPr>
                <w:rFonts w:ascii="Calibri" w:hAnsi="Calibri" w:cs="Calibri"/>
                <w:sz w:val="22"/>
                <w:szCs w:val="22"/>
              </w:rPr>
              <w:t>service delivery</w:t>
            </w:r>
            <w:r w:rsidR="00D16738">
              <w:rPr>
                <w:rFonts w:ascii="Calibri" w:hAnsi="Calibri" w:cs="Calibri"/>
                <w:sz w:val="22"/>
                <w:szCs w:val="22"/>
              </w:rPr>
              <w:t xml:space="preserve"> requirement</w:t>
            </w:r>
            <w:r w:rsidRPr="00BF73F3">
              <w:rPr>
                <w:rFonts w:ascii="Calibri" w:hAnsi="Calibri" w:cs="Calibri"/>
                <w:sz w:val="22"/>
                <w:szCs w:val="22"/>
              </w:rPr>
              <w:t xml:space="preserve"> under EIOS Page 32 and (34 CFR 303.344(d)(1); 34 CFR 303.344(d)(1)(2)).</w:t>
            </w:r>
          </w:p>
          <w:p w:rsidRPr="00BF73F3" w:rsidR="002E3313" w:rsidP="002E3313" w:rsidRDefault="002E3313" w14:paraId="56F5FEB4" w14:textId="77777777">
            <w:pPr>
              <w:pStyle w:val="ListParagraph"/>
              <w:rPr>
                <w:rFonts w:asciiTheme="minorHAnsi" w:hAnsiTheme="minorHAnsi" w:cstheme="minorHAnsi"/>
                <w:sz w:val="22"/>
                <w:szCs w:val="22"/>
              </w:rPr>
            </w:pPr>
          </w:p>
          <w:p w:rsidRPr="00BF73F3" w:rsidR="002E3313" w:rsidP="002E3313" w:rsidRDefault="002E3313" w14:paraId="3F88A823" w14:textId="17C77C89">
            <w:pPr>
              <w:pStyle w:val="ListParagraph"/>
              <w:numPr>
                <w:ilvl w:val="1"/>
                <w:numId w:val="1"/>
              </w:num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The EI Division finds that the program has not established </w:t>
            </w:r>
            <w:r w:rsidR="00791E8D">
              <w:rPr>
                <w:rFonts w:asciiTheme="minorHAnsi" w:hAnsiTheme="minorHAnsi" w:cstheme="minorHAnsi"/>
                <w:sz w:val="22"/>
                <w:szCs w:val="22"/>
              </w:rPr>
              <w:t xml:space="preserve">reasonably designed </w:t>
            </w:r>
            <w:r w:rsidRPr="00BF73F3">
              <w:rPr>
                <w:rFonts w:asciiTheme="minorHAnsi" w:hAnsiTheme="minorHAnsi" w:cstheme="minorHAnsi"/>
                <w:sz w:val="22"/>
                <w:szCs w:val="22"/>
              </w:rPr>
              <w:t>policies and procedures to ensure appropriate demonstration of and adherence</w:t>
            </w:r>
            <w:r w:rsidRPr="00BF73F3" w:rsidR="00D32DAF">
              <w:rPr>
                <w:rFonts w:asciiTheme="minorHAnsi" w:hAnsiTheme="minorHAnsi" w:cstheme="minorHAnsi"/>
                <w:sz w:val="22"/>
                <w:szCs w:val="22"/>
              </w:rPr>
              <w:t xml:space="preserve"> to</w:t>
            </w:r>
            <w:r w:rsidRPr="00BF73F3">
              <w:rPr>
                <w:rFonts w:asciiTheme="minorHAnsi" w:hAnsiTheme="minorHAnsi" w:cstheme="minorHAnsi"/>
                <w:sz w:val="22"/>
                <w:szCs w:val="22"/>
              </w:rPr>
              <w:t xml:space="preserve"> all transition requirements and timelines, as required under 34 CFR §303.209, EIOS pages 35-42.</w:t>
            </w:r>
          </w:p>
          <w:p w:rsidRPr="00BF73F3" w:rsidR="00750BEC" w:rsidP="002E3313" w:rsidRDefault="00750BEC" w14:paraId="66200E13" w14:textId="2F7E943B">
            <w:pPr>
              <w:textAlignment w:val="baseline"/>
              <w:rPr>
                <w:rFonts w:asciiTheme="minorHAnsi" w:hAnsiTheme="minorHAnsi" w:cstheme="minorHAnsi"/>
                <w:sz w:val="22"/>
                <w:szCs w:val="22"/>
              </w:rPr>
            </w:pPr>
          </w:p>
          <w:p w:rsidRPr="00BF73F3" w:rsidR="00BD69D7" w:rsidP="006E498D" w:rsidRDefault="00BD69D7" w14:paraId="5C487FC8" w14:textId="77777777">
            <w:pPr>
              <w:textAlignment w:val="baseline"/>
              <w:rPr>
                <w:rFonts w:asciiTheme="minorHAnsi" w:hAnsiTheme="minorHAnsi" w:cstheme="minorHAnsi"/>
                <w:sz w:val="22"/>
                <w:szCs w:val="22"/>
              </w:rPr>
            </w:pPr>
          </w:p>
        </w:tc>
      </w:tr>
      <w:tr w:rsidRPr="00BF73F3" w:rsidR="00BF73F3" w:rsidTr="00B82828" w14:paraId="7C8C2C71"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BF73F3" w:rsidR="00BD69D7" w:rsidP="006E498D" w:rsidRDefault="00BD69D7" w14:paraId="1B94C0BD"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Results </w:t>
            </w:r>
          </w:p>
          <w:p w:rsidRPr="00BF73F3" w:rsidR="00704261" w:rsidP="006E498D" w:rsidRDefault="00704261" w14:paraId="33A6C057" w14:textId="5D9F9FD6">
            <w:pPr>
              <w:textAlignment w:val="baseline"/>
              <w:rPr>
                <w:rFonts w:asciiTheme="minorHAnsi" w:hAnsiTheme="minorHAnsi" w:cstheme="minorHAnsi"/>
                <w:sz w:val="22"/>
                <w:szCs w:val="22"/>
              </w:rPr>
            </w:pPr>
          </w:p>
          <w:p w:rsidRPr="00BF73F3" w:rsidR="00704261" w:rsidP="006E498D" w:rsidRDefault="00704261" w14:paraId="10637C7E" w14:textId="04460FE4">
            <w:pPr>
              <w:textAlignment w:val="baseline"/>
              <w:rPr>
                <w:rFonts w:asciiTheme="minorHAnsi" w:hAnsiTheme="minorHAnsi" w:cstheme="minorHAnsi"/>
                <w:szCs w:val="24"/>
              </w:rPr>
            </w:pPr>
          </w:p>
        </w:tc>
        <w:tc>
          <w:tcPr>
            <w:tcW w:w="4676" w:type="dxa"/>
            <w:tcBorders>
              <w:top w:val="single" w:color="auto" w:sz="6" w:space="0"/>
              <w:left w:val="single" w:color="auto" w:sz="6" w:space="0"/>
              <w:bottom w:val="single" w:color="auto" w:sz="6" w:space="0"/>
              <w:right w:val="single" w:color="auto" w:sz="6" w:space="0"/>
            </w:tcBorders>
            <w:hideMark/>
          </w:tcPr>
          <w:p w:rsidR="00AC4303" w:rsidP="00D314E2" w:rsidRDefault="00DA5F9A" w14:paraId="4DFC9B4E" w14:textId="5253216F">
            <w:pPr>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BF73F3" w:rsidR="00D32DAF">
              <w:rPr>
                <w:rFonts w:asciiTheme="minorHAnsi" w:hAnsiTheme="minorHAnsi" w:cstheme="minorHAnsi"/>
                <w:sz w:val="22"/>
                <w:szCs w:val="22"/>
              </w:rPr>
              <w:t xml:space="preserve">2.1 </w:t>
            </w:r>
            <w:r w:rsidRPr="00BF73F3" w:rsidR="00AC4303">
              <w:rPr>
                <w:rFonts w:asciiTheme="minorHAnsi" w:hAnsiTheme="minorHAnsi" w:cstheme="minorHAnsi"/>
                <w:sz w:val="22"/>
                <w:szCs w:val="22"/>
              </w:rPr>
              <w:t xml:space="preserve">The EI Division finds that the program does not complete the </w:t>
            </w:r>
            <w:r w:rsidDel="00061655" w:rsidR="00061655">
              <w:rPr>
                <w:rFonts w:asciiTheme="minorHAnsi" w:hAnsiTheme="minorHAnsi" w:cstheme="minorHAnsi"/>
                <w:sz w:val="22"/>
                <w:szCs w:val="22"/>
              </w:rPr>
              <w:t xml:space="preserve">natural </w:t>
            </w:r>
            <w:r w:rsidR="00061655">
              <w:rPr>
                <w:rFonts w:asciiTheme="minorHAnsi" w:hAnsiTheme="minorHAnsi" w:cstheme="minorHAnsi"/>
                <w:sz w:val="22"/>
                <w:szCs w:val="22"/>
              </w:rPr>
              <w:t xml:space="preserve">environment </w:t>
            </w:r>
            <w:r w:rsidR="00660949">
              <w:rPr>
                <w:rFonts w:asciiTheme="minorHAnsi" w:hAnsiTheme="minorHAnsi" w:cstheme="minorHAnsi"/>
                <w:sz w:val="22"/>
                <w:szCs w:val="22"/>
              </w:rPr>
              <w:t>requirement under</w:t>
            </w:r>
            <w:r w:rsidRPr="00BF73F3" w:rsidR="00AC4303">
              <w:rPr>
                <w:rFonts w:asciiTheme="minorHAnsi" w:hAnsiTheme="minorHAnsi" w:cstheme="minorHAnsi"/>
                <w:sz w:val="22"/>
                <w:szCs w:val="22"/>
              </w:rPr>
              <w:t xml:space="preserve"> </w:t>
            </w:r>
            <w:r w:rsidRPr="00BF73F3" w:rsidR="00D808CF">
              <w:rPr>
                <w:rFonts w:asciiTheme="minorHAnsi" w:hAnsiTheme="minorHAnsi" w:cstheme="minorHAnsi"/>
                <w:sz w:val="22"/>
                <w:szCs w:val="22"/>
              </w:rPr>
              <w:t>34 CFR § 303.344 (d)</w:t>
            </w:r>
          </w:p>
          <w:p w:rsidR="00F321AF" w:rsidP="00D314E2" w:rsidRDefault="00F321AF" w14:paraId="538B3318" w14:textId="77777777">
            <w:pPr>
              <w:textAlignment w:val="baseline"/>
              <w:rPr>
                <w:rFonts w:asciiTheme="minorHAnsi" w:hAnsiTheme="minorHAnsi" w:cstheme="minorHAnsi"/>
                <w:sz w:val="22"/>
                <w:szCs w:val="22"/>
              </w:rPr>
            </w:pPr>
          </w:p>
          <w:p w:rsidRPr="00BF73F3" w:rsidR="00D808CF" w:rsidP="00D32DAF" w:rsidRDefault="00DA5F9A" w14:paraId="2E3E892A" w14:textId="1ABA65F9">
            <w:pPr>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F321AF">
              <w:rPr>
                <w:rFonts w:asciiTheme="minorHAnsi" w:hAnsiTheme="minorHAnsi" w:cstheme="minorHAnsi"/>
                <w:sz w:val="22"/>
                <w:szCs w:val="22"/>
              </w:rPr>
              <w:t xml:space="preserve">2.2 </w:t>
            </w:r>
            <w:r w:rsidRPr="00BF73F3" w:rsidR="00F321AF">
              <w:rPr>
                <w:rFonts w:asciiTheme="minorHAnsi" w:hAnsiTheme="minorHAnsi" w:cstheme="minorHAnsi"/>
                <w:sz w:val="22"/>
                <w:szCs w:val="22"/>
              </w:rPr>
              <w:t xml:space="preserve">The EI Division finds that the program does not complete </w:t>
            </w:r>
            <w:r w:rsidR="00155CEC">
              <w:rPr>
                <w:rFonts w:asciiTheme="minorHAnsi" w:hAnsiTheme="minorHAnsi" w:cstheme="minorHAnsi"/>
                <w:sz w:val="22"/>
                <w:szCs w:val="22"/>
              </w:rPr>
              <w:t>the N</w:t>
            </w:r>
            <w:r w:rsidRPr="00BF73F3" w:rsidR="00F321AF">
              <w:rPr>
                <w:rFonts w:asciiTheme="minorHAnsi" w:hAnsiTheme="minorHAnsi" w:cstheme="minorHAnsi"/>
                <w:sz w:val="22"/>
                <w:szCs w:val="22"/>
              </w:rPr>
              <w:t xml:space="preserve">ative </w:t>
            </w:r>
            <w:r w:rsidR="00155CEC">
              <w:rPr>
                <w:rFonts w:asciiTheme="minorHAnsi" w:hAnsiTheme="minorHAnsi" w:cstheme="minorHAnsi"/>
                <w:sz w:val="22"/>
                <w:szCs w:val="22"/>
              </w:rPr>
              <w:t>L</w:t>
            </w:r>
            <w:r w:rsidRPr="00BF73F3" w:rsidR="00F321AF">
              <w:rPr>
                <w:rFonts w:asciiTheme="minorHAnsi" w:hAnsiTheme="minorHAnsi" w:cstheme="minorHAnsi"/>
                <w:sz w:val="22"/>
                <w:szCs w:val="22"/>
              </w:rPr>
              <w:t xml:space="preserve">anguage </w:t>
            </w:r>
            <w:r w:rsidR="00D8583E">
              <w:rPr>
                <w:rFonts w:asciiTheme="minorHAnsi" w:hAnsiTheme="minorHAnsi" w:cstheme="minorHAnsi"/>
                <w:sz w:val="22"/>
                <w:szCs w:val="22"/>
              </w:rPr>
              <w:t>requirement</w:t>
            </w:r>
            <w:r w:rsidRPr="00BF73F3" w:rsidR="00F321AF">
              <w:rPr>
                <w:rFonts w:asciiTheme="minorHAnsi" w:hAnsiTheme="minorHAnsi" w:cstheme="minorHAnsi"/>
                <w:sz w:val="22"/>
                <w:szCs w:val="22"/>
              </w:rPr>
              <w:t xml:space="preserve"> under 34 CFR § 303.421 and EIOS page 64</w:t>
            </w:r>
          </w:p>
          <w:p w:rsidRPr="00BF73F3" w:rsidR="00BD69D7" w:rsidP="00AC4303" w:rsidRDefault="00BD69D7" w14:paraId="53ABB002" w14:textId="77777777">
            <w:pPr>
              <w:textAlignment w:val="baseline"/>
              <w:rPr>
                <w:rFonts w:asciiTheme="minorHAnsi" w:hAnsiTheme="minorHAnsi" w:cstheme="minorHAnsi"/>
              </w:rPr>
            </w:pPr>
          </w:p>
        </w:tc>
      </w:tr>
      <w:tr w:rsidRPr="00BF73F3" w:rsidR="00BF73F3" w:rsidTr="00B82828" w14:paraId="5F1F2F61"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BF73F3" w:rsidR="00BD69D7" w:rsidP="006E498D" w:rsidRDefault="00BD69D7" w14:paraId="06EB82C4"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Dispute Resolution </w:t>
            </w:r>
          </w:p>
          <w:p w:rsidRPr="00BF73F3" w:rsidR="00430F07" w:rsidP="006E498D" w:rsidRDefault="00430F07" w14:paraId="7550AAC6" w14:textId="188D69E2">
            <w:pPr>
              <w:textAlignment w:val="baseline"/>
              <w:rPr>
                <w:rFonts w:asciiTheme="minorHAnsi" w:hAnsiTheme="minorHAnsi" w:cstheme="minorHAnsi"/>
                <w:szCs w:val="24"/>
              </w:rPr>
            </w:pPr>
          </w:p>
          <w:p w:rsidRPr="00BF73F3" w:rsidR="00D3515E" w:rsidP="006E498D" w:rsidRDefault="00D3515E" w14:paraId="2891E496" w14:textId="1F989799">
            <w:pPr>
              <w:textAlignment w:val="baseline"/>
              <w:rPr>
                <w:rFonts w:asciiTheme="minorHAnsi" w:hAnsiTheme="minorHAnsi" w:cstheme="minorHAnsi"/>
                <w:szCs w:val="24"/>
              </w:rPr>
            </w:pPr>
          </w:p>
        </w:tc>
        <w:tc>
          <w:tcPr>
            <w:tcW w:w="4676" w:type="dxa"/>
            <w:tcBorders>
              <w:top w:val="single" w:color="auto" w:sz="6" w:space="0"/>
              <w:left w:val="single" w:color="auto" w:sz="6" w:space="0"/>
              <w:bottom w:val="single" w:color="auto" w:sz="6" w:space="0"/>
              <w:right w:val="single" w:color="auto" w:sz="6" w:space="0"/>
            </w:tcBorders>
            <w:hideMark/>
          </w:tcPr>
          <w:p w:rsidRPr="00BF73F3" w:rsidR="008D6C3A" w:rsidP="006D6A4F" w:rsidRDefault="00DA5F9A" w14:paraId="15744833" w14:textId="43F29E10">
            <w:pPr>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282852" w:rsidR="00D808CF">
              <w:rPr>
                <w:rFonts w:asciiTheme="minorHAnsi" w:hAnsiTheme="minorHAnsi" w:cstheme="minorHAnsi"/>
                <w:sz w:val="22"/>
                <w:szCs w:val="22"/>
              </w:rPr>
              <w:t xml:space="preserve">3.1 </w:t>
            </w:r>
            <w:r w:rsidRPr="00282852" w:rsidR="00E34712">
              <w:rPr>
                <w:rFonts w:asciiTheme="minorHAnsi" w:hAnsiTheme="minorHAnsi" w:cstheme="minorHAnsi"/>
                <w:sz w:val="22"/>
                <w:szCs w:val="22"/>
              </w:rPr>
              <w:t>T</w:t>
            </w:r>
            <w:r w:rsidRPr="00282852" w:rsidR="00E34712">
              <w:rPr>
                <w:rFonts w:ascii="Calibri" w:hAnsi="Calibri" w:cs="Calibri"/>
                <w:sz w:val="22"/>
                <w:szCs w:val="22"/>
              </w:rPr>
              <w:t xml:space="preserve">he EI Division finds that the program does not </w:t>
            </w:r>
            <w:r w:rsidR="00867036">
              <w:rPr>
                <w:rFonts w:ascii="Calibri" w:hAnsi="Calibri" w:cs="Calibri"/>
                <w:sz w:val="22"/>
                <w:szCs w:val="22"/>
              </w:rPr>
              <w:t>complete the</w:t>
            </w:r>
            <w:r w:rsidRPr="00282852" w:rsidR="00E34712">
              <w:rPr>
                <w:rFonts w:ascii="Calibri" w:hAnsi="Calibri" w:cs="Calibri"/>
                <w:sz w:val="22"/>
                <w:szCs w:val="22"/>
              </w:rPr>
              <w:t xml:space="preserve"> prior written notice </w:t>
            </w:r>
            <w:r w:rsidR="00867036">
              <w:rPr>
                <w:rFonts w:ascii="Calibri" w:hAnsi="Calibri" w:cs="Calibri"/>
                <w:sz w:val="22"/>
                <w:szCs w:val="22"/>
              </w:rPr>
              <w:t>requirement</w:t>
            </w:r>
            <w:r w:rsidRPr="00282852" w:rsidR="00E34712">
              <w:rPr>
                <w:rFonts w:ascii="Calibri" w:hAnsi="Calibri" w:cs="Calibri"/>
                <w:sz w:val="22"/>
                <w:szCs w:val="22"/>
              </w:rPr>
              <w:t xml:space="preserve"> under</w:t>
            </w:r>
            <w:r w:rsidRPr="00282852" w:rsidR="00E34712">
              <w:rPr>
                <w:rStyle w:val="normaltextrun"/>
                <w:rFonts w:ascii="Calibri" w:hAnsi="Calibri" w:eastAsia="Calibri" w:cs="Calibri"/>
                <w:sz w:val="22"/>
                <w:szCs w:val="22"/>
              </w:rPr>
              <w:t xml:space="preserve"> 34 CFR </w:t>
            </w:r>
            <w:r w:rsidRPr="00282852" w:rsidR="00E34712">
              <w:rPr>
                <w:rFonts w:asciiTheme="minorHAnsi" w:hAnsiTheme="minorHAnsi" w:eastAsiaTheme="minorEastAsia" w:cstheme="minorBidi"/>
                <w:sz w:val="22"/>
                <w:szCs w:val="22"/>
              </w:rPr>
              <w:t>§</w:t>
            </w:r>
            <w:r w:rsidRPr="00282852" w:rsidR="00E34712">
              <w:rPr>
                <w:rStyle w:val="normaltextrun"/>
                <w:rFonts w:ascii="Calibri" w:hAnsi="Calibri" w:eastAsia="Calibri" w:cs="Calibri"/>
                <w:sz w:val="22"/>
                <w:szCs w:val="22"/>
              </w:rPr>
              <w:t>303.421 and</w:t>
            </w:r>
            <w:r w:rsidRPr="00282852" w:rsidR="00E34712">
              <w:rPr>
                <w:rFonts w:ascii="Calibri" w:hAnsi="Calibri" w:cs="Calibri"/>
                <w:sz w:val="22"/>
                <w:szCs w:val="22"/>
              </w:rPr>
              <w:t xml:space="preserve"> EIOS Page 63.</w:t>
            </w:r>
          </w:p>
          <w:p w:rsidRPr="00BF73F3" w:rsidR="00BD69D7" w:rsidP="006E498D" w:rsidRDefault="00BD69D7" w14:paraId="7FFB19F1" w14:textId="77777777">
            <w:pPr>
              <w:textAlignment w:val="baseline"/>
              <w:rPr>
                <w:rFonts w:asciiTheme="minorHAnsi" w:hAnsiTheme="minorHAnsi" w:cstheme="minorHAnsi"/>
                <w:sz w:val="22"/>
                <w:szCs w:val="22"/>
              </w:rPr>
            </w:pPr>
          </w:p>
        </w:tc>
      </w:tr>
      <w:tr w:rsidRPr="00BF73F3" w:rsidR="00BF73F3" w:rsidTr="00B82828" w14:paraId="3AA5BC07"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BF73F3" w:rsidR="00D42ECF" w:rsidP="006E498D" w:rsidRDefault="00BD69D7" w14:paraId="4A698DC1" w14:textId="35DAFBB7">
            <w:pPr>
              <w:textAlignment w:val="baseline"/>
              <w:rPr>
                <w:rFonts w:asciiTheme="minorHAnsi" w:hAnsiTheme="minorHAnsi" w:cstheme="minorHAnsi"/>
                <w:sz w:val="22"/>
                <w:szCs w:val="22"/>
              </w:rPr>
            </w:pPr>
            <w:r w:rsidRPr="00BF73F3">
              <w:rPr>
                <w:rFonts w:asciiTheme="minorHAnsi" w:hAnsiTheme="minorHAnsi" w:cstheme="minorHAnsi"/>
                <w:sz w:val="22"/>
                <w:szCs w:val="22"/>
              </w:rPr>
              <w:t>Data </w:t>
            </w:r>
          </w:p>
        </w:tc>
        <w:tc>
          <w:tcPr>
            <w:tcW w:w="4676" w:type="dxa"/>
            <w:tcBorders>
              <w:top w:val="single" w:color="auto" w:sz="6" w:space="0"/>
              <w:left w:val="single" w:color="auto" w:sz="6" w:space="0"/>
              <w:bottom w:val="single" w:color="auto" w:sz="6" w:space="0"/>
              <w:right w:val="single" w:color="auto" w:sz="6" w:space="0"/>
            </w:tcBorders>
            <w:hideMark/>
          </w:tcPr>
          <w:p w:rsidRPr="00BF73F3" w:rsidR="00CF4480" w:rsidP="00CF4480" w:rsidRDefault="00DA5F9A" w14:paraId="4BD59C07" w14:textId="0F4BD78A">
            <w:pPr>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4F2824">
              <w:rPr>
                <w:rFonts w:asciiTheme="minorHAnsi" w:hAnsiTheme="minorHAnsi" w:cstheme="minorHAnsi"/>
                <w:sz w:val="22"/>
                <w:szCs w:val="22"/>
              </w:rPr>
              <w:t>4</w:t>
            </w:r>
            <w:r w:rsidRPr="00BF73F3" w:rsidR="00F5296A">
              <w:rPr>
                <w:rFonts w:asciiTheme="minorHAnsi" w:hAnsiTheme="minorHAnsi" w:cstheme="minorHAnsi"/>
                <w:sz w:val="22"/>
                <w:szCs w:val="22"/>
              </w:rPr>
              <w:t xml:space="preserve">.1 </w:t>
            </w:r>
            <w:r w:rsidRPr="00BF73F3" w:rsidR="00CF4480">
              <w:rPr>
                <w:rFonts w:asciiTheme="minorHAnsi" w:hAnsiTheme="minorHAnsi" w:cstheme="minorHAnsi"/>
                <w:sz w:val="22"/>
                <w:szCs w:val="22"/>
              </w:rPr>
              <w:t>The EI Division finds that the program does not complete the timely data requirement under 34 CFR § 303.124 and EIOS page 60.</w:t>
            </w:r>
          </w:p>
          <w:p w:rsidRPr="00BF73F3" w:rsidR="00BD69D7" w:rsidP="006E498D" w:rsidRDefault="00BD69D7" w14:paraId="4E700612" w14:textId="3AACCEAE">
            <w:pPr>
              <w:textAlignment w:val="baseline"/>
              <w:rPr>
                <w:rFonts w:asciiTheme="minorHAnsi" w:hAnsiTheme="minorHAnsi" w:cstheme="minorHAnsi"/>
                <w:szCs w:val="24"/>
              </w:rPr>
            </w:pPr>
          </w:p>
        </w:tc>
      </w:tr>
      <w:tr w:rsidRPr="00BF73F3" w:rsidR="00BF73F3" w:rsidTr="00B82828" w14:paraId="67878BF5"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BF73F3" w:rsidR="00D42ECF" w:rsidP="006E498D" w:rsidRDefault="00BD69D7" w14:paraId="247BA139"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Fiscal </w:t>
            </w:r>
          </w:p>
          <w:p w:rsidRPr="00BF73F3" w:rsidR="0006015B" w:rsidP="006E498D" w:rsidRDefault="0006015B" w14:paraId="2762F868" w14:textId="77777777">
            <w:pPr>
              <w:textAlignment w:val="baseline"/>
              <w:rPr>
                <w:rFonts w:asciiTheme="minorHAnsi" w:hAnsiTheme="minorHAnsi" w:cstheme="minorHAnsi"/>
                <w:sz w:val="22"/>
                <w:szCs w:val="22"/>
              </w:rPr>
            </w:pPr>
          </w:p>
          <w:p w:rsidRPr="00BF73F3" w:rsidR="0006015B" w:rsidP="006E498D" w:rsidRDefault="0006015B" w14:paraId="032B2A12" w14:textId="0BED9C50">
            <w:pPr>
              <w:textAlignment w:val="baseline"/>
              <w:rPr>
                <w:rFonts w:asciiTheme="minorHAnsi" w:hAnsiTheme="minorHAnsi" w:cstheme="minorHAnsi"/>
                <w:sz w:val="22"/>
                <w:szCs w:val="22"/>
              </w:rPr>
            </w:pPr>
          </w:p>
        </w:tc>
        <w:tc>
          <w:tcPr>
            <w:tcW w:w="4676" w:type="dxa"/>
            <w:tcBorders>
              <w:top w:val="single" w:color="auto" w:sz="6" w:space="0"/>
              <w:left w:val="single" w:color="auto" w:sz="6" w:space="0"/>
              <w:bottom w:val="single" w:color="auto" w:sz="6" w:space="0"/>
              <w:right w:val="single" w:color="auto" w:sz="6" w:space="0"/>
            </w:tcBorders>
            <w:hideMark/>
          </w:tcPr>
          <w:p w:rsidRPr="00BF73F3" w:rsidR="0006015B" w:rsidP="00F5296A" w:rsidRDefault="00DA5F9A" w14:paraId="2B1B8560" w14:textId="4D86A630">
            <w:pPr>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4F2824">
              <w:rPr>
                <w:rFonts w:asciiTheme="minorHAnsi" w:hAnsiTheme="minorHAnsi" w:cstheme="minorHAnsi"/>
                <w:sz w:val="22"/>
                <w:szCs w:val="22"/>
              </w:rPr>
              <w:t>5</w:t>
            </w:r>
            <w:r w:rsidRPr="00BF73F3" w:rsidR="00F5296A">
              <w:rPr>
                <w:rFonts w:asciiTheme="minorHAnsi" w:hAnsiTheme="minorHAnsi" w:cstheme="minorHAnsi"/>
                <w:sz w:val="22"/>
                <w:szCs w:val="22"/>
              </w:rPr>
              <w:t xml:space="preserve">.1 </w:t>
            </w:r>
            <w:r w:rsidRPr="00BF73F3" w:rsidR="00861E62">
              <w:rPr>
                <w:rFonts w:asciiTheme="minorHAnsi" w:hAnsiTheme="minorHAnsi" w:cstheme="minorHAnsi"/>
                <w:sz w:val="22"/>
                <w:szCs w:val="22"/>
              </w:rPr>
              <w:t xml:space="preserve">The EI Division finds that the program has not established </w:t>
            </w:r>
            <w:r w:rsidR="000C2B62">
              <w:rPr>
                <w:rFonts w:asciiTheme="minorHAnsi" w:hAnsiTheme="minorHAnsi" w:cstheme="minorHAnsi"/>
                <w:sz w:val="22"/>
                <w:szCs w:val="22"/>
              </w:rPr>
              <w:t xml:space="preserve">reasonably designed </w:t>
            </w:r>
            <w:r w:rsidRPr="00BF73F3" w:rsidR="00861E62">
              <w:rPr>
                <w:rFonts w:asciiTheme="minorHAnsi" w:hAnsiTheme="minorHAnsi" w:cstheme="minorHAnsi"/>
                <w:sz w:val="22"/>
                <w:szCs w:val="22"/>
              </w:rPr>
              <w:t>policies and procedures to ensure appropriate demonstration of</w:t>
            </w:r>
            <w:r w:rsidR="00344B3D">
              <w:rPr>
                <w:rFonts w:asciiTheme="minorHAnsi" w:hAnsiTheme="minorHAnsi" w:cstheme="minorHAnsi"/>
                <w:sz w:val="22"/>
                <w:szCs w:val="22"/>
              </w:rPr>
              <w:t xml:space="preserve"> and adherence to</w:t>
            </w:r>
            <w:r w:rsidRPr="00BF73F3" w:rsidR="00861E62">
              <w:rPr>
                <w:rFonts w:asciiTheme="minorHAnsi" w:hAnsiTheme="minorHAnsi" w:cstheme="minorHAnsi"/>
                <w:sz w:val="22"/>
                <w:szCs w:val="22"/>
              </w:rPr>
              <w:t xml:space="preserve"> </w:t>
            </w:r>
            <w:r w:rsidRPr="00BF73F3" w:rsidR="006638D8">
              <w:rPr>
                <w:rFonts w:asciiTheme="minorHAnsi" w:hAnsiTheme="minorHAnsi" w:cstheme="minorHAnsi"/>
                <w:sz w:val="22"/>
                <w:szCs w:val="22"/>
              </w:rPr>
              <w:t xml:space="preserve">all </w:t>
            </w:r>
            <w:r w:rsidRPr="00BF73F3" w:rsidR="0006015B">
              <w:rPr>
                <w:rFonts w:ascii="Calibri" w:hAnsi="Calibri" w:cs="Calibri"/>
                <w:sz w:val="22"/>
                <w:szCs w:val="22"/>
              </w:rPr>
              <w:t xml:space="preserve">components of billing </w:t>
            </w:r>
            <w:r w:rsidRPr="00BF73F3" w:rsidR="0006015B">
              <w:rPr>
                <w:rFonts w:ascii="Calibri" w:hAnsi="Calibri" w:cs="Calibri"/>
                <w:sz w:val="22"/>
                <w:szCs w:val="22"/>
              </w:rPr>
              <w:t>insurance claims</w:t>
            </w:r>
            <w:r w:rsidRPr="00BF73F3" w:rsidR="006638D8">
              <w:rPr>
                <w:rFonts w:ascii="Calibri" w:hAnsi="Calibri" w:cs="Calibri"/>
                <w:sz w:val="22"/>
                <w:szCs w:val="22"/>
              </w:rPr>
              <w:t xml:space="preserve"> including accurate submission of encounter claims</w:t>
            </w:r>
            <w:r w:rsidRPr="00BF73F3" w:rsidR="0006015B">
              <w:rPr>
                <w:rFonts w:ascii="Calibri" w:hAnsi="Calibri" w:cs="Calibri"/>
                <w:sz w:val="22"/>
                <w:szCs w:val="22"/>
              </w:rPr>
              <w:t xml:space="preserve"> as required under </w:t>
            </w:r>
            <w:r w:rsidRPr="00BF73F3" w:rsidR="0006015B">
              <w:rPr>
                <w:rFonts w:ascii="Calibri" w:hAnsi="Calibri" w:eastAsia="Calibri" w:cs="Calibri"/>
                <w:sz w:val="22"/>
                <w:szCs w:val="22"/>
              </w:rPr>
              <w:t xml:space="preserve">34 CFR </w:t>
            </w:r>
            <w:r w:rsidRPr="00BF73F3" w:rsidR="0006015B">
              <w:rPr>
                <w:rFonts w:asciiTheme="minorHAnsi" w:hAnsiTheme="minorHAnsi" w:eastAsiaTheme="minorEastAsia" w:cstheme="minorBidi"/>
                <w:sz w:val="22"/>
                <w:szCs w:val="22"/>
              </w:rPr>
              <w:t>§</w:t>
            </w:r>
            <w:r w:rsidRPr="00BF73F3" w:rsidR="0006015B">
              <w:rPr>
                <w:rFonts w:ascii="Calibri" w:hAnsi="Calibri" w:eastAsia="Calibri" w:cs="Calibri"/>
                <w:sz w:val="22"/>
                <w:szCs w:val="22"/>
              </w:rPr>
              <w:t>303.510(a) and</w:t>
            </w:r>
            <w:r w:rsidRPr="00BF73F3" w:rsidR="0006015B">
              <w:rPr>
                <w:rFonts w:ascii="Calibri" w:hAnsi="Calibri" w:cs="Calibri"/>
                <w:sz w:val="22"/>
                <w:szCs w:val="22"/>
              </w:rPr>
              <w:t xml:space="preserve"> DPH EI Reimbursement Manual Pages 8-12.</w:t>
            </w:r>
          </w:p>
          <w:p w:rsidRPr="00BF73F3" w:rsidR="00BD69D7" w:rsidP="006E498D" w:rsidRDefault="00BD69D7" w14:paraId="29F999A1" w14:textId="77777777">
            <w:pPr>
              <w:textAlignment w:val="baseline"/>
              <w:rPr>
                <w:rFonts w:asciiTheme="minorHAnsi" w:hAnsiTheme="minorHAnsi" w:cstheme="minorHAnsi"/>
                <w:szCs w:val="24"/>
              </w:rPr>
            </w:pPr>
          </w:p>
        </w:tc>
      </w:tr>
    </w:tbl>
    <w:p w:rsidRPr="00BF73F3" w:rsidR="00BD69D7" w:rsidP="00BD69D7" w:rsidRDefault="00BD69D7" w14:paraId="56111802" w14:textId="77777777">
      <w:pPr>
        <w:textAlignment w:val="baseline"/>
        <w:rPr>
          <w:rFonts w:asciiTheme="minorHAnsi" w:hAnsiTheme="minorHAnsi" w:cstheme="minorHAnsi"/>
          <w:sz w:val="18"/>
          <w:szCs w:val="18"/>
        </w:rPr>
      </w:pPr>
      <w:r w:rsidRPr="00BF73F3">
        <w:rPr>
          <w:rFonts w:asciiTheme="minorHAnsi" w:hAnsiTheme="minorHAnsi" w:cstheme="minorHAnsi"/>
          <w:sz w:val="22"/>
          <w:szCs w:val="22"/>
        </w:rPr>
        <w:t> </w:t>
      </w:r>
    </w:p>
    <w:p w:rsidRPr="00BF73F3" w:rsidR="00BD69D7" w:rsidP="00BD69D7" w:rsidRDefault="00BD69D7" w14:paraId="68D2F50B" w14:textId="5CA77054">
      <w:pPr>
        <w:textAlignment w:val="baseline"/>
        <w:rPr>
          <w:rFonts w:asciiTheme="minorHAnsi" w:hAnsiTheme="minorHAnsi" w:cstheme="minorBidi"/>
          <w:sz w:val="18"/>
          <w:szCs w:val="18"/>
        </w:rPr>
      </w:pPr>
      <w:r w:rsidRPr="00BF73F3">
        <w:rPr>
          <w:rFonts w:asciiTheme="minorHAnsi" w:hAnsiTheme="minorHAnsi" w:cstheme="minorBidi"/>
          <w:sz w:val="22"/>
          <w:szCs w:val="22"/>
        </w:rPr>
        <w:t xml:space="preserve">The EI Division appreciates </w:t>
      </w:r>
      <w:r w:rsidRPr="00BF73F3" w:rsidR="00306EAC">
        <w:rPr>
          <w:rFonts w:asciiTheme="minorHAnsi" w:hAnsiTheme="minorHAnsi" w:cstheme="minorBidi"/>
          <w:sz w:val="22"/>
          <w:szCs w:val="22"/>
        </w:rPr>
        <w:t>Eliot Malden</w:t>
      </w:r>
      <w:r w:rsidRPr="00BF73F3">
        <w:rPr>
          <w:rFonts w:asciiTheme="minorHAnsi" w:hAnsiTheme="minorHAnsi" w:cstheme="minorBidi"/>
          <w:sz w:val="22"/>
          <w:szCs w:val="22"/>
        </w:rPr>
        <w:t>’s 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BF73F3" w:rsidR="00BD69D7" w:rsidP="00BD69D7" w:rsidRDefault="00BD69D7" w14:paraId="000F8B8E" w14:textId="77777777">
      <w:pPr>
        <w:textAlignment w:val="baseline"/>
        <w:rPr>
          <w:rFonts w:asciiTheme="minorHAnsi" w:hAnsiTheme="minorHAnsi" w:cstheme="minorHAnsi"/>
          <w:sz w:val="18"/>
          <w:szCs w:val="18"/>
        </w:rPr>
      </w:pPr>
      <w:r w:rsidRPr="00BF73F3">
        <w:rPr>
          <w:rFonts w:asciiTheme="minorHAnsi" w:hAnsiTheme="minorHAnsi" w:cstheme="minorHAnsi"/>
          <w:sz w:val="22"/>
          <w:szCs w:val="22"/>
        </w:rPr>
        <w:t> </w:t>
      </w:r>
    </w:p>
    <w:p w:rsidRPr="00BF73F3" w:rsidR="00BD69D7" w:rsidP="00BD69D7" w:rsidRDefault="00BD69D7" w14:paraId="6F6970EB"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Sincerely,  </w:t>
      </w:r>
    </w:p>
    <w:p w:rsidRPr="00BF73F3" w:rsidR="00BD69D7" w:rsidP="00BD69D7" w:rsidRDefault="00BD69D7" w14:paraId="3B1DD944" w14:textId="77777777">
      <w:pPr>
        <w:textAlignment w:val="baseline"/>
        <w:rPr>
          <w:rFonts w:asciiTheme="minorHAnsi" w:hAnsiTheme="minorHAnsi" w:cstheme="minorHAnsi"/>
          <w:sz w:val="22"/>
          <w:szCs w:val="22"/>
        </w:rPr>
      </w:pPr>
    </w:p>
    <w:p w:rsidRPr="00BF73F3" w:rsidR="00BD69D7" w:rsidP="00BD69D7" w:rsidRDefault="00306EAC" w14:paraId="0324CA91" w14:textId="29481E57">
      <w:pPr>
        <w:textAlignment w:val="baseline"/>
        <w:rPr>
          <w:rFonts w:asciiTheme="minorHAnsi" w:hAnsiTheme="minorHAnsi" w:cstheme="minorHAnsi"/>
          <w:sz w:val="22"/>
          <w:szCs w:val="22"/>
        </w:rPr>
      </w:pPr>
      <w:r w:rsidRPr="00BF73F3">
        <w:rPr>
          <w:rFonts w:asciiTheme="minorHAnsi" w:hAnsiTheme="minorHAnsi" w:cstheme="minorHAnsi"/>
          <w:sz w:val="22"/>
          <w:szCs w:val="22"/>
        </w:rPr>
        <w:t>Julie Longpre</w:t>
      </w:r>
    </w:p>
    <w:p w:rsidRPr="00BF73F3" w:rsidR="00BD69D7" w:rsidP="00BD69D7" w:rsidRDefault="00BD69D7" w14:paraId="357BCD61"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Clinical Oversight and Support Specialist, Early Intervention Division</w:t>
      </w:r>
    </w:p>
    <w:p w:rsidRPr="00BF73F3" w:rsidR="00BD69D7" w:rsidP="00BD69D7" w:rsidRDefault="00BD69D7" w14:paraId="6982DEA0" w14:textId="77777777">
      <w:pPr>
        <w:textAlignment w:val="baseline"/>
        <w:rPr>
          <w:rFonts w:asciiTheme="minorHAnsi" w:hAnsiTheme="minorHAnsi" w:cstheme="minorHAnsi"/>
          <w:sz w:val="22"/>
          <w:szCs w:val="22"/>
        </w:rPr>
      </w:pPr>
    </w:p>
    <w:p w:rsidRPr="00BF73F3" w:rsidR="00BD69D7" w:rsidP="00BD69D7" w:rsidRDefault="00BD69D7" w14:paraId="5CA38F8B"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cc: Molly Gilbride, Clinical Quality Manager, Early Intervention Division</w:t>
      </w:r>
    </w:p>
    <w:p w:rsidRPr="00BF73F3" w:rsidR="00BD69D7" w:rsidP="00BD69D7" w:rsidRDefault="00BD69D7" w14:paraId="1BA12CE1" w14:textId="09C6A529">
      <w:r w:rsidRPr="00BF73F3">
        <w:rPr>
          <w:rFonts w:asciiTheme="minorHAnsi" w:hAnsiTheme="minorHAnsi" w:cstheme="minorBidi"/>
          <w:sz w:val="22"/>
          <w:szCs w:val="22"/>
        </w:rPr>
        <w:t xml:space="preserve">      Michelle Conlon, Clinical Quality Assurance Coordinator, Early Intervention Division</w:t>
      </w:r>
    </w:p>
    <w:p w:rsidRPr="00BF73F3" w:rsidR="009E1737" w:rsidP="08342302" w:rsidRDefault="009E1737" w14:paraId="0B2FF995" w14:textId="77777777">
      <w:pPr>
        <w:rPr>
          <w:rFonts w:asciiTheme="minorHAnsi" w:hAnsiTheme="minorHAnsi" w:cstheme="minorBidi"/>
          <w:sz w:val="22"/>
          <w:szCs w:val="22"/>
        </w:rPr>
        <w:sectPr w:rsidRPr="00BF73F3" w:rsidR="009E1737" w:rsidSect="00802852">
          <w:type w:val="continuous"/>
          <w:pgSz w:w="12240" w:h="15840" w:orient="portrait"/>
          <w:pgMar w:top="1440" w:right="1440" w:bottom="1440" w:left="1440" w:header="720" w:footer="720" w:gutter="0"/>
          <w:cols w:space="720"/>
        </w:sectPr>
      </w:pPr>
    </w:p>
    <w:p w:rsidRPr="00BF73F3" w:rsidR="000264D6" w:rsidP="000264D6" w:rsidRDefault="000264D6" w14:paraId="5B9D894F" w14:textId="77777777">
      <w:pPr>
        <w:jc w:val="center"/>
        <w:textAlignment w:val="baseline"/>
        <w:rPr>
          <w:rFonts w:ascii="Segoe UI" w:hAnsi="Segoe UI" w:cs="Segoe UI"/>
          <w:sz w:val="18"/>
          <w:szCs w:val="18"/>
        </w:rPr>
      </w:pPr>
      <w:r w:rsidRPr="00BF73F3">
        <w:rPr>
          <w:rFonts w:ascii="Calibri" w:hAnsi="Calibri" w:cs="Calibri"/>
          <w:b/>
          <w:bCs/>
          <w:sz w:val="22"/>
          <w:szCs w:val="22"/>
        </w:rPr>
        <w:t>COMPLIANCE</w:t>
      </w:r>
      <w:r w:rsidRPr="00BF73F3">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BF73F3" w:rsidR="00BF73F3" w:rsidTr="00632C8C" w14:paraId="5890380A"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45A974DD"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Legal Requirement/State Standard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10F521F9"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2724FF36"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515F8578"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Next Steps and Required Actions  </w:t>
            </w:r>
          </w:p>
        </w:tc>
      </w:tr>
      <w:tr w:rsidRPr="00BF73F3" w:rsidR="00BF73F3" w:rsidTr="00632C8C" w14:paraId="223D46EA"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DC705D" w:rsidR="00A40642" w:rsidP="001D1991" w:rsidRDefault="00BF73F3" w14:paraId="15EA001C" w14:textId="6B077396">
            <w:pPr>
              <w:textAlignment w:val="baseline"/>
              <w:rPr>
                <w:rFonts w:asciiTheme="minorHAnsi" w:hAnsiTheme="minorHAnsi" w:cstheme="minorHAnsi"/>
                <w:b/>
                <w:bCs/>
                <w:sz w:val="22"/>
                <w:szCs w:val="22"/>
              </w:rPr>
            </w:pPr>
            <w:r w:rsidRPr="00DC705D">
              <w:rPr>
                <w:rFonts w:asciiTheme="minorHAnsi" w:hAnsiTheme="minorHAnsi" w:cstheme="minorHAnsi"/>
                <w:b/>
                <w:bCs/>
                <w:sz w:val="22"/>
                <w:szCs w:val="22"/>
              </w:rPr>
              <w:t xml:space="preserve">1.1 </w:t>
            </w:r>
            <w:r w:rsidR="006931F4">
              <w:rPr>
                <w:rFonts w:asciiTheme="minorHAnsi" w:hAnsiTheme="minorHAnsi" w:cstheme="minorHAnsi"/>
                <w:b/>
                <w:bCs/>
                <w:sz w:val="22"/>
                <w:szCs w:val="22"/>
              </w:rPr>
              <w:t>Forty</w:t>
            </w:r>
            <w:r w:rsidR="004F2824">
              <w:rPr>
                <w:rFonts w:asciiTheme="minorHAnsi" w:hAnsiTheme="minorHAnsi" w:cstheme="minorHAnsi"/>
                <w:b/>
                <w:bCs/>
                <w:sz w:val="22"/>
                <w:szCs w:val="22"/>
              </w:rPr>
              <w:t>-</w:t>
            </w:r>
            <w:r w:rsidR="006931F4">
              <w:rPr>
                <w:rFonts w:asciiTheme="minorHAnsi" w:hAnsiTheme="minorHAnsi" w:cstheme="minorHAnsi"/>
                <w:b/>
                <w:bCs/>
                <w:sz w:val="22"/>
                <w:szCs w:val="22"/>
              </w:rPr>
              <w:t>Five</w:t>
            </w:r>
            <w:r w:rsidR="00DC705D">
              <w:rPr>
                <w:rFonts w:asciiTheme="minorHAnsi" w:hAnsiTheme="minorHAnsi" w:cstheme="minorHAnsi"/>
                <w:b/>
                <w:bCs/>
                <w:sz w:val="22"/>
                <w:szCs w:val="22"/>
              </w:rPr>
              <w:t xml:space="preserve"> Day </w:t>
            </w:r>
            <w:r w:rsidRPr="00DC705D" w:rsidR="00DC705D">
              <w:rPr>
                <w:rFonts w:asciiTheme="minorHAnsi" w:hAnsiTheme="minorHAnsi" w:cstheme="minorHAnsi"/>
                <w:b/>
                <w:bCs/>
                <w:sz w:val="22"/>
                <w:szCs w:val="22"/>
              </w:rPr>
              <w:t xml:space="preserve">IFSP </w:t>
            </w:r>
            <w:r w:rsidR="00DC705D">
              <w:rPr>
                <w:rFonts w:asciiTheme="minorHAnsi" w:hAnsiTheme="minorHAnsi" w:cstheme="minorHAnsi"/>
                <w:b/>
                <w:bCs/>
                <w:sz w:val="22"/>
                <w:szCs w:val="22"/>
              </w:rPr>
              <w:t>(</w:t>
            </w:r>
            <w:r w:rsidRPr="00DC705D" w:rsidR="00DC705D">
              <w:rPr>
                <w:rFonts w:asciiTheme="minorHAnsi" w:hAnsiTheme="minorHAnsi" w:cstheme="minorHAnsi"/>
                <w:b/>
                <w:bCs/>
                <w:sz w:val="22"/>
                <w:szCs w:val="22"/>
              </w:rPr>
              <w:t>Native Language</w:t>
            </w:r>
            <w:r w:rsidR="00DC705D">
              <w:rPr>
                <w:rFonts w:asciiTheme="minorHAnsi" w:hAnsiTheme="minorHAnsi" w:cstheme="minorHAnsi"/>
                <w:b/>
                <w:bCs/>
                <w:sz w:val="22"/>
                <w:szCs w:val="22"/>
              </w:rPr>
              <w:t>)</w:t>
            </w:r>
          </w:p>
          <w:p w:rsidR="00A40642" w:rsidP="001D1991" w:rsidRDefault="00A40642" w14:paraId="6BC943A3" w14:textId="77777777">
            <w:pPr>
              <w:textAlignment w:val="baseline"/>
              <w:rPr>
                <w:rFonts w:asciiTheme="minorHAnsi" w:hAnsiTheme="minorHAnsi" w:cstheme="minorHAnsi"/>
                <w:sz w:val="22"/>
                <w:szCs w:val="22"/>
              </w:rPr>
            </w:pPr>
          </w:p>
          <w:p w:rsidR="00DC705D" w:rsidP="00DC705D" w:rsidRDefault="000264D6" w14:paraId="6A77CABC"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Under, Federal Regulation</w:t>
            </w:r>
            <w:r w:rsidRPr="00BF73F3" w:rsidR="00DC4339">
              <w:rPr>
                <w:rFonts w:asciiTheme="minorHAnsi" w:hAnsiTheme="minorHAnsi" w:cstheme="minorHAnsi"/>
                <w:sz w:val="22"/>
                <w:szCs w:val="22"/>
              </w:rPr>
              <w:t xml:space="preserve"> (34 CFR 303.342 (d) (1).</w:t>
            </w:r>
          </w:p>
          <w:p w:rsidRPr="00BF73F3" w:rsidR="00FF19DE" w:rsidP="00DC705D" w:rsidRDefault="00FF19DE" w14:paraId="1AB2DBD5" w14:textId="51FCCE01">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 Accessibility and convenience of meetings. </w:t>
            </w:r>
          </w:p>
          <w:p w:rsidRPr="00BF73F3" w:rsidR="00FF19DE" w:rsidP="00FF19DE" w:rsidRDefault="00FF19DE" w14:paraId="5AA83FB0" w14:textId="77777777">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(1) IFSP meetings must be conducted—</w:t>
            </w:r>
          </w:p>
          <w:p w:rsidRPr="00BF73F3" w:rsidR="00FF19DE" w:rsidP="00FF19DE" w:rsidRDefault="00FF19DE" w14:paraId="03A01D74" w14:textId="77777777">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(i) In settings and at times that are convenient for the family; and</w:t>
            </w:r>
          </w:p>
          <w:p w:rsidRPr="00BF73F3" w:rsidR="00DC4339" w:rsidP="00FF19DE" w:rsidRDefault="00FF19DE" w14:paraId="7B5A78C7" w14:textId="3096AECD">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(ii) In the native language of the family or other mode of communication used by the family, unless it is clearly not feasible to do so.</w:t>
            </w:r>
          </w:p>
        </w:tc>
        <w:tc>
          <w:tcPr>
            <w:tcW w:w="3225" w:type="dxa"/>
            <w:tcBorders>
              <w:top w:val="single" w:color="auto" w:sz="6" w:space="0"/>
              <w:left w:val="single" w:color="auto" w:sz="6" w:space="0"/>
              <w:bottom w:val="single" w:color="auto" w:sz="6" w:space="0"/>
              <w:right w:val="single" w:color="auto" w:sz="6" w:space="0"/>
            </w:tcBorders>
            <w:hideMark/>
          </w:tcPr>
          <w:p w:rsidR="00CC21E3" w:rsidP="000264D6" w:rsidRDefault="00CC21E3" w14:paraId="5FACBF9E" w14:textId="77777777">
            <w:pPr>
              <w:textAlignment w:val="baseline"/>
              <w:rPr>
                <w:rFonts w:asciiTheme="minorHAnsi" w:hAnsiTheme="minorHAnsi" w:cstheme="minorHAnsi"/>
                <w:sz w:val="22"/>
                <w:szCs w:val="22"/>
              </w:rPr>
            </w:pPr>
          </w:p>
          <w:p w:rsidR="00CC21E3" w:rsidP="000264D6" w:rsidRDefault="00CC21E3" w14:paraId="68880F30" w14:textId="77777777">
            <w:pPr>
              <w:textAlignment w:val="baseline"/>
              <w:rPr>
                <w:rFonts w:asciiTheme="minorHAnsi" w:hAnsiTheme="minorHAnsi" w:cstheme="minorHAnsi"/>
                <w:sz w:val="22"/>
                <w:szCs w:val="22"/>
              </w:rPr>
            </w:pPr>
          </w:p>
          <w:p w:rsidR="00CC21E3" w:rsidP="000264D6" w:rsidRDefault="00CC21E3" w14:paraId="3AEFB630" w14:textId="77777777">
            <w:pPr>
              <w:textAlignment w:val="baseline"/>
              <w:rPr>
                <w:rFonts w:asciiTheme="minorHAnsi" w:hAnsiTheme="minorHAnsi" w:cstheme="minorHAnsi"/>
                <w:sz w:val="22"/>
                <w:szCs w:val="22"/>
              </w:rPr>
            </w:pPr>
          </w:p>
          <w:p w:rsidRPr="00BF73F3" w:rsidR="000264D6" w:rsidP="000264D6" w:rsidRDefault="000264D6" w14:paraId="35364761" w14:textId="2CE04672">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During record reviews, the EI Division found that the program did not consistently meet the </w:t>
            </w:r>
            <w:r w:rsidRPr="00BF73F3" w:rsidR="00722045">
              <w:rPr>
                <w:rFonts w:asciiTheme="minorHAnsi" w:hAnsiTheme="minorHAnsi" w:cstheme="minorHAnsi"/>
                <w:sz w:val="22"/>
                <w:szCs w:val="22"/>
              </w:rPr>
              <w:t>IFSPs in the native language</w:t>
            </w:r>
            <w:r w:rsidR="004A516C">
              <w:rPr>
                <w:rFonts w:asciiTheme="minorHAnsi" w:hAnsiTheme="minorHAnsi" w:cstheme="minorHAnsi"/>
                <w:sz w:val="22"/>
                <w:szCs w:val="22"/>
              </w:rPr>
              <w:t xml:space="preserve"> requirement</w:t>
            </w:r>
            <w:r w:rsidRPr="00BF73F3" w:rsidR="00722045">
              <w:rPr>
                <w:rFonts w:asciiTheme="minorHAnsi" w:hAnsiTheme="minorHAnsi" w:cstheme="minorHAnsi"/>
                <w:sz w:val="22"/>
                <w:szCs w:val="22"/>
              </w:rPr>
              <w:t xml:space="preserve">. </w:t>
            </w:r>
            <w:r w:rsidRPr="00BF73F3">
              <w:rPr>
                <w:rFonts w:asciiTheme="minorHAnsi" w:hAnsiTheme="minorHAnsi" w:cstheme="minorHAnsi"/>
                <w:sz w:val="22"/>
                <w:szCs w:val="22"/>
              </w:rPr>
              <w:t xml:space="preserve">The EI division reviewed a total of </w:t>
            </w:r>
            <w:r w:rsidRPr="00BF73F3" w:rsidR="001B19CC">
              <w:rPr>
                <w:rFonts w:asciiTheme="minorHAnsi" w:hAnsiTheme="minorHAnsi" w:cstheme="minorHAnsi"/>
                <w:sz w:val="22"/>
                <w:szCs w:val="22"/>
              </w:rPr>
              <w:t>10</w:t>
            </w:r>
            <w:r w:rsidRPr="00BF73F3">
              <w:rPr>
                <w:rFonts w:asciiTheme="minorHAnsi" w:hAnsiTheme="minorHAnsi" w:cstheme="minorHAnsi"/>
                <w:sz w:val="22"/>
                <w:szCs w:val="22"/>
              </w:rPr>
              <w:t xml:space="preserve"> child records for satisfactory demonstration</w:t>
            </w:r>
            <w:r w:rsidRPr="00BF73F3" w:rsidR="00F94C7D">
              <w:rPr>
                <w:rFonts w:asciiTheme="minorHAnsi" w:hAnsiTheme="minorHAnsi" w:cstheme="minorHAnsi"/>
                <w:sz w:val="22"/>
                <w:szCs w:val="22"/>
              </w:rPr>
              <w:t xml:space="preserve"> </w:t>
            </w:r>
            <w:r w:rsidRPr="00BF73F3" w:rsidR="005D139F">
              <w:rPr>
                <w:rFonts w:asciiTheme="minorHAnsi" w:hAnsiTheme="minorHAnsi" w:cstheme="minorHAnsi"/>
                <w:sz w:val="22"/>
                <w:szCs w:val="22"/>
              </w:rPr>
              <w:t>(</w:t>
            </w:r>
            <w:r w:rsidRPr="00BF73F3" w:rsidR="00F94C7D">
              <w:rPr>
                <w:rFonts w:asciiTheme="minorHAnsi" w:hAnsiTheme="minorHAnsi" w:cstheme="minorHAnsi"/>
                <w:sz w:val="22"/>
                <w:szCs w:val="22"/>
              </w:rPr>
              <w:t>100</w:t>
            </w:r>
            <w:r w:rsidRPr="00BF73F3" w:rsidR="005D139F">
              <w:rPr>
                <w:rFonts w:asciiTheme="minorHAnsi" w:hAnsiTheme="minorHAnsi" w:cstheme="minorHAnsi"/>
                <w:sz w:val="22"/>
                <w:szCs w:val="22"/>
              </w:rPr>
              <w:t xml:space="preserve">%) </w:t>
            </w:r>
            <w:r w:rsidR="007D20A9">
              <w:rPr>
                <w:rFonts w:asciiTheme="minorHAnsi" w:hAnsiTheme="minorHAnsi" w:cstheme="minorHAnsi"/>
                <w:sz w:val="22"/>
                <w:szCs w:val="22"/>
              </w:rPr>
              <w:t>of IFSPs in the Native Language requirement</w:t>
            </w:r>
            <w:r w:rsidRPr="00BF73F3">
              <w:rPr>
                <w:rFonts w:asciiTheme="minorHAnsi" w:hAnsiTheme="minorHAnsi" w:cstheme="minorHAnsi"/>
                <w:sz w:val="22"/>
                <w:szCs w:val="22"/>
              </w:rPr>
              <w:t>. A total</w:t>
            </w:r>
            <w:r w:rsidRPr="00BF73F3" w:rsidR="007928DE">
              <w:rPr>
                <w:rFonts w:asciiTheme="minorHAnsi" w:hAnsiTheme="minorHAnsi" w:cstheme="minorHAnsi"/>
                <w:sz w:val="22"/>
                <w:szCs w:val="22"/>
              </w:rPr>
              <w:t xml:space="preserve"> of 4/10</w:t>
            </w:r>
            <w:r w:rsidRPr="00BF73F3">
              <w:rPr>
                <w:rFonts w:asciiTheme="minorHAnsi" w:hAnsiTheme="minorHAnsi" w:cstheme="minorHAnsi"/>
                <w:sz w:val="22"/>
                <w:szCs w:val="22"/>
              </w:rPr>
              <w:t xml:space="preserve"> of these records demonstrated that the program did not complete the</w:t>
            </w:r>
            <w:r w:rsidRPr="00BF73F3" w:rsidR="00F94C7D">
              <w:rPr>
                <w:rFonts w:asciiTheme="minorHAnsi" w:hAnsiTheme="minorHAnsi" w:cstheme="minorHAnsi"/>
                <w:sz w:val="22"/>
                <w:szCs w:val="22"/>
              </w:rPr>
              <w:t xml:space="preserve"> </w:t>
            </w:r>
            <w:r w:rsidRPr="00BF73F3">
              <w:rPr>
                <w:rFonts w:asciiTheme="minorHAnsi" w:hAnsiTheme="minorHAnsi" w:cstheme="minorHAnsi"/>
                <w:sz w:val="22"/>
                <w:szCs w:val="22"/>
              </w:rPr>
              <w:t>requirement.  </w:t>
            </w:r>
          </w:p>
          <w:p w:rsidRPr="00BF73F3" w:rsidR="000264D6" w:rsidP="000264D6" w:rsidRDefault="000264D6" w14:paraId="6B771C4A" w14:textId="7D5CCE55">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CC21E3" w:rsidP="000264D6" w:rsidRDefault="00CC21E3" w14:paraId="5F2DFCA7" w14:textId="77777777">
            <w:pPr>
              <w:textAlignment w:val="baseline"/>
              <w:rPr>
                <w:rFonts w:asciiTheme="minorHAnsi" w:hAnsiTheme="minorHAnsi" w:cstheme="minorHAnsi"/>
                <w:sz w:val="22"/>
                <w:szCs w:val="22"/>
              </w:rPr>
            </w:pPr>
          </w:p>
          <w:p w:rsidR="00CC21E3" w:rsidP="000264D6" w:rsidRDefault="00CC21E3" w14:paraId="457B0869" w14:textId="77777777">
            <w:pPr>
              <w:textAlignment w:val="baseline"/>
              <w:rPr>
                <w:rFonts w:asciiTheme="minorHAnsi" w:hAnsiTheme="minorHAnsi" w:cstheme="minorHAnsi"/>
                <w:sz w:val="22"/>
                <w:szCs w:val="22"/>
              </w:rPr>
            </w:pPr>
          </w:p>
          <w:p w:rsidR="00CC21E3" w:rsidP="000264D6" w:rsidRDefault="00CC21E3" w14:paraId="47F25457" w14:textId="77777777">
            <w:pPr>
              <w:textAlignment w:val="baseline"/>
              <w:rPr>
                <w:rFonts w:asciiTheme="minorHAnsi" w:hAnsiTheme="minorHAnsi" w:cstheme="minorHAnsi"/>
                <w:sz w:val="22"/>
                <w:szCs w:val="22"/>
              </w:rPr>
            </w:pPr>
          </w:p>
          <w:p w:rsidRPr="00BF73F3" w:rsidR="000264D6" w:rsidP="000264D6" w:rsidRDefault="000264D6" w14:paraId="5385324D" w14:textId="628FF68C">
            <w:pPr>
              <w:textAlignment w:val="baseline"/>
              <w:rPr>
                <w:rFonts w:asciiTheme="minorHAnsi" w:hAnsiTheme="minorHAnsi" w:cstheme="minorHAnsi"/>
                <w:sz w:val="22"/>
                <w:szCs w:val="22"/>
              </w:rPr>
            </w:pPr>
            <w:r w:rsidRPr="00BF73F3">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w:t>
            </w:r>
          </w:p>
          <w:p w:rsidR="004C0692" w:rsidP="004C0692" w:rsidRDefault="000264D6" w14:paraId="16B928C0"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p w:rsidRPr="00BF73F3" w:rsidR="007A6B8E" w:rsidP="007A6B8E" w:rsidRDefault="004C0692" w14:paraId="1DDD1A88" w14:textId="6FD96423">
            <w:pPr>
              <w:textAlignment w:val="baseline"/>
              <w:rPr>
                <w:rFonts w:asciiTheme="minorHAnsi" w:hAnsiTheme="minorHAnsi" w:cstheme="minorHAnsi"/>
                <w:sz w:val="22"/>
                <w:szCs w:val="22"/>
              </w:rPr>
            </w:pPr>
            <w:r>
              <w:rPr>
                <w:rFonts w:asciiTheme="minorHAnsi" w:hAnsiTheme="minorHAnsi" w:cstheme="minorHAnsi"/>
                <w:sz w:val="22"/>
                <w:szCs w:val="22"/>
              </w:rPr>
              <w:t>1.</w:t>
            </w:r>
            <w:r w:rsidR="00540549">
              <w:rPr>
                <w:rFonts w:asciiTheme="minorHAnsi" w:hAnsiTheme="minorHAnsi" w:cstheme="minorHAnsi"/>
                <w:sz w:val="22"/>
                <w:szCs w:val="22"/>
              </w:rPr>
              <w:t xml:space="preserve">1 </w:t>
            </w:r>
            <w:r w:rsidRPr="00BF73F3" w:rsidR="007A6B8E">
              <w:rPr>
                <w:rFonts w:asciiTheme="minorHAnsi" w:hAnsiTheme="minorHAnsi" w:cstheme="minorHAnsi"/>
                <w:sz w:val="22"/>
                <w:szCs w:val="22"/>
              </w:rPr>
              <w:t xml:space="preserve">The EI Division finds that the program </w:t>
            </w:r>
            <w:r w:rsidR="00045A78">
              <w:rPr>
                <w:rFonts w:asciiTheme="minorHAnsi" w:hAnsiTheme="minorHAnsi" w:cstheme="minorHAnsi"/>
                <w:sz w:val="22"/>
                <w:szCs w:val="22"/>
              </w:rPr>
              <w:t>does</w:t>
            </w:r>
            <w:r w:rsidRPr="00BF73F3" w:rsidR="007A6B8E">
              <w:rPr>
                <w:rFonts w:asciiTheme="minorHAnsi" w:hAnsiTheme="minorHAnsi" w:cstheme="minorHAnsi"/>
                <w:sz w:val="22"/>
                <w:szCs w:val="22"/>
              </w:rPr>
              <w:t xml:space="preserve"> not complet</w:t>
            </w:r>
            <w:r w:rsidR="00045A78">
              <w:rPr>
                <w:rFonts w:asciiTheme="minorHAnsi" w:hAnsiTheme="minorHAnsi" w:cstheme="minorHAnsi"/>
                <w:sz w:val="22"/>
                <w:szCs w:val="22"/>
              </w:rPr>
              <w:t>e</w:t>
            </w:r>
            <w:r w:rsidRPr="00BF73F3" w:rsidR="007A6B8E">
              <w:rPr>
                <w:rFonts w:asciiTheme="minorHAnsi" w:hAnsiTheme="minorHAnsi" w:cstheme="minorHAnsi"/>
                <w:sz w:val="22"/>
                <w:szCs w:val="22"/>
              </w:rPr>
              <w:t xml:space="preserve"> the requirement to provide IFSPs in the family’s native language under (34 CFR 303.342 (d) (1).</w:t>
            </w:r>
          </w:p>
          <w:p w:rsidRPr="00BF73F3" w:rsidR="007A6B8E" w:rsidP="007A6B8E" w:rsidRDefault="007A6B8E" w14:paraId="14963674" w14:textId="77777777">
            <w:pPr>
              <w:textAlignment w:val="baseline"/>
              <w:rPr>
                <w:rFonts w:asciiTheme="minorHAnsi" w:hAnsiTheme="minorHAnsi" w:cstheme="minorHAnsi"/>
                <w:sz w:val="22"/>
                <w:szCs w:val="22"/>
              </w:rPr>
            </w:pPr>
          </w:p>
          <w:p w:rsidRPr="00BF73F3" w:rsidR="000264D6" w:rsidP="000264D6" w:rsidRDefault="000264D6" w14:paraId="72D2F77F"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C96C98" w:rsidP="000264D6" w:rsidRDefault="00C96C98" w14:paraId="4EA04A6B" w14:textId="77777777">
            <w:pPr>
              <w:textAlignment w:val="baseline"/>
              <w:rPr>
                <w:rFonts w:asciiTheme="minorHAnsi" w:hAnsiTheme="minorHAnsi" w:cstheme="minorHAnsi"/>
                <w:sz w:val="22"/>
                <w:szCs w:val="22"/>
              </w:rPr>
            </w:pPr>
          </w:p>
          <w:p w:rsidR="00C96C98" w:rsidP="000264D6" w:rsidRDefault="00C96C98" w14:paraId="32818C06" w14:textId="77777777">
            <w:pPr>
              <w:textAlignment w:val="baseline"/>
              <w:rPr>
                <w:rFonts w:asciiTheme="minorHAnsi" w:hAnsiTheme="minorHAnsi" w:cstheme="minorHAnsi"/>
                <w:sz w:val="22"/>
                <w:szCs w:val="22"/>
              </w:rPr>
            </w:pPr>
          </w:p>
          <w:p w:rsidR="00C96C98" w:rsidP="000264D6" w:rsidRDefault="00C96C98" w14:paraId="3BFD2431" w14:textId="77777777">
            <w:pPr>
              <w:textAlignment w:val="baseline"/>
              <w:rPr>
                <w:rFonts w:asciiTheme="minorHAnsi" w:hAnsiTheme="minorHAnsi" w:cstheme="minorHAnsi"/>
                <w:sz w:val="22"/>
                <w:szCs w:val="22"/>
              </w:rPr>
            </w:pPr>
          </w:p>
          <w:p w:rsidRPr="00BF73F3" w:rsidR="000264D6" w:rsidP="000264D6" w:rsidRDefault="000264D6" w14:paraId="31EFE997" w14:textId="1D8615C0">
            <w:pPr>
              <w:textAlignment w:val="baseline"/>
              <w:rPr>
                <w:rFonts w:asciiTheme="minorHAnsi" w:hAnsiTheme="minorHAnsi" w:cstheme="minorHAnsi"/>
                <w:sz w:val="22"/>
                <w:szCs w:val="22"/>
              </w:rPr>
            </w:pPr>
            <w:r w:rsidRPr="00BF73F3">
              <w:rPr>
                <w:rFonts w:asciiTheme="minorHAnsi" w:hAnsiTheme="minorHAnsi" w:cstheme="minorHAnsi"/>
                <w:sz w:val="22"/>
                <w:szCs w:val="22"/>
              </w:rPr>
              <w:t>Evidence of implementation— as soon as possible, but no later than one year from the date of this monitoring report, the program must demonstrate to the EI Division: </w:t>
            </w:r>
          </w:p>
          <w:p w:rsidRPr="00BF73F3" w:rsidR="000264D6" w:rsidP="007928DE" w:rsidRDefault="000264D6" w14:paraId="5BE11F78" w14:textId="2A703299">
            <w:pPr>
              <w:pStyle w:val="ListParagraph"/>
              <w:numPr>
                <w:ilvl w:val="0"/>
                <w:numId w:val="34"/>
              </w:num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Demonstration of </w:t>
            </w:r>
            <w:r w:rsidRPr="00BF73F3" w:rsidR="007928DE">
              <w:rPr>
                <w:rFonts w:asciiTheme="minorHAnsi" w:hAnsiTheme="minorHAnsi" w:cstheme="minorHAnsi"/>
                <w:sz w:val="22"/>
                <w:szCs w:val="22"/>
              </w:rPr>
              <w:t>100</w:t>
            </w:r>
            <w:r w:rsidRPr="00BF73F3">
              <w:rPr>
                <w:rFonts w:asciiTheme="minorHAnsi" w:hAnsiTheme="minorHAnsi" w:cstheme="minorHAnsi"/>
                <w:sz w:val="22"/>
                <w:szCs w:val="22"/>
              </w:rPr>
              <w:t xml:space="preserve">% </w:t>
            </w:r>
            <w:r w:rsidRPr="00BF73F3" w:rsidR="007928DE">
              <w:rPr>
                <w:rFonts w:asciiTheme="minorHAnsi" w:hAnsiTheme="minorHAnsi" w:cstheme="minorHAnsi"/>
                <w:sz w:val="22"/>
                <w:szCs w:val="22"/>
              </w:rPr>
              <w:t>of IFSPs in the families’ native language</w:t>
            </w:r>
            <w:r w:rsidRPr="00BF73F3">
              <w:rPr>
                <w:rFonts w:asciiTheme="minorHAnsi" w:hAnsiTheme="minorHAnsi" w:cstheme="minorHAnsi"/>
                <w:sz w:val="22"/>
                <w:szCs w:val="22"/>
              </w:rPr>
              <w:t>, as evidenced by the EI Division</w:t>
            </w:r>
            <w:r w:rsidRPr="00BF73F3" w:rsidR="007928DE">
              <w:rPr>
                <w:rFonts w:asciiTheme="minorHAnsi" w:hAnsiTheme="minorHAnsi" w:cstheme="minorHAnsi"/>
                <w:sz w:val="22"/>
                <w:szCs w:val="22"/>
              </w:rPr>
              <w:t>’</w:t>
            </w:r>
            <w:r w:rsidRPr="00BF73F3">
              <w:rPr>
                <w:rFonts w:asciiTheme="minorHAnsi" w:hAnsiTheme="minorHAnsi" w:cstheme="minorHAnsi"/>
                <w:sz w:val="22"/>
                <w:szCs w:val="22"/>
              </w:rPr>
              <w:t>s review of subsequent records.  </w:t>
            </w:r>
          </w:p>
          <w:p w:rsidRPr="00BF73F3" w:rsidR="000264D6" w:rsidP="000264D6" w:rsidRDefault="000264D6" w14:paraId="668121B9"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p w:rsidRPr="00BF73F3" w:rsidR="000264D6" w:rsidP="000264D6" w:rsidRDefault="000264D6" w14:paraId="7026F977"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tc>
      </w:tr>
      <w:tr w:rsidRPr="00BF73F3" w:rsidR="00BF73F3" w:rsidTr="00632C8C" w14:paraId="07F516B1"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765032" w:rsidR="009D4658" w:rsidP="00D957A4" w:rsidRDefault="00BF73F3" w14:paraId="5DE4564A" w14:textId="1CB810C9">
            <w:pPr>
              <w:textAlignment w:val="baseline"/>
              <w:rPr>
                <w:rFonts w:asciiTheme="minorHAnsi" w:hAnsiTheme="minorHAnsi" w:cstheme="minorHAnsi"/>
                <w:b/>
                <w:bCs/>
                <w:sz w:val="22"/>
                <w:szCs w:val="22"/>
              </w:rPr>
            </w:pPr>
            <w:r w:rsidRPr="00765032">
              <w:rPr>
                <w:rFonts w:asciiTheme="minorHAnsi" w:hAnsiTheme="minorHAnsi" w:cstheme="minorHAnsi"/>
                <w:b/>
                <w:bCs/>
                <w:sz w:val="22"/>
                <w:szCs w:val="22"/>
              </w:rPr>
              <w:t xml:space="preserve">1.2 </w:t>
            </w:r>
            <w:r w:rsidRPr="00765032" w:rsidR="00765032">
              <w:rPr>
                <w:rFonts w:asciiTheme="minorHAnsi" w:hAnsiTheme="minorHAnsi" w:cstheme="minorHAnsi"/>
                <w:b/>
                <w:bCs/>
                <w:sz w:val="22"/>
                <w:szCs w:val="22"/>
              </w:rPr>
              <w:t>Service Delivery (Consent and Accuracy)</w:t>
            </w:r>
          </w:p>
          <w:p w:rsidR="009D4658" w:rsidP="00D957A4" w:rsidRDefault="009D4658" w14:paraId="128D7EB5" w14:textId="77777777">
            <w:pPr>
              <w:textAlignment w:val="baseline"/>
              <w:rPr>
                <w:rFonts w:asciiTheme="minorHAnsi" w:hAnsiTheme="minorHAnsi" w:cstheme="minorHAnsi"/>
                <w:sz w:val="22"/>
                <w:szCs w:val="22"/>
              </w:rPr>
            </w:pPr>
          </w:p>
          <w:p w:rsidRPr="00BF73F3" w:rsidR="00D957A4" w:rsidP="00D957A4" w:rsidRDefault="00D957A4" w14:paraId="058C4D0F" w14:textId="4E1073AB">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Under, Federal Regulation (34 CFR 303.344(d)(1); 34 CFR 303.344(d)(1)(2)):34 C.F.R. § 303.342(e), </w:t>
            </w:r>
            <w:r w:rsidR="007552F5">
              <w:rPr>
                <w:rFonts w:asciiTheme="minorHAnsi" w:hAnsiTheme="minorHAnsi" w:cstheme="minorHAnsi"/>
                <w:sz w:val="22"/>
                <w:szCs w:val="22"/>
              </w:rPr>
              <w:t xml:space="preserve">Service Provision: As a condition of receiving assistance under Part C of IDEA, </w:t>
            </w:r>
            <w:r w:rsidRPr="00BF73F3">
              <w:rPr>
                <w:rFonts w:asciiTheme="minorHAnsi" w:hAnsiTheme="minorHAnsi" w:cstheme="minorHAnsi"/>
                <w:sz w:val="22"/>
                <w:szCs w:val="22"/>
              </w:rPr>
              <w:t xml:space="preserve">each State must ensure that </w:t>
            </w:r>
            <w:r w:rsidR="002012DD">
              <w:rPr>
                <w:rStyle w:val="normaltextrun"/>
                <w:rFonts w:ascii="Calibri" w:hAnsi="Calibri" w:cs="Calibri"/>
                <w:color w:val="000000"/>
                <w:sz w:val="22"/>
                <w:szCs w:val="22"/>
                <w:shd w:val="clear" w:color="auto" w:fill="FFFFFF"/>
              </w:rPr>
              <w:t xml:space="preserve">appropriate early intervention services are available to all infants and toddlers with disabilities and their families as </w:t>
            </w:r>
            <w:r w:rsidR="002012DD">
              <w:rPr>
                <w:rStyle w:val="normaltextrun"/>
                <w:rFonts w:ascii="Calibri" w:hAnsi="Calibri" w:cs="Calibri"/>
                <w:color w:val="000000"/>
                <w:sz w:val="22"/>
                <w:szCs w:val="22"/>
                <w:shd w:val="clear" w:color="auto" w:fill="FFFFFF"/>
              </w:rPr>
              <w:t>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r w:rsidR="002012DD">
              <w:rPr>
                <w:rStyle w:val="eop"/>
                <w:rFonts w:ascii="Calibri" w:hAnsi="Calibri" w:cs="Calibri"/>
                <w:color w:val="000000"/>
                <w:sz w:val="22"/>
                <w:szCs w:val="22"/>
                <w:shd w:val="clear" w:color="auto" w:fill="FFFFFF"/>
              </w:rPr>
              <w:t> </w:t>
            </w:r>
          </w:p>
          <w:p w:rsidRPr="00BF73F3" w:rsidR="00D957A4" w:rsidP="00D957A4" w:rsidRDefault="00D957A4" w14:paraId="7274E15B" w14:textId="77777777">
            <w:pPr>
              <w:ind w:left="780"/>
              <w:textAlignment w:val="baseline"/>
              <w:rPr>
                <w:rFonts w:asciiTheme="minorHAnsi" w:hAnsiTheme="minorHAnsi" w:cstheme="minorHAnsi"/>
                <w:sz w:val="22"/>
                <w:szCs w:val="22"/>
              </w:rPr>
            </w:pPr>
          </w:p>
          <w:p w:rsidRPr="00BF73F3" w:rsidR="00D957A4" w:rsidP="00D957A4" w:rsidRDefault="00D957A4" w14:paraId="08F66702"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In accordance with Early Intervention Operational Policies, page 32:</w:t>
            </w:r>
          </w:p>
          <w:p w:rsidRPr="00BF73F3" w:rsidR="00D957A4" w:rsidP="00D957A4" w:rsidRDefault="00D957A4" w14:paraId="6FDA7072" w14:textId="77777777">
            <w:pPr>
              <w:ind w:left="780"/>
              <w:textAlignment w:val="baseline"/>
              <w:rPr>
                <w:rFonts w:asciiTheme="minorHAnsi" w:hAnsiTheme="minorHAnsi" w:cstheme="minorHAnsi"/>
                <w:sz w:val="22"/>
                <w:szCs w:val="22"/>
              </w:rPr>
            </w:pPr>
          </w:p>
          <w:p w:rsidRPr="00BF73F3" w:rsidR="00D957A4" w:rsidP="00D957A4" w:rsidRDefault="00D957A4" w14:paraId="2A18B283"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C. SERVICE COORDINATION</w:t>
            </w:r>
          </w:p>
          <w:p w:rsidRPr="00BF73F3" w:rsidR="00D957A4" w:rsidP="00D957A4" w:rsidRDefault="00D957A4" w14:paraId="1085110D"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Conducting activities which ensure the timely and consistent delivery of IFSP (Part C) services;</w:t>
            </w:r>
          </w:p>
          <w:p w:rsidRPr="00BF73F3" w:rsidR="00D957A4" w:rsidP="00D957A4" w:rsidRDefault="00D957A4" w14:paraId="5BEBE1CF" w14:textId="77777777">
            <w:pPr>
              <w:ind w:left="780"/>
              <w:textAlignment w:val="baseline"/>
              <w:rPr>
                <w:rFonts w:asciiTheme="minorHAnsi" w:hAnsiTheme="minorHAnsi" w:cstheme="minorHAnsi"/>
                <w:sz w:val="22"/>
                <w:szCs w:val="22"/>
              </w:rPr>
            </w:pPr>
          </w:p>
          <w:p w:rsidRPr="00BF73F3" w:rsidR="000264D6" w:rsidP="0070433C" w:rsidRDefault="000264D6" w14:paraId="23D65328" w14:textId="7E19B807">
            <w:pPr>
              <w:ind w:left="780"/>
              <w:textAlignment w:val="baseline"/>
              <w:rPr>
                <w:rFonts w:asciiTheme="minorHAnsi" w:hAnsiTheme="minorHAnsi" w:cstheme="minorHAnsi"/>
                <w:sz w:val="22"/>
                <w:szCs w:val="22"/>
              </w:rPr>
            </w:pPr>
          </w:p>
        </w:tc>
        <w:tc>
          <w:tcPr>
            <w:tcW w:w="3225" w:type="dxa"/>
            <w:tcBorders>
              <w:top w:val="single" w:color="auto" w:sz="6" w:space="0"/>
              <w:left w:val="single" w:color="auto" w:sz="6" w:space="0"/>
              <w:bottom w:val="single" w:color="auto" w:sz="6" w:space="0"/>
              <w:right w:val="single" w:color="auto" w:sz="6" w:space="0"/>
            </w:tcBorders>
            <w:hideMark/>
          </w:tcPr>
          <w:p w:rsidR="002012DD" w:rsidP="0070433C" w:rsidRDefault="002012DD" w14:paraId="1DBD30FB" w14:textId="77777777">
            <w:pPr>
              <w:textAlignment w:val="baseline"/>
              <w:rPr>
                <w:rFonts w:asciiTheme="minorHAnsi" w:hAnsiTheme="minorHAnsi" w:cstheme="minorHAnsi"/>
                <w:sz w:val="22"/>
                <w:szCs w:val="22"/>
              </w:rPr>
            </w:pPr>
          </w:p>
          <w:p w:rsidR="002012DD" w:rsidP="0070433C" w:rsidRDefault="002012DD" w14:paraId="16975EB8" w14:textId="77777777">
            <w:pPr>
              <w:textAlignment w:val="baseline"/>
              <w:rPr>
                <w:rFonts w:asciiTheme="minorHAnsi" w:hAnsiTheme="minorHAnsi" w:cstheme="minorHAnsi"/>
                <w:sz w:val="22"/>
                <w:szCs w:val="22"/>
              </w:rPr>
            </w:pPr>
          </w:p>
          <w:p w:rsidR="002012DD" w:rsidP="0070433C" w:rsidRDefault="002012DD" w14:paraId="458C1B7C" w14:textId="77777777">
            <w:pPr>
              <w:textAlignment w:val="baseline"/>
              <w:rPr>
                <w:rFonts w:asciiTheme="minorHAnsi" w:hAnsiTheme="minorHAnsi" w:cstheme="minorHAnsi"/>
                <w:sz w:val="22"/>
                <w:szCs w:val="22"/>
              </w:rPr>
            </w:pPr>
          </w:p>
          <w:p w:rsidRPr="00BF73F3" w:rsidR="0070433C" w:rsidP="0070433C" w:rsidRDefault="0070433C" w14:paraId="22AFA1F5" w14:textId="02F67FA9">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During record reviews, the EI Division found that the program did not consistently meet the </w:t>
            </w:r>
            <w:r w:rsidRPr="00BF73F3" w:rsidR="008C04AA">
              <w:rPr>
                <w:rFonts w:asciiTheme="minorHAnsi" w:hAnsiTheme="minorHAnsi" w:cstheme="minorHAnsi"/>
                <w:sz w:val="22"/>
                <w:szCs w:val="22"/>
              </w:rPr>
              <w:t>requirement of ongoing service delivery consistency</w:t>
            </w:r>
            <w:r w:rsidRPr="00BF73F3" w:rsidR="00EE2B5F">
              <w:rPr>
                <w:rFonts w:asciiTheme="minorHAnsi" w:hAnsiTheme="minorHAnsi" w:cstheme="minorHAnsi"/>
                <w:sz w:val="22"/>
                <w:szCs w:val="22"/>
              </w:rPr>
              <w:t xml:space="preserve"> as consented to by the parents on the IFSP</w:t>
            </w:r>
            <w:r w:rsidRPr="00BF73F3" w:rsidR="008C04AA">
              <w:rPr>
                <w:rFonts w:asciiTheme="minorHAnsi" w:hAnsiTheme="minorHAnsi" w:cstheme="minorHAnsi"/>
                <w:sz w:val="22"/>
                <w:szCs w:val="22"/>
              </w:rPr>
              <w:t xml:space="preserve">. </w:t>
            </w:r>
            <w:r w:rsidRPr="00BF73F3">
              <w:rPr>
                <w:rFonts w:asciiTheme="minorHAnsi" w:hAnsiTheme="minorHAnsi" w:cstheme="minorHAnsi"/>
                <w:sz w:val="22"/>
                <w:szCs w:val="22"/>
              </w:rPr>
              <w:t xml:space="preserve">The EI division reviewed a total of </w:t>
            </w:r>
            <w:r w:rsidRPr="00BF73F3" w:rsidR="008C04AA">
              <w:rPr>
                <w:rFonts w:asciiTheme="minorHAnsi" w:hAnsiTheme="minorHAnsi" w:cstheme="minorHAnsi"/>
                <w:sz w:val="22"/>
                <w:szCs w:val="22"/>
              </w:rPr>
              <w:t>10</w:t>
            </w:r>
            <w:r w:rsidRPr="00BF73F3">
              <w:rPr>
                <w:rFonts w:asciiTheme="minorHAnsi" w:hAnsiTheme="minorHAnsi" w:cstheme="minorHAnsi"/>
                <w:sz w:val="22"/>
                <w:szCs w:val="22"/>
              </w:rPr>
              <w:t xml:space="preserve"> child records for satisfactory demonstration</w:t>
            </w:r>
            <w:r w:rsidRPr="00BF73F3" w:rsidR="008C04AA">
              <w:rPr>
                <w:rFonts w:asciiTheme="minorHAnsi" w:hAnsiTheme="minorHAnsi" w:cstheme="minorHAnsi"/>
                <w:sz w:val="22"/>
                <w:szCs w:val="22"/>
              </w:rPr>
              <w:t xml:space="preserve"> (100%)</w:t>
            </w:r>
            <w:r w:rsidRPr="00BF73F3">
              <w:rPr>
                <w:rFonts w:asciiTheme="minorHAnsi" w:hAnsiTheme="minorHAnsi" w:cstheme="minorHAnsi"/>
                <w:sz w:val="22"/>
                <w:szCs w:val="22"/>
              </w:rPr>
              <w:t xml:space="preserve"> requirements. A total </w:t>
            </w:r>
            <w:r w:rsidRPr="00BF73F3" w:rsidR="00EE2B5F">
              <w:rPr>
                <w:rFonts w:asciiTheme="minorHAnsi" w:hAnsiTheme="minorHAnsi" w:cstheme="minorHAnsi"/>
                <w:sz w:val="22"/>
                <w:szCs w:val="22"/>
              </w:rPr>
              <w:t>of 2/10</w:t>
            </w:r>
            <w:r w:rsidRPr="00BF73F3">
              <w:rPr>
                <w:rFonts w:asciiTheme="minorHAnsi" w:hAnsiTheme="minorHAnsi" w:cstheme="minorHAnsi"/>
                <w:sz w:val="22"/>
                <w:szCs w:val="22"/>
              </w:rPr>
              <w:t xml:space="preserve"> of </w:t>
            </w:r>
            <w:r w:rsidRPr="00BF73F3">
              <w:rPr>
                <w:rFonts w:asciiTheme="minorHAnsi" w:hAnsiTheme="minorHAnsi" w:cstheme="minorHAnsi"/>
                <w:sz w:val="22"/>
                <w:szCs w:val="22"/>
              </w:rPr>
              <w:t>these records demonstrated that the program did not complete the requirement.  </w:t>
            </w:r>
          </w:p>
          <w:p w:rsidRPr="00BF73F3" w:rsidR="000264D6" w:rsidP="000264D6" w:rsidRDefault="000264D6" w14:paraId="7040D854" w14:textId="46E4F1AB">
            <w:pPr>
              <w:textAlignment w:val="baseline"/>
              <w:rPr>
                <w:rFonts w:asciiTheme="minorHAnsi" w:hAnsiTheme="minorHAnsi" w:cstheme="minorHAnsi"/>
                <w:sz w:val="22"/>
                <w:szCs w:val="22"/>
              </w:rPr>
            </w:pPr>
          </w:p>
        </w:tc>
        <w:tc>
          <w:tcPr>
            <w:tcW w:w="3225" w:type="dxa"/>
            <w:tcBorders>
              <w:top w:val="single" w:color="auto" w:sz="6" w:space="0"/>
              <w:left w:val="single" w:color="auto" w:sz="6" w:space="0"/>
              <w:bottom w:val="single" w:color="auto" w:sz="6" w:space="0"/>
              <w:right w:val="single" w:color="auto" w:sz="6" w:space="0"/>
            </w:tcBorders>
            <w:hideMark/>
          </w:tcPr>
          <w:p w:rsidR="002012DD" w:rsidP="00632C8C" w:rsidRDefault="002012DD" w14:paraId="00A4C76B" w14:textId="77777777">
            <w:pPr>
              <w:textAlignment w:val="baseline"/>
              <w:rPr>
                <w:rFonts w:asciiTheme="minorHAnsi" w:hAnsiTheme="minorHAnsi" w:cstheme="minorHAnsi"/>
                <w:sz w:val="22"/>
                <w:szCs w:val="22"/>
              </w:rPr>
            </w:pPr>
          </w:p>
          <w:p w:rsidR="002012DD" w:rsidP="00632C8C" w:rsidRDefault="002012DD" w14:paraId="1D8AB78F" w14:textId="77777777">
            <w:pPr>
              <w:textAlignment w:val="baseline"/>
              <w:rPr>
                <w:rFonts w:asciiTheme="minorHAnsi" w:hAnsiTheme="minorHAnsi" w:cstheme="minorHAnsi"/>
                <w:sz w:val="22"/>
                <w:szCs w:val="22"/>
              </w:rPr>
            </w:pPr>
          </w:p>
          <w:p w:rsidR="002012DD" w:rsidP="00632C8C" w:rsidRDefault="002012DD" w14:paraId="6FCAB9D4" w14:textId="77777777">
            <w:pPr>
              <w:textAlignment w:val="baseline"/>
              <w:rPr>
                <w:rFonts w:asciiTheme="minorHAnsi" w:hAnsiTheme="minorHAnsi" w:cstheme="minorHAnsi"/>
                <w:sz w:val="22"/>
                <w:szCs w:val="22"/>
              </w:rPr>
            </w:pPr>
          </w:p>
          <w:p w:rsidRPr="00BF73F3" w:rsidR="00632C8C" w:rsidP="00632C8C" w:rsidRDefault="00632C8C" w14:paraId="616A4438" w14:textId="4EC4D275">
            <w:pPr>
              <w:textAlignment w:val="baseline"/>
              <w:rPr>
                <w:rFonts w:asciiTheme="minorHAnsi" w:hAnsiTheme="minorHAnsi" w:cstheme="minorHAnsi"/>
                <w:sz w:val="22"/>
                <w:szCs w:val="22"/>
              </w:rPr>
            </w:pPr>
            <w:r w:rsidRPr="00BF73F3">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w:t>
            </w:r>
          </w:p>
          <w:p w:rsidRPr="00BF73F3" w:rsidR="00632C8C" w:rsidP="00632C8C" w:rsidRDefault="00632C8C" w14:paraId="7A48FB06" w14:textId="77777777">
            <w:pPr>
              <w:textAlignment w:val="baseline"/>
              <w:rPr>
                <w:rFonts w:asciiTheme="minorHAnsi" w:hAnsiTheme="minorHAnsi" w:cstheme="minorHAnsi"/>
                <w:sz w:val="22"/>
                <w:szCs w:val="22"/>
              </w:rPr>
            </w:pPr>
          </w:p>
          <w:p w:rsidRPr="00BF73F3" w:rsidR="00042289" w:rsidP="00042289" w:rsidRDefault="004C0692" w14:paraId="52E93FEF" w14:textId="0718EEE5">
            <w:pPr>
              <w:textAlignment w:val="baseline"/>
              <w:rPr>
                <w:rFonts w:asciiTheme="minorHAnsi" w:hAnsiTheme="minorHAnsi" w:cstheme="minorHAnsi"/>
                <w:sz w:val="22"/>
                <w:szCs w:val="22"/>
              </w:rPr>
            </w:pPr>
            <w:r>
              <w:rPr>
                <w:rFonts w:asciiTheme="minorHAnsi" w:hAnsiTheme="minorHAnsi" w:cstheme="minorHAnsi"/>
                <w:sz w:val="22"/>
                <w:szCs w:val="22"/>
              </w:rPr>
              <w:t>1.2</w:t>
            </w:r>
            <w:r w:rsidR="00BA722F">
              <w:rPr>
                <w:rFonts w:asciiTheme="minorHAnsi" w:hAnsiTheme="minorHAnsi" w:cstheme="minorHAnsi"/>
                <w:sz w:val="22"/>
                <w:szCs w:val="22"/>
              </w:rPr>
              <w:t xml:space="preserve"> </w:t>
            </w:r>
            <w:r w:rsidRPr="00BF73F3" w:rsidR="00042289">
              <w:rPr>
                <w:rFonts w:asciiTheme="minorHAnsi" w:hAnsiTheme="minorHAnsi" w:cstheme="minorHAnsi"/>
                <w:sz w:val="22"/>
                <w:szCs w:val="22"/>
              </w:rPr>
              <w:t xml:space="preserve">The EI Division finds that the program </w:t>
            </w:r>
            <w:r w:rsidR="00A949C9">
              <w:rPr>
                <w:rFonts w:asciiTheme="minorHAnsi" w:hAnsiTheme="minorHAnsi" w:cstheme="minorHAnsi"/>
                <w:sz w:val="22"/>
                <w:szCs w:val="22"/>
              </w:rPr>
              <w:t>does</w:t>
            </w:r>
            <w:r w:rsidRPr="00BF73F3" w:rsidR="00042289">
              <w:rPr>
                <w:rFonts w:asciiTheme="minorHAnsi" w:hAnsiTheme="minorHAnsi" w:cstheme="minorHAnsi"/>
                <w:sz w:val="22"/>
                <w:szCs w:val="22"/>
              </w:rPr>
              <w:t xml:space="preserve"> not complete the </w:t>
            </w:r>
            <w:r w:rsidRPr="00BF73F3" w:rsidR="00042289">
              <w:rPr>
                <w:rFonts w:asciiTheme="minorHAnsi" w:hAnsiTheme="minorHAnsi" w:cstheme="minorHAnsi"/>
                <w:sz w:val="22"/>
                <w:szCs w:val="22"/>
              </w:rPr>
              <w:t>requirement to provide consistent service delivery as determined through the IFSP process and consented to by the parent as required under EIOS Page 32 and (34 CFR 303.344(d)(1); 34 CFR 303.344(d)(1)(2)).</w:t>
            </w:r>
          </w:p>
          <w:p w:rsidRPr="00BF73F3" w:rsidR="00632C8C" w:rsidP="00632C8C" w:rsidRDefault="00632C8C" w14:paraId="288C267D" w14:textId="77777777">
            <w:pPr>
              <w:textAlignment w:val="baseline"/>
              <w:rPr>
                <w:rFonts w:asciiTheme="minorHAnsi" w:hAnsiTheme="minorHAnsi" w:cstheme="minorHAnsi"/>
                <w:sz w:val="22"/>
                <w:szCs w:val="22"/>
              </w:rPr>
            </w:pPr>
          </w:p>
          <w:p w:rsidRPr="00BF73F3" w:rsidR="000264D6" w:rsidP="000264D6" w:rsidRDefault="000264D6" w14:paraId="02B81491" w14:textId="44C7FBEC">
            <w:pPr>
              <w:textAlignment w:val="baseline"/>
              <w:rPr>
                <w:rFonts w:asciiTheme="minorHAnsi" w:hAnsiTheme="minorHAnsi" w:cstheme="minorHAnsi"/>
                <w:sz w:val="22"/>
                <w:szCs w:val="22"/>
              </w:rPr>
            </w:pPr>
          </w:p>
        </w:tc>
        <w:tc>
          <w:tcPr>
            <w:tcW w:w="3225" w:type="dxa"/>
            <w:tcBorders>
              <w:top w:val="single" w:color="auto" w:sz="6" w:space="0"/>
              <w:left w:val="single" w:color="auto" w:sz="6" w:space="0"/>
              <w:bottom w:val="single" w:color="auto" w:sz="6" w:space="0"/>
              <w:right w:val="single" w:color="auto" w:sz="6" w:space="0"/>
            </w:tcBorders>
            <w:hideMark/>
          </w:tcPr>
          <w:p w:rsidR="002012DD" w:rsidP="00C151CF" w:rsidRDefault="002012DD" w14:paraId="44CBEA61" w14:textId="77777777">
            <w:pPr>
              <w:textAlignment w:val="baseline"/>
              <w:rPr>
                <w:rFonts w:asciiTheme="minorHAnsi" w:hAnsiTheme="minorHAnsi" w:cstheme="minorHAnsi"/>
                <w:sz w:val="22"/>
                <w:szCs w:val="22"/>
              </w:rPr>
            </w:pPr>
          </w:p>
          <w:p w:rsidR="002012DD" w:rsidP="00C151CF" w:rsidRDefault="002012DD" w14:paraId="342F27AB" w14:textId="77777777">
            <w:pPr>
              <w:textAlignment w:val="baseline"/>
              <w:rPr>
                <w:rFonts w:asciiTheme="minorHAnsi" w:hAnsiTheme="minorHAnsi" w:cstheme="minorHAnsi"/>
                <w:sz w:val="22"/>
                <w:szCs w:val="22"/>
              </w:rPr>
            </w:pPr>
          </w:p>
          <w:p w:rsidR="002012DD" w:rsidP="00C151CF" w:rsidRDefault="002012DD" w14:paraId="5DE014FF" w14:textId="77777777">
            <w:pPr>
              <w:textAlignment w:val="baseline"/>
              <w:rPr>
                <w:rFonts w:asciiTheme="minorHAnsi" w:hAnsiTheme="minorHAnsi" w:cstheme="minorHAnsi"/>
                <w:sz w:val="22"/>
                <w:szCs w:val="22"/>
              </w:rPr>
            </w:pPr>
          </w:p>
          <w:p w:rsidRPr="00BF73F3" w:rsidR="00C151CF" w:rsidP="00C151CF" w:rsidRDefault="00C151CF" w14:paraId="1A88651B" w14:textId="4F67D841">
            <w:pPr>
              <w:textAlignment w:val="baseline"/>
              <w:rPr>
                <w:rFonts w:asciiTheme="minorHAnsi" w:hAnsiTheme="minorHAnsi" w:cstheme="minorHAnsi"/>
                <w:sz w:val="22"/>
                <w:szCs w:val="22"/>
              </w:rPr>
            </w:pPr>
            <w:r w:rsidRPr="00BF73F3">
              <w:rPr>
                <w:rFonts w:asciiTheme="minorHAnsi" w:hAnsiTheme="minorHAnsi" w:cstheme="minorHAnsi"/>
                <w:sz w:val="22"/>
                <w:szCs w:val="22"/>
              </w:rPr>
              <w:t>Evidence of implementation— as soon as possible, but no later than one year from the date of this monitoring report, the program must demonstrate to the EI Division: </w:t>
            </w:r>
          </w:p>
          <w:p w:rsidRPr="00BF73F3" w:rsidR="00C151CF" w:rsidP="00327D75" w:rsidRDefault="00340315" w14:paraId="7D9B7CDE" w14:textId="138A509F">
            <w:pPr>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sidRPr="00BF73F3" w:rsidR="00C151CF">
              <w:rPr>
                <w:rFonts w:asciiTheme="minorHAnsi" w:hAnsiTheme="minorHAnsi" w:cstheme="minorHAnsi"/>
                <w:sz w:val="22"/>
                <w:szCs w:val="22"/>
              </w:rPr>
              <w:t xml:space="preserve">Demonstration of </w:t>
            </w:r>
            <w:r w:rsidRPr="00BF73F3" w:rsidR="00EE2B5F">
              <w:rPr>
                <w:rFonts w:asciiTheme="minorHAnsi" w:hAnsiTheme="minorHAnsi" w:cstheme="minorHAnsi"/>
                <w:sz w:val="22"/>
                <w:szCs w:val="22"/>
              </w:rPr>
              <w:t>100</w:t>
            </w:r>
            <w:r w:rsidRPr="00BF73F3" w:rsidR="00C151CF">
              <w:rPr>
                <w:rFonts w:asciiTheme="minorHAnsi" w:hAnsiTheme="minorHAnsi" w:cstheme="minorHAnsi"/>
                <w:sz w:val="22"/>
                <w:szCs w:val="22"/>
              </w:rPr>
              <w:t xml:space="preserve">% </w:t>
            </w:r>
            <w:r w:rsidRPr="00BF73F3" w:rsidR="00EE2B5F">
              <w:rPr>
                <w:rFonts w:asciiTheme="minorHAnsi" w:hAnsiTheme="minorHAnsi" w:cstheme="minorHAnsi"/>
                <w:sz w:val="22"/>
                <w:szCs w:val="22"/>
              </w:rPr>
              <w:t xml:space="preserve">service delivery </w:t>
            </w:r>
            <w:r w:rsidRPr="00BF73F3" w:rsidR="00392762">
              <w:rPr>
                <w:rFonts w:asciiTheme="minorHAnsi" w:hAnsiTheme="minorHAnsi" w:cstheme="minorHAnsi"/>
                <w:sz w:val="22"/>
                <w:szCs w:val="22"/>
              </w:rPr>
              <w:t>consistency</w:t>
            </w:r>
            <w:r w:rsidRPr="00BF73F3" w:rsidR="00C151CF">
              <w:rPr>
                <w:rFonts w:asciiTheme="minorHAnsi" w:hAnsiTheme="minorHAnsi" w:cstheme="minorHAnsi"/>
                <w:sz w:val="22"/>
                <w:szCs w:val="22"/>
              </w:rPr>
              <w:t xml:space="preserve">, as evidenced </w:t>
            </w:r>
            <w:r w:rsidRPr="00BF73F3" w:rsidR="00C151CF">
              <w:rPr>
                <w:rFonts w:asciiTheme="minorHAnsi" w:hAnsiTheme="minorHAnsi" w:cstheme="minorHAnsi"/>
                <w:sz w:val="22"/>
                <w:szCs w:val="22"/>
              </w:rPr>
              <w:t>by the EI Division</w:t>
            </w:r>
            <w:r w:rsidR="00911493">
              <w:rPr>
                <w:rFonts w:asciiTheme="minorHAnsi" w:hAnsiTheme="minorHAnsi" w:cstheme="minorHAnsi"/>
                <w:sz w:val="22"/>
                <w:szCs w:val="22"/>
              </w:rPr>
              <w:t>’</w:t>
            </w:r>
            <w:r w:rsidRPr="00BF73F3" w:rsidR="00C151CF">
              <w:rPr>
                <w:rFonts w:asciiTheme="minorHAnsi" w:hAnsiTheme="minorHAnsi" w:cstheme="minorHAnsi"/>
                <w:sz w:val="22"/>
                <w:szCs w:val="22"/>
              </w:rPr>
              <w:t>s review of subsequent records.  </w:t>
            </w:r>
          </w:p>
          <w:p w:rsidRPr="00BF73F3" w:rsidR="000264D6" w:rsidP="000264D6" w:rsidRDefault="000264D6" w14:paraId="6AF9B080" w14:textId="51125C77">
            <w:pPr>
              <w:textAlignment w:val="baseline"/>
              <w:rPr>
                <w:rFonts w:asciiTheme="minorHAnsi" w:hAnsiTheme="minorHAnsi" w:cstheme="minorHAnsi"/>
                <w:sz w:val="22"/>
                <w:szCs w:val="22"/>
              </w:rPr>
            </w:pPr>
          </w:p>
        </w:tc>
      </w:tr>
      <w:tr w:rsidRPr="00BF73F3" w:rsidR="00BF73F3" w:rsidTr="00632C8C" w14:paraId="2A864FC9" w14:textId="77777777">
        <w:trPr>
          <w:trHeight w:val="300"/>
        </w:trPr>
        <w:tc>
          <w:tcPr>
            <w:tcW w:w="3225" w:type="dxa"/>
            <w:tcBorders>
              <w:top w:val="single" w:color="auto" w:sz="6" w:space="0"/>
              <w:left w:val="single" w:color="auto" w:sz="6" w:space="0"/>
              <w:bottom w:val="single" w:color="auto" w:sz="6" w:space="0"/>
              <w:right w:val="single" w:color="auto" w:sz="6" w:space="0"/>
            </w:tcBorders>
          </w:tcPr>
          <w:p w:rsidRPr="002012DD" w:rsidR="002012DD" w:rsidP="005B35A1" w:rsidRDefault="00BF73F3" w14:paraId="032B4C5D" w14:textId="7052FEEA">
            <w:pPr>
              <w:textAlignment w:val="baseline"/>
              <w:rPr>
                <w:rFonts w:asciiTheme="minorHAnsi" w:hAnsiTheme="minorHAnsi" w:cstheme="minorHAnsi"/>
                <w:b/>
                <w:bCs/>
                <w:sz w:val="22"/>
                <w:szCs w:val="22"/>
              </w:rPr>
            </w:pPr>
            <w:r w:rsidRPr="002012DD">
              <w:rPr>
                <w:rFonts w:asciiTheme="minorHAnsi" w:hAnsiTheme="minorHAnsi" w:cstheme="minorHAnsi"/>
                <w:b/>
                <w:bCs/>
                <w:sz w:val="22"/>
                <w:szCs w:val="22"/>
              </w:rPr>
              <w:t xml:space="preserve">1.3 </w:t>
            </w:r>
            <w:r w:rsidRPr="002012DD" w:rsidR="002012DD">
              <w:rPr>
                <w:rFonts w:asciiTheme="minorHAnsi" w:hAnsiTheme="minorHAnsi" w:cstheme="minorHAnsi"/>
                <w:b/>
                <w:bCs/>
                <w:sz w:val="22"/>
                <w:szCs w:val="22"/>
              </w:rPr>
              <w:t xml:space="preserve">Transition </w:t>
            </w:r>
          </w:p>
          <w:p w:rsidR="002012DD" w:rsidP="005B35A1" w:rsidRDefault="002012DD" w14:paraId="276E1838" w14:textId="77777777">
            <w:pPr>
              <w:textAlignment w:val="baseline"/>
              <w:rPr>
                <w:rFonts w:asciiTheme="minorHAnsi" w:hAnsiTheme="minorHAnsi" w:cstheme="minorHAnsi"/>
                <w:sz w:val="22"/>
                <w:szCs w:val="22"/>
              </w:rPr>
            </w:pPr>
          </w:p>
          <w:p w:rsidRPr="00BF73F3" w:rsidR="006B1BA7" w:rsidP="002012DD" w:rsidRDefault="0070433C" w14:paraId="3B3DDE27" w14:textId="4760400A">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Under, Federal Regulation </w:t>
            </w:r>
            <w:r w:rsidRPr="00BF73F3" w:rsidR="006B1BA7">
              <w:rPr>
                <w:rFonts w:asciiTheme="minorHAnsi" w:hAnsiTheme="minorHAnsi" w:cstheme="minorHAnsi"/>
                <w:sz w:val="22"/>
                <w:szCs w:val="22"/>
              </w:rPr>
              <w:t>(34 CFR § 303.344(h)(1)); (34 CFR § 303.209(d)(2))</w:t>
            </w:r>
            <w:r w:rsidR="002012DD">
              <w:rPr>
                <w:rFonts w:asciiTheme="minorHAnsi" w:hAnsiTheme="minorHAnsi" w:cstheme="minorHAnsi"/>
                <w:sz w:val="22"/>
                <w:szCs w:val="22"/>
              </w:rPr>
              <w:t xml:space="preserve"> </w:t>
            </w:r>
            <w:r w:rsidRPr="00BF73F3" w:rsidR="006B1BA7">
              <w:rPr>
                <w:rFonts w:asciiTheme="minorHAnsi" w:hAnsiTheme="minorHAnsi" w:cstheme="minorHAnsi"/>
                <w:sz w:val="22"/>
                <w:szCs w:val="22"/>
              </w:rPr>
              <w:t xml:space="preserve">The IFSP must include the steps and services to be taken to support the smooth transition of the child, in </w:t>
            </w:r>
            <w:r w:rsidRPr="00BF73F3" w:rsidR="006B1BA7">
              <w:rPr>
                <w:rFonts w:asciiTheme="minorHAnsi" w:hAnsiTheme="minorHAnsi" w:cstheme="minorHAnsi"/>
                <w:sz w:val="22"/>
                <w:szCs w:val="22"/>
              </w:rPr>
              <w:t>accordance with §§ 303.209 and 303.211(b)(6), from part C services</w:t>
            </w:r>
          </w:p>
          <w:p w:rsidRPr="00BF73F3" w:rsidR="006B1BA7" w:rsidP="006B1BA7" w:rsidRDefault="006B1BA7" w14:paraId="4F805BFA" w14:textId="77777777">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(34 CFR 303.209(d)(2))</w:t>
            </w:r>
          </w:p>
          <w:p w:rsidRPr="00BF73F3" w:rsidR="00EF5363" w:rsidP="006B1BA7" w:rsidRDefault="006B1BA7" w14:paraId="5C21E9DA" w14:textId="77777777">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It establishes a transition plan in the IFSP not fewer than 90 days—and, at the discretion of all parties, not more than 9 months—before the toddler's third birthday;</w:t>
            </w:r>
          </w:p>
          <w:p w:rsidRPr="00BF73F3" w:rsidR="006B1BA7" w:rsidP="006B1BA7" w:rsidRDefault="006B1BA7" w14:paraId="73C3A3E3" w14:textId="77777777">
            <w:pPr>
              <w:ind w:left="60"/>
              <w:textAlignment w:val="baseline"/>
              <w:rPr>
                <w:rFonts w:asciiTheme="minorHAnsi" w:hAnsiTheme="minorHAnsi" w:cstheme="minorHAnsi"/>
                <w:sz w:val="22"/>
                <w:szCs w:val="22"/>
              </w:rPr>
            </w:pPr>
          </w:p>
          <w:p w:rsidRPr="00BF73F3" w:rsidR="005B35A1" w:rsidP="005B35A1" w:rsidRDefault="005B35A1" w14:paraId="23F5296C" w14:textId="161F2951">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For toddlers potentially eligible for Part B services and in accordance with the IDEA, a transition conference </w:t>
            </w:r>
            <w:r w:rsidRPr="00BF73F3" w:rsidR="00AD3E21">
              <w:rPr>
                <w:rFonts w:asciiTheme="minorHAnsi" w:hAnsiTheme="minorHAnsi" w:cstheme="minorHAnsi"/>
                <w:sz w:val="22"/>
                <w:szCs w:val="22"/>
              </w:rPr>
              <w:t>is to</w:t>
            </w:r>
            <w:r w:rsidRPr="00BF73F3">
              <w:rPr>
                <w:rFonts w:asciiTheme="minorHAnsi" w:hAnsiTheme="minorHAnsi" w:cstheme="minorHAnsi"/>
                <w:sz w:val="22"/>
                <w:szCs w:val="22"/>
              </w:rPr>
              <w:t xml:space="preserve"> be held not fewer than 90 days and, at the discretion of all parties, not more than 9 months before the child’s third birthday. </w:t>
            </w:r>
          </w:p>
          <w:p w:rsidRPr="00BF73F3" w:rsidR="006B1BA7" w:rsidP="005B35A1" w:rsidRDefault="005B35A1" w14:paraId="1F1472EB" w14:textId="0F42E949">
            <w:pPr>
              <w:ind w:left="60"/>
              <w:textAlignment w:val="baseline"/>
              <w:rPr>
                <w:rFonts w:asciiTheme="minorHAnsi" w:hAnsiTheme="minorHAnsi" w:cstheme="minorHAnsi"/>
                <w:sz w:val="22"/>
                <w:szCs w:val="22"/>
              </w:rPr>
            </w:pPr>
            <w:r w:rsidRPr="00BF73F3">
              <w:rPr>
                <w:rFonts w:asciiTheme="minorHAnsi" w:hAnsiTheme="minorHAnsi" w:cstheme="minorHAnsi"/>
                <w:sz w:val="22"/>
                <w:szCs w:val="22"/>
              </w:rPr>
              <w:t>Sec. 303.209 (c) (1) and EIOS Page 37</w:t>
            </w:r>
          </w:p>
        </w:tc>
        <w:tc>
          <w:tcPr>
            <w:tcW w:w="3225" w:type="dxa"/>
            <w:tcBorders>
              <w:top w:val="single" w:color="auto" w:sz="6" w:space="0"/>
              <w:left w:val="single" w:color="auto" w:sz="6" w:space="0"/>
              <w:bottom w:val="single" w:color="auto" w:sz="6" w:space="0"/>
              <w:right w:val="single" w:color="auto" w:sz="6" w:space="0"/>
            </w:tcBorders>
          </w:tcPr>
          <w:p w:rsidR="00AD3E21" w:rsidP="005D16F4" w:rsidRDefault="00AD3E21" w14:paraId="289FECE2" w14:textId="77777777">
            <w:pPr>
              <w:textAlignment w:val="baseline"/>
              <w:rPr>
                <w:rFonts w:asciiTheme="minorHAnsi" w:hAnsiTheme="minorHAnsi" w:cstheme="minorHAnsi"/>
                <w:sz w:val="22"/>
                <w:szCs w:val="22"/>
              </w:rPr>
            </w:pPr>
          </w:p>
          <w:p w:rsidR="00AD3E21" w:rsidP="005D16F4" w:rsidRDefault="00AD3E21" w14:paraId="17E6DE73" w14:textId="77777777">
            <w:pPr>
              <w:textAlignment w:val="baseline"/>
              <w:rPr>
                <w:rFonts w:asciiTheme="minorHAnsi" w:hAnsiTheme="minorHAnsi" w:cstheme="minorHAnsi"/>
                <w:sz w:val="22"/>
                <w:szCs w:val="22"/>
              </w:rPr>
            </w:pPr>
          </w:p>
          <w:p w:rsidRPr="00BF73F3" w:rsidR="005D16F4" w:rsidP="005D16F4" w:rsidRDefault="005D16F4" w14:paraId="4BC0253F" w14:textId="76CC1109">
            <w:pPr>
              <w:textAlignment w:val="baseline"/>
              <w:rPr>
                <w:rFonts w:asciiTheme="minorHAnsi" w:hAnsiTheme="minorHAnsi" w:cstheme="minorHAnsi"/>
                <w:sz w:val="22"/>
                <w:szCs w:val="22"/>
              </w:rPr>
            </w:pPr>
            <w:r w:rsidRPr="00BF73F3">
              <w:rPr>
                <w:rFonts w:asciiTheme="minorHAnsi" w:hAnsiTheme="minorHAnsi" w:cstheme="minorHAnsi"/>
                <w:sz w:val="22"/>
                <w:szCs w:val="22"/>
              </w:rPr>
              <w:t>During policy review, the EI Division specifically identified that the program’s policy did not include the federal timelines for transition activities</w:t>
            </w:r>
            <w:r w:rsidRPr="00BF73F3" w:rsidR="002E0D42">
              <w:rPr>
                <w:rFonts w:asciiTheme="minorHAnsi" w:hAnsiTheme="minorHAnsi" w:cstheme="minorHAnsi"/>
                <w:sz w:val="22"/>
                <w:szCs w:val="22"/>
              </w:rPr>
              <w:t>,</w:t>
            </w:r>
            <w:r w:rsidRPr="00BF73F3">
              <w:rPr>
                <w:rFonts w:asciiTheme="minorHAnsi" w:hAnsiTheme="minorHAnsi" w:cstheme="minorHAnsi"/>
                <w:sz w:val="22"/>
                <w:szCs w:val="22"/>
              </w:rPr>
              <w:t xml:space="preserve"> including transition plan and transition conference</w:t>
            </w:r>
            <w:r w:rsidRPr="00BF73F3" w:rsidR="002E0D42">
              <w:rPr>
                <w:rFonts w:asciiTheme="minorHAnsi" w:hAnsiTheme="minorHAnsi" w:cstheme="minorHAnsi"/>
                <w:sz w:val="22"/>
                <w:szCs w:val="22"/>
              </w:rPr>
              <w:t xml:space="preserve">, to be </w:t>
            </w:r>
            <w:r w:rsidRPr="00BF73F3" w:rsidR="002E0D42">
              <w:rPr>
                <w:rFonts w:asciiTheme="minorHAnsi" w:hAnsiTheme="minorHAnsi" w:cstheme="minorHAnsi"/>
                <w:sz w:val="22"/>
                <w:szCs w:val="22"/>
              </w:rPr>
              <w:t>within 9 months to 90 days before a child’s third birthday</w:t>
            </w:r>
            <w:r w:rsidRPr="00BF73F3" w:rsidR="00424A6E">
              <w:rPr>
                <w:rFonts w:asciiTheme="minorHAnsi" w:hAnsiTheme="minorHAnsi" w:cstheme="minorHAnsi"/>
                <w:sz w:val="22"/>
                <w:szCs w:val="22"/>
              </w:rPr>
              <w:t>.</w:t>
            </w:r>
          </w:p>
          <w:p w:rsidRPr="00BF73F3" w:rsidR="008515F0" w:rsidP="008515F0" w:rsidRDefault="008515F0" w14:paraId="505CD39A" w14:textId="05882432">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p w:rsidRPr="00BF73F3" w:rsidR="008515F0" w:rsidP="008515F0" w:rsidRDefault="008515F0" w14:paraId="142E9204" w14:textId="14C4863A">
            <w:pPr>
              <w:textAlignment w:val="baseline"/>
              <w:rPr>
                <w:rFonts w:asciiTheme="minorHAnsi" w:hAnsiTheme="minorHAnsi" w:cstheme="minorHAnsi"/>
                <w:sz w:val="22"/>
                <w:szCs w:val="22"/>
              </w:rPr>
            </w:pPr>
            <w:r w:rsidRPr="00BF73F3">
              <w:rPr>
                <w:rFonts w:asciiTheme="minorHAnsi" w:hAnsiTheme="minorHAnsi" w:cstheme="minorHAnsi"/>
                <w:sz w:val="22"/>
                <w:szCs w:val="22"/>
              </w:rPr>
              <w:t>During interviews, it was identified that the program’s implementation of its policies and procedures does not ensure compliance w</w:t>
            </w:r>
            <w:r w:rsidRPr="00BF73F3" w:rsidR="0083789A">
              <w:rPr>
                <w:rFonts w:asciiTheme="minorHAnsi" w:hAnsiTheme="minorHAnsi" w:cstheme="minorHAnsi"/>
                <w:sz w:val="22"/>
                <w:szCs w:val="22"/>
              </w:rPr>
              <w:t xml:space="preserve">ith this requirement as </w:t>
            </w:r>
            <w:r w:rsidRPr="00BF73F3">
              <w:rPr>
                <w:rFonts w:asciiTheme="minorHAnsi" w:hAnsiTheme="minorHAnsi" w:cstheme="minorHAnsi"/>
                <w:sz w:val="22"/>
                <w:szCs w:val="22"/>
              </w:rPr>
              <w:t xml:space="preserve">during </w:t>
            </w:r>
            <w:r w:rsidRPr="00BF73F3" w:rsidR="0083789A">
              <w:rPr>
                <w:rFonts w:asciiTheme="minorHAnsi" w:hAnsiTheme="minorHAnsi" w:cstheme="minorHAnsi"/>
                <w:sz w:val="22"/>
                <w:szCs w:val="22"/>
              </w:rPr>
              <w:t xml:space="preserve">the </w:t>
            </w:r>
            <w:r w:rsidRPr="00BF73F3">
              <w:rPr>
                <w:rFonts w:asciiTheme="minorHAnsi" w:hAnsiTheme="minorHAnsi" w:cstheme="minorHAnsi"/>
                <w:sz w:val="22"/>
                <w:szCs w:val="22"/>
              </w:rPr>
              <w:t>interviews</w:t>
            </w:r>
            <w:r w:rsidRPr="00BF73F3" w:rsidR="0083789A">
              <w:rPr>
                <w:rFonts w:asciiTheme="minorHAnsi" w:hAnsiTheme="minorHAnsi" w:cstheme="minorHAnsi"/>
                <w:sz w:val="22"/>
                <w:szCs w:val="22"/>
              </w:rPr>
              <w:t xml:space="preserve">, </w:t>
            </w:r>
            <w:r w:rsidRPr="00BF73F3">
              <w:rPr>
                <w:rFonts w:asciiTheme="minorHAnsi" w:hAnsiTheme="minorHAnsi" w:cstheme="minorHAnsi"/>
                <w:sz w:val="22"/>
                <w:szCs w:val="22"/>
              </w:rPr>
              <w:t>staff were unable to identify the requirement or policy</w:t>
            </w:r>
            <w:r w:rsidRPr="00BF73F3" w:rsidR="0083789A">
              <w:rPr>
                <w:rFonts w:asciiTheme="minorHAnsi" w:hAnsiTheme="minorHAnsi" w:cstheme="minorHAnsi"/>
                <w:sz w:val="22"/>
                <w:szCs w:val="22"/>
              </w:rPr>
              <w:t>.</w:t>
            </w:r>
          </w:p>
          <w:p w:rsidRPr="00BF73F3" w:rsidR="00632C8C" w:rsidP="000264D6" w:rsidRDefault="00632C8C" w14:paraId="6E895C43" w14:textId="77777777">
            <w:pPr>
              <w:textAlignment w:val="baseline"/>
              <w:rPr>
                <w:rFonts w:asciiTheme="minorHAnsi" w:hAnsiTheme="minorHAnsi" w:cstheme="minorHAnsi"/>
                <w:sz w:val="22"/>
                <w:szCs w:val="22"/>
              </w:rPr>
            </w:pPr>
          </w:p>
        </w:tc>
        <w:tc>
          <w:tcPr>
            <w:tcW w:w="3225" w:type="dxa"/>
            <w:tcBorders>
              <w:top w:val="single" w:color="auto" w:sz="6" w:space="0"/>
              <w:left w:val="single" w:color="auto" w:sz="6" w:space="0"/>
              <w:bottom w:val="single" w:color="auto" w:sz="6" w:space="0"/>
              <w:right w:val="single" w:color="auto" w:sz="6" w:space="0"/>
            </w:tcBorders>
          </w:tcPr>
          <w:p w:rsidR="00AD3E21" w:rsidP="00632C8C" w:rsidRDefault="00AD3E21" w14:paraId="2A7D4D6E" w14:textId="77777777">
            <w:pPr>
              <w:textAlignment w:val="baseline"/>
              <w:rPr>
                <w:rFonts w:asciiTheme="minorHAnsi" w:hAnsiTheme="minorHAnsi" w:cstheme="minorHAnsi"/>
                <w:sz w:val="22"/>
                <w:szCs w:val="22"/>
              </w:rPr>
            </w:pPr>
          </w:p>
          <w:p w:rsidR="00AD3E21" w:rsidP="00632C8C" w:rsidRDefault="00AD3E21" w14:paraId="7ED4B1B4" w14:textId="77777777">
            <w:pPr>
              <w:textAlignment w:val="baseline"/>
              <w:rPr>
                <w:rFonts w:asciiTheme="minorHAnsi" w:hAnsiTheme="minorHAnsi" w:cstheme="minorHAnsi"/>
                <w:sz w:val="22"/>
                <w:szCs w:val="22"/>
              </w:rPr>
            </w:pPr>
          </w:p>
          <w:p w:rsidRPr="00BF73F3" w:rsidR="00632C8C" w:rsidP="00632C8C" w:rsidRDefault="00632C8C" w14:paraId="34EF3318" w14:textId="12A0D83C">
            <w:pPr>
              <w:textAlignment w:val="baseline"/>
              <w:rPr>
                <w:rFonts w:asciiTheme="minorHAnsi" w:hAnsiTheme="minorHAnsi" w:cstheme="minorHAnsi"/>
                <w:sz w:val="22"/>
                <w:szCs w:val="22"/>
              </w:rPr>
            </w:pPr>
            <w:r w:rsidRPr="00BF73F3">
              <w:rPr>
                <w:rFonts w:asciiTheme="minorHAnsi" w:hAnsiTheme="minorHAnsi" w:cstheme="minorHAnsi"/>
                <w:sz w:val="22"/>
                <w:szCs w:val="22"/>
              </w:rPr>
              <w:t>The EI Division</w:t>
            </w:r>
            <w:r w:rsidR="008229F7">
              <w:rPr>
                <w:rFonts w:asciiTheme="minorHAnsi" w:hAnsiTheme="minorHAnsi" w:cstheme="minorHAnsi"/>
                <w:sz w:val="22"/>
                <w:szCs w:val="22"/>
              </w:rPr>
              <w:t>’</w:t>
            </w:r>
            <w:r w:rsidRPr="00BF73F3">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w:t>
            </w:r>
          </w:p>
          <w:p w:rsidRPr="00BF73F3" w:rsidR="005E3D34" w:rsidP="005E3D34" w:rsidRDefault="00924901" w14:paraId="76753F5D" w14:textId="6A885705">
            <w:pPr>
              <w:textAlignment w:val="baseline"/>
              <w:rPr>
                <w:rFonts w:asciiTheme="minorHAnsi" w:hAnsiTheme="minorHAnsi" w:cstheme="minorHAnsi"/>
                <w:sz w:val="22"/>
                <w:szCs w:val="22"/>
              </w:rPr>
            </w:pPr>
            <w:r>
              <w:rPr>
                <w:rFonts w:asciiTheme="minorHAnsi" w:hAnsiTheme="minorHAnsi" w:cstheme="minorHAnsi"/>
                <w:sz w:val="22"/>
                <w:szCs w:val="22"/>
              </w:rPr>
              <w:t>1.3</w:t>
            </w:r>
            <w:r w:rsidR="00BA722F">
              <w:rPr>
                <w:rFonts w:asciiTheme="minorHAnsi" w:hAnsiTheme="minorHAnsi" w:cstheme="minorHAnsi"/>
                <w:sz w:val="22"/>
                <w:szCs w:val="22"/>
              </w:rPr>
              <w:t xml:space="preserve"> </w:t>
            </w:r>
            <w:r w:rsidRPr="00BF73F3" w:rsidR="005E3D34">
              <w:rPr>
                <w:rFonts w:asciiTheme="minorHAnsi" w:hAnsiTheme="minorHAnsi" w:cstheme="minorHAnsi"/>
                <w:sz w:val="22"/>
                <w:szCs w:val="22"/>
              </w:rPr>
              <w:t>The EI Division finds that the EIS program has not established policies and procedures to ensure appropriate demonstration of and adherence to all transition requirements and timelines, as required under 34 CFR §303.209, EIOS pages 35-42.</w:t>
            </w:r>
          </w:p>
          <w:p w:rsidRPr="00BF73F3" w:rsidR="005E3D34" w:rsidP="005E3D34" w:rsidRDefault="005E3D34" w14:paraId="4AD8B3C4" w14:textId="77777777">
            <w:pPr>
              <w:pStyle w:val="ListParagraph"/>
              <w:textAlignment w:val="baseline"/>
              <w:rPr>
                <w:rFonts w:asciiTheme="minorHAnsi" w:hAnsiTheme="minorHAnsi" w:cstheme="minorHAnsi"/>
                <w:sz w:val="22"/>
                <w:szCs w:val="22"/>
              </w:rPr>
            </w:pPr>
          </w:p>
          <w:p w:rsidRPr="00BF73F3" w:rsidR="00632C8C" w:rsidP="00632C8C" w:rsidRDefault="00632C8C" w14:paraId="26A56DB4" w14:textId="54250DD7">
            <w:pPr>
              <w:textAlignment w:val="baseline"/>
              <w:rPr>
                <w:rFonts w:asciiTheme="minorHAnsi" w:hAnsiTheme="minorHAnsi" w:cstheme="minorHAnsi"/>
                <w:sz w:val="22"/>
                <w:szCs w:val="22"/>
              </w:rPr>
            </w:pPr>
          </w:p>
        </w:tc>
        <w:tc>
          <w:tcPr>
            <w:tcW w:w="3225" w:type="dxa"/>
            <w:tcBorders>
              <w:top w:val="single" w:color="auto" w:sz="6" w:space="0"/>
              <w:left w:val="single" w:color="auto" w:sz="6" w:space="0"/>
              <w:bottom w:val="single" w:color="auto" w:sz="6" w:space="0"/>
              <w:right w:val="single" w:color="auto" w:sz="6" w:space="0"/>
            </w:tcBorders>
          </w:tcPr>
          <w:p w:rsidR="00834160" w:rsidP="00C151CF" w:rsidRDefault="00834160" w14:paraId="53061903" w14:textId="77777777">
            <w:pPr>
              <w:textAlignment w:val="baseline"/>
              <w:rPr>
                <w:rFonts w:asciiTheme="minorHAnsi" w:hAnsiTheme="minorHAnsi" w:cstheme="minorHAnsi"/>
                <w:sz w:val="22"/>
                <w:szCs w:val="22"/>
              </w:rPr>
            </w:pPr>
          </w:p>
          <w:p w:rsidR="00834160" w:rsidP="00C151CF" w:rsidRDefault="00834160" w14:paraId="53DCB2EE" w14:textId="77777777">
            <w:pPr>
              <w:textAlignment w:val="baseline"/>
              <w:rPr>
                <w:rFonts w:asciiTheme="minorHAnsi" w:hAnsiTheme="minorHAnsi" w:cstheme="minorHAnsi"/>
                <w:sz w:val="22"/>
                <w:szCs w:val="22"/>
              </w:rPr>
            </w:pPr>
          </w:p>
          <w:p w:rsidRPr="00BF73F3" w:rsidR="00C151CF" w:rsidP="00C151CF" w:rsidRDefault="00C151CF" w14:paraId="287ABF7B" w14:textId="74C8BBE2">
            <w:pPr>
              <w:textAlignment w:val="baseline"/>
              <w:rPr>
                <w:rFonts w:asciiTheme="minorHAnsi" w:hAnsiTheme="minorHAnsi" w:cstheme="minorHAnsi"/>
                <w:sz w:val="22"/>
                <w:szCs w:val="22"/>
              </w:rPr>
            </w:pPr>
            <w:r w:rsidRPr="00BF73F3">
              <w:rPr>
                <w:rFonts w:asciiTheme="minorHAnsi" w:hAnsiTheme="minorHAnsi" w:cstheme="minorHAnsi"/>
                <w:sz w:val="22"/>
                <w:szCs w:val="22"/>
              </w:rPr>
              <w:t>Policies and procedures— </w:t>
            </w:r>
          </w:p>
          <w:p w:rsidRPr="00BF73F3" w:rsidR="00C151CF" w:rsidP="00C151CF" w:rsidRDefault="00C151CF" w14:paraId="08108876"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within 90 days of the date of this monitoring report the program must submit to the EI Division: </w:t>
            </w:r>
          </w:p>
          <w:p w:rsidRPr="00BF73F3" w:rsidR="00C151CF" w:rsidP="00035FDE" w:rsidRDefault="00C151CF" w14:paraId="7D4FC1DF" w14:textId="1EE87AEA">
            <w:pPr>
              <w:pStyle w:val="ListParagraph"/>
              <w:numPr>
                <w:ilvl w:val="0"/>
                <w:numId w:val="4"/>
              </w:numPr>
              <w:textAlignment w:val="baseline"/>
              <w:rPr>
                <w:rFonts w:asciiTheme="minorHAnsi" w:hAnsiTheme="minorHAnsi" w:cstheme="minorHAnsi"/>
                <w:sz w:val="22"/>
                <w:szCs w:val="22"/>
              </w:rPr>
            </w:pPr>
            <w:r w:rsidRPr="00BF73F3">
              <w:rPr>
                <w:rFonts w:asciiTheme="minorHAnsi" w:hAnsiTheme="minorHAnsi" w:cstheme="minorHAnsi"/>
                <w:sz w:val="22"/>
                <w:szCs w:val="22"/>
              </w:rPr>
              <w:t>Policies and procedures documenting the program’s process for</w:t>
            </w:r>
            <w:r w:rsidRPr="00BF73F3" w:rsidR="000F337D">
              <w:rPr>
                <w:rFonts w:asciiTheme="minorHAnsi" w:hAnsiTheme="minorHAnsi" w:cstheme="minorHAnsi"/>
                <w:sz w:val="22"/>
                <w:szCs w:val="22"/>
              </w:rPr>
              <w:t xml:space="preserve"> </w:t>
            </w:r>
            <w:r w:rsidRPr="00BF73F3" w:rsidR="000F337D">
              <w:rPr>
                <w:rFonts w:asciiTheme="minorHAnsi" w:hAnsiTheme="minorHAnsi" w:cstheme="minorHAnsi"/>
                <w:sz w:val="22"/>
                <w:szCs w:val="22"/>
              </w:rPr>
              <w:t>meeting transition timeline</w:t>
            </w:r>
            <w:r w:rsidR="0099781C">
              <w:rPr>
                <w:rFonts w:asciiTheme="minorHAnsi" w:hAnsiTheme="minorHAnsi" w:cstheme="minorHAnsi"/>
                <w:sz w:val="22"/>
                <w:szCs w:val="22"/>
              </w:rPr>
              <w:t>s</w:t>
            </w:r>
            <w:r w:rsidRPr="00BF73F3" w:rsidR="000F337D">
              <w:rPr>
                <w:rFonts w:asciiTheme="minorHAnsi" w:hAnsiTheme="minorHAnsi" w:cstheme="minorHAnsi"/>
                <w:sz w:val="22"/>
                <w:szCs w:val="22"/>
              </w:rPr>
              <w:t>.</w:t>
            </w:r>
            <w:r w:rsidRPr="00BF73F3">
              <w:rPr>
                <w:rFonts w:asciiTheme="minorHAnsi" w:hAnsiTheme="minorHAnsi" w:cstheme="minorHAnsi"/>
                <w:sz w:val="22"/>
                <w:szCs w:val="22"/>
              </w:rPr>
              <w:t xml:space="preserve"> The policies and procedures must ensure that the program’s process is reasonably designed as required by </w:t>
            </w:r>
            <w:r w:rsidRPr="00BF73F3" w:rsidR="005B35A1">
              <w:rPr>
                <w:rFonts w:asciiTheme="minorHAnsi" w:hAnsiTheme="minorHAnsi" w:cstheme="minorHAnsi"/>
                <w:sz w:val="22"/>
                <w:szCs w:val="22"/>
              </w:rPr>
              <w:t>34 CFR §303.209, EIOS pages 35-42.</w:t>
            </w:r>
          </w:p>
          <w:p w:rsidRPr="00BF73F3" w:rsidR="00DA3FAF" w:rsidP="00035FDE" w:rsidRDefault="00DA3FAF" w14:paraId="3DC0537B" w14:textId="6817409A">
            <w:pPr>
              <w:numPr>
                <w:ilvl w:val="0"/>
                <w:numId w:val="4"/>
              </w:numPr>
              <w:textAlignment w:val="baseline"/>
              <w:rPr>
                <w:rFonts w:asciiTheme="minorHAnsi" w:hAnsiTheme="minorHAnsi" w:cstheme="minorHAnsi"/>
                <w:sz w:val="22"/>
                <w:szCs w:val="22"/>
              </w:rPr>
            </w:pPr>
            <w:r w:rsidRPr="00BF73F3">
              <w:rPr>
                <w:rFonts w:asciiTheme="minorHAnsi" w:hAnsiTheme="minorHAnsi" w:cstheme="minorHAnsi"/>
                <w:sz w:val="22"/>
                <w:szCs w:val="22"/>
              </w:rPr>
              <w:t>Procedures that demonstrate that the</w:t>
            </w:r>
            <w:r w:rsidRPr="00BF73F3" w:rsidR="00C05261">
              <w:rPr>
                <w:rFonts w:asciiTheme="minorHAnsi" w:hAnsiTheme="minorHAnsi" w:cstheme="minorHAnsi"/>
                <w:sz w:val="22"/>
                <w:szCs w:val="22"/>
              </w:rPr>
              <w:t xml:space="preserve"> EI</w:t>
            </w:r>
            <w:r w:rsidR="001A5AC4">
              <w:rPr>
                <w:rFonts w:asciiTheme="minorHAnsi" w:hAnsiTheme="minorHAnsi" w:cstheme="minorHAnsi"/>
                <w:sz w:val="22"/>
                <w:szCs w:val="22"/>
              </w:rPr>
              <w:t>S</w:t>
            </w:r>
            <w:r w:rsidRPr="00BF73F3">
              <w:rPr>
                <w:rFonts w:asciiTheme="minorHAnsi" w:hAnsiTheme="minorHAnsi" w:cstheme="minorHAnsi"/>
                <w:sz w:val="22"/>
                <w:szCs w:val="22"/>
              </w:rPr>
              <w:t xml:space="preserve"> program has conducted training activities and has a monitoring process to ensure its early intervention staff are trained to be knowledgeable on the provisions of IDEA Part C; specifica</w:t>
            </w:r>
            <w:r w:rsidRPr="00BF73F3" w:rsidR="00C05261">
              <w:rPr>
                <w:rFonts w:asciiTheme="minorHAnsi" w:hAnsiTheme="minorHAnsi" w:cstheme="minorHAnsi"/>
                <w:sz w:val="22"/>
                <w:szCs w:val="22"/>
              </w:rPr>
              <w:t xml:space="preserve">lly </w:t>
            </w:r>
            <w:r w:rsidR="0046457F">
              <w:rPr>
                <w:rFonts w:asciiTheme="minorHAnsi" w:hAnsiTheme="minorHAnsi" w:cstheme="minorHAnsi"/>
                <w:sz w:val="22"/>
                <w:szCs w:val="22"/>
              </w:rPr>
              <w:t xml:space="preserve">the IDEA </w:t>
            </w:r>
            <w:r w:rsidR="00933CB5">
              <w:rPr>
                <w:rFonts w:asciiTheme="minorHAnsi" w:hAnsiTheme="minorHAnsi" w:cstheme="minorHAnsi"/>
                <w:sz w:val="22"/>
                <w:szCs w:val="22"/>
              </w:rPr>
              <w:t>P</w:t>
            </w:r>
            <w:r w:rsidR="0046457F">
              <w:rPr>
                <w:rFonts w:asciiTheme="minorHAnsi" w:hAnsiTheme="minorHAnsi" w:cstheme="minorHAnsi"/>
                <w:sz w:val="22"/>
                <w:szCs w:val="22"/>
              </w:rPr>
              <w:t xml:space="preserve">art C </w:t>
            </w:r>
            <w:r w:rsidRPr="00BF73F3" w:rsidR="00C05261">
              <w:rPr>
                <w:rFonts w:asciiTheme="minorHAnsi" w:hAnsiTheme="minorHAnsi" w:cstheme="minorHAnsi"/>
                <w:sz w:val="22"/>
                <w:szCs w:val="22"/>
              </w:rPr>
              <w:t>federal transition timeline.</w:t>
            </w:r>
            <w:r w:rsidRPr="00BF73F3">
              <w:rPr>
                <w:rFonts w:asciiTheme="minorHAnsi" w:hAnsiTheme="minorHAnsi" w:cstheme="minorHAnsi"/>
                <w:sz w:val="22"/>
                <w:szCs w:val="22"/>
              </w:rPr>
              <w:t> </w:t>
            </w:r>
          </w:p>
          <w:p w:rsidRPr="00BF73F3" w:rsidR="00632C8C" w:rsidP="000264D6" w:rsidRDefault="00632C8C" w14:paraId="336E5381" w14:textId="77777777">
            <w:pPr>
              <w:textAlignment w:val="baseline"/>
              <w:rPr>
                <w:rFonts w:asciiTheme="minorHAnsi" w:hAnsiTheme="minorHAnsi" w:cstheme="minorHAnsi"/>
                <w:sz w:val="22"/>
                <w:szCs w:val="22"/>
              </w:rPr>
            </w:pPr>
          </w:p>
        </w:tc>
      </w:tr>
    </w:tbl>
    <w:p w:rsidRPr="00BF73F3" w:rsidR="000264D6" w:rsidP="000264D6" w:rsidRDefault="000264D6" w14:paraId="607435FA" w14:textId="77777777">
      <w:pPr>
        <w:textAlignment w:val="baseline"/>
        <w:rPr>
          <w:rFonts w:ascii="Segoe UI" w:hAnsi="Segoe UI" w:cs="Segoe UI"/>
          <w:sz w:val="18"/>
          <w:szCs w:val="18"/>
        </w:rPr>
      </w:pPr>
      <w:r w:rsidRPr="00BF73F3">
        <w:rPr>
          <w:rFonts w:ascii="Calibri" w:hAnsi="Calibri" w:cs="Calibri"/>
          <w:sz w:val="22"/>
          <w:szCs w:val="22"/>
        </w:rPr>
        <w:t>  </w:t>
      </w:r>
    </w:p>
    <w:p w:rsidRPr="00BF73F3" w:rsidR="000264D6" w:rsidP="000264D6" w:rsidRDefault="000264D6" w14:paraId="6547A211" w14:textId="77777777">
      <w:pPr>
        <w:jc w:val="center"/>
        <w:textAlignment w:val="baseline"/>
        <w:rPr>
          <w:rFonts w:ascii="Segoe UI" w:hAnsi="Segoe UI" w:cs="Segoe UI"/>
          <w:sz w:val="18"/>
          <w:szCs w:val="18"/>
        </w:rPr>
      </w:pPr>
      <w:r w:rsidRPr="00BF73F3">
        <w:rPr>
          <w:rFonts w:ascii="Calibri" w:hAnsi="Calibri" w:cs="Calibri"/>
          <w:b/>
          <w:bCs/>
          <w:sz w:val="22"/>
          <w:szCs w:val="22"/>
        </w:rPr>
        <w:t>RESULTS</w:t>
      </w:r>
      <w:r w:rsidRPr="00BF73F3">
        <w:rPr>
          <w:rFonts w:ascii="Calibri" w:hAnsi="Calibri" w:cs="Calibri"/>
          <w:sz w:val="22"/>
          <w:szCs w:val="22"/>
        </w:rPr>
        <w:t>  </w:t>
      </w:r>
    </w:p>
    <w:tbl>
      <w:tblPr>
        <w:tblW w:w="1294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236"/>
        <w:gridCol w:w="3236"/>
        <w:gridCol w:w="3236"/>
        <w:gridCol w:w="3236"/>
      </w:tblGrid>
      <w:tr w:rsidRPr="008045EA" w:rsidR="00BF73F3" w:rsidTr="009430E5" w14:paraId="08EF3DF8" w14:textId="77777777">
        <w:trPr>
          <w:trHeight w:val="300"/>
        </w:trPr>
        <w:tc>
          <w:tcPr>
            <w:tcW w:w="3236" w:type="dxa"/>
            <w:tcBorders>
              <w:top w:val="single" w:color="auto" w:sz="6" w:space="0"/>
              <w:left w:val="single" w:color="auto" w:sz="6" w:space="0"/>
              <w:bottom w:val="single" w:color="auto" w:sz="6" w:space="0"/>
              <w:right w:val="single" w:color="auto" w:sz="6" w:space="0"/>
            </w:tcBorders>
            <w:shd w:val="clear" w:color="auto" w:fill="D9E2F3"/>
            <w:hideMark/>
          </w:tcPr>
          <w:p w:rsidRPr="008045EA" w:rsidR="000264D6" w:rsidP="000264D6" w:rsidRDefault="000264D6" w14:paraId="082155BF" w14:textId="77777777">
            <w:pPr>
              <w:textAlignment w:val="baseline"/>
              <w:rPr>
                <w:rFonts w:asciiTheme="minorHAnsi" w:hAnsiTheme="minorHAnsi" w:cstheme="minorHAnsi"/>
                <w:b/>
                <w:bCs/>
                <w:sz w:val="22"/>
                <w:szCs w:val="22"/>
              </w:rPr>
            </w:pPr>
            <w:r w:rsidRPr="008045EA">
              <w:rPr>
                <w:rFonts w:asciiTheme="minorHAnsi" w:hAnsiTheme="minorHAnsi" w:cstheme="minorHAnsi"/>
                <w:b/>
                <w:bCs/>
                <w:sz w:val="22"/>
                <w:szCs w:val="22"/>
              </w:rPr>
              <w:t>Legal Requirement/State Standard  </w:t>
            </w:r>
          </w:p>
        </w:tc>
        <w:tc>
          <w:tcPr>
            <w:tcW w:w="3236" w:type="dxa"/>
            <w:tcBorders>
              <w:top w:val="single" w:color="auto" w:sz="6" w:space="0"/>
              <w:left w:val="single" w:color="auto" w:sz="6" w:space="0"/>
              <w:bottom w:val="single" w:color="auto" w:sz="6" w:space="0"/>
              <w:right w:val="single" w:color="auto" w:sz="6" w:space="0"/>
            </w:tcBorders>
            <w:shd w:val="clear" w:color="auto" w:fill="D9E2F3"/>
            <w:hideMark/>
          </w:tcPr>
          <w:p w:rsidRPr="008045EA" w:rsidR="000264D6" w:rsidP="000264D6" w:rsidRDefault="000264D6" w14:paraId="01E345A0" w14:textId="77777777">
            <w:pPr>
              <w:textAlignment w:val="baseline"/>
              <w:rPr>
                <w:rFonts w:asciiTheme="minorHAnsi" w:hAnsiTheme="minorHAnsi" w:cstheme="minorHAnsi"/>
                <w:b/>
                <w:bCs/>
                <w:sz w:val="22"/>
                <w:szCs w:val="22"/>
              </w:rPr>
            </w:pPr>
            <w:r w:rsidRPr="008045EA">
              <w:rPr>
                <w:rFonts w:asciiTheme="minorHAnsi" w:hAnsiTheme="minorHAnsi" w:cstheme="minorHAnsi"/>
                <w:b/>
                <w:bCs/>
                <w:sz w:val="22"/>
                <w:szCs w:val="22"/>
              </w:rPr>
              <w:t>Noncompliant Policy, Procedure or Practice and EI Division analysis  </w:t>
            </w:r>
          </w:p>
        </w:tc>
        <w:tc>
          <w:tcPr>
            <w:tcW w:w="3236" w:type="dxa"/>
            <w:tcBorders>
              <w:top w:val="single" w:color="auto" w:sz="6" w:space="0"/>
              <w:left w:val="single" w:color="auto" w:sz="6" w:space="0"/>
              <w:bottom w:val="single" w:color="auto" w:sz="6" w:space="0"/>
              <w:right w:val="single" w:color="auto" w:sz="6" w:space="0"/>
            </w:tcBorders>
            <w:shd w:val="clear" w:color="auto" w:fill="D9E2F3"/>
            <w:hideMark/>
          </w:tcPr>
          <w:p w:rsidRPr="008045EA" w:rsidR="000264D6" w:rsidP="000264D6" w:rsidRDefault="000264D6" w14:paraId="06F2B850" w14:textId="77777777">
            <w:pPr>
              <w:textAlignment w:val="baseline"/>
              <w:rPr>
                <w:rFonts w:asciiTheme="minorHAnsi" w:hAnsiTheme="minorHAnsi" w:cstheme="minorHAnsi"/>
                <w:b/>
                <w:bCs/>
                <w:sz w:val="22"/>
                <w:szCs w:val="22"/>
              </w:rPr>
            </w:pPr>
            <w:r w:rsidRPr="008045EA">
              <w:rPr>
                <w:rFonts w:asciiTheme="minorHAnsi" w:hAnsiTheme="minorHAnsi" w:cstheme="minorHAnsi"/>
                <w:b/>
                <w:bCs/>
                <w:sz w:val="22"/>
                <w:szCs w:val="22"/>
              </w:rPr>
              <w:t>Conclusion/Finding  </w:t>
            </w:r>
          </w:p>
        </w:tc>
        <w:tc>
          <w:tcPr>
            <w:tcW w:w="3236" w:type="dxa"/>
            <w:tcBorders>
              <w:top w:val="single" w:color="auto" w:sz="6" w:space="0"/>
              <w:left w:val="single" w:color="auto" w:sz="6" w:space="0"/>
              <w:bottom w:val="single" w:color="auto" w:sz="6" w:space="0"/>
              <w:right w:val="single" w:color="auto" w:sz="6" w:space="0"/>
            </w:tcBorders>
            <w:shd w:val="clear" w:color="auto" w:fill="D9E2F3"/>
            <w:hideMark/>
          </w:tcPr>
          <w:p w:rsidRPr="008045EA" w:rsidR="000264D6" w:rsidP="000264D6" w:rsidRDefault="000264D6" w14:paraId="2895767C" w14:textId="77777777">
            <w:pPr>
              <w:textAlignment w:val="baseline"/>
              <w:rPr>
                <w:rFonts w:asciiTheme="minorHAnsi" w:hAnsiTheme="minorHAnsi" w:cstheme="minorHAnsi"/>
                <w:b/>
                <w:bCs/>
                <w:sz w:val="22"/>
                <w:szCs w:val="22"/>
              </w:rPr>
            </w:pPr>
            <w:r w:rsidRPr="008045EA">
              <w:rPr>
                <w:rFonts w:asciiTheme="minorHAnsi" w:hAnsiTheme="minorHAnsi" w:cstheme="minorHAnsi"/>
                <w:b/>
                <w:bCs/>
                <w:sz w:val="22"/>
                <w:szCs w:val="22"/>
              </w:rPr>
              <w:t>Next Steps and Required Actions  </w:t>
            </w:r>
          </w:p>
        </w:tc>
      </w:tr>
      <w:tr w:rsidRPr="008045EA" w:rsidR="00BF73F3" w:rsidTr="009430E5" w14:paraId="74ABD684" w14:textId="77777777">
        <w:trPr>
          <w:trHeight w:val="300"/>
        </w:trPr>
        <w:tc>
          <w:tcPr>
            <w:tcW w:w="3236" w:type="dxa"/>
            <w:tcBorders>
              <w:top w:val="single" w:color="auto" w:sz="6" w:space="0"/>
              <w:left w:val="single" w:color="auto" w:sz="6" w:space="0"/>
              <w:bottom w:val="single" w:color="auto" w:sz="6" w:space="0"/>
              <w:right w:val="single" w:color="auto" w:sz="6" w:space="0"/>
            </w:tcBorders>
            <w:hideMark/>
          </w:tcPr>
          <w:p w:rsidRPr="008045EA" w:rsidR="006B6B13" w:rsidP="001F4F4A" w:rsidRDefault="00BF73F3" w14:paraId="4889249F" w14:textId="29488AAA">
            <w:pPr>
              <w:textAlignment w:val="baseline"/>
              <w:rPr>
                <w:rFonts w:asciiTheme="minorHAnsi" w:hAnsiTheme="minorHAnsi" w:cstheme="minorHAnsi"/>
                <w:b/>
                <w:bCs/>
                <w:sz w:val="22"/>
                <w:szCs w:val="22"/>
              </w:rPr>
            </w:pPr>
            <w:r w:rsidRPr="008045EA">
              <w:rPr>
                <w:rFonts w:asciiTheme="minorHAnsi" w:hAnsiTheme="minorHAnsi" w:cstheme="minorHAnsi"/>
                <w:b/>
                <w:bCs/>
                <w:sz w:val="22"/>
                <w:szCs w:val="22"/>
              </w:rPr>
              <w:t xml:space="preserve">2.1 </w:t>
            </w:r>
            <w:r w:rsidRPr="008045EA" w:rsidR="006B6B13">
              <w:rPr>
                <w:rFonts w:asciiTheme="minorHAnsi" w:hAnsiTheme="minorHAnsi" w:cstheme="minorHAnsi"/>
                <w:b/>
                <w:bCs/>
                <w:sz w:val="22"/>
                <w:szCs w:val="22"/>
              </w:rPr>
              <w:t>Natural Environment</w:t>
            </w:r>
          </w:p>
          <w:p w:rsidRPr="008045EA" w:rsidR="006B6B13" w:rsidP="001F4F4A" w:rsidRDefault="006B6B13" w14:paraId="5480636C" w14:textId="77777777">
            <w:pPr>
              <w:textAlignment w:val="baseline"/>
              <w:rPr>
                <w:rFonts w:asciiTheme="minorHAnsi" w:hAnsiTheme="minorHAnsi" w:cstheme="minorHAnsi"/>
                <w:sz w:val="22"/>
                <w:szCs w:val="22"/>
              </w:rPr>
            </w:pPr>
          </w:p>
          <w:p w:rsidRPr="008045EA" w:rsidR="00D838DB" w:rsidP="00D838DB" w:rsidRDefault="001F4F4A" w14:paraId="5B6EFCC4" w14:textId="12EB577C">
            <w:pPr>
              <w:textAlignment w:val="baseline"/>
              <w:rPr>
                <w:rFonts w:asciiTheme="minorHAnsi" w:hAnsiTheme="minorHAnsi" w:cstheme="minorHAnsi"/>
                <w:sz w:val="22"/>
                <w:szCs w:val="22"/>
              </w:rPr>
            </w:pPr>
            <w:r w:rsidRPr="008045EA">
              <w:rPr>
                <w:rFonts w:asciiTheme="minorHAnsi" w:hAnsiTheme="minorHAnsi" w:cstheme="minorHAnsi"/>
                <w:sz w:val="22"/>
                <w:szCs w:val="22"/>
              </w:rPr>
              <w:t xml:space="preserve">Under </w:t>
            </w:r>
            <w:r w:rsidRPr="008045EA" w:rsidR="000264D6">
              <w:rPr>
                <w:rFonts w:asciiTheme="minorHAnsi" w:hAnsiTheme="minorHAnsi" w:cstheme="minorHAnsi"/>
                <w:sz w:val="22"/>
                <w:szCs w:val="22"/>
              </w:rPr>
              <w:t>Federal Regulation </w:t>
            </w:r>
            <w:r w:rsidRPr="008045EA">
              <w:rPr>
                <w:rFonts w:asciiTheme="minorHAnsi" w:hAnsiTheme="minorHAnsi" w:cstheme="minorHAnsi"/>
                <w:sz w:val="22"/>
                <w:szCs w:val="22"/>
              </w:rPr>
              <w:t>34 CFR § 303.344 (d)</w:t>
            </w:r>
            <w:r w:rsidRPr="008045EA" w:rsidR="006B6B13">
              <w:rPr>
                <w:rFonts w:asciiTheme="minorHAnsi" w:hAnsiTheme="minorHAnsi" w:cstheme="minorHAnsi"/>
                <w:sz w:val="22"/>
                <w:szCs w:val="22"/>
              </w:rPr>
              <w:t xml:space="preserve"> </w:t>
            </w:r>
            <w:r w:rsidRPr="008045EA" w:rsidR="00D838DB">
              <w:rPr>
                <w:rFonts w:asciiTheme="minorHAnsi" w:hAnsiTheme="minorHAnsi" w:cstheme="minorHAnsi"/>
                <w:sz w:val="22"/>
                <w:szCs w:val="22"/>
              </w:rPr>
              <w:t xml:space="preserve">(1) The IFSP must include a statement of the specific early intervention services, based on peer-reviewed research (to the extent practicable), that are necessary to meet the unique </w:t>
            </w:r>
            <w:r w:rsidRPr="008045EA" w:rsidR="00D838DB">
              <w:rPr>
                <w:rFonts w:asciiTheme="minorHAnsi" w:hAnsiTheme="minorHAnsi" w:cstheme="minorHAnsi"/>
                <w:sz w:val="22"/>
                <w:szCs w:val="22"/>
              </w:rPr>
              <w:t>needs of the child and the family to achieve the results or outcomes identified in paragraph (c) of this section, including—</w:t>
            </w:r>
          </w:p>
          <w:p w:rsidRPr="008045EA" w:rsidR="00D838DB" w:rsidP="00D838DB" w:rsidRDefault="00D838DB" w14:paraId="4BE3E4E3" w14:textId="77777777">
            <w:pPr>
              <w:textAlignment w:val="baseline"/>
              <w:rPr>
                <w:rFonts w:asciiTheme="minorHAnsi" w:hAnsiTheme="minorHAnsi" w:cstheme="minorHAnsi"/>
                <w:sz w:val="22"/>
                <w:szCs w:val="22"/>
              </w:rPr>
            </w:pPr>
            <w:r w:rsidRPr="008045EA">
              <w:rPr>
                <w:rFonts w:asciiTheme="minorHAnsi" w:hAnsiTheme="minorHAnsi" w:cstheme="minorHAnsi"/>
                <w:sz w:val="22"/>
                <w:szCs w:val="22"/>
              </w:rPr>
              <w:t>(i) The length, duration, frequency, intensity, and method of delivering the early intervention services.</w:t>
            </w:r>
          </w:p>
          <w:p w:rsidRPr="008045EA" w:rsidR="001F4F4A" w:rsidP="00D838DB" w:rsidRDefault="00D838DB" w14:paraId="3523BFE0" w14:textId="00D0B1B5">
            <w:pPr>
              <w:textAlignment w:val="baseline"/>
              <w:rPr>
                <w:rFonts w:asciiTheme="minorHAnsi" w:hAnsiTheme="minorHAnsi" w:cstheme="minorHAnsi"/>
                <w:sz w:val="22"/>
                <w:szCs w:val="22"/>
              </w:rPr>
            </w:pPr>
            <w:r w:rsidRPr="008045EA">
              <w:rPr>
                <w:rFonts w:asciiTheme="minorHAnsi" w:hAnsiTheme="minorHAnsi" w:cstheme="minorHAnsi"/>
                <w:sz w:val="22"/>
                <w:szCs w:val="22"/>
              </w:rPr>
              <w:t>(ii) A statement that each early intervention service is provided in the natural environment for that child or service to the maximum extent appropriate, consistent with §§ 303.13(a)(8), 303.26 and 303.126, or, subject to paragraph (d)(1)(ii)(B) of this section, a justification as to why an early intervention service will not be provided in the natural environment.</w:t>
            </w:r>
          </w:p>
          <w:p w:rsidRPr="008045EA" w:rsidR="008265D6" w:rsidP="000264D6" w:rsidRDefault="000264D6" w14:paraId="6C135C47" w14:textId="3A43DF7A">
            <w:pPr>
              <w:textAlignment w:val="baseline"/>
              <w:rPr>
                <w:rFonts w:asciiTheme="minorHAnsi" w:hAnsiTheme="minorHAnsi" w:cstheme="minorHAnsi"/>
                <w:sz w:val="22"/>
                <w:szCs w:val="22"/>
              </w:rPr>
            </w:pPr>
            <w:r w:rsidRPr="008045EA">
              <w:rPr>
                <w:rFonts w:asciiTheme="minorHAnsi" w:hAnsiTheme="minorHAnsi" w:cstheme="minorHAnsi"/>
                <w:sz w:val="22"/>
                <w:szCs w:val="22"/>
              </w:rPr>
              <w:t> </w:t>
            </w:r>
          </w:p>
        </w:tc>
        <w:tc>
          <w:tcPr>
            <w:tcW w:w="3236" w:type="dxa"/>
            <w:tcBorders>
              <w:top w:val="single" w:color="auto" w:sz="6" w:space="0"/>
              <w:left w:val="single" w:color="auto" w:sz="6" w:space="0"/>
              <w:bottom w:val="single" w:color="auto" w:sz="6" w:space="0"/>
              <w:right w:val="single" w:color="auto" w:sz="6" w:space="0"/>
            </w:tcBorders>
            <w:hideMark/>
          </w:tcPr>
          <w:p w:rsidRPr="008045EA" w:rsidR="006B6B13" w:rsidP="000264D6" w:rsidRDefault="006B6B13" w14:paraId="05DE1F40" w14:textId="77777777">
            <w:pPr>
              <w:textAlignment w:val="baseline"/>
              <w:rPr>
                <w:rFonts w:asciiTheme="minorHAnsi" w:hAnsiTheme="minorHAnsi" w:cstheme="minorHAnsi"/>
                <w:sz w:val="22"/>
                <w:szCs w:val="22"/>
              </w:rPr>
            </w:pPr>
          </w:p>
          <w:p w:rsidRPr="008045EA" w:rsidR="006B6B13" w:rsidP="000264D6" w:rsidRDefault="006B6B13" w14:paraId="71322925" w14:textId="77777777">
            <w:pPr>
              <w:textAlignment w:val="baseline"/>
              <w:rPr>
                <w:rFonts w:asciiTheme="minorHAnsi" w:hAnsiTheme="minorHAnsi" w:cstheme="minorHAnsi"/>
                <w:sz w:val="22"/>
                <w:szCs w:val="22"/>
              </w:rPr>
            </w:pPr>
          </w:p>
          <w:p w:rsidRPr="008045EA" w:rsidR="000264D6" w:rsidP="000264D6" w:rsidRDefault="000264D6" w14:paraId="580C51D1" w14:textId="743B0EFB">
            <w:pPr>
              <w:textAlignment w:val="baseline"/>
              <w:rPr>
                <w:rFonts w:asciiTheme="minorHAnsi" w:hAnsiTheme="minorHAnsi" w:cstheme="minorHAnsi"/>
                <w:sz w:val="22"/>
                <w:szCs w:val="22"/>
              </w:rPr>
            </w:pPr>
            <w:r w:rsidRPr="008045EA">
              <w:rPr>
                <w:rFonts w:asciiTheme="minorHAnsi" w:hAnsiTheme="minorHAnsi" w:cstheme="minorHAnsi"/>
                <w:sz w:val="22"/>
                <w:szCs w:val="22"/>
              </w:rPr>
              <w:t xml:space="preserve">During record reviews, the EI Division found that the program did not consistently meet the </w:t>
            </w:r>
            <w:r w:rsidRPr="008045EA" w:rsidR="003169B1">
              <w:rPr>
                <w:rFonts w:asciiTheme="minorHAnsi" w:hAnsiTheme="minorHAnsi" w:cstheme="minorHAnsi"/>
                <w:sz w:val="22"/>
                <w:szCs w:val="22"/>
              </w:rPr>
              <w:t xml:space="preserve">requirement for natural environments. </w:t>
            </w:r>
            <w:r w:rsidRPr="008045EA">
              <w:rPr>
                <w:rFonts w:asciiTheme="minorHAnsi" w:hAnsiTheme="minorHAnsi" w:cstheme="minorHAnsi"/>
                <w:sz w:val="22"/>
                <w:szCs w:val="22"/>
              </w:rPr>
              <w:t xml:space="preserve">The EI division reviewed a total of </w:t>
            </w:r>
            <w:r w:rsidRPr="008045EA" w:rsidR="00E67DF2">
              <w:rPr>
                <w:rFonts w:asciiTheme="minorHAnsi" w:hAnsiTheme="minorHAnsi" w:cstheme="minorHAnsi"/>
                <w:sz w:val="22"/>
                <w:szCs w:val="22"/>
              </w:rPr>
              <w:t>10</w:t>
            </w:r>
            <w:r w:rsidRPr="008045EA">
              <w:rPr>
                <w:rFonts w:asciiTheme="minorHAnsi" w:hAnsiTheme="minorHAnsi" w:cstheme="minorHAnsi"/>
                <w:sz w:val="22"/>
                <w:szCs w:val="22"/>
              </w:rPr>
              <w:t xml:space="preserve"> child records for satisfactory demonstration </w:t>
            </w:r>
            <w:r w:rsidRPr="008045EA">
              <w:rPr>
                <w:rFonts w:asciiTheme="minorHAnsi" w:hAnsiTheme="minorHAnsi" w:cstheme="minorHAnsi"/>
                <w:sz w:val="22"/>
                <w:szCs w:val="22"/>
              </w:rPr>
              <w:t>(</w:t>
            </w:r>
            <w:r w:rsidRPr="008045EA" w:rsidR="00E67DF2">
              <w:rPr>
                <w:rFonts w:asciiTheme="minorHAnsi" w:hAnsiTheme="minorHAnsi" w:cstheme="minorHAnsi"/>
                <w:sz w:val="22"/>
                <w:szCs w:val="22"/>
              </w:rPr>
              <w:t>100</w:t>
            </w:r>
            <w:r w:rsidRPr="008045EA">
              <w:rPr>
                <w:rFonts w:asciiTheme="minorHAnsi" w:hAnsiTheme="minorHAnsi" w:cstheme="minorHAnsi"/>
                <w:sz w:val="22"/>
                <w:szCs w:val="22"/>
              </w:rPr>
              <w:t>%) of</w:t>
            </w:r>
            <w:r w:rsidRPr="008045EA" w:rsidR="00A80008">
              <w:rPr>
                <w:rFonts w:asciiTheme="minorHAnsi" w:hAnsiTheme="minorHAnsi" w:cstheme="minorHAnsi"/>
                <w:sz w:val="22"/>
                <w:szCs w:val="22"/>
              </w:rPr>
              <w:t xml:space="preserve"> service</w:t>
            </w:r>
            <w:r w:rsidRPr="008045EA" w:rsidR="00504DC9">
              <w:rPr>
                <w:rFonts w:asciiTheme="minorHAnsi" w:hAnsiTheme="minorHAnsi" w:cstheme="minorHAnsi"/>
                <w:sz w:val="22"/>
                <w:szCs w:val="22"/>
              </w:rPr>
              <w:t>s</w:t>
            </w:r>
            <w:r w:rsidRPr="008045EA" w:rsidR="00A80008">
              <w:rPr>
                <w:rFonts w:asciiTheme="minorHAnsi" w:hAnsiTheme="minorHAnsi" w:cstheme="minorHAnsi"/>
                <w:sz w:val="22"/>
                <w:szCs w:val="22"/>
              </w:rPr>
              <w:t xml:space="preserve"> within the natural environment or with appropriate justifications</w:t>
            </w:r>
            <w:r w:rsidRPr="008045EA">
              <w:rPr>
                <w:rFonts w:asciiTheme="minorHAnsi" w:hAnsiTheme="minorHAnsi" w:cstheme="minorHAnsi"/>
                <w:sz w:val="22"/>
                <w:szCs w:val="22"/>
              </w:rPr>
              <w:t xml:space="preserve">. A total of </w:t>
            </w:r>
            <w:r w:rsidRPr="008045EA" w:rsidR="00A80008">
              <w:rPr>
                <w:rFonts w:asciiTheme="minorHAnsi" w:hAnsiTheme="minorHAnsi" w:cstheme="minorHAnsi"/>
                <w:sz w:val="22"/>
                <w:szCs w:val="22"/>
              </w:rPr>
              <w:t>5</w:t>
            </w:r>
            <w:r w:rsidRPr="008045EA" w:rsidR="00291A6A">
              <w:rPr>
                <w:rFonts w:asciiTheme="minorHAnsi" w:hAnsiTheme="minorHAnsi" w:cstheme="minorHAnsi"/>
                <w:sz w:val="22"/>
                <w:szCs w:val="22"/>
              </w:rPr>
              <w:t>/10</w:t>
            </w:r>
            <w:r w:rsidRPr="008045EA">
              <w:rPr>
                <w:rFonts w:asciiTheme="minorHAnsi" w:hAnsiTheme="minorHAnsi" w:cstheme="minorHAnsi"/>
                <w:sz w:val="22"/>
                <w:szCs w:val="22"/>
              </w:rPr>
              <w:t xml:space="preserve"> of these records demonstrated that the program did not complete the</w:t>
            </w:r>
            <w:r w:rsidRPr="008045EA" w:rsidR="00A80008">
              <w:rPr>
                <w:rFonts w:asciiTheme="minorHAnsi" w:hAnsiTheme="minorHAnsi" w:cstheme="minorHAnsi"/>
                <w:sz w:val="22"/>
                <w:szCs w:val="22"/>
              </w:rPr>
              <w:t xml:space="preserve"> </w:t>
            </w:r>
            <w:r w:rsidRPr="008045EA">
              <w:rPr>
                <w:rFonts w:asciiTheme="minorHAnsi" w:hAnsiTheme="minorHAnsi" w:cstheme="minorHAnsi"/>
                <w:sz w:val="22"/>
                <w:szCs w:val="22"/>
              </w:rPr>
              <w:t>requirement</w:t>
            </w:r>
            <w:r w:rsidRPr="008045EA" w:rsidR="00A80008">
              <w:rPr>
                <w:rFonts w:asciiTheme="minorHAnsi" w:hAnsiTheme="minorHAnsi" w:cstheme="minorHAnsi"/>
                <w:sz w:val="22"/>
                <w:szCs w:val="22"/>
              </w:rPr>
              <w:t xml:space="preserve"> and were missing justifications.</w:t>
            </w:r>
          </w:p>
          <w:p w:rsidRPr="008045EA" w:rsidR="000264D6" w:rsidP="000264D6" w:rsidRDefault="000264D6" w14:paraId="6BABA640" w14:textId="77777777">
            <w:pPr>
              <w:textAlignment w:val="baseline"/>
              <w:rPr>
                <w:rFonts w:asciiTheme="minorHAnsi" w:hAnsiTheme="minorHAnsi" w:cstheme="minorHAnsi"/>
                <w:sz w:val="22"/>
                <w:szCs w:val="22"/>
              </w:rPr>
            </w:pPr>
            <w:r w:rsidRPr="008045EA">
              <w:rPr>
                <w:rFonts w:asciiTheme="minorHAnsi" w:hAnsiTheme="minorHAnsi" w:cstheme="minorHAnsi"/>
                <w:sz w:val="22"/>
                <w:szCs w:val="22"/>
              </w:rPr>
              <w:t> </w:t>
            </w:r>
          </w:p>
          <w:p w:rsidRPr="008045EA" w:rsidR="000264D6" w:rsidP="000264D6" w:rsidRDefault="000264D6" w14:paraId="4163DDDF" w14:textId="6924894A">
            <w:pPr>
              <w:textAlignment w:val="baseline"/>
              <w:rPr>
                <w:rFonts w:asciiTheme="minorHAnsi" w:hAnsiTheme="minorHAnsi" w:cstheme="minorHAnsi"/>
                <w:sz w:val="22"/>
                <w:szCs w:val="22"/>
              </w:rPr>
            </w:pPr>
            <w:r w:rsidRPr="008045EA">
              <w:rPr>
                <w:rFonts w:asciiTheme="minorHAnsi" w:hAnsiTheme="minorHAnsi" w:cstheme="minorHAnsi"/>
                <w:sz w:val="22"/>
                <w:szCs w:val="22"/>
              </w:rPr>
              <w:t> </w:t>
            </w:r>
          </w:p>
          <w:p w:rsidRPr="008045EA" w:rsidR="000264D6" w:rsidP="000264D6" w:rsidRDefault="000264D6" w14:paraId="2F439738" w14:textId="77777777">
            <w:pPr>
              <w:textAlignment w:val="baseline"/>
              <w:rPr>
                <w:rFonts w:asciiTheme="minorHAnsi" w:hAnsiTheme="minorHAnsi" w:cstheme="minorHAnsi"/>
                <w:sz w:val="22"/>
                <w:szCs w:val="22"/>
              </w:rPr>
            </w:pPr>
            <w:r w:rsidRPr="008045EA">
              <w:rPr>
                <w:rFonts w:asciiTheme="minorHAnsi" w:hAnsiTheme="minorHAnsi" w:cstheme="minorHAnsi"/>
                <w:sz w:val="22"/>
                <w:szCs w:val="22"/>
              </w:rPr>
              <w:t> </w:t>
            </w:r>
          </w:p>
        </w:tc>
        <w:tc>
          <w:tcPr>
            <w:tcW w:w="3236" w:type="dxa"/>
            <w:tcBorders>
              <w:top w:val="single" w:color="auto" w:sz="6" w:space="0"/>
              <w:left w:val="single" w:color="auto" w:sz="6" w:space="0"/>
              <w:bottom w:val="single" w:color="auto" w:sz="6" w:space="0"/>
              <w:right w:val="single" w:color="auto" w:sz="6" w:space="0"/>
            </w:tcBorders>
            <w:hideMark/>
          </w:tcPr>
          <w:p w:rsidRPr="008045EA" w:rsidR="006B6B13" w:rsidP="000264D6" w:rsidRDefault="006B6B13" w14:paraId="3AA8ADA0" w14:textId="77777777">
            <w:pPr>
              <w:textAlignment w:val="baseline"/>
              <w:rPr>
                <w:rFonts w:asciiTheme="minorHAnsi" w:hAnsiTheme="minorHAnsi" w:cstheme="minorHAnsi"/>
                <w:sz w:val="22"/>
                <w:szCs w:val="22"/>
              </w:rPr>
            </w:pPr>
          </w:p>
          <w:p w:rsidRPr="008045EA" w:rsidR="006B6B13" w:rsidP="000264D6" w:rsidRDefault="006B6B13" w14:paraId="63805429" w14:textId="77777777">
            <w:pPr>
              <w:textAlignment w:val="baseline"/>
              <w:rPr>
                <w:rFonts w:asciiTheme="minorHAnsi" w:hAnsiTheme="minorHAnsi" w:cstheme="minorHAnsi"/>
                <w:sz w:val="22"/>
                <w:szCs w:val="22"/>
              </w:rPr>
            </w:pPr>
          </w:p>
          <w:p w:rsidRPr="008045EA" w:rsidR="000264D6" w:rsidP="000264D6" w:rsidRDefault="000264D6" w14:paraId="4F0D05B3" w14:textId="313FCAD8">
            <w:pPr>
              <w:textAlignment w:val="baseline"/>
              <w:rPr>
                <w:rFonts w:asciiTheme="minorHAnsi" w:hAnsiTheme="minorHAnsi" w:cstheme="minorHAnsi"/>
                <w:sz w:val="22"/>
                <w:szCs w:val="22"/>
              </w:rPr>
            </w:pPr>
            <w:r w:rsidRPr="008045EA">
              <w:rPr>
                <w:rFonts w:asciiTheme="minorHAnsi" w:hAnsiTheme="minorHAnsi" w:cstheme="minorHAnsi"/>
                <w:sz w:val="22"/>
                <w:szCs w:val="22"/>
              </w:rPr>
              <w:t>The EI Division</w:t>
            </w:r>
            <w:r w:rsidRPr="008045EA" w:rsidR="00C4572A">
              <w:rPr>
                <w:rFonts w:asciiTheme="minorHAnsi" w:hAnsiTheme="minorHAnsi" w:cstheme="minorHAnsi"/>
                <w:sz w:val="22"/>
                <w:szCs w:val="22"/>
              </w:rPr>
              <w:t>’</w:t>
            </w:r>
            <w:r w:rsidRPr="008045EA">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w:t>
            </w:r>
          </w:p>
          <w:p w:rsidRPr="008045EA" w:rsidR="003D7092" w:rsidP="003D7092" w:rsidRDefault="003D7092" w14:paraId="520C46CD" w14:textId="7159F431">
            <w:pPr>
              <w:textAlignment w:val="baseline"/>
              <w:rPr>
                <w:rFonts w:asciiTheme="minorHAnsi" w:hAnsiTheme="minorHAnsi" w:cstheme="minorHAnsi"/>
                <w:sz w:val="22"/>
                <w:szCs w:val="22"/>
              </w:rPr>
            </w:pPr>
            <w:r w:rsidRPr="008045EA">
              <w:rPr>
                <w:rFonts w:asciiTheme="minorHAnsi" w:hAnsiTheme="minorHAnsi" w:cstheme="minorHAnsi"/>
                <w:sz w:val="22"/>
                <w:szCs w:val="22"/>
              </w:rPr>
              <w:t>2.1 The EI Division finds that the program does not complete the requirement to provide justifications for all service</w:t>
            </w:r>
            <w:r w:rsidRPr="008045EA" w:rsidR="00923EE7">
              <w:rPr>
                <w:rFonts w:asciiTheme="minorHAnsi" w:hAnsiTheme="minorHAnsi" w:cstheme="minorHAnsi"/>
                <w:sz w:val="22"/>
                <w:szCs w:val="22"/>
              </w:rPr>
              <w:t>s</w:t>
            </w:r>
            <w:r w:rsidRPr="008045EA">
              <w:rPr>
                <w:rFonts w:asciiTheme="minorHAnsi" w:hAnsiTheme="minorHAnsi" w:cstheme="minorHAnsi"/>
                <w:sz w:val="22"/>
                <w:szCs w:val="22"/>
              </w:rPr>
              <w:t xml:space="preserve"> not provided in the natural environment under 34 CFR § 303.344 (d)</w:t>
            </w:r>
          </w:p>
          <w:p w:rsidRPr="008045EA" w:rsidR="003D7092" w:rsidP="000264D6" w:rsidRDefault="003D7092" w14:paraId="75A83BD5" w14:textId="77777777">
            <w:pPr>
              <w:textAlignment w:val="baseline"/>
              <w:rPr>
                <w:rFonts w:asciiTheme="minorHAnsi" w:hAnsiTheme="minorHAnsi" w:cstheme="minorHAnsi"/>
                <w:sz w:val="22"/>
                <w:szCs w:val="22"/>
              </w:rPr>
            </w:pPr>
          </w:p>
          <w:p w:rsidRPr="008045EA" w:rsidR="000264D6" w:rsidP="000264D6" w:rsidRDefault="000264D6" w14:paraId="3956FCCD" w14:textId="77777777">
            <w:pPr>
              <w:textAlignment w:val="baseline"/>
              <w:rPr>
                <w:rFonts w:asciiTheme="minorHAnsi" w:hAnsiTheme="minorHAnsi" w:cstheme="minorHAnsi"/>
                <w:sz w:val="22"/>
                <w:szCs w:val="22"/>
              </w:rPr>
            </w:pPr>
            <w:r w:rsidRPr="008045EA">
              <w:rPr>
                <w:rFonts w:asciiTheme="minorHAnsi" w:hAnsiTheme="minorHAnsi" w:cstheme="minorHAnsi"/>
                <w:sz w:val="22"/>
                <w:szCs w:val="22"/>
              </w:rPr>
              <w:t> </w:t>
            </w:r>
          </w:p>
        </w:tc>
        <w:tc>
          <w:tcPr>
            <w:tcW w:w="3236" w:type="dxa"/>
            <w:tcBorders>
              <w:top w:val="single" w:color="auto" w:sz="6" w:space="0"/>
              <w:left w:val="single" w:color="auto" w:sz="6" w:space="0"/>
              <w:bottom w:val="single" w:color="auto" w:sz="6" w:space="0"/>
              <w:right w:val="single" w:color="auto" w:sz="6" w:space="0"/>
            </w:tcBorders>
            <w:hideMark/>
          </w:tcPr>
          <w:p w:rsidRPr="008045EA" w:rsidR="006B6B13" w:rsidP="000264D6" w:rsidRDefault="006B6B13" w14:paraId="238EFD1C" w14:textId="77777777">
            <w:pPr>
              <w:textAlignment w:val="baseline"/>
              <w:rPr>
                <w:rFonts w:asciiTheme="minorHAnsi" w:hAnsiTheme="minorHAnsi" w:cstheme="minorHAnsi"/>
                <w:sz w:val="22"/>
                <w:szCs w:val="22"/>
              </w:rPr>
            </w:pPr>
          </w:p>
          <w:p w:rsidRPr="008045EA" w:rsidR="006B6B13" w:rsidP="000264D6" w:rsidRDefault="006B6B13" w14:paraId="467EC874" w14:textId="77777777">
            <w:pPr>
              <w:textAlignment w:val="baseline"/>
              <w:rPr>
                <w:rFonts w:asciiTheme="minorHAnsi" w:hAnsiTheme="minorHAnsi" w:cstheme="minorHAnsi"/>
                <w:sz w:val="22"/>
                <w:szCs w:val="22"/>
              </w:rPr>
            </w:pPr>
          </w:p>
          <w:p w:rsidRPr="008045EA" w:rsidR="000264D6" w:rsidP="000264D6" w:rsidRDefault="000264D6" w14:paraId="435D1F41" w14:textId="40743E17">
            <w:pPr>
              <w:textAlignment w:val="baseline"/>
              <w:rPr>
                <w:rFonts w:asciiTheme="minorHAnsi" w:hAnsiTheme="minorHAnsi" w:cstheme="minorHAnsi"/>
                <w:sz w:val="22"/>
                <w:szCs w:val="22"/>
              </w:rPr>
            </w:pPr>
            <w:r w:rsidRPr="008045EA">
              <w:rPr>
                <w:rFonts w:asciiTheme="minorHAnsi" w:hAnsiTheme="minorHAnsi" w:cstheme="minorHAnsi"/>
                <w:sz w:val="22"/>
                <w:szCs w:val="22"/>
              </w:rPr>
              <w:t>Evidence of implementation— as soon as possible, but no later than one year from the date of this monitoring report, the program must demonstrate to the EI Division: </w:t>
            </w:r>
          </w:p>
          <w:p w:rsidRPr="008045EA" w:rsidR="000264D6" w:rsidP="006B6B13" w:rsidRDefault="000264D6" w14:paraId="6684DF8C" w14:textId="4470161E">
            <w:pPr>
              <w:pStyle w:val="ListParagraph"/>
              <w:numPr>
                <w:ilvl w:val="0"/>
                <w:numId w:val="36"/>
              </w:numPr>
              <w:textAlignment w:val="baseline"/>
              <w:rPr>
                <w:rFonts w:asciiTheme="minorHAnsi" w:hAnsiTheme="minorHAnsi" w:cstheme="minorHAnsi"/>
                <w:sz w:val="22"/>
                <w:szCs w:val="22"/>
              </w:rPr>
            </w:pPr>
            <w:r w:rsidRPr="008045EA">
              <w:rPr>
                <w:rFonts w:asciiTheme="minorHAnsi" w:hAnsiTheme="minorHAnsi" w:cstheme="minorHAnsi"/>
                <w:sz w:val="22"/>
                <w:szCs w:val="22"/>
              </w:rPr>
              <w:t xml:space="preserve">Demonstration of </w:t>
            </w:r>
            <w:r w:rsidRPr="008045EA" w:rsidR="001C106A">
              <w:rPr>
                <w:rFonts w:asciiTheme="minorHAnsi" w:hAnsiTheme="minorHAnsi" w:cstheme="minorHAnsi"/>
                <w:sz w:val="22"/>
                <w:szCs w:val="22"/>
              </w:rPr>
              <w:t>100</w:t>
            </w:r>
            <w:r w:rsidRPr="008045EA">
              <w:rPr>
                <w:rFonts w:asciiTheme="minorHAnsi" w:hAnsiTheme="minorHAnsi" w:cstheme="minorHAnsi"/>
                <w:sz w:val="22"/>
                <w:szCs w:val="22"/>
              </w:rPr>
              <w:t>%</w:t>
            </w:r>
            <w:r w:rsidRPr="008045EA" w:rsidR="001C106A">
              <w:rPr>
                <w:rFonts w:asciiTheme="minorHAnsi" w:hAnsiTheme="minorHAnsi" w:cstheme="minorHAnsi"/>
                <w:sz w:val="22"/>
                <w:szCs w:val="22"/>
              </w:rPr>
              <w:t xml:space="preserve"> compliance with natural environments or </w:t>
            </w:r>
            <w:r w:rsidRPr="008045EA" w:rsidR="00801ED1">
              <w:rPr>
                <w:rFonts w:asciiTheme="minorHAnsi" w:hAnsiTheme="minorHAnsi" w:cstheme="minorHAnsi"/>
                <w:sz w:val="22"/>
                <w:szCs w:val="22"/>
              </w:rPr>
              <w:t>appropriate justification</w:t>
            </w:r>
            <w:r w:rsidRPr="008045EA">
              <w:rPr>
                <w:rFonts w:asciiTheme="minorHAnsi" w:hAnsiTheme="minorHAnsi" w:cstheme="minorHAnsi"/>
                <w:sz w:val="22"/>
                <w:szCs w:val="22"/>
              </w:rPr>
              <w:t>, as evidenced by the EI Division</w:t>
            </w:r>
            <w:r w:rsidRPr="008045EA" w:rsidR="00BD315C">
              <w:rPr>
                <w:rFonts w:asciiTheme="minorHAnsi" w:hAnsiTheme="minorHAnsi" w:cstheme="minorHAnsi"/>
                <w:sz w:val="22"/>
                <w:szCs w:val="22"/>
              </w:rPr>
              <w:t>’</w:t>
            </w:r>
            <w:r w:rsidRPr="008045EA">
              <w:rPr>
                <w:rFonts w:asciiTheme="minorHAnsi" w:hAnsiTheme="minorHAnsi" w:cstheme="minorHAnsi"/>
                <w:sz w:val="22"/>
                <w:szCs w:val="22"/>
              </w:rPr>
              <w:t>s review of subsequent records.  </w:t>
            </w:r>
          </w:p>
          <w:p w:rsidRPr="008045EA" w:rsidR="000264D6" w:rsidP="003D7092" w:rsidRDefault="000264D6" w14:paraId="1280DD05" w14:textId="7AE4C31A">
            <w:pPr>
              <w:ind w:left="720"/>
              <w:textAlignment w:val="baseline"/>
              <w:rPr>
                <w:rFonts w:asciiTheme="minorHAnsi" w:hAnsiTheme="minorHAnsi" w:cstheme="minorHAnsi"/>
                <w:sz w:val="22"/>
                <w:szCs w:val="22"/>
              </w:rPr>
            </w:pPr>
          </w:p>
        </w:tc>
      </w:tr>
      <w:tr w:rsidRPr="008045EA" w:rsidR="001925AA" w:rsidTr="009430E5" w14:paraId="359EF873" w14:textId="77777777">
        <w:trPr>
          <w:trHeight w:val="300"/>
        </w:trPr>
        <w:tc>
          <w:tcPr>
            <w:tcW w:w="3236" w:type="dxa"/>
            <w:tcBorders>
              <w:top w:val="single" w:color="auto" w:sz="6" w:space="0"/>
              <w:left w:val="single" w:color="auto" w:sz="6" w:space="0"/>
              <w:bottom w:val="single" w:color="auto" w:sz="6" w:space="0"/>
              <w:right w:val="single" w:color="auto" w:sz="6" w:space="0"/>
            </w:tcBorders>
          </w:tcPr>
          <w:p w:rsidRPr="008045EA" w:rsidR="0062184F" w:rsidP="0062184F" w:rsidRDefault="0062184F" w14:paraId="4060921E" w14:textId="77777777">
            <w:pPr>
              <w:textAlignment w:val="baseline"/>
              <w:rPr>
                <w:rFonts w:asciiTheme="minorHAnsi" w:hAnsiTheme="minorHAnsi" w:cstheme="minorHAnsi"/>
                <w:b/>
                <w:bCs/>
                <w:sz w:val="22"/>
                <w:szCs w:val="22"/>
              </w:rPr>
            </w:pPr>
            <w:r w:rsidRPr="008045EA">
              <w:rPr>
                <w:rFonts w:asciiTheme="minorHAnsi" w:hAnsiTheme="minorHAnsi" w:cstheme="minorHAnsi"/>
                <w:b/>
                <w:bCs/>
                <w:sz w:val="22"/>
                <w:szCs w:val="22"/>
              </w:rPr>
              <w:t>2.2 Native Language</w:t>
            </w:r>
          </w:p>
          <w:p w:rsidRPr="008045EA" w:rsidR="001925AA" w:rsidP="001F4F4A" w:rsidRDefault="001925AA" w14:paraId="5E688F87" w14:textId="77777777">
            <w:pPr>
              <w:textAlignment w:val="baseline"/>
              <w:rPr>
                <w:rFonts w:asciiTheme="minorHAnsi" w:hAnsiTheme="minorHAnsi" w:cstheme="minorHAnsi"/>
                <w:b/>
                <w:bCs/>
                <w:sz w:val="22"/>
                <w:szCs w:val="22"/>
              </w:rPr>
            </w:pPr>
          </w:p>
          <w:p w:rsidR="00770A39" w:rsidP="00770A39" w:rsidRDefault="00770A39" w14:paraId="6C570568" w14:textId="77777777">
            <w:pPr>
              <w:rPr>
                <w:rFonts w:asciiTheme="minorHAnsi" w:hAnsiTheme="minorHAnsi" w:cstheme="minorHAnsi"/>
                <w:sz w:val="22"/>
                <w:szCs w:val="22"/>
              </w:rPr>
            </w:pPr>
            <w:r w:rsidRPr="008045EA">
              <w:rPr>
                <w:rFonts w:asciiTheme="minorHAnsi" w:hAnsiTheme="minorHAnsi" w:cstheme="minorHAnsi"/>
                <w:sz w:val="22"/>
                <w:szCs w:val="22"/>
              </w:rPr>
              <w:t>Under, Federal Regulation 34 CFR § 303.421: Prior written notice and procedural safeguards notice</w:t>
            </w:r>
          </w:p>
          <w:p w:rsidRPr="008045EA" w:rsidR="003A34D2" w:rsidP="00770A39" w:rsidRDefault="003A34D2" w14:paraId="155116DF" w14:textId="77777777">
            <w:pPr>
              <w:rPr>
                <w:rFonts w:asciiTheme="minorHAnsi" w:hAnsiTheme="minorHAnsi" w:cstheme="minorHAnsi"/>
                <w:sz w:val="22"/>
                <w:szCs w:val="22"/>
              </w:rPr>
            </w:pPr>
          </w:p>
          <w:p w:rsidRPr="008045EA" w:rsidR="00770A39" w:rsidP="00770A39" w:rsidRDefault="00770A39" w14:paraId="61775F0A" w14:textId="77777777">
            <w:pPr>
              <w:rPr>
                <w:rFonts w:asciiTheme="minorHAnsi" w:hAnsiTheme="minorHAnsi" w:cstheme="minorHAnsi"/>
                <w:sz w:val="22"/>
                <w:szCs w:val="22"/>
              </w:rPr>
            </w:pPr>
            <w:r w:rsidRPr="008045EA">
              <w:rPr>
                <w:rFonts w:asciiTheme="minorHAnsi" w:hAnsiTheme="minorHAnsi" w:cstheme="minorHAnsi"/>
                <w:sz w:val="22"/>
                <w:szCs w:val="22"/>
              </w:rPr>
              <w:t>The notice must be—</w:t>
            </w:r>
          </w:p>
          <w:p w:rsidRPr="008045EA" w:rsidR="00770A39" w:rsidP="00770A39" w:rsidRDefault="00770A39" w14:paraId="3B85F101" w14:textId="77777777">
            <w:pPr>
              <w:rPr>
                <w:rFonts w:asciiTheme="minorHAnsi" w:hAnsiTheme="minorHAnsi" w:cstheme="minorHAnsi"/>
                <w:sz w:val="22"/>
                <w:szCs w:val="22"/>
              </w:rPr>
            </w:pPr>
            <w:r w:rsidRPr="008045EA">
              <w:rPr>
                <w:rFonts w:asciiTheme="minorHAnsi" w:hAnsiTheme="minorHAnsi" w:cstheme="minorHAnsi"/>
                <w:sz w:val="22"/>
                <w:szCs w:val="22"/>
              </w:rPr>
              <w:t xml:space="preserve">Written in language understandable to the general public; and provided in language the parent understands, as defined in §303.25, of the parent or other mode of communication used by the parent, to empower parents as </w:t>
            </w:r>
            <w:r w:rsidRPr="008045EA">
              <w:rPr>
                <w:rFonts w:asciiTheme="minorHAnsi" w:hAnsiTheme="minorHAnsi" w:cstheme="minorHAnsi"/>
                <w:sz w:val="22"/>
                <w:szCs w:val="22"/>
              </w:rPr>
              <w:t xml:space="preserve">decision makers, unless it is clearly not feasible to do so. </w:t>
            </w:r>
          </w:p>
          <w:p w:rsidRPr="008045EA" w:rsidR="00770A39" w:rsidP="001F4F4A" w:rsidRDefault="00770A39" w14:paraId="32527976" w14:textId="77777777">
            <w:pPr>
              <w:textAlignment w:val="baseline"/>
              <w:rPr>
                <w:rFonts w:asciiTheme="minorHAnsi" w:hAnsiTheme="minorHAnsi" w:cstheme="minorHAnsi"/>
                <w:b/>
                <w:bCs/>
                <w:sz w:val="22"/>
                <w:szCs w:val="22"/>
              </w:rPr>
            </w:pPr>
          </w:p>
        </w:tc>
        <w:tc>
          <w:tcPr>
            <w:tcW w:w="3236" w:type="dxa"/>
            <w:tcBorders>
              <w:top w:val="single" w:color="auto" w:sz="6" w:space="0"/>
              <w:left w:val="single" w:color="auto" w:sz="6" w:space="0"/>
              <w:bottom w:val="single" w:color="auto" w:sz="6" w:space="0"/>
              <w:right w:val="single" w:color="auto" w:sz="6" w:space="0"/>
            </w:tcBorders>
          </w:tcPr>
          <w:p w:rsidR="003A34D2" w:rsidP="002C49B4" w:rsidRDefault="003A34D2" w14:paraId="4A2538D3" w14:textId="77777777">
            <w:pPr>
              <w:textAlignment w:val="baseline"/>
              <w:rPr>
                <w:rFonts w:asciiTheme="minorHAnsi" w:hAnsiTheme="minorHAnsi" w:cstheme="minorHAnsi"/>
                <w:sz w:val="22"/>
                <w:szCs w:val="22"/>
              </w:rPr>
            </w:pPr>
          </w:p>
          <w:p w:rsidR="003A34D2" w:rsidP="002C49B4" w:rsidRDefault="003A34D2" w14:paraId="0C9FCF59" w14:textId="77777777">
            <w:pPr>
              <w:textAlignment w:val="baseline"/>
              <w:rPr>
                <w:rFonts w:asciiTheme="minorHAnsi" w:hAnsiTheme="minorHAnsi" w:cstheme="minorHAnsi"/>
                <w:sz w:val="22"/>
                <w:szCs w:val="22"/>
              </w:rPr>
            </w:pPr>
          </w:p>
          <w:p w:rsidRPr="008045EA" w:rsidR="002C49B4" w:rsidP="002C49B4" w:rsidRDefault="002C49B4" w14:paraId="361503F6" w14:textId="4E597CFE">
            <w:pPr>
              <w:textAlignment w:val="baseline"/>
              <w:rPr>
                <w:rFonts w:asciiTheme="minorHAnsi" w:hAnsiTheme="minorHAnsi" w:cstheme="minorHAnsi"/>
                <w:sz w:val="22"/>
                <w:szCs w:val="22"/>
              </w:rPr>
            </w:pPr>
            <w:r w:rsidRPr="008045EA">
              <w:rPr>
                <w:rFonts w:asciiTheme="minorHAnsi" w:hAnsiTheme="minorHAnsi" w:cstheme="minorHAnsi"/>
                <w:sz w:val="22"/>
                <w:szCs w:val="22"/>
              </w:rPr>
              <w:t xml:space="preserve">During record reviews, the EI Division found that the program did not consistently meet the requirement of providing prior written notice in a family’s native language. The EI </w:t>
            </w:r>
            <w:r w:rsidR="00E67A20">
              <w:rPr>
                <w:rFonts w:asciiTheme="minorHAnsi" w:hAnsiTheme="minorHAnsi" w:cstheme="minorHAnsi"/>
                <w:sz w:val="22"/>
                <w:szCs w:val="22"/>
              </w:rPr>
              <w:t>D</w:t>
            </w:r>
            <w:r w:rsidRPr="008045EA">
              <w:rPr>
                <w:rFonts w:asciiTheme="minorHAnsi" w:hAnsiTheme="minorHAnsi" w:cstheme="minorHAnsi"/>
                <w:sz w:val="22"/>
                <w:szCs w:val="22"/>
              </w:rPr>
              <w:t>ivision reviewed a total of 10 child records for satisfactory demonstration (100%) of the requirements. A total of 10/10 of these records demonstrated that the program did not complete the requirement.  </w:t>
            </w:r>
          </w:p>
          <w:p w:rsidRPr="008045EA" w:rsidR="001925AA" w:rsidP="000264D6" w:rsidRDefault="001925AA" w14:paraId="210A6043" w14:textId="77777777">
            <w:pPr>
              <w:textAlignment w:val="baseline"/>
              <w:rPr>
                <w:rFonts w:asciiTheme="minorHAnsi" w:hAnsiTheme="minorHAnsi" w:cstheme="minorHAnsi"/>
                <w:sz w:val="22"/>
                <w:szCs w:val="22"/>
              </w:rPr>
            </w:pPr>
          </w:p>
        </w:tc>
        <w:tc>
          <w:tcPr>
            <w:tcW w:w="3236" w:type="dxa"/>
            <w:tcBorders>
              <w:top w:val="single" w:color="auto" w:sz="6" w:space="0"/>
              <w:left w:val="single" w:color="auto" w:sz="6" w:space="0"/>
              <w:bottom w:val="single" w:color="auto" w:sz="6" w:space="0"/>
              <w:right w:val="single" w:color="auto" w:sz="6" w:space="0"/>
            </w:tcBorders>
          </w:tcPr>
          <w:p w:rsidR="00974B62" w:rsidP="00974B62" w:rsidRDefault="00974B62" w14:paraId="1EFF6C4F" w14:textId="77777777">
            <w:pPr>
              <w:rPr>
                <w:rFonts w:asciiTheme="minorHAnsi" w:hAnsiTheme="minorHAnsi" w:cstheme="minorHAnsi"/>
                <w:sz w:val="22"/>
                <w:szCs w:val="22"/>
              </w:rPr>
            </w:pPr>
          </w:p>
          <w:p w:rsidRPr="008045EA" w:rsidR="003A34D2" w:rsidP="00974B62" w:rsidRDefault="003A34D2" w14:paraId="2685EB69" w14:textId="77777777">
            <w:pPr>
              <w:rPr>
                <w:rFonts w:asciiTheme="minorHAnsi" w:hAnsiTheme="minorHAnsi" w:cstheme="minorHAnsi"/>
                <w:sz w:val="22"/>
                <w:szCs w:val="22"/>
              </w:rPr>
            </w:pPr>
          </w:p>
          <w:p w:rsidRPr="008045EA" w:rsidR="00974B62" w:rsidP="00974B62" w:rsidRDefault="00974B62" w14:paraId="47EADE60" w14:textId="77777777">
            <w:pPr>
              <w:textAlignment w:val="baseline"/>
              <w:rPr>
                <w:rFonts w:asciiTheme="minorHAnsi" w:hAnsiTheme="minorHAnsi" w:cstheme="minorHAnsi"/>
                <w:sz w:val="22"/>
                <w:szCs w:val="22"/>
              </w:rPr>
            </w:pPr>
            <w:r w:rsidRPr="008045E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w:t>
            </w:r>
          </w:p>
          <w:p w:rsidRPr="008045EA" w:rsidR="00974B62" w:rsidP="00974B62" w:rsidRDefault="00974B62" w14:paraId="1861F440" w14:textId="77777777">
            <w:pPr>
              <w:textAlignment w:val="baseline"/>
              <w:rPr>
                <w:rFonts w:asciiTheme="minorHAnsi" w:hAnsiTheme="minorHAnsi" w:cstheme="minorHAnsi"/>
                <w:sz w:val="22"/>
                <w:szCs w:val="22"/>
              </w:rPr>
            </w:pPr>
          </w:p>
          <w:p w:rsidRPr="008045EA" w:rsidR="00974B62" w:rsidP="00974B62" w:rsidRDefault="00974B62" w14:paraId="00E3F9E5" w14:textId="77777777">
            <w:pPr>
              <w:textAlignment w:val="baseline"/>
              <w:rPr>
                <w:rFonts w:asciiTheme="minorHAnsi" w:hAnsiTheme="minorHAnsi" w:cstheme="minorHAnsi"/>
                <w:sz w:val="22"/>
                <w:szCs w:val="22"/>
              </w:rPr>
            </w:pPr>
            <w:r w:rsidRPr="008045EA">
              <w:rPr>
                <w:rFonts w:asciiTheme="minorHAnsi" w:hAnsiTheme="minorHAnsi" w:cstheme="minorHAnsi"/>
                <w:sz w:val="22"/>
                <w:szCs w:val="22"/>
              </w:rPr>
              <w:t xml:space="preserve">2.2 The EI Division finds that the program does not complete the requirement ensuring prior written notice is provided in the family’s </w:t>
            </w:r>
            <w:r w:rsidRPr="008045EA">
              <w:rPr>
                <w:rFonts w:asciiTheme="minorHAnsi" w:hAnsiTheme="minorHAnsi" w:cstheme="minorHAnsi"/>
                <w:sz w:val="22"/>
                <w:szCs w:val="22"/>
              </w:rPr>
              <w:t>native language as required under 34 CFR § 303.421 and EIOS page 64.</w:t>
            </w:r>
          </w:p>
          <w:p w:rsidRPr="008045EA" w:rsidR="001925AA" w:rsidP="000264D6" w:rsidRDefault="001925AA" w14:paraId="261BAD41" w14:textId="77777777">
            <w:pPr>
              <w:textAlignment w:val="baseline"/>
              <w:rPr>
                <w:rFonts w:asciiTheme="minorHAnsi" w:hAnsiTheme="minorHAnsi" w:cstheme="minorHAnsi"/>
                <w:sz w:val="22"/>
                <w:szCs w:val="22"/>
              </w:rPr>
            </w:pPr>
          </w:p>
        </w:tc>
        <w:tc>
          <w:tcPr>
            <w:tcW w:w="3236" w:type="dxa"/>
            <w:tcBorders>
              <w:top w:val="single" w:color="auto" w:sz="6" w:space="0"/>
              <w:left w:val="single" w:color="auto" w:sz="6" w:space="0"/>
              <w:bottom w:val="single" w:color="auto" w:sz="6" w:space="0"/>
              <w:right w:val="single" w:color="auto" w:sz="6" w:space="0"/>
            </w:tcBorders>
          </w:tcPr>
          <w:p w:rsidR="003A34D2" w:rsidP="008045EA" w:rsidRDefault="003A34D2" w14:paraId="200A7643" w14:textId="77777777">
            <w:pPr>
              <w:rPr>
                <w:rFonts w:asciiTheme="minorHAnsi" w:hAnsiTheme="minorHAnsi" w:cstheme="minorHAnsi"/>
                <w:sz w:val="22"/>
                <w:szCs w:val="22"/>
              </w:rPr>
            </w:pPr>
          </w:p>
          <w:p w:rsidR="003A34D2" w:rsidP="008045EA" w:rsidRDefault="003A34D2" w14:paraId="41D0C48F" w14:textId="77777777">
            <w:pPr>
              <w:rPr>
                <w:rFonts w:asciiTheme="minorHAnsi" w:hAnsiTheme="minorHAnsi" w:cstheme="minorHAnsi"/>
                <w:sz w:val="22"/>
                <w:szCs w:val="22"/>
              </w:rPr>
            </w:pPr>
          </w:p>
          <w:p w:rsidRPr="008045EA" w:rsidR="008045EA" w:rsidP="008045EA" w:rsidRDefault="008045EA" w14:paraId="02E32DD1" w14:textId="4C67B67D">
            <w:pPr>
              <w:rPr>
                <w:rFonts w:asciiTheme="minorHAnsi" w:hAnsiTheme="minorHAnsi" w:cstheme="minorHAnsi"/>
                <w:sz w:val="22"/>
                <w:szCs w:val="22"/>
              </w:rPr>
            </w:pPr>
            <w:r w:rsidRPr="008045EA">
              <w:rPr>
                <w:rFonts w:asciiTheme="minorHAnsi" w:hAnsiTheme="minorHAnsi" w:cstheme="minorHAnsi"/>
                <w:sz w:val="22"/>
                <w:szCs w:val="22"/>
              </w:rPr>
              <w:t xml:space="preserve">Evidence of implementation— as soon as possible, but no later than one year from the date of this monitoring report, the program must demonstrate to the EI Division: </w:t>
            </w:r>
          </w:p>
          <w:p w:rsidRPr="008045EA" w:rsidR="008045EA" w:rsidP="008045EA" w:rsidRDefault="008045EA" w14:paraId="606158A1" w14:textId="77777777">
            <w:pPr>
              <w:rPr>
                <w:rFonts w:asciiTheme="minorHAnsi" w:hAnsiTheme="minorHAnsi" w:cstheme="minorHAnsi"/>
                <w:sz w:val="22"/>
                <w:szCs w:val="22"/>
              </w:rPr>
            </w:pPr>
            <w:r w:rsidRPr="008045EA">
              <w:rPr>
                <w:rFonts w:asciiTheme="minorHAnsi" w:hAnsiTheme="minorHAnsi" w:cstheme="minorHAnsi"/>
                <w:sz w:val="22"/>
                <w:szCs w:val="22"/>
              </w:rPr>
              <w:t>1.</w:t>
            </w:r>
            <w:r w:rsidRPr="008045EA">
              <w:rPr>
                <w:rFonts w:asciiTheme="minorHAnsi" w:hAnsiTheme="minorHAnsi" w:cstheme="minorHAnsi"/>
                <w:sz w:val="22"/>
                <w:szCs w:val="22"/>
              </w:rPr>
              <w:tab/>
            </w:r>
            <w:r w:rsidRPr="008045EA">
              <w:rPr>
                <w:rFonts w:asciiTheme="minorHAnsi" w:hAnsiTheme="minorHAnsi" w:cstheme="minorHAnsi"/>
                <w:sz w:val="22"/>
                <w:szCs w:val="22"/>
              </w:rPr>
              <w:t xml:space="preserve">Demonstration of 100% of prior written notice in the family’s native language, as evidenced by the EI Division’s review of subsequent records.  </w:t>
            </w:r>
          </w:p>
          <w:p w:rsidRPr="008045EA" w:rsidR="001925AA" w:rsidP="000264D6" w:rsidRDefault="001925AA" w14:paraId="0ED251F6" w14:textId="77777777">
            <w:pPr>
              <w:textAlignment w:val="baseline"/>
              <w:rPr>
                <w:rFonts w:asciiTheme="minorHAnsi" w:hAnsiTheme="minorHAnsi" w:cstheme="minorHAnsi"/>
                <w:sz w:val="22"/>
                <w:szCs w:val="22"/>
              </w:rPr>
            </w:pPr>
          </w:p>
        </w:tc>
      </w:tr>
    </w:tbl>
    <w:p w:rsidRPr="00BF73F3" w:rsidR="000264D6" w:rsidP="000264D6" w:rsidRDefault="000264D6" w14:paraId="687DD72F" w14:textId="77777777">
      <w:pPr>
        <w:textAlignment w:val="baseline"/>
        <w:rPr>
          <w:rFonts w:ascii="Segoe UI" w:hAnsi="Segoe UI" w:cs="Segoe UI"/>
          <w:sz w:val="18"/>
          <w:szCs w:val="18"/>
        </w:rPr>
      </w:pPr>
      <w:r w:rsidRPr="00BF73F3">
        <w:rPr>
          <w:rFonts w:ascii="Calibri" w:hAnsi="Calibri" w:cs="Calibri"/>
          <w:sz w:val="22"/>
          <w:szCs w:val="22"/>
        </w:rPr>
        <w:t>  </w:t>
      </w:r>
    </w:p>
    <w:p w:rsidRPr="00BF73F3" w:rsidR="000264D6" w:rsidP="000264D6" w:rsidRDefault="000264D6" w14:paraId="3EB52394" w14:textId="77777777">
      <w:pPr>
        <w:jc w:val="center"/>
        <w:textAlignment w:val="baseline"/>
        <w:rPr>
          <w:rFonts w:ascii="Segoe UI" w:hAnsi="Segoe UI" w:cs="Segoe UI"/>
          <w:sz w:val="18"/>
          <w:szCs w:val="18"/>
        </w:rPr>
      </w:pPr>
      <w:r w:rsidRPr="00BF73F3">
        <w:rPr>
          <w:rFonts w:ascii="Calibri" w:hAnsi="Calibri" w:cs="Calibri"/>
          <w:b/>
          <w:bCs/>
          <w:sz w:val="22"/>
          <w:szCs w:val="22"/>
        </w:rPr>
        <w:t>DISPUTE RESOLUTION</w:t>
      </w:r>
      <w:r w:rsidRPr="00BF73F3">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BF73F3" w:rsidR="00BF73F3" w:rsidTr="0028306E" w14:paraId="500D202D"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4622C81F" w14:textId="77777777">
            <w:pPr>
              <w:textAlignment w:val="baseline"/>
              <w:rPr>
                <w:szCs w:val="24"/>
              </w:rPr>
            </w:pPr>
            <w:r w:rsidRPr="00BF73F3">
              <w:rPr>
                <w:rFonts w:ascii="Calibri" w:hAnsi="Calibri" w:cs="Calibri"/>
                <w:b/>
                <w:bCs/>
                <w:sz w:val="22"/>
                <w:szCs w:val="22"/>
              </w:rPr>
              <w:t>Legal Requirement/State Standard</w:t>
            </w:r>
            <w:r w:rsidRPr="00BF73F3">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3F64218E" w14:textId="77777777">
            <w:pPr>
              <w:textAlignment w:val="baseline"/>
              <w:rPr>
                <w:b/>
                <w:bCs/>
                <w:szCs w:val="24"/>
              </w:rPr>
            </w:pPr>
            <w:r w:rsidRPr="00BF73F3">
              <w:rPr>
                <w:rFonts w:ascii="Calibri" w:hAnsi="Calibri" w:cs="Calibr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7F682BAF" w14:textId="77777777">
            <w:pPr>
              <w:textAlignment w:val="baseline"/>
              <w:rPr>
                <w:b/>
                <w:bCs/>
                <w:szCs w:val="24"/>
              </w:rPr>
            </w:pPr>
            <w:r w:rsidRPr="00BF73F3">
              <w:rPr>
                <w:rFonts w:ascii="Calibri" w:hAnsi="Calibri" w:cs="Calibr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5A60D661" w14:textId="77777777">
            <w:pPr>
              <w:textAlignment w:val="baseline"/>
              <w:rPr>
                <w:b/>
                <w:bCs/>
                <w:szCs w:val="24"/>
              </w:rPr>
            </w:pPr>
            <w:r w:rsidRPr="00BF73F3">
              <w:rPr>
                <w:rFonts w:ascii="Calibri" w:hAnsi="Calibri" w:cs="Calibri"/>
                <w:b/>
                <w:bCs/>
                <w:sz w:val="22"/>
                <w:szCs w:val="22"/>
              </w:rPr>
              <w:t>Next Steps and Required Actions  </w:t>
            </w:r>
          </w:p>
        </w:tc>
      </w:tr>
      <w:tr w:rsidRPr="00BF73F3" w:rsidR="00BF73F3" w:rsidTr="0028306E" w14:paraId="235EE5B7"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327D75" w:rsidR="004F2824" w:rsidP="00FA2EC7" w:rsidRDefault="00BF73F3" w14:paraId="0E49EFDF" w14:textId="04ADA336">
            <w:pPr>
              <w:textAlignment w:val="baseline"/>
              <w:rPr>
                <w:rFonts w:ascii="Calibri" w:hAnsi="Calibri" w:cs="Calibri"/>
                <w:b/>
                <w:bCs/>
                <w:sz w:val="22"/>
                <w:szCs w:val="22"/>
              </w:rPr>
            </w:pPr>
            <w:r w:rsidRPr="00327D75">
              <w:rPr>
                <w:rFonts w:ascii="Calibri" w:hAnsi="Calibri" w:cs="Calibri"/>
                <w:b/>
                <w:sz w:val="22"/>
                <w:szCs w:val="22"/>
              </w:rPr>
              <w:t xml:space="preserve">3.1 </w:t>
            </w:r>
            <w:r w:rsidRPr="00327D75" w:rsidR="00BA6143">
              <w:rPr>
                <w:rFonts w:ascii="Calibri" w:hAnsi="Calibri" w:cs="Calibri"/>
                <w:b/>
                <w:bCs/>
                <w:sz w:val="22"/>
                <w:szCs w:val="22"/>
              </w:rPr>
              <w:t xml:space="preserve">Prior Written Notice for </w:t>
            </w:r>
            <w:r w:rsidRPr="00327D75" w:rsidR="00327D75">
              <w:rPr>
                <w:rFonts w:ascii="Calibri" w:hAnsi="Calibri" w:cs="Calibri"/>
                <w:b/>
                <w:bCs/>
                <w:sz w:val="22"/>
                <w:szCs w:val="22"/>
              </w:rPr>
              <w:t>Transition</w:t>
            </w:r>
            <w:r w:rsidRPr="00327D75" w:rsidR="00BA6143">
              <w:rPr>
                <w:rFonts w:ascii="Calibri" w:hAnsi="Calibri" w:cs="Calibri"/>
                <w:b/>
                <w:bCs/>
                <w:sz w:val="22"/>
                <w:szCs w:val="22"/>
              </w:rPr>
              <w:t xml:space="preserve"> Conference</w:t>
            </w:r>
          </w:p>
          <w:p w:rsidR="00BA6143" w:rsidP="00435FFC" w:rsidRDefault="00BA6143" w14:paraId="4842C775" w14:textId="77777777">
            <w:pPr>
              <w:ind w:left="60"/>
              <w:textAlignment w:val="baseline"/>
              <w:rPr>
                <w:rFonts w:ascii="Calibri" w:hAnsi="Calibri" w:cs="Calibri"/>
                <w:sz w:val="22"/>
                <w:szCs w:val="22"/>
              </w:rPr>
            </w:pPr>
          </w:p>
          <w:p w:rsidRPr="00BF73F3" w:rsidR="000264D6" w:rsidP="00435FFC" w:rsidRDefault="00435FFC" w14:paraId="482E52E4" w14:textId="3E383B5B">
            <w:pPr>
              <w:ind w:left="60"/>
              <w:textAlignment w:val="baseline"/>
              <w:rPr>
                <w:rFonts w:ascii="Calibri" w:hAnsi="Calibri" w:cs="Calibri"/>
                <w:sz w:val="22"/>
                <w:szCs w:val="22"/>
              </w:rPr>
            </w:pPr>
            <w:r w:rsidRPr="00BF73F3">
              <w:rPr>
                <w:rFonts w:ascii="Calibri" w:hAnsi="Calibri" w:cs="Calibri"/>
                <w:sz w:val="22"/>
                <w:szCs w:val="22"/>
              </w:rPr>
              <w:t xml:space="preserve">Under </w:t>
            </w:r>
            <w:r w:rsidRPr="00BF73F3" w:rsidR="000264D6">
              <w:rPr>
                <w:rFonts w:ascii="Calibri" w:hAnsi="Calibri" w:cs="Calibri"/>
                <w:sz w:val="22"/>
                <w:szCs w:val="22"/>
              </w:rPr>
              <w:t>Federal Regulation </w:t>
            </w:r>
          </w:p>
          <w:p w:rsidR="00E7543B" w:rsidP="00FA2EC7" w:rsidRDefault="00A90EB6" w14:paraId="69828CFB" w14:textId="77777777">
            <w:pPr>
              <w:textAlignment w:val="baseline"/>
              <w:rPr>
                <w:rStyle w:val="normaltextrun"/>
                <w:rFonts w:ascii="Calibri" w:hAnsi="Calibri" w:cs="Calibri"/>
                <w:sz w:val="22"/>
                <w:szCs w:val="22"/>
                <w:shd w:val="clear" w:color="auto" w:fill="FFFFFF"/>
              </w:rPr>
            </w:pPr>
            <w:r w:rsidRPr="00BF73F3">
              <w:rPr>
                <w:rStyle w:val="normaltextrun"/>
                <w:rFonts w:ascii="Calibri" w:hAnsi="Calibri" w:cs="Calibri"/>
                <w:sz w:val="22"/>
                <w:szCs w:val="22"/>
                <w:shd w:val="clear" w:color="auto" w:fill="FFFFFF"/>
              </w:rPr>
              <w:t xml:space="preserve">34 CFR §303.421 </w:t>
            </w:r>
          </w:p>
          <w:p w:rsidR="00E7543B" w:rsidP="00FA2EC7" w:rsidRDefault="00E7543B" w14:paraId="2BFF1B45" w14:textId="77777777">
            <w:pPr>
              <w:textAlignment w:val="baseline"/>
              <w:rPr>
                <w:rStyle w:val="normaltextrun"/>
                <w:shd w:val="clear" w:color="auto" w:fill="FFFFFF"/>
              </w:rPr>
            </w:pPr>
          </w:p>
          <w:p w:rsidRPr="00BF73F3" w:rsidR="000264D6" w:rsidP="00FA2EC7" w:rsidRDefault="00A90EB6" w14:paraId="489B21A5" w14:textId="506774F7">
            <w:pPr>
              <w:textAlignment w:val="baseline"/>
              <w:rPr>
                <w:szCs w:val="24"/>
              </w:rPr>
            </w:pPr>
            <w:r w:rsidRPr="00BF73F3">
              <w:rPr>
                <w:rStyle w:val="normaltextrun"/>
                <w:rFonts w:ascii="Calibri" w:hAnsi="Calibri" w:cs="Calibri"/>
                <w:sz w:val="22"/>
                <w:szCs w:val="22"/>
                <w:shd w:val="clear" w:color="auto" w:fill="FFFFFF"/>
              </w:rPr>
              <w:t xml:space="preserve">Prior written notice and procedural safeguards notice. a) </w:t>
            </w:r>
            <w:r w:rsidRPr="00BF73F3">
              <w:rPr>
                <w:rStyle w:val="normaltextrun"/>
                <w:rFonts w:ascii="Calibri" w:hAnsi="Calibri" w:cs="Calibri"/>
                <w:i/>
                <w:iCs/>
                <w:sz w:val="22"/>
                <w:szCs w:val="22"/>
                <w:shd w:val="clear" w:color="auto" w:fill="FFFFFF"/>
              </w:rPr>
              <w:t>General.</w:t>
            </w:r>
            <w:r w:rsidRPr="00BF73F3">
              <w:rPr>
                <w:rStyle w:val="normaltextrun"/>
                <w:rFonts w:ascii="Calibri" w:hAnsi="Calibri" w:cs="Calibri"/>
                <w:sz w:val="22"/>
                <w:szCs w:val="22"/>
                <w:shd w:val="clear" w:color="auto" w:fill="FFFFFF"/>
              </w:rPr>
              <w:t xml:space="preserve">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r w:rsidRPr="00BF73F3">
              <w:rPr>
                <w:rStyle w:val="eop"/>
                <w:rFonts w:ascii="Calibri" w:hAnsi="Calibri" w:cs="Calibri"/>
                <w:sz w:val="22"/>
                <w:szCs w:val="22"/>
                <w:shd w:val="clear" w:color="auto" w:fill="FFFFFF"/>
              </w:rPr>
              <w:t> </w:t>
            </w:r>
          </w:p>
          <w:p w:rsidRPr="00BF73F3" w:rsidR="000264D6" w:rsidP="000264D6" w:rsidRDefault="000264D6" w14:paraId="0266815A" w14:textId="77777777">
            <w:pPr>
              <w:textAlignment w:val="baseline"/>
              <w:rPr>
                <w:szCs w:val="24"/>
              </w:rPr>
            </w:pPr>
            <w:r w:rsidRPr="00BF73F3">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7E7F27" w:rsidP="000264D6" w:rsidRDefault="000264D6" w14:paraId="703AA0F5" w14:textId="77777777">
            <w:pPr>
              <w:textAlignment w:val="baseline"/>
              <w:rPr>
                <w:rFonts w:ascii="Calibri" w:hAnsi="Calibri" w:cs="Calibri"/>
                <w:sz w:val="22"/>
                <w:szCs w:val="22"/>
              </w:rPr>
            </w:pPr>
            <w:r w:rsidRPr="00BF73F3">
              <w:rPr>
                <w:rFonts w:ascii="Calibri" w:hAnsi="Calibri" w:cs="Calibri"/>
                <w:sz w:val="22"/>
                <w:szCs w:val="22"/>
              </w:rPr>
              <w:t> </w:t>
            </w:r>
          </w:p>
          <w:p w:rsidR="007E7F27" w:rsidP="000264D6" w:rsidRDefault="007E7F27" w14:paraId="57F50A4D" w14:textId="77777777">
            <w:pPr>
              <w:textAlignment w:val="baseline"/>
              <w:rPr>
                <w:rFonts w:ascii="Calibri" w:hAnsi="Calibri" w:cs="Calibri"/>
                <w:sz w:val="22"/>
                <w:szCs w:val="22"/>
              </w:rPr>
            </w:pPr>
          </w:p>
          <w:p w:rsidR="007E7F27" w:rsidP="000264D6" w:rsidRDefault="007E7F27" w14:paraId="7F0DCD96" w14:textId="77777777">
            <w:pPr>
              <w:textAlignment w:val="baseline"/>
              <w:rPr>
                <w:rFonts w:ascii="Calibri" w:hAnsi="Calibri" w:cs="Calibri"/>
                <w:sz w:val="22"/>
                <w:szCs w:val="22"/>
              </w:rPr>
            </w:pPr>
          </w:p>
          <w:p w:rsidRPr="00BF73F3" w:rsidR="000264D6" w:rsidP="000264D6" w:rsidRDefault="000264D6" w14:paraId="0D5B8AB8" w14:textId="15482E89">
            <w:pPr>
              <w:textAlignment w:val="baseline"/>
              <w:rPr>
                <w:szCs w:val="24"/>
              </w:rPr>
            </w:pPr>
            <w:r w:rsidRPr="00BF73F3">
              <w:rPr>
                <w:rFonts w:ascii="Calibri" w:hAnsi="Calibri" w:cs="Calibri"/>
                <w:sz w:val="22"/>
                <w:szCs w:val="22"/>
              </w:rPr>
              <w:t xml:space="preserve">During record reviews, the EI Division found that the program did not consistently meet the </w:t>
            </w:r>
            <w:r w:rsidRPr="00BF73F3" w:rsidR="00801ED1">
              <w:rPr>
                <w:rFonts w:ascii="Calibri" w:hAnsi="Calibri" w:cs="Calibri"/>
                <w:sz w:val="22"/>
                <w:szCs w:val="22"/>
              </w:rPr>
              <w:t xml:space="preserve">requirement for providing prior written notice for transition conferences. </w:t>
            </w:r>
            <w:r w:rsidRPr="00BF73F3">
              <w:rPr>
                <w:rFonts w:ascii="Calibri" w:hAnsi="Calibri" w:cs="Calibri"/>
                <w:sz w:val="22"/>
                <w:szCs w:val="22"/>
              </w:rPr>
              <w:t xml:space="preserve">The EI </w:t>
            </w:r>
            <w:r w:rsidR="005B6E20">
              <w:rPr>
                <w:rFonts w:ascii="Calibri" w:hAnsi="Calibri" w:cs="Calibri"/>
                <w:sz w:val="22"/>
                <w:szCs w:val="22"/>
              </w:rPr>
              <w:t>D</w:t>
            </w:r>
            <w:r w:rsidRPr="00BF73F3">
              <w:rPr>
                <w:rFonts w:ascii="Calibri" w:hAnsi="Calibri" w:cs="Calibri"/>
                <w:sz w:val="22"/>
                <w:szCs w:val="22"/>
              </w:rPr>
              <w:t xml:space="preserve">ivision reviewed a total of </w:t>
            </w:r>
            <w:r w:rsidRPr="00BF73F3" w:rsidR="00801ED1">
              <w:rPr>
                <w:rFonts w:ascii="Calibri" w:hAnsi="Calibri" w:cs="Calibri"/>
                <w:sz w:val="22"/>
                <w:szCs w:val="22"/>
              </w:rPr>
              <w:t>10</w:t>
            </w:r>
            <w:r w:rsidRPr="00BF73F3">
              <w:rPr>
                <w:rFonts w:ascii="Calibri" w:hAnsi="Calibri" w:cs="Calibri"/>
                <w:sz w:val="22"/>
                <w:szCs w:val="22"/>
              </w:rPr>
              <w:t xml:space="preserve"> child records for satisfactory demonstration (</w:t>
            </w:r>
            <w:r w:rsidRPr="00BF73F3" w:rsidR="00801ED1">
              <w:rPr>
                <w:rFonts w:ascii="Calibri" w:hAnsi="Calibri" w:cs="Calibri"/>
                <w:sz w:val="22"/>
                <w:szCs w:val="22"/>
              </w:rPr>
              <w:t>100</w:t>
            </w:r>
            <w:r w:rsidRPr="00BF73F3">
              <w:rPr>
                <w:rFonts w:ascii="Calibri" w:hAnsi="Calibri" w:cs="Calibri"/>
                <w:sz w:val="22"/>
                <w:szCs w:val="22"/>
              </w:rPr>
              <w:t xml:space="preserve">%) </w:t>
            </w:r>
            <w:r w:rsidRPr="00BF73F3" w:rsidR="00801ED1">
              <w:rPr>
                <w:rFonts w:ascii="Calibri" w:hAnsi="Calibri" w:cs="Calibri"/>
                <w:sz w:val="22"/>
                <w:szCs w:val="22"/>
              </w:rPr>
              <w:t>of</w:t>
            </w:r>
            <w:r w:rsidRPr="00BF73F3">
              <w:rPr>
                <w:rFonts w:ascii="Calibri" w:hAnsi="Calibri" w:cs="Calibri"/>
                <w:sz w:val="22"/>
                <w:szCs w:val="22"/>
              </w:rPr>
              <w:t xml:space="preserve"> requirements. A total of </w:t>
            </w:r>
            <w:r w:rsidRPr="00BF73F3" w:rsidR="00291A6A">
              <w:rPr>
                <w:rFonts w:ascii="Calibri" w:hAnsi="Calibri" w:cs="Calibri"/>
                <w:sz w:val="22"/>
                <w:szCs w:val="22"/>
              </w:rPr>
              <w:t>10/10</w:t>
            </w:r>
            <w:r w:rsidRPr="00BF73F3">
              <w:rPr>
                <w:rFonts w:ascii="Calibri" w:hAnsi="Calibri" w:cs="Calibri"/>
                <w:sz w:val="22"/>
                <w:szCs w:val="22"/>
              </w:rPr>
              <w:t xml:space="preserve"> of these records demonstrated that the program did not complete the requirement.  </w:t>
            </w:r>
          </w:p>
          <w:p w:rsidRPr="00BF73F3" w:rsidR="000264D6" w:rsidP="000264D6" w:rsidRDefault="000264D6" w14:paraId="0BE56840" w14:textId="77777777">
            <w:pPr>
              <w:textAlignment w:val="baseline"/>
              <w:rPr>
                <w:szCs w:val="24"/>
              </w:rPr>
            </w:pPr>
            <w:r w:rsidRPr="00BF73F3">
              <w:rPr>
                <w:rFonts w:ascii="Calibri" w:hAnsi="Calibri" w:cs="Calibri"/>
                <w:sz w:val="22"/>
                <w:szCs w:val="22"/>
              </w:rPr>
              <w:t> </w:t>
            </w:r>
          </w:p>
          <w:p w:rsidRPr="00BF73F3" w:rsidR="000264D6" w:rsidP="000264D6" w:rsidRDefault="000264D6" w14:paraId="0036A047" w14:textId="378D8331">
            <w:pPr>
              <w:textAlignment w:val="baseline"/>
              <w:rPr>
                <w:szCs w:val="24"/>
              </w:rPr>
            </w:pPr>
          </w:p>
          <w:p w:rsidRPr="00BF73F3" w:rsidR="000264D6" w:rsidP="000264D6" w:rsidRDefault="000264D6" w14:paraId="4982181A" w14:textId="77777777">
            <w:pPr>
              <w:textAlignment w:val="baseline"/>
              <w:rPr>
                <w:szCs w:val="24"/>
              </w:rPr>
            </w:pPr>
            <w:r w:rsidRPr="00BF73F3">
              <w:rPr>
                <w:rFonts w:ascii="Calibri" w:hAnsi="Calibri" w:cs="Calibri"/>
                <w:sz w:val="22"/>
                <w:szCs w:val="22"/>
              </w:rPr>
              <w:t> </w:t>
            </w:r>
          </w:p>
          <w:p w:rsidRPr="00BF73F3" w:rsidR="000264D6" w:rsidP="000264D6" w:rsidRDefault="000264D6" w14:paraId="1EE36B99" w14:textId="77777777">
            <w:pPr>
              <w:textAlignment w:val="baseline"/>
              <w:rPr>
                <w:szCs w:val="24"/>
              </w:rPr>
            </w:pPr>
            <w:r w:rsidRPr="00BF73F3">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7E7F27" w:rsidP="000264D6" w:rsidRDefault="007E7F27" w14:paraId="5F55CB20" w14:textId="77777777">
            <w:pPr>
              <w:textAlignment w:val="baseline"/>
              <w:rPr>
                <w:rFonts w:ascii="Calibri" w:hAnsi="Calibri" w:cs="Calibri"/>
                <w:sz w:val="22"/>
                <w:szCs w:val="22"/>
              </w:rPr>
            </w:pPr>
          </w:p>
          <w:p w:rsidR="007E7F27" w:rsidP="000264D6" w:rsidRDefault="007E7F27" w14:paraId="6E979BA5" w14:textId="77777777">
            <w:pPr>
              <w:textAlignment w:val="baseline"/>
              <w:rPr>
                <w:rFonts w:ascii="Calibri" w:hAnsi="Calibri" w:cs="Calibri"/>
                <w:sz w:val="22"/>
                <w:szCs w:val="22"/>
              </w:rPr>
            </w:pPr>
          </w:p>
          <w:p w:rsidR="007E7F27" w:rsidP="000264D6" w:rsidRDefault="007E7F27" w14:paraId="68FA5A9B" w14:textId="77777777">
            <w:pPr>
              <w:textAlignment w:val="baseline"/>
              <w:rPr>
                <w:rFonts w:ascii="Calibri" w:hAnsi="Calibri" w:cs="Calibri"/>
                <w:sz w:val="22"/>
                <w:szCs w:val="22"/>
              </w:rPr>
            </w:pPr>
          </w:p>
          <w:p w:rsidRPr="00BF73F3" w:rsidR="000264D6" w:rsidP="000264D6" w:rsidRDefault="000264D6" w14:paraId="15A3915E" w14:textId="61417F65">
            <w:pPr>
              <w:textAlignment w:val="baseline"/>
              <w:rPr>
                <w:szCs w:val="24"/>
              </w:rPr>
            </w:pPr>
            <w:r w:rsidRPr="00BF73F3">
              <w:rPr>
                <w:rFonts w:ascii="Calibri" w:hAnsi="Calibri" w:cs="Calibri"/>
                <w:sz w:val="22"/>
                <w:szCs w:val="22"/>
              </w:rPr>
              <w:t>The EI Division</w:t>
            </w:r>
            <w:r w:rsidR="00DD647B">
              <w:rPr>
                <w:rFonts w:ascii="Calibri" w:hAnsi="Calibri" w:cs="Calibri"/>
                <w:sz w:val="22"/>
                <w:szCs w:val="22"/>
              </w:rPr>
              <w:t>’</w:t>
            </w:r>
            <w:r w:rsidRPr="00BF73F3">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p>
          <w:p w:rsidRPr="00BF73F3" w:rsidR="000264D6" w:rsidP="000264D6" w:rsidRDefault="000264D6" w14:paraId="3F0C933F" w14:textId="77777777">
            <w:pPr>
              <w:textAlignment w:val="baseline"/>
              <w:rPr>
                <w:szCs w:val="24"/>
              </w:rPr>
            </w:pPr>
            <w:r w:rsidRPr="00BF73F3">
              <w:rPr>
                <w:rFonts w:ascii="Calibri" w:hAnsi="Calibri" w:cs="Calibri"/>
                <w:sz w:val="22"/>
                <w:szCs w:val="22"/>
              </w:rPr>
              <w:t>  </w:t>
            </w:r>
          </w:p>
          <w:p w:rsidRPr="00FA2EC7" w:rsidR="0028306E" w:rsidP="00FA2EC7" w:rsidRDefault="0028306E" w14:paraId="70CAE6BF" w14:textId="17381F9C">
            <w:pPr>
              <w:textAlignment w:val="baseline"/>
              <w:rPr>
                <w:rFonts w:ascii="Calibri" w:hAnsi="Calibri" w:cs="Calibri"/>
                <w:szCs w:val="24"/>
              </w:rPr>
            </w:pPr>
            <w:r w:rsidRPr="00FA2EC7">
              <w:rPr>
                <w:rFonts w:asciiTheme="minorHAnsi" w:hAnsiTheme="minorHAnsi" w:cstheme="minorHAnsi"/>
                <w:sz w:val="22"/>
                <w:szCs w:val="22"/>
              </w:rPr>
              <w:t>3.1 T</w:t>
            </w:r>
            <w:r w:rsidRPr="00FA2EC7">
              <w:rPr>
                <w:rFonts w:ascii="Calibri" w:hAnsi="Calibri" w:cs="Calibri"/>
                <w:sz w:val="22"/>
                <w:szCs w:val="22"/>
              </w:rPr>
              <w:t>he EI Division finds that the EIS program does not have a procedure that is reasonably designed to provide prior written notice for transition conferences as required under</w:t>
            </w:r>
            <w:r w:rsidRPr="006E7907">
              <w:rPr>
                <w:rStyle w:val="normaltextrun"/>
                <w:rFonts w:ascii="Calibri" w:hAnsi="Calibri" w:eastAsia="Calibri" w:cs="Calibri"/>
                <w:sz w:val="22"/>
                <w:szCs w:val="22"/>
              </w:rPr>
              <w:t xml:space="preserve"> 34 CFR </w:t>
            </w:r>
            <w:r w:rsidRPr="00FA2EC7">
              <w:rPr>
                <w:rFonts w:asciiTheme="minorHAnsi" w:hAnsiTheme="minorHAnsi" w:eastAsiaTheme="minorEastAsia" w:cstheme="minorBidi"/>
                <w:sz w:val="22"/>
                <w:szCs w:val="22"/>
              </w:rPr>
              <w:t>§</w:t>
            </w:r>
            <w:r w:rsidRPr="006E7907">
              <w:rPr>
                <w:rStyle w:val="normaltextrun"/>
                <w:rFonts w:ascii="Calibri" w:hAnsi="Calibri" w:eastAsia="Calibri" w:cs="Calibri"/>
                <w:sz w:val="22"/>
                <w:szCs w:val="22"/>
              </w:rPr>
              <w:t>303.421 and</w:t>
            </w:r>
            <w:r w:rsidRPr="00FA2EC7">
              <w:rPr>
                <w:rFonts w:ascii="Calibri" w:hAnsi="Calibri" w:cs="Calibri"/>
                <w:sz w:val="22"/>
                <w:szCs w:val="22"/>
              </w:rPr>
              <w:t xml:space="preserve"> EIOS Page 63.</w:t>
            </w:r>
          </w:p>
          <w:p w:rsidRPr="00BF73F3" w:rsidR="000264D6" w:rsidP="000264D6" w:rsidRDefault="000264D6" w14:paraId="7FD83A2E" w14:textId="33030F2B">
            <w:pPr>
              <w:textAlignment w:val="baseline"/>
              <w:rPr>
                <w:szCs w:val="24"/>
              </w:rPr>
            </w:pPr>
          </w:p>
        </w:tc>
        <w:tc>
          <w:tcPr>
            <w:tcW w:w="3225" w:type="dxa"/>
            <w:tcBorders>
              <w:top w:val="single" w:color="auto" w:sz="6" w:space="0"/>
              <w:left w:val="single" w:color="auto" w:sz="6" w:space="0"/>
              <w:bottom w:val="single" w:color="auto" w:sz="6" w:space="0"/>
              <w:right w:val="single" w:color="auto" w:sz="6" w:space="0"/>
            </w:tcBorders>
            <w:hideMark/>
          </w:tcPr>
          <w:p w:rsidR="007E7F27" w:rsidP="000264D6" w:rsidRDefault="007E7F27" w14:paraId="07DC0FE4" w14:textId="77777777">
            <w:pPr>
              <w:textAlignment w:val="baseline"/>
              <w:rPr>
                <w:rFonts w:ascii="Calibri" w:hAnsi="Calibri" w:cs="Calibri"/>
                <w:sz w:val="22"/>
                <w:szCs w:val="22"/>
              </w:rPr>
            </w:pPr>
          </w:p>
          <w:p w:rsidR="007E7F27" w:rsidP="000264D6" w:rsidRDefault="007E7F27" w14:paraId="17B004F0" w14:textId="77777777">
            <w:pPr>
              <w:textAlignment w:val="baseline"/>
              <w:rPr>
                <w:rFonts w:ascii="Calibri" w:hAnsi="Calibri" w:cs="Calibri"/>
                <w:sz w:val="22"/>
                <w:szCs w:val="22"/>
              </w:rPr>
            </w:pPr>
          </w:p>
          <w:p w:rsidR="007E7F27" w:rsidP="000264D6" w:rsidRDefault="007E7F27" w14:paraId="3928A0F6" w14:textId="77777777">
            <w:pPr>
              <w:textAlignment w:val="baseline"/>
              <w:rPr>
                <w:rFonts w:ascii="Calibri" w:hAnsi="Calibri" w:cs="Calibri"/>
                <w:sz w:val="22"/>
                <w:szCs w:val="22"/>
              </w:rPr>
            </w:pPr>
          </w:p>
          <w:p w:rsidRPr="00BF73F3" w:rsidR="000264D6" w:rsidP="000264D6" w:rsidRDefault="000264D6" w14:paraId="3E3BBB0C" w14:textId="7D91F5AD">
            <w:pPr>
              <w:textAlignment w:val="baseline"/>
              <w:rPr>
                <w:szCs w:val="24"/>
              </w:rPr>
            </w:pPr>
            <w:r w:rsidRPr="00BF73F3">
              <w:rPr>
                <w:rFonts w:ascii="Calibri" w:hAnsi="Calibri" w:cs="Calibri"/>
                <w:sz w:val="22"/>
                <w:szCs w:val="22"/>
              </w:rPr>
              <w:t>Evidence of implementation— as soon as possible, but no later than one year from the date of this monitoring report, the program must demonstrate to the EI Division: </w:t>
            </w:r>
          </w:p>
          <w:p w:rsidRPr="00BF73F3" w:rsidR="000264D6" w:rsidP="00327D75" w:rsidRDefault="00340315" w14:paraId="14839607" w14:textId="3F775FD2">
            <w:pPr>
              <w:pStyle w:val="ListParagraph"/>
              <w:textAlignment w:val="baseline"/>
              <w:rPr>
                <w:rFonts w:ascii="Calibri" w:hAnsi="Calibri" w:cs="Calibri"/>
                <w:sz w:val="22"/>
                <w:szCs w:val="22"/>
              </w:rPr>
            </w:pPr>
            <w:r>
              <w:rPr>
                <w:rFonts w:ascii="Calibri" w:hAnsi="Calibri" w:cs="Calibri"/>
                <w:sz w:val="22"/>
                <w:szCs w:val="22"/>
              </w:rPr>
              <w:t xml:space="preserve">1. </w:t>
            </w:r>
            <w:r w:rsidRPr="00BF73F3" w:rsidR="000264D6">
              <w:rPr>
                <w:rFonts w:ascii="Calibri" w:hAnsi="Calibri" w:cs="Calibri"/>
                <w:sz w:val="22"/>
                <w:szCs w:val="22"/>
              </w:rPr>
              <w:t xml:space="preserve">Demonstration of </w:t>
            </w:r>
            <w:r w:rsidRPr="00BF73F3" w:rsidR="00291A6A">
              <w:rPr>
                <w:rFonts w:ascii="Calibri" w:hAnsi="Calibri" w:cs="Calibri"/>
                <w:sz w:val="22"/>
                <w:szCs w:val="22"/>
              </w:rPr>
              <w:t>100</w:t>
            </w:r>
            <w:r w:rsidRPr="00BF73F3" w:rsidR="000264D6">
              <w:rPr>
                <w:rFonts w:ascii="Calibri" w:hAnsi="Calibri" w:cs="Calibri"/>
                <w:sz w:val="22"/>
                <w:szCs w:val="22"/>
              </w:rPr>
              <w:t xml:space="preserve">% </w:t>
            </w:r>
            <w:r w:rsidRPr="00BF73F3" w:rsidR="00291A6A">
              <w:rPr>
                <w:rFonts w:ascii="Calibri" w:hAnsi="Calibri" w:cs="Calibri"/>
                <w:sz w:val="22"/>
                <w:szCs w:val="22"/>
              </w:rPr>
              <w:t>compliance with prior written notices provided for transition conferences</w:t>
            </w:r>
            <w:r w:rsidRPr="00BF73F3" w:rsidR="000264D6">
              <w:rPr>
                <w:rFonts w:ascii="Calibri" w:hAnsi="Calibri" w:cs="Calibri"/>
                <w:sz w:val="22"/>
                <w:szCs w:val="22"/>
              </w:rPr>
              <w:t>, as evidenced by the EI Division</w:t>
            </w:r>
            <w:r w:rsidRPr="00BF73F3" w:rsidR="00BD315C">
              <w:rPr>
                <w:rFonts w:ascii="Calibri" w:hAnsi="Calibri" w:cs="Calibri"/>
                <w:sz w:val="22"/>
                <w:szCs w:val="22"/>
              </w:rPr>
              <w:t>’</w:t>
            </w:r>
            <w:r w:rsidRPr="00BF73F3" w:rsidR="000264D6">
              <w:rPr>
                <w:rFonts w:ascii="Calibri" w:hAnsi="Calibri" w:cs="Calibri"/>
                <w:sz w:val="22"/>
                <w:szCs w:val="22"/>
              </w:rPr>
              <w:t>s review of subsequent records.  </w:t>
            </w:r>
          </w:p>
          <w:p w:rsidRPr="00BF73F3" w:rsidR="000264D6" w:rsidP="0028306E" w:rsidRDefault="000264D6" w14:paraId="171F35C8" w14:textId="5D94F098">
            <w:pPr>
              <w:ind w:left="720"/>
              <w:textAlignment w:val="baseline"/>
              <w:rPr>
                <w:rFonts w:ascii="Calibri" w:hAnsi="Calibri" w:cs="Calibri"/>
                <w:sz w:val="22"/>
                <w:szCs w:val="22"/>
              </w:rPr>
            </w:pPr>
          </w:p>
        </w:tc>
      </w:tr>
    </w:tbl>
    <w:p w:rsidRPr="00BF73F3" w:rsidR="000264D6" w:rsidP="000264D6" w:rsidRDefault="000264D6" w14:paraId="72678146" w14:textId="77777777">
      <w:pPr>
        <w:textAlignment w:val="baseline"/>
        <w:rPr>
          <w:rFonts w:ascii="Segoe UI" w:hAnsi="Segoe UI" w:cs="Segoe UI"/>
          <w:sz w:val="18"/>
          <w:szCs w:val="18"/>
        </w:rPr>
      </w:pPr>
      <w:r w:rsidRPr="00BF73F3">
        <w:rPr>
          <w:rFonts w:ascii="Calibri" w:hAnsi="Calibri" w:cs="Calibri"/>
          <w:sz w:val="22"/>
          <w:szCs w:val="22"/>
        </w:rPr>
        <w:t>  </w:t>
      </w:r>
    </w:p>
    <w:p w:rsidRPr="00BF73F3" w:rsidR="000264D6" w:rsidP="000264D6" w:rsidRDefault="000264D6" w14:paraId="07D73FD0" w14:textId="77777777">
      <w:pPr>
        <w:textAlignment w:val="baseline"/>
        <w:rPr>
          <w:rFonts w:ascii="Calibri" w:hAnsi="Calibri" w:cs="Calibri"/>
          <w:sz w:val="18"/>
          <w:szCs w:val="18"/>
        </w:rPr>
      </w:pPr>
      <w:r w:rsidRPr="00BF73F3">
        <w:rPr>
          <w:rFonts w:ascii="Calibri" w:hAnsi="Calibri" w:cs="Calibri"/>
          <w:sz w:val="18"/>
          <w:szCs w:val="18"/>
        </w:rPr>
        <w:t> </w:t>
      </w:r>
    </w:p>
    <w:p w:rsidRPr="00BF73F3" w:rsidR="00BB31AD" w:rsidP="000264D6" w:rsidRDefault="00BB31AD" w14:paraId="1FF02416" w14:textId="77777777">
      <w:pPr>
        <w:textAlignment w:val="baseline"/>
        <w:rPr>
          <w:rFonts w:ascii="Calibri" w:hAnsi="Calibri" w:cs="Calibri"/>
          <w:sz w:val="18"/>
          <w:szCs w:val="18"/>
        </w:rPr>
      </w:pPr>
    </w:p>
    <w:p w:rsidRPr="00BF73F3" w:rsidR="00BB31AD" w:rsidP="000264D6" w:rsidRDefault="00BB31AD" w14:paraId="0A3EF064" w14:textId="77777777">
      <w:pPr>
        <w:textAlignment w:val="baseline"/>
        <w:rPr>
          <w:rFonts w:ascii="Calibri" w:hAnsi="Calibri" w:cs="Calibri"/>
          <w:sz w:val="18"/>
          <w:szCs w:val="18"/>
        </w:rPr>
      </w:pPr>
    </w:p>
    <w:p w:rsidRPr="00BF73F3" w:rsidR="00BB31AD" w:rsidP="000264D6" w:rsidRDefault="00BB31AD" w14:paraId="2175C307" w14:textId="77777777">
      <w:pPr>
        <w:textAlignment w:val="baseline"/>
        <w:rPr>
          <w:rFonts w:ascii="Segoe UI" w:hAnsi="Segoe UI" w:cs="Segoe UI"/>
          <w:sz w:val="18"/>
          <w:szCs w:val="18"/>
        </w:rPr>
      </w:pPr>
    </w:p>
    <w:p w:rsidRPr="00BF73F3" w:rsidR="0028306E" w:rsidP="0028306E" w:rsidRDefault="0028306E" w14:paraId="595253BF" w14:textId="276F31F8">
      <w:pPr>
        <w:jc w:val="center"/>
        <w:textAlignment w:val="baseline"/>
        <w:rPr>
          <w:rFonts w:ascii="Segoe UI" w:hAnsi="Segoe UI" w:cs="Segoe UI"/>
          <w:sz w:val="18"/>
          <w:szCs w:val="18"/>
        </w:rPr>
      </w:pPr>
    </w:p>
    <w:p w:rsidRPr="00BF73F3" w:rsidR="000264D6" w:rsidP="000264D6" w:rsidRDefault="000264D6" w14:paraId="67B7B8E5" w14:textId="5A7BC571">
      <w:pPr>
        <w:jc w:val="center"/>
        <w:textAlignment w:val="baseline"/>
        <w:rPr>
          <w:rFonts w:ascii="Segoe UI" w:hAnsi="Segoe UI" w:cs="Segoe UI"/>
          <w:sz w:val="18"/>
          <w:szCs w:val="18"/>
        </w:rPr>
      </w:pPr>
      <w:r w:rsidRPr="00BF73F3">
        <w:rPr>
          <w:rFonts w:ascii="Calibri" w:hAnsi="Calibri" w:cs="Calibri"/>
          <w:sz w:val="22"/>
          <w:szCs w:val="22"/>
        </w:rPr>
        <w:t> </w:t>
      </w:r>
    </w:p>
    <w:p w:rsidRPr="00BF73F3" w:rsidR="000264D6" w:rsidP="000264D6" w:rsidRDefault="000264D6" w14:paraId="0E3D1B16" w14:textId="77777777">
      <w:pPr>
        <w:jc w:val="center"/>
        <w:textAlignment w:val="baseline"/>
        <w:rPr>
          <w:rFonts w:ascii="Segoe UI" w:hAnsi="Segoe UI" w:cs="Segoe UI"/>
          <w:sz w:val="18"/>
          <w:szCs w:val="18"/>
        </w:rPr>
      </w:pPr>
      <w:r w:rsidRPr="00BF73F3">
        <w:rPr>
          <w:rFonts w:ascii="Calibri" w:hAnsi="Calibri" w:cs="Calibri"/>
          <w:sz w:val="22"/>
          <w:szCs w:val="22"/>
        </w:rPr>
        <w:t> </w:t>
      </w:r>
    </w:p>
    <w:p w:rsidRPr="00BF73F3" w:rsidR="000264D6" w:rsidP="000264D6" w:rsidRDefault="000264D6" w14:paraId="5944D210" w14:textId="77777777">
      <w:pPr>
        <w:jc w:val="center"/>
        <w:textAlignment w:val="baseline"/>
        <w:rPr>
          <w:rFonts w:ascii="Segoe UI" w:hAnsi="Segoe UI" w:cs="Segoe UI"/>
          <w:sz w:val="18"/>
          <w:szCs w:val="18"/>
        </w:rPr>
      </w:pPr>
      <w:r w:rsidRPr="00BF73F3">
        <w:rPr>
          <w:rFonts w:ascii="Calibri" w:hAnsi="Calibri" w:cs="Calibri"/>
          <w:b/>
          <w:bCs/>
          <w:sz w:val="22"/>
          <w:szCs w:val="22"/>
        </w:rPr>
        <w:t>DATA</w:t>
      </w:r>
      <w:r w:rsidRPr="00BF73F3">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BF73F3" w:rsidR="00BF73F3" w:rsidTr="00233492" w14:paraId="6A6BC59B"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403B9D0F" w14:textId="77777777">
            <w:pPr>
              <w:textAlignment w:val="baseline"/>
              <w:rPr>
                <w:szCs w:val="24"/>
              </w:rPr>
            </w:pPr>
            <w:r w:rsidRPr="00BF73F3">
              <w:rPr>
                <w:rFonts w:ascii="Calibri" w:hAnsi="Calibri" w:cs="Calibri"/>
                <w:b/>
                <w:bCs/>
                <w:sz w:val="22"/>
                <w:szCs w:val="22"/>
              </w:rPr>
              <w:t>Legal Requirement/State Standard</w:t>
            </w:r>
            <w:r w:rsidRPr="00BF73F3">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4A051BD8" w14:textId="77777777">
            <w:pPr>
              <w:textAlignment w:val="baseline"/>
              <w:rPr>
                <w:b/>
                <w:bCs/>
                <w:szCs w:val="24"/>
              </w:rPr>
            </w:pPr>
            <w:r w:rsidRPr="00BF73F3">
              <w:rPr>
                <w:rFonts w:ascii="Calibri" w:hAnsi="Calibri" w:cs="Calibr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410A0DAD" w14:textId="77777777">
            <w:pPr>
              <w:textAlignment w:val="baseline"/>
              <w:rPr>
                <w:b/>
                <w:bCs/>
                <w:szCs w:val="24"/>
              </w:rPr>
            </w:pPr>
            <w:r w:rsidRPr="00BF73F3">
              <w:rPr>
                <w:rFonts w:ascii="Calibri" w:hAnsi="Calibri" w:cs="Calibr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F73F3" w:rsidR="000264D6" w:rsidP="000264D6" w:rsidRDefault="000264D6" w14:paraId="39BB8861" w14:textId="77777777">
            <w:pPr>
              <w:textAlignment w:val="baseline"/>
              <w:rPr>
                <w:b/>
                <w:bCs/>
                <w:szCs w:val="24"/>
              </w:rPr>
            </w:pPr>
            <w:r w:rsidRPr="00BF73F3">
              <w:rPr>
                <w:rFonts w:ascii="Calibri" w:hAnsi="Calibri" w:cs="Calibri"/>
                <w:b/>
                <w:bCs/>
                <w:sz w:val="22"/>
                <w:szCs w:val="22"/>
              </w:rPr>
              <w:t>Next Steps and Required Actions  </w:t>
            </w:r>
          </w:p>
        </w:tc>
      </w:tr>
      <w:tr w:rsidRPr="00BF73F3" w:rsidR="00BF73F3" w:rsidTr="00233492" w14:paraId="50B3E9EC"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327D75" w:rsidR="00BA6143" w:rsidP="00CA357B" w:rsidRDefault="00BA6143" w14:paraId="71FF300B" w14:textId="3C9CCA2D">
            <w:pPr>
              <w:pStyle w:val="paragraph"/>
              <w:spacing w:before="0" w:beforeAutospacing="0" w:after="0" w:afterAutospacing="0"/>
              <w:textAlignment w:val="baseline"/>
              <w:rPr>
                <w:rFonts w:asciiTheme="minorHAnsi" w:hAnsiTheme="minorHAnsi" w:cstheme="minorHAnsi"/>
                <w:b/>
                <w:bCs/>
                <w:sz w:val="22"/>
                <w:szCs w:val="22"/>
              </w:rPr>
            </w:pPr>
            <w:r w:rsidRPr="00327D75">
              <w:rPr>
                <w:rFonts w:asciiTheme="minorHAnsi" w:hAnsiTheme="minorHAnsi" w:cstheme="minorHAnsi"/>
                <w:b/>
                <w:bCs/>
                <w:sz w:val="22"/>
                <w:szCs w:val="22"/>
              </w:rPr>
              <w:t>4</w:t>
            </w:r>
            <w:r w:rsidRPr="00327D75" w:rsidR="00BF73F3">
              <w:rPr>
                <w:rFonts w:asciiTheme="minorHAnsi" w:hAnsiTheme="minorHAnsi" w:cstheme="minorHAnsi"/>
                <w:b/>
                <w:sz w:val="22"/>
                <w:szCs w:val="22"/>
              </w:rPr>
              <w:t xml:space="preserve">.1 </w:t>
            </w:r>
            <w:r w:rsidRPr="00327D75" w:rsidR="007A79FA">
              <w:rPr>
                <w:rFonts w:asciiTheme="minorHAnsi" w:hAnsiTheme="minorHAnsi" w:cstheme="minorHAnsi"/>
                <w:b/>
                <w:bCs/>
                <w:sz w:val="22"/>
                <w:szCs w:val="22"/>
              </w:rPr>
              <w:t>Timely Data</w:t>
            </w:r>
          </w:p>
          <w:p w:rsidR="007A79FA" w:rsidP="00CA357B" w:rsidRDefault="007A79FA" w14:paraId="63685B8A" w14:textId="77777777">
            <w:pPr>
              <w:pStyle w:val="paragraph"/>
              <w:spacing w:before="0" w:beforeAutospacing="0" w:after="0" w:afterAutospacing="0"/>
              <w:textAlignment w:val="baseline"/>
              <w:rPr>
                <w:rFonts w:asciiTheme="minorHAnsi" w:hAnsiTheme="minorHAnsi" w:cstheme="minorHAnsi"/>
                <w:sz w:val="22"/>
                <w:szCs w:val="22"/>
              </w:rPr>
            </w:pPr>
          </w:p>
          <w:p w:rsidRPr="00BF73F3" w:rsidR="00CA357B" w:rsidP="00CA357B" w:rsidRDefault="00CA357B" w14:paraId="1AEF22F7" w14:textId="221593C4">
            <w:pPr>
              <w:textAlignment w:val="baseline"/>
              <w:rPr>
                <w:rFonts w:asciiTheme="minorHAnsi" w:hAnsiTheme="minorHAnsi" w:cstheme="minorHAnsi"/>
                <w:sz w:val="22"/>
                <w:szCs w:val="22"/>
              </w:rPr>
            </w:pPr>
            <w:r w:rsidRPr="00BF73F3">
              <w:rPr>
                <w:rFonts w:asciiTheme="minorHAnsi" w:hAnsiTheme="minorHAnsi" w:cstheme="minorHAnsi"/>
                <w:sz w:val="22"/>
                <w:szCs w:val="22"/>
              </w:rPr>
              <w:t>Under Federal Regulation 34 CFR § 303.124:(a) Each statewide system must include a system for compiling and reporting timely and accurate data that meets the requirements in § 303.124(b) of this section and §§ 303.700 through 303.702 and 303.720 through 303.724.</w:t>
            </w:r>
          </w:p>
          <w:p w:rsidRPr="00BF73F3" w:rsidR="00CA357B" w:rsidP="00CA357B" w:rsidRDefault="00CA357B" w14:paraId="631D11CE"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rsidRPr="00BF73F3" w:rsidR="00CA357B" w:rsidP="00CA357B" w:rsidRDefault="00CA357B" w14:paraId="6D40EEE4" w14:textId="77777777">
            <w:pPr>
              <w:textAlignment w:val="baseline"/>
              <w:rPr>
                <w:rFonts w:asciiTheme="minorHAnsi" w:hAnsiTheme="minorHAnsi" w:cstheme="minorHAnsi"/>
                <w:sz w:val="22"/>
                <w:szCs w:val="22"/>
              </w:rPr>
            </w:pPr>
          </w:p>
          <w:p w:rsidRPr="00BF73F3" w:rsidR="00CA357B" w:rsidP="00CA357B" w:rsidRDefault="00CA357B" w14:paraId="6F197F9C"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In accordance with Early Intervention Operational Standards</w:t>
            </w:r>
          </w:p>
          <w:p w:rsidRPr="00BF73F3" w:rsidR="00CA357B" w:rsidP="00CA357B" w:rsidRDefault="00CA357B" w14:paraId="40417B55"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pg. 60:</w:t>
            </w:r>
          </w:p>
          <w:p w:rsidRPr="00BF73F3" w:rsidR="00CA357B" w:rsidP="00CA357B" w:rsidRDefault="00CA357B" w14:paraId="2B2548DE"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Early Intervention programs are expected to submit the data requested by the Department of Public Health within the timelines established.</w:t>
            </w:r>
          </w:p>
          <w:p w:rsidRPr="00BF73F3" w:rsidR="00CA357B" w:rsidP="00CA357B" w:rsidRDefault="00CA357B" w14:paraId="6C19C747" w14:textId="0176869C">
            <w:pPr>
              <w:ind w:left="720"/>
              <w:textAlignment w:val="baseline"/>
              <w:rPr>
                <w:szCs w:val="24"/>
              </w:rPr>
            </w:pPr>
          </w:p>
        </w:tc>
        <w:tc>
          <w:tcPr>
            <w:tcW w:w="3225" w:type="dxa"/>
            <w:tcBorders>
              <w:top w:val="single" w:color="auto" w:sz="6" w:space="0"/>
              <w:left w:val="single" w:color="auto" w:sz="6" w:space="0"/>
              <w:bottom w:val="single" w:color="auto" w:sz="6" w:space="0"/>
              <w:right w:val="single" w:color="auto" w:sz="6" w:space="0"/>
            </w:tcBorders>
            <w:hideMark/>
          </w:tcPr>
          <w:p w:rsidR="006E7907" w:rsidP="00CA357B" w:rsidRDefault="006E7907" w14:paraId="2994B5FD" w14:textId="77777777">
            <w:pPr>
              <w:textAlignment w:val="baseline"/>
              <w:rPr>
                <w:rFonts w:ascii="Calibri" w:hAnsi="Calibri" w:cs="Calibri"/>
                <w:sz w:val="22"/>
                <w:szCs w:val="22"/>
              </w:rPr>
            </w:pPr>
          </w:p>
          <w:p w:rsidR="006E7907" w:rsidP="00CA357B" w:rsidRDefault="006E7907" w14:paraId="4782F25C" w14:textId="77777777">
            <w:pPr>
              <w:textAlignment w:val="baseline"/>
              <w:rPr>
                <w:rFonts w:ascii="Calibri" w:hAnsi="Calibri" w:cs="Calibri"/>
                <w:sz w:val="22"/>
                <w:szCs w:val="22"/>
              </w:rPr>
            </w:pPr>
          </w:p>
          <w:p w:rsidRPr="00BF73F3" w:rsidR="00CA357B" w:rsidP="00CA357B" w:rsidRDefault="00CA357B" w14:paraId="59DBD0F0" w14:textId="3797042C">
            <w:pPr>
              <w:textAlignment w:val="baseline"/>
              <w:rPr>
                <w:szCs w:val="24"/>
              </w:rPr>
            </w:pPr>
            <w:r w:rsidRPr="00BF73F3">
              <w:rPr>
                <w:rFonts w:ascii="Calibri" w:hAnsi="Calibri" w:cs="Calibri"/>
                <w:sz w:val="22"/>
                <w:szCs w:val="22"/>
              </w:rPr>
              <w:t>During record reviews, the EI Division found that the program did not consistently meet the timely data requirement of submission of progress notes within 14 day</w:t>
            </w:r>
            <w:r w:rsidR="00996244">
              <w:rPr>
                <w:rFonts w:ascii="Calibri" w:hAnsi="Calibri" w:cs="Calibri"/>
                <w:sz w:val="22"/>
                <w:szCs w:val="22"/>
              </w:rPr>
              <w:t>s</w:t>
            </w:r>
            <w:r w:rsidRPr="00BF73F3">
              <w:rPr>
                <w:rFonts w:ascii="Calibri" w:hAnsi="Calibri" w:cs="Calibri"/>
                <w:sz w:val="22"/>
                <w:szCs w:val="22"/>
              </w:rPr>
              <w:t xml:space="preserve">. The EI </w:t>
            </w:r>
            <w:r w:rsidR="00996244">
              <w:rPr>
                <w:rFonts w:ascii="Calibri" w:hAnsi="Calibri" w:cs="Calibri"/>
                <w:sz w:val="22"/>
                <w:szCs w:val="22"/>
              </w:rPr>
              <w:t>D</w:t>
            </w:r>
            <w:r w:rsidRPr="00BF73F3">
              <w:rPr>
                <w:rFonts w:ascii="Calibri" w:hAnsi="Calibri" w:cs="Calibri"/>
                <w:sz w:val="22"/>
                <w:szCs w:val="22"/>
              </w:rPr>
              <w:t>ivision reviewed a total of 10 child records for satisfactory demonstration (100%). A total of 1/10 of these records demonstrated that the program did not complete the requirement.  </w:t>
            </w:r>
          </w:p>
          <w:p w:rsidRPr="00BF73F3" w:rsidR="00CA357B" w:rsidP="00CA357B" w:rsidRDefault="00CA357B" w14:paraId="73042985" w14:textId="53FD63E0">
            <w:pPr>
              <w:textAlignment w:val="baseline"/>
              <w:rPr>
                <w:szCs w:val="24"/>
              </w:rPr>
            </w:pPr>
            <w:r w:rsidRPr="00BF73F3">
              <w:rPr>
                <w:rFonts w:ascii="Calibri" w:hAnsi="Calibri" w:cs="Calibri"/>
                <w:sz w:val="22"/>
                <w:szCs w:val="22"/>
              </w:rPr>
              <w:t> </w:t>
            </w:r>
          </w:p>
          <w:p w:rsidRPr="00BF73F3" w:rsidR="00CA357B" w:rsidP="00CA357B" w:rsidRDefault="00CA357B" w14:paraId="01B9C656" w14:textId="77777777">
            <w:pPr>
              <w:textAlignment w:val="baseline"/>
              <w:rPr>
                <w:szCs w:val="24"/>
              </w:rPr>
            </w:pPr>
            <w:r w:rsidRPr="00BF73F3">
              <w:rPr>
                <w:rFonts w:ascii="Calibri" w:hAnsi="Calibri" w:cs="Calibri"/>
                <w:sz w:val="22"/>
                <w:szCs w:val="22"/>
              </w:rPr>
              <w:t> </w:t>
            </w:r>
          </w:p>
          <w:p w:rsidRPr="00BF73F3" w:rsidR="00CA357B" w:rsidP="00CA357B" w:rsidRDefault="00CA357B" w14:paraId="4EFA7DD3" w14:textId="77777777">
            <w:pPr>
              <w:textAlignment w:val="baseline"/>
              <w:rPr>
                <w:szCs w:val="24"/>
              </w:rPr>
            </w:pPr>
            <w:r w:rsidRPr="00BF73F3">
              <w:rPr>
                <w:rFonts w:ascii="Calibri" w:hAnsi="Calibri" w:cs="Calibri"/>
                <w:szCs w:val="24"/>
              </w:rPr>
              <w:t> </w:t>
            </w:r>
          </w:p>
        </w:tc>
        <w:tc>
          <w:tcPr>
            <w:tcW w:w="3225" w:type="dxa"/>
            <w:tcBorders>
              <w:top w:val="single" w:color="auto" w:sz="6" w:space="0"/>
              <w:left w:val="single" w:color="auto" w:sz="6" w:space="0"/>
              <w:bottom w:val="single" w:color="auto" w:sz="6" w:space="0"/>
              <w:right w:val="single" w:color="auto" w:sz="6" w:space="0"/>
            </w:tcBorders>
            <w:hideMark/>
          </w:tcPr>
          <w:p w:rsidR="006E7907" w:rsidP="00CA357B" w:rsidRDefault="006E7907" w14:paraId="1A2A7409" w14:textId="77777777">
            <w:pPr>
              <w:textAlignment w:val="baseline"/>
              <w:rPr>
                <w:rFonts w:ascii="Calibri" w:hAnsi="Calibri" w:cs="Calibri"/>
                <w:sz w:val="22"/>
                <w:szCs w:val="22"/>
              </w:rPr>
            </w:pPr>
          </w:p>
          <w:p w:rsidR="006E7907" w:rsidP="00CA357B" w:rsidRDefault="006E7907" w14:paraId="07C4E6E7" w14:textId="77777777">
            <w:pPr>
              <w:textAlignment w:val="baseline"/>
              <w:rPr>
                <w:rFonts w:ascii="Calibri" w:hAnsi="Calibri" w:cs="Calibri"/>
                <w:sz w:val="22"/>
                <w:szCs w:val="22"/>
              </w:rPr>
            </w:pPr>
          </w:p>
          <w:p w:rsidRPr="00BF73F3" w:rsidR="00CA357B" w:rsidP="00CA357B" w:rsidRDefault="00CA357B" w14:paraId="7AB9E46A" w14:textId="7F8BFAF3">
            <w:pPr>
              <w:textAlignment w:val="baseline"/>
              <w:rPr>
                <w:szCs w:val="24"/>
              </w:rPr>
            </w:pPr>
            <w:r w:rsidRPr="00BF73F3">
              <w:rPr>
                <w:rFonts w:ascii="Calibri" w:hAnsi="Calibri" w:cs="Calibri"/>
                <w:sz w:val="22"/>
                <w:szCs w:val="22"/>
              </w:rPr>
              <w:t>The EI Division</w:t>
            </w:r>
            <w:r w:rsidR="00996244">
              <w:rPr>
                <w:rFonts w:ascii="Calibri" w:hAnsi="Calibri" w:cs="Calibri"/>
                <w:sz w:val="22"/>
                <w:szCs w:val="22"/>
              </w:rPr>
              <w:t>’</w:t>
            </w:r>
            <w:r w:rsidRPr="00BF73F3">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p>
          <w:p w:rsidRPr="00BF73F3" w:rsidR="00CA357B" w:rsidP="00CA357B" w:rsidRDefault="00CA357B" w14:paraId="6BA3CF9F" w14:textId="5C356DE4">
            <w:pPr>
              <w:textAlignment w:val="baseline"/>
              <w:rPr>
                <w:rFonts w:ascii="Calibri" w:hAnsi="Calibri" w:cs="Calibri"/>
                <w:szCs w:val="24"/>
              </w:rPr>
            </w:pPr>
            <w:r w:rsidRPr="00BF73F3">
              <w:rPr>
                <w:rFonts w:ascii="Calibri" w:hAnsi="Calibri" w:cs="Calibri"/>
                <w:sz w:val="22"/>
                <w:szCs w:val="22"/>
              </w:rPr>
              <w:t>  </w:t>
            </w:r>
          </w:p>
          <w:p w:rsidRPr="00BF73F3" w:rsidR="00CA357B" w:rsidP="00CA357B" w:rsidRDefault="00F93C9A" w14:paraId="06610685" w14:textId="0678456D">
            <w:pPr>
              <w:textAlignment w:val="baseline"/>
              <w:rPr>
                <w:rFonts w:asciiTheme="minorHAnsi" w:hAnsiTheme="minorHAnsi" w:cstheme="minorHAnsi"/>
                <w:sz w:val="22"/>
                <w:szCs w:val="22"/>
              </w:rPr>
            </w:pPr>
            <w:r>
              <w:rPr>
                <w:rFonts w:asciiTheme="minorHAnsi" w:hAnsiTheme="minorHAnsi" w:cstheme="minorHAnsi"/>
                <w:sz w:val="22"/>
                <w:szCs w:val="22"/>
              </w:rPr>
              <w:t>4</w:t>
            </w:r>
            <w:r w:rsidRPr="00BF73F3" w:rsidR="00CA357B">
              <w:rPr>
                <w:rFonts w:asciiTheme="minorHAnsi" w:hAnsiTheme="minorHAnsi" w:cstheme="minorHAnsi"/>
                <w:sz w:val="22"/>
                <w:szCs w:val="22"/>
              </w:rPr>
              <w:t>.1 The EI Division finds that the program does not complete the timely data requirements under 34 CFR § 303.124 and EIOS page 60.</w:t>
            </w:r>
          </w:p>
          <w:p w:rsidRPr="00BF73F3" w:rsidR="00CA357B" w:rsidP="00CA357B" w:rsidRDefault="00CA357B" w14:paraId="75E44766" w14:textId="77777777">
            <w:pPr>
              <w:textAlignment w:val="baseline"/>
              <w:rPr>
                <w:szCs w:val="24"/>
              </w:rPr>
            </w:pPr>
          </w:p>
        </w:tc>
        <w:tc>
          <w:tcPr>
            <w:tcW w:w="3225" w:type="dxa"/>
            <w:tcBorders>
              <w:top w:val="single" w:color="auto" w:sz="6" w:space="0"/>
              <w:left w:val="single" w:color="auto" w:sz="6" w:space="0"/>
              <w:bottom w:val="single" w:color="auto" w:sz="6" w:space="0"/>
              <w:right w:val="single" w:color="auto" w:sz="6" w:space="0"/>
            </w:tcBorders>
            <w:hideMark/>
          </w:tcPr>
          <w:p w:rsidR="006E7907" w:rsidP="00CA357B" w:rsidRDefault="006E7907" w14:paraId="5A6C81DB" w14:textId="77777777">
            <w:pPr>
              <w:textAlignment w:val="baseline"/>
              <w:rPr>
                <w:rFonts w:ascii="Calibri" w:hAnsi="Calibri" w:cs="Calibri"/>
                <w:sz w:val="22"/>
                <w:szCs w:val="22"/>
              </w:rPr>
            </w:pPr>
          </w:p>
          <w:p w:rsidR="006E7907" w:rsidP="00CA357B" w:rsidRDefault="006E7907" w14:paraId="65B96B2F" w14:textId="77777777">
            <w:pPr>
              <w:textAlignment w:val="baseline"/>
              <w:rPr>
                <w:rFonts w:ascii="Calibri" w:hAnsi="Calibri" w:cs="Calibri"/>
                <w:sz w:val="22"/>
                <w:szCs w:val="22"/>
              </w:rPr>
            </w:pPr>
          </w:p>
          <w:p w:rsidRPr="00BF73F3" w:rsidR="00CA357B" w:rsidP="00CA357B" w:rsidRDefault="00CA357B" w14:paraId="32EA6075" w14:textId="6683B4BC">
            <w:pPr>
              <w:textAlignment w:val="baseline"/>
              <w:rPr>
                <w:szCs w:val="24"/>
              </w:rPr>
            </w:pPr>
            <w:r w:rsidRPr="00BF73F3">
              <w:rPr>
                <w:rFonts w:ascii="Calibri" w:hAnsi="Calibri" w:cs="Calibri"/>
                <w:sz w:val="22"/>
                <w:szCs w:val="22"/>
              </w:rPr>
              <w:t>Evidence of implementation— as soon as possible, but no later than one year from the date of this monitoring report, the program must demonstrate to the EI Division: </w:t>
            </w:r>
          </w:p>
          <w:p w:rsidRPr="00BF73F3" w:rsidR="00CA357B" w:rsidP="00327D75" w:rsidRDefault="00340315" w14:paraId="6483451D" w14:textId="0DB73D2D">
            <w:pPr>
              <w:ind w:left="360"/>
              <w:textAlignment w:val="baseline"/>
              <w:rPr>
                <w:rFonts w:ascii="Calibri" w:hAnsi="Calibri" w:cs="Calibri"/>
                <w:sz w:val="22"/>
                <w:szCs w:val="22"/>
              </w:rPr>
            </w:pPr>
            <w:r>
              <w:rPr>
                <w:rFonts w:ascii="Calibri" w:hAnsi="Calibri" w:cs="Calibri"/>
                <w:sz w:val="22"/>
                <w:szCs w:val="22"/>
              </w:rPr>
              <w:t xml:space="preserve">1. </w:t>
            </w:r>
            <w:r w:rsidRPr="00BF73F3" w:rsidR="00CA357B">
              <w:rPr>
                <w:rFonts w:ascii="Calibri" w:hAnsi="Calibri" w:cs="Calibri"/>
                <w:sz w:val="22"/>
                <w:szCs w:val="22"/>
              </w:rPr>
              <w:t>Demonstration of 100% timely data as evidenced by the EI Division</w:t>
            </w:r>
            <w:r w:rsidR="009E3179">
              <w:rPr>
                <w:rFonts w:ascii="Calibri" w:hAnsi="Calibri" w:cs="Calibri"/>
                <w:sz w:val="22"/>
                <w:szCs w:val="22"/>
              </w:rPr>
              <w:t>’</w:t>
            </w:r>
            <w:r w:rsidRPr="00BF73F3" w:rsidR="00CA357B">
              <w:rPr>
                <w:rFonts w:ascii="Calibri" w:hAnsi="Calibri" w:cs="Calibri"/>
                <w:sz w:val="22"/>
                <w:szCs w:val="22"/>
              </w:rPr>
              <w:t>s review of subsequent records.  </w:t>
            </w:r>
          </w:p>
          <w:p w:rsidRPr="00BF73F3" w:rsidR="00CA357B" w:rsidP="00CA357B" w:rsidRDefault="00CA357B" w14:paraId="1AFF56DC" w14:textId="518E19DC">
            <w:pPr>
              <w:ind w:left="720"/>
              <w:textAlignment w:val="baseline"/>
              <w:rPr>
                <w:rFonts w:ascii="Calibri" w:hAnsi="Calibri" w:cs="Calibri"/>
                <w:sz w:val="22"/>
                <w:szCs w:val="22"/>
              </w:rPr>
            </w:pPr>
          </w:p>
        </w:tc>
      </w:tr>
    </w:tbl>
    <w:p w:rsidR="000264D6" w:rsidP="000264D6" w:rsidRDefault="000264D6" w14:paraId="2296F44A" w14:textId="77777777">
      <w:pPr>
        <w:textAlignment w:val="baseline"/>
        <w:rPr>
          <w:rFonts w:ascii="Calibri" w:hAnsi="Calibri" w:cs="Calibri"/>
          <w:sz w:val="22"/>
          <w:szCs w:val="22"/>
        </w:rPr>
      </w:pPr>
      <w:r w:rsidRPr="00BF73F3">
        <w:rPr>
          <w:rFonts w:ascii="Calibri" w:hAnsi="Calibri" w:cs="Calibri"/>
          <w:sz w:val="22"/>
          <w:szCs w:val="22"/>
        </w:rPr>
        <w:t>  </w:t>
      </w:r>
    </w:p>
    <w:p w:rsidR="00521EB6" w:rsidP="000264D6" w:rsidRDefault="00521EB6" w14:paraId="4529CB1E" w14:textId="77777777">
      <w:pPr>
        <w:textAlignment w:val="baseline"/>
        <w:rPr>
          <w:rFonts w:ascii="Calibri" w:hAnsi="Calibri" w:cs="Calibri"/>
          <w:sz w:val="22"/>
          <w:szCs w:val="22"/>
        </w:rPr>
      </w:pPr>
    </w:p>
    <w:p w:rsidRPr="00BF73F3" w:rsidR="00521EB6" w:rsidP="000264D6" w:rsidRDefault="00521EB6" w14:paraId="2124401C" w14:textId="77777777">
      <w:pPr>
        <w:textAlignment w:val="baseline"/>
        <w:rPr>
          <w:rFonts w:ascii="Segoe UI" w:hAnsi="Segoe UI" w:cs="Segoe UI"/>
          <w:sz w:val="18"/>
          <w:szCs w:val="18"/>
        </w:rPr>
      </w:pPr>
    </w:p>
    <w:p w:rsidRPr="00BF73F3" w:rsidR="000264D6" w:rsidP="000264D6" w:rsidRDefault="000264D6" w14:paraId="1426873D" w14:textId="77777777">
      <w:pPr>
        <w:jc w:val="center"/>
        <w:textAlignment w:val="baseline"/>
        <w:rPr>
          <w:rFonts w:ascii="Segoe UI" w:hAnsi="Segoe UI" w:cs="Segoe UI"/>
          <w:sz w:val="18"/>
          <w:szCs w:val="18"/>
        </w:rPr>
      </w:pPr>
      <w:r w:rsidRPr="00BF73F3">
        <w:rPr>
          <w:rFonts w:ascii="Calibri" w:hAnsi="Calibri" w:cs="Calibri"/>
          <w:b/>
          <w:bCs/>
          <w:sz w:val="22"/>
          <w:szCs w:val="22"/>
        </w:rPr>
        <w:t>FISCAL</w:t>
      </w:r>
      <w:r w:rsidRPr="00BF73F3">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BF73F3" w:rsidR="00BF73F3" w:rsidTr="6BAA17ED" w14:paraId="0122751E"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F73F3" w:rsidR="000264D6" w:rsidP="000264D6" w:rsidRDefault="000264D6" w14:paraId="251EE629" w14:textId="77777777">
            <w:pPr>
              <w:textAlignment w:val="baseline"/>
              <w:rPr>
                <w:rFonts w:asciiTheme="minorHAnsi" w:hAnsiTheme="minorHAnsi" w:cstheme="minorHAnsi"/>
                <w:sz w:val="22"/>
                <w:szCs w:val="22"/>
              </w:rPr>
            </w:pPr>
            <w:r w:rsidRPr="00BF73F3">
              <w:rPr>
                <w:rFonts w:asciiTheme="minorHAnsi" w:hAnsiTheme="minorHAnsi" w:cstheme="minorHAnsi"/>
                <w:b/>
                <w:bCs/>
                <w:sz w:val="22"/>
                <w:szCs w:val="22"/>
              </w:rPr>
              <w:t>Legal Requirement/State Standard</w:t>
            </w:r>
            <w:r w:rsidRPr="00BF73F3">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F73F3" w:rsidR="000264D6" w:rsidP="000264D6" w:rsidRDefault="000264D6" w14:paraId="2D7072CF"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F73F3" w:rsidR="000264D6" w:rsidP="000264D6" w:rsidRDefault="000264D6" w14:paraId="4DF146B7"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BF73F3" w:rsidR="000264D6" w:rsidP="000264D6" w:rsidRDefault="000264D6" w14:paraId="3C32BA50" w14:textId="77777777">
            <w:pPr>
              <w:textAlignment w:val="baseline"/>
              <w:rPr>
                <w:rFonts w:asciiTheme="minorHAnsi" w:hAnsiTheme="minorHAnsi" w:cstheme="minorHAnsi"/>
                <w:b/>
                <w:bCs/>
                <w:sz w:val="22"/>
                <w:szCs w:val="22"/>
              </w:rPr>
            </w:pPr>
            <w:r w:rsidRPr="00BF73F3">
              <w:rPr>
                <w:rFonts w:asciiTheme="minorHAnsi" w:hAnsiTheme="minorHAnsi" w:cstheme="minorHAnsi"/>
                <w:b/>
                <w:bCs/>
                <w:sz w:val="22"/>
                <w:szCs w:val="22"/>
              </w:rPr>
              <w:t>Next Steps and Required Actions  </w:t>
            </w:r>
          </w:p>
        </w:tc>
      </w:tr>
      <w:tr w:rsidRPr="00BF73F3" w:rsidR="00BF73F3" w:rsidTr="6BAA17ED" w14:paraId="1D8695EE" w14:textId="77777777">
        <w:trPr>
          <w:trHeight w:val="300"/>
        </w:trPr>
        <w:tc>
          <w:tcPr>
            <w:tcW w:w="3225" w:type="dxa"/>
            <w:tcBorders>
              <w:top w:val="single" w:color="auto" w:sz="6" w:space="0"/>
              <w:left w:val="single" w:color="auto" w:sz="6" w:space="0"/>
              <w:bottom w:val="single" w:color="auto" w:sz="6" w:space="0"/>
              <w:right w:val="single" w:color="auto" w:sz="6" w:space="0"/>
            </w:tcBorders>
            <w:tcMar/>
            <w:hideMark/>
          </w:tcPr>
          <w:p w:rsidRPr="00327D75" w:rsidR="0029572B" w:rsidP="0009023F" w:rsidRDefault="0029572B" w14:paraId="7A910773" w14:textId="76BD7CBF">
            <w:pPr>
              <w:textAlignment w:val="baseline"/>
              <w:rPr>
                <w:rFonts w:eastAsia="Calibri" w:asciiTheme="minorHAnsi" w:hAnsiTheme="minorHAnsi" w:cstheme="minorHAnsi"/>
                <w:b/>
                <w:bCs/>
                <w:sz w:val="22"/>
                <w:szCs w:val="22"/>
              </w:rPr>
            </w:pPr>
            <w:r w:rsidRPr="00327D75">
              <w:rPr>
                <w:rFonts w:eastAsia="Calibri" w:asciiTheme="minorHAnsi" w:hAnsiTheme="minorHAnsi" w:cstheme="minorHAnsi"/>
                <w:b/>
                <w:bCs/>
                <w:sz w:val="22"/>
                <w:szCs w:val="22"/>
              </w:rPr>
              <w:t>5</w:t>
            </w:r>
            <w:r w:rsidRPr="00327D75" w:rsidR="00BF73F3">
              <w:rPr>
                <w:rFonts w:eastAsia="Calibri" w:asciiTheme="minorHAnsi" w:hAnsiTheme="minorHAnsi" w:cstheme="minorHAnsi"/>
                <w:b/>
                <w:sz w:val="22"/>
                <w:szCs w:val="22"/>
              </w:rPr>
              <w:t xml:space="preserve">.1 </w:t>
            </w:r>
            <w:r w:rsidRPr="00327D75">
              <w:rPr>
                <w:rFonts w:eastAsia="Calibri" w:asciiTheme="minorHAnsi" w:hAnsiTheme="minorHAnsi" w:cstheme="minorHAnsi"/>
                <w:b/>
                <w:bCs/>
                <w:sz w:val="22"/>
                <w:szCs w:val="22"/>
              </w:rPr>
              <w:t>Billing Rules and Regulations and Accuracy of Claims</w:t>
            </w:r>
          </w:p>
          <w:p w:rsidR="0029572B" w:rsidP="0009023F" w:rsidRDefault="0029572B" w14:paraId="0BCF6BC2" w14:textId="77777777">
            <w:pPr>
              <w:textAlignment w:val="baseline"/>
              <w:rPr>
                <w:rFonts w:eastAsia="Calibri" w:asciiTheme="minorHAnsi" w:hAnsiTheme="minorHAnsi" w:cstheme="minorHAnsi"/>
                <w:sz w:val="22"/>
                <w:szCs w:val="22"/>
              </w:rPr>
            </w:pPr>
          </w:p>
          <w:p w:rsidRPr="00BF73F3" w:rsidR="00482FC7" w:rsidP="00482FC7" w:rsidRDefault="0009023F" w14:paraId="1E3D0424" w14:textId="426D1288">
            <w:pPr>
              <w:textAlignment w:val="baseline"/>
              <w:rPr>
                <w:rFonts w:asciiTheme="minorHAnsi" w:hAnsiTheme="minorHAnsi" w:cstheme="minorHAnsi"/>
                <w:sz w:val="22"/>
                <w:szCs w:val="22"/>
              </w:rPr>
            </w:pPr>
            <w:r w:rsidRPr="00BF73F3">
              <w:rPr>
                <w:rFonts w:eastAsia="Calibri" w:asciiTheme="minorHAnsi" w:hAnsiTheme="minorHAnsi" w:cstheme="minorHAnsi"/>
                <w:sz w:val="22"/>
                <w:szCs w:val="22"/>
              </w:rPr>
              <w:t xml:space="preserve">Under Federal Regulation 34 CFR </w:t>
            </w:r>
            <w:r w:rsidRPr="00BF73F3">
              <w:rPr>
                <w:rFonts w:asciiTheme="minorHAnsi" w:hAnsiTheme="minorHAnsi" w:eastAsiaTheme="minorEastAsia" w:cstheme="minorHAnsi"/>
                <w:sz w:val="22"/>
                <w:szCs w:val="22"/>
              </w:rPr>
              <w:t>§</w:t>
            </w:r>
            <w:r w:rsidRPr="00BF73F3">
              <w:rPr>
                <w:rFonts w:eastAsia="Calibri" w:asciiTheme="minorHAnsi" w:hAnsiTheme="minorHAnsi" w:cstheme="minorHAnsi"/>
                <w:sz w:val="22"/>
                <w:szCs w:val="22"/>
              </w:rPr>
              <w:t>303.510(a) and</w:t>
            </w:r>
            <w:r w:rsidRPr="00BF73F3">
              <w:rPr>
                <w:rFonts w:asciiTheme="minorHAnsi" w:hAnsiTheme="minorHAnsi" w:cstheme="minorHAnsi"/>
                <w:sz w:val="22"/>
                <w:szCs w:val="22"/>
              </w:rPr>
              <w:t xml:space="preserve"> DPH EI Reimbursement Manual Pages 8-12.</w:t>
            </w:r>
            <w:r w:rsidR="006A341A">
              <w:rPr>
                <w:rFonts w:asciiTheme="minorHAnsi" w:hAnsiTheme="minorHAnsi" w:cstheme="minorHAnsi"/>
                <w:sz w:val="22"/>
                <w:szCs w:val="22"/>
              </w:rPr>
              <w:t xml:space="preserve"> </w:t>
            </w:r>
            <w:r w:rsidRPr="00BF73F3" w:rsidR="00482FC7">
              <w:rPr>
                <w:rFonts w:asciiTheme="minorHAnsi" w:hAnsiTheme="minorHAnsi" w:cstheme="minorHAnsi"/>
                <w:sz w:val="22"/>
                <w:szCs w:val="22"/>
              </w:rPr>
              <w:t>Reimbursement Manual Page 11</w:t>
            </w:r>
          </w:p>
          <w:p w:rsidRPr="00BF73F3" w:rsidR="00482FC7" w:rsidP="00482FC7" w:rsidRDefault="00482FC7" w14:paraId="25D4AAFA"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DPH Role – Payer of Last Resort</w:t>
            </w:r>
          </w:p>
          <w:p w:rsidRPr="00BF73F3" w:rsidR="000264D6" w:rsidP="00482FC7" w:rsidRDefault="00482FC7" w14:paraId="5E2C8790" w14:textId="0F2942BF">
            <w:pPr>
              <w:textAlignment w:val="baseline"/>
              <w:rPr>
                <w:rFonts w:asciiTheme="minorHAnsi" w:hAnsiTheme="minorHAnsi" w:cstheme="minorHAnsi"/>
                <w:sz w:val="22"/>
                <w:szCs w:val="22"/>
              </w:rPr>
            </w:pPr>
            <w:r w:rsidRPr="00BF73F3">
              <w:rPr>
                <w:rFonts w:asciiTheme="minorHAnsi" w:hAnsiTheme="minorHAnsi" w:cstheme="minorHAnsi"/>
                <w:sz w:val="22"/>
                <w:szCs w:val="22"/>
              </w:rPr>
              <w:t>DPH, as the payer of last resort, will deny claims determined to be ineligible for reimbursement per the</w:t>
            </w:r>
            <w:r w:rsidR="007913DD">
              <w:rPr>
                <w:rFonts w:asciiTheme="minorHAnsi" w:hAnsiTheme="minorHAnsi" w:cstheme="minorHAnsi"/>
                <w:sz w:val="22"/>
                <w:szCs w:val="22"/>
              </w:rPr>
              <w:t xml:space="preserve"> </w:t>
            </w:r>
            <w:r w:rsidRPr="00BF73F3">
              <w:rPr>
                <w:rFonts w:asciiTheme="minorHAnsi" w:hAnsiTheme="minorHAnsi" w:cstheme="minorHAnsi"/>
                <w:sz w:val="22"/>
                <w:szCs w:val="22"/>
              </w:rPr>
              <w:t>Guidelines in this document. EI agencies/programs must follow insurers’ established procedures and billing rules (including efforts to resolve denied claims) in order to secure reimbursement for EI and Autism services PRIOR to submission of charge claims to DPH.</w:t>
            </w:r>
          </w:p>
          <w:p w:rsidRPr="00BF73F3" w:rsidR="00996F9C" w:rsidP="00482FC7" w:rsidRDefault="00996F9C" w14:paraId="1F6C5D9B" w14:textId="77777777">
            <w:pPr>
              <w:textAlignment w:val="baseline"/>
              <w:rPr>
                <w:rFonts w:asciiTheme="minorHAnsi" w:hAnsiTheme="minorHAnsi" w:cstheme="minorHAnsi"/>
                <w:sz w:val="22"/>
                <w:szCs w:val="22"/>
              </w:rPr>
            </w:pPr>
          </w:p>
          <w:p w:rsidRPr="00BF73F3" w:rsidR="00647149" w:rsidP="00647149" w:rsidRDefault="00647149" w14:paraId="2AAD8744"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Reimbursement Manual Page 12</w:t>
            </w:r>
          </w:p>
          <w:p w:rsidRPr="00BF73F3" w:rsidR="00647149" w:rsidP="00647149" w:rsidRDefault="00647149" w14:paraId="5E2B11B8"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There are three verifications that must occur in the following order to ensure claims are submitted to the appropriate payer:</w:t>
            </w:r>
          </w:p>
          <w:p w:rsidRPr="00BF73F3" w:rsidR="00647149" w:rsidP="00647149" w:rsidRDefault="00647149" w14:paraId="3553ADC4"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Confirmation of Insurance Eligibility </w:t>
            </w:r>
          </w:p>
          <w:p w:rsidRPr="00BF73F3" w:rsidR="00647149" w:rsidP="00647149" w:rsidRDefault="00647149" w14:paraId="663DFD96"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w:t>
            </w:r>
            <w:r w:rsidRPr="00BF73F3">
              <w:rPr>
                <w:rFonts w:asciiTheme="minorHAnsi" w:hAnsiTheme="minorHAnsi" w:cstheme="minorHAnsi"/>
                <w:sz w:val="22"/>
                <w:szCs w:val="22"/>
              </w:rPr>
              <w:tab/>
            </w:r>
            <w:r w:rsidRPr="00BF73F3">
              <w:rPr>
                <w:rFonts w:asciiTheme="minorHAnsi" w:hAnsiTheme="minorHAnsi" w:cstheme="minorHAnsi"/>
                <w:sz w:val="22"/>
                <w:szCs w:val="22"/>
              </w:rPr>
              <w:t xml:space="preserve">DPH requires that EI agencies/programs verify insurance member eligibility for MassHealth, </w:t>
            </w:r>
            <w:r w:rsidRPr="00BF73F3">
              <w:rPr>
                <w:rFonts w:asciiTheme="minorHAnsi" w:hAnsiTheme="minorHAnsi" w:cstheme="minorHAnsi"/>
                <w:sz w:val="22"/>
                <w:szCs w:val="22"/>
              </w:rPr>
              <w:t>MassHealth MCO’s and ACO’s, and commercial insurance, on a regular basis, to ensure that claims are submitted to the appropriate payer.</w:t>
            </w:r>
          </w:p>
          <w:p w:rsidRPr="00BF73F3" w:rsidR="00647149" w:rsidP="00647149" w:rsidRDefault="00647149" w14:paraId="733644F9"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w:t>
            </w:r>
            <w:r w:rsidRPr="00BF73F3">
              <w:rPr>
                <w:rFonts w:asciiTheme="minorHAnsi" w:hAnsiTheme="minorHAnsi" w:cstheme="minorHAnsi"/>
                <w:sz w:val="22"/>
                <w:szCs w:val="22"/>
              </w:rPr>
              <w:tab/>
            </w:r>
            <w:r w:rsidRPr="00BF73F3">
              <w:rPr>
                <w:rFonts w:asciiTheme="minorHAnsi" w:hAnsiTheme="minorHAnsi" w:cstheme="minorHAnsi"/>
                <w:sz w:val="22"/>
                <w:szCs w:val="22"/>
              </w:rPr>
              <w:t xml:space="preserve">Confirmation of EI Benefit Coverage Basis/ Type </w:t>
            </w:r>
          </w:p>
          <w:p w:rsidRPr="00BF73F3" w:rsidR="00647149" w:rsidP="00647149" w:rsidRDefault="00647149" w14:paraId="0400EA5D"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o</w:t>
            </w:r>
            <w:r w:rsidRPr="00BF73F3">
              <w:rPr>
                <w:rFonts w:asciiTheme="minorHAnsi" w:hAnsiTheme="minorHAnsi" w:cstheme="minorHAnsi"/>
                <w:sz w:val="22"/>
                <w:szCs w:val="22"/>
              </w:rPr>
              <w:tab/>
            </w:r>
            <w:r w:rsidRPr="00BF73F3">
              <w:rPr>
                <w:rFonts w:asciiTheme="minorHAnsi" w:hAnsiTheme="minorHAnsi" w:cstheme="minorHAnsi"/>
                <w:sz w:val="22"/>
                <w:szCs w:val="22"/>
              </w:rPr>
              <w:t>EI agencies/programs must determine the EI benefit coverage type for each member, including whether EI is a covered benefit and the type of insurance plan. The following table explains the insurance coverage types in the EI Client System.</w:t>
            </w:r>
          </w:p>
          <w:p w:rsidRPr="00BF73F3" w:rsidR="00647149" w:rsidP="6BAA17ED" w:rsidRDefault="00647149" w14:paraId="322BA676" w14:textId="6B179F26">
            <w:pPr>
              <w:textAlignment w:val="baseline"/>
              <w:rPr>
                <w:rFonts w:ascii="Calibri" w:hAnsi="Calibri" w:cs="Calibri" w:asciiTheme="minorAscii" w:hAnsiTheme="minorAscii" w:cstheme="minorAscii"/>
                <w:sz w:val="22"/>
                <w:szCs w:val="22"/>
              </w:rPr>
            </w:pPr>
            <w:r w:rsidRPr="6BAA17ED" w:rsidR="00647149">
              <w:rPr>
                <w:rFonts w:ascii="Calibri" w:hAnsi="Calibri" w:cs="Calibri" w:asciiTheme="minorAscii" w:hAnsiTheme="minorAscii" w:cstheme="minorAscii"/>
                <w:sz w:val="22"/>
                <w:szCs w:val="22"/>
              </w:rPr>
              <w:t>•</w:t>
            </w:r>
            <w:r w:rsidRPr="6BAA17ED" w:rsidR="00647149">
              <w:rPr>
                <w:rFonts w:ascii="Calibri" w:hAnsi="Calibri" w:cs="Calibri" w:asciiTheme="minorAscii" w:hAnsiTheme="minorAscii" w:cstheme="minorAscii"/>
                <w:sz w:val="22"/>
                <w:szCs w:val="22"/>
              </w:rPr>
              <w:t xml:space="preserve">Confirmation of Insurance Plan Options (Health Savings Account (HSA)) </w:t>
            </w:r>
          </w:p>
          <w:p w:rsidRPr="00BF73F3" w:rsidR="00647149" w:rsidP="6BAA17ED" w:rsidRDefault="00647149" w14:paraId="3551A226" w14:textId="373324D9">
            <w:pPr>
              <w:textAlignment w:val="baseline"/>
              <w:rPr>
                <w:rFonts w:ascii="Calibri" w:hAnsi="Calibri" w:cs="Calibri" w:asciiTheme="minorAscii" w:hAnsiTheme="minorAscii" w:cstheme="minorAscii"/>
                <w:sz w:val="22"/>
                <w:szCs w:val="22"/>
              </w:rPr>
            </w:pPr>
            <w:r w:rsidRPr="6BAA17ED" w:rsidR="31D0D1CB">
              <w:rPr>
                <w:rFonts w:ascii="Calibri" w:hAnsi="Calibri" w:cs="Calibri" w:asciiTheme="minorAscii" w:hAnsiTheme="minorAscii" w:cstheme="minorAscii"/>
                <w:sz w:val="22"/>
                <w:szCs w:val="22"/>
              </w:rPr>
              <w:t>Massachus</w:t>
            </w:r>
            <w:r w:rsidRPr="6BAA17ED" w:rsidR="31D0D1CB">
              <w:rPr>
                <w:rFonts w:ascii="Calibri" w:hAnsi="Calibri" w:cs="Calibri" w:asciiTheme="minorAscii" w:hAnsiTheme="minorAscii" w:cstheme="minorAscii"/>
                <w:sz w:val="22"/>
                <w:szCs w:val="22"/>
              </w:rPr>
              <w:t>etts</w:t>
            </w:r>
            <w:r w:rsidRPr="6BAA17ED" w:rsidR="00647149">
              <w:rPr>
                <w:rFonts w:ascii="Calibri" w:hAnsi="Calibri" w:cs="Calibri" w:asciiTheme="minorAscii" w:hAnsiTheme="minorAscii" w:cstheme="minorAscii"/>
                <w:sz w:val="22"/>
                <w:szCs w:val="22"/>
              </w:rPr>
              <w:t xml:space="preserve"> law mand</w:t>
            </w:r>
            <w:r w:rsidRPr="6BAA17ED" w:rsidR="00647149">
              <w:rPr>
                <w:rFonts w:ascii="Calibri" w:hAnsi="Calibri" w:cs="Calibri" w:asciiTheme="minorAscii" w:hAnsiTheme="minorAscii" w:cstheme="minorAscii"/>
                <w:sz w:val="22"/>
                <w:szCs w:val="22"/>
              </w:rPr>
              <w:t>ating insurance to pay co-pays, co-insurance and deductibles does not apply to Heath Savings Account (HSA) plans</w:t>
            </w:r>
          </w:p>
          <w:p w:rsidRPr="00BF73F3" w:rsidR="00647149" w:rsidP="00482FC7" w:rsidRDefault="00647149" w14:paraId="3252CFD0" w14:textId="77777777">
            <w:pPr>
              <w:textAlignment w:val="baseline"/>
              <w:rPr>
                <w:rFonts w:asciiTheme="minorHAnsi" w:hAnsiTheme="minorHAnsi" w:cstheme="minorHAnsi"/>
                <w:sz w:val="22"/>
                <w:szCs w:val="22"/>
              </w:rPr>
            </w:pPr>
          </w:p>
          <w:p w:rsidRPr="00BF73F3" w:rsidR="00996F9C" w:rsidP="00996F9C" w:rsidRDefault="00996F9C" w14:paraId="23CA4D3F" w14:textId="37EDE4EC">
            <w:pPr>
              <w:textAlignment w:val="baseline"/>
              <w:rPr>
                <w:rFonts w:asciiTheme="minorHAnsi" w:hAnsiTheme="minorHAnsi" w:cstheme="minorHAnsi"/>
                <w:sz w:val="22"/>
                <w:szCs w:val="22"/>
              </w:rPr>
            </w:pPr>
            <w:r w:rsidRPr="00BF73F3">
              <w:rPr>
                <w:rFonts w:asciiTheme="minorHAnsi" w:hAnsiTheme="minorHAnsi" w:cstheme="minorHAnsi"/>
                <w:sz w:val="22"/>
                <w:szCs w:val="22"/>
              </w:rPr>
              <w:t>Reimbursement Policy Manual for EI Services</w:t>
            </w:r>
            <w:r w:rsidR="007913DD">
              <w:rPr>
                <w:rFonts w:asciiTheme="minorHAnsi" w:hAnsiTheme="minorHAnsi" w:cstheme="minorHAnsi"/>
                <w:sz w:val="22"/>
                <w:szCs w:val="22"/>
              </w:rPr>
              <w:t>,</w:t>
            </w:r>
            <w:r w:rsidRPr="00BF73F3">
              <w:rPr>
                <w:rFonts w:asciiTheme="minorHAnsi" w:hAnsiTheme="minorHAnsi" w:cstheme="minorHAnsi"/>
                <w:sz w:val="22"/>
                <w:szCs w:val="22"/>
              </w:rPr>
              <w:t xml:space="preserve"> Pg. 16</w:t>
            </w:r>
          </w:p>
          <w:p w:rsidRPr="00BF73F3" w:rsidR="00996F9C" w:rsidP="00996F9C" w:rsidRDefault="00996F9C" w14:paraId="230223F5"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Claims Processing Validations</w:t>
            </w:r>
          </w:p>
          <w:p w:rsidRPr="00BF73F3" w:rsidR="00996F9C" w:rsidP="00996F9C" w:rsidRDefault="00996F9C" w14:paraId="421B49D5" w14:textId="63E533E5">
            <w:pPr>
              <w:textAlignment w:val="baseline"/>
              <w:rPr>
                <w:rFonts w:asciiTheme="minorHAnsi" w:hAnsiTheme="minorHAnsi" w:cstheme="minorHAnsi"/>
                <w:sz w:val="22"/>
                <w:szCs w:val="22"/>
              </w:rPr>
            </w:pPr>
            <w:r w:rsidRPr="00BF73F3">
              <w:rPr>
                <w:rFonts w:asciiTheme="minorHAnsi" w:hAnsiTheme="minorHAnsi" w:cstheme="minorHAnsi"/>
                <w:sz w:val="22"/>
                <w:szCs w:val="22"/>
              </w:rPr>
              <w:t>Charge claims and encounter claims are required to match the service log data on the Progress Note in the DPH EI Client System. This includes: Date of Services</w:t>
            </w:r>
            <w:r w:rsidR="000D691D">
              <w:rPr>
                <w:rFonts w:asciiTheme="minorHAnsi" w:hAnsiTheme="minorHAnsi" w:cstheme="minorHAnsi"/>
                <w:sz w:val="22"/>
                <w:szCs w:val="22"/>
              </w:rPr>
              <w:t>,</w:t>
            </w:r>
            <w:r w:rsidR="00C30A35">
              <w:rPr>
                <w:rFonts w:asciiTheme="minorHAnsi" w:hAnsiTheme="minorHAnsi" w:cstheme="minorHAnsi"/>
                <w:sz w:val="22"/>
                <w:szCs w:val="22"/>
              </w:rPr>
              <w:t xml:space="preserve"> </w:t>
            </w:r>
            <w:r w:rsidRPr="00BF73F3">
              <w:rPr>
                <w:rFonts w:asciiTheme="minorHAnsi" w:hAnsiTheme="minorHAnsi" w:cstheme="minorHAnsi"/>
                <w:sz w:val="22"/>
                <w:szCs w:val="22"/>
              </w:rPr>
              <w:t>Hours</w:t>
            </w:r>
            <w:r w:rsidR="00C30A35">
              <w:rPr>
                <w:rFonts w:asciiTheme="minorHAnsi" w:hAnsiTheme="minorHAnsi" w:cstheme="minorHAnsi"/>
                <w:sz w:val="22"/>
                <w:szCs w:val="22"/>
              </w:rPr>
              <w:t>,</w:t>
            </w:r>
            <w:r w:rsidRPr="00BF73F3">
              <w:rPr>
                <w:rFonts w:asciiTheme="minorHAnsi" w:hAnsiTheme="minorHAnsi" w:cstheme="minorHAnsi"/>
                <w:sz w:val="22"/>
                <w:szCs w:val="22"/>
              </w:rPr>
              <w:t xml:space="preserve"> Service</w:t>
            </w:r>
          </w:p>
        </w:tc>
        <w:tc>
          <w:tcPr>
            <w:tcW w:w="3225" w:type="dxa"/>
            <w:tcBorders>
              <w:top w:val="single" w:color="auto" w:sz="6" w:space="0"/>
              <w:left w:val="single" w:color="auto" w:sz="6" w:space="0"/>
              <w:bottom w:val="single" w:color="auto" w:sz="6" w:space="0"/>
              <w:right w:val="single" w:color="auto" w:sz="6" w:space="0"/>
            </w:tcBorders>
            <w:tcMar/>
            <w:hideMark/>
          </w:tcPr>
          <w:p w:rsidR="006A341A" w:rsidP="000264D6" w:rsidRDefault="006A341A" w14:paraId="232BAE96" w14:textId="77777777">
            <w:pPr>
              <w:textAlignment w:val="baseline"/>
              <w:rPr>
                <w:rFonts w:asciiTheme="minorHAnsi" w:hAnsiTheme="minorHAnsi" w:cstheme="minorHAnsi"/>
                <w:sz w:val="22"/>
                <w:szCs w:val="22"/>
              </w:rPr>
            </w:pPr>
          </w:p>
          <w:p w:rsidR="006A341A" w:rsidP="000264D6" w:rsidRDefault="006A341A" w14:paraId="6C1E96FA" w14:textId="77777777">
            <w:pPr>
              <w:textAlignment w:val="baseline"/>
              <w:rPr>
                <w:rFonts w:asciiTheme="minorHAnsi" w:hAnsiTheme="minorHAnsi" w:cstheme="minorHAnsi"/>
                <w:sz w:val="22"/>
                <w:szCs w:val="22"/>
              </w:rPr>
            </w:pPr>
          </w:p>
          <w:p w:rsidR="006A341A" w:rsidP="000264D6" w:rsidRDefault="006A341A" w14:paraId="24A0C452" w14:textId="77777777">
            <w:pPr>
              <w:textAlignment w:val="baseline"/>
              <w:rPr>
                <w:rFonts w:asciiTheme="minorHAnsi" w:hAnsiTheme="minorHAnsi" w:cstheme="minorHAnsi"/>
                <w:sz w:val="22"/>
                <w:szCs w:val="22"/>
              </w:rPr>
            </w:pPr>
          </w:p>
          <w:p w:rsidRPr="00BF73F3" w:rsidR="00944183" w:rsidP="000264D6" w:rsidRDefault="00E933C4" w14:paraId="24E646D9" w14:textId="7C9527C1">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During </w:t>
            </w:r>
            <w:r w:rsidR="00676CF2">
              <w:rPr>
                <w:rFonts w:asciiTheme="minorHAnsi" w:hAnsiTheme="minorHAnsi" w:cstheme="minorHAnsi"/>
                <w:sz w:val="22"/>
                <w:szCs w:val="22"/>
              </w:rPr>
              <w:t xml:space="preserve">the </w:t>
            </w:r>
            <w:r w:rsidRPr="00BF73F3">
              <w:rPr>
                <w:rFonts w:asciiTheme="minorHAnsi" w:hAnsiTheme="minorHAnsi" w:cstheme="minorHAnsi"/>
                <w:sz w:val="22"/>
                <w:szCs w:val="22"/>
              </w:rPr>
              <w:t>policy review, the EI Division specifically identified that the program</w:t>
            </w:r>
            <w:r w:rsidR="006A341A">
              <w:rPr>
                <w:rFonts w:asciiTheme="minorHAnsi" w:hAnsiTheme="minorHAnsi" w:cstheme="minorHAnsi"/>
                <w:sz w:val="22"/>
                <w:szCs w:val="22"/>
              </w:rPr>
              <w:t>’</w:t>
            </w:r>
            <w:r w:rsidRPr="00BF73F3">
              <w:rPr>
                <w:rFonts w:asciiTheme="minorHAnsi" w:hAnsiTheme="minorHAnsi" w:cstheme="minorHAnsi"/>
                <w:sz w:val="22"/>
                <w:szCs w:val="22"/>
              </w:rPr>
              <w:t xml:space="preserve">s policy did not include </w:t>
            </w:r>
            <w:r w:rsidRPr="00BF73F3" w:rsidR="00135CFD">
              <w:rPr>
                <w:rFonts w:asciiTheme="minorHAnsi" w:hAnsiTheme="minorHAnsi" w:cstheme="minorHAnsi"/>
                <w:sz w:val="22"/>
                <w:szCs w:val="22"/>
              </w:rPr>
              <w:t xml:space="preserve">detail of </w:t>
            </w:r>
            <w:r w:rsidRPr="00BF73F3" w:rsidR="00944183">
              <w:rPr>
                <w:rFonts w:asciiTheme="minorHAnsi" w:hAnsiTheme="minorHAnsi" w:cstheme="minorHAnsi"/>
                <w:sz w:val="22"/>
                <w:szCs w:val="22"/>
              </w:rPr>
              <w:t>b</w:t>
            </w:r>
            <w:r w:rsidRPr="00BF73F3" w:rsidR="00944183">
              <w:rPr>
                <w:rStyle w:val="normaltextrun"/>
                <w:rFonts w:asciiTheme="minorHAnsi" w:hAnsiTheme="minorHAnsi" w:cstheme="minorHAnsi"/>
                <w:sz w:val="22"/>
                <w:szCs w:val="22"/>
                <w:shd w:val="clear" w:color="auto" w:fill="FFFFFF"/>
              </w:rPr>
              <w:t>illing practices within the program and agency that follow insurers’ procedures and billing rules prior to submission to DPH as a payor of last resort</w:t>
            </w:r>
            <w:r w:rsidRPr="00BF73F3" w:rsidR="006A58E5">
              <w:rPr>
                <w:rStyle w:val="normaltextrun"/>
                <w:rFonts w:asciiTheme="minorHAnsi" w:hAnsiTheme="minorHAnsi" w:cstheme="minorHAnsi"/>
                <w:sz w:val="22"/>
                <w:szCs w:val="22"/>
                <w:shd w:val="clear" w:color="auto" w:fill="FFFFFF"/>
              </w:rPr>
              <w:t xml:space="preserve"> or confirmation of insurance plan options (including HSA’s)</w:t>
            </w:r>
            <w:r w:rsidR="00492FB1">
              <w:rPr>
                <w:rStyle w:val="normaltextrun"/>
                <w:rFonts w:asciiTheme="minorHAnsi" w:hAnsiTheme="minorHAnsi" w:cstheme="minorHAnsi"/>
                <w:sz w:val="22"/>
                <w:szCs w:val="22"/>
                <w:shd w:val="clear" w:color="auto" w:fill="FFFFFF"/>
              </w:rPr>
              <w:t>.</w:t>
            </w:r>
          </w:p>
          <w:p w:rsidRPr="00BF73F3" w:rsidR="00E933C4" w:rsidP="000264D6" w:rsidRDefault="00E933C4" w14:paraId="554CD083" w14:textId="77777777">
            <w:pPr>
              <w:textAlignment w:val="baseline"/>
              <w:rPr>
                <w:rFonts w:asciiTheme="minorHAnsi" w:hAnsiTheme="minorHAnsi" w:cstheme="minorHAnsi"/>
                <w:sz w:val="22"/>
                <w:szCs w:val="22"/>
              </w:rPr>
            </w:pPr>
          </w:p>
          <w:p w:rsidRPr="00BF73F3" w:rsidR="000264D6" w:rsidP="000264D6" w:rsidRDefault="000264D6" w14:paraId="0032BB99" w14:textId="19EA02D9">
            <w:pPr>
              <w:textAlignment w:val="baseline"/>
              <w:rPr>
                <w:rFonts w:asciiTheme="minorHAnsi" w:hAnsiTheme="minorHAnsi" w:cstheme="minorHAnsi"/>
                <w:sz w:val="22"/>
                <w:szCs w:val="22"/>
              </w:rPr>
            </w:pPr>
            <w:r w:rsidRPr="00BF73F3">
              <w:rPr>
                <w:rFonts w:asciiTheme="minorHAnsi" w:hAnsiTheme="minorHAnsi" w:cstheme="minorHAnsi"/>
                <w:sz w:val="22"/>
                <w:szCs w:val="22"/>
              </w:rPr>
              <w:t xml:space="preserve">During record reviews, the EI Division found that the program did not consistently meet the </w:t>
            </w:r>
            <w:r w:rsidRPr="00BF73F3" w:rsidR="006B62CC">
              <w:rPr>
                <w:rFonts w:asciiTheme="minorHAnsi" w:hAnsiTheme="minorHAnsi" w:cstheme="minorHAnsi"/>
                <w:sz w:val="22"/>
                <w:szCs w:val="22"/>
              </w:rPr>
              <w:t>requirement of claims matching the progress notes</w:t>
            </w:r>
            <w:r w:rsidRPr="00BF73F3">
              <w:rPr>
                <w:rFonts w:asciiTheme="minorHAnsi" w:hAnsiTheme="minorHAnsi" w:cstheme="minorHAnsi"/>
                <w:sz w:val="22"/>
                <w:szCs w:val="22"/>
              </w:rPr>
              <w:t xml:space="preserve">. The EI </w:t>
            </w:r>
            <w:r w:rsidR="00B52F60">
              <w:rPr>
                <w:rFonts w:asciiTheme="minorHAnsi" w:hAnsiTheme="minorHAnsi" w:cstheme="minorHAnsi"/>
                <w:sz w:val="22"/>
                <w:szCs w:val="22"/>
              </w:rPr>
              <w:t>D</w:t>
            </w:r>
            <w:r w:rsidRPr="00BF73F3">
              <w:rPr>
                <w:rFonts w:asciiTheme="minorHAnsi" w:hAnsiTheme="minorHAnsi" w:cstheme="minorHAnsi"/>
                <w:sz w:val="22"/>
                <w:szCs w:val="22"/>
              </w:rPr>
              <w:t xml:space="preserve">ivision reviewed a total of </w:t>
            </w:r>
            <w:r w:rsidRPr="00BF73F3" w:rsidR="00E933C4">
              <w:rPr>
                <w:rFonts w:asciiTheme="minorHAnsi" w:hAnsiTheme="minorHAnsi" w:cstheme="minorHAnsi"/>
                <w:sz w:val="22"/>
                <w:szCs w:val="22"/>
              </w:rPr>
              <w:t>10</w:t>
            </w:r>
            <w:r w:rsidRPr="00BF73F3">
              <w:rPr>
                <w:rFonts w:asciiTheme="minorHAnsi" w:hAnsiTheme="minorHAnsi" w:cstheme="minorHAnsi"/>
                <w:sz w:val="22"/>
                <w:szCs w:val="22"/>
              </w:rPr>
              <w:t xml:space="preserve"> child records for satisfactory demonstration </w:t>
            </w:r>
            <w:r w:rsidRPr="00BF73F3" w:rsidR="00E933C4">
              <w:rPr>
                <w:rFonts w:asciiTheme="minorHAnsi" w:hAnsiTheme="minorHAnsi" w:cstheme="minorHAnsi"/>
                <w:sz w:val="22"/>
                <w:szCs w:val="22"/>
              </w:rPr>
              <w:t>(100</w:t>
            </w:r>
            <w:r w:rsidRPr="00BF73F3">
              <w:rPr>
                <w:rFonts w:asciiTheme="minorHAnsi" w:hAnsiTheme="minorHAnsi" w:cstheme="minorHAnsi"/>
                <w:sz w:val="22"/>
                <w:szCs w:val="22"/>
              </w:rPr>
              <w:t xml:space="preserve">%). A total of </w:t>
            </w:r>
            <w:r w:rsidR="007C3742">
              <w:rPr>
                <w:rFonts w:asciiTheme="minorHAnsi" w:hAnsiTheme="minorHAnsi" w:cstheme="minorHAnsi"/>
                <w:sz w:val="22"/>
                <w:szCs w:val="22"/>
              </w:rPr>
              <w:t>8</w:t>
            </w:r>
            <w:r w:rsidRPr="00BF73F3" w:rsidR="00E933C4">
              <w:rPr>
                <w:rFonts w:asciiTheme="minorHAnsi" w:hAnsiTheme="minorHAnsi" w:cstheme="minorHAnsi"/>
                <w:sz w:val="22"/>
                <w:szCs w:val="22"/>
              </w:rPr>
              <w:t>/10</w:t>
            </w:r>
            <w:r w:rsidRPr="00BF73F3">
              <w:rPr>
                <w:rFonts w:asciiTheme="minorHAnsi" w:hAnsiTheme="minorHAnsi" w:cstheme="minorHAnsi"/>
                <w:sz w:val="22"/>
                <w:szCs w:val="22"/>
              </w:rPr>
              <w:t xml:space="preserve"> of these records</w:t>
            </w:r>
            <w:r w:rsidRPr="00BF73F3" w:rsidR="00E933C4">
              <w:rPr>
                <w:rFonts w:asciiTheme="minorHAnsi" w:hAnsiTheme="minorHAnsi" w:cstheme="minorHAnsi"/>
                <w:sz w:val="22"/>
                <w:szCs w:val="22"/>
              </w:rPr>
              <w:t xml:space="preserve"> </w:t>
            </w:r>
            <w:r w:rsidRPr="00BF73F3">
              <w:rPr>
                <w:rFonts w:asciiTheme="minorHAnsi" w:hAnsiTheme="minorHAnsi" w:cstheme="minorHAnsi"/>
                <w:sz w:val="22"/>
                <w:szCs w:val="22"/>
              </w:rPr>
              <w:t>demonstrated that the program did not complete the requirement.  </w:t>
            </w:r>
          </w:p>
          <w:p w:rsidRPr="00BF73F3" w:rsidR="000264D6" w:rsidP="000264D6" w:rsidRDefault="000264D6" w14:paraId="51044122" w14:textId="3E8AC55D">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p w:rsidRPr="00BF73F3" w:rsidR="000264D6" w:rsidP="000264D6" w:rsidRDefault="000264D6" w14:paraId="2028E17B" w14:textId="4BA86675">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p w:rsidRPr="00BF73F3" w:rsidR="000264D6" w:rsidP="000264D6" w:rsidRDefault="000264D6" w14:paraId="5B5EF81C"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tcMar/>
            <w:hideMark/>
          </w:tcPr>
          <w:p w:rsidR="00492FB1" w:rsidP="000264D6" w:rsidRDefault="00492FB1" w14:paraId="29F2F585" w14:textId="77777777">
            <w:pPr>
              <w:textAlignment w:val="baseline"/>
              <w:rPr>
                <w:rFonts w:asciiTheme="minorHAnsi" w:hAnsiTheme="minorHAnsi" w:cstheme="minorHAnsi"/>
                <w:sz w:val="22"/>
                <w:szCs w:val="22"/>
              </w:rPr>
            </w:pPr>
          </w:p>
          <w:p w:rsidR="00492FB1" w:rsidP="000264D6" w:rsidRDefault="00492FB1" w14:paraId="7E5754EA" w14:textId="77777777">
            <w:pPr>
              <w:textAlignment w:val="baseline"/>
              <w:rPr>
                <w:rFonts w:asciiTheme="minorHAnsi" w:hAnsiTheme="minorHAnsi" w:cstheme="minorHAnsi"/>
                <w:sz w:val="22"/>
                <w:szCs w:val="22"/>
              </w:rPr>
            </w:pPr>
          </w:p>
          <w:p w:rsidR="00492FB1" w:rsidP="000264D6" w:rsidRDefault="00492FB1" w14:paraId="2072757A" w14:textId="77777777">
            <w:pPr>
              <w:textAlignment w:val="baseline"/>
              <w:rPr>
                <w:rFonts w:asciiTheme="minorHAnsi" w:hAnsiTheme="minorHAnsi" w:cstheme="minorHAnsi"/>
                <w:sz w:val="22"/>
                <w:szCs w:val="22"/>
              </w:rPr>
            </w:pPr>
          </w:p>
          <w:p w:rsidRPr="00BF73F3" w:rsidR="000264D6" w:rsidP="000264D6" w:rsidRDefault="000264D6" w14:paraId="65612E80" w14:textId="3E5F766C">
            <w:pPr>
              <w:textAlignment w:val="baseline"/>
              <w:rPr>
                <w:rFonts w:asciiTheme="minorHAnsi" w:hAnsiTheme="minorHAnsi" w:cstheme="minorHAnsi"/>
                <w:sz w:val="22"/>
                <w:szCs w:val="22"/>
              </w:rPr>
            </w:pPr>
            <w:r w:rsidRPr="00BF73F3">
              <w:rPr>
                <w:rFonts w:asciiTheme="minorHAnsi" w:hAnsiTheme="minorHAnsi" w:cstheme="minorHAnsi"/>
                <w:sz w:val="22"/>
                <w:szCs w:val="22"/>
              </w:rPr>
              <w:t>The EI Division</w:t>
            </w:r>
            <w:r w:rsidR="00166D9D">
              <w:rPr>
                <w:rFonts w:asciiTheme="minorHAnsi" w:hAnsiTheme="minorHAnsi" w:cstheme="minorHAnsi"/>
                <w:sz w:val="22"/>
                <w:szCs w:val="22"/>
              </w:rPr>
              <w:t>’</w:t>
            </w:r>
            <w:r w:rsidRPr="00BF73F3">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w:t>
            </w:r>
          </w:p>
          <w:p w:rsidRPr="00BF73F3" w:rsidR="000264D6" w:rsidP="000264D6" w:rsidRDefault="000264D6" w14:paraId="5C41C6A8"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p w:rsidRPr="00BF73F3" w:rsidR="00233492" w:rsidP="00233492" w:rsidRDefault="0029572B" w14:paraId="7C20975F" w14:textId="658FA16D">
            <w:pPr>
              <w:textAlignment w:val="baseline"/>
              <w:rPr>
                <w:rFonts w:asciiTheme="minorHAnsi" w:hAnsiTheme="minorHAnsi" w:cstheme="minorHAnsi"/>
                <w:sz w:val="22"/>
                <w:szCs w:val="22"/>
              </w:rPr>
            </w:pPr>
            <w:r>
              <w:rPr>
                <w:rFonts w:asciiTheme="minorHAnsi" w:hAnsiTheme="minorHAnsi" w:cstheme="minorHAnsi"/>
                <w:sz w:val="22"/>
                <w:szCs w:val="22"/>
              </w:rPr>
              <w:t>5</w:t>
            </w:r>
            <w:r w:rsidRPr="00BF73F3" w:rsidR="00233492">
              <w:rPr>
                <w:rFonts w:asciiTheme="minorHAnsi" w:hAnsiTheme="minorHAnsi" w:cstheme="minorHAnsi"/>
                <w:sz w:val="22"/>
                <w:szCs w:val="22"/>
              </w:rPr>
              <w:t xml:space="preserve">.1 The EI Division finds that the EIS program has not established policies and procedures to ensure appropriate demonstration of </w:t>
            </w:r>
            <w:r w:rsidR="00B541F5">
              <w:rPr>
                <w:rFonts w:asciiTheme="minorHAnsi" w:hAnsiTheme="minorHAnsi" w:cstheme="minorHAnsi"/>
                <w:sz w:val="22"/>
                <w:szCs w:val="22"/>
              </w:rPr>
              <w:t xml:space="preserve">and adherence to </w:t>
            </w:r>
            <w:r w:rsidRPr="00BF73F3" w:rsidR="00233492">
              <w:rPr>
                <w:rFonts w:asciiTheme="minorHAnsi" w:hAnsiTheme="minorHAnsi" w:cstheme="minorHAnsi"/>
                <w:sz w:val="22"/>
                <w:szCs w:val="22"/>
              </w:rPr>
              <w:t xml:space="preserve">all components of billing insurance claims including accurate submission of encounter claims as required under </w:t>
            </w:r>
            <w:r w:rsidRPr="00BF73F3" w:rsidR="00233492">
              <w:rPr>
                <w:rFonts w:eastAsia="Calibri" w:asciiTheme="minorHAnsi" w:hAnsiTheme="minorHAnsi" w:cstheme="minorHAnsi"/>
                <w:sz w:val="22"/>
                <w:szCs w:val="22"/>
              </w:rPr>
              <w:t xml:space="preserve">34 CFR </w:t>
            </w:r>
            <w:r w:rsidRPr="00BF73F3" w:rsidR="00233492">
              <w:rPr>
                <w:rFonts w:asciiTheme="minorHAnsi" w:hAnsiTheme="minorHAnsi" w:eastAsiaTheme="minorEastAsia" w:cstheme="minorHAnsi"/>
                <w:sz w:val="22"/>
                <w:szCs w:val="22"/>
              </w:rPr>
              <w:t>§</w:t>
            </w:r>
            <w:r w:rsidRPr="00BF73F3" w:rsidR="00233492">
              <w:rPr>
                <w:rFonts w:eastAsia="Calibri" w:asciiTheme="minorHAnsi" w:hAnsiTheme="minorHAnsi" w:cstheme="minorHAnsi"/>
                <w:sz w:val="22"/>
                <w:szCs w:val="22"/>
              </w:rPr>
              <w:t>303.510(a) and</w:t>
            </w:r>
            <w:r w:rsidRPr="00BF73F3" w:rsidR="00233492">
              <w:rPr>
                <w:rFonts w:asciiTheme="minorHAnsi" w:hAnsiTheme="minorHAnsi" w:cstheme="minorHAnsi"/>
                <w:sz w:val="22"/>
                <w:szCs w:val="22"/>
              </w:rPr>
              <w:t xml:space="preserve"> DPH EI Reimbursement Manual Pages 8-12.</w:t>
            </w:r>
          </w:p>
          <w:p w:rsidRPr="00BF73F3" w:rsidR="00233492" w:rsidP="000264D6" w:rsidRDefault="00233492" w14:paraId="62053073" w14:textId="77777777">
            <w:pPr>
              <w:textAlignment w:val="baseline"/>
              <w:rPr>
                <w:rFonts w:asciiTheme="minorHAnsi" w:hAnsiTheme="minorHAnsi" w:cstheme="minorHAnsi"/>
                <w:sz w:val="22"/>
                <w:szCs w:val="22"/>
              </w:rPr>
            </w:pPr>
          </w:p>
          <w:p w:rsidRPr="00BF73F3" w:rsidR="000264D6" w:rsidP="000264D6" w:rsidRDefault="000264D6" w14:paraId="556A240C"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tcMar/>
            <w:hideMark/>
          </w:tcPr>
          <w:p w:rsidR="00D962FA" w:rsidP="000264D6" w:rsidRDefault="00D962FA" w14:paraId="6E349F40" w14:textId="77777777">
            <w:pPr>
              <w:textAlignment w:val="baseline"/>
              <w:rPr>
                <w:rFonts w:asciiTheme="minorHAnsi" w:hAnsiTheme="minorHAnsi" w:cstheme="minorHAnsi"/>
                <w:sz w:val="22"/>
                <w:szCs w:val="22"/>
              </w:rPr>
            </w:pPr>
          </w:p>
          <w:p w:rsidR="00D962FA" w:rsidP="000264D6" w:rsidRDefault="00D962FA" w14:paraId="67C4B42B" w14:textId="77777777">
            <w:pPr>
              <w:textAlignment w:val="baseline"/>
              <w:rPr>
                <w:rFonts w:asciiTheme="minorHAnsi" w:hAnsiTheme="minorHAnsi" w:cstheme="minorHAnsi"/>
                <w:sz w:val="22"/>
                <w:szCs w:val="22"/>
              </w:rPr>
            </w:pPr>
          </w:p>
          <w:p w:rsidR="00D962FA" w:rsidP="000264D6" w:rsidRDefault="00D962FA" w14:paraId="550B2ABB" w14:textId="77777777">
            <w:pPr>
              <w:textAlignment w:val="baseline"/>
              <w:rPr>
                <w:rFonts w:asciiTheme="minorHAnsi" w:hAnsiTheme="minorHAnsi" w:cstheme="minorHAnsi"/>
                <w:sz w:val="22"/>
                <w:szCs w:val="22"/>
              </w:rPr>
            </w:pPr>
          </w:p>
          <w:p w:rsidRPr="00BF73F3" w:rsidR="000264D6" w:rsidP="000264D6" w:rsidRDefault="000264D6" w14:paraId="63F5B1CE" w14:textId="4DAFB395">
            <w:pPr>
              <w:textAlignment w:val="baseline"/>
              <w:rPr>
                <w:rFonts w:asciiTheme="minorHAnsi" w:hAnsiTheme="minorHAnsi" w:cstheme="minorHAnsi"/>
                <w:sz w:val="22"/>
                <w:szCs w:val="22"/>
              </w:rPr>
            </w:pPr>
            <w:r w:rsidRPr="00BF73F3">
              <w:rPr>
                <w:rFonts w:asciiTheme="minorHAnsi" w:hAnsiTheme="minorHAnsi" w:cstheme="minorHAnsi"/>
                <w:sz w:val="22"/>
                <w:szCs w:val="22"/>
              </w:rPr>
              <w:t>Policies and procedures— </w:t>
            </w:r>
          </w:p>
          <w:p w:rsidRPr="00BF73F3" w:rsidR="000264D6" w:rsidP="000264D6" w:rsidRDefault="000264D6" w14:paraId="63B316AF"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within 90 days of the date of this monitoring report the program must submit to the EI Division: </w:t>
            </w:r>
          </w:p>
          <w:p w:rsidRPr="00BF73F3" w:rsidR="000264D6" w:rsidP="00327D75" w:rsidRDefault="004F5749" w14:paraId="687A1229" w14:textId="261A6B05">
            <w:pPr>
              <w:pStyle w:val="ListParagraph"/>
              <w:textAlignment w:val="baseline"/>
              <w:rPr>
                <w:rFonts w:asciiTheme="minorHAnsi" w:hAnsiTheme="minorHAnsi" w:cstheme="minorHAnsi"/>
                <w:sz w:val="22"/>
                <w:szCs w:val="22"/>
              </w:rPr>
            </w:pPr>
            <w:r>
              <w:rPr>
                <w:rFonts w:asciiTheme="minorHAnsi" w:hAnsiTheme="minorHAnsi" w:cstheme="minorHAnsi"/>
                <w:sz w:val="22"/>
                <w:szCs w:val="22"/>
              </w:rPr>
              <w:t xml:space="preserve">1. </w:t>
            </w:r>
            <w:r w:rsidRPr="00BF73F3" w:rsidR="000264D6">
              <w:rPr>
                <w:rFonts w:asciiTheme="minorHAnsi" w:hAnsiTheme="minorHAnsi" w:cstheme="minorHAnsi"/>
                <w:sz w:val="22"/>
                <w:szCs w:val="22"/>
              </w:rPr>
              <w:t xml:space="preserve">Policies and procedures documenting the program’s process for </w:t>
            </w:r>
            <w:r w:rsidRPr="00BF73F3" w:rsidR="006E1665">
              <w:rPr>
                <w:rFonts w:asciiTheme="minorHAnsi" w:hAnsiTheme="minorHAnsi" w:cstheme="minorHAnsi"/>
                <w:sz w:val="22"/>
                <w:szCs w:val="22"/>
              </w:rPr>
              <w:t>following insurers</w:t>
            </w:r>
            <w:r w:rsidR="00043B16">
              <w:rPr>
                <w:rFonts w:asciiTheme="minorHAnsi" w:hAnsiTheme="minorHAnsi" w:cstheme="minorHAnsi"/>
                <w:sz w:val="22"/>
                <w:szCs w:val="22"/>
              </w:rPr>
              <w:t>’</w:t>
            </w:r>
            <w:r w:rsidRPr="00BF73F3" w:rsidR="006E1665">
              <w:rPr>
                <w:rFonts w:asciiTheme="minorHAnsi" w:hAnsiTheme="minorHAnsi" w:cstheme="minorHAnsi"/>
                <w:sz w:val="22"/>
                <w:szCs w:val="22"/>
              </w:rPr>
              <w:t xml:space="preserve"> procedures and rules prior </w:t>
            </w:r>
            <w:r w:rsidR="00D962FA">
              <w:rPr>
                <w:rFonts w:asciiTheme="minorHAnsi" w:hAnsiTheme="minorHAnsi" w:cstheme="minorHAnsi"/>
                <w:sz w:val="22"/>
                <w:szCs w:val="22"/>
              </w:rPr>
              <w:t>to</w:t>
            </w:r>
            <w:r w:rsidRPr="00BF73F3" w:rsidR="00D962FA">
              <w:rPr>
                <w:rFonts w:asciiTheme="minorHAnsi" w:hAnsiTheme="minorHAnsi" w:cstheme="minorHAnsi"/>
                <w:sz w:val="22"/>
                <w:szCs w:val="22"/>
              </w:rPr>
              <w:t xml:space="preserve"> </w:t>
            </w:r>
            <w:r w:rsidRPr="00BF73F3" w:rsidR="006E1665">
              <w:rPr>
                <w:rFonts w:asciiTheme="minorHAnsi" w:hAnsiTheme="minorHAnsi" w:cstheme="minorHAnsi"/>
                <w:sz w:val="22"/>
                <w:szCs w:val="22"/>
              </w:rPr>
              <w:t>submitting to DPH as payor of last resort</w:t>
            </w:r>
            <w:r w:rsidRPr="00BF73F3" w:rsidR="00035FDE">
              <w:rPr>
                <w:rFonts w:asciiTheme="minorHAnsi" w:hAnsiTheme="minorHAnsi" w:cstheme="minorHAnsi"/>
                <w:sz w:val="22"/>
                <w:szCs w:val="22"/>
              </w:rPr>
              <w:t xml:space="preserve"> and confirmation of insurance plan options</w:t>
            </w:r>
            <w:r w:rsidRPr="00BF73F3" w:rsidR="000264D6">
              <w:rPr>
                <w:rFonts w:asciiTheme="minorHAnsi" w:hAnsiTheme="minorHAnsi" w:cstheme="minorHAnsi"/>
                <w:sz w:val="22"/>
                <w:szCs w:val="22"/>
              </w:rPr>
              <w:t xml:space="preserve">. The policies and procedures must ensure that the program’s process is reasonably designed as required by </w:t>
            </w:r>
            <w:r w:rsidRPr="00BF73F3" w:rsidR="00BF73F3">
              <w:rPr>
                <w:rFonts w:asciiTheme="minorHAnsi" w:hAnsiTheme="minorHAnsi" w:cstheme="minorHAnsi"/>
                <w:sz w:val="22"/>
                <w:szCs w:val="22"/>
              </w:rPr>
              <w:t>34 CFR §303.510(a) and DPH EI Reimbursement Manual Pages 8-12.</w:t>
            </w:r>
          </w:p>
          <w:p w:rsidR="000D691D" w:rsidP="00327D75" w:rsidRDefault="000264D6" w14:paraId="6867609E" w14:textId="77777777">
            <w:pPr>
              <w:textAlignment w:val="baseline"/>
              <w:rPr>
                <w:rFonts w:asciiTheme="minorHAnsi" w:hAnsiTheme="minorHAnsi" w:cstheme="minorHAnsi"/>
                <w:sz w:val="22"/>
                <w:szCs w:val="22"/>
              </w:rPr>
            </w:pPr>
            <w:r w:rsidRPr="00BF73F3">
              <w:rPr>
                <w:rFonts w:asciiTheme="minorHAnsi" w:hAnsiTheme="minorHAnsi" w:cstheme="minorHAnsi"/>
                <w:sz w:val="22"/>
                <w:szCs w:val="22"/>
              </w:rPr>
              <w:t>Evidence of implementation— as soon as possible, but no later than one year from the date of this monitoring report, the program must demonstrate to the EI Division: </w:t>
            </w:r>
          </w:p>
          <w:p w:rsidRPr="00BF73F3" w:rsidR="000264D6" w:rsidP="00327D75" w:rsidRDefault="004F5749" w14:paraId="5B5D9E01" w14:textId="3E088872">
            <w:pPr>
              <w:textAlignment w:val="baseline"/>
              <w:rPr>
                <w:rFonts w:asciiTheme="minorHAnsi" w:hAnsiTheme="minorHAnsi" w:cstheme="minorHAnsi"/>
                <w:sz w:val="22"/>
                <w:szCs w:val="22"/>
              </w:rPr>
            </w:pPr>
            <w:r>
              <w:rPr>
                <w:rFonts w:asciiTheme="minorHAnsi" w:hAnsiTheme="minorHAnsi" w:cstheme="minorHAnsi"/>
                <w:sz w:val="22"/>
                <w:szCs w:val="22"/>
              </w:rPr>
              <w:t xml:space="preserve">2. </w:t>
            </w:r>
            <w:r w:rsidRPr="00BF73F3" w:rsidR="000264D6">
              <w:rPr>
                <w:rFonts w:asciiTheme="minorHAnsi" w:hAnsiTheme="minorHAnsi" w:cstheme="minorHAnsi"/>
                <w:sz w:val="22"/>
                <w:szCs w:val="22"/>
              </w:rPr>
              <w:t xml:space="preserve">Demonstration of </w:t>
            </w:r>
            <w:r w:rsidRPr="00BF73F3" w:rsidR="00035FDE">
              <w:rPr>
                <w:rFonts w:asciiTheme="minorHAnsi" w:hAnsiTheme="minorHAnsi" w:cstheme="minorHAnsi"/>
                <w:sz w:val="22"/>
                <w:szCs w:val="22"/>
              </w:rPr>
              <w:t>100</w:t>
            </w:r>
            <w:r w:rsidRPr="00BF73F3" w:rsidR="000264D6">
              <w:rPr>
                <w:rFonts w:asciiTheme="minorHAnsi" w:hAnsiTheme="minorHAnsi" w:cstheme="minorHAnsi"/>
                <w:sz w:val="22"/>
                <w:szCs w:val="22"/>
              </w:rPr>
              <w:t>%</w:t>
            </w:r>
            <w:r w:rsidRPr="00BF73F3" w:rsidR="00035FDE">
              <w:rPr>
                <w:rFonts w:asciiTheme="minorHAnsi" w:hAnsiTheme="minorHAnsi" w:cstheme="minorHAnsi"/>
                <w:sz w:val="22"/>
                <w:szCs w:val="22"/>
              </w:rPr>
              <w:t xml:space="preserve"> </w:t>
            </w:r>
            <w:r w:rsidR="00CC5582">
              <w:rPr>
                <w:rFonts w:asciiTheme="minorHAnsi" w:hAnsiTheme="minorHAnsi" w:cstheme="minorHAnsi"/>
                <w:sz w:val="22"/>
                <w:szCs w:val="22"/>
              </w:rPr>
              <w:t xml:space="preserve">accurate claim submission </w:t>
            </w:r>
            <w:r w:rsidRPr="00BF73F3" w:rsidR="000264D6">
              <w:rPr>
                <w:rFonts w:asciiTheme="minorHAnsi" w:hAnsiTheme="minorHAnsi" w:cstheme="minorHAnsi"/>
                <w:sz w:val="22"/>
                <w:szCs w:val="22"/>
              </w:rPr>
              <w:t xml:space="preserve">as evidenced by </w:t>
            </w:r>
            <w:r w:rsidRPr="00BF73F3" w:rsidR="000264D6">
              <w:rPr>
                <w:rFonts w:asciiTheme="minorHAnsi" w:hAnsiTheme="minorHAnsi" w:cstheme="minorHAnsi"/>
                <w:sz w:val="22"/>
                <w:szCs w:val="22"/>
              </w:rPr>
              <w:t>the EI Division</w:t>
            </w:r>
            <w:r w:rsidR="00CC5582">
              <w:rPr>
                <w:rFonts w:asciiTheme="minorHAnsi" w:hAnsiTheme="minorHAnsi" w:cstheme="minorHAnsi"/>
                <w:sz w:val="22"/>
                <w:szCs w:val="22"/>
              </w:rPr>
              <w:t>’</w:t>
            </w:r>
            <w:r w:rsidRPr="00BF73F3" w:rsidR="000264D6">
              <w:rPr>
                <w:rFonts w:asciiTheme="minorHAnsi" w:hAnsiTheme="minorHAnsi" w:cstheme="minorHAnsi"/>
                <w:sz w:val="22"/>
                <w:szCs w:val="22"/>
              </w:rPr>
              <w:t>s review of subsequent records.  </w:t>
            </w:r>
          </w:p>
          <w:p w:rsidRPr="00BF73F3" w:rsidR="000264D6" w:rsidP="00331866" w:rsidRDefault="000264D6" w14:paraId="318384B3" w14:textId="75B9FC50">
            <w:pPr>
              <w:ind w:left="720"/>
              <w:textAlignment w:val="baseline"/>
              <w:rPr>
                <w:rFonts w:asciiTheme="minorHAnsi" w:hAnsiTheme="minorHAnsi" w:cstheme="minorHAnsi"/>
                <w:sz w:val="22"/>
                <w:szCs w:val="22"/>
              </w:rPr>
            </w:pPr>
          </w:p>
        </w:tc>
      </w:tr>
    </w:tbl>
    <w:p w:rsidRPr="00BF73F3" w:rsidR="08342302" w:rsidP="007913DD" w:rsidRDefault="08342302" w14:paraId="11F0D1C7" w14:textId="0BBC1CEA">
      <w:pPr>
        <w:rPr>
          <w:rFonts w:asciiTheme="minorHAnsi" w:hAnsiTheme="minorHAnsi" w:cstheme="minorBidi"/>
          <w:sz w:val="22"/>
          <w:szCs w:val="22"/>
        </w:rPr>
      </w:pPr>
    </w:p>
    <w:sectPr w:rsidRPr="00BF73F3" w:rsidR="08342302" w:rsidSect="009E1737">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119"/>
    <w:multiLevelType w:val="multilevel"/>
    <w:tmpl w:val="3512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A2612"/>
    <w:multiLevelType w:val="multilevel"/>
    <w:tmpl w:val="856E4A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14988"/>
    <w:multiLevelType w:val="multilevel"/>
    <w:tmpl w:val="5686B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006228"/>
    <w:multiLevelType w:val="multilevel"/>
    <w:tmpl w:val="B5CE3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3467C"/>
    <w:multiLevelType w:val="multilevel"/>
    <w:tmpl w:val="7DD02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75C27"/>
    <w:multiLevelType w:val="multilevel"/>
    <w:tmpl w:val="FFE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456E8"/>
    <w:multiLevelType w:val="hybridMultilevel"/>
    <w:tmpl w:val="80E0769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DF43F38"/>
    <w:multiLevelType w:val="multilevel"/>
    <w:tmpl w:val="10CCB2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E50D5"/>
    <w:multiLevelType w:val="multilevel"/>
    <w:tmpl w:val="7048F93A"/>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259922EE"/>
    <w:multiLevelType w:val="multilevel"/>
    <w:tmpl w:val="87A2FB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730CF"/>
    <w:multiLevelType w:val="hybridMultilevel"/>
    <w:tmpl w:val="69AA164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282F4530"/>
    <w:multiLevelType w:val="multilevel"/>
    <w:tmpl w:val="3512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5F7EE2"/>
    <w:multiLevelType w:val="multilevel"/>
    <w:tmpl w:val="CD746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43A63"/>
    <w:multiLevelType w:val="multilevel"/>
    <w:tmpl w:val="649040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F1D18"/>
    <w:multiLevelType w:val="multilevel"/>
    <w:tmpl w:val="C81A2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024F5"/>
    <w:multiLevelType w:val="multilevel"/>
    <w:tmpl w:val="F75E9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8B5778"/>
    <w:multiLevelType w:val="hybridMultilevel"/>
    <w:tmpl w:val="80E077C0"/>
    <w:lvl w:ilvl="0" w:tplc="394A52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33E1"/>
    <w:multiLevelType w:val="multilevel"/>
    <w:tmpl w:val="FFE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9D2B9D"/>
    <w:multiLevelType w:val="multilevel"/>
    <w:tmpl w:val="DE84FD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974F6"/>
    <w:multiLevelType w:val="multilevel"/>
    <w:tmpl w:val="8A0C95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33E2D"/>
    <w:multiLevelType w:val="hybridMultilevel"/>
    <w:tmpl w:val="9160A25C"/>
    <w:lvl w:ilvl="0" w:tplc="382A2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8E43F9"/>
    <w:multiLevelType w:val="hybridMultilevel"/>
    <w:tmpl w:val="E048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840D8"/>
    <w:multiLevelType w:val="multilevel"/>
    <w:tmpl w:val="7DD02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959F3"/>
    <w:multiLevelType w:val="multilevel"/>
    <w:tmpl w:val="FFD4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A2DC5"/>
    <w:multiLevelType w:val="multilevel"/>
    <w:tmpl w:val="F75E9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E76C5"/>
    <w:multiLevelType w:val="multilevel"/>
    <w:tmpl w:val="516AB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137E75"/>
    <w:multiLevelType w:val="multilevel"/>
    <w:tmpl w:val="549436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42467"/>
    <w:multiLevelType w:val="multilevel"/>
    <w:tmpl w:val="FFE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741DFD"/>
    <w:multiLevelType w:val="multilevel"/>
    <w:tmpl w:val="3774B4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F70F26"/>
    <w:multiLevelType w:val="hybridMultilevel"/>
    <w:tmpl w:val="72FED93A"/>
    <w:lvl w:ilvl="0" w:tplc="0409000F">
      <w:start w:val="1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1" w15:restartNumberingAfterBreak="0">
    <w:nsid w:val="640B3D2C"/>
    <w:multiLevelType w:val="multilevel"/>
    <w:tmpl w:val="45EA8450"/>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779533C"/>
    <w:multiLevelType w:val="multilevel"/>
    <w:tmpl w:val="E402A2EE"/>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3" w15:restartNumberingAfterBreak="0">
    <w:nsid w:val="6BF8556C"/>
    <w:multiLevelType w:val="hybridMultilevel"/>
    <w:tmpl w:val="FD08B232"/>
    <w:lvl w:ilvl="0" w:tplc="729EB0E6">
      <w:start w:val="1"/>
      <w:numFmt w:val="decimal"/>
      <w:lvlText w:val="%1."/>
      <w:lvlJc w:val="left"/>
      <w:pPr>
        <w:ind w:left="720" w:hanging="360"/>
      </w:pPr>
      <w:rPr>
        <w:rFonts w:hint="default" w:ascii="Calibri" w:hAnsi="Calibri" w:cs="Calibr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3009E"/>
    <w:multiLevelType w:val="multilevel"/>
    <w:tmpl w:val="C5D064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6" w15:restartNumberingAfterBreak="0">
    <w:nsid w:val="7B820977"/>
    <w:multiLevelType w:val="multilevel"/>
    <w:tmpl w:val="814E0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090569">
    <w:abstractNumId w:val="35"/>
  </w:num>
  <w:num w:numId="2" w16cid:durableId="139881721">
    <w:abstractNumId w:val="30"/>
  </w:num>
  <w:num w:numId="3" w16cid:durableId="372967253">
    <w:abstractNumId w:val="17"/>
  </w:num>
  <w:num w:numId="4" w16cid:durableId="868834867">
    <w:abstractNumId w:val="0"/>
  </w:num>
  <w:num w:numId="5" w16cid:durableId="1716735682">
    <w:abstractNumId w:val="4"/>
  </w:num>
  <w:num w:numId="6" w16cid:durableId="428934961">
    <w:abstractNumId w:val="12"/>
  </w:num>
  <w:num w:numId="7" w16cid:durableId="679821928">
    <w:abstractNumId w:val="3"/>
  </w:num>
  <w:num w:numId="8" w16cid:durableId="2140492867">
    <w:abstractNumId w:val="23"/>
  </w:num>
  <w:num w:numId="9" w16cid:durableId="273947805">
    <w:abstractNumId w:val="25"/>
  </w:num>
  <w:num w:numId="10" w16cid:durableId="1839729272">
    <w:abstractNumId w:val="36"/>
  </w:num>
  <w:num w:numId="11" w16cid:durableId="1223175231">
    <w:abstractNumId w:val="18"/>
  </w:num>
  <w:num w:numId="12" w16cid:durableId="1706902912">
    <w:abstractNumId w:val="14"/>
  </w:num>
  <w:num w:numId="13" w16cid:durableId="2083603991">
    <w:abstractNumId w:val="9"/>
  </w:num>
  <w:num w:numId="14" w16cid:durableId="1328316033">
    <w:abstractNumId w:val="15"/>
  </w:num>
  <w:num w:numId="15" w16cid:durableId="2113432989">
    <w:abstractNumId w:val="28"/>
  </w:num>
  <w:num w:numId="16" w16cid:durableId="1559895732">
    <w:abstractNumId w:val="19"/>
  </w:num>
  <w:num w:numId="17" w16cid:durableId="1886408868">
    <w:abstractNumId w:val="7"/>
  </w:num>
  <w:num w:numId="18" w16cid:durableId="1761247141">
    <w:abstractNumId w:val="26"/>
  </w:num>
  <w:num w:numId="19" w16cid:durableId="1467770797">
    <w:abstractNumId w:val="34"/>
  </w:num>
  <w:num w:numId="20" w16cid:durableId="1582639654">
    <w:abstractNumId w:val="1"/>
  </w:num>
  <w:num w:numId="21" w16cid:durableId="2011911091">
    <w:abstractNumId w:val="13"/>
  </w:num>
  <w:num w:numId="22" w16cid:durableId="1501503002">
    <w:abstractNumId w:val="8"/>
  </w:num>
  <w:num w:numId="23" w16cid:durableId="58066144">
    <w:abstractNumId w:val="10"/>
  </w:num>
  <w:num w:numId="24" w16cid:durableId="1982342063">
    <w:abstractNumId w:val="6"/>
  </w:num>
  <w:num w:numId="25" w16cid:durableId="219368281">
    <w:abstractNumId w:val="32"/>
  </w:num>
  <w:num w:numId="26" w16cid:durableId="1645815435">
    <w:abstractNumId w:val="21"/>
  </w:num>
  <w:num w:numId="27" w16cid:durableId="1473987095">
    <w:abstractNumId w:val="2"/>
  </w:num>
  <w:num w:numId="28" w16cid:durableId="988510792">
    <w:abstractNumId w:val="27"/>
  </w:num>
  <w:num w:numId="29" w16cid:durableId="218637447">
    <w:abstractNumId w:val="5"/>
  </w:num>
  <w:num w:numId="30" w16cid:durableId="384793888">
    <w:abstractNumId w:val="11"/>
  </w:num>
  <w:num w:numId="31" w16cid:durableId="1470325439">
    <w:abstractNumId w:val="22"/>
  </w:num>
  <w:num w:numId="32" w16cid:durableId="339163147">
    <w:abstractNumId w:val="24"/>
  </w:num>
  <w:num w:numId="33" w16cid:durableId="2004242090">
    <w:abstractNumId w:val="16"/>
  </w:num>
  <w:num w:numId="34" w16cid:durableId="2052337818">
    <w:abstractNumId w:val="31"/>
  </w:num>
  <w:num w:numId="35" w16cid:durableId="864907819">
    <w:abstractNumId w:val="29"/>
  </w:num>
  <w:num w:numId="36" w16cid:durableId="1820807537">
    <w:abstractNumId w:val="20"/>
  </w:num>
  <w:num w:numId="37" w16cid:durableId="118770804">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64D6"/>
    <w:rsid w:val="00033154"/>
    <w:rsid w:val="00035FDE"/>
    <w:rsid w:val="00042048"/>
    <w:rsid w:val="00042289"/>
    <w:rsid w:val="00043B16"/>
    <w:rsid w:val="00045A78"/>
    <w:rsid w:val="00045AD3"/>
    <w:rsid w:val="000537DA"/>
    <w:rsid w:val="00057851"/>
    <w:rsid w:val="0006015B"/>
    <w:rsid w:val="00061655"/>
    <w:rsid w:val="0008138E"/>
    <w:rsid w:val="0009023F"/>
    <w:rsid w:val="000A1DE1"/>
    <w:rsid w:val="000B7D96"/>
    <w:rsid w:val="000C2B62"/>
    <w:rsid w:val="000C2E20"/>
    <w:rsid w:val="000C7120"/>
    <w:rsid w:val="000D691D"/>
    <w:rsid w:val="000E5990"/>
    <w:rsid w:val="000F315B"/>
    <w:rsid w:val="000F337D"/>
    <w:rsid w:val="001003CC"/>
    <w:rsid w:val="00104393"/>
    <w:rsid w:val="001116E2"/>
    <w:rsid w:val="001125C0"/>
    <w:rsid w:val="00132916"/>
    <w:rsid w:val="00135CFD"/>
    <w:rsid w:val="00137434"/>
    <w:rsid w:val="00152271"/>
    <w:rsid w:val="0015268B"/>
    <w:rsid w:val="00155CEC"/>
    <w:rsid w:val="0015709E"/>
    <w:rsid w:val="00166D9D"/>
    <w:rsid w:val="0017749A"/>
    <w:rsid w:val="00177C77"/>
    <w:rsid w:val="001843FD"/>
    <w:rsid w:val="001925AA"/>
    <w:rsid w:val="001A5AC4"/>
    <w:rsid w:val="001A7E66"/>
    <w:rsid w:val="001B19CC"/>
    <w:rsid w:val="001B5601"/>
    <w:rsid w:val="001B6693"/>
    <w:rsid w:val="001B77BC"/>
    <w:rsid w:val="001C106A"/>
    <w:rsid w:val="001D1991"/>
    <w:rsid w:val="001D2EFF"/>
    <w:rsid w:val="001D3633"/>
    <w:rsid w:val="001E0852"/>
    <w:rsid w:val="001F3248"/>
    <w:rsid w:val="001F4F4A"/>
    <w:rsid w:val="002012DD"/>
    <w:rsid w:val="0021698C"/>
    <w:rsid w:val="00233492"/>
    <w:rsid w:val="00237280"/>
    <w:rsid w:val="002532C0"/>
    <w:rsid w:val="00260D54"/>
    <w:rsid w:val="002665E6"/>
    <w:rsid w:val="00276957"/>
    <w:rsid w:val="00276DCC"/>
    <w:rsid w:val="00282852"/>
    <w:rsid w:val="0028306E"/>
    <w:rsid w:val="00291A6A"/>
    <w:rsid w:val="0029572B"/>
    <w:rsid w:val="002A132F"/>
    <w:rsid w:val="002A7298"/>
    <w:rsid w:val="002B4548"/>
    <w:rsid w:val="002C2D36"/>
    <w:rsid w:val="002C49B4"/>
    <w:rsid w:val="002D1C21"/>
    <w:rsid w:val="002E0D42"/>
    <w:rsid w:val="002E2367"/>
    <w:rsid w:val="002E3313"/>
    <w:rsid w:val="00301022"/>
    <w:rsid w:val="00306EAC"/>
    <w:rsid w:val="003169B1"/>
    <w:rsid w:val="0032179C"/>
    <w:rsid w:val="00327D75"/>
    <w:rsid w:val="00331866"/>
    <w:rsid w:val="00331E97"/>
    <w:rsid w:val="00340315"/>
    <w:rsid w:val="00344B3D"/>
    <w:rsid w:val="00357A68"/>
    <w:rsid w:val="00375EAD"/>
    <w:rsid w:val="00385812"/>
    <w:rsid w:val="00392762"/>
    <w:rsid w:val="00392D0B"/>
    <w:rsid w:val="003A34D2"/>
    <w:rsid w:val="003A450B"/>
    <w:rsid w:val="003A7AFC"/>
    <w:rsid w:val="003B646A"/>
    <w:rsid w:val="003C1DED"/>
    <w:rsid w:val="003C60EF"/>
    <w:rsid w:val="003D2125"/>
    <w:rsid w:val="003D7092"/>
    <w:rsid w:val="00407125"/>
    <w:rsid w:val="00420C98"/>
    <w:rsid w:val="00421517"/>
    <w:rsid w:val="00424A6E"/>
    <w:rsid w:val="004274EB"/>
    <w:rsid w:val="00430F07"/>
    <w:rsid w:val="00431774"/>
    <w:rsid w:val="00435FFC"/>
    <w:rsid w:val="00460F6F"/>
    <w:rsid w:val="00462CD7"/>
    <w:rsid w:val="0046457F"/>
    <w:rsid w:val="004813AC"/>
    <w:rsid w:val="00482FC7"/>
    <w:rsid w:val="00483C98"/>
    <w:rsid w:val="00487A46"/>
    <w:rsid w:val="00492FB1"/>
    <w:rsid w:val="004A018D"/>
    <w:rsid w:val="004A3365"/>
    <w:rsid w:val="004A516C"/>
    <w:rsid w:val="004B37A0"/>
    <w:rsid w:val="004B5CFB"/>
    <w:rsid w:val="004C0692"/>
    <w:rsid w:val="004D2CBF"/>
    <w:rsid w:val="004D6B39"/>
    <w:rsid w:val="004E0C3F"/>
    <w:rsid w:val="004E7422"/>
    <w:rsid w:val="004F2824"/>
    <w:rsid w:val="004F5749"/>
    <w:rsid w:val="00504DC9"/>
    <w:rsid w:val="00512956"/>
    <w:rsid w:val="00521EB6"/>
    <w:rsid w:val="00530145"/>
    <w:rsid w:val="00532C81"/>
    <w:rsid w:val="00540549"/>
    <w:rsid w:val="005448AA"/>
    <w:rsid w:val="00555F6F"/>
    <w:rsid w:val="00567111"/>
    <w:rsid w:val="00572A6E"/>
    <w:rsid w:val="005742E0"/>
    <w:rsid w:val="00577BA4"/>
    <w:rsid w:val="005A2AA7"/>
    <w:rsid w:val="005A5BB9"/>
    <w:rsid w:val="005B35A1"/>
    <w:rsid w:val="005B6E20"/>
    <w:rsid w:val="005D139F"/>
    <w:rsid w:val="005D16F4"/>
    <w:rsid w:val="005D63E4"/>
    <w:rsid w:val="005E3D34"/>
    <w:rsid w:val="0061761B"/>
    <w:rsid w:val="0062184F"/>
    <w:rsid w:val="00632C8C"/>
    <w:rsid w:val="00634217"/>
    <w:rsid w:val="00647149"/>
    <w:rsid w:val="00660949"/>
    <w:rsid w:val="006638D8"/>
    <w:rsid w:val="00670190"/>
    <w:rsid w:val="00676CF2"/>
    <w:rsid w:val="00687182"/>
    <w:rsid w:val="006931F4"/>
    <w:rsid w:val="006A341A"/>
    <w:rsid w:val="006A58E5"/>
    <w:rsid w:val="006B1BA7"/>
    <w:rsid w:val="006B292E"/>
    <w:rsid w:val="006B62CC"/>
    <w:rsid w:val="006B6B13"/>
    <w:rsid w:val="006C4E76"/>
    <w:rsid w:val="006D06D9"/>
    <w:rsid w:val="006D6A4F"/>
    <w:rsid w:val="006D6C6B"/>
    <w:rsid w:val="006D77A6"/>
    <w:rsid w:val="006E1665"/>
    <w:rsid w:val="006E7907"/>
    <w:rsid w:val="006E7AB4"/>
    <w:rsid w:val="00702109"/>
    <w:rsid w:val="00704261"/>
    <w:rsid w:val="0070433C"/>
    <w:rsid w:val="007210FB"/>
    <w:rsid w:val="00722045"/>
    <w:rsid w:val="0072223C"/>
    <w:rsid w:val="00722A72"/>
    <w:rsid w:val="0072610D"/>
    <w:rsid w:val="007359C3"/>
    <w:rsid w:val="00750BEC"/>
    <w:rsid w:val="007552F5"/>
    <w:rsid w:val="00757006"/>
    <w:rsid w:val="00765032"/>
    <w:rsid w:val="00770A39"/>
    <w:rsid w:val="00771FEB"/>
    <w:rsid w:val="007733FA"/>
    <w:rsid w:val="00777147"/>
    <w:rsid w:val="007913DD"/>
    <w:rsid w:val="00791E8D"/>
    <w:rsid w:val="007928DE"/>
    <w:rsid w:val="007A2527"/>
    <w:rsid w:val="007A6B8E"/>
    <w:rsid w:val="007A733C"/>
    <w:rsid w:val="007A79FA"/>
    <w:rsid w:val="007B3F4B"/>
    <w:rsid w:val="007B7347"/>
    <w:rsid w:val="007C3742"/>
    <w:rsid w:val="007C6230"/>
    <w:rsid w:val="007D10F3"/>
    <w:rsid w:val="007D1D51"/>
    <w:rsid w:val="007D20A9"/>
    <w:rsid w:val="007E06B4"/>
    <w:rsid w:val="007E7F27"/>
    <w:rsid w:val="007F3168"/>
    <w:rsid w:val="007F3CDB"/>
    <w:rsid w:val="0080004B"/>
    <w:rsid w:val="00801ED1"/>
    <w:rsid w:val="00802852"/>
    <w:rsid w:val="008045EA"/>
    <w:rsid w:val="0080556C"/>
    <w:rsid w:val="0081036C"/>
    <w:rsid w:val="0081106D"/>
    <w:rsid w:val="008229F7"/>
    <w:rsid w:val="008265D6"/>
    <w:rsid w:val="00834160"/>
    <w:rsid w:val="0083789A"/>
    <w:rsid w:val="00850407"/>
    <w:rsid w:val="008515F0"/>
    <w:rsid w:val="00861E62"/>
    <w:rsid w:val="00867036"/>
    <w:rsid w:val="0088305B"/>
    <w:rsid w:val="008C04AA"/>
    <w:rsid w:val="008C400A"/>
    <w:rsid w:val="008D6C3A"/>
    <w:rsid w:val="008E7AE9"/>
    <w:rsid w:val="008F3037"/>
    <w:rsid w:val="00911493"/>
    <w:rsid w:val="00911A7F"/>
    <w:rsid w:val="00923EE7"/>
    <w:rsid w:val="00924901"/>
    <w:rsid w:val="00933CB5"/>
    <w:rsid w:val="0094130A"/>
    <w:rsid w:val="009430E5"/>
    <w:rsid w:val="00944183"/>
    <w:rsid w:val="00951305"/>
    <w:rsid w:val="009730E5"/>
    <w:rsid w:val="00974B62"/>
    <w:rsid w:val="0098206D"/>
    <w:rsid w:val="009908FF"/>
    <w:rsid w:val="00995505"/>
    <w:rsid w:val="00996244"/>
    <w:rsid w:val="00996F9C"/>
    <w:rsid w:val="0099781C"/>
    <w:rsid w:val="009C1700"/>
    <w:rsid w:val="009C3354"/>
    <w:rsid w:val="009C4428"/>
    <w:rsid w:val="009D4658"/>
    <w:rsid w:val="009D48CD"/>
    <w:rsid w:val="009E1737"/>
    <w:rsid w:val="009E3179"/>
    <w:rsid w:val="009E468A"/>
    <w:rsid w:val="00A40642"/>
    <w:rsid w:val="00A5547C"/>
    <w:rsid w:val="00A604DB"/>
    <w:rsid w:val="00A65101"/>
    <w:rsid w:val="00A71120"/>
    <w:rsid w:val="00A80008"/>
    <w:rsid w:val="00A82052"/>
    <w:rsid w:val="00A820FE"/>
    <w:rsid w:val="00A90EB6"/>
    <w:rsid w:val="00A949C9"/>
    <w:rsid w:val="00AB03B5"/>
    <w:rsid w:val="00AC4303"/>
    <w:rsid w:val="00AD3E21"/>
    <w:rsid w:val="00B403BF"/>
    <w:rsid w:val="00B52F60"/>
    <w:rsid w:val="00B541F5"/>
    <w:rsid w:val="00B5597B"/>
    <w:rsid w:val="00B572CB"/>
    <w:rsid w:val="00B608D9"/>
    <w:rsid w:val="00B7469E"/>
    <w:rsid w:val="00B82828"/>
    <w:rsid w:val="00BA0E57"/>
    <w:rsid w:val="00BA15C5"/>
    <w:rsid w:val="00BA4055"/>
    <w:rsid w:val="00BA4FB6"/>
    <w:rsid w:val="00BA6143"/>
    <w:rsid w:val="00BA722F"/>
    <w:rsid w:val="00BA7FB6"/>
    <w:rsid w:val="00BB31AD"/>
    <w:rsid w:val="00BD315C"/>
    <w:rsid w:val="00BD69D7"/>
    <w:rsid w:val="00BF73F3"/>
    <w:rsid w:val="00C04EAE"/>
    <w:rsid w:val="00C05261"/>
    <w:rsid w:val="00C151CF"/>
    <w:rsid w:val="00C20BFE"/>
    <w:rsid w:val="00C30A35"/>
    <w:rsid w:val="00C4572A"/>
    <w:rsid w:val="00C46D29"/>
    <w:rsid w:val="00C65363"/>
    <w:rsid w:val="00C737CA"/>
    <w:rsid w:val="00C7633B"/>
    <w:rsid w:val="00C80CAC"/>
    <w:rsid w:val="00C90274"/>
    <w:rsid w:val="00C96C98"/>
    <w:rsid w:val="00CA357B"/>
    <w:rsid w:val="00CC1778"/>
    <w:rsid w:val="00CC21E3"/>
    <w:rsid w:val="00CC5582"/>
    <w:rsid w:val="00CC63DE"/>
    <w:rsid w:val="00CE575B"/>
    <w:rsid w:val="00CF3DE8"/>
    <w:rsid w:val="00CF4480"/>
    <w:rsid w:val="00D02B65"/>
    <w:rsid w:val="00D0493F"/>
    <w:rsid w:val="00D10DDE"/>
    <w:rsid w:val="00D16738"/>
    <w:rsid w:val="00D2785D"/>
    <w:rsid w:val="00D314E2"/>
    <w:rsid w:val="00D32DAF"/>
    <w:rsid w:val="00D3515E"/>
    <w:rsid w:val="00D35D6C"/>
    <w:rsid w:val="00D42ECF"/>
    <w:rsid w:val="00D56F91"/>
    <w:rsid w:val="00D66C5A"/>
    <w:rsid w:val="00D76119"/>
    <w:rsid w:val="00D808CF"/>
    <w:rsid w:val="00D838DB"/>
    <w:rsid w:val="00D8583E"/>
    <w:rsid w:val="00D8671C"/>
    <w:rsid w:val="00D91390"/>
    <w:rsid w:val="00D957A4"/>
    <w:rsid w:val="00D962FA"/>
    <w:rsid w:val="00DA3FAF"/>
    <w:rsid w:val="00DA57C3"/>
    <w:rsid w:val="00DA5F9A"/>
    <w:rsid w:val="00DC3855"/>
    <w:rsid w:val="00DC4339"/>
    <w:rsid w:val="00DC705D"/>
    <w:rsid w:val="00DD647B"/>
    <w:rsid w:val="00E00E64"/>
    <w:rsid w:val="00E02230"/>
    <w:rsid w:val="00E242A8"/>
    <w:rsid w:val="00E24602"/>
    <w:rsid w:val="00E274B8"/>
    <w:rsid w:val="00E316B0"/>
    <w:rsid w:val="00E32145"/>
    <w:rsid w:val="00E34712"/>
    <w:rsid w:val="00E57619"/>
    <w:rsid w:val="00E67A20"/>
    <w:rsid w:val="00E67DF2"/>
    <w:rsid w:val="00E71D41"/>
    <w:rsid w:val="00E72707"/>
    <w:rsid w:val="00E7543B"/>
    <w:rsid w:val="00E766B0"/>
    <w:rsid w:val="00E814A1"/>
    <w:rsid w:val="00E91F49"/>
    <w:rsid w:val="00E92038"/>
    <w:rsid w:val="00E933C4"/>
    <w:rsid w:val="00EB153C"/>
    <w:rsid w:val="00EC18F3"/>
    <w:rsid w:val="00ED6548"/>
    <w:rsid w:val="00EE2B5F"/>
    <w:rsid w:val="00EE36A5"/>
    <w:rsid w:val="00EE3732"/>
    <w:rsid w:val="00EE6B0E"/>
    <w:rsid w:val="00EF0780"/>
    <w:rsid w:val="00EF5363"/>
    <w:rsid w:val="00F03F8D"/>
    <w:rsid w:val="00F0586E"/>
    <w:rsid w:val="00F11C5E"/>
    <w:rsid w:val="00F1368F"/>
    <w:rsid w:val="00F15840"/>
    <w:rsid w:val="00F24777"/>
    <w:rsid w:val="00F31129"/>
    <w:rsid w:val="00F321AF"/>
    <w:rsid w:val="00F43932"/>
    <w:rsid w:val="00F5296A"/>
    <w:rsid w:val="00F6238B"/>
    <w:rsid w:val="00F63715"/>
    <w:rsid w:val="00F71F27"/>
    <w:rsid w:val="00F93C9A"/>
    <w:rsid w:val="00F94C7D"/>
    <w:rsid w:val="00FA0A54"/>
    <w:rsid w:val="00FA2EC7"/>
    <w:rsid w:val="00FA575E"/>
    <w:rsid w:val="00FB64F1"/>
    <w:rsid w:val="00FC6B42"/>
    <w:rsid w:val="00FD3311"/>
    <w:rsid w:val="00FF19DE"/>
    <w:rsid w:val="08342302"/>
    <w:rsid w:val="31D0D1CB"/>
    <w:rsid w:val="3C42B6D6"/>
    <w:rsid w:val="6BAA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BD69D7"/>
    <w:pPr>
      <w:ind w:left="720"/>
      <w:contextualSpacing/>
    </w:pPr>
  </w:style>
  <w:style w:type="paragraph" w:styleId="CommentText">
    <w:name w:val="annotation text"/>
    <w:basedOn w:val="Normal"/>
    <w:link w:val="CommentTextChar"/>
    <w:rsid w:val="00BD69D7"/>
    <w:rPr>
      <w:sz w:val="20"/>
    </w:rPr>
  </w:style>
  <w:style w:type="character" w:styleId="CommentTextChar" w:customStyle="1">
    <w:name w:val="Comment Text Char"/>
    <w:basedOn w:val="DefaultParagraphFont"/>
    <w:link w:val="CommentText"/>
    <w:rsid w:val="00BD69D7"/>
  </w:style>
  <w:style w:type="character" w:styleId="CommentReference">
    <w:name w:val="annotation reference"/>
    <w:basedOn w:val="DefaultParagraphFont"/>
    <w:rsid w:val="00BD69D7"/>
    <w:rPr>
      <w:sz w:val="16"/>
      <w:szCs w:val="16"/>
    </w:rPr>
  </w:style>
  <w:style w:type="character" w:styleId="Mention">
    <w:name w:val="Mention"/>
    <w:basedOn w:val="DefaultParagraphFont"/>
    <w:uiPriority w:val="99"/>
    <w:unhideWhenUsed/>
    <w:rsid w:val="00BD69D7"/>
    <w:rPr>
      <w:color w:val="2B579A"/>
      <w:shd w:val="clear" w:color="auto" w:fill="E6E6E6"/>
    </w:rPr>
  </w:style>
  <w:style w:type="character" w:styleId="normaltextrun" w:customStyle="1">
    <w:name w:val="normaltextrun"/>
    <w:basedOn w:val="DefaultParagraphFont"/>
    <w:rsid w:val="00E34712"/>
  </w:style>
  <w:style w:type="character" w:styleId="eop" w:customStyle="1">
    <w:name w:val="eop"/>
    <w:basedOn w:val="DefaultParagraphFont"/>
    <w:rsid w:val="00A90EB6"/>
  </w:style>
  <w:style w:type="paragraph" w:styleId="paragraph" w:customStyle="1">
    <w:name w:val="paragraph"/>
    <w:basedOn w:val="Normal"/>
    <w:rsid w:val="00CA357B"/>
    <w:pPr>
      <w:spacing w:before="100" w:beforeAutospacing="1" w:after="100" w:afterAutospacing="1"/>
    </w:pPr>
    <w:rPr>
      <w:szCs w:val="24"/>
    </w:rPr>
  </w:style>
  <w:style w:type="paragraph" w:styleId="CommentSubject">
    <w:name w:val="annotation subject"/>
    <w:basedOn w:val="CommentText"/>
    <w:next w:val="CommentText"/>
    <w:link w:val="CommentSubjectChar"/>
    <w:rsid w:val="00777147"/>
    <w:rPr>
      <w:b/>
      <w:bCs/>
    </w:rPr>
  </w:style>
  <w:style w:type="character" w:styleId="CommentSubjectChar" w:customStyle="1">
    <w:name w:val="Comment Subject Char"/>
    <w:basedOn w:val="CommentTextChar"/>
    <w:link w:val="CommentSubject"/>
    <w:rsid w:val="00777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92F6E8CB-D806-4569-9FFE-0B02B22C5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262</cp:revision>
  <cp:lastPrinted>2015-01-29T14:50:00Z</cp:lastPrinted>
  <dcterms:created xsi:type="dcterms:W3CDTF">2025-11-12T21:39:00Z</dcterms:created>
  <dcterms:modified xsi:type="dcterms:W3CDTF">2026-02-03T11:58:13Z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55188d75-aaca-42bc-96fb-253eb43f25ee</vt:lpwstr>
  </property>
</Properties>
</file>