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7" w:type="dxa"/>
        <w:tblInd w:w="-619" w:type="dxa"/>
        <w:tblLayout w:type="fixed"/>
        <w:tblLook w:val="0000"/>
      </w:tblPr>
      <w:tblGrid>
        <w:gridCol w:w="7"/>
        <w:gridCol w:w="240"/>
        <w:gridCol w:w="10740"/>
      </w:tblGrid>
      <w:tr w:rsidR="00AD6382" w:rsidRPr="00E7475E" w:rsidTr="001351DF">
        <w:trPr>
          <w:gridBefore w:val="1"/>
          <w:wBefore w:w="7" w:type="dxa"/>
          <w:cantSplit/>
          <w:trHeight w:hRule="exact" w:val="2160"/>
        </w:trPr>
        <w:tc>
          <w:tcPr>
            <w:tcW w:w="240" w:type="dxa"/>
          </w:tcPr>
          <w:p w:rsidR="00AD6382" w:rsidRPr="00E7475E" w:rsidRDefault="00AD6382" w:rsidP="001351DF">
            <w:pPr>
              <w:pStyle w:val="Footer"/>
              <w:rPr>
                <w:sz w:val="24"/>
                <w:szCs w:val="24"/>
              </w:rPr>
            </w:pPr>
          </w:p>
          <w:p w:rsidR="00AD6382" w:rsidRPr="00E7475E" w:rsidRDefault="00AD6382" w:rsidP="001351DF">
            <w:pPr>
              <w:rPr>
                <w:sz w:val="24"/>
                <w:szCs w:val="24"/>
              </w:rPr>
            </w:pPr>
          </w:p>
        </w:tc>
        <w:tc>
          <w:tcPr>
            <w:tcW w:w="10740" w:type="dxa"/>
          </w:tcPr>
          <w:p w:rsidR="00AD6382" w:rsidRPr="00E7475E" w:rsidRDefault="00AD6382" w:rsidP="001351DF">
            <w:pPr>
              <w:spacing w:before="120"/>
              <w:jc w:val="center"/>
              <w:rPr>
                <w:sz w:val="24"/>
                <w:szCs w:val="24"/>
              </w:rPr>
            </w:pPr>
            <w:r w:rsidRPr="00E7475E">
              <w:rPr>
                <w:sz w:val="24"/>
                <w:szCs w:val="24"/>
              </w:rPr>
              <w:t>COMMONWEALTH OF MASSACHUSETTS</w:t>
            </w:r>
          </w:p>
          <w:p w:rsidR="00AD6382" w:rsidRPr="00E7475E" w:rsidRDefault="00AD6382" w:rsidP="001351DF">
            <w:pPr>
              <w:spacing w:before="40"/>
              <w:jc w:val="center"/>
              <w:rPr>
                <w:sz w:val="24"/>
                <w:szCs w:val="24"/>
              </w:rPr>
            </w:pPr>
            <w:r w:rsidRPr="00E7475E">
              <w:rPr>
                <w:sz w:val="24"/>
                <w:szCs w:val="24"/>
              </w:rPr>
              <w:t>EXECUTIVE OFFICE OF ENERGY &amp; ENVIRONMENTAL AFFAIRS</w:t>
            </w:r>
          </w:p>
          <w:p w:rsidR="00AD6382" w:rsidRPr="00E7475E" w:rsidRDefault="00AD6382" w:rsidP="001351DF">
            <w:pPr>
              <w:spacing w:before="40"/>
              <w:jc w:val="center"/>
              <w:rPr>
                <w:b/>
                <w:spacing w:val="-12"/>
                <w:sz w:val="24"/>
                <w:szCs w:val="24"/>
              </w:rPr>
            </w:pPr>
            <w:r w:rsidRPr="00E7475E">
              <w:rPr>
                <w:b/>
                <w:spacing w:val="4"/>
                <w:sz w:val="24"/>
                <w:szCs w:val="24"/>
              </w:rPr>
              <w:t>DEPARTMENT OF ENVIRONMENTAL PROTECTION</w:t>
            </w:r>
          </w:p>
          <w:p w:rsidR="00AD6382" w:rsidRPr="00E7475E" w:rsidRDefault="00AD6382" w:rsidP="00666409">
            <w:pPr>
              <w:spacing w:before="100"/>
              <w:jc w:val="center"/>
              <w:rPr>
                <w:b/>
                <w:sz w:val="24"/>
                <w:szCs w:val="24"/>
              </w:rPr>
            </w:pPr>
            <w:r w:rsidRPr="00E7475E">
              <w:rPr>
                <w:spacing w:val="15"/>
                <w:sz w:val="24"/>
                <w:szCs w:val="24"/>
              </w:rPr>
              <w:t xml:space="preserve">ONE WINTER STREET, BOSTON, MA 02108  </w:t>
            </w:r>
          </w:p>
        </w:tc>
      </w:tr>
      <w:tr w:rsidR="00AD6382" w:rsidRPr="00E7475E" w:rsidTr="001351DF">
        <w:trPr>
          <w:trHeight w:hRule="exact" w:val="100"/>
        </w:trPr>
        <w:tc>
          <w:tcPr>
            <w:tcW w:w="247" w:type="dxa"/>
            <w:gridSpan w:val="2"/>
          </w:tcPr>
          <w:p w:rsidR="00AD6382" w:rsidRPr="00E7475E" w:rsidRDefault="00AD6382" w:rsidP="001351DF">
            <w:pPr>
              <w:jc w:val="center"/>
              <w:rPr>
                <w:sz w:val="24"/>
                <w:szCs w:val="24"/>
              </w:rPr>
            </w:pPr>
          </w:p>
        </w:tc>
        <w:tc>
          <w:tcPr>
            <w:tcW w:w="10740" w:type="dxa"/>
          </w:tcPr>
          <w:p w:rsidR="00AD6382" w:rsidRPr="00E7475E" w:rsidRDefault="00AD6382" w:rsidP="00D262E3">
            <w:pPr>
              <w:jc w:val="center"/>
              <w:rPr>
                <w:sz w:val="24"/>
                <w:szCs w:val="24"/>
              </w:rPr>
            </w:pPr>
          </w:p>
        </w:tc>
      </w:tr>
    </w:tbl>
    <w:p w:rsidR="00AD6382" w:rsidRPr="00E7475E" w:rsidRDefault="00AD6382" w:rsidP="00AD6382">
      <w:pPr>
        <w:rPr>
          <w:sz w:val="24"/>
          <w:szCs w:val="24"/>
        </w:rPr>
      </w:pPr>
    </w:p>
    <w:p w:rsidR="00F3335A" w:rsidRPr="00E7475E" w:rsidRDefault="00AD6382" w:rsidP="00AD6382">
      <w:pPr>
        <w:pStyle w:val="Header"/>
        <w:tabs>
          <w:tab w:val="clear" w:pos="4320"/>
          <w:tab w:val="clear" w:pos="8640"/>
        </w:tabs>
        <w:jc w:val="center"/>
        <w:rPr>
          <w:b/>
          <w:sz w:val="24"/>
          <w:szCs w:val="24"/>
          <w:u w:val="single"/>
        </w:rPr>
      </w:pPr>
      <w:r w:rsidRPr="00E7475E">
        <w:rPr>
          <w:b/>
          <w:sz w:val="24"/>
          <w:szCs w:val="24"/>
          <w:u w:val="single"/>
        </w:rPr>
        <w:t>OFFICE OF APPEALS AND DISPUTE RESOLUTION</w:t>
      </w:r>
    </w:p>
    <w:p w:rsidR="00AD6382" w:rsidRPr="00E7475E" w:rsidRDefault="00AD6382" w:rsidP="00AD6382">
      <w:pPr>
        <w:pStyle w:val="Header"/>
        <w:tabs>
          <w:tab w:val="clear" w:pos="4320"/>
          <w:tab w:val="clear" w:pos="8640"/>
        </w:tabs>
        <w:jc w:val="center"/>
        <w:rPr>
          <w:b/>
          <w:sz w:val="24"/>
          <w:szCs w:val="24"/>
          <w:u w:val="single"/>
        </w:rPr>
      </w:pPr>
    </w:p>
    <w:p w:rsidR="00F3335A" w:rsidRPr="00E7475E" w:rsidRDefault="005D4DAD">
      <w:pPr>
        <w:pStyle w:val="Header"/>
        <w:tabs>
          <w:tab w:val="clear" w:pos="4320"/>
          <w:tab w:val="clear" w:pos="8640"/>
        </w:tabs>
        <w:ind w:firstLine="720"/>
        <w:rPr>
          <w:sz w:val="24"/>
          <w:szCs w:val="24"/>
        </w:rPr>
      </w:pPr>
      <w:r w:rsidRPr="00E7475E">
        <w:rPr>
          <w:sz w:val="24"/>
          <w:szCs w:val="24"/>
        </w:rPr>
        <w:tab/>
      </w:r>
      <w:r w:rsidRPr="00E7475E">
        <w:rPr>
          <w:sz w:val="24"/>
          <w:szCs w:val="24"/>
        </w:rPr>
        <w:tab/>
      </w:r>
      <w:r w:rsidRPr="00E7475E">
        <w:rPr>
          <w:sz w:val="24"/>
          <w:szCs w:val="24"/>
        </w:rPr>
        <w:tab/>
      </w:r>
      <w:r w:rsidRPr="00E7475E">
        <w:rPr>
          <w:sz w:val="24"/>
          <w:szCs w:val="24"/>
        </w:rPr>
        <w:tab/>
      </w:r>
      <w:r w:rsidRPr="00E7475E">
        <w:rPr>
          <w:sz w:val="24"/>
          <w:szCs w:val="24"/>
        </w:rPr>
        <w:tab/>
      </w:r>
      <w:r w:rsidRPr="00E7475E">
        <w:rPr>
          <w:sz w:val="24"/>
          <w:szCs w:val="24"/>
        </w:rPr>
        <w:tab/>
      </w:r>
      <w:r w:rsidR="00864D65" w:rsidRPr="00E7475E">
        <w:rPr>
          <w:sz w:val="24"/>
          <w:szCs w:val="24"/>
        </w:rPr>
        <w:tab/>
      </w:r>
      <w:r w:rsidR="006A6053">
        <w:rPr>
          <w:sz w:val="24"/>
          <w:szCs w:val="24"/>
        </w:rPr>
        <w:t>December</w:t>
      </w:r>
      <w:r w:rsidR="00A43B49">
        <w:rPr>
          <w:sz w:val="24"/>
          <w:szCs w:val="24"/>
        </w:rPr>
        <w:t xml:space="preserve"> 21</w:t>
      </w:r>
      <w:r w:rsidR="00F3335A" w:rsidRPr="00E7475E">
        <w:rPr>
          <w:sz w:val="24"/>
          <w:szCs w:val="24"/>
        </w:rPr>
        <w:t>, 201</w:t>
      </w:r>
      <w:r w:rsidR="00864D65" w:rsidRPr="00E7475E">
        <w:rPr>
          <w:sz w:val="24"/>
          <w:szCs w:val="24"/>
        </w:rPr>
        <w:t>5</w:t>
      </w:r>
    </w:p>
    <w:p w:rsidR="00F3335A" w:rsidRPr="00E7475E" w:rsidRDefault="00F3335A">
      <w:pPr>
        <w:pStyle w:val="Header"/>
        <w:tabs>
          <w:tab w:val="clear" w:pos="4320"/>
          <w:tab w:val="clear" w:pos="8640"/>
        </w:tabs>
        <w:rPr>
          <w:sz w:val="24"/>
          <w:szCs w:val="24"/>
        </w:rPr>
      </w:pPr>
      <w:r w:rsidRPr="00E7475E">
        <w:rPr>
          <w:sz w:val="24"/>
          <w:szCs w:val="24"/>
        </w:rPr>
        <w:t>________________________________</w:t>
      </w:r>
    </w:p>
    <w:p w:rsidR="00F3335A" w:rsidRPr="00E7475E" w:rsidRDefault="00F3335A">
      <w:pPr>
        <w:rPr>
          <w:sz w:val="24"/>
          <w:szCs w:val="24"/>
        </w:rPr>
      </w:pPr>
    </w:p>
    <w:p w:rsidR="006036D2" w:rsidRPr="00E7475E" w:rsidRDefault="006036D2" w:rsidP="006036D2">
      <w:pPr>
        <w:tabs>
          <w:tab w:val="left" w:pos="561"/>
        </w:tabs>
        <w:jc w:val="both"/>
        <w:rPr>
          <w:sz w:val="24"/>
          <w:szCs w:val="24"/>
        </w:rPr>
      </w:pPr>
      <w:r w:rsidRPr="00E7475E">
        <w:rPr>
          <w:sz w:val="24"/>
          <w:szCs w:val="24"/>
        </w:rPr>
        <w:t>In the Matter of</w:t>
      </w:r>
      <w:r w:rsidRPr="00E7475E">
        <w:rPr>
          <w:sz w:val="24"/>
          <w:szCs w:val="24"/>
        </w:rPr>
        <w:tab/>
      </w:r>
      <w:r w:rsidRPr="00E7475E">
        <w:rPr>
          <w:sz w:val="24"/>
          <w:szCs w:val="24"/>
        </w:rPr>
        <w:tab/>
      </w:r>
      <w:r w:rsidRPr="00E7475E">
        <w:rPr>
          <w:sz w:val="24"/>
          <w:szCs w:val="24"/>
        </w:rPr>
        <w:tab/>
      </w:r>
      <w:r w:rsidRPr="00E7475E">
        <w:rPr>
          <w:sz w:val="24"/>
          <w:szCs w:val="24"/>
        </w:rPr>
        <w:tab/>
      </w:r>
      <w:r w:rsidRPr="00E7475E">
        <w:rPr>
          <w:sz w:val="24"/>
          <w:szCs w:val="24"/>
        </w:rPr>
        <w:tab/>
      </w:r>
      <w:r w:rsidRPr="00E7475E">
        <w:rPr>
          <w:sz w:val="24"/>
          <w:szCs w:val="24"/>
        </w:rPr>
        <w:tab/>
      </w:r>
      <w:r w:rsidR="00CA0B4D">
        <w:rPr>
          <w:sz w:val="24"/>
          <w:szCs w:val="24"/>
        </w:rPr>
        <w:t xml:space="preserve">OADR Docket No. </w:t>
      </w:r>
      <w:r w:rsidR="00C0058D" w:rsidRPr="00E7475E">
        <w:rPr>
          <w:sz w:val="24"/>
          <w:szCs w:val="24"/>
        </w:rPr>
        <w:t>2014-018</w:t>
      </w:r>
    </w:p>
    <w:p w:rsidR="00F3335A" w:rsidRPr="00E7475E" w:rsidRDefault="00C0058D" w:rsidP="006036D2">
      <w:pPr>
        <w:pStyle w:val="Heading1"/>
        <w:rPr>
          <w:szCs w:val="24"/>
        </w:rPr>
      </w:pPr>
      <w:r w:rsidRPr="00E7475E">
        <w:rPr>
          <w:szCs w:val="24"/>
        </w:rPr>
        <w:t>Elizabeth Maher</w:t>
      </w:r>
      <w:r w:rsidRPr="00E7475E">
        <w:rPr>
          <w:szCs w:val="24"/>
        </w:rPr>
        <w:tab/>
      </w:r>
      <w:r w:rsidR="006036D2" w:rsidRPr="00E7475E">
        <w:rPr>
          <w:szCs w:val="24"/>
        </w:rPr>
        <w:tab/>
        <w:t xml:space="preserve"> </w:t>
      </w:r>
      <w:r w:rsidR="006036D2" w:rsidRPr="00E7475E">
        <w:rPr>
          <w:szCs w:val="24"/>
        </w:rPr>
        <w:tab/>
      </w:r>
      <w:r w:rsidR="006036D2" w:rsidRPr="00E7475E">
        <w:rPr>
          <w:szCs w:val="24"/>
        </w:rPr>
        <w:tab/>
      </w:r>
      <w:r w:rsidR="006036D2" w:rsidRPr="00E7475E">
        <w:rPr>
          <w:szCs w:val="24"/>
        </w:rPr>
        <w:tab/>
      </w:r>
      <w:r w:rsidR="006036D2" w:rsidRPr="00E7475E">
        <w:rPr>
          <w:szCs w:val="24"/>
        </w:rPr>
        <w:tab/>
      </w:r>
      <w:r w:rsidRPr="00E7475E">
        <w:rPr>
          <w:szCs w:val="24"/>
        </w:rPr>
        <w:t>Harwich</w:t>
      </w:r>
      <w:r w:rsidR="006036D2" w:rsidRPr="00E7475E">
        <w:rPr>
          <w:szCs w:val="24"/>
        </w:rPr>
        <w:t>, MA</w:t>
      </w:r>
      <w:r w:rsidR="006036D2" w:rsidRPr="00E7475E">
        <w:rPr>
          <w:szCs w:val="24"/>
        </w:rPr>
        <w:tab/>
      </w:r>
      <w:r w:rsidR="00004D8A" w:rsidRPr="00E7475E">
        <w:rPr>
          <w:szCs w:val="24"/>
        </w:rPr>
        <w:tab/>
      </w:r>
      <w:r w:rsidR="00004D8A" w:rsidRPr="00E7475E">
        <w:rPr>
          <w:szCs w:val="24"/>
        </w:rPr>
        <w:tab/>
      </w:r>
    </w:p>
    <w:p w:rsidR="00F3335A" w:rsidRPr="00E7475E" w:rsidRDefault="00F3335A">
      <w:pPr>
        <w:rPr>
          <w:sz w:val="24"/>
          <w:szCs w:val="24"/>
        </w:rPr>
      </w:pPr>
      <w:r w:rsidRPr="00E7475E">
        <w:rPr>
          <w:sz w:val="24"/>
          <w:szCs w:val="24"/>
        </w:rPr>
        <w:t>___________________________</w:t>
      </w:r>
      <w:r w:rsidRPr="00E7475E">
        <w:rPr>
          <w:sz w:val="24"/>
          <w:szCs w:val="24"/>
        </w:rPr>
        <w:tab/>
      </w:r>
      <w:r w:rsidRPr="00E7475E">
        <w:rPr>
          <w:sz w:val="24"/>
          <w:szCs w:val="24"/>
        </w:rPr>
        <w:tab/>
      </w:r>
      <w:r w:rsidRPr="00E7475E">
        <w:rPr>
          <w:sz w:val="24"/>
          <w:szCs w:val="24"/>
        </w:rPr>
        <w:tab/>
      </w:r>
    </w:p>
    <w:p w:rsidR="00F3335A" w:rsidRPr="00E7475E" w:rsidRDefault="00F3335A" w:rsidP="001351DF">
      <w:pPr>
        <w:pStyle w:val="BodyText"/>
        <w:rPr>
          <w:b/>
          <w:bCs/>
          <w:szCs w:val="24"/>
          <w:u w:val="single"/>
        </w:rPr>
      </w:pPr>
    </w:p>
    <w:p w:rsidR="00BE06C6" w:rsidRPr="00E7475E" w:rsidRDefault="00A43B49" w:rsidP="00BE06C6">
      <w:pPr>
        <w:jc w:val="center"/>
        <w:rPr>
          <w:b/>
          <w:sz w:val="24"/>
          <w:szCs w:val="24"/>
          <w:u w:val="single"/>
        </w:rPr>
      </w:pPr>
      <w:r>
        <w:rPr>
          <w:b/>
          <w:sz w:val="24"/>
          <w:szCs w:val="24"/>
          <w:u w:val="single"/>
        </w:rPr>
        <w:t xml:space="preserve">RECOMMENDED FINAL </w:t>
      </w:r>
      <w:r w:rsidR="00BE06C6" w:rsidRPr="00E7475E">
        <w:rPr>
          <w:b/>
          <w:sz w:val="24"/>
          <w:szCs w:val="24"/>
          <w:u w:val="single"/>
        </w:rPr>
        <w:t>DECISION</w:t>
      </w:r>
    </w:p>
    <w:p w:rsidR="00BE06C6" w:rsidRPr="00E7475E" w:rsidRDefault="00BE06C6" w:rsidP="00BE06C6">
      <w:pPr>
        <w:jc w:val="center"/>
        <w:rPr>
          <w:b/>
          <w:sz w:val="24"/>
          <w:szCs w:val="24"/>
          <w:u w:val="single"/>
        </w:rPr>
      </w:pPr>
    </w:p>
    <w:p w:rsidR="00BE06C6" w:rsidRPr="00E7475E" w:rsidRDefault="00BE06C6" w:rsidP="00BE06C6">
      <w:pPr>
        <w:spacing w:line="480" w:lineRule="auto"/>
        <w:jc w:val="center"/>
        <w:rPr>
          <w:b/>
          <w:sz w:val="24"/>
          <w:szCs w:val="24"/>
          <w:u w:val="single"/>
        </w:rPr>
      </w:pPr>
      <w:r w:rsidRPr="00E7475E">
        <w:rPr>
          <w:b/>
          <w:sz w:val="24"/>
          <w:szCs w:val="24"/>
          <w:u w:val="single"/>
        </w:rPr>
        <w:t>INTRODUCTION</w:t>
      </w:r>
    </w:p>
    <w:p w:rsidR="002955AA" w:rsidRPr="00E7475E" w:rsidRDefault="008D7E5C" w:rsidP="00601A29">
      <w:pPr>
        <w:pStyle w:val="Title"/>
        <w:spacing w:line="480" w:lineRule="auto"/>
        <w:jc w:val="left"/>
        <w:rPr>
          <w:b w:val="0"/>
          <w:szCs w:val="24"/>
          <w:u w:val="none"/>
        </w:rPr>
      </w:pPr>
      <w:r w:rsidRPr="00E7475E">
        <w:rPr>
          <w:b w:val="0"/>
          <w:szCs w:val="24"/>
          <w:u w:val="none"/>
        </w:rPr>
        <w:tab/>
      </w:r>
      <w:r w:rsidR="00AA6828">
        <w:rPr>
          <w:b w:val="0"/>
          <w:szCs w:val="24"/>
          <w:u w:val="none"/>
        </w:rPr>
        <w:t>The Petitioner</w:t>
      </w:r>
      <w:r w:rsidR="00506EB7" w:rsidRPr="00E7475E">
        <w:rPr>
          <w:b w:val="0"/>
          <w:szCs w:val="24"/>
          <w:u w:val="none"/>
        </w:rPr>
        <w:t>, Charlene E. McLaughlin</w:t>
      </w:r>
      <w:r w:rsidR="00BF381F">
        <w:rPr>
          <w:b w:val="0"/>
          <w:szCs w:val="24"/>
          <w:u w:val="none"/>
        </w:rPr>
        <w:t xml:space="preserve"> (“McLaughlin”)</w:t>
      </w:r>
      <w:r w:rsidR="00506EB7" w:rsidRPr="00E7475E">
        <w:rPr>
          <w:b w:val="0"/>
          <w:szCs w:val="24"/>
          <w:u w:val="none"/>
        </w:rPr>
        <w:t xml:space="preserve">, </w:t>
      </w:r>
      <w:r w:rsidR="00AA6828">
        <w:rPr>
          <w:b w:val="0"/>
          <w:szCs w:val="24"/>
          <w:u w:val="none"/>
        </w:rPr>
        <w:t xml:space="preserve">and the Intervener, </w:t>
      </w:r>
      <w:r w:rsidR="00AA6828" w:rsidRPr="00E7475E">
        <w:rPr>
          <w:b w:val="0"/>
          <w:szCs w:val="24"/>
          <w:u w:val="none"/>
        </w:rPr>
        <w:t>the Town of Harwich (“Town”)</w:t>
      </w:r>
      <w:r w:rsidR="00AA6828">
        <w:rPr>
          <w:b w:val="0"/>
          <w:szCs w:val="24"/>
          <w:u w:val="none"/>
        </w:rPr>
        <w:t>, challenge</w:t>
      </w:r>
      <w:r w:rsidR="00506EB7" w:rsidRPr="00E7475E">
        <w:rPr>
          <w:b w:val="0"/>
          <w:szCs w:val="24"/>
          <w:u w:val="none"/>
        </w:rPr>
        <w:t xml:space="preserve"> the Draft Waterways License issued to Elizabeth Maher</w:t>
      </w:r>
      <w:r w:rsidR="00BF381F">
        <w:rPr>
          <w:b w:val="0"/>
          <w:szCs w:val="24"/>
          <w:u w:val="none"/>
        </w:rPr>
        <w:t xml:space="preserve"> (“Maher”)</w:t>
      </w:r>
      <w:r w:rsidR="00997D4C">
        <w:rPr>
          <w:b w:val="0"/>
          <w:szCs w:val="24"/>
          <w:u w:val="none"/>
        </w:rPr>
        <w:t xml:space="preserve"> </w:t>
      </w:r>
      <w:r w:rsidR="00DC7A81" w:rsidRPr="00E7475E">
        <w:rPr>
          <w:b w:val="0"/>
          <w:szCs w:val="24"/>
          <w:u w:val="none"/>
        </w:rPr>
        <w:t xml:space="preserve">by the Massachusetts Department of Environmental Protection (“DEP”) </w:t>
      </w:r>
      <w:r w:rsidR="00506EB7" w:rsidRPr="00E7475E">
        <w:rPr>
          <w:b w:val="0"/>
          <w:szCs w:val="24"/>
          <w:u w:val="none"/>
        </w:rPr>
        <w:t>pursuant to</w:t>
      </w:r>
      <w:r w:rsidR="00034E11">
        <w:rPr>
          <w:b w:val="0"/>
          <w:szCs w:val="24"/>
          <w:u w:val="none"/>
        </w:rPr>
        <w:t xml:space="preserve"> the</w:t>
      </w:r>
      <w:r w:rsidR="00506EB7" w:rsidRPr="00E7475E">
        <w:rPr>
          <w:b w:val="0"/>
          <w:szCs w:val="24"/>
          <w:u w:val="none"/>
        </w:rPr>
        <w:t xml:space="preserve"> Waterways statute, G.L. c. 91, and regulations, 310 CMR 9.00.  </w:t>
      </w:r>
      <w:r w:rsidR="002955AA" w:rsidRPr="00E7475E">
        <w:rPr>
          <w:b w:val="0"/>
          <w:szCs w:val="24"/>
          <w:u w:val="none"/>
        </w:rPr>
        <w:t>The license</w:t>
      </w:r>
      <w:r w:rsidR="00601A29" w:rsidRPr="00E7475E">
        <w:rPr>
          <w:b w:val="0"/>
          <w:szCs w:val="24"/>
          <w:u w:val="none"/>
        </w:rPr>
        <w:t xml:space="preserve"> allows Maher to construct a pier, ramp, and float </w:t>
      </w:r>
      <w:r w:rsidR="00BF381F" w:rsidRPr="00E7475E">
        <w:rPr>
          <w:b w:val="0"/>
          <w:szCs w:val="24"/>
          <w:u w:val="none"/>
        </w:rPr>
        <w:t>(collectively “proposed pier”)</w:t>
      </w:r>
      <w:r w:rsidR="00BF381F">
        <w:rPr>
          <w:b w:val="0"/>
          <w:szCs w:val="24"/>
          <w:u w:val="none"/>
        </w:rPr>
        <w:t xml:space="preserve"> </w:t>
      </w:r>
      <w:r w:rsidR="00601A29" w:rsidRPr="00E7475E">
        <w:rPr>
          <w:b w:val="0"/>
          <w:szCs w:val="24"/>
          <w:u w:val="none"/>
        </w:rPr>
        <w:t>on her property at 48 Harbor Road, on Wychmere Harbor, Harwich, MA</w:t>
      </w:r>
      <w:r w:rsidR="00D922FF" w:rsidRPr="00E7475E">
        <w:rPr>
          <w:b w:val="0"/>
          <w:szCs w:val="24"/>
          <w:u w:val="none"/>
        </w:rPr>
        <w:t xml:space="preserve"> (“the Property”)</w:t>
      </w:r>
      <w:r w:rsidR="00601A29" w:rsidRPr="00E7475E">
        <w:rPr>
          <w:b w:val="0"/>
          <w:szCs w:val="24"/>
          <w:u w:val="none"/>
        </w:rPr>
        <w:t xml:space="preserve">.  The Town and McLaughlin, respectively, own piers approximately 69 and 103 feet away from the proposed pier.  </w:t>
      </w:r>
      <w:r w:rsidR="00E233AB">
        <w:rPr>
          <w:b w:val="0"/>
          <w:szCs w:val="24"/>
          <w:u w:val="none"/>
        </w:rPr>
        <w:t xml:space="preserve">The proposed pier would lie in between those two piers.  </w:t>
      </w:r>
      <w:r w:rsidR="00601A29" w:rsidRPr="00E7475E">
        <w:rPr>
          <w:b w:val="0"/>
          <w:szCs w:val="24"/>
          <w:u w:val="none"/>
        </w:rPr>
        <w:t>The Town pier</w:t>
      </w:r>
      <w:r w:rsidR="00E233AB">
        <w:rPr>
          <w:b w:val="0"/>
          <w:szCs w:val="24"/>
          <w:u w:val="none"/>
        </w:rPr>
        <w:t xml:space="preserve"> is to </w:t>
      </w:r>
      <w:r w:rsidR="00601A29" w:rsidRPr="00E7475E">
        <w:rPr>
          <w:b w:val="0"/>
          <w:szCs w:val="24"/>
          <w:u w:val="none"/>
        </w:rPr>
        <w:t>the south of the proposed pier</w:t>
      </w:r>
      <w:r w:rsidR="00E233AB">
        <w:rPr>
          <w:b w:val="0"/>
          <w:szCs w:val="24"/>
          <w:u w:val="none"/>
        </w:rPr>
        <w:t xml:space="preserve"> location</w:t>
      </w:r>
      <w:r w:rsidR="00601A29" w:rsidRPr="00E7475E">
        <w:rPr>
          <w:b w:val="0"/>
          <w:szCs w:val="24"/>
          <w:u w:val="none"/>
        </w:rPr>
        <w:t xml:space="preserve"> and the McLaughin pier </w:t>
      </w:r>
      <w:r w:rsidR="00E233AB">
        <w:rPr>
          <w:b w:val="0"/>
          <w:szCs w:val="24"/>
          <w:u w:val="none"/>
        </w:rPr>
        <w:t xml:space="preserve">is </w:t>
      </w:r>
      <w:r w:rsidR="00601A29" w:rsidRPr="00E7475E">
        <w:rPr>
          <w:b w:val="0"/>
          <w:szCs w:val="24"/>
          <w:u w:val="none"/>
        </w:rPr>
        <w:t>to the north.  McLaughlin claims that the proposed pier will significantly interfere with access to and from the pier on her property.</w:t>
      </w:r>
      <w:r w:rsidR="002955AA" w:rsidRPr="00E7475E">
        <w:rPr>
          <w:b w:val="0"/>
          <w:szCs w:val="24"/>
          <w:u w:val="none"/>
        </w:rPr>
        <w:t xml:space="preserve">  Likewise, the Town asserts that the proposed pier will significantly interfere with the ability of </w:t>
      </w:r>
      <w:r w:rsidR="002955AA" w:rsidRPr="00E7475E">
        <w:rPr>
          <w:b w:val="0"/>
          <w:szCs w:val="24"/>
          <w:u w:val="none"/>
        </w:rPr>
        <w:lastRenderedPageBreak/>
        <w:t>approximately seven commercial fishing boats to access slips they lease from the Town on the north side of the Town pier.</w:t>
      </w:r>
    </w:p>
    <w:p w:rsidR="00CE06D4" w:rsidRDefault="002955AA" w:rsidP="00601A29">
      <w:pPr>
        <w:pStyle w:val="Title"/>
        <w:spacing w:line="480" w:lineRule="auto"/>
        <w:jc w:val="left"/>
        <w:rPr>
          <w:b w:val="0"/>
          <w:szCs w:val="24"/>
          <w:u w:val="none"/>
        </w:rPr>
      </w:pPr>
      <w:r w:rsidRPr="00E7475E">
        <w:rPr>
          <w:b w:val="0"/>
          <w:szCs w:val="24"/>
          <w:u w:val="none"/>
        </w:rPr>
        <w:tab/>
        <w:t xml:space="preserve">The parties presented written testimony and exhibits and cross examined witnesses in an </w:t>
      </w:r>
      <w:r w:rsidR="00966540">
        <w:rPr>
          <w:b w:val="0"/>
          <w:szCs w:val="24"/>
          <w:u w:val="none"/>
        </w:rPr>
        <w:t xml:space="preserve">evidentiary </w:t>
      </w:r>
      <w:r w:rsidRPr="00E7475E">
        <w:rPr>
          <w:b w:val="0"/>
          <w:szCs w:val="24"/>
          <w:u w:val="none"/>
        </w:rPr>
        <w:t xml:space="preserve">adjudicatory hearing.  After reviewing the administrative record and applicable law I find that neither the Town nor McLaughlin have </w:t>
      </w:r>
      <w:r w:rsidR="00CA253A">
        <w:rPr>
          <w:b w:val="0"/>
          <w:szCs w:val="24"/>
          <w:u w:val="none"/>
        </w:rPr>
        <w:t>proven by</w:t>
      </w:r>
      <w:r w:rsidRPr="00E7475E">
        <w:rPr>
          <w:b w:val="0"/>
          <w:szCs w:val="24"/>
          <w:u w:val="none"/>
        </w:rPr>
        <w:t xml:space="preserve"> a preponderance of the evidence that the proposed pier will</w:t>
      </w:r>
      <w:r w:rsidR="000E19F0">
        <w:rPr>
          <w:b w:val="0"/>
          <w:szCs w:val="24"/>
          <w:u w:val="none"/>
        </w:rPr>
        <w:t xml:space="preserve"> significantly</w:t>
      </w:r>
      <w:r w:rsidRPr="00E7475E">
        <w:rPr>
          <w:b w:val="0"/>
          <w:szCs w:val="24"/>
          <w:u w:val="none"/>
        </w:rPr>
        <w:t xml:space="preserve"> interfere with the claimed rights of access.  </w:t>
      </w:r>
      <w:r w:rsidR="00DC7A81" w:rsidRPr="00E7475E">
        <w:rPr>
          <w:b w:val="0"/>
          <w:szCs w:val="24"/>
          <w:u w:val="none"/>
        </w:rPr>
        <w:t>There is substantially more than enough room for McLaughlin to travel to and from her pier</w:t>
      </w:r>
      <w:r w:rsidR="005063A7">
        <w:rPr>
          <w:b w:val="0"/>
          <w:szCs w:val="24"/>
          <w:u w:val="none"/>
        </w:rPr>
        <w:t xml:space="preserve"> without any significant interference</w:t>
      </w:r>
      <w:r w:rsidR="00DC7A81" w:rsidRPr="00E7475E">
        <w:rPr>
          <w:b w:val="0"/>
          <w:szCs w:val="24"/>
          <w:u w:val="none"/>
        </w:rPr>
        <w:t>.  And although the fishing boat</w:t>
      </w:r>
      <w:r w:rsidR="00992F77">
        <w:rPr>
          <w:b w:val="0"/>
          <w:szCs w:val="24"/>
          <w:u w:val="none"/>
        </w:rPr>
        <w:t>s</w:t>
      </w:r>
      <w:r w:rsidR="00DC7A81" w:rsidRPr="00E7475E">
        <w:rPr>
          <w:b w:val="0"/>
          <w:szCs w:val="24"/>
          <w:u w:val="none"/>
        </w:rPr>
        <w:t xml:space="preserve"> that use the nearest </w:t>
      </w:r>
      <w:r w:rsidR="00992F77">
        <w:rPr>
          <w:b w:val="0"/>
          <w:szCs w:val="24"/>
          <w:u w:val="none"/>
        </w:rPr>
        <w:t xml:space="preserve">two </w:t>
      </w:r>
      <w:r w:rsidR="00DC7A81" w:rsidRPr="00E7475E">
        <w:rPr>
          <w:b w:val="0"/>
          <w:szCs w:val="24"/>
          <w:u w:val="none"/>
        </w:rPr>
        <w:t>slip</w:t>
      </w:r>
      <w:r w:rsidR="00992F77">
        <w:rPr>
          <w:b w:val="0"/>
          <w:szCs w:val="24"/>
          <w:u w:val="none"/>
        </w:rPr>
        <w:t>s</w:t>
      </w:r>
      <w:r w:rsidR="00DC7A81" w:rsidRPr="00E7475E">
        <w:rPr>
          <w:b w:val="0"/>
          <w:szCs w:val="24"/>
          <w:u w:val="none"/>
        </w:rPr>
        <w:t xml:space="preserve"> on the Town pier may at times have to maneuver slightly more to access the slip</w:t>
      </w:r>
      <w:r w:rsidR="00992F77">
        <w:rPr>
          <w:b w:val="0"/>
          <w:szCs w:val="24"/>
          <w:u w:val="none"/>
        </w:rPr>
        <w:t>s</w:t>
      </w:r>
      <w:r w:rsidR="00DC7A81" w:rsidRPr="00E7475E">
        <w:rPr>
          <w:b w:val="0"/>
          <w:szCs w:val="24"/>
          <w:u w:val="none"/>
        </w:rPr>
        <w:t xml:space="preserve"> during the three months out of the year that</w:t>
      </w:r>
      <w:r w:rsidR="008F67EF">
        <w:rPr>
          <w:b w:val="0"/>
          <w:szCs w:val="24"/>
          <w:u w:val="none"/>
        </w:rPr>
        <w:t xml:space="preserve"> the</w:t>
      </w:r>
      <w:r w:rsidR="00DC7A81" w:rsidRPr="00E7475E">
        <w:rPr>
          <w:b w:val="0"/>
          <w:szCs w:val="24"/>
          <w:u w:val="none"/>
        </w:rPr>
        <w:t xml:space="preserve"> Maher pier is in the water, that</w:t>
      </w:r>
      <w:r w:rsidR="005063A7">
        <w:rPr>
          <w:b w:val="0"/>
          <w:szCs w:val="24"/>
          <w:u w:val="none"/>
        </w:rPr>
        <w:t xml:space="preserve"> additional maneuvering </w:t>
      </w:r>
      <w:r w:rsidR="00DC7A81" w:rsidRPr="00E7475E">
        <w:rPr>
          <w:b w:val="0"/>
          <w:szCs w:val="24"/>
          <w:u w:val="none"/>
        </w:rPr>
        <w:t>does not constitute a significant int</w:t>
      </w:r>
      <w:r w:rsidR="00992F77">
        <w:rPr>
          <w:b w:val="0"/>
          <w:szCs w:val="24"/>
          <w:u w:val="none"/>
        </w:rPr>
        <w:t>erference.  As a consequence,</w:t>
      </w:r>
      <w:r w:rsidR="006D31BB">
        <w:rPr>
          <w:b w:val="0"/>
          <w:szCs w:val="24"/>
          <w:u w:val="none"/>
        </w:rPr>
        <w:t xml:space="preserve"> I</w:t>
      </w:r>
      <w:r w:rsidR="00330C87">
        <w:rPr>
          <w:b w:val="0"/>
          <w:szCs w:val="24"/>
          <w:u w:val="none"/>
        </w:rPr>
        <w:t xml:space="preserve"> </w:t>
      </w:r>
      <w:r w:rsidR="00A43B49">
        <w:rPr>
          <w:b w:val="0"/>
          <w:szCs w:val="24"/>
          <w:u w:val="none"/>
        </w:rPr>
        <w:t xml:space="preserve">recommend that the DEP Commissioner </w:t>
      </w:r>
      <w:r w:rsidR="00DC7A81" w:rsidRPr="00E7475E">
        <w:rPr>
          <w:b w:val="0"/>
          <w:szCs w:val="24"/>
          <w:u w:val="none"/>
        </w:rPr>
        <w:t>issue a Final Decision affirming the Draft Waterways License.</w:t>
      </w:r>
      <w:r w:rsidR="00A43B49">
        <w:rPr>
          <w:b w:val="0"/>
          <w:szCs w:val="24"/>
          <w:u w:val="none"/>
        </w:rPr>
        <w:t xml:space="preserve">  </w:t>
      </w:r>
    </w:p>
    <w:p w:rsidR="00601A29" w:rsidRPr="00E7475E" w:rsidRDefault="00806353" w:rsidP="00CE06D4">
      <w:pPr>
        <w:pStyle w:val="Title"/>
        <w:spacing w:line="480" w:lineRule="auto"/>
        <w:ind w:firstLine="720"/>
        <w:jc w:val="left"/>
        <w:rPr>
          <w:b w:val="0"/>
          <w:szCs w:val="24"/>
          <w:u w:val="none"/>
        </w:rPr>
      </w:pPr>
      <w:r>
        <w:rPr>
          <w:b w:val="0"/>
          <w:szCs w:val="24"/>
          <w:u w:val="none"/>
        </w:rPr>
        <w:t xml:space="preserve">This </w:t>
      </w:r>
      <w:r w:rsidR="00CE06D4">
        <w:rPr>
          <w:b w:val="0"/>
          <w:szCs w:val="24"/>
          <w:u w:val="none"/>
        </w:rPr>
        <w:t>Recommended Final Decision</w:t>
      </w:r>
      <w:r>
        <w:rPr>
          <w:b w:val="0"/>
          <w:szCs w:val="24"/>
          <w:u w:val="none"/>
        </w:rPr>
        <w:t xml:space="preserve"> follows a Tentative Decision that I issued on December 4, 2015.</w:t>
      </w:r>
      <w:r w:rsidR="005F33F9">
        <w:rPr>
          <w:b w:val="0"/>
          <w:szCs w:val="24"/>
          <w:u w:val="none"/>
        </w:rPr>
        <w:t xml:space="preserve">  I issued that Tentative Decision pursuant to 310 CMR 1.01(14)(a) and (c) because the Presiding Officer who </w:t>
      </w:r>
      <w:r w:rsidR="00CE06D4">
        <w:rPr>
          <w:b w:val="0"/>
          <w:szCs w:val="24"/>
          <w:u w:val="none"/>
        </w:rPr>
        <w:t>conducted</w:t>
      </w:r>
      <w:r w:rsidR="005F33F9">
        <w:rPr>
          <w:b w:val="0"/>
          <w:szCs w:val="24"/>
          <w:u w:val="none"/>
        </w:rPr>
        <w:t xml:space="preserve"> the adjudicatory hearing is no longer available to issue a Recommended Final Decision.  After I issued the Tentative Decision, the parties had 7 business days to file objections to the decision.  None were filed.  Th</w:t>
      </w:r>
      <w:r w:rsidR="00045AEA">
        <w:rPr>
          <w:b w:val="0"/>
          <w:szCs w:val="24"/>
          <w:u w:val="none"/>
        </w:rPr>
        <w:t xml:space="preserve">e absence of objections </w:t>
      </w:r>
      <w:r w:rsidR="005F33F9">
        <w:rPr>
          <w:b w:val="0"/>
          <w:szCs w:val="24"/>
          <w:u w:val="none"/>
        </w:rPr>
        <w:t xml:space="preserve">is another reason why the Commissioner should adopted this Recommended Final Decision, which </w:t>
      </w:r>
      <w:r w:rsidR="00C53CA9">
        <w:rPr>
          <w:b w:val="0"/>
          <w:szCs w:val="24"/>
          <w:u w:val="none"/>
        </w:rPr>
        <w:t>is similar in all material respects to the Tentative Decision.</w:t>
      </w:r>
      <w:r w:rsidR="008F298B">
        <w:rPr>
          <w:rStyle w:val="FootnoteReference"/>
          <w:b w:val="0"/>
          <w:szCs w:val="24"/>
          <w:u w:val="none"/>
        </w:rPr>
        <w:footnoteReference w:id="1"/>
      </w:r>
      <w:r w:rsidR="00A43B49">
        <w:rPr>
          <w:b w:val="0"/>
          <w:szCs w:val="24"/>
          <w:u w:val="none"/>
        </w:rPr>
        <w:t xml:space="preserve">  </w:t>
      </w:r>
      <w:r w:rsidR="00DC7A81" w:rsidRPr="00E7475E">
        <w:rPr>
          <w:b w:val="0"/>
          <w:szCs w:val="24"/>
          <w:u w:val="none"/>
        </w:rPr>
        <w:t xml:space="preserve">  </w:t>
      </w:r>
      <w:r w:rsidR="002955AA" w:rsidRPr="00E7475E">
        <w:rPr>
          <w:b w:val="0"/>
          <w:szCs w:val="24"/>
          <w:u w:val="none"/>
        </w:rPr>
        <w:t xml:space="preserve">   </w:t>
      </w:r>
      <w:r w:rsidR="00601A29" w:rsidRPr="00E7475E">
        <w:rPr>
          <w:b w:val="0"/>
          <w:szCs w:val="24"/>
          <w:u w:val="none"/>
        </w:rPr>
        <w:t xml:space="preserve"> </w:t>
      </w:r>
    </w:p>
    <w:p w:rsidR="00515080" w:rsidRPr="00E7475E" w:rsidRDefault="00515080" w:rsidP="00601A29">
      <w:pPr>
        <w:pStyle w:val="Title"/>
        <w:spacing w:line="480" w:lineRule="auto"/>
        <w:rPr>
          <w:b w:val="0"/>
          <w:szCs w:val="24"/>
          <w:u w:val="none"/>
        </w:rPr>
      </w:pPr>
      <w:r w:rsidRPr="00E7475E">
        <w:rPr>
          <w:szCs w:val="24"/>
        </w:rPr>
        <w:lastRenderedPageBreak/>
        <w:t>REGULATORY FRAMEWORK</w:t>
      </w:r>
    </w:p>
    <w:p w:rsidR="0075751F" w:rsidRDefault="0075751F" w:rsidP="008F6F2B">
      <w:pPr>
        <w:pStyle w:val="NormalWeb"/>
        <w:shd w:val="clear" w:color="auto" w:fill="FFFFFF"/>
        <w:spacing w:before="0" w:beforeAutospacing="0" w:after="0" w:afterAutospacing="0" w:line="480" w:lineRule="auto"/>
        <w:ind w:firstLine="720"/>
        <w:contextualSpacing/>
        <w:textAlignment w:val="baseline"/>
      </w:pPr>
      <w:r>
        <w:t xml:space="preserve">Rights of access in certain </w:t>
      </w:r>
      <w:r>
        <w:rPr>
          <w:rStyle w:val="sssh"/>
        </w:rPr>
        <w:t>waterways</w:t>
      </w:r>
      <w:r>
        <w:t xml:space="preserve"> are governed by G.L. c. 91 and the implementing regulations, 310 CMR 9.00. "The obligation to preserve the public trust and to protect the public's interest . . . has been delegated by the Legislature to [DEP], which, as charged in G. L. c. 91, § 2, 'shall act to preserve and protect the rights in tidelands of the inhabitants of the commonwealth by ensuring that the tidelands are utilized only for water-dependent uses or otherwise serve a proper public purpose'"  </w:t>
      </w:r>
      <w:r w:rsidRPr="0075751F">
        <w:rPr>
          <w:u w:val="single"/>
        </w:rPr>
        <w:t>Moot v. Department of Entl. Protection</w:t>
      </w:r>
      <w:r>
        <w:t>, 448 Mass. 340, 342-43 (2007).  "General Laws c. 91 governs, among other things, water-and nonwater-dependent development in tidelands [and Great Ponds] and the public's right to use those lands. . . ."</w:t>
      </w:r>
      <w:r w:rsidR="00995EAD">
        <w:t xml:space="preserve"> </w:t>
      </w:r>
      <w:r>
        <w:t xml:space="preserve"> </w:t>
      </w:r>
      <w:r w:rsidRPr="00995EAD">
        <w:rPr>
          <w:rStyle w:val="ssun"/>
          <w:u w:val="single"/>
        </w:rPr>
        <w:t>Id</w:t>
      </w:r>
      <w:r>
        <w:rPr>
          <w:rStyle w:val="ssun"/>
        </w:rPr>
        <w:t>.</w:t>
      </w:r>
    </w:p>
    <w:p w:rsidR="008F6F2B" w:rsidRPr="008F6F2B" w:rsidRDefault="008F6F2B" w:rsidP="008F6F2B">
      <w:pPr>
        <w:pStyle w:val="NormalWeb"/>
        <w:shd w:val="clear" w:color="auto" w:fill="FFFFFF"/>
        <w:spacing w:before="0" w:beforeAutospacing="0" w:after="0" w:afterAutospacing="0" w:line="480" w:lineRule="auto"/>
        <w:ind w:firstLine="720"/>
        <w:contextualSpacing/>
        <w:textAlignment w:val="baseline"/>
      </w:pPr>
      <w:r w:rsidRPr="008F6F2B">
        <w:t>Th</w:t>
      </w:r>
      <w:r>
        <w:t xml:space="preserve">is appeal concerns the regulatory requirement in 310 CMR 9.36(2) that a structure not </w:t>
      </w:r>
      <w:r w:rsidR="00A50C95">
        <w:t xml:space="preserve">significantly </w:t>
      </w:r>
      <w:r w:rsidRPr="008F6F2B">
        <w:t>interfere with</w:t>
      </w:r>
      <w:r w:rsidR="00995EAD">
        <w:t xml:space="preserve"> one’s</w:t>
      </w:r>
      <w:r>
        <w:t xml:space="preserve"> travel </w:t>
      </w:r>
      <w:r w:rsidR="00995EAD">
        <w:t xml:space="preserve">in the water </w:t>
      </w:r>
      <w:r w:rsidRPr="008F6F2B">
        <w:t>to and from their property</w:t>
      </w:r>
      <w:r>
        <w:t xml:space="preserve">.  In particular, the regulation </w:t>
      </w:r>
      <w:r w:rsidRPr="008F6F2B">
        <w:t>provides in pertinent part the following:</w:t>
      </w:r>
    </w:p>
    <w:p w:rsidR="008F6F2B" w:rsidRDefault="008F6F2B" w:rsidP="0075751F">
      <w:pPr>
        <w:pStyle w:val="NormalWeb"/>
        <w:shd w:val="clear" w:color="auto" w:fill="FFFFFF"/>
        <w:spacing w:before="0" w:beforeAutospacing="0" w:after="0" w:afterAutospacing="0"/>
        <w:ind w:left="1440" w:right="1440"/>
        <w:contextualSpacing/>
        <w:textAlignment w:val="baseline"/>
      </w:pPr>
      <w:r w:rsidRPr="008F6F2B">
        <w:t>(2) Private Access to Littoral or Riparian Property -- The project shall not</w:t>
      </w:r>
      <w:r w:rsidRPr="008F6F2B">
        <w:rPr>
          <w:rStyle w:val="apple-converted-space"/>
        </w:rPr>
        <w:t> </w:t>
      </w:r>
      <w:r w:rsidRPr="008F6F2B">
        <w:rPr>
          <w:rStyle w:val="ssun"/>
          <w:u w:val="single"/>
          <w:bdr w:val="none" w:sz="0" w:space="0" w:color="auto" w:frame="1"/>
        </w:rPr>
        <w:t>significantly</w:t>
      </w:r>
      <w:r w:rsidRPr="008F6F2B">
        <w:rPr>
          <w:rStyle w:val="apple-converted-space"/>
        </w:rPr>
        <w:t> </w:t>
      </w:r>
      <w:r w:rsidRPr="008F6F2B">
        <w:t>interfere with littoral or riparian property owners' right to approach their property from a</w:t>
      </w:r>
      <w:r w:rsidR="0075751F">
        <w:t xml:space="preserve"> waterway</w:t>
      </w:r>
      <w:r w:rsidRPr="008F6F2B">
        <w:t>, and to approach the</w:t>
      </w:r>
      <w:r w:rsidR="0075751F">
        <w:t xml:space="preserve"> waterway </w:t>
      </w:r>
      <w:r w:rsidRPr="008F6F2B">
        <w:t>from said property, as provided in</w:t>
      </w:r>
      <w:r w:rsidRPr="008F6F2B">
        <w:rPr>
          <w:rStyle w:val="apple-converted-space"/>
        </w:rPr>
        <w:t> </w:t>
      </w:r>
      <w:hyperlink r:id="rId8" w:history="1">
        <w:r w:rsidRPr="008F6F2B">
          <w:rPr>
            <w:rStyle w:val="Hyperlink"/>
            <w:color w:val="auto"/>
            <w:bdr w:val="none" w:sz="0" w:space="0" w:color="auto" w:frame="1"/>
          </w:rPr>
          <w:t>M.G.L. c. 91, § 17</w:t>
        </w:r>
      </w:hyperlink>
      <w:r w:rsidRPr="008F6F2B">
        <w:t>. In evaluating whether such</w:t>
      </w:r>
      <w:r w:rsidRPr="008F6F2B">
        <w:rPr>
          <w:rStyle w:val="apple-converted-space"/>
        </w:rPr>
        <w:t> </w:t>
      </w:r>
      <w:r w:rsidR="0075751F">
        <w:rPr>
          <w:rStyle w:val="apple-converted-space"/>
        </w:rPr>
        <w:t>interference</w:t>
      </w:r>
      <w:r w:rsidR="0075751F" w:rsidRPr="008F6F2B">
        <w:t xml:space="preserve"> </w:t>
      </w:r>
      <w:r w:rsidRPr="008F6F2B">
        <w:t>is caused by a proposed structure, the Department may consider</w:t>
      </w:r>
      <w:r w:rsidRPr="008F6F2B">
        <w:rPr>
          <w:rStyle w:val="sspagshow"/>
          <w:b/>
          <w:bCs/>
          <w:bdr w:val="none" w:sz="0" w:space="0" w:color="auto" w:frame="1"/>
        </w:rPr>
        <w:t> </w:t>
      </w:r>
      <w:r w:rsidRPr="008F6F2B">
        <w:t>the proximity of the structure to abutting littoral or riparian property and the density of existing structures. In the case of a proposed structure which extends perpendicular to the shore, the Department shall require its placement at least</w:t>
      </w:r>
      <w:r w:rsidRPr="008F6F2B">
        <w:rPr>
          <w:rStyle w:val="apple-converted-space"/>
        </w:rPr>
        <w:t> </w:t>
      </w:r>
      <w:r w:rsidRPr="008F6F2B">
        <w:rPr>
          <w:rStyle w:val="ssun"/>
          <w:u w:val="single"/>
          <w:bdr w:val="none" w:sz="0" w:space="0" w:color="auto" w:frame="1"/>
        </w:rPr>
        <w:t>25 feet away from such abutting property lines</w:t>
      </w:r>
      <w:r w:rsidRPr="008F6F2B">
        <w:t>, where feasible. (emphasis added)</w:t>
      </w:r>
    </w:p>
    <w:p w:rsidR="0075751F" w:rsidRPr="008F6F2B" w:rsidRDefault="0075751F" w:rsidP="0075751F">
      <w:pPr>
        <w:pStyle w:val="NormalWeb"/>
        <w:shd w:val="clear" w:color="auto" w:fill="FFFFFF"/>
        <w:spacing w:before="0" w:beforeAutospacing="0" w:after="0" w:afterAutospacing="0"/>
        <w:ind w:left="1440" w:right="1440"/>
        <w:contextualSpacing/>
        <w:textAlignment w:val="baseline"/>
      </w:pPr>
    </w:p>
    <w:p w:rsidR="008F6F2B" w:rsidRPr="008F6F2B" w:rsidRDefault="008F6F2B" w:rsidP="00995EAD">
      <w:pPr>
        <w:pStyle w:val="NormalWeb"/>
        <w:shd w:val="clear" w:color="auto" w:fill="FFFFFF"/>
        <w:spacing w:before="0" w:beforeAutospacing="0" w:after="0" w:afterAutospacing="0" w:line="480" w:lineRule="auto"/>
        <w:ind w:firstLine="720"/>
        <w:contextualSpacing/>
        <w:textAlignment w:val="baseline"/>
      </w:pPr>
      <w:r w:rsidRPr="008F6F2B">
        <w:lastRenderedPageBreak/>
        <w:t>A</w:t>
      </w:r>
      <w:r w:rsidR="0075751F">
        <w:t xml:space="preserve"> significant interference </w:t>
      </w:r>
      <w:r w:rsidRPr="008F6F2B">
        <w:t>must be greater than a mere inconvenience or increase in difficulty in access.</w:t>
      </w:r>
      <w:r w:rsidRPr="008F6F2B">
        <w:rPr>
          <w:rStyle w:val="apple-converted-space"/>
        </w:rPr>
        <w:t> </w:t>
      </w:r>
      <w:r w:rsidRPr="008F6F2B">
        <w:rPr>
          <w:rStyle w:val="ssun"/>
          <w:u w:val="single"/>
          <w:bdr w:val="none" w:sz="0" w:space="0" w:color="auto" w:frame="1"/>
        </w:rPr>
        <w:t xml:space="preserve">See </w:t>
      </w:r>
      <w:r w:rsidR="00995EAD" w:rsidRPr="00995EAD">
        <w:rPr>
          <w:rStyle w:val="ssun"/>
          <w:u w:val="single"/>
          <w:bdr w:val="none" w:sz="0" w:space="0" w:color="auto" w:frame="1"/>
        </w:rPr>
        <w:t>Matter of Legowski</w:t>
      </w:r>
      <w:r w:rsidR="00995EAD">
        <w:rPr>
          <w:rStyle w:val="ssun"/>
          <w:bdr w:val="none" w:sz="0" w:space="0" w:color="auto" w:frame="1"/>
        </w:rPr>
        <w:t xml:space="preserve">, Docket No. 2011-039, Recommended Final Decision (October 25, 2012), adopted by Final Decision (November 5, 2012) (citing </w:t>
      </w:r>
      <w:r w:rsidRPr="008F6F2B">
        <w:rPr>
          <w:rStyle w:val="ssun"/>
          <w:u w:val="single"/>
          <w:bdr w:val="none" w:sz="0" w:space="0" w:color="auto" w:frame="1"/>
        </w:rPr>
        <w:t>Matter of Abdelnour</w:t>
      </w:r>
      <w:r w:rsidRPr="008F6F2B">
        <w:t>, Docket Nos. 88-138, 88-358, 88-359, 88-360, 88-361, 90-270, Final Decision: Part I (November 22, 1994) (it is not a</w:t>
      </w:r>
      <w:r w:rsidR="00995EAD">
        <w:t xml:space="preserve"> significant interference </w:t>
      </w:r>
      <w:r w:rsidRPr="008F6F2B">
        <w:t>to the right to approach one's littoral property when a proposed pier would cause an abutting property owner to make one additional tack with a sailboat);</w:t>
      </w:r>
      <w:r w:rsidR="00995EAD">
        <w:t xml:space="preserve"> </w:t>
      </w:r>
      <w:r w:rsidRPr="008F6F2B">
        <w:rPr>
          <w:rStyle w:val="ssun"/>
          <w:u w:val="single"/>
          <w:bdr w:val="none" w:sz="0" w:space="0" w:color="auto" w:frame="1"/>
        </w:rPr>
        <w:t>Matter of Squeek Realty Trust</w:t>
      </w:r>
      <w:r w:rsidRPr="008F6F2B">
        <w:t>, Docket No. 2008-137, -138, -140, &amp; -141, Recommended Final Decision (July 2, 2010), adopted by Final Decision (July 7, 2010) ("[d]ifficulty in docking a recreational boat does not … equate to being totally cut off from water access to one's property.")</w:t>
      </w:r>
      <w:r w:rsidR="00995EAD">
        <w:t xml:space="preserve">).  Significant interference </w:t>
      </w:r>
      <w:r w:rsidRPr="008F6F2B">
        <w:t>must be supported by evidence greater than anecdotal or conclusory statements.</w:t>
      </w:r>
      <w:r w:rsidR="00995EAD">
        <w:t xml:space="preserve">  </w:t>
      </w:r>
      <w:r w:rsidR="00995EAD" w:rsidRPr="00995EAD">
        <w:rPr>
          <w:u w:val="single"/>
        </w:rPr>
        <w:t>Id</w:t>
      </w:r>
      <w:r w:rsidR="00995EAD">
        <w:t>.</w:t>
      </w:r>
      <w:r w:rsidRPr="008F6F2B">
        <w:rPr>
          <w:rStyle w:val="sspagshow"/>
          <w:b/>
          <w:bCs/>
          <w:bdr w:val="none" w:sz="0" w:space="0" w:color="auto" w:frame="1"/>
        </w:rPr>
        <w:t> </w:t>
      </w:r>
    </w:p>
    <w:p w:rsidR="001838A8" w:rsidRDefault="008F6F2B" w:rsidP="00B41D0F">
      <w:pPr>
        <w:spacing w:line="480" w:lineRule="auto"/>
        <w:ind w:firstLine="720"/>
        <w:contextualSpacing/>
        <w:rPr>
          <w:sz w:val="24"/>
          <w:szCs w:val="24"/>
        </w:rPr>
      </w:pPr>
      <w:r w:rsidRPr="008F6F2B">
        <w:rPr>
          <w:sz w:val="24"/>
          <w:szCs w:val="24"/>
        </w:rPr>
        <w:t xml:space="preserve">In determining whether </w:t>
      </w:r>
      <w:r w:rsidRPr="008F6F2B">
        <w:rPr>
          <w:rStyle w:val="sssh"/>
          <w:sz w:val="24"/>
          <w:szCs w:val="24"/>
        </w:rPr>
        <w:t>interference</w:t>
      </w:r>
      <w:r w:rsidRPr="008F6F2B">
        <w:rPr>
          <w:sz w:val="24"/>
          <w:szCs w:val="24"/>
        </w:rPr>
        <w:t xml:space="preserve"> is </w:t>
      </w:r>
      <w:r w:rsidRPr="008F6F2B">
        <w:rPr>
          <w:rStyle w:val="sssh"/>
          <w:sz w:val="24"/>
          <w:szCs w:val="24"/>
        </w:rPr>
        <w:t>significant</w:t>
      </w:r>
      <w:r w:rsidRPr="008F6F2B">
        <w:rPr>
          <w:sz w:val="24"/>
          <w:szCs w:val="24"/>
        </w:rPr>
        <w:t xml:space="preserve">, the Department may consider whether and the degree to which the </w:t>
      </w:r>
      <w:r w:rsidRPr="008F6F2B">
        <w:rPr>
          <w:rStyle w:val="sssh"/>
          <w:sz w:val="24"/>
          <w:szCs w:val="24"/>
        </w:rPr>
        <w:t>interference</w:t>
      </w:r>
      <w:r w:rsidRPr="008F6F2B">
        <w:rPr>
          <w:sz w:val="24"/>
          <w:szCs w:val="24"/>
        </w:rPr>
        <w:t xml:space="preserve"> is experienced by the public in general or a single abutter, and the "difficulty in adjustments [to a vessel's course] by existing users." </w:t>
      </w:r>
      <w:r w:rsidRPr="00995EAD">
        <w:rPr>
          <w:rStyle w:val="ssun"/>
          <w:sz w:val="24"/>
          <w:szCs w:val="24"/>
          <w:u w:val="single"/>
        </w:rPr>
        <w:t>Matter of Oliveira</w:t>
      </w:r>
      <w:r w:rsidRPr="008F6F2B">
        <w:rPr>
          <w:sz w:val="24"/>
          <w:szCs w:val="24"/>
        </w:rPr>
        <w:t>, Docket No. 2010-017, Recommended Final Decision (January 7, 2011), adopted by Final Decision (January 7, 2011), citing</w:t>
      </w:r>
      <w:r w:rsidR="00995EAD">
        <w:rPr>
          <w:rStyle w:val="sspagshow"/>
          <w:sz w:val="24"/>
          <w:szCs w:val="24"/>
        </w:rPr>
        <w:t xml:space="preserve"> </w:t>
      </w:r>
      <w:r w:rsidRPr="00995EAD">
        <w:rPr>
          <w:rStyle w:val="ssun"/>
          <w:sz w:val="24"/>
          <w:szCs w:val="24"/>
          <w:u w:val="single"/>
        </w:rPr>
        <w:t>Matter of Stanley A. Sylvia</w:t>
      </w:r>
      <w:r w:rsidRPr="008F6F2B">
        <w:rPr>
          <w:sz w:val="24"/>
          <w:szCs w:val="24"/>
        </w:rPr>
        <w:t>, Docket No. 95-110, Final Decision (February 4, 1997).</w:t>
      </w:r>
      <w:r w:rsidR="00995EAD">
        <w:rPr>
          <w:sz w:val="24"/>
          <w:szCs w:val="24"/>
        </w:rPr>
        <w:t xml:space="preserve"> </w:t>
      </w:r>
      <w:r w:rsidRPr="008F6F2B">
        <w:rPr>
          <w:sz w:val="24"/>
          <w:szCs w:val="24"/>
        </w:rPr>
        <w:t xml:space="preserve"> In other words, measuring the significance of </w:t>
      </w:r>
      <w:r w:rsidRPr="008F6F2B">
        <w:rPr>
          <w:rStyle w:val="sssh"/>
          <w:sz w:val="24"/>
          <w:szCs w:val="24"/>
        </w:rPr>
        <w:t>interference</w:t>
      </w:r>
      <w:r w:rsidRPr="008F6F2B">
        <w:rPr>
          <w:sz w:val="24"/>
          <w:szCs w:val="24"/>
        </w:rPr>
        <w:t xml:space="preserve"> may include an examination of who is experiencing the </w:t>
      </w:r>
      <w:r w:rsidRPr="008F6F2B">
        <w:rPr>
          <w:rStyle w:val="sssh"/>
          <w:sz w:val="24"/>
          <w:szCs w:val="24"/>
        </w:rPr>
        <w:t>interference</w:t>
      </w:r>
      <w:r w:rsidRPr="008F6F2B">
        <w:rPr>
          <w:sz w:val="24"/>
          <w:szCs w:val="24"/>
        </w:rPr>
        <w:t xml:space="preserve">, the expected frequency of the </w:t>
      </w:r>
      <w:r w:rsidRPr="008F6F2B">
        <w:rPr>
          <w:rStyle w:val="sssh"/>
          <w:sz w:val="24"/>
          <w:szCs w:val="24"/>
        </w:rPr>
        <w:t>interference</w:t>
      </w:r>
      <w:r w:rsidRPr="008F6F2B">
        <w:rPr>
          <w:sz w:val="24"/>
          <w:szCs w:val="24"/>
        </w:rPr>
        <w:t xml:space="preserve">, and the extent or type of the </w:t>
      </w:r>
      <w:r w:rsidRPr="008F6F2B">
        <w:rPr>
          <w:rStyle w:val="sssh"/>
          <w:sz w:val="24"/>
          <w:szCs w:val="24"/>
        </w:rPr>
        <w:t>interference</w:t>
      </w:r>
      <w:r w:rsidRPr="008F6F2B">
        <w:rPr>
          <w:sz w:val="24"/>
          <w:szCs w:val="24"/>
        </w:rPr>
        <w:t xml:space="preserve">. For example, merely having to navigate around a dock is not </w:t>
      </w:r>
      <w:r w:rsidRPr="008F6F2B">
        <w:rPr>
          <w:rStyle w:val="sssh"/>
          <w:sz w:val="24"/>
          <w:szCs w:val="24"/>
        </w:rPr>
        <w:t>significant</w:t>
      </w:r>
      <w:r w:rsidRPr="008F6F2B">
        <w:rPr>
          <w:sz w:val="24"/>
          <w:szCs w:val="24"/>
        </w:rPr>
        <w:t xml:space="preserve"> </w:t>
      </w:r>
      <w:r w:rsidRPr="008F6F2B">
        <w:rPr>
          <w:rStyle w:val="sssh"/>
          <w:sz w:val="24"/>
          <w:szCs w:val="24"/>
        </w:rPr>
        <w:t>interference</w:t>
      </w:r>
      <w:r w:rsidRPr="008F6F2B">
        <w:rPr>
          <w:sz w:val="24"/>
          <w:szCs w:val="24"/>
        </w:rPr>
        <w:t xml:space="preserve">, particularly when the dock is an impediment to just one abutting property, and such property owner has an alternative navigation route. </w:t>
      </w:r>
      <w:r w:rsidR="00995EAD">
        <w:rPr>
          <w:sz w:val="24"/>
          <w:szCs w:val="24"/>
        </w:rPr>
        <w:t xml:space="preserve"> </w:t>
      </w:r>
      <w:r w:rsidRPr="00654415">
        <w:rPr>
          <w:rStyle w:val="ssun"/>
          <w:sz w:val="24"/>
          <w:szCs w:val="24"/>
          <w:u w:val="single"/>
        </w:rPr>
        <w:t>See</w:t>
      </w:r>
      <w:r w:rsidRPr="008F6F2B">
        <w:rPr>
          <w:rStyle w:val="ssun"/>
          <w:sz w:val="24"/>
          <w:szCs w:val="24"/>
        </w:rPr>
        <w:t xml:space="preserve"> </w:t>
      </w:r>
      <w:r w:rsidRPr="00654415">
        <w:rPr>
          <w:rStyle w:val="ssun"/>
          <w:sz w:val="24"/>
          <w:szCs w:val="24"/>
          <w:u w:val="single"/>
        </w:rPr>
        <w:t>Matter of Stanley A. Sylvia</w:t>
      </w:r>
      <w:r w:rsidRPr="008F6F2B">
        <w:rPr>
          <w:sz w:val="24"/>
          <w:szCs w:val="24"/>
        </w:rPr>
        <w:t xml:space="preserve">, Docket No. 95-110, Final Decision (February 4, 1997) (pier blocked access route to </w:t>
      </w:r>
      <w:r w:rsidRPr="008F6F2B">
        <w:rPr>
          <w:rStyle w:val="sssh"/>
          <w:sz w:val="24"/>
          <w:szCs w:val="24"/>
        </w:rPr>
        <w:t>waterway</w:t>
      </w:r>
      <w:r w:rsidRPr="008F6F2B">
        <w:rPr>
          <w:sz w:val="24"/>
          <w:szCs w:val="24"/>
        </w:rPr>
        <w:t xml:space="preserve"> for one neighboring property owner, but owner had viable alternative route of </w:t>
      </w:r>
      <w:r w:rsidRPr="008F6F2B">
        <w:rPr>
          <w:sz w:val="24"/>
          <w:szCs w:val="24"/>
        </w:rPr>
        <w:lastRenderedPageBreak/>
        <w:t xml:space="preserve">access). </w:t>
      </w:r>
      <w:r w:rsidR="00654415">
        <w:rPr>
          <w:sz w:val="24"/>
          <w:szCs w:val="24"/>
        </w:rPr>
        <w:t xml:space="preserve"> </w:t>
      </w:r>
      <w:r w:rsidRPr="008F6F2B">
        <w:rPr>
          <w:sz w:val="24"/>
          <w:szCs w:val="24"/>
        </w:rPr>
        <w:t xml:space="preserve">On the other hand, </w:t>
      </w:r>
      <w:r w:rsidRPr="008F6F2B">
        <w:rPr>
          <w:rStyle w:val="sssh"/>
          <w:sz w:val="24"/>
          <w:szCs w:val="24"/>
        </w:rPr>
        <w:t>significant</w:t>
      </w:r>
      <w:r w:rsidRPr="008F6F2B">
        <w:rPr>
          <w:sz w:val="24"/>
          <w:szCs w:val="24"/>
        </w:rPr>
        <w:t xml:space="preserve"> </w:t>
      </w:r>
      <w:r w:rsidRPr="008F6F2B">
        <w:rPr>
          <w:rStyle w:val="sssh"/>
          <w:sz w:val="24"/>
          <w:szCs w:val="24"/>
        </w:rPr>
        <w:t>interference</w:t>
      </w:r>
      <w:r w:rsidRPr="008F6F2B">
        <w:rPr>
          <w:sz w:val="24"/>
          <w:szCs w:val="24"/>
        </w:rPr>
        <w:t xml:space="preserve"> has been shown when there was evidence that a </w:t>
      </w:r>
      <w:r w:rsidRPr="008F6F2B">
        <w:rPr>
          <w:rStyle w:val="sssh"/>
          <w:sz w:val="24"/>
          <w:szCs w:val="24"/>
        </w:rPr>
        <w:t>significant</w:t>
      </w:r>
      <w:r w:rsidRPr="008F6F2B">
        <w:rPr>
          <w:sz w:val="24"/>
          <w:szCs w:val="24"/>
        </w:rPr>
        <w:t xml:space="preserve"> number of boating trips, taken by both residents and the general public, would be impeded by a proposed pier more than 200 feet in length. </w:t>
      </w:r>
      <w:r w:rsidRPr="00654415">
        <w:rPr>
          <w:rStyle w:val="ssun"/>
          <w:sz w:val="24"/>
          <w:szCs w:val="24"/>
          <w:u w:val="single"/>
        </w:rPr>
        <w:t>Matter of Oliveira</w:t>
      </w:r>
      <w:r w:rsidRPr="008F6F2B">
        <w:rPr>
          <w:sz w:val="24"/>
          <w:szCs w:val="24"/>
        </w:rPr>
        <w:t>, Docket No. 2010-017, Recommended Final Decision (January 7, 2011), adopted by Final Decision (January 7, 2011).</w:t>
      </w:r>
    </w:p>
    <w:p w:rsidR="00120097" w:rsidRPr="00E7475E" w:rsidRDefault="00120097" w:rsidP="00120097">
      <w:pPr>
        <w:pStyle w:val="Title"/>
        <w:spacing w:line="480" w:lineRule="auto"/>
        <w:rPr>
          <w:szCs w:val="24"/>
        </w:rPr>
      </w:pPr>
      <w:r w:rsidRPr="00E7475E">
        <w:rPr>
          <w:szCs w:val="24"/>
        </w:rPr>
        <w:t>BACKGROUND</w:t>
      </w:r>
    </w:p>
    <w:p w:rsidR="00D922FF" w:rsidRPr="00E7475E" w:rsidRDefault="00292C6A" w:rsidP="00D922FF">
      <w:pPr>
        <w:pStyle w:val="Title"/>
        <w:spacing w:line="480" w:lineRule="auto"/>
        <w:ind w:firstLine="720"/>
        <w:jc w:val="left"/>
        <w:rPr>
          <w:b w:val="0"/>
          <w:szCs w:val="24"/>
          <w:u w:val="none"/>
        </w:rPr>
      </w:pPr>
      <w:r w:rsidRPr="00E7475E">
        <w:rPr>
          <w:b w:val="0"/>
          <w:szCs w:val="24"/>
          <w:u w:val="none"/>
        </w:rPr>
        <w:t xml:space="preserve">Wychmere Harbor has a significant commercial fishing presence with a number of commercial fishing boats </w:t>
      </w:r>
      <w:r w:rsidR="00765CCE" w:rsidRPr="00E7475E">
        <w:rPr>
          <w:b w:val="0"/>
          <w:szCs w:val="24"/>
          <w:u w:val="none"/>
        </w:rPr>
        <w:t>using the Town pier.  Rendon PFT</w:t>
      </w:r>
      <w:r w:rsidR="00656E72">
        <w:rPr>
          <w:rStyle w:val="FootnoteReference"/>
          <w:b w:val="0"/>
          <w:szCs w:val="24"/>
          <w:u w:val="none"/>
        </w:rPr>
        <w:footnoteReference w:id="2"/>
      </w:r>
      <w:r w:rsidR="00765CCE" w:rsidRPr="00E7475E">
        <w:rPr>
          <w:b w:val="0"/>
          <w:szCs w:val="24"/>
          <w:u w:val="none"/>
        </w:rPr>
        <w:t xml:space="preserve">, p. 2.  </w:t>
      </w:r>
      <w:r w:rsidR="0067580D" w:rsidRPr="00E7475E">
        <w:rPr>
          <w:b w:val="0"/>
          <w:szCs w:val="24"/>
          <w:u w:val="none"/>
        </w:rPr>
        <w:t>There are also several residential piers or docks in the harbor.  The Maher</w:t>
      </w:r>
      <w:r w:rsidR="00D922FF" w:rsidRPr="00E7475E">
        <w:rPr>
          <w:b w:val="0"/>
          <w:szCs w:val="24"/>
          <w:u w:val="none"/>
        </w:rPr>
        <w:t xml:space="preserve"> proposed</w:t>
      </w:r>
      <w:r w:rsidR="0067580D" w:rsidRPr="00E7475E">
        <w:rPr>
          <w:b w:val="0"/>
          <w:szCs w:val="24"/>
          <w:u w:val="none"/>
        </w:rPr>
        <w:t xml:space="preserve"> pier would be 85 feet long</w:t>
      </w:r>
      <w:r w:rsidR="00D922FF" w:rsidRPr="00E7475E">
        <w:rPr>
          <w:b w:val="0"/>
          <w:szCs w:val="24"/>
          <w:u w:val="none"/>
        </w:rPr>
        <w:t xml:space="preserve"> and in a</w:t>
      </w:r>
      <w:r w:rsidR="0067580D" w:rsidRPr="00E7475E">
        <w:rPr>
          <w:b w:val="0"/>
          <w:szCs w:val="24"/>
          <w:u w:val="none"/>
        </w:rPr>
        <w:t xml:space="preserve"> T shape, with the top of the T </w:t>
      </w:r>
      <w:r w:rsidR="00D922FF" w:rsidRPr="00E7475E">
        <w:rPr>
          <w:b w:val="0"/>
          <w:szCs w:val="24"/>
          <w:u w:val="none"/>
        </w:rPr>
        <w:t xml:space="preserve">consisting of a float </w:t>
      </w:r>
      <w:r w:rsidR="0067580D" w:rsidRPr="00E7475E">
        <w:rPr>
          <w:b w:val="0"/>
          <w:szCs w:val="24"/>
          <w:u w:val="none"/>
        </w:rPr>
        <w:t>at the seaward end.</w:t>
      </w:r>
      <w:r w:rsidR="00295770">
        <w:rPr>
          <w:b w:val="0"/>
          <w:szCs w:val="24"/>
          <w:u w:val="none"/>
        </w:rPr>
        <w:t xml:space="preserve">  The license would permit the</w:t>
      </w:r>
      <w:r w:rsidR="00B573B0">
        <w:rPr>
          <w:b w:val="0"/>
          <w:szCs w:val="24"/>
          <w:u w:val="none"/>
        </w:rPr>
        <w:t xml:space="preserve"> proposed</w:t>
      </w:r>
      <w:r w:rsidR="00295770">
        <w:rPr>
          <w:b w:val="0"/>
          <w:szCs w:val="24"/>
          <w:u w:val="none"/>
        </w:rPr>
        <w:t xml:space="preserve"> pier on only a seasonal basis, allowing it from May 31 throug</w:t>
      </w:r>
      <w:r w:rsidR="00B573B0">
        <w:rPr>
          <w:b w:val="0"/>
          <w:szCs w:val="24"/>
          <w:u w:val="none"/>
        </w:rPr>
        <w:t xml:space="preserve">h September 5 each year.  </w:t>
      </w:r>
      <w:r w:rsidR="00295770">
        <w:rPr>
          <w:b w:val="0"/>
          <w:szCs w:val="24"/>
          <w:u w:val="none"/>
        </w:rPr>
        <w:t>After that period it must be removed annually.</w:t>
      </w:r>
      <w:r w:rsidR="0067580D" w:rsidRPr="00E7475E">
        <w:rPr>
          <w:b w:val="0"/>
          <w:szCs w:val="24"/>
          <w:u w:val="none"/>
        </w:rPr>
        <w:t xml:space="preserve">  In 2009, the Harwich Waterways Committee approved the proposed pier</w:t>
      </w:r>
      <w:r w:rsidR="00D922FF" w:rsidRPr="00E7475E">
        <w:rPr>
          <w:b w:val="0"/>
          <w:szCs w:val="24"/>
          <w:u w:val="none"/>
        </w:rPr>
        <w:t xml:space="preserve"> under its local bylaws</w:t>
      </w:r>
      <w:r w:rsidR="0067580D" w:rsidRPr="00E7475E">
        <w:rPr>
          <w:b w:val="0"/>
          <w:szCs w:val="24"/>
          <w:u w:val="none"/>
        </w:rPr>
        <w:t>.</w:t>
      </w:r>
      <w:r w:rsidR="00D922FF" w:rsidRPr="00E7475E">
        <w:rPr>
          <w:rStyle w:val="FootnoteReference"/>
          <w:b w:val="0"/>
          <w:szCs w:val="24"/>
          <w:u w:val="none"/>
        </w:rPr>
        <w:footnoteReference w:id="3"/>
      </w:r>
      <w:r w:rsidR="0067580D" w:rsidRPr="00E7475E">
        <w:rPr>
          <w:b w:val="0"/>
          <w:szCs w:val="24"/>
          <w:u w:val="none"/>
        </w:rPr>
        <w:t xml:space="preserve">  </w:t>
      </w:r>
      <w:r w:rsidR="0067258C" w:rsidRPr="00E7475E">
        <w:rPr>
          <w:b w:val="0"/>
          <w:szCs w:val="24"/>
          <w:u w:val="none"/>
        </w:rPr>
        <w:t>Rendon Rebuttal PFT, pp. 1-2.</w:t>
      </w:r>
    </w:p>
    <w:p w:rsidR="00D922FF" w:rsidRPr="00E7475E" w:rsidRDefault="00765CCE" w:rsidP="00D922FF">
      <w:pPr>
        <w:pStyle w:val="Title"/>
        <w:spacing w:line="480" w:lineRule="auto"/>
        <w:ind w:firstLine="720"/>
        <w:jc w:val="left"/>
        <w:rPr>
          <w:b w:val="0"/>
          <w:szCs w:val="24"/>
          <w:u w:val="none"/>
        </w:rPr>
      </w:pPr>
      <w:r w:rsidRPr="00E7475E">
        <w:rPr>
          <w:b w:val="0"/>
          <w:szCs w:val="24"/>
          <w:u w:val="none"/>
        </w:rPr>
        <w:t>The Town pier is approximately 122 feet long by 24 feet wide.  It primarily serves commercial fishing vessels.  Rendon PFT, p. 2.  There are seven commercial slips located on the north side of the Town pier.  Each slip is assigned on an annual basis to a commercial fishing vessel for its exclusive use.  The south side of the pier is used to load and offload catch, equipment, and fuel by many of the 45 commercial fishing vessels that us the Town pier and which range in length from 24 to 50 feet long.  Rendon PFT, p. 2.</w:t>
      </w:r>
      <w:r w:rsidR="00A62BA2" w:rsidRPr="00E7475E">
        <w:rPr>
          <w:b w:val="0"/>
          <w:szCs w:val="24"/>
          <w:u w:val="none"/>
        </w:rPr>
        <w:t xml:space="preserve">  The Town pier also serves as access to a</w:t>
      </w:r>
      <w:r w:rsidR="00D922FF" w:rsidRPr="00E7475E">
        <w:rPr>
          <w:b w:val="0"/>
          <w:szCs w:val="24"/>
          <w:u w:val="none"/>
        </w:rPr>
        <w:t xml:space="preserve"> public float at the west end of</w:t>
      </w:r>
      <w:r w:rsidR="00A62BA2" w:rsidRPr="00E7475E">
        <w:rPr>
          <w:b w:val="0"/>
          <w:szCs w:val="24"/>
          <w:u w:val="none"/>
        </w:rPr>
        <w:t xml:space="preserve"> the pier, where many recreational mooring permit </w:t>
      </w:r>
      <w:r w:rsidR="00A62BA2" w:rsidRPr="00E7475E">
        <w:rPr>
          <w:b w:val="0"/>
          <w:szCs w:val="24"/>
          <w:u w:val="none"/>
        </w:rPr>
        <w:lastRenderedPageBreak/>
        <w:t>holders and visiting boats load and offload passengers and equipment.</w:t>
      </w:r>
      <w:r w:rsidR="004938D5" w:rsidRPr="00E7475E">
        <w:rPr>
          <w:b w:val="0"/>
          <w:szCs w:val="24"/>
          <w:u w:val="none"/>
        </w:rPr>
        <w:t xml:space="preserve">  There are 141 moorings in Wychmere inner harbor and 50 in the outer harbor.</w:t>
      </w:r>
      <w:r w:rsidRPr="00E7475E">
        <w:rPr>
          <w:b w:val="0"/>
          <w:szCs w:val="24"/>
          <w:u w:val="none"/>
        </w:rPr>
        <w:t xml:space="preserve"> </w:t>
      </w:r>
      <w:r w:rsidR="00371547" w:rsidRPr="00E7475E">
        <w:rPr>
          <w:b w:val="0"/>
          <w:szCs w:val="24"/>
          <w:u w:val="none"/>
        </w:rPr>
        <w:t xml:space="preserve"> Rendon PFT, p. 3.</w:t>
      </w:r>
    </w:p>
    <w:p w:rsidR="00292C6A" w:rsidRPr="00E7475E" w:rsidRDefault="00D922FF" w:rsidP="00D922FF">
      <w:pPr>
        <w:pStyle w:val="Title"/>
        <w:spacing w:line="480" w:lineRule="auto"/>
        <w:ind w:firstLine="720"/>
        <w:jc w:val="left"/>
        <w:rPr>
          <w:b w:val="0"/>
          <w:szCs w:val="24"/>
          <w:u w:val="none"/>
        </w:rPr>
      </w:pPr>
      <w:r w:rsidRPr="00E7475E">
        <w:rPr>
          <w:b w:val="0"/>
          <w:szCs w:val="24"/>
          <w:u w:val="none"/>
        </w:rPr>
        <w:t xml:space="preserve">The parties presented written pre-filed direct and rebuttal testimony and exhibits.  At the adjudicatory hearing they cross examined the witnesses against them.  </w:t>
      </w:r>
      <w:r w:rsidR="00292C6A" w:rsidRPr="00E7475E">
        <w:rPr>
          <w:b w:val="0"/>
          <w:szCs w:val="24"/>
          <w:u w:val="none"/>
        </w:rPr>
        <w:t>The following witne</w:t>
      </w:r>
      <w:r w:rsidRPr="00E7475E">
        <w:rPr>
          <w:b w:val="0"/>
          <w:szCs w:val="24"/>
          <w:u w:val="none"/>
        </w:rPr>
        <w:t>ss testified for McLaughlin</w:t>
      </w:r>
      <w:r w:rsidR="00292C6A" w:rsidRPr="00E7475E">
        <w:rPr>
          <w:b w:val="0"/>
          <w:szCs w:val="24"/>
          <w:u w:val="none"/>
        </w:rPr>
        <w:t>:</w:t>
      </w:r>
    </w:p>
    <w:p w:rsidR="000378BF" w:rsidRPr="00E7475E" w:rsidRDefault="002234C8" w:rsidP="00292C6A">
      <w:pPr>
        <w:pStyle w:val="Title"/>
        <w:numPr>
          <w:ilvl w:val="0"/>
          <w:numId w:val="14"/>
        </w:numPr>
        <w:spacing w:line="480" w:lineRule="auto"/>
        <w:jc w:val="left"/>
        <w:rPr>
          <w:b w:val="0"/>
          <w:szCs w:val="24"/>
          <w:u w:val="none"/>
        </w:rPr>
      </w:pPr>
      <w:r w:rsidRPr="00E7475E">
        <w:rPr>
          <w:b w:val="0"/>
          <w:szCs w:val="24"/>
          <w:u w:val="none"/>
        </w:rPr>
        <w:t>Thomas E. Leach.  Leach is the former Harbor Master for the Town of Harwich.</w:t>
      </w:r>
    </w:p>
    <w:p w:rsidR="000378BF" w:rsidRPr="00E7475E" w:rsidRDefault="000378BF" w:rsidP="00292C6A">
      <w:pPr>
        <w:pStyle w:val="Title"/>
        <w:numPr>
          <w:ilvl w:val="0"/>
          <w:numId w:val="14"/>
        </w:numPr>
        <w:spacing w:line="480" w:lineRule="auto"/>
        <w:jc w:val="left"/>
        <w:rPr>
          <w:b w:val="0"/>
          <w:szCs w:val="24"/>
          <w:u w:val="none"/>
        </w:rPr>
      </w:pPr>
      <w:r w:rsidRPr="00E7475E">
        <w:rPr>
          <w:b w:val="0"/>
          <w:szCs w:val="24"/>
          <w:u w:val="none"/>
        </w:rPr>
        <w:t>Roger Tessier.  Tessier is the captain of a commercial vessel that docks at the Town pier.</w:t>
      </w:r>
    </w:p>
    <w:p w:rsidR="000378BF" w:rsidRPr="00E7475E" w:rsidRDefault="000378BF" w:rsidP="00292C6A">
      <w:pPr>
        <w:pStyle w:val="Title"/>
        <w:numPr>
          <w:ilvl w:val="0"/>
          <w:numId w:val="14"/>
        </w:numPr>
        <w:spacing w:line="480" w:lineRule="auto"/>
        <w:jc w:val="left"/>
        <w:rPr>
          <w:b w:val="0"/>
          <w:szCs w:val="24"/>
          <w:u w:val="none"/>
        </w:rPr>
      </w:pPr>
      <w:r w:rsidRPr="00E7475E">
        <w:rPr>
          <w:b w:val="0"/>
          <w:szCs w:val="24"/>
          <w:u w:val="none"/>
        </w:rPr>
        <w:t>George A. McLaughlin, III.</w:t>
      </w:r>
      <w:r w:rsidR="004E4BC8" w:rsidRPr="00E7475E">
        <w:rPr>
          <w:b w:val="0"/>
          <w:szCs w:val="24"/>
          <w:u w:val="none"/>
        </w:rPr>
        <w:t xml:space="preserve">  Mr. McLaughlin testified as </w:t>
      </w:r>
      <w:r w:rsidR="00D922FF" w:rsidRPr="00E7475E">
        <w:rPr>
          <w:b w:val="0"/>
          <w:szCs w:val="24"/>
          <w:u w:val="none"/>
        </w:rPr>
        <w:t xml:space="preserve">a resident of the </w:t>
      </w:r>
      <w:r w:rsidR="004E4BC8" w:rsidRPr="00E7475E">
        <w:rPr>
          <w:b w:val="0"/>
          <w:szCs w:val="24"/>
          <w:u w:val="none"/>
        </w:rPr>
        <w:t>abutting property at 54 Harbor Road, Harwich, MA.</w:t>
      </w:r>
    </w:p>
    <w:p w:rsidR="000D3FFE" w:rsidRPr="00E7475E" w:rsidRDefault="000378BF" w:rsidP="00292C6A">
      <w:pPr>
        <w:pStyle w:val="Title"/>
        <w:numPr>
          <w:ilvl w:val="0"/>
          <w:numId w:val="14"/>
        </w:numPr>
        <w:spacing w:line="480" w:lineRule="auto"/>
        <w:jc w:val="left"/>
        <w:rPr>
          <w:b w:val="0"/>
          <w:szCs w:val="24"/>
          <w:u w:val="none"/>
        </w:rPr>
      </w:pPr>
      <w:r w:rsidRPr="00E7475E">
        <w:rPr>
          <w:b w:val="0"/>
          <w:szCs w:val="24"/>
          <w:u w:val="none"/>
        </w:rPr>
        <w:t>Charlene E. McLaughlin.</w:t>
      </w:r>
      <w:r w:rsidR="003E4FAD" w:rsidRPr="00E7475E">
        <w:rPr>
          <w:b w:val="0"/>
          <w:szCs w:val="24"/>
          <w:u w:val="none"/>
        </w:rPr>
        <w:t xml:space="preserve">  Ms. McLaughlin testified as the owner of the</w:t>
      </w:r>
      <w:r w:rsidR="00D922FF" w:rsidRPr="00E7475E">
        <w:rPr>
          <w:b w:val="0"/>
          <w:szCs w:val="24"/>
          <w:u w:val="none"/>
        </w:rPr>
        <w:t xml:space="preserve"> abutting</w:t>
      </w:r>
      <w:r w:rsidR="003E4FAD" w:rsidRPr="00E7475E">
        <w:rPr>
          <w:b w:val="0"/>
          <w:szCs w:val="24"/>
          <w:u w:val="none"/>
        </w:rPr>
        <w:t xml:space="preserve"> property at 54 Harbor Road, Harwich, MA.</w:t>
      </w:r>
      <w:r w:rsidR="004E4BC8" w:rsidRPr="00E7475E">
        <w:rPr>
          <w:b w:val="0"/>
          <w:szCs w:val="24"/>
          <w:u w:val="none"/>
        </w:rPr>
        <w:t xml:space="preserve">  </w:t>
      </w:r>
    </w:p>
    <w:p w:rsidR="00614557" w:rsidRPr="00E7475E" w:rsidRDefault="00292C6A" w:rsidP="00D922FF">
      <w:pPr>
        <w:pStyle w:val="Title"/>
        <w:spacing w:line="480" w:lineRule="auto"/>
        <w:ind w:firstLine="720"/>
        <w:jc w:val="left"/>
        <w:rPr>
          <w:b w:val="0"/>
          <w:szCs w:val="24"/>
          <w:u w:val="none"/>
        </w:rPr>
      </w:pPr>
      <w:r w:rsidRPr="00E7475E">
        <w:rPr>
          <w:b w:val="0"/>
          <w:szCs w:val="24"/>
          <w:u w:val="none"/>
        </w:rPr>
        <w:t>The following witness testified for the Town of Harwich:</w:t>
      </w:r>
    </w:p>
    <w:p w:rsidR="00292C6A" w:rsidRPr="00E7475E" w:rsidRDefault="00292C6A" w:rsidP="00D922FF">
      <w:pPr>
        <w:pStyle w:val="Title"/>
        <w:numPr>
          <w:ilvl w:val="0"/>
          <w:numId w:val="18"/>
        </w:numPr>
        <w:spacing w:line="480" w:lineRule="auto"/>
        <w:jc w:val="left"/>
        <w:rPr>
          <w:b w:val="0"/>
          <w:szCs w:val="24"/>
          <w:u w:val="none"/>
        </w:rPr>
      </w:pPr>
      <w:r w:rsidRPr="00E7475E">
        <w:rPr>
          <w:b w:val="0"/>
          <w:szCs w:val="24"/>
          <w:u w:val="none"/>
        </w:rPr>
        <w:t>John C. Rendon.  Rendon is employed as the Harbormaster for the Town of Harwich.  He is a 1988 graduate of the United States Coast Guard Academy, holding a Commission and a BS degree in Mathematics.  He has substantial maritime experience, including serving as a Coast Guard Commander, Deputy Harbormaster for the Town of Chatham, from 2008 until 2012.  He also holds a 100 Gross Ton Merchant Marine Master License.</w:t>
      </w:r>
    </w:p>
    <w:p w:rsidR="00B216F2" w:rsidRPr="00E7475E" w:rsidRDefault="00B216F2" w:rsidP="003B7995">
      <w:pPr>
        <w:pStyle w:val="Title"/>
        <w:spacing w:line="480" w:lineRule="auto"/>
        <w:ind w:left="720"/>
        <w:jc w:val="left"/>
        <w:rPr>
          <w:b w:val="0"/>
          <w:szCs w:val="24"/>
          <w:u w:val="none"/>
        </w:rPr>
      </w:pPr>
      <w:r w:rsidRPr="00E7475E">
        <w:rPr>
          <w:b w:val="0"/>
          <w:szCs w:val="24"/>
          <w:u w:val="none"/>
        </w:rPr>
        <w:t>The following witnesses testified for Maher:</w:t>
      </w:r>
    </w:p>
    <w:p w:rsidR="00B216F2" w:rsidRPr="00E7475E" w:rsidRDefault="00B216F2" w:rsidP="00B216F2">
      <w:pPr>
        <w:pStyle w:val="Title"/>
        <w:numPr>
          <w:ilvl w:val="0"/>
          <w:numId w:val="16"/>
        </w:numPr>
        <w:spacing w:line="480" w:lineRule="auto"/>
        <w:jc w:val="left"/>
        <w:rPr>
          <w:b w:val="0"/>
          <w:szCs w:val="24"/>
          <w:u w:val="none"/>
        </w:rPr>
      </w:pPr>
      <w:r w:rsidRPr="00E7475E">
        <w:rPr>
          <w:b w:val="0"/>
          <w:szCs w:val="24"/>
          <w:u w:val="none"/>
        </w:rPr>
        <w:t xml:space="preserve">David Lyttle.  Lyttle is a principal at Ryder and Wilcox, Surveyors and Engineers.  He is a professional land surveyor with an </w:t>
      </w:r>
      <w:r w:rsidR="000F1A37" w:rsidRPr="00E7475E">
        <w:rPr>
          <w:b w:val="0"/>
          <w:szCs w:val="24"/>
          <w:u w:val="none"/>
        </w:rPr>
        <w:t>associate’s</w:t>
      </w:r>
      <w:r w:rsidRPr="00E7475E">
        <w:rPr>
          <w:b w:val="0"/>
          <w:szCs w:val="24"/>
          <w:u w:val="none"/>
        </w:rPr>
        <w:t xml:space="preserve"> degree in civil engineering.  He </w:t>
      </w:r>
      <w:r w:rsidRPr="00E7475E">
        <w:rPr>
          <w:b w:val="0"/>
          <w:szCs w:val="24"/>
          <w:u w:val="none"/>
        </w:rPr>
        <w:lastRenderedPageBreak/>
        <w:t>has extensive experience designing and permitting docks</w:t>
      </w:r>
      <w:r w:rsidR="00D922FF" w:rsidRPr="00E7475E">
        <w:rPr>
          <w:b w:val="0"/>
          <w:szCs w:val="24"/>
          <w:u w:val="none"/>
        </w:rPr>
        <w:t xml:space="preserve"> </w:t>
      </w:r>
      <w:r w:rsidRPr="00E7475E">
        <w:rPr>
          <w:b w:val="0"/>
          <w:szCs w:val="24"/>
          <w:u w:val="none"/>
        </w:rPr>
        <w:t>and piers within Barnstable County, an</w:t>
      </w:r>
      <w:r w:rsidR="00D922FF" w:rsidRPr="00E7475E">
        <w:rPr>
          <w:b w:val="0"/>
          <w:szCs w:val="24"/>
          <w:u w:val="none"/>
        </w:rPr>
        <w:t>d</w:t>
      </w:r>
      <w:r w:rsidRPr="00E7475E">
        <w:rPr>
          <w:b w:val="0"/>
          <w:szCs w:val="24"/>
          <w:u w:val="none"/>
        </w:rPr>
        <w:t xml:space="preserve"> specifically the Town of Harwich.</w:t>
      </w:r>
    </w:p>
    <w:p w:rsidR="008D7E5C" w:rsidRPr="00E7475E" w:rsidRDefault="008D7E5C" w:rsidP="00B216F2">
      <w:pPr>
        <w:pStyle w:val="Title"/>
        <w:numPr>
          <w:ilvl w:val="0"/>
          <w:numId w:val="16"/>
        </w:numPr>
        <w:spacing w:line="480" w:lineRule="auto"/>
        <w:jc w:val="left"/>
        <w:rPr>
          <w:b w:val="0"/>
          <w:szCs w:val="24"/>
          <w:u w:val="none"/>
        </w:rPr>
      </w:pPr>
      <w:r w:rsidRPr="00E7475E">
        <w:rPr>
          <w:b w:val="0"/>
          <w:szCs w:val="24"/>
          <w:u w:val="none"/>
        </w:rPr>
        <w:t>Elizabeth Maher.  Maher testified as the owner of the Property.</w:t>
      </w:r>
    </w:p>
    <w:p w:rsidR="003B7995" w:rsidRPr="00E7475E" w:rsidRDefault="003B7995" w:rsidP="003B7995">
      <w:pPr>
        <w:pStyle w:val="Title"/>
        <w:spacing w:line="480" w:lineRule="auto"/>
        <w:ind w:left="720"/>
        <w:jc w:val="left"/>
        <w:rPr>
          <w:b w:val="0"/>
          <w:szCs w:val="24"/>
          <w:u w:val="none"/>
        </w:rPr>
      </w:pPr>
      <w:r w:rsidRPr="00E7475E">
        <w:rPr>
          <w:b w:val="0"/>
          <w:szCs w:val="24"/>
          <w:u w:val="none"/>
        </w:rPr>
        <w:t>The following witnesses testified for DEP:</w:t>
      </w:r>
    </w:p>
    <w:p w:rsidR="003B7995" w:rsidRPr="00E7475E" w:rsidRDefault="003B7995" w:rsidP="003B7995">
      <w:pPr>
        <w:pStyle w:val="Title"/>
        <w:numPr>
          <w:ilvl w:val="0"/>
          <w:numId w:val="15"/>
        </w:numPr>
        <w:spacing w:line="480" w:lineRule="auto"/>
        <w:jc w:val="left"/>
        <w:rPr>
          <w:b w:val="0"/>
          <w:szCs w:val="24"/>
          <w:u w:val="none"/>
        </w:rPr>
      </w:pPr>
      <w:r w:rsidRPr="00E7475E">
        <w:rPr>
          <w:b w:val="0"/>
          <w:szCs w:val="24"/>
          <w:u w:val="none"/>
        </w:rPr>
        <w:t>Gregory J. DeCesare.  DeCesare has been employ</w:t>
      </w:r>
      <w:r w:rsidR="001D7A86" w:rsidRPr="00E7475E">
        <w:rPr>
          <w:b w:val="0"/>
          <w:szCs w:val="24"/>
          <w:u w:val="none"/>
        </w:rPr>
        <w:t>ed with DEP for approximately 20</w:t>
      </w:r>
      <w:r w:rsidRPr="00E7475E">
        <w:rPr>
          <w:b w:val="0"/>
          <w:szCs w:val="24"/>
          <w:u w:val="none"/>
        </w:rPr>
        <w:t xml:space="preserve"> years.  For approximately ten </w:t>
      </w:r>
      <w:r w:rsidR="00310A8C">
        <w:rPr>
          <w:b w:val="0"/>
          <w:szCs w:val="24"/>
          <w:u w:val="none"/>
        </w:rPr>
        <w:t xml:space="preserve">of those </w:t>
      </w:r>
      <w:r w:rsidRPr="00E7475E">
        <w:rPr>
          <w:b w:val="0"/>
          <w:szCs w:val="24"/>
          <w:u w:val="none"/>
        </w:rPr>
        <w:t xml:space="preserve">years he has worked in </w:t>
      </w:r>
      <w:r w:rsidR="00310A8C">
        <w:rPr>
          <w:b w:val="0"/>
          <w:szCs w:val="24"/>
          <w:u w:val="none"/>
        </w:rPr>
        <w:t>DEP’s</w:t>
      </w:r>
      <w:r w:rsidR="001D7A86" w:rsidRPr="00E7475E">
        <w:rPr>
          <w:b w:val="0"/>
          <w:szCs w:val="24"/>
          <w:u w:val="none"/>
        </w:rPr>
        <w:t xml:space="preserve"> Wetlands and Wate</w:t>
      </w:r>
      <w:r w:rsidR="00BC0946">
        <w:rPr>
          <w:b w:val="0"/>
          <w:szCs w:val="24"/>
          <w:u w:val="none"/>
        </w:rPr>
        <w:t>r</w:t>
      </w:r>
      <w:r w:rsidR="001D7A86" w:rsidRPr="00E7475E">
        <w:rPr>
          <w:b w:val="0"/>
          <w:szCs w:val="24"/>
          <w:u w:val="none"/>
        </w:rPr>
        <w:t>ways Program.  He holds a United States Coast Guard issued Merchant Marine Credential with a Master, Near Coastal up to 100 Ton classification, and a Commercial Assi</w:t>
      </w:r>
      <w:r w:rsidR="00BC0946">
        <w:rPr>
          <w:b w:val="0"/>
          <w:szCs w:val="24"/>
          <w:u w:val="none"/>
        </w:rPr>
        <w:t>s</w:t>
      </w:r>
      <w:r w:rsidR="001D7A86" w:rsidRPr="00E7475E">
        <w:rPr>
          <w:b w:val="0"/>
          <w:szCs w:val="24"/>
          <w:u w:val="none"/>
        </w:rPr>
        <w:t>tance Towing endorsement.</w:t>
      </w:r>
      <w:r w:rsidR="00BB554F" w:rsidRPr="00E7475E">
        <w:rPr>
          <w:b w:val="0"/>
          <w:szCs w:val="24"/>
          <w:u w:val="none"/>
        </w:rPr>
        <w:t xml:space="preserve">  He holds state and federal commercial fishing permits and</w:t>
      </w:r>
      <w:r w:rsidR="00BC0946">
        <w:rPr>
          <w:b w:val="0"/>
          <w:szCs w:val="24"/>
          <w:u w:val="none"/>
        </w:rPr>
        <w:t xml:space="preserve"> has</w:t>
      </w:r>
      <w:r w:rsidR="00BB554F" w:rsidRPr="00E7475E">
        <w:rPr>
          <w:b w:val="0"/>
          <w:szCs w:val="24"/>
          <w:u w:val="none"/>
        </w:rPr>
        <w:t xml:space="preserve"> spent much time at sea, year round, commercial fishing for groundfish, tuna, and lobster.  He also conducts sport fishing charters.</w:t>
      </w:r>
      <w:r w:rsidR="001D7A86" w:rsidRPr="00E7475E">
        <w:rPr>
          <w:b w:val="0"/>
          <w:szCs w:val="24"/>
          <w:u w:val="none"/>
        </w:rPr>
        <w:t xml:space="preserve"> </w:t>
      </w:r>
      <w:r w:rsidR="00BB554F" w:rsidRPr="00E7475E">
        <w:rPr>
          <w:b w:val="0"/>
          <w:szCs w:val="24"/>
          <w:u w:val="none"/>
        </w:rPr>
        <w:t xml:space="preserve">  He frequently operates commercial fishing vessels similar to those at is</w:t>
      </w:r>
      <w:r w:rsidR="00BC0946">
        <w:rPr>
          <w:b w:val="0"/>
          <w:szCs w:val="24"/>
          <w:u w:val="none"/>
        </w:rPr>
        <w:t xml:space="preserve">sue in this appeal, possessing </w:t>
      </w:r>
      <w:r w:rsidR="00BB554F" w:rsidRPr="00E7475E">
        <w:rPr>
          <w:b w:val="0"/>
          <w:szCs w:val="24"/>
          <w:u w:val="none"/>
        </w:rPr>
        <w:t xml:space="preserve"> 36 and 31 foot commercial fishing boats.  He has maneuvered similar size boats in harbors of Maine, Massachusetts, Rhode Island, Connecticut, and New York.  </w:t>
      </w:r>
      <w:r w:rsidR="001D7A86" w:rsidRPr="00E7475E">
        <w:rPr>
          <w:b w:val="0"/>
          <w:szCs w:val="24"/>
          <w:u w:val="none"/>
        </w:rPr>
        <w:t xml:space="preserve"> He holds a BS degree in biology.</w:t>
      </w:r>
    </w:p>
    <w:p w:rsidR="00D24263" w:rsidRPr="00E7475E" w:rsidRDefault="00D24263" w:rsidP="003B7995">
      <w:pPr>
        <w:pStyle w:val="Title"/>
        <w:numPr>
          <w:ilvl w:val="0"/>
          <w:numId w:val="15"/>
        </w:numPr>
        <w:spacing w:line="480" w:lineRule="auto"/>
        <w:jc w:val="left"/>
        <w:rPr>
          <w:b w:val="0"/>
          <w:szCs w:val="24"/>
          <w:u w:val="none"/>
        </w:rPr>
      </w:pPr>
      <w:r w:rsidRPr="00E7475E">
        <w:rPr>
          <w:b w:val="0"/>
          <w:szCs w:val="24"/>
          <w:u w:val="none"/>
        </w:rPr>
        <w:t>David E. Hill.  Hill has been employed with DEP since 2000, mostly in the Waterways program.  He holds a BS degree in natural resource conservation.  He has handled approximately 1,246 Waterways licensing matters, mostly with respect to the licensing of piers.</w:t>
      </w:r>
      <w:r w:rsidR="00F324CC" w:rsidRPr="00E7475E">
        <w:rPr>
          <w:b w:val="0"/>
          <w:szCs w:val="24"/>
          <w:u w:val="none"/>
        </w:rPr>
        <w:t xml:space="preserve">  He considers himself a “competent boater” and has completed a U.S. Power Squadron training course.  His experience is primarily with smaller boats. In</w:t>
      </w:r>
      <w:r w:rsidR="00BC0946">
        <w:rPr>
          <w:b w:val="0"/>
          <w:szCs w:val="24"/>
          <w:u w:val="none"/>
        </w:rPr>
        <w:t xml:space="preserve"> his experience he has witnessed</w:t>
      </w:r>
      <w:r w:rsidR="00F324CC" w:rsidRPr="00E7475E">
        <w:rPr>
          <w:b w:val="0"/>
          <w:szCs w:val="24"/>
          <w:u w:val="none"/>
        </w:rPr>
        <w:t xml:space="preserve"> on hundreds of occasions the navigation of commercial and recreational vessels while approaching and departing locations at residential and commercial piers and marinas.</w:t>
      </w:r>
      <w:r w:rsidRPr="00E7475E">
        <w:rPr>
          <w:b w:val="0"/>
          <w:szCs w:val="24"/>
          <w:u w:val="none"/>
        </w:rPr>
        <w:t xml:space="preserve">  </w:t>
      </w:r>
    </w:p>
    <w:p w:rsidR="00BE06C6" w:rsidRPr="00E7475E" w:rsidRDefault="00BE06C6" w:rsidP="00D922FF">
      <w:pPr>
        <w:pStyle w:val="Title"/>
        <w:spacing w:line="480" w:lineRule="auto"/>
        <w:rPr>
          <w:szCs w:val="24"/>
          <w:u w:val="none"/>
        </w:rPr>
      </w:pPr>
      <w:r w:rsidRPr="00E7475E">
        <w:rPr>
          <w:bCs w:val="0"/>
          <w:szCs w:val="24"/>
        </w:rPr>
        <w:lastRenderedPageBreak/>
        <w:t>BURDENS OF PROOF AND STANDARD OF REVIEW</w:t>
      </w:r>
    </w:p>
    <w:p w:rsidR="00BE06C6" w:rsidRPr="00E7475E" w:rsidRDefault="00145F13" w:rsidP="00E7475E">
      <w:pPr>
        <w:pStyle w:val="Title"/>
        <w:spacing w:line="480" w:lineRule="auto"/>
        <w:ind w:firstLine="720"/>
        <w:jc w:val="left"/>
        <w:rPr>
          <w:b w:val="0"/>
          <w:szCs w:val="24"/>
          <w:u w:val="none"/>
        </w:rPr>
      </w:pPr>
      <w:r w:rsidRPr="00E7475E">
        <w:rPr>
          <w:b w:val="0"/>
          <w:szCs w:val="24"/>
          <w:u w:val="none"/>
        </w:rPr>
        <w:t xml:space="preserve">This is a de novo appeal </w:t>
      </w:r>
      <w:r w:rsidR="002F3042">
        <w:rPr>
          <w:b w:val="0"/>
          <w:szCs w:val="24"/>
          <w:u w:val="none"/>
        </w:rPr>
        <w:t xml:space="preserve">pursued by the </w:t>
      </w:r>
      <w:r w:rsidR="00D922FF" w:rsidRPr="00E7475E">
        <w:rPr>
          <w:b w:val="0"/>
          <w:szCs w:val="24"/>
          <w:u w:val="none"/>
        </w:rPr>
        <w:t>Petitioner</w:t>
      </w:r>
      <w:r w:rsidR="002F3042">
        <w:rPr>
          <w:b w:val="0"/>
          <w:szCs w:val="24"/>
          <w:u w:val="none"/>
        </w:rPr>
        <w:t xml:space="preserve"> and Intervener</w:t>
      </w:r>
      <w:r w:rsidRPr="00E7475E">
        <w:rPr>
          <w:b w:val="0"/>
          <w:szCs w:val="24"/>
          <w:u w:val="none"/>
        </w:rPr>
        <w:t>.</w:t>
      </w:r>
      <w:r w:rsidR="007B1CCA" w:rsidRPr="00E7475E">
        <w:rPr>
          <w:b w:val="0"/>
          <w:szCs w:val="24"/>
          <w:u w:val="none"/>
        </w:rPr>
        <w:t xml:space="preserve">  </w:t>
      </w:r>
      <w:r w:rsidR="007B1CCA" w:rsidRPr="00E7475E">
        <w:rPr>
          <w:b w:val="0"/>
          <w:szCs w:val="24"/>
        </w:rPr>
        <w:t>See</w:t>
      </w:r>
      <w:r w:rsidRPr="00E7475E">
        <w:rPr>
          <w:b w:val="0"/>
          <w:szCs w:val="24"/>
          <w:u w:val="none"/>
        </w:rPr>
        <w:t xml:space="preserve"> </w:t>
      </w:r>
      <w:r w:rsidRPr="00E7475E">
        <w:rPr>
          <w:b w:val="0"/>
          <w:szCs w:val="24"/>
        </w:rPr>
        <w:t>Matter of Soursourian</w:t>
      </w:r>
      <w:r w:rsidRPr="00E7475E">
        <w:rPr>
          <w:b w:val="0"/>
          <w:szCs w:val="24"/>
          <w:u w:val="none"/>
        </w:rPr>
        <w:t>, Docket No. WET 2013-028, Recommended Final Decision (June 13, 2014)</w:t>
      </w:r>
      <w:r w:rsidR="007B1CCA" w:rsidRPr="00E7475E">
        <w:rPr>
          <w:b w:val="0"/>
          <w:szCs w:val="24"/>
          <w:u w:val="none"/>
        </w:rPr>
        <w:t xml:space="preserve"> (discussing de novo nature of appeals)</w:t>
      </w:r>
      <w:r w:rsidRPr="00E7475E">
        <w:rPr>
          <w:b w:val="0"/>
          <w:szCs w:val="24"/>
          <w:u w:val="none"/>
        </w:rPr>
        <w:t>, adopted by Final Decision (June 19, 2014</w:t>
      </w:r>
      <w:r w:rsidRPr="00275E09">
        <w:rPr>
          <w:b w:val="0"/>
          <w:szCs w:val="24"/>
          <w:u w:val="none"/>
        </w:rPr>
        <w:t xml:space="preserve">).  </w:t>
      </w:r>
      <w:r w:rsidR="00275E09" w:rsidRPr="00275E09">
        <w:rPr>
          <w:b w:val="0"/>
          <w:color w:val="373739"/>
          <w:szCs w:val="24"/>
          <w:u w:val="none"/>
          <w:shd w:val="clear" w:color="auto" w:fill="FFFFFF"/>
        </w:rPr>
        <w:t>As the part</w:t>
      </w:r>
      <w:r w:rsidR="00F44543">
        <w:rPr>
          <w:b w:val="0"/>
          <w:color w:val="373739"/>
          <w:szCs w:val="24"/>
          <w:u w:val="none"/>
          <w:shd w:val="clear" w:color="auto" w:fill="FFFFFF"/>
        </w:rPr>
        <w:t>ies</w:t>
      </w:r>
      <w:r w:rsidR="00275E09" w:rsidRPr="00275E09">
        <w:rPr>
          <w:b w:val="0"/>
          <w:color w:val="373739"/>
          <w:szCs w:val="24"/>
          <w:u w:val="none"/>
          <w:shd w:val="clear" w:color="auto" w:fill="FFFFFF"/>
        </w:rPr>
        <w:t xml:space="preserve"> challenging </w:t>
      </w:r>
      <w:r w:rsidR="00BC0946">
        <w:rPr>
          <w:b w:val="0"/>
          <w:color w:val="373739"/>
          <w:szCs w:val="24"/>
          <w:u w:val="none"/>
          <w:shd w:val="clear" w:color="auto" w:fill="FFFFFF"/>
        </w:rPr>
        <w:t>DEP</w:t>
      </w:r>
      <w:r w:rsidR="00275E09">
        <w:rPr>
          <w:b w:val="0"/>
          <w:color w:val="373739"/>
          <w:szCs w:val="24"/>
          <w:u w:val="none"/>
          <w:shd w:val="clear" w:color="auto" w:fill="FFFFFF"/>
        </w:rPr>
        <w:t>'s decision to grant the license</w:t>
      </w:r>
      <w:r w:rsidR="00275E09" w:rsidRPr="00275E09">
        <w:rPr>
          <w:b w:val="0"/>
          <w:color w:val="373739"/>
          <w:szCs w:val="24"/>
          <w:u w:val="none"/>
          <w:shd w:val="clear" w:color="auto" w:fill="FFFFFF"/>
        </w:rPr>
        <w:t xml:space="preserve">, </w:t>
      </w:r>
      <w:r w:rsidR="00275E09">
        <w:rPr>
          <w:b w:val="0"/>
          <w:color w:val="373739"/>
          <w:szCs w:val="24"/>
          <w:u w:val="none"/>
          <w:shd w:val="clear" w:color="auto" w:fill="FFFFFF"/>
        </w:rPr>
        <w:t>McLaughlin and the Town</w:t>
      </w:r>
      <w:r w:rsidR="00275E09" w:rsidRPr="00275E09">
        <w:rPr>
          <w:b w:val="0"/>
          <w:color w:val="373739"/>
          <w:szCs w:val="24"/>
          <w:u w:val="none"/>
          <w:shd w:val="clear" w:color="auto" w:fill="FFFFFF"/>
        </w:rPr>
        <w:t xml:space="preserve"> had the burden of going forward by producing credible evidence in support of their position.</w:t>
      </w:r>
      <w:r w:rsidR="00275E09">
        <w:rPr>
          <w:b w:val="0"/>
          <w:color w:val="373739"/>
          <w:szCs w:val="24"/>
          <w:u w:val="none"/>
          <w:shd w:val="clear" w:color="auto" w:fill="FFFFFF"/>
        </w:rPr>
        <w:t xml:space="preserve"> </w:t>
      </w:r>
      <w:r w:rsidR="00275E09" w:rsidRPr="00275E09">
        <w:rPr>
          <w:rStyle w:val="apple-converted-space"/>
          <w:b w:val="0"/>
          <w:color w:val="373739"/>
          <w:szCs w:val="24"/>
          <w:u w:val="none"/>
          <w:shd w:val="clear" w:color="auto" w:fill="FFFFFF"/>
        </w:rPr>
        <w:t> </w:t>
      </w:r>
      <w:r w:rsidR="00275E09" w:rsidRPr="00275E09">
        <w:rPr>
          <w:rStyle w:val="ssun"/>
          <w:b w:val="0"/>
          <w:color w:val="373739"/>
          <w:szCs w:val="24"/>
          <w:bdr w:val="none" w:sz="0" w:space="0" w:color="auto" w:frame="1"/>
          <w:shd w:val="clear" w:color="auto" w:fill="FFFFFF"/>
        </w:rPr>
        <w:t>Matter of Pioneer Valley Energy Center, LLC</w:t>
      </w:r>
      <w:r w:rsidR="00275E09" w:rsidRPr="00275E09">
        <w:rPr>
          <w:b w:val="0"/>
          <w:color w:val="373739"/>
          <w:szCs w:val="24"/>
          <w:u w:val="none"/>
          <w:shd w:val="clear" w:color="auto" w:fill="FFFFFF"/>
        </w:rPr>
        <w:t>, Docket No. 2011-010, Recommended Final Decision (September 23, 2011), adopted by Final Decision (November 9, 2011).</w:t>
      </w:r>
      <w:r w:rsidR="00275E09">
        <w:rPr>
          <w:b w:val="0"/>
          <w:color w:val="373739"/>
          <w:szCs w:val="24"/>
          <w:u w:val="none"/>
          <w:shd w:val="clear" w:color="auto" w:fill="FFFFFF"/>
        </w:rPr>
        <w:t xml:space="preserve"> </w:t>
      </w:r>
      <w:r w:rsidR="00275E09" w:rsidRPr="00275E09">
        <w:rPr>
          <w:b w:val="0"/>
          <w:color w:val="373739"/>
          <w:szCs w:val="24"/>
          <w:u w:val="none"/>
          <w:shd w:val="clear" w:color="auto" w:fill="FFFFFF"/>
        </w:rPr>
        <w:t xml:space="preserve"> Upon meeting this requirement, the ultimate resolution depends on where a preponderance of the evidence</w:t>
      </w:r>
      <w:r w:rsidR="00275E09" w:rsidRPr="00275E09">
        <w:rPr>
          <w:rStyle w:val="apple-converted-space"/>
          <w:b w:val="0"/>
          <w:color w:val="373739"/>
          <w:szCs w:val="24"/>
          <w:u w:val="none"/>
          <w:shd w:val="clear" w:color="auto" w:fill="FFFFFF"/>
        </w:rPr>
        <w:t> </w:t>
      </w:r>
      <w:r w:rsidR="00275E09" w:rsidRPr="00275E09">
        <w:rPr>
          <w:b w:val="0"/>
          <w:color w:val="373739"/>
          <w:szCs w:val="24"/>
          <w:u w:val="none"/>
          <w:shd w:val="clear" w:color="auto" w:fill="FFFFFF"/>
        </w:rPr>
        <w:t>lies.</w:t>
      </w:r>
      <w:r w:rsidR="00275E09" w:rsidRPr="00275E09">
        <w:rPr>
          <w:rStyle w:val="apple-converted-space"/>
          <w:b w:val="0"/>
          <w:color w:val="373739"/>
          <w:szCs w:val="24"/>
          <w:u w:val="none"/>
          <w:shd w:val="clear" w:color="auto" w:fill="FFFFFF"/>
        </w:rPr>
        <w:t> </w:t>
      </w:r>
      <w:r w:rsidR="00275E09" w:rsidRPr="00BC0946">
        <w:rPr>
          <w:rStyle w:val="ssun"/>
          <w:b w:val="0"/>
          <w:color w:val="373739"/>
          <w:szCs w:val="24"/>
          <w:bdr w:val="none" w:sz="0" w:space="0" w:color="auto" w:frame="1"/>
          <w:shd w:val="clear" w:color="auto" w:fill="FFFFFF"/>
        </w:rPr>
        <w:t>Id</w:t>
      </w:r>
      <w:r w:rsidR="00275E09" w:rsidRPr="00275E09">
        <w:rPr>
          <w:rStyle w:val="ssun"/>
          <w:b w:val="0"/>
          <w:color w:val="373739"/>
          <w:szCs w:val="24"/>
          <w:u w:val="none"/>
          <w:bdr w:val="none" w:sz="0" w:space="0" w:color="auto" w:frame="1"/>
          <w:shd w:val="clear" w:color="auto" w:fill="FFFFFF"/>
        </w:rPr>
        <w:t>.</w:t>
      </w:r>
      <w:r w:rsidR="00BC0946">
        <w:rPr>
          <w:rStyle w:val="ssun"/>
          <w:b w:val="0"/>
          <w:color w:val="373739"/>
          <w:szCs w:val="24"/>
          <w:u w:val="none"/>
          <w:bdr w:val="none" w:sz="0" w:space="0" w:color="auto" w:frame="1"/>
          <w:shd w:val="clear" w:color="auto" w:fill="FFFFFF"/>
        </w:rPr>
        <w:t xml:space="preserve">  </w:t>
      </w:r>
    </w:p>
    <w:p w:rsidR="00E340E8" w:rsidRPr="00E7475E" w:rsidRDefault="00BE06C6" w:rsidP="00E340E8">
      <w:pPr>
        <w:spacing w:line="480" w:lineRule="auto"/>
        <w:rPr>
          <w:sz w:val="24"/>
          <w:szCs w:val="24"/>
        </w:rPr>
      </w:pPr>
      <w:r w:rsidRPr="00E7475E">
        <w:rPr>
          <w:sz w:val="24"/>
          <w:szCs w:val="24"/>
        </w:rPr>
        <w:tab/>
        <w:t>“A party in a civil case having the burden of proving a particular fact [by a preponderance of the evidence] does not have to establish the existence of that fact as an absolute certainty. . . .  [I]t is sufficient if the party having the burden of proving a particular fact establishes the existence of that fact as the greater likelihood, the greater probability.”  Massachusetts Jury Instructions, Civil, 1.14(d).</w:t>
      </w:r>
    </w:p>
    <w:p w:rsidR="00BE06C6" w:rsidRPr="00E7475E" w:rsidRDefault="00BE06C6" w:rsidP="00E340E8">
      <w:pPr>
        <w:spacing w:line="480" w:lineRule="auto"/>
        <w:ind w:firstLine="720"/>
        <w:rPr>
          <w:sz w:val="24"/>
          <w:szCs w:val="24"/>
        </w:rPr>
      </w:pPr>
      <w:r w:rsidRPr="00E7475E">
        <w:rPr>
          <w:sz w:val="24"/>
          <w:szCs w:val="24"/>
        </w:rPr>
        <w:t>The relevancy, admissibility, and weight of evidence that the parties seek to introduce are governed by G.L. c. 30A, § 11(2) and 310 CMR 1.01(13)(h)(1).  Under G.L. c. 30A, § 11(2):</w:t>
      </w:r>
    </w:p>
    <w:p w:rsidR="00BE06C6" w:rsidRPr="00E7475E" w:rsidRDefault="00BE06C6" w:rsidP="00BE06C6">
      <w:pPr>
        <w:pStyle w:val="FootnoteText"/>
        <w:ind w:left="1440" w:right="1440"/>
        <w:rPr>
          <w:sz w:val="24"/>
          <w:szCs w:val="24"/>
        </w:rPr>
      </w:pPr>
      <w:r w:rsidRPr="00E7475E">
        <w:rPr>
          <w:sz w:val="24"/>
          <w:szCs w:val="24"/>
        </w:rPr>
        <w:t>[u]nless otherwise provided by any law, agencies need not observe the rules of evidence observed by courts, but shall observe the rules of privilege recognized by law. Evidence may be admitted and given probative effect only if it is the kind of evidence on which reasonable persons are accustomed to rely in the conduct of serious affairs.   Agencies may exclude unduly repetitious evidence, whether offered on direct examination or cross-examination of witnesses.</w:t>
      </w:r>
    </w:p>
    <w:p w:rsidR="00BE06C6" w:rsidRPr="008F6F2B" w:rsidRDefault="00BE06C6" w:rsidP="00BE06C6">
      <w:pPr>
        <w:pStyle w:val="FootnoteText"/>
        <w:rPr>
          <w:sz w:val="24"/>
          <w:szCs w:val="24"/>
        </w:rPr>
      </w:pPr>
    </w:p>
    <w:p w:rsidR="008C1811" w:rsidRPr="008F6F2B" w:rsidRDefault="008F6F2B" w:rsidP="008F6F2B">
      <w:pPr>
        <w:pStyle w:val="le-dep-normal-32-level"/>
        <w:spacing w:line="480" w:lineRule="auto"/>
        <w:rPr>
          <w:rFonts w:ascii="Times New Roman" w:hAnsi="Times New Roman" w:cs="Times New Roman"/>
          <w:sz w:val="24"/>
          <w:szCs w:val="24"/>
        </w:rPr>
      </w:pPr>
      <w:r w:rsidRPr="008F6F2B">
        <w:rPr>
          <w:rStyle w:val="apple-converted-space"/>
          <w:rFonts w:ascii="Times New Roman" w:hAnsi="Times New Roman" w:cs="Times New Roman"/>
          <w:color w:val="373739"/>
          <w:sz w:val="24"/>
          <w:szCs w:val="24"/>
          <w:shd w:val="clear" w:color="auto" w:fill="FFFFFF"/>
        </w:rPr>
        <w:t> </w:t>
      </w:r>
      <w:r w:rsidRPr="008F6F2B">
        <w:rPr>
          <w:rFonts w:ascii="Times New Roman" w:hAnsi="Times New Roman" w:cs="Times New Roman"/>
          <w:color w:val="373739"/>
          <w:sz w:val="24"/>
          <w:szCs w:val="24"/>
          <w:shd w:val="clear" w:color="auto" w:fill="FFFFFF"/>
        </w:rPr>
        <w:t>Under</w:t>
      </w:r>
      <w:r w:rsidRPr="008F6F2B">
        <w:rPr>
          <w:rStyle w:val="apple-converted-space"/>
          <w:rFonts w:ascii="Times New Roman" w:hAnsi="Times New Roman" w:cs="Times New Roman"/>
          <w:color w:val="373739"/>
          <w:sz w:val="24"/>
          <w:szCs w:val="24"/>
          <w:shd w:val="clear" w:color="auto" w:fill="FFFFFF"/>
        </w:rPr>
        <w:t> </w:t>
      </w:r>
      <w:hyperlink r:id="rId9" w:history="1">
        <w:r w:rsidRPr="007800BC">
          <w:rPr>
            <w:rStyle w:val="Hyperlink"/>
            <w:rFonts w:ascii="Times New Roman" w:hAnsi="Times New Roman" w:cs="Times New Roman"/>
            <w:color w:val="auto"/>
            <w:sz w:val="24"/>
            <w:szCs w:val="24"/>
            <w:u w:val="none"/>
            <w:bdr w:val="none" w:sz="0" w:space="0" w:color="auto" w:frame="1"/>
            <w:shd w:val="clear" w:color="auto" w:fill="FFFFFF"/>
          </w:rPr>
          <w:t>310 CMR 1.01(13)(h)</w:t>
        </w:r>
      </w:hyperlink>
      <w:r w:rsidRPr="008F6F2B">
        <w:rPr>
          <w:rFonts w:ascii="Times New Roman" w:hAnsi="Times New Roman" w:cs="Times New Roman"/>
          <w:color w:val="373739"/>
          <w:sz w:val="24"/>
          <w:szCs w:val="24"/>
          <w:shd w:val="clear" w:color="auto" w:fill="FFFFFF"/>
        </w:rPr>
        <w:t>, "[t]he weight to be attached to any evidence in the record will rest within the sound discretion of the Presiding Officer. . . ."</w:t>
      </w:r>
      <w:r w:rsidR="00BE06C6" w:rsidRPr="008F6F2B">
        <w:rPr>
          <w:rFonts w:ascii="Times New Roman" w:hAnsi="Times New Roman" w:cs="Times New Roman"/>
          <w:sz w:val="24"/>
          <w:szCs w:val="24"/>
        </w:rPr>
        <w:t>.</w:t>
      </w:r>
    </w:p>
    <w:p w:rsidR="00BE06C6" w:rsidRPr="00E7475E" w:rsidRDefault="008C1811" w:rsidP="008C1811">
      <w:pPr>
        <w:pStyle w:val="le-dep-normal-32-level"/>
        <w:spacing w:line="480" w:lineRule="auto"/>
        <w:jc w:val="center"/>
        <w:rPr>
          <w:rFonts w:ascii="Times New Roman" w:hAnsi="Times New Roman" w:cs="Times New Roman"/>
          <w:b/>
          <w:sz w:val="24"/>
          <w:szCs w:val="24"/>
          <w:u w:val="single"/>
        </w:rPr>
      </w:pPr>
      <w:r w:rsidRPr="00E7475E">
        <w:rPr>
          <w:rFonts w:ascii="Times New Roman" w:hAnsi="Times New Roman" w:cs="Times New Roman"/>
          <w:b/>
          <w:sz w:val="24"/>
          <w:szCs w:val="24"/>
          <w:u w:val="single"/>
        </w:rPr>
        <w:lastRenderedPageBreak/>
        <w:t>DISCUSSION</w:t>
      </w:r>
    </w:p>
    <w:p w:rsidR="00E7475E" w:rsidRPr="00E7475E" w:rsidRDefault="000763E0" w:rsidP="00E7475E">
      <w:pPr>
        <w:spacing w:line="480" w:lineRule="auto"/>
        <w:ind w:firstLine="720"/>
        <w:contextualSpacing/>
        <w:rPr>
          <w:color w:val="333333"/>
          <w:sz w:val="24"/>
          <w:szCs w:val="24"/>
          <w:shd w:val="clear" w:color="auto" w:fill="FFFFFF"/>
        </w:rPr>
      </w:pPr>
      <w:r w:rsidRPr="00E7475E">
        <w:rPr>
          <w:color w:val="333333"/>
          <w:sz w:val="24"/>
          <w:szCs w:val="24"/>
          <w:shd w:val="clear" w:color="auto" w:fill="FFFFFF"/>
        </w:rPr>
        <w:t>The parties focused their evidence</w:t>
      </w:r>
      <w:r w:rsidR="00FE2421">
        <w:rPr>
          <w:color w:val="333333"/>
          <w:sz w:val="24"/>
          <w:szCs w:val="24"/>
          <w:shd w:val="clear" w:color="auto" w:fill="FFFFFF"/>
        </w:rPr>
        <w:t xml:space="preserve"> and argument</w:t>
      </w:r>
      <w:r w:rsidRPr="00E7475E">
        <w:rPr>
          <w:color w:val="333333"/>
          <w:sz w:val="24"/>
          <w:szCs w:val="24"/>
          <w:shd w:val="clear" w:color="auto" w:fill="FFFFFF"/>
        </w:rPr>
        <w:t xml:space="preserve"> on whether the Maher pier would significantly interfere with the ability of seven commercial fishing boats to travel to and fr</w:t>
      </w:r>
      <w:r w:rsidR="00C12A51">
        <w:rPr>
          <w:color w:val="333333"/>
          <w:sz w:val="24"/>
          <w:szCs w:val="24"/>
          <w:shd w:val="clear" w:color="auto" w:fill="FFFFFF"/>
        </w:rPr>
        <w:t xml:space="preserve">om their leased slips on </w:t>
      </w:r>
      <w:r w:rsidRPr="00E7475E">
        <w:rPr>
          <w:color w:val="333333"/>
          <w:sz w:val="24"/>
          <w:szCs w:val="24"/>
          <w:shd w:val="clear" w:color="auto" w:fill="FFFFFF"/>
        </w:rPr>
        <w:t xml:space="preserve">the north side of the Town pier and the ability of the McLaughlins to travel to and from their pier.  </w:t>
      </w:r>
      <w:r w:rsidR="00E7475E" w:rsidRPr="00E7475E">
        <w:rPr>
          <w:color w:val="333333"/>
          <w:sz w:val="24"/>
          <w:szCs w:val="24"/>
          <w:shd w:val="clear" w:color="auto" w:fill="FFFFFF"/>
        </w:rPr>
        <w:t xml:space="preserve">At issue is whether the proposed pier would violate 310 CMR 9.36(2), which </w:t>
      </w:r>
      <w:r w:rsidRPr="00E7475E">
        <w:rPr>
          <w:color w:val="333333"/>
          <w:sz w:val="24"/>
          <w:szCs w:val="24"/>
          <w:shd w:val="clear" w:color="auto" w:fill="FFFFFF"/>
        </w:rPr>
        <w:t xml:space="preserve">prohibits docks or piers from significantly interfering with a littoral or riparian property owner’s right to </w:t>
      </w:r>
      <w:r w:rsidR="00FE2421">
        <w:rPr>
          <w:color w:val="333333"/>
          <w:sz w:val="24"/>
          <w:szCs w:val="24"/>
          <w:shd w:val="clear" w:color="auto" w:fill="FFFFFF"/>
        </w:rPr>
        <w:t xml:space="preserve">travel to and from </w:t>
      </w:r>
      <w:r w:rsidRPr="00E7475E">
        <w:rPr>
          <w:color w:val="333333"/>
          <w:sz w:val="24"/>
          <w:szCs w:val="24"/>
          <w:shd w:val="clear" w:color="auto" w:fill="FFFFFF"/>
        </w:rPr>
        <w:t xml:space="preserve">their property </w:t>
      </w:r>
      <w:r w:rsidR="00FE2421">
        <w:rPr>
          <w:color w:val="333333"/>
          <w:sz w:val="24"/>
          <w:szCs w:val="24"/>
          <w:shd w:val="clear" w:color="auto" w:fill="FFFFFF"/>
        </w:rPr>
        <w:t>via</w:t>
      </w:r>
      <w:r w:rsidRPr="00E7475E">
        <w:rPr>
          <w:color w:val="333333"/>
          <w:sz w:val="24"/>
          <w:szCs w:val="24"/>
          <w:shd w:val="clear" w:color="auto" w:fill="FFFFFF"/>
        </w:rPr>
        <w:t xml:space="preserve"> the waterway.</w:t>
      </w:r>
      <w:r w:rsidR="00C36098">
        <w:rPr>
          <w:rStyle w:val="FootnoteReference"/>
          <w:color w:val="333333"/>
          <w:sz w:val="24"/>
          <w:szCs w:val="24"/>
          <w:shd w:val="clear" w:color="auto" w:fill="FFFFFF"/>
        </w:rPr>
        <w:footnoteReference w:id="4"/>
      </w:r>
      <w:r w:rsidRPr="00E7475E">
        <w:rPr>
          <w:color w:val="333333"/>
          <w:sz w:val="24"/>
          <w:szCs w:val="24"/>
          <w:shd w:val="clear" w:color="auto" w:fill="FFFFFF"/>
        </w:rPr>
        <w:t xml:space="preserve">  310 CMR 9.36(2).</w:t>
      </w:r>
    </w:p>
    <w:p w:rsidR="00CD410F" w:rsidRDefault="0063059D" w:rsidP="00C755B5">
      <w:pPr>
        <w:spacing w:line="480" w:lineRule="auto"/>
        <w:ind w:firstLine="720"/>
        <w:contextualSpacing/>
        <w:rPr>
          <w:sz w:val="24"/>
          <w:szCs w:val="24"/>
        </w:rPr>
      </w:pPr>
      <w:r w:rsidRPr="00E7475E">
        <w:rPr>
          <w:b/>
          <w:i/>
          <w:sz w:val="24"/>
          <w:szCs w:val="24"/>
        </w:rPr>
        <w:t xml:space="preserve">Interference With </w:t>
      </w:r>
      <w:r w:rsidR="00A021F8" w:rsidRPr="00E7475E">
        <w:rPr>
          <w:b/>
          <w:i/>
          <w:sz w:val="24"/>
          <w:szCs w:val="24"/>
        </w:rPr>
        <w:t xml:space="preserve">The </w:t>
      </w:r>
      <w:r w:rsidRPr="00E7475E">
        <w:rPr>
          <w:b/>
          <w:i/>
          <w:sz w:val="24"/>
          <w:szCs w:val="24"/>
        </w:rPr>
        <w:t>McLaughlin</w:t>
      </w:r>
      <w:r w:rsidR="00A021F8" w:rsidRPr="00E7475E">
        <w:rPr>
          <w:b/>
          <w:i/>
          <w:sz w:val="24"/>
          <w:szCs w:val="24"/>
        </w:rPr>
        <w:t xml:space="preserve"> Pier</w:t>
      </w:r>
      <w:r w:rsidRPr="00E7475E">
        <w:rPr>
          <w:i/>
          <w:sz w:val="24"/>
          <w:szCs w:val="24"/>
        </w:rPr>
        <w:t xml:space="preserve">.  </w:t>
      </w:r>
      <w:r w:rsidR="00C82BBE" w:rsidRPr="00E7475E">
        <w:rPr>
          <w:sz w:val="24"/>
          <w:szCs w:val="24"/>
        </w:rPr>
        <w:t xml:space="preserve">The McLaughlin pier is </w:t>
      </w:r>
      <w:r w:rsidR="008026C8" w:rsidRPr="00E7475E">
        <w:rPr>
          <w:sz w:val="24"/>
          <w:szCs w:val="24"/>
        </w:rPr>
        <w:t>north</w:t>
      </w:r>
      <w:r w:rsidR="00C82BBE" w:rsidRPr="00E7475E">
        <w:rPr>
          <w:sz w:val="24"/>
          <w:szCs w:val="24"/>
        </w:rPr>
        <w:t xml:space="preserve"> of the proposed pier</w:t>
      </w:r>
      <w:r w:rsidR="005A46E3" w:rsidRPr="00E7475E">
        <w:rPr>
          <w:sz w:val="24"/>
          <w:szCs w:val="24"/>
        </w:rPr>
        <w:t xml:space="preserve"> location</w:t>
      </w:r>
      <w:r w:rsidR="00A244BA" w:rsidRPr="00E7475E">
        <w:rPr>
          <w:sz w:val="24"/>
          <w:szCs w:val="24"/>
        </w:rPr>
        <w:t xml:space="preserve"> by approximately 1</w:t>
      </w:r>
      <w:r w:rsidR="00133C4F" w:rsidRPr="00E7475E">
        <w:rPr>
          <w:sz w:val="24"/>
          <w:szCs w:val="24"/>
        </w:rPr>
        <w:t>0</w:t>
      </w:r>
      <w:r w:rsidR="00A244BA" w:rsidRPr="00E7475E">
        <w:rPr>
          <w:sz w:val="24"/>
          <w:szCs w:val="24"/>
        </w:rPr>
        <w:t>3 feet</w:t>
      </w:r>
      <w:r w:rsidR="00C82BBE" w:rsidRPr="00E7475E">
        <w:rPr>
          <w:sz w:val="24"/>
          <w:szCs w:val="24"/>
        </w:rPr>
        <w:t>.  Maher PFT, p. 1.</w:t>
      </w:r>
      <w:r w:rsidR="004E4BC8" w:rsidRPr="00E7475E">
        <w:rPr>
          <w:sz w:val="24"/>
          <w:szCs w:val="24"/>
        </w:rPr>
        <w:t xml:space="preserve"> </w:t>
      </w:r>
      <w:r w:rsidR="00A244BA" w:rsidRPr="00E7475E">
        <w:rPr>
          <w:sz w:val="24"/>
          <w:szCs w:val="24"/>
        </w:rPr>
        <w:t xml:space="preserve"> </w:t>
      </w:r>
      <w:r w:rsidR="0006464A">
        <w:rPr>
          <w:sz w:val="24"/>
          <w:szCs w:val="24"/>
        </w:rPr>
        <w:t xml:space="preserve">The direct testimony filed by </w:t>
      </w:r>
      <w:r w:rsidR="004E4BC8" w:rsidRPr="00E7475E">
        <w:rPr>
          <w:sz w:val="24"/>
          <w:szCs w:val="24"/>
        </w:rPr>
        <w:t>McLaughlin was narrow, conclusory, duplicative, and only marginally probative of the issue</w:t>
      </w:r>
      <w:r w:rsidR="00E7475E">
        <w:rPr>
          <w:sz w:val="24"/>
          <w:szCs w:val="24"/>
        </w:rPr>
        <w:t>s</w:t>
      </w:r>
      <w:r w:rsidR="004E4BC8" w:rsidRPr="00E7475E">
        <w:rPr>
          <w:sz w:val="24"/>
          <w:szCs w:val="24"/>
        </w:rPr>
        <w:t xml:space="preserve"> identified for adjudication.  </w:t>
      </w:r>
      <w:r w:rsidRPr="00E7475E">
        <w:rPr>
          <w:sz w:val="24"/>
          <w:szCs w:val="24"/>
        </w:rPr>
        <w:t xml:space="preserve">Leach’s direct testimony was extremely narrow and limited.  He testified that the dock “creates a dangerous obstacle for boats who use the town pier and for the boats moored in that area.”  </w:t>
      </w:r>
      <w:r w:rsidR="004E4BC8" w:rsidRPr="00E7475E">
        <w:rPr>
          <w:sz w:val="24"/>
          <w:szCs w:val="24"/>
        </w:rPr>
        <w:t>He added that t</w:t>
      </w:r>
      <w:r w:rsidRPr="00E7475E">
        <w:rPr>
          <w:sz w:val="24"/>
          <w:szCs w:val="24"/>
        </w:rPr>
        <w:t xml:space="preserve">he </w:t>
      </w:r>
      <w:r w:rsidR="004E4BC8" w:rsidRPr="00E7475E">
        <w:rPr>
          <w:sz w:val="24"/>
          <w:szCs w:val="24"/>
        </w:rPr>
        <w:t>“</w:t>
      </w:r>
      <w:r w:rsidRPr="00E7475E">
        <w:rPr>
          <w:sz w:val="24"/>
          <w:szCs w:val="24"/>
        </w:rPr>
        <w:t xml:space="preserve">shallowness of Wychmere Harbor and the prevailing winds from the southwest, along with a large amount of moorings and an active harbor with commercial vessels and pleasure boats makes Wychmere Harbor difficult to navigate under existing conditions. . . .   In my opinion, the addition of the proposed dock from the Maher property will make a bad situation worse, potentially damage an historic active shellfish bed, and </w:t>
      </w:r>
      <w:r w:rsidRPr="00E7475E">
        <w:rPr>
          <w:sz w:val="24"/>
          <w:szCs w:val="24"/>
        </w:rPr>
        <w:lastRenderedPageBreak/>
        <w:t>like result in boats colliding.”  Leach PFT, p. 2.</w:t>
      </w:r>
      <w:r w:rsidR="000378BF" w:rsidRPr="00E7475E">
        <w:rPr>
          <w:sz w:val="24"/>
          <w:szCs w:val="24"/>
        </w:rPr>
        <w:t xml:space="preserve">  </w:t>
      </w:r>
      <w:r w:rsidR="004E4BC8" w:rsidRPr="00E7475E">
        <w:rPr>
          <w:sz w:val="24"/>
          <w:szCs w:val="24"/>
        </w:rPr>
        <w:t>Leach’s failure to identify specifically how the propos</w:t>
      </w:r>
      <w:r w:rsidR="00C755B5">
        <w:rPr>
          <w:sz w:val="24"/>
          <w:szCs w:val="24"/>
        </w:rPr>
        <w:t xml:space="preserve">ed pier would interfere with </w:t>
      </w:r>
      <w:r w:rsidR="004E4BC8" w:rsidRPr="00E7475E">
        <w:rPr>
          <w:sz w:val="24"/>
          <w:szCs w:val="24"/>
        </w:rPr>
        <w:t>McLaughlin’s access to</w:t>
      </w:r>
      <w:r w:rsidR="00A244BA" w:rsidRPr="00E7475E">
        <w:rPr>
          <w:sz w:val="24"/>
          <w:szCs w:val="24"/>
        </w:rPr>
        <w:t xml:space="preserve"> and from</w:t>
      </w:r>
      <w:r w:rsidR="004E4BC8" w:rsidRPr="00E7475E">
        <w:rPr>
          <w:sz w:val="24"/>
          <w:szCs w:val="24"/>
        </w:rPr>
        <w:t xml:space="preserve"> </w:t>
      </w:r>
      <w:r w:rsidR="00C755B5">
        <w:rPr>
          <w:sz w:val="24"/>
          <w:szCs w:val="24"/>
        </w:rPr>
        <w:t>her</w:t>
      </w:r>
      <w:r w:rsidR="004E4BC8" w:rsidRPr="00E7475E">
        <w:rPr>
          <w:sz w:val="24"/>
          <w:szCs w:val="24"/>
        </w:rPr>
        <w:t xml:space="preserve"> pier significantly detracts from its probative value, </w:t>
      </w:r>
      <w:r w:rsidR="00A244BA" w:rsidRPr="00E7475E">
        <w:rPr>
          <w:sz w:val="24"/>
          <w:szCs w:val="24"/>
        </w:rPr>
        <w:t xml:space="preserve">leaving it with only </w:t>
      </w:r>
      <w:r w:rsidR="00325C36" w:rsidRPr="00E7475E">
        <w:rPr>
          <w:sz w:val="24"/>
          <w:szCs w:val="24"/>
        </w:rPr>
        <w:t xml:space="preserve">very little evidentiary weight.  </w:t>
      </w:r>
    </w:p>
    <w:p w:rsidR="00CD410F" w:rsidRDefault="00325C36" w:rsidP="00C755B5">
      <w:pPr>
        <w:spacing w:line="480" w:lineRule="auto"/>
        <w:ind w:firstLine="720"/>
        <w:contextualSpacing/>
        <w:rPr>
          <w:sz w:val="24"/>
          <w:szCs w:val="24"/>
        </w:rPr>
      </w:pPr>
      <w:r w:rsidRPr="00E7475E">
        <w:rPr>
          <w:sz w:val="24"/>
          <w:szCs w:val="24"/>
        </w:rPr>
        <w:t>Further, the</w:t>
      </w:r>
      <w:r w:rsidR="005A46E3" w:rsidRPr="00E7475E">
        <w:rPr>
          <w:sz w:val="24"/>
          <w:szCs w:val="24"/>
        </w:rPr>
        <w:t xml:space="preserve"> administrative record</w:t>
      </w:r>
      <w:r w:rsidRPr="00E7475E">
        <w:rPr>
          <w:sz w:val="24"/>
          <w:szCs w:val="24"/>
        </w:rPr>
        <w:t xml:space="preserve"> includes a</w:t>
      </w:r>
      <w:r w:rsidR="00A244BA" w:rsidRPr="00E7475E">
        <w:rPr>
          <w:sz w:val="24"/>
          <w:szCs w:val="24"/>
        </w:rPr>
        <w:t>n unsigned</w:t>
      </w:r>
      <w:r w:rsidR="00C755B5">
        <w:rPr>
          <w:sz w:val="24"/>
          <w:szCs w:val="24"/>
        </w:rPr>
        <w:t xml:space="preserve"> draft affidavit that </w:t>
      </w:r>
      <w:r w:rsidRPr="00E7475E">
        <w:rPr>
          <w:sz w:val="24"/>
          <w:szCs w:val="24"/>
        </w:rPr>
        <w:t>McLaughlin had submitted to Leach for his signature</w:t>
      </w:r>
      <w:r w:rsidR="00A244BA" w:rsidRPr="00E7475E">
        <w:rPr>
          <w:sz w:val="24"/>
          <w:szCs w:val="24"/>
        </w:rPr>
        <w:t>.  That draft</w:t>
      </w:r>
      <w:r w:rsidRPr="00E7475E">
        <w:rPr>
          <w:sz w:val="24"/>
          <w:szCs w:val="24"/>
        </w:rPr>
        <w:t xml:space="preserve"> significantly varies from the affidavit that Leach ultimately signed.  </w:t>
      </w:r>
      <w:r w:rsidR="00A54D98">
        <w:rPr>
          <w:sz w:val="24"/>
          <w:szCs w:val="24"/>
        </w:rPr>
        <w:t xml:space="preserve">Transcript, pp. </w:t>
      </w:r>
      <w:r w:rsidR="007077F1">
        <w:rPr>
          <w:sz w:val="24"/>
          <w:szCs w:val="24"/>
        </w:rPr>
        <w:t xml:space="preserve">21-24, </w:t>
      </w:r>
      <w:r w:rsidR="00A54D98">
        <w:rPr>
          <w:sz w:val="24"/>
          <w:szCs w:val="24"/>
        </w:rPr>
        <w:t>26-28</w:t>
      </w:r>
      <w:r w:rsidR="00B75FAF">
        <w:rPr>
          <w:sz w:val="24"/>
          <w:szCs w:val="24"/>
        </w:rPr>
        <w:t>, 76-77</w:t>
      </w:r>
      <w:r w:rsidR="00A54D98">
        <w:rPr>
          <w:sz w:val="24"/>
          <w:szCs w:val="24"/>
        </w:rPr>
        <w:t xml:space="preserve">.  </w:t>
      </w:r>
      <w:r w:rsidRPr="00E7475E">
        <w:rPr>
          <w:sz w:val="24"/>
          <w:szCs w:val="24"/>
        </w:rPr>
        <w:t xml:space="preserve">The </w:t>
      </w:r>
      <w:r w:rsidR="008C6A5B" w:rsidRPr="00E7475E">
        <w:rPr>
          <w:sz w:val="24"/>
          <w:szCs w:val="24"/>
        </w:rPr>
        <w:t>affidavit that Leach</w:t>
      </w:r>
      <w:r w:rsidR="00317F03">
        <w:rPr>
          <w:sz w:val="24"/>
          <w:szCs w:val="24"/>
        </w:rPr>
        <w:t xml:space="preserve"> ultimately signed</w:t>
      </w:r>
      <w:r w:rsidR="008C6A5B" w:rsidRPr="00E7475E">
        <w:rPr>
          <w:sz w:val="24"/>
          <w:szCs w:val="24"/>
        </w:rPr>
        <w:t xml:space="preserve"> omit</w:t>
      </w:r>
      <w:r w:rsidR="00C755B5">
        <w:rPr>
          <w:sz w:val="24"/>
          <w:szCs w:val="24"/>
        </w:rPr>
        <w:t>s language from th</w:t>
      </w:r>
      <w:r w:rsidR="00CD410F">
        <w:rPr>
          <w:sz w:val="24"/>
          <w:szCs w:val="24"/>
        </w:rPr>
        <w:t>e</w:t>
      </w:r>
      <w:r w:rsidR="00C755B5">
        <w:rPr>
          <w:sz w:val="24"/>
          <w:szCs w:val="24"/>
        </w:rPr>
        <w:t xml:space="preserve"> draft stating</w:t>
      </w:r>
      <w:r w:rsidR="008C6A5B" w:rsidRPr="00E7475E">
        <w:rPr>
          <w:sz w:val="24"/>
          <w:szCs w:val="24"/>
        </w:rPr>
        <w:t xml:space="preserve"> that </w:t>
      </w:r>
      <w:r w:rsidRPr="00E7475E">
        <w:rPr>
          <w:sz w:val="24"/>
          <w:szCs w:val="24"/>
        </w:rPr>
        <w:t>the proposed pier would “pose a severe navigation hazard for boats in general in Wychmere Harbor and specifically for Maher’s abutter, Charlene McLaughlin.”</w:t>
      </w:r>
      <w:r w:rsidR="005A46E3" w:rsidRPr="00E7475E">
        <w:rPr>
          <w:sz w:val="24"/>
          <w:szCs w:val="24"/>
        </w:rPr>
        <w:t xml:space="preserve">  The omission of this language from the affidavit signed by Leach indicates he does not agree that the proposed pier would pose a significant navigation hazard for McLaughlin.</w:t>
      </w:r>
      <w:r w:rsidR="00A54D98">
        <w:rPr>
          <w:sz w:val="24"/>
          <w:szCs w:val="24"/>
        </w:rPr>
        <w:t xml:space="preserve">  </w:t>
      </w:r>
    </w:p>
    <w:p w:rsidR="00C755B5" w:rsidRDefault="00CD410F" w:rsidP="00C755B5">
      <w:pPr>
        <w:spacing w:line="480" w:lineRule="auto"/>
        <w:ind w:firstLine="720"/>
        <w:contextualSpacing/>
        <w:rPr>
          <w:sz w:val="24"/>
          <w:szCs w:val="24"/>
        </w:rPr>
      </w:pPr>
      <w:r>
        <w:rPr>
          <w:sz w:val="24"/>
          <w:szCs w:val="24"/>
        </w:rPr>
        <w:t>Leach’s testimony contains other inconsistencies</w:t>
      </w:r>
      <w:r w:rsidR="007F29CE">
        <w:rPr>
          <w:sz w:val="24"/>
          <w:szCs w:val="24"/>
        </w:rPr>
        <w:t xml:space="preserve"> that detract from its weight</w:t>
      </w:r>
      <w:r>
        <w:rPr>
          <w:sz w:val="24"/>
          <w:szCs w:val="24"/>
        </w:rPr>
        <w:t xml:space="preserve">.  </w:t>
      </w:r>
      <w:r w:rsidR="00A54D98">
        <w:rPr>
          <w:sz w:val="24"/>
          <w:szCs w:val="24"/>
        </w:rPr>
        <w:t>At the adjudicatory hearing, under the guise of redirect examination Leac</w:t>
      </w:r>
      <w:r w:rsidR="00B06480">
        <w:rPr>
          <w:sz w:val="24"/>
          <w:szCs w:val="24"/>
        </w:rPr>
        <w:t>h elaborated upon his testimony and changed it,</w:t>
      </w:r>
      <w:r w:rsidR="00A54D98">
        <w:rPr>
          <w:sz w:val="24"/>
          <w:szCs w:val="24"/>
        </w:rPr>
        <w:t xml:space="preserve"> asserting that the</w:t>
      </w:r>
      <w:r w:rsidR="00B75FAF">
        <w:rPr>
          <w:sz w:val="24"/>
          <w:szCs w:val="24"/>
        </w:rPr>
        <w:t xml:space="preserve"> proposed pier will have an “impact” and there </w:t>
      </w:r>
      <w:r w:rsidR="007F29CE">
        <w:rPr>
          <w:sz w:val="24"/>
          <w:szCs w:val="24"/>
        </w:rPr>
        <w:t>would be “some restriction</w:t>
      </w:r>
      <w:r w:rsidR="00A54D98">
        <w:rPr>
          <w:sz w:val="24"/>
          <w:szCs w:val="24"/>
        </w:rPr>
        <w:t>”</w:t>
      </w:r>
      <w:r w:rsidR="007F29CE">
        <w:rPr>
          <w:sz w:val="24"/>
          <w:szCs w:val="24"/>
        </w:rPr>
        <w:t xml:space="preserve"> on the McLaughlins’ access rights.</w:t>
      </w:r>
      <w:r w:rsidR="00A54D98">
        <w:rPr>
          <w:sz w:val="24"/>
          <w:szCs w:val="24"/>
        </w:rPr>
        <w:t xml:space="preserve">  Transcript, pp. </w:t>
      </w:r>
      <w:r w:rsidR="00B75FAF">
        <w:rPr>
          <w:sz w:val="24"/>
          <w:szCs w:val="24"/>
        </w:rPr>
        <w:t xml:space="preserve">54-55, </w:t>
      </w:r>
      <w:r w:rsidR="00A54D98">
        <w:rPr>
          <w:sz w:val="24"/>
          <w:szCs w:val="24"/>
        </w:rPr>
        <w:t xml:space="preserve">69-70.  </w:t>
      </w:r>
      <w:r w:rsidR="007F29CE">
        <w:rPr>
          <w:sz w:val="24"/>
          <w:szCs w:val="24"/>
        </w:rPr>
        <w:t>But w</w:t>
      </w:r>
      <w:r w:rsidR="00A54D98">
        <w:rPr>
          <w:sz w:val="24"/>
          <w:szCs w:val="24"/>
        </w:rPr>
        <w:t>hen he was the Town’s Harbormaster Leach had actually advocated that the proposed pier be closer to the McLaughlin pier.  Likewise, the current Habormaster, Rendon, testified that the proposed pier will not significantly interfere with th</w:t>
      </w:r>
      <w:r w:rsidR="00351D79">
        <w:rPr>
          <w:sz w:val="24"/>
          <w:szCs w:val="24"/>
        </w:rPr>
        <w:t xml:space="preserve">e McLaughlin pier, and in fact </w:t>
      </w:r>
      <w:r w:rsidR="00A54D98">
        <w:rPr>
          <w:sz w:val="24"/>
          <w:szCs w:val="24"/>
        </w:rPr>
        <w:t>he</w:t>
      </w:r>
      <w:r w:rsidR="003614BC">
        <w:rPr>
          <w:sz w:val="24"/>
          <w:szCs w:val="24"/>
        </w:rPr>
        <w:t xml:space="preserve"> believed the</w:t>
      </w:r>
      <w:r w:rsidR="00A54D98">
        <w:rPr>
          <w:sz w:val="24"/>
          <w:szCs w:val="24"/>
        </w:rPr>
        <w:t xml:space="preserve"> proposed pier should be moved closer to the McLaughlin pier.  Transcript, pp. 21-22</w:t>
      </w:r>
      <w:r w:rsidR="00210E77">
        <w:rPr>
          <w:sz w:val="24"/>
          <w:szCs w:val="24"/>
        </w:rPr>
        <w:t>, 166-68</w:t>
      </w:r>
      <w:r w:rsidR="00351D79">
        <w:rPr>
          <w:sz w:val="24"/>
          <w:szCs w:val="24"/>
        </w:rPr>
        <w:t>; Rendon PFT, ¶ 33 and Rebuttal PFT, ¶¶ 19, 29</w:t>
      </w:r>
      <w:r w:rsidR="00A54D98">
        <w:rPr>
          <w:sz w:val="24"/>
          <w:szCs w:val="24"/>
        </w:rPr>
        <w:t>.</w:t>
      </w:r>
      <w:r w:rsidR="00325C36" w:rsidRPr="00E7475E">
        <w:rPr>
          <w:sz w:val="24"/>
          <w:szCs w:val="24"/>
        </w:rPr>
        <w:t xml:space="preserve">  Given these issues</w:t>
      </w:r>
      <w:r>
        <w:rPr>
          <w:sz w:val="24"/>
          <w:szCs w:val="24"/>
        </w:rPr>
        <w:t>, including the above inconsistencies</w:t>
      </w:r>
      <w:r w:rsidR="00325C36" w:rsidRPr="00E7475E">
        <w:rPr>
          <w:sz w:val="24"/>
          <w:szCs w:val="24"/>
        </w:rPr>
        <w:t xml:space="preserve"> with Leach’</w:t>
      </w:r>
      <w:r w:rsidR="005A46E3" w:rsidRPr="00E7475E">
        <w:rPr>
          <w:sz w:val="24"/>
          <w:szCs w:val="24"/>
        </w:rPr>
        <w:t xml:space="preserve">s </w:t>
      </w:r>
      <w:r w:rsidR="00325C36" w:rsidRPr="00E7475E">
        <w:rPr>
          <w:sz w:val="24"/>
          <w:szCs w:val="24"/>
        </w:rPr>
        <w:t>testimony, I find it is entitled to almost no probative value.</w:t>
      </w:r>
      <w:r w:rsidR="00A54D98">
        <w:rPr>
          <w:sz w:val="24"/>
          <w:szCs w:val="24"/>
        </w:rPr>
        <w:t xml:space="preserve">  </w:t>
      </w:r>
      <w:r w:rsidR="00325C36" w:rsidRPr="00E7475E">
        <w:rPr>
          <w:sz w:val="24"/>
          <w:szCs w:val="24"/>
        </w:rPr>
        <w:t xml:space="preserve"> </w:t>
      </w:r>
    </w:p>
    <w:p w:rsidR="007251AF" w:rsidRDefault="000378BF" w:rsidP="007251AF">
      <w:pPr>
        <w:spacing w:line="480" w:lineRule="auto"/>
        <w:ind w:firstLine="720"/>
        <w:contextualSpacing/>
        <w:rPr>
          <w:sz w:val="24"/>
          <w:szCs w:val="24"/>
        </w:rPr>
      </w:pPr>
      <w:r w:rsidRPr="00E7475E">
        <w:rPr>
          <w:sz w:val="24"/>
          <w:szCs w:val="24"/>
        </w:rPr>
        <w:t>The Tessier testimony</w:t>
      </w:r>
      <w:r w:rsidR="00325C36" w:rsidRPr="00E7475E">
        <w:rPr>
          <w:sz w:val="24"/>
          <w:szCs w:val="24"/>
        </w:rPr>
        <w:t xml:space="preserve"> that was submitted by McLaughlin was </w:t>
      </w:r>
      <w:r w:rsidR="005A46E3" w:rsidRPr="00E7475E">
        <w:rPr>
          <w:sz w:val="24"/>
          <w:szCs w:val="24"/>
        </w:rPr>
        <w:t>equally</w:t>
      </w:r>
      <w:r w:rsidR="00325C36" w:rsidRPr="00E7475E">
        <w:rPr>
          <w:sz w:val="24"/>
          <w:szCs w:val="24"/>
        </w:rPr>
        <w:t xml:space="preserve"> narrow and conclusory</w:t>
      </w:r>
      <w:r w:rsidR="0056412B" w:rsidRPr="00E7475E">
        <w:rPr>
          <w:sz w:val="24"/>
          <w:szCs w:val="24"/>
        </w:rPr>
        <w:t>, lacking a factual basis</w:t>
      </w:r>
      <w:r w:rsidRPr="00E7475E">
        <w:rPr>
          <w:sz w:val="24"/>
          <w:szCs w:val="24"/>
        </w:rPr>
        <w:t xml:space="preserve">.  </w:t>
      </w:r>
      <w:r w:rsidR="0056412B" w:rsidRPr="00E7475E">
        <w:rPr>
          <w:sz w:val="24"/>
          <w:szCs w:val="24"/>
        </w:rPr>
        <w:t xml:space="preserve">It also failed to identify specifically how the proposed pier </w:t>
      </w:r>
      <w:r w:rsidR="0056412B" w:rsidRPr="00E7475E">
        <w:rPr>
          <w:sz w:val="24"/>
          <w:szCs w:val="24"/>
        </w:rPr>
        <w:lastRenderedPageBreak/>
        <w:t>would interfere with</w:t>
      </w:r>
      <w:r w:rsidR="007251AF">
        <w:rPr>
          <w:sz w:val="24"/>
          <w:szCs w:val="24"/>
        </w:rPr>
        <w:t xml:space="preserve"> the</w:t>
      </w:r>
      <w:r w:rsidR="0056412B" w:rsidRPr="00E7475E">
        <w:rPr>
          <w:sz w:val="24"/>
          <w:szCs w:val="24"/>
        </w:rPr>
        <w:t xml:space="preserve"> </w:t>
      </w:r>
      <w:r w:rsidR="000F1A37" w:rsidRPr="00E7475E">
        <w:rPr>
          <w:sz w:val="24"/>
          <w:szCs w:val="24"/>
        </w:rPr>
        <w:t>McLaughlin’s</w:t>
      </w:r>
      <w:r w:rsidR="0056412B" w:rsidRPr="00E7475E">
        <w:rPr>
          <w:sz w:val="24"/>
          <w:szCs w:val="24"/>
        </w:rPr>
        <w:t xml:space="preserve"> access to and from </w:t>
      </w:r>
      <w:r w:rsidR="007251AF">
        <w:rPr>
          <w:sz w:val="24"/>
          <w:szCs w:val="24"/>
        </w:rPr>
        <w:t>t</w:t>
      </w:r>
      <w:r w:rsidR="00C755B5">
        <w:rPr>
          <w:sz w:val="24"/>
          <w:szCs w:val="24"/>
        </w:rPr>
        <w:t>he</w:t>
      </w:r>
      <w:r w:rsidR="007251AF">
        <w:rPr>
          <w:sz w:val="24"/>
          <w:szCs w:val="24"/>
        </w:rPr>
        <w:t>i</w:t>
      </w:r>
      <w:r w:rsidR="00C755B5">
        <w:rPr>
          <w:sz w:val="24"/>
          <w:szCs w:val="24"/>
        </w:rPr>
        <w:t xml:space="preserve">r </w:t>
      </w:r>
      <w:r w:rsidR="0056412B" w:rsidRPr="00E7475E">
        <w:rPr>
          <w:sz w:val="24"/>
          <w:szCs w:val="24"/>
        </w:rPr>
        <w:t>pier.  Tessier t</w:t>
      </w:r>
      <w:r w:rsidRPr="00E7475E">
        <w:rPr>
          <w:sz w:val="24"/>
          <w:szCs w:val="24"/>
        </w:rPr>
        <w:t>estified only that the Maher pier would “pose a severe navigation hazard for boats in general in Wychmere Harbor and specifically for Maher’s abutter, Charlene McLaughlin.</w:t>
      </w:r>
      <w:r w:rsidR="00325C36" w:rsidRPr="00E7475E">
        <w:rPr>
          <w:sz w:val="24"/>
          <w:szCs w:val="24"/>
        </w:rPr>
        <w:t>”</w:t>
      </w:r>
      <w:r w:rsidRPr="00E7475E">
        <w:rPr>
          <w:sz w:val="24"/>
          <w:szCs w:val="24"/>
        </w:rPr>
        <w:t xml:space="preserve">  Tessier PFT.  His</w:t>
      </w:r>
      <w:r w:rsidR="008C6A5B" w:rsidRPr="00E7475E">
        <w:rPr>
          <w:sz w:val="24"/>
          <w:szCs w:val="24"/>
        </w:rPr>
        <w:t xml:space="preserve"> remaining</w:t>
      </w:r>
      <w:r w:rsidRPr="00E7475E">
        <w:rPr>
          <w:sz w:val="24"/>
          <w:szCs w:val="24"/>
        </w:rPr>
        <w:t xml:space="preserve"> testimony was virtually identical to Leach’s testimony: “The shallowness of Wychmere Harbor and the prevailing winds from the southwest, along with a large amount of moorings and an active harbor with commercial vessels and pleasure boats makes Wychmere Harbor difficult to navigate under existing conditions.  In my opinion, the addition of the proposed dock from the Maher property will make a bad situation worse and likely result in boats colliding.”  Tessier PFT.</w:t>
      </w:r>
      <w:r w:rsidR="00325C36" w:rsidRPr="00E7475E">
        <w:rPr>
          <w:sz w:val="24"/>
          <w:szCs w:val="24"/>
        </w:rPr>
        <w:t xml:space="preserve">  Mr. McLaughlin and Ms. McLaughlin repeated </w:t>
      </w:r>
      <w:r w:rsidR="00C755B5">
        <w:rPr>
          <w:sz w:val="24"/>
          <w:szCs w:val="24"/>
        </w:rPr>
        <w:t xml:space="preserve">almost verbatim </w:t>
      </w:r>
      <w:r w:rsidR="00325C36" w:rsidRPr="00E7475E">
        <w:rPr>
          <w:sz w:val="24"/>
          <w:szCs w:val="24"/>
        </w:rPr>
        <w:t xml:space="preserve">this narrow, conclusory testimony from Tessier and Leach.  Because the testimony from these witnesses </w:t>
      </w:r>
      <w:r w:rsidR="0056412B" w:rsidRPr="00E7475E">
        <w:rPr>
          <w:sz w:val="24"/>
          <w:szCs w:val="24"/>
        </w:rPr>
        <w:t xml:space="preserve">was conclusory </w:t>
      </w:r>
      <w:r w:rsidR="00325C36" w:rsidRPr="00E7475E">
        <w:rPr>
          <w:sz w:val="24"/>
          <w:szCs w:val="24"/>
        </w:rPr>
        <w:t>and duplicative</w:t>
      </w:r>
      <w:r w:rsidR="005A46E3" w:rsidRPr="00E7475E">
        <w:rPr>
          <w:sz w:val="24"/>
          <w:szCs w:val="24"/>
        </w:rPr>
        <w:t>, I find that it has almost no probative value regarding whether the proposed pier will significantly interfere with McLaughlin</w:t>
      </w:r>
      <w:r w:rsidR="00C755B5">
        <w:rPr>
          <w:sz w:val="24"/>
          <w:szCs w:val="24"/>
        </w:rPr>
        <w:t>’</w:t>
      </w:r>
      <w:r w:rsidR="005A46E3" w:rsidRPr="00E7475E">
        <w:rPr>
          <w:sz w:val="24"/>
          <w:szCs w:val="24"/>
        </w:rPr>
        <w:t xml:space="preserve">s access to and from </w:t>
      </w:r>
      <w:r w:rsidR="00C755B5">
        <w:rPr>
          <w:sz w:val="24"/>
          <w:szCs w:val="24"/>
        </w:rPr>
        <w:t>her</w:t>
      </w:r>
      <w:r w:rsidR="005A46E3" w:rsidRPr="00E7475E">
        <w:rPr>
          <w:sz w:val="24"/>
          <w:szCs w:val="24"/>
        </w:rPr>
        <w:t xml:space="preserve"> pier.</w:t>
      </w:r>
    </w:p>
    <w:p w:rsidR="003E4FAD" w:rsidRPr="007251AF" w:rsidRDefault="00876844" w:rsidP="007251AF">
      <w:pPr>
        <w:spacing w:line="480" w:lineRule="auto"/>
        <w:ind w:firstLine="720"/>
        <w:contextualSpacing/>
        <w:rPr>
          <w:color w:val="333333"/>
          <w:sz w:val="24"/>
          <w:szCs w:val="24"/>
          <w:shd w:val="clear" w:color="auto" w:fill="FFFFFF"/>
        </w:rPr>
      </w:pPr>
      <w:r w:rsidRPr="007251AF">
        <w:rPr>
          <w:sz w:val="24"/>
          <w:szCs w:val="24"/>
        </w:rPr>
        <w:t>Hill</w:t>
      </w:r>
      <w:r w:rsidR="003E4FAD" w:rsidRPr="007251AF">
        <w:rPr>
          <w:sz w:val="24"/>
          <w:szCs w:val="24"/>
        </w:rPr>
        <w:t xml:space="preserve"> testified for DEP and</w:t>
      </w:r>
      <w:r w:rsidRPr="007251AF">
        <w:rPr>
          <w:sz w:val="24"/>
          <w:szCs w:val="24"/>
        </w:rPr>
        <w:t xml:space="preserve"> concluded that the proposed pier would</w:t>
      </w:r>
      <w:r w:rsidR="003E4FAD" w:rsidRPr="007251AF">
        <w:rPr>
          <w:sz w:val="24"/>
          <w:szCs w:val="24"/>
        </w:rPr>
        <w:t xml:space="preserve"> not</w:t>
      </w:r>
      <w:r w:rsidRPr="007251AF">
        <w:rPr>
          <w:sz w:val="24"/>
          <w:szCs w:val="24"/>
        </w:rPr>
        <w:t xml:space="preserve"> s</w:t>
      </w:r>
      <w:r w:rsidR="00C755B5" w:rsidRPr="007251AF">
        <w:rPr>
          <w:sz w:val="24"/>
          <w:szCs w:val="24"/>
        </w:rPr>
        <w:t xml:space="preserve">ignificantly interfere with </w:t>
      </w:r>
      <w:r w:rsidRPr="007251AF">
        <w:rPr>
          <w:sz w:val="24"/>
          <w:szCs w:val="24"/>
        </w:rPr>
        <w:t>McLauglin</w:t>
      </w:r>
      <w:r w:rsidR="000F1A37">
        <w:rPr>
          <w:sz w:val="24"/>
          <w:szCs w:val="24"/>
        </w:rPr>
        <w:t>’</w:t>
      </w:r>
      <w:r w:rsidRPr="007251AF">
        <w:rPr>
          <w:sz w:val="24"/>
          <w:szCs w:val="24"/>
        </w:rPr>
        <w:t xml:space="preserve">s access to and </w:t>
      </w:r>
      <w:r w:rsidR="003E4FAD" w:rsidRPr="007251AF">
        <w:rPr>
          <w:sz w:val="24"/>
          <w:szCs w:val="24"/>
        </w:rPr>
        <w:t xml:space="preserve">from </w:t>
      </w:r>
      <w:r w:rsidR="00C755B5" w:rsidRPr="007251AF">
        <w:rPr>
          <w:sz w:val="24"/>
          <w:szCs w:val="24"/>
        </w:rPr>
        <w:t>her</w:t>
      </w:r>
      <w:r w:rsidR="003E4FAD" w:rsidRPr="007251AF">
        <w:rPr>
          <w:sz w:val="24"/>
          <w:szCs w:val="24"/>
        </w:rPr>
        <w:t xml:space="preserve"> pier.  Hill PFT, p. </w:t>
      </w:r>
      <w:r w:rsidRPr="007251AF">
        <w:rPr>
          <w:sz w:val="24"/>
          <w:szCs w:val="24"/>
        </w:rPr>
        <w:t xml:space="preserve">5.  </w:t>
      </w:r>
      <w:r w:rsidR="003E4FAD" w:rsidRPr="007251AF">
        <w:rPr>
          <w:sz w:val="24"/>
          <w:szCs w:val="24"/>
        </w:rPr>
        <w:t>He testified that t</w:t>
      </w:r>
      <w:r w:rsidRPr="007251AF">
        <w:rPr>
          <w:sz w:val="24"/>
          <w:szCs w:val="24"/>
        </w:rPr>
        <w:t>he distance between the two piers is approximately 100 feet, well over the presumed regulatory setback of 25 feet from the property line.  If those setbacks are followed</w:t>
      </w:r>
      <w:r w:rsidR="008C6A5B" w:rsidRPr="007251AF">
        <w:rPr>
          <w:sz w:val="24"/>
          <w:szCs w:val="24"/>
        </w:rPr>
        <w:t>,</w:t>
      </w:r>
      <w:r w:rsidRPr="007251AF">
        <w:rPr>
          <w:sz w:val="24"/>
          <w:szCs w:val="24"/>
        </w:rPr>
        <w:t xml:space="preserve"> there would be approximately 50 feet between piers.  Hill PFT, p .5.</w:t>
      </w:r>
      <w:r w:rsidR="00C515D2" w:rsidRPr="007251AF">
        <w:rPr>
          <w:sz w:val="24"/>
          <w:szCs w:val="24"/>
        </w:rPr>
        <w:t xml:space="preserve">  Based upon</w:t>
      </w:r>
      <w:r w:rsidR="003E4FAD" w:rsidRPr="007251AF">
        <w:rPr>
          <w:sz w:val="24"/>
          <w:szCs w:val="24"/>
        </w:rPr>
        <w:t xml:space="preserve"> the</w:t>
      </w:r>
      <w:r w:rsidR="00C515D2" w:rsidRPr="007251AF">
        <w:rPr>
          <w:sz w:val="24"/>
          <w:szCs w:val="24"/>
        </w:rPr>
        <w:t xml:space="preserve"> actual separation of over 100 feet and </w:t>
      </w:r>
      <w:r w:rsidR="003E4FAD" w:rsidRPr="007251AF">
        <w:rPr>
          <w:sz w:val="24"/>
          <w:szCs w:val="24"/>
        </w:rPr>
        <w:t xml:space="preserve">Hill’s </w:t>
      </w:r>
      <w:r w:rsidR="00C515D2" w:rsidRPr="007251AF">
        <w:rPr>
          <w:sz w:val="24"/>
          <w:szCs w:val="24"/>
        </w:rPr>
        <w:t xml:space="preserve">observations of the McLaughlin’s pier and </w:t>
      </w:r>
      <w:r w:rsidR="008C6A5B" w:rsidRPr="007251AF">
        <w:rPr>
          <w:sz w:val="24"/>
          <w:szCs w:val="24"/>
        </w:rPr>
        <w:t>its</w:t>
      </w:r>
      <w:r w:rsidR="00C515D2" w:rsidRPr="007251AF">
        <w:rPr>
          <w:sz w:val="24"/>
          <w:szCs w:val="24"/>
        </w:rPr>
        <w:t xml:space="preserve"> use</w:t>
      </w:r>
      <w:r w:rsidR="003E4FAD" w:rsidRPr="007251AF">
        <w:rPr>
          <w:sz w:val="24"/>
          <w:szCs w:val="24"/>
        </w:rPr>
        <w:t xml:space="preserve"> in relation to the </w:t>
      </w:r>
      <w:r w:rsidR="00C515D2" w:rsidRPr="007251AF">
        <w:rPr>
          <w:sz w:val="24"/>
          <w:szCs w:val="24"/>
        </w:rPr>
        <w:t>proposed pier</w:t>
      </w:r>
      <w:r w:rsidR="003E4FAD" w:rsidRPr="007251AF">
        <w:rPr>
          <w:sz w:val="24"/>
          <w:szCs w:val="24"/>
        </w:rPr>
        <w:t xml:space="preserve"> location</w:t>
      </w:r>
      <w:r w:rsidR="00C515D2" w:rsidRPr="007251AF">
        <w:rPr>
          <w:sz w:val="24"/>
          <w:szCs w:val="24"/>
        </w:rPr>
        <w:t>,</w:t>
      </w:r>
      <w:r w:rsidR="003E4FAD" w:rsidRPr="007251AF">
        <w:rPr>
          <w:sz w:val="24"/>
          <w:szCs w:val="24"/>
        </w:rPr>
        <w:t xml:space="preserve"> Hill</w:t>
      </w:r>
      <w:r w:rsidR="00C515D2" w:rsidRPr="007251AF">
        <w:rPr>
          <w:sz w:val="24"/>
          <w:szCs w:val="24"/>
        </w:rPr>
        <w:t xml:space="preserve"> concluded that the Maher proposed pier will not significantly interfere with McLaughlin’s ability to approach and depart </w:t>
      </w:r>
      <w:r w:rsidR="00C755B5" w:rsidRPr="007251AF">
        <w:rPr>
          <w:sz w:val="24"/>
          <w:szCs w:val="24"/>
        </w:rPr>
        <w:t>her property via</w:t>
      </w:r>
      <w:r w:rsidR="00C515D2" w:rsidRPr="007251AF">
        <w:rPr>
          <w:sz w:val="24"/>
          <w:szCs w:val="24"/>
        </w:rPr>
        <w:t xml:space="preserve"> the waterway.  Hill PFT, p. 7</w:t>
      </w:r>
      <w:r w:rsidR="00315F51" w:rsidRPr="007251AF">
        <w:rPr>
          <w:sz w:val="24"/>
          <w:szCs w:val="24"/>
        </w:rPr>
        <w:t>.</w:t>
      </w:r>
      <w:r w:rsidR="003E4FAD" w:rsidRPr="007251AF">
        <w:rPr>
          <w:sz w:val="24"/>
          <w:szCs w:val="24"/>
        </w:rPr>
        <w:t xml:space="preserve">  </w:t>
      </w:r>
    </w:p>
    <w:p w:rsidR="004F75D2" w:rsidRDefault="004F75D2" w:rsidP="004F75D2">
      <w:pPr>
        <w:pStyle w:val="Title"/>
        <w:spacing w:line="480" w:lineRule="auto"/>
        <w:ind w:firstLine="720"/>
        <w:jc w:val="left"/>
        <w:rPr>
          <w:b w:val="0"/>
          <w:szCs w:val="24"/>
          <w:u w:val="none"/>
        </w:rPr>
      </w:pPr>
      <w:r w:rsidRPr="0080440D">
        <w:rPr>
          <w:b w:val="0"/>
          <w:szCs w:val="24"/>
          <w:u w:val="none"/>
        </w:rPr>
        <w:t xml:space="preserve">For the above reasons, I find </w:t>
      </w:r>
      <w:r w:rsidRPr="00DB5082">
        <w:rPr>
          <w:b w:val="0"/>
          <w:szCs w:val="24"/>
          <w:u w:val="none"/>
        </w:rPr>
        <w:t>that McLaughlin did not prove by a preponderance of the evidence that the proposed pier will significantly interfere with McLaughlin’s access to and from her pier.</w:t>
      </w:r>
    </w:p>
    <w:p w:rsidR="000845C3" w:rsidRPr="00E7475E" w:rsidRDefault="0063059D" w:rsidP="003E4FAD">
      <w:pPr>
        <w:pStyle w:val="Title"/>
        <w:spacing w:line="480" w:lineRule="auto"/>
        <w:ind w:firstLine="360"/>
        <w:jc w:val="left"/>
        <w:rPr>
          <w:b w:val="0"/>
          <w:color w:val="333333"/>
          <w:szCs w:val="24"/>
          <w:u w:val="none"/>
          <w:shd w:val="clear" w:color="auto" w:fill="FFFFFF"/>
        </w:rPr>
      </w:pPr>
      <w:r w:rsidRPr="00E7475E">
        <w:rPr>
          <w:i/>
          <w:szCs w:val="24"/>
          <w:u w:val="none"/>
        </w:rPr>
        <w:lastRenderedPageBreak/>
        <w:t xml:space="preserve">Interference </w:t>
      </w:r>
      <w:r w:rsidR="00A021F8" w:rsidRPr="00E7475E">
        <w:rPr>
          <w:i/>
          <w:szCs w:val="24"/>
          <w:u w:val="none"/>
        </w:rPr>
        <w:t xml:space="preserve">With The </w:t>
      </w:r>
      <w:r w:rsidRPr="00E7475E">
        <w:rPr>
          <w:i/>
          <w:szCs w:val="24"/>
          <w:u w:val="none"/>
        </w:rPr>
        <w:t>Town Pier.</w:t>
      </w:r>
      <w:r w:rsidR="00403641" w:rsidRPr="00E7475E">
        <w:rPr>
          <w:b w:val="0"/>
          <w:szCs w:val="24"/>
          <w:u w:val="none"/>
        </w:rPr>
        <w:t xml:space="preserve">  </w:t>
      </w:r>
      <w:r w:rsidR="00371547" w:rsidRPr="00E7475E">
        <w:rPr>
          <w:b w:val="0"/>
          <w:color w:val="333333"/>
          <w:szCs w:val="24"/>
          <w:u w:val="none"/>
          <w:shd w:val="clear" w:color="auto" w:fill="FFFFFF"/>
        </w:rPr>
        <w:t xml:space="preserve">The Town pier lies to the </w:t>
      </w:r>
      <w:r w:rsidR="008026C8" w:rsidRPr="00E7475E">
        <w:rPr>
          <w:b w:val="0"/>
          <w:color w:val="333333"/>
          <w:szCs w:val="24"/>
          <w:u w:val="none"/>
          <w:shd w:val="clear" w:color="auto" w:fill="FFFFFF"/>
        </w:rPr>
        <w:t>south</w:t>
      </w:r>
      <w:r w:rsidR="00371547" w:rsidRPr="00E7475E">
        <w:rPr>
          <w:b w:val="0"/>
          <w:color w:val="333333"/>
          <w:szCs w:val="24"/>
          <w:u w:val="none"/>
          <w:shd w:val="clear" w:color="auto" w:fill="FFFFFF"/>
        </w:rPr>
        <w:t xml:space="preserve"> of the </w:t>
      </w:r>
      <w:r w:rsidR="00403641" w:rsidRPr="00E7475E">
        <w:rPr>
          <w:b w:val="0"/>
          <w:color w:val="333333"/>
          <w:szCs w:val="24"/>
          <w:u w:val="none"/>
          <w:shd w:val="clear" w:color="auto" w:fill="FFFFFF"/>
        </w:rPr>
        <w:t>proposed pier</w:t>
      </w:r>
      <w:r w:rsidR="008026C8" w:rsidRPr="00E7475E">
        <w:rPr>
          <w:b w:val="0"/>
          <w:color w:val="333333"/>
          <w:szCs w:val="24"/>
          <w:u w:val="none"/>
          <w:shd w:val="clear" w:color="auto" w:fill="FFFFFF"/>
        </w:rPr>
        <w:t xml:space="preserve"> location</w:t>
      </w:r>
      <w:r w:rsidR="00371547" w:rsidRPr="00E7475E">
        <w:rPr>
          <w:b w:val="0"/>
          <w:color w:val="333333"/>
          <w:szCs w:val="24"/>
          <w:u w:val="none"/>
          <w:shd w:val="clear" w:color="auto" w:fill="FFFFFF"/>
        </w:rPr>
        <w:t>.  On the north side of the</w:t>
      </w:r>
      <w:r w:rsidR="00403641" w:rsidRPr="00E7475E">
        <w:rPr>
          <w:b w:val="0"/>
          <w:color w:val="333333"/>
          <w:szCs w:val="24"/>
          <w:u w:val="none"/>
          <w:shd w:val="clear" w:color="auto" w:fill="FFFFFF"/>
        </w:rPr>
        <w:t xml:space="preserve"> Town</w:t>
      </w:r>
      <w:r w:rsidR="00371547" w:rsidRPr="00E7475E">
        <w:rPr>
          <w:b w:val="0"/>
          <w:color w:val="333333"/>
          <w:szCs w:val="24"/>
          <w:u w:val="none"/>
          <w:shd w:val="clear" w:color="auto" w:fill="FFFFFF"/>
        </w:rPr>
        <w:t xml:space="preserve"> pier are usually 4 to 7 </w:t>
      </w:r>
      <w:r w:rsidR="00403641" w:rsidRPr="00E7475E">
        <w:rPr>
          <w:b w:val="0"/>
          <w:color w:val="333333"/>
          <w:szCs w:val="24"/>
          <w:u w:val="none"/>
          <w:shd w:val="clear" w:color="auto" w:fill="FFFFFF"/>
        </w:rPr>
        <w:t xml:space="preserve">commercial fishing </w:t>
      </w:r>
      <w:r w:rsidR="00371547" w:rsidRPr="00E7475E">
        <w:rPr>
          <w:b w:val="0"/>
          <w:color w:val="333333"/>
          <w:szCs w:val="24"/>
          <w:u w:val="none"/>
          <w:shd w:val="clear" w:color="auto" w:fill="FFFFFF"/>
        </w:rPr>
        <w:t>vessels</w:t>
      </w:r>
      <w:r w:rsidR="00403641" w:rsidRPr="00E7475E">
        <w:rPr>
          <w:b w:val="0"/>
          <w:color w:val="333333"/>
          <w:szCs w:val="24"/>
          <w:u w:val="none"/>
          <w:shd w:val="clear" w:color="auto" w:fill="FFFFFF"/>
        </w:rPr>
        <w:t xml:space="preserve"> docked in boat slips</w:t>
      </w:r>
      <w:r w:rsidR="00371547" w:rsidRPr="00E7475E">
        <w:rPr>
          <w:b w:val="0"/>
          <w:color w:val="333333"/>
          <w:szCs w:val="24"/>
          <w:u w:val="none"/>
          <w:shd w:val="clear" w:color="auto" w:fill="FFFFFF"/>
        </w:rPr>
        <w:t>.  Rendon PFT, p. 3.</w:t>
      </w:r>
      <w:r w:rsidR="00711A7B">
        <w:rPr>
          <w:b w:val="0"/>
          <w:color w:val="333333"/>
          <w:szCs w:val="24"/>
          <w:u w:val="none"/>
          <w:shd w:val="clear" w:color="auto" w:fill="FFFFFF"/>
        </w:rPr>
        <w:t xml:space="preserve"> </w:t>
      </w:r>
      <w:r w:rsidR="00711A7B" w:rsidRPr="00711A7B">
        <w:rPr>
          <w:b w:val="0"/>
          <w:szCs w:val="24"/>
          <w:u w:val="none"/>
        </w:rPr>
        <w:t xml:space="preserve"> The boat slips are separately framed by wood piles that have been driven </w:t>
      </w:r>
      <w:r w:rsidR="00711A7B">
        <w:rPr>
          <w:b w:val="0"/>
          <w:szCs w:val="24"/>
          <w:u w:val="none"/>
        </w:rPr>
        <w:t xml:space="preserve">vertically </w:t>
      </w:r>
      <w:r w:rsidR="00711A7B" w:rsidRPr="00711A7B">
        <w:rPr>
          <w:b w:val="0"/>
          <w:szCs w:val="24"/>
          <w:u w:val="none"/>
        </w:rPr>
        <w:t>into the ocean floor to form rectangular slips extending nort</w:t>
      </w:r>
      <w:r w:rsidR="00711A7B">
        <w:rPr>
          <w:b w:val="0"/>
          <w:szCs w:val="24"/>
          <w:u w:val="none"/>
        </w:rPr>
        <w:t>h</w:t>
      </w:r>
      <w:r w:rsidR="00711A7B" w:rsidRPr="00711A7B">
        <w:rPr>
          <w:b w:val="0"/>
          <w:szCs w:val="24"/>
          <w:u w:val="none"/>
        </w:rPr>
        <w:t>ward from the Town pier.</w:t>
      </w:r>
      <w:r w:rsidR="009772F0" w:rsidRPr="00711A7B">
        <w:rPr>
          <w:b w:val="0"/>
          <w:color w:val="333333"/>
          <w:szCs w:val="24"/>
          <w:u w:val="none"/>
          <w:shd w:val="clear" w:color="auto" w:fill="FFFFFF"/>
        </w:rPr>
        <w:t xml:space="preserve">  </w:t>
      </w:r>
      <w:r w:rsidR="008026C8" w:rsidRPr="00E7475E">
        <w:rPr>
          <w:b w:val="0"/>
          <w:color w:val="333333"/>
          <w:szCs w:val="24"/>
          <w:u w:val="none"/>
          <w:shd w:val="clear" w:color="auto" w:fill="FFFFFF"/>
        </w:rPr>
        <w:t>Of those boat slips t</w:t>
      </w:r>
      <w:r w:rsidR="009772F0" w:rsidRPr="00E7475E">
        <w:rPr>
          <w:b w:val="0"/>
          <w:color w:val="333333"/>
          <w:szCs w:val="24"/>
          <w:u w:val="none"/>
          <w:shd w:val="clear" w:color="auto" w:fill="FFFFFF"/>
        </w:rPr>
        <w:t>he closest slip pile</w:t>
      </w:r>
      <w:r w:rsidR="008026C8" w:rsidRPr="00E7475E">
        <w:rPr>
          <w:b w:val="0"/>
          <w:color w:val="333333"/>
          <w:szCs w:val="24"/>
          <w:u w:val="none"/>
          <w:shd w:val="clear" w:color="auto" w:fill="FFFFFF"/>
        </w:rPr>
        <w:t xml:space="preserve"> is approximately</w:t>
      </w:r>
      <w:r w:rsidR="009772F0" w:rsidRPr="00E7475E">
        <w:rPr>
          <w:b w:val="0"/>
          <w:color w:val="333333"/>
          <w:szCs w:val="24"/>
          <w:u w:val="none"/>
          <w:shd w:val="clear" w:color="auto" w:fill="FFFFFF"/>
        </w:rPr>
        <w:t xml:space="preserve"> 69 feet</w:t>
      </w:r>
      <w:r w:rsidR="008026C8" w:rsidRPr="00E7475E">
        <w:rPr>
          <w:b w:val="0"/>
          <w:color w:val="333333"/>
          <w:szCs w:val="24"/>
          <w:u w:val="none"/>
          <w:shd w:val="clear" w:color="auto" w:fill="FFFFFF"/>
        </w:rPr>
        <w:t xml:space="preserve"> away from the end of the proposed pier</w:t>
      </w:r>
      <w:r w:rsidR="009772F0" w:rsidRPr="00E7475E">
        <w:rPr>
          <w:b w:val="0"/>
          <w:color w:val="333333"/>
          <w:szCs w:val="24"/>
          <w:u w:val="none"/>
          <w:shd w:val="clear" w:color="auto" w:fill="FFFFFF"/>
        </w:rPr>
        <w:t>.  Rendon PFT, p. 4.</w:t>
      </w:r>
      <w:r w:rsidR="002A4A98" w:rsidRPr="00E7475E">
        <w:rPr>
          <w:b w:val="0"/>
          <w:color w:val="333333"/>
          <w:szCs w:val="24"/>
          <w:u w:val="none"/>
          <w:shd w:val="clear" w:color="auto" w:fill="FFFFFF"/>
        </w:rPr>
        <w:t xml:space="preserve">  The remaining piles and slips are</w:t>
      </w:r>
      <w:r w:rsidR="0048146B">
        <w:rPr>
          <w:b w:val="0"/>
          <w:color w:val="333333"/>
          <w:szCs w:val="24"/>
          <w:u w:val="none"/>
          <w:shd w:val="clear" w:color="auto" w:fill="FFFFFF"/>
        </w:rPr>
        <w:t xml:space="preserve"> generally</w:t>
      </w:r>
      <w:r w:rsidR="002A4A98" w:rsidRPr="00E7475E">
        <w:rPr>
          <w:b w:val="0"/>
          <w:color w:val="333333"/>
          <w:szCs w:val="24"/>
          <w:u w:val="none"/>
          <w:shd w:val="clear" w:color="auto" w:fill="FFFFFF"/>
        </w:rPr>
        <w:t xml:space="preserve"> significantly farther away</w:t>
      </w:r>
      <w:r w:rsidR="005D33E1" w:rsidRPr="00E7475E">
        <w:rPr>
          <w:b w:val="0"/>
          <w:color w:val="333333"/>
          <w:szCs w:val="24"/>
          <w:u w:val="none"/>
          <w:shd w:val="clear" w:color="auto" w:fill="FFFFFF"/>
        </w:rPr>
        <w:t>, extending out</w:t>
      </w:r>
      <w:r w:rsidR="00D92F85">
        <w:rPr>
          <w:b w:val="0"/>
          <w:color w:val="333333"/>
          <w:szCs w:val="24"/>
          <w:u w:val="none"/>
          <w:shd w:val="clear" w:color="auto" w:fill="FFFFFF"/>
        </w:rPr>
        <w:t xml:space="preserve"> towards the center of the </w:t>
      </w:r>
      <w:r w:rsidR="007E5092" w:rsidRPr="00E7475E">
        <w:rPr>
          <w:b w:val="0"/>
          <w:color w:val="333333"/>
          <w:szCs w:val="24"/>
          <w:u w:val="none"/>
          <w:shd w:val="clear" w:color="auto" w:fill="FFFFFF"/>
        </w:rPr>
        <w:t>harbor</w:t>
      </w:r>
      <w:r w:rsidR="005D33E1" w:rsidRPr="00E7475E">
        <w:rPr>
          <w:b w:val="0"/>
          <w:color w:val="333333"/>
          <w:szCs w:val="24"/>
          <w:u w:val="none"/>
          <w:shd w:val="clear" w:color="auto" w:fill="FFFFFF"/>
        </w:rPr>
        <w:t xml:space="preserve"> beyond the end of the proposed pier</w:t>
      </w:r>
      <w:r w:rsidR="002A4A98" w:rsidRPr="00E7475E">
        <w:rPr>
          <w:b w:val="0"/>
          <w:color w:val="333333"/>
          <w:szCs w:val="24"/>
          <w:u w:val="none"/>
          <w:shd w:val="clear" w:color="auto" w:fill="FFFFFF"/>
        </w:rPr>
        <w:t xml:space="preserve">.  </w:t>
      </w:r>
      <w:r w:rsidR="00067314" w:rsidRPr="00E7475E">
        <w:rPr>
          <w:b w:val="0"/>
          <w:color w:val="333333"/>
          <w:szCs w:val="24"/>
          <w:u w:val="none"/>
          <w:shd w:val="clear" w:color="auto" w:fill="FFFFFF"/>
        </w:rPr>
        <w:t xml:space="preserve">  </w:t>
      </w:r>
    </w:p>
    <w:p w:rsidR="009772F0" w:rsidRPr="00E7475E" w:rsidRDefault="009772F0" w:rsidP="000845C3">
      <w:pPr>
        <w:spacing w:line="480" w:lineRule="auto"/>
        <w:contextualSpacing/>
        <w:rPr>
          <w:sz w:val="24"/>
          <w:szCs w:val="24"/>
        </w:rPr>
      </w:pPr>
      <w:r w:rsidRPr="00E7475E">
        <w:rPr>
          <w:color w:val="333333"/>
          <w:sz w:val="24"/>
          <w:szCs w:val="24"/>
          <w:shd w:val="clear" w:color="auto" w:fill="FFFFFF"/>
        </w:rPr>
        <w:tab/>
      </w:r>
      <w:r w:rsidR="00D26884" w:rsidRPr="00E7475E">
        <w:rPr>
          <w:color w:val="333333"/>
          <w:sz w:val="24"/>
          <w:szCs w:val="24"/>
          <w:shd w:val="clear" w:color="auto" w:fill="FFFFFF"/>
        </w:rPr>
        <w:t xml:space="preserve">The Town provided testimony purportedly showing that the proposed pier would interfere with the seven slips on the north side of the Town pier.  </w:t>
      </w:r>
      <w:r w:rsidRPr="00E7475E">
        <w:rPr>
          <w:color w:val="333333"/>
          <w:sz w:val="24"/>
          <w:szCs w:val="24"/>
          <w:shd w:val="clear" w:color="auto" w:fill="FFFFFF"/>
        </w:rPr>
        <w:t>Five of the seven commercial vessels that operate from the Town pier range between 34 and 40 feet in length.  Rendon PFT, p. 4.</w:t>
      </w:r>
      <w:r w:rsidR="004F1114" w:rsidRPr="00E7475E">
        <w:rPr>
          <w:color w:val="333333"/>
          <w:sz w:val="24"/>
          <w:szCs w:val="24"/>
          <w:shd w:val="clear" w:color="auto" w:fill="FFFFFF"/>
        </w:rPr>
        <w:t xml:space="preserve">  Their maneuverability is limited by their wide beam, single screw engine (one propeller), exterior rigging, and topside cabin, which can</w:t>
      </w:r>
      <w:r w:rsidR="007E5092" w:rsidRPr="00E7475E">
        <w:rPr>
          <w:color w:val="333333"/>
          <w:sz w:val="24"/>
          <w:szCs w:val="24"/>
          <w:shd w:val="clear" w:color="auto" w:fill="FFFFFF"/>
        </w:rPr>
        <w:t xml:space="preserve"> act as a sail and</w:t>
      </w:r>
      <w:r w:rsidR="004F1114" w:rsidRPr="00E7475E">
        <w:rPr>
          <w:color w:val="333333"/>
          <w:sz w:val="24"/>
          <w:szCs w:val="24"/>
          <w:shd w:val="clear" w:color="auto" w:fill="FFFFFF"/>
        </w:rPr>
        <w:t xml:space="preserve"> catch the wind</w:t>
      </w:r>
      <w:r w:rsidR="007E5092" w:rsidRPr="00E7475E">
        <w:rPr>
          <w:color w:val="333333"/>
          <w:sz w:val="24"/>
          <w:szCs w:val="24"/>
          <w:shd w:val="clear" w:color="auto" w:fill="FFFFFF"/>
        </w:rPr>
        <w:t>, making it difficult to maneuver</w:t>
      </w:r>
      <w:r w:rsidR="004F1114" w:rsidRPr="00E7475E">
        <w:rPr>
          <w:color w:val="333333"/>
          <w:sz w:val="24"/>
          <w:szCs w:val="24"/>
          <w:shd w:val="clear" w:color="auto" w:fill="FFFFFF"/>
        </w:rPr>
        <w:t>.</w:t>
      </w:r>
      <w:r w:rsidR="007E5092" w:rsidRPr="00E7475E">
        <w:rPr>
          <w:color w:val="333333"/>
          <w:sz w:val="24"/>
          <w:szCs w:val="24"/>
          <w:shd w:val="clear" w:color="auto" w:fill="FFFFFF"/>
        </w:rPr>
        <w:t xml:space="preserve">  The wind</w:t>
      </w:r>
      <w:r w:rsidR="00C70420" w:rsidRPr="00E7475E">
        <w:rPr>
          <w:color w:val="333333"/>
          <w:sz w:val="24"/>
          <w:szCs w:val="24"/>
          <w:shd w:val="clear" w:color="auto" w:fill="FFFFFF"/>
        </w:rPr>
        <w:t xml:space="preserve"> generally blows out of the south to southwest.  </w:t>
      </w:r>
    </w:p>
    <w:p w:rsidR="00B75FAF" w:rsidRDefault="00C70420" w:rsidP="00C70420">
      <w:pPr>
        <w:spacing w:line="480" w:lineRule="auto"/>
        <w:contextualSpacing/>
        <w:rPr>
          <w:sz w:val="24"/>
          <w:szCs w:val="24"/>
        </w:rPr>
      </w:pPr>
      <w:r w:rsidRPr="00E7475E">
        <w:rPr>
          <w:sz w:val="24"/>
          <w:szCs w:val="24"/>
        </w:rPr>
        <w:tab/>
        <w:t>Presently the vessels on the north side of the town pier</w:t>
      </w:r>
      <w:r w:rsidR="00D92F85">
        <w:rPr>
          <w:sz w:val="24"/>
          <w:szCs w:val="24"/>
        </w:rPr>
        <w:t xml:space="preserve"> access their slips by </w:t>
      </w:r>
      <w:r w:rsidRPr="00E7475E">
        <w:rPr>
          <w:sz w:val="24"/>
          <w:szCs w:val="24"/>
        </w:rPr>
        <w:t>back</w:t>
      </w:r>
      <w:r w:rsidR="00D92F85">
        <w:rPr>
          <w:sz w:val="24"/>
          <w:szCs w:val="24"/>
        </w:rPr>
        <w:t>ing into them</w:t>
      </w:r>
      <w:r w:rsidRPr="00E7475E">
        <w:rPr>
          <w:sz w:val="24"/>
          <w:szCs w:val="24"/>
        </w:rPr>
        <w:t xml:space="preserve"> </w:t>
      </w:r>
      <w:r w:rsidR="007E5092" w:rsidRPr="00E7475E">
        <w:rPr>
          <w:sz w:val="24"/>
          <w:szCs w:val="24"/>
        </w:rPr>
        <w:t xml:space="preserve">from the north.  Rendon testified that the </w:t>
      </w:r>
      <w:r w:rsidRPr="00E7475E">
        <w:rPr>
          <w:sz w:val="24"/>
          <w:szCs w:val="24"/>
        </w:rPr>
        <w:t>propose</w:t>
      </w:r>
      <w:r w:rsidR="007E5092" w:rsidRPr="00E7475E">
        <w:rPr>
          <w:sz w:val="24"/>
          <w:szCs w:val="24"/>
        </w:rPr>
        <w:t>d</w:t>
      </w:r>
      <w:r w:rsidRPr="00E7475E">
        <w:rPr>
          <w:sz w:val="24"/>
          <w:szCs w:val="24"/>
        </w:rPr>
        <w:t xml:space="preserve"> pier would reduce the space for the vessels to back in, particularly during strong winds.  </w:t>
      </w:r>
      <w:r w:rsidR="007E5092" w:rsidRPr="00E7475E">
        <w:rPr>
          <w:sz w:val="24"/>
          <w:szCs w:val="24"/>
        </w:rPr>
        <w:t>I</w:t>
      </w:r>
      <w:r w:rsidRPr="00E7475E">
        <w:rPr>
          <w:sz w:val="24"/>
          <w:szCs w:val="24"/>
        </w:rPr>
        <w:t xml:space="preserve">n his opinion the proposed location of the Maher pier will “impair the safe movement of </w:t>
      </w:r>
      <w:r w:rsidR="007E5092" w:rsidRPr="00E7475E">
        <w:rPr>
          <w:sz w:val="24"/>
          <w:szCs w:val="24"/>
        </w:rPr>
        <w:t>vessels</w:t>
      </w:r>
      <w:r w:rsidRPr="00E7475E">
        <w:rPr>
          <w:sz w:val="24"/>
          <w:szCs w:val="24"/>
        </w:rPr>
        <w:t xml:space="preserve"> to and from the Town pier.</w:t>
      </w:r>
      <w:r w:rsidR="00B41D0F">
        <w:rPr>
          <w:sz w:val="24"/>
          <w:szCs w:val="24"/>
        </w:rPr>
        <w:t>”</w:t>
      </w:r>
      <w:r w:rsidRPr="00E7475E">
        <w:rPr>
          <w:sz w:val="24"/>
          <w:szCs w:val="24"/>
        </w:rPr>
        <w:t xml:space="preserve">  Rendon PFT, p. 5.  He believes it will “significantly” restrict the vessels’ navigability.  </w:t>
      </w:r>
      <w:r w:rsidRPr="00E7475E">
        <w:rPr>
          <w:sz w:val="24"/>
          <w:szCs w:val="24"/>
          <w:u w:val="single"/>
        </w:rPr>
        <w:t>Id</w:t>
      </w:r>
      <w:r w:rsidRPr="00E7475E">
        <w:rPr>
          <w:sz w:val="24"/>
          <w:szCs w:val="24"/>
        </w:rPr>
        <w:t>.</w:t>
      </w:r>
      <w:r w:rsidR="00BE2692" w:rsidRPr="00E7475E">
        <w:rPr>
          <w:sz w:val="24"/>
          <w:szCs w:val="24"/>
        </w:rPr>
        <w:t xml:space="preserve">  He advocated moving the Maher pier closer to the McLaughlin pier by approximately 25 feet to allow more room for navigation for the commercial fishing vessels on the north side of the </w:t>
      </w:r>
      <w:r w:rsidR="007E5092" w:rsidRPr="00E7475E">
        <w:rPr>
          <w:sz w:val="24"/>
          <w:szCs w:val="24"/>
        </w:rPr>
        <w:t xml:space="preserve">Town </w:t>
      </w:r>
      <w:r w:rsidR="00BE2692" w:rsidRPr="00E7475E">
        <w:rPr>
          <w:sz w:val="24"/>
          <w:szCs w:val="24"/>
        </w:rPr>
        <w:t>pier while still allowing enough room for navigation by the McLaughlins.</w:t>
      </w:r>
      <w:r w:rsidR="00F24C2D" w:rsidRPr="00E7475E">
        <w:rPr>
          <w:sz w:val="24"/>
          <w:szCs w:val="24"/>
        </w:rPr>
        <w:t xml:space="preserve">  </w:t>
      </w:r>
      <w:r w:rsidR="00820BE5">
        <w:rPr>
          <w:sz w:val="24"/>
          <w:szCs w:val="24"/>
        </w:rPr>
        <w:t>That</w:t>
      </w:r>
      <w:r w:rsidR="00F24C2D" w:rsidRPr="00E7475E">
        <w:rPr>
          <w:sz w:val="24"/>
          <w:szCs w:val="24"/>
        </w:rPr>
        <w:t xml:space="preserve"> would increase the distance from the</w:t>
      </w:r>
      <w:r w:rsidR="007E5092" w:rsidRPr="00E7475E">
        <w:rPr>
          <w:sz w:val="24"/>
          <w:szCs w:val="24"/>
        </w:rPr>
        <w:t xml:space="preserve"> closest point on the</w:t>
      </w:r>
      <w:r w:rsidR="00F24C2D" w:rsidRPr="00E7475E">
        <w:rPr>
          <w:sz w:val="24"/>
          <w:szCs w:val="24"/>
        </w:rPr>
        <w:t xml:space="preserve"> Town pier from 69 feet to 94 feet.</w:t>
      </w:r>
      <w:r w:rsidR="002A4A98" w:rsidRPr="00E7475E">
        <w:rPr>
          <w:sz w:val="24"/>
          <w:szCs w:val="24"/>
        </w:rPr>
        <w:t xml:space="preserve">  Rendon</w:t>
      </w:r>
      <w:r w:rsidR="00BE2692" w:rsidRPr="00E7475E">
        <w:rPr>
          <w:sz w:val="24"/>
          <w:szCs w:val="24"/>
        </w:rPr>
        <w:t xml:space="preserve"> PFT, p. 6</w:t>
      </w:r>
      <w:r w:rsidR="00F24C2D" w:rsidRPr="00E7475E">
        <w:rPr>
          <w:sz w:val="24"/>
          <w:szCs w:val="24"/>
        </w:rPr>
        <w:t>, 8</w:t>
      </w:r>
      <w:r w:rsidR="00BE2692" w:rsidRPr="00E7475E">
        <w:rPr>
          <w:sz w:val="24"/>
          <w:szCs w:val="24"/>
        </w:rPr>
        <w:t>.</w:t>
      </w:r>
    </w:p>
    <w:p w:rsidR="007E5092" w:rsidRPr="00E7475E" w:rsidRDefault="00B75FAF" w:rsidP="00C70420">
      <w:pPr>
        <w:spacing w:line="480" w:lineRule="auto"/>
        <w:contextualSpacing/>
        <w:rPr>
          <w:sz w:val="24"/>
          <w:szCs w:val="24"/>
        </w:rPr>
      </w:pPr>
      <w:r>
        <w:rPr>
          <w:sz w:val="24"/>
          <w:szCs w:val="24"/>
        </w:rPr>
        <w:lastRenderedPageBreak/>
        <w:tab/>
        <w:t>Leach also testified at the hearing that the proposed pier would interfere with access to the north side of the Town pier.  He testified that there situation is “compromised” and that it is going to be a “routine tight problem.”  Transcript, p. 58-62.</w:t>
      </w:r>
      <w:r w:rsidR="002A4A98" w:rsidRPr="00E7475E">
        <w:rPr>
          <w:sz w:val="24"/>
          <w:szCs w:val="24"/>
        </w:rPr>
        <w:t xml:space="preserve">  </w:t>
      </w:r>
    </w:p>
    <w:p w:rsidR="00192DE6" w:rsidRDefault="007E5092" w:rsidP="00192DE6">
      <w:pPr>
        <w:spacing w:line="480" w:lineRule="auto"/>
        <w:ind w:firstLine="720"/>
        <w:contextualSpacing/>
        <w:rPr>
          <w:sz w:val="24"/>
          <w:szCs w:val="24"/>
        </w:rPr>
      </w:pPr>
      <w:r w:rsidRPr="00E7475E">
        <w:rPr>
          <w:sz w:val="24"/>
          <w:szCs w:val="24"/>
        </w:rPr>
        <w:t xml:space="preserve">While Rendon </w:t>
      </w:r>
      <w:r w:rsidR="0048146B">
        <w:rPr>
          <w:sz w:val="24"/>
          <w:szCs w:val="24"/>
        </w:rPr>
        <w:t xml:space="preserve">and Leach </w:t>
      </w:r>
      <w:r w:rsidRPr="00E7475E">
        <w:rPr>
          <w:sz w:val="24"/>
          <w:szCs w:val="24"/>
        </w:rPr>
        <w:t xml:space="preserve">believe that the proposed pier will interfere with the commercial fishing vessels approaching the north side of the Town pier, </w:t>
      </w:r>
      <w:r w:rsidR="0048146B">
        <w:rPr>
          <w:sz w:val="24"/>
          <w:szCs w:val="24"/>
        </w:rPr>
        <w:t>t</w:t>
      </w:r>
      <w:r w:rsidRPr="00E7475E">
        <w:rPr>
          <w:sz w:val="24"/>
          <w:szCs w:val="24"/>
        </w:rPr>
        <w:t>he</w:t>
      </w:r>
      <w:r w:rsidR="0048146B">
        <w:rPr>
          <w:sz w:val="24"/>
          <w:szCs w:val="24"/>
        </w:rPr>
        <w:t>y</w:t>
      </w:r>
      <w:r w:rsidRPr="00E7475E">
        <w:rPr>
          <w:sz w:val="24"/>
          <w:szCs w:val="24"/>
        </w:rPr>
        <w:t xml:space="preserve"> provided little factual support for that position.  </w:t>
      </w:r>
      <w:r w:rsidR="004F75D2" w:rsidRPr="00DB5082">
        <w:rPr>
          <w:sz w:val="24"/>
          <w:szCs w:val="24"/>
        </w:rPr>
        <w:t xml:space="preserve">Rendon </w:t>
      </w:r>
      <w:r w:rsidR="004F75D2">
        <w:rPr>
          <w:sz w:val="24"/>
          <w:szCs w:val="24"/>
        </w:rPr>
        <w:t xml:space="preserve">did not support his testimony with any </w:t>
      </w:r>
      <w:r w:rsidR="004F75D2" w:rsidRPr="0080440D">
        <w:rPr>
          <w:sz w:val="24"/>
          <w:szCs w:val="24"/>
        </w:rPr>
        <w:t>evidence</w:t>
      </w:r>
      <w:r w:rsidR="004F75D2">
        <w:rPr>
          <w:sz w:val="24"/>
          <w:szCs w:val="24"/>
        </w:rPr>
        <w:t xml:space="preserve"> </w:t>
      </w:r>
      <w:r w:rsidR="004F75D2" w:rsidRPr="0080440D">
        <w:rPr>
          <w:sz w:val="24"/>
          <w:szCs w:val="24"/>
        </w:rPr>
        <w:t xml:space="preserve">from the commercial fishermen who use the slips.  </w:t>
      </w:r>
      <w:r w:rsidR="00C84E11">
        <w:rPr>
          <w:sz w:val="24"/>
          <w:szCs w:val="24"/>
        </w:rPr>
        <w:t xml:space="preserve">There is also no evidence that he attempted to navigate a boat to and from the slips on the Town pier’s north side to assess personally the circumstances. </w:t>
      </w:r>
    </w:p>
    <w:p w:rsidR="00A3381D" w:rsidRDefault="001E53A2" w:rsidP="00192DE6">
      <w:pPr>
        <w:spacing w:line="480" w:lineRule="auto"/>
        <w:ind w:firstLine="720"/>
        <w:contextualSpacing/>
        <w:rPr>
          <w:sz w:val="24"/>
          <w:szCs w:val="24"/>
        </w:rPr>
      </w:pPr>
      <w:r w:rsidRPr="00E7475E">
        <w:rPr>
          <w:sz w:val="24"/>
          <w:szCs w:val="24"/>
        </w:rPr>
        <w:t xml:space="preserve">In addition, Rendon’s testimony suggests that he </w:t>
      </w:r>
      <w:r>
        <w:rPr>
          <w:sz w:val="24"/>
          <w:szCs w:val="24"/>
        </w:rPr>
        <w:t xml:space="preserve">improperly </w:t>
      </w:r>
      <w:r w:rsidRPr="00E7475E">
        <w:rPr>
          <w:sz w:val="24"/>
          <w:szCs w:val="24"/>
        </w:rPr>
        <w:t>seeks to impose a different standard for significant interference because the boats at the Town pier are commercial fishing vessels.  Rendon believes that the commercial fishing boats should not have to perform multiple point turns to dock.  Rendon Rebuttal PFT, p. 8.  In fact, he acknowledges that the boat operators are capable of maneuvering to avoid the Maher pier but he argues that is not a “justification for creating an interference that does not now exist, for the sake of a single private recreational boat, particularly where there is room to move the Maher pier further north without interfering with the use of the McLaughlin pier.”  Rendon Rebuttal PFT, p. 5.  Rendon’s testimony is also based upon the incorrect statement that the Maher pier does not have a three month seasonal limitation.  Rendon Rebuttal PFT,  7.</w:t>
      </w:r>
    </w:p>
    <w:p w:rsidR="00A3381D" w:rsidRPr="00E7475E" w:rsidRDefault="00A3381D" w:rsidP="00A3381D">
      <w:pPr>
        <w:spacing w:line="480" w:lineRule="auto"/>
        <w:ind w:firstLine="720"/>
        <w:contextualSpacing/>
        <w:rPr>
          <w:sz w:val="24"/>
          <w:szCs w:val="24"/>
        </w:rPr>
      </w:pPr>
      <w:r w:rsidRPr="00E7475E">
        <w:rPr>
          <w:sz w:val="24"/>
          <w:szCs w:val="24"/>
        </w:rPr>
        <w:t xml:space="preserve">I discount the weight of Rendon’s testimony for reasons in addition to those discussed above.  </w:t>
      </w:r>
      <w:r>
        <w:rPr>
          <w:sz w:val="24"/>
          <w:szCs w:val="24"/>
        </w:rPr>
        <w:t>In particular, m</w:t>
      </w:r>
      <w:r w:rsidRPr="00E7475E">
        <w:rPr>
          <w:sz w:val="24"/>
          <w:szCs w:val="24"/>
        </w:rPr>
        <w:t xml:space="preserve">uch of his testimony is premised upon the belief that the proposed pier could be moved farther to the north.  Rendon Rebuttal PFT.  But Rendon’s desire to move the </w:t>
      </w:r>
      <w:r>
        <w:rPr>
          <w:sz w:val="24"/>
          <w:szCs w:val="24"/>
        </w:rPr>
        <w:t>proposed</w:t>
      </w:r>
      <w:r w:rsidRPr="00E7475E">
        <w:rPr>
          <w:sz w:val="24"/>
          <w:szCs w:val="24"/>
        </w:rPr>
        <w:t xml:space="preserve"> pier north was not supported by any evidence showing that the proposed </w:t>
      </w:r>
      <w:r>
        <w:rPr>
          <w:sz w:val="24"/>
          <w:szCs w:val="24"/>
        </w:rPr>
        <w:t xml:space="preserve">new </w:t>
      </w:r>
      <w:r w:rsidRPr="00E7475E">
        <w:rPr>
          <w:sz w:val="24"/>
          <w:szCs w:val="24"/>
        </w:rPr>
        <w:t xml:space="preserve">location </w:t>
      </w:r>
      <w:r w:rsidRPr="00E7475E">
        <w:rPr>
          <w:sz w:val="24"/>
          <w:szCs w:val="24"/>
        </w:rPr>
        <w:lastRenderedPageBreak/>
        <w:t xml:space="preserve">would be </w:t>
      </w:r>
      <w:r>
        <w:rPr>
          <w:sz w:val="24"/>
          <w:szCs w:val="24"/>
        </w:rPr>
        <w:t xml:space="preserve">sufficiently </w:t>
      </w:r>
      <w:r w:rsidRPr="00E7475E">
        <w:rPr>
          <w:sz w:val="24"/>
          <w:szCs w:val="24"/>
        </w:rPr>
        <w:t>deep.</w:t>
      </w:r>
      <w:r>
        <w:rPr>
          <w:sz w:val="24"/>
          <w:szCs w:val="24"/>
        </w:rPr>
        <w:t xml:space="preserve">  He admitted that he had no such evidence.  Transcript, p. 189.</w:t>
      </w:r>
      <w:r w:rsidRPr="00E7475E">
        <w:rPr>
          <w:sz w:val="24"/>
          <w:szCs w:val="24"/>
        </w:rPr>
        <w:t xml:space="preserve">  In fact, the Applicant’s witness testified that the pier could not be moved further north because the water depth would be insufficient, posing a threat to underlying shellfish beds.  Lyttle PFT, p. 3.  </w:t>
      </w:r>
    </w:p>
    <w:p w:rsidR="00105C94" w:rsidRPr="00E7475E" w:rsidRDefault="00A3381D" w:rsidP="007E5092">
      <w:pPr>
        <w:spacing w:line="480" w:lineRule="auto"/>
        <w:ind w:firstLine="720"/>
        <w:contextualSpacing/>
        <w:rPr>
          <w:sz w:val="24"/>
          <w:szCs w:val="24"/>
        </w:rPr>
      </w:pPr>
      <w:r>
        <w:rPr>
          <w:sz w:val="24"/>
          <w:szCs w:val="24"/>
        </w:rPr>
        <w:t xml:space="preserve">In addition to the above factors that detract from the weight of Rendon’s testimony, </w:t>
      </w:r>
      <w:r w:rsidR="007E5092" w:rsidRPr="00E7475E">
        <w:rPr>
          <w:sz w:val="24"/>
          <w:szCs w:val="24"/>
        </w:rPr>
        <w:t>t</w:t>
      </w:r>
      <w:r w:rsidR="007E5092" w:rsidRPr="00E7475E">
        <w:rPr>
          <w:color w:val="333333"/>
          <w:sz w:val="24"/>
          <w:szCs w:val="24"/>
          <w:shd w:val="clear" w:color="auto" w:fill="FFFFFF"/>
        </w:rPr>
        <w:t>he c. 91 license plan</w:t>
      </w:r>
      <w:r>
        <w:rPr>
          <w:color w:val="333333"/>
          <w:sz w:val="24"/>
          <w:szCs w:val="24"/>
          <w:shd w:val="clear" w:color="auto" w:fill="FFFFFF"/>
        </w:rPr>
        <w:t xml:space="preserve"> itself</w:t>
      </w:r>
      <w:r w:rsidR="007E5092" w:rsidRPr="00E7475E">
        <w:rPr>
          <w:color w:val="333333"/>
          <w:sz w:val="24"/>
          <w:szCs w:val="24"/>
          <w:shd w:val="clear" w:color="auto" w:fill="FFFFFF"/>
        </w:rPr>
        <w:t xml:space="preserve"> </w:t>
      </w:r>
      <w:r w:rsidR="004F5B39">
        <w:rPr>
          <w:color w:val="333333"/>
          <w:sz w:val="24"/>
          <w:szCs w:val="24"/>
          <w:shd w:val="clear" w:color="auto" w:fill="FFFFFF"/>
        </w:rPr>
        <w:t xml:space="preserve">(dated July 10, 2014) </w:t>
      </w:r>
      <w:r w:rsidR="007E5092" w:rsidRPr="00E7475E">
        <w:rPr>
          <w:color w:val="333333"/>
          <w:sz w:val="24"/>
          <w:szCs w:val="24"/>
          <w:shd w:val="clear" w:color="auto" w:fill="FFFFFF"/>
        </w:rPr>
        <w:t>shows that the proposed pier would generally not lie in the path of travel of the vessels travelling to and from the slips at the Town pier.  With the exception of</w:t>
      </w:r>
      <w:r w:rsidR="00DA4C71">
        <w:rPr>
          <w:color w:val="333333"/>
          <w:sz w:val="24"/>
          <w:szCs w:val="24"/>
          <w:shd w:val="clear" w:color="auto" w:fill="FFFFFF"/>
        </w:rPr>
        <w:t xml:space="preserve"> one or two of</w:t>
      </w:r>
      <w:r w:rsidR="007E5092" w:rsidRPr="00E7475E">
        <w:rPr>
          <w:color w:val="333333"/>
          <w:sz w:val="24"/>
          <w:szCs w:val="24"/>
          <w:shd w:val="clear" w:color="auto" w:fill="FFFFFF"/>
        </w:rPr>
        <w:t xml:space="preserve"> the inner most slip</w:t>
      </w:r>
      <w:r w:rsidR="00DA4C71">
        <w:rPr>
          <w:color w:val="333333"/>
          <w:sz w:val="24"/>
          <w:szCs w:val="24"/>
          <w:shd w:val="clear" w:color="auto" w:fill="FFFFFF"/>
        </w:rPr>
        <w:t>s</w:t>
      </w:r>
      <w:r w:rsidR="007E5092" w:rsidRPr="00E7475E">
        <w:rPr>
          <w:color w:val="333333"/>
          <w:sz w:val="24"/>
          <w:szCs w:val="24"/>
          <w:shd w:val="clear" w:color="auto" w:fill="FFFFFF"/>
        </w:rPr>
        <w:t xml:space="preserve">, the Town pier slips extend out </w:t>
      </w:r>
      <w:r w:rsidR="00820BE5">
        <w:rPr>
          <w:color w:val="333333"/>
          <w:sz w:val="24"/>
          <w:szCs w:val="24"/>
          <w:shd w:val="clear" w:color="auto" w:fill="FFFFFF"/>
        </w:rPr>
        <w:t xml:space="preserve">towards the center of the harbor </w:t>
      </w:r>
      <w:r w:rsidR="007E5092" w:rsidRPr="00E7475E">
        <w:rPr>
          <w:color w:val="333333"/>
          <w:sz w:val="24"/>
          <w:szCs w:val="24"/>
          <w:shd w:val="clear" w:color="auto" w:fill="FFFFFF"/>
        </w:rPr>
        <w:t>beyond the end of the proposed pier.</w:t>
      </w:r>
      <w:r w:rsidR="00820BE5">
        <w:rPr>
          <w:sz w:val="24"/>
          <w:szCs w:val="24"/>
        </w:rPr>
        <w:t xml:space="preserve">  And e</w:t>
      </w:r>
      <w:r w:rsidR="007E5092" w:rsidRPr="00E7475E">
        <w:rPr>
          <w:sz w:val="24"/>
          <w:szCs w:val="24"/>
        </w:rPr>
        <w:t>ven the inner most slip</w:t>
      </w:r>
      <w:r w:rsidR="001C5F87">
        <w:rPr>
          <w:sz w:val="24"/>
          <w:szCs w:val="24"/>
        </w:rPr>
        <w:t xml:space="preserve"> appears</w:t>
      </w:r>
      <w:r w:rsidR="007E5092" w:rsidRPr="00E7475E">
        <w:rPr>
          <w:sz w:val="24"/>
          <w:szCs w:val="24"/>
        </w:rPr>
        <w:t xml:space="preserve"> accessible without</w:t>
      </w:r>
      <w:r w:rsidR="004F5B39">
        <w:rPr>
          <w:sz w:val="24"/>
          <w:szCs w:val="24"/>
        </w:rPr>
        <w:t xml:space="preserve"> significant</w:t>
      </w:r>
      <w:r w:rsidR="007E5092" w:rsidRPr="00E7475E">
        <w:rPr>
          <w:sz w:val="24"/>
          <w:szCs w:val="24"/>
        </w:rPr>
        <w:t xml:space="preserve"> interference from the proposed pier.  </w:t>
      </w:r>
      <w:r w:rsidR="00EA3196" w:rsidRPr="00E7475E">
        <w:rPr>
          <w:sz w:val="24"/>
          <w:szCs w:val="24"/>
        </w:rPr>
        <w:t xml:space="preserve">This finding is corroborated by testimony from </w:t>
      </w:r>
      <w:r w:rsidR="00902A08" w:rsidRPr="00E7475E">
        <w:rPr>
          <w:sz w:val="24"/>
          <w:szCs w:val="24"/>
        </w:rPr>
        <w:t>DEP’s expert</w:t>
      </w:r>
      <w:r w:rsidR="00820BE5">
        <w:rPr>
          <w:sz w:val="24"/>
          <w:szCs w:val="24"/>
        </w:rPr>
        <w:t xml:space="preserve"> boater</w:t>
      </w:r>
      <w:r w:rsidR="00902A08" w:rsidRPr="00E7475E">
        <w:rPr>
          <w:sz w:val="24"/>
          <w:szCs w:val="24"/>
        </w:rPr>
        <w:t xml:space="preserve">, DeCesare, who has substantial experience operating commercial boats.  </w:t>
      </w:r>
      <w:r w:rsidR="00EA3196" w:rsidRPr="00E7475E">
        <w:rPr>
          <w:sz w:val="24"/>
          <w:szCs w:val="24"/>
        </w:rPr>
        <w:t xml:space="preserve">DeCesare </w:t>
      </w:r>
      <w:r w:rsidR="007E5092" w:rsidRPr="00E7475E">
        <w:rPr>
          <w:sz w:val="24"/>
          <w:szCs w:val="24"/>
        </w:rPr>
        <w:t>testified that the proposed Maher pier would not significantly interfere with public rights of navigati</w:t>
      </w:r>
      <w:r w:rsidR="00902A08" w:rsidRPr="00E7475E">
        <w:rPr>
          <w:sz w:val="24"/>
          <w:szCs w:val="24"/>
        </w:rPr>
        <w:t>o</w:t>
      </w:r>
      <w:r w:rsidR="007E5092" w:rsidRPr="00E7475E">
        <w:rPr>
          <w:sz w:val="24"/>
          <w:szCs w:val="24"/>
        </w:rPr>
        <w:t>n or substantially impair the ability of the commercial fishing vessels berthed on the north side of the Town pier to pass freely on the waterway and engage in normal loading and unloading activities.  DeCesare PFT, p 4.  He testified that the boats docked in the two inner slips, the ones closest to the Maher pier, may need to adjust the way they choose to navigate into and out of their slips because there will be less space.  But he testified that the reduction in space wil</w:t>
      </w:r>
      <w:r w:rsidR="00902A08" w:rsidRPr="00E7475E">
        <w:rPr>
          <w:sz w:val="24"/>
          <w:szCs w:val="24"/>
        </w:rPr>
        <w:t>l</w:t>
      </w:r>
      <w:r w:rsidR="007E5092" w:rsidRPr="00E7475E">
        <w:rPr>
          <w:sz w:val="24"/>
          <w:szCs w:val="24"/>
        </w:rPr>
        <w:t xml:space="preserve"> not prevent or substantially interfere with their ability to use the slips.  DeCesare PFT, p. 5.  He testified this is normal, i.e., that boat</w:t>
      </w:r>
      <w:r w:rsidR="006A068E" w:rsidRPr="00E7475E">
        <w:rPr>
          <w:sz w:val="24"/>
          <w:szCs w:val="24"/>
        </w:rPr>
        <w:t xml:space="preserve"> operators</w:t>
      </w:r>
      <w:r w:rsidR="007E5092" w:rsidRPr="00E7475E">
        <w:rPr>
          <w:sz w:val="24"/>
          <w:szCs w:val="24"/>
        </w:rPr>
        <w:t xml:space="preserve"> have to adjust their course of action when berthing due to many variables—wind, current, depth, other boats, visibility, etc.  The proposed pier might require some additional maneuvering or multiple point</w:t>
      </w:r>
      <w:r w:rsidR="00EE6042">
        <w:rPr>
          <w:sz w:val="24"/>
          <w:szCs w:val="24"/>
        </w:rPr>
        <w:t xml:space="preserve"> turns.  DeCesare PFT, p. 5.  DeCesare</w:t>
      </w:r>
      <w:r w:rsidR="007E5092" w:rsidRPr="00E7475E">
        <w:rPr>
          <w:sz w:val="24"/>
          <w:szCs w:val="24"/>
        </w:rPr>
        <w:t xml:space="preserve"> credibly testified that commercial fisherman who will have to perform that maneuvering </w:t>
      </w:r>
      <w:r w:rsidR="00105C94" w:rsidRPr="00E7475E">
        <w:rPr>
          <w:sz w:val="24"/>
          <w:szCs w:val="24"/>
        </w:rPr>
        <w:t>are</w:t>
      </w:r>
      <w:r w:rsidR="00EE6042">
        <w:rPr>
          <w:sz w:val="24"/>
          <w:szCs w:val="24"/>
        </w:rPr>
        <w:t>, or should be,</w:t>
      </w:r>
      <w:r w:rsidR="00105C94" w:rsidRPr="00E7475E">
        <w:rPr>
          <w:sz w:val="24"/>
          <w:szCs w:val="24"/>
        </w:rPr>
        <w:t xml:space="preserve"> </w:t>
      </w:r>
      <w:r w:rsidR="007E5092" w:rsidRPr="00E7475E">
        <w:rPr>
          <w:sz w:val="24"/>
          <w:szCs w:val="24"/>
        </w:rPr>
        <w:t xml:space="preserve">experienced, professional operators, who are capable of such maneuvers.  </w:t>
      </w:r>
      <w:r w:rsidR="007E5092" w:rsidRPr="00E7475E">
        <w:rPr>
          <w:sz w:val="24"/>
          <w:szCs w:val="24"/>
        </w:rPr>
        <w:tab/>
      </w:r>
    </w:p>
    <w:p w:rsidR="007E5092" w:rsidRPr="00E7475E" w:rsidRDefault="00A015C9" w:rsidP="007E5092">
      <w:pPr>
        <w:spacing w:line="480" w:lineRule="auto"/>
        <w:ind w:firstLine="720"/>
        <w:contextualSpacing/>
        <w:rPr>
          <w:sz w:val="24"/>
          <w:szCs w:val="24"/>
        </w:rPr>
      </w:pPr>
      <w:r w:rsidRPr="00E7475E">
        <w:rPr>
          <w:sz w:val="24"/>
          <w:szCs w:val="24"/>
        </w:rPr>
        <w:lastRenderedPageBreak/>
        <w:t xml:space="preserve">DEP’s other expert witness, </w:t>
      </w:r>
      <w:r w:rsidR="007E5092" w:rsidRPr="00E7475E">
        <w:rPr>
          <w:sz w:val="24"/>
          <w:szCs w:val="24"/>
        </w:rPr>
        <w:t>Hill</w:t>
      </w:r>
      <w:r w:rsidRPr="00E7475E">
        <w:rPr>
          <w:sz w:val="24"/>
          <w:szCs w:val="24"/>
        </w:rPr>
        <w:t>,</w:t>
      </w:r>
      <w:r w:rsidR="007E5092" w:rsidRPr="00E7475E">
        <w:rPr>
          <w:sz w:val="24"/>
          <w:szCs w:val="24"/>
        </w:rPr>
        <w:t xml:space="preserve"> testified that when he conducted a site visit he observed commercial fishing vessels arriving to and departing from the Town pier slips at issue.  Based upon those observations he opined that neither vessel chose a course that came remotely close to the</w:t>
      </w:r>
      <w:r w:rsidR="00EE6042">
        <w:rPr>
          <w:sz w:val="24"/>
          <w:szCs w:val="24"/>
        </w:rPr>
        <w:t xml:space="preserve"> location of the proposed </w:t>
      </w:r>
      <w:r w:rsidR="007E5092" w:rsidRPr="00E7475E">
        <w:rPr>
          <w:sz w:val="24"/>
          <w:szCs w:val="24"/>
        </w:rPr>
        <w:t xml:space="preserve">pier.  Hill PFT, pp. 4, 7-9.  Hill also persuasively explained that the </w:t>
      </w:r>
      <w:r w:rsidRPr="00E7475E">
        <w:rPr>
          <w:sz w:val="24"/>
          <w:szCs w:val="24"/>
        </w:rPr>
        <w:t>proposed</w:t>
      </w:r>
      <w:r w:rsidR="007E5092" w:rsidRPr="00E7475E">
        <w:rPr>
          <w:sz w:val="24"/>
          <w:szCs w:val="24"/>
        </w:rPr>
        <w:t xml:space="preserve"> pier will not cause a significant interference when there are strong winds from the southwest, wh</w:t>
      </w:r>
      <w:r w:rsidRPr="00E7475E">
        <w:rPr>
          <w:sz w:val="24"/>
          <w:szCs w:val="24"/>
        </w:rPr>
        <w:t>ich the Town’s expert believed c</w:t>
      </w:r>
      <w:r w:rsidR="007E5092" w:rsidRPr="00E7475E">
        <w:rPr>
          <w:sz w:val="24"/>
          <w:szCs w:val="24"/>
        </w:rPr>
        <w:t>ould blow commercial fishing vessels into the</w:t>
      </w:r>
      <w:r w:rsidRPr="00E7475E">
        <w:rPr>
          <w:sz w:val="24"/>
          <w:szCs w:val="24"/>
        </w:rPr>
        <w:t xml:space="preserve"> proposed</w:t>
      </w:r>
      <w:r w:rsidR="007E5092" w:rsidRPr="00E7475E">
        <w:rPr>
          <w:sz w:val="24"/>
          <w:szCs w:val="24"/>
        </w:rPr>
        <w:t xml:space="preserve"> Maher pier.  </w:t>
      </w:r>
      <w:r w:rsidR="00FD061D">
        <w:rPr>
          <w:sz w:val="24"/>
          <w:szCs w:val="24"/>
        </w:rPr>
        <w:t xml:space="preserve">He explained that </w:t>
      </w:r>
      <w:r w:rsidRPr="00E7475E">
        <w:rPr>
          <w:sz w:val="24"/>
          <w:szCs w:val="24"/>
        </w:rPr>
        <w:t>t</w:t>
      </w:r>
      <w:r w:rsidR="007E5092" w:rsidRPr="00E7475E">
        <w:rPr>
          <w:sz w:val="24"/>
          <w:szCs w:val="24"/>
        </w:rPr>
        <w:t>he Maher pier will be in place only from May 31 to September 5 of each year, when the winds are</w:t>
      </w:r>
      <w:r w:rsidRPr="00E7475E">
        <w:rPr>
          <w:sz w:val="24"/>
          <w:szCs w:val="24"/>
        </w:rPr>
        <w:t xml:space="preserve"> generally</w:t>
      </w:r>
      <w:r w:rsidR="007E5092" w:rsidRPr="00E7475E">
        <w:rPr>
          <w:sz w:val="24"/>
          <w:szCs w:val="24"/>
        </w:rPr>
        <w:t xml:space="preserve"> consistent and not seve</w:t>
      </w:r>
      <w:r w:rsidR="00983AEF" w:rsidRPr="00E7475E">
        <w:rPr>
          <w:sz w:val="24"/>
          <w:szCs w:val="24"/>
        </w:rPr>
        <w:t>re.  Moreover, he e</w:t>
      </w:r>
      <w:r w:rsidR="00FD061D">
        <w:rPr>
          <w:sz w:val="24"/>
          <w:szCs w:val="24"/>
        </w:rPr>
        <w:t>laborated</w:t>
      </w:r>
      <w:r w:rsidR="00983AEF" w:rsidRPr="00E7475E">
        <w:rPr>
          <w:sz w:val="24"/>
          <w:szCs w:val="24"/>
        </w:rPr>
        <w:t xml:space="preserve">, </w:t>
      </w:r>
      <w:r w:rsidR="007E5092" w:rsidRPr="00E7475E">
        <w:rPr>
          <w:sz w:val="24"/>
          <w:szCs w:val="24"/>
        </w:rPr>
        <w:t>Wychmere Harbor is a very sheltered harbor.  It is a circular shaped waterbody, approximately 750 to 1,000 feet in diameter.  It is exposed to the open ocean water by</w:t>
      </w:r>
      <w:r w:rsidR="00FD061D">
        <w:rPr>
          <w:sz w:val="24"/>
          <w:szCs w:val="24"/>
        </w:rPr>
        <w:t xml:space="preserve"> only</w:t>
      </w:r>
      <w:r w:rsidR="007E5092" w:rsidRPr="00E7475E">
        <w:rPr>
          <w:sz w:val="24"/>
          <w:szCs w:val="24"/>
        </w:rPr>
        <w:t xml:space="preserve"> a long narrow channel to Nantucket Sound.  The channel is approximately 750 feet long and 100 feet wide.  As a consequence, the potential for significant wave action is very minimal.   H</w:t>
      </w:r>
      <w:r w:rsidR="00FD061D">
        <w:rPr>
          <w:sz w:val="24"/>
          <w:szCs w:val="24"/>
        </w:rPr>
        <w:t>ill</w:t>
      </w:r>
      <w:r w:rsidR="007E5092" w:rsidRPr="00E7475E">
        <w:rPr>
          <w:sz w:val="24"/>
          <w:szCs w:val="24"/>
        </w:rPr>
        <w:t xml:space="preserve"> therefor</w:t>
      </w:r>
      <w:r w:rsidR="00983AEF" w:rsidRPr="00E7475E">
        <w:rPr>
          <w:sz w:val="24"/>
          <w:szCs w:val="24"/>
        </w:rPr>
        <w:t>e</w:t>
      </w:r>
      <w:r w:rsidR="007E5092" w:rsidRPr="00E7475E">
        <w:rPr>
          <w:sz w:val="24"/>
          <w:szCs w:val="24"/>
        </w:rPr>
        <w:t xml:space="preserve"> concluded </w:t>
      </w:r>
      <w:r w:rsidR="00FD061D">
        <w:rPr>
          <w:sz w:val="24"/>
          <w:szCs w:val="24"/>
        </w:rPr>
        <w:t xml:space="preserve">that </w:t>
      </w:r>
      <w:r w:rsidR="00FD0E6F">
        <w:rPr>
          <w:sz w:val="24"/>
          <w:szCs w:val="24"/>
        </w:rPr>
        <w:t>t</w:t>
      </w:r>
      <w:r w:rsidR="00FD061D">
        <w:rPr>
          <w:sz w:val="24"/>
          <w:szCs w:val="24"/>
        </w:rPr>
        <w:t xml:space="preserve">he proposed pier </w:t>
      </w:r>
      <w:r w:rsidR="007E5092" w:rsidRPr="00E7475E">
        <w:rPr>
          <w:sz w:val="24"/>
          <w:szCs w:val="24"/>
        </w:rPr>
        <w:t>would comply with the regulations and not significantly interfere with the commercial fishing vessels that would use the Town pier.  Hill PFT, pp. 4, 7-9.</w:t>
      </w:r>
    </w:p>
    <w:p w:rsidR="00F12C5C" w:rsidRDefault="004C77D2" w:rsidP="0084160F">
      <w:pPr>
        <w:spacing w:line="480" w:lineRule="auto"/>
        <w:contextualSpacing/>
        <w:rPr>
          <w:sz w:val="24"/>
          <w:szCs w:val="24"/>
        </w:rPr>
      </w:pPr>
      <w:r w:rsidRPr="00E7475E">
        <w:rPr>
          <w:sz w:val="24"/>
          <w:szCs w:val="24"/>
        </w:rPr>
        <w:tab/>
      </w:r>
      <w:r w:rsidR="00210E77">
        <w:rPr>
          <w:sz w:val="24"/>
          <w:szCs w:val="24"/>
        </w:rPr>
        <w:t xml:space="preserve"> </w:t>
      </w:r>
      <w:r w:rsidR="0084160F">
        <w:rPr>
          <w:sz w:val="24"/>
          <w:szCs w:val="24"/>
        </w:rPr>
        <w:t xml:space="preserve">For all the above reasons, I </w:t>
      </w:r>
      <w:r w:rsidR="00B61547">
        <w:rPr>
          <w:sz w:val="24"/>
          <w:szCs w:val="24"/>
        </w:rPr>
        <w:t>greatly</w:t>
      </w:r>
      <w:r w:rsidR="0084160F">
        <w:rPr>
          <w:sz w:val="24"/>
          <w:szCs w:val="24"/>
        </w:rPr>
        <w:t xml:space="preserve"> discount</w:t>
      </w:r>
      <w:r w:rsidR="004F5B39">
        <w:rPr>
          <w:sz w:val="24"/>
          <w:szCs w:val="24"/>
        </w:rPr>
        <w:t xml:space="preserve"> the weight and persuasiveness of testimony from the Town and McLaughlin asserting that the proposed pier will significantly interfere with use of the Town pier.  Instead, I am persuaded </w:t>
      </w:r>
      <w:r w:rsidR="004C6BA3">
        <w:rPr>
          <w:sz w:val="24"/>
          <w:szCs w:val="24"/>
        </w:rPr>
        <w:t>by the evidence to the contrary.  I find that there is almost no creditable evidence demonstrating that the proposed pier will significantly interfere with access to and from the boat slips on the north side of the Town pier.  While the boats travelling to or from the two inner most slips on the pier may have to do some extra maneuvering—such as a multiple point turn—in some circumstances during the</w:t>
      </w:r>
      <w:r w:rsidR="00BC23B1">
        <w:rPr>
          <w:sz w:val="24"/>
          <w:szCs w:val="24"/>
        </w:rPr>
        <w:t xml:space="preserve"> three</w:t>
      </w:r>
      <w:r w:rsidR="004C6BA3">
        <w:rPr>
          <w:sz w:val="24"/>
          <w:szCs w:val="24"/>
        </w:rPr>
        <w:t xml:space="preserve"> months out of the year that the proposed pier will be in place, that does not rise to the level of a significant </w:t>
      </w:r>
      <w:r w:rsidR="004C6BA3">
        <w:rPr>
          <w:sz w:val="24"/>
          <w:szCs w:val="24"/>
        </w:rPr>
        <w:lastRenderedPageBreak/>
        <w:t>interference.</w:t>
      </w:r>
      <w:r w:rsidR="00BC23B1">
        <w:rPr>
          <w:sz w:val="24"/>
          <w:szCs w:val="24"/>
        </w:rPr>
        <w:t xml:space="preserve">  As DeCesare testified, having to perform some maneuvering in a busy well protected harbor for three months out of the year is not uncommon.  </w:t>
      </w:r>
    </w:p>
    <w:p w:rsidR="00AB00EC" w:rsidRPr="00E7475E" w:rsidRDefault="004F75D2" w:rsidP="00857BA0">
      <w:pPr>
        <w:spacing w:line="480" w:lineRule="auto"/>
        <w:ind w:firstLine="720"/>
        <w:contextualSpacing/>
        <w:rPr>
          <w:sz w:val="24"/>
          <w:szCs w:val="24"/>
        </w:rPr>
      </w:pPr>
      <w:r>
        <w:rPr>
          <w:sz w:val="24"/>
          <w:szCs w:val="24"/>
        </w:rPr>
        <w:t>In support of their positions in the case, both t</w:t>
      </w:r>
      <w:r w:rsidRPr="0080440D">
        <w:rPr>
          <w:sz w:val="24"/>
          <w:szCs w:val="24"/>
        </w:rPr>
        <w:t xml:space="preserve">he Town and McLaughlin mistakenly rely upon the decision in </w:t>
      </w:r>
      <w:r w:rsidRPr="0080440D">
        <w:rPr>
          <w:rStyle w:val="ssun"/>
          <w:sz w:val="24"/>
          <w:szCs w:val="24"/>
          <w:u w:val="single"/>
        </w:rPr>
        <w:t>Matter of Oliveira</w:t>
      </w:r>
      <w:r w:rsidRPr="0080440D">
        <w:rPr>
          <w:sz w:val="24"/>
          <w:szCs w:val="24"/>
        </w:rPr>
        <w:t xml:space="preserve">, Docket No. 2010-017, Recommended Final Decision (January 7, 2011), adopted by Final Decision (January 7, 2011).  </w:t>
      </w:r>
      <w:r w:rsidR="00857BA0">
        <w:rPr>
          <w:sz w:val="24"/>
          <w:szCs w:val="24"/>
        </w:rPr>
        <w:t xml:space="preserve">They focus on the fact that the proposed pier will only serve one property, and they argue that it will interfere with multiple users of the harbor.  </w:t>
      </w:r>
      <w:r w:rsidR="00F12C5C">
        <w:rPr>
          <w:sz w:val="24"/>
          <w:szCs w:val="24"/>
        </w:rPr>
        <w:t>Th</w:t>
      </w:r>
      <w:r w:rsidR="00857BA0">
        <w:rPr>
          <w:sz w:val="24"/>
          <w:szCs w:val="24"/>
        </w:rPr>
        <w:t xml:space="preserve">at focus </w:t>
      </w:r>
      <w:r w:rsidR="00F12C5C">
        <w:rPr>
          <w:sz w:val="24"/>
          <w:szCs w:val="24"/>
        </w:rPr>
        <w:t>is misplaced</w:t>
      </w:r>
      <w:r w:rsidR="00857BA0">
        <w:rPr>
          <w:sz w:val="24"/>
          <w:szCs w:val="24"/>
        </w:rPr>
        <w:t xml:space="preserve">.  In </w:t>
      </w:r>
      <w:r w:rsidR="00857BA0" w:rsidRPr="00857BA0">
        <w:rPr>
          <w:sz w:val="24"/>
          <w:szCs w:val="24"/>
          <w:u w:val="single"/>
        </w:rPr>
        <w:t>Oliveira</w:t>
      </w:r>
      <w:r w:rsidR="00857BA0">
        <w:rPr>
          <w:sz w:val="24"/>
          <w:szCs w:val="24"/>
        </w:rPr>
        <w:t xml:space="preserve"> </w:t>
      </w:r>
      <w:r w:rsidR="00D87A8A">
        <w:rPr>
          <w:sz w:val="24"/>
          <w:szCs w:val="24"/>
        </w:rPr>
        <w:t xml:space="preserve">the proposed pier was over 200 feet long and </w:t>
      </w:r>
      <w:r w:rsidR="00857BA0">
        <w:rPr>
          <w:sz w:val="24"/>
          <w:szCs w:val="24"/>
        </w:rPr>
        <w:t xml:space="preserve">there was firsthand evidence from numerous witnesses showing that the pier would directly intersect a course of travel and area of usage by </w:t>
      </w:r>
      <w:r w:rsidR="0029304E">
        <w:rPr>
          <w:sz w:val="24"/>
          <w:szCs w:val="24"/>
        </w:rPr>
        <w:t>many</w:t>
      </w:r>
      <w:r w:rsidR="00857BA0">
        <w:rPr>
          <w:sz w:val="24"/>
          <w:szCs w:val="24"/>
        </w:rPr>
        <w:t xml:space="preserve"> individuals who frequently use the area.  That course of travel and area of usage would have been eliminated, requiring an alternative course of travel that was substantially different and difficult under some circumstances.  There was no such evidence in this case, only persuasive evidence that one or two boats accessing the inner most slips on the Town pier might have to maneuver a bit more to access the slips.</w:t>
      </w:r>
      <w:r w:rsidR="003F10FD" w:rsidRPr="00E7475E">
        <w:rPr>
          <w:sz w:val="24"/>
          <w:szCs w:val="24"/>
        </w:rPr>
        <w:t xml:space="preserve"> </w:t>
      </w:r>
    </w:p>
    <w:p w:rsidR="00272224" w:rsidRPr="00E7475E" w:rsidRDefault="00272224" w:rsidP="00272224">
      <w:pPr>
        <w:spacing w:line="480" w:lineRule="auto"/>
        <w:jc w:val="center"/>
        <w:rPr>
          <w:sz w:val="24"/>
          <w:szCs w:val="24"/>
        </w:rPr>
      </w:pPr>
      <w:r w:rsidRPr="00E7475E">
        <w:rPr>
          <w:b/>
          <w:sz w:val="24"/>
          <w:szCs w:val="24"/>
          <w:u w:val="single"/>
        </w:rPr>
        <w:t>CONCLUSION</w:t>
      </w:r>
    </w:p>
    <w:p w:rsidR="007436E5" w:rsidRPr="0080440D" w:rsidRDefault="007436E5" w:rsidP="007436E5">
      <w:pPr>
        <w:pStyle w:val="Title"/>
        <w:spacing w:line="480" w:lineRule="auto"/>
        <w:ind w:firstLine="720"/>
        <w:jc w:val="left"/>
        <w:rPr>
          <w:b w:val="0"/>
          <w:szCs w:val="24"/>
          <w:u w:val="none"/>
        </w:rPr>
      </w:pPr>
      <w:r w:rsidRPr="00DB5082">
        <w:rPr>
          <w:b w:val="0"/>
          <w:szCs w:val="24"/>
          <w:u w:val="none"/>
        </w:rPr>
        <w:t xml:space="preserve">For all the above reasons, I find that </w:t>
      </w:r>
      <w:r>
        <w:rPr>
          <w:b w:val="0"/>
          <w:szCs w:val="24"/>
          <w:u w:val="none"/>
        </w:rPr>
        <w:t>McLaughlin</w:t>
      </w:r>
      <w:r w:rsidR="00FD0E6F">
        <w:rPr>
          <w:b w:val="0"/>
          <w:szCs w:val="24"/>
          <w:u w:val="none"/>
        </w:rPr>
        <w:t xml:space="preserve"> and the Town</w:t>
      </w:r>
      <w:r>
        <w:rPr>
          <w:b w:val="0"/>
          <w:szCs w:val="24"/>
          <w:u w:val="none"/>
        </w:rPr>
        <w:t xml:space="preserve"> failed to prove by </w:t>
      </w:r>
      <w:r w:rsidRPr="0080440D">
        <w:rPr>
          <w:b w:val="0"/>
          <w:szCs w:val="24"/>
          <w:u w:val="none"/>
        </w:rPr>
        <w:t xml:space="preserve">a preponderance of evidence that the </w:t>
      </w:r>
      <w:r>
        <w:rPr>
          <w:b w:val="0"/>
          <w:szCs w:val="24"/>
          <w:u w:val="none"/>
        </w:rPr>
        <w:t xml:space="preserve">Applicant’s </w:t>
      </w:r>
      <w:r w:rsidRPr="0080440D">
        <w:rPr>
          <w:b w:val="0"/>
          <w:szCs w:val="24"/>
          <w:u w:val="none"/>
        </w:rPr>
        <w:t xml:space="preserve">proposed pier will significantly interfere with access to and from the north side of the Town pier, the McLaughlins’ ability to access their property, or </w:t>
      </w:r>
      <w:r w:rsidRPr="00DB5082">
        <w:rPr>
          <w:b w:val="0"/>
          <w:szCs w:val="24"/>
          <w:u w:val="none"/>
          <w:shd w:val="clear" w:color="auto" w:fill="FFFFFF"/>
        </w:rPr>
        <w:t>the ability of the public to pass freely upon the waterways and to engage in transport or loading/unloading activities under 310 CMR 9.35(2)</w:t>
      </w:r>
      <w:r w:rsidR="000E19F0">
        <w:rPr>
          <w:b w:val="0"/>
          <w:szCs w:val="24"/>
          <w:u w:val="none"/>
          <w:shd w:val="clear" w:color="auto" w:fill="FFFFFF"/>
        </w:rPr>
        <w:t xml:space="preserve">(a)(1)(j).  As a consequence, I </w:t>
      </w:r>
      <w:r w:rsidRPr="00DB5082">
        <w:rPr>
          <w:b w:val="0"/>
          <w:szCs w:val="24"/>
          <w:u w:val="none"/>
          <w:shd w:val="clear" w:color="auto" w:fill="FFFFFF"/>
        </w:rPr>
        <w:t>recommend</w:t>
      </w:r>
      <w:r>
        <w:rPr>
          <w:b w:val="0"/>
          <w:szCs w:val="24"/>
          <w:u w:val="none"/>
          <w:shd w:val="clear" w:color="auto" w:fill="FFFFFF"/>
        </w:rPr>
        <w:t xml:space="preserve"> </w:t>
      </w:r>
      <w:r w:rsidRPr="00DB5082">
        <w:rPr>
          <w:b w:val="0"/>
          <w:szCs w:val="24"/>
          <w:u w:val="none"/>
          <w:shd w:val="clear" w:color="auto" w:fill="FFFFFF"/>
        </w:rPr>
        <w:t>that DEP</w:t>
      </w:r>
      <w:r>
        <w:rPr>
          <w:b w:val="0"/>
          <w:szCs w:val="24"/>
          <w:u w:val="none"/>
          <w:shd w:val="clear" w:color="auto" w:fill="FFFFFF"/>
        </w:rPr>
        <w:t>’s</w:t>
      </w:r>
      <w:r w:rsidRPr="00DB5082">
        <w:rPr>
          <w:b w:val="0"/>
          <w:szCs w:val="24"/>
          <w:u w:val="none"/>
          <w:shd w:val="clear" w:color="auto" w:fill="FFFFFF"/>
        </w:rPr>
        <w:t xml:space="preserve"> Commissioner issue a Final Decision affirming the Draft Waterways License issued to Maher.</w:t>
      </w:r>
      <w:r w:rsidRPr="00DB5082">
        <w:rPr>
          <w:sz w:val="22"/>
          <w:szCs w:val="22"/>
          <w:shd w:val="clear" w:color="auto" w:fill="FFFFFF"/>
        </w:rPr>
        <w:t xml:space="preserve">  </w:t>
      </w:r>
    </w:p>
    <w:p w:rsidR="002B1112" w:rsidRDefault="002B1112">
      <w:pPr>
        <w:rPr>
          <w:b/>
          <w:sz w:val="24"/>
          <w:szCs w:val="24"/>
          <w:u w:val="single"/>
        </w:rPr>
      </w:pPr>
      <w:r>
        <w:rPr>
          <w:b/>
          <w:szCs w:val="24"/>
          <w:u w:val="single"/>
        </w:rPr>
        <w:br w:type="page"/>
      </w:r>
    </w:p>
    <w:p w:rsidR="00A43B49" w:rsidRPr="00A43B49" w:rsidRDefault="00A43B49" w:rsidP="00A43B49">
      <w:pPr>
        <w:pStyle w:val="Heading2"/>
        <w:ind w:firstLine="0"/>
        <w:jc w:val="center"/>
        <w:rPr>
          <w:szCs w:val="24"/>
          <w:u w:val="single"/>
        </w:rPr>
      </w:pPr>
      <w:r w:rsidRPr="00A43B49">
        <w:rPr>
          <w:szCs w:val="24"/>
          <w:u w:val="single"/>
        </w:rPr>
        <w:lastRenderedPageBreak/>
        <w:t>NOTICE- RECOMMENDED FINAL DECISION</w:t>
      </w:r>
    </w:p>
    <w:p w:rsidR="00A43B49" w:rsidRPr="00A43B49" w:rsidRDefault="00A43B49" w:rsidP="00A43B49">
      <w:pPr>
        <w:rPr>
          <w:sz w:val="24"/>
          <w:szCs w:val="24"/>
        </w:rPr>
      </w:pPr>
    </w:p>
    <w:p w:rsidR="00A43B49" w:rsidRPr="00A43B49" w:rsidRDefault="00A43B49" w:rsidP="00A43B49">
      <w:pPr>
        <w:spacing w:line="360" w:lineRule="auto"/>
        <w:rPr>
          <w:sz w:val="24"/>
          <w:szCs w:val="24"/>
        </w:rPr>
      </w:pPr>
      <w:r w:rsidRPr="00A43B49">
        <w:rPr>
          <w:b/>
          <w:bCs/>
          <w:sz w:val="24"/>
          <w:szCs w:val="24"/>
        </w:rPr>
        <w:tab/>
      </w:r>
      <w:r w:rsidRPr="00A43B49">
        <w:rPr>
          <w:sz w:val="24"/>
          <w:szCs w:val="24"/>
        </w:rPr>
        <w:t>This decision is a Recommended Final Decision of the Presiding Officer.  It has been</w:t>
      </w:r>
    </w:p>
    <w:p w:rsidR="00A43B49" w:rsidRPr="00A43B49" w:rsidRDefault="00A43B49" w:rsidP="00A43B49">
      <w:pPr>
        <w:spacing w:line="360" w:lineRule="auto"/>
        <w:rPr>
          <w:sz w:val="24"/>
          <w:szCs w:val="24"/>
        </w:rPr>
      </w:pPr>
      <w:r w:rsidRPr="00A43B49">
        <w:rPr>
          <w:sz w:val="24"/>
          <w:szCs w:val="24"/>
        </w:rPr>
        <w:t xml:space="preserve">transmitted to the Commissioner for his Final Decision in this matter.  This decision is therefore not a Final Decision subject to reconsideration under 310 CMR 1.01(14)(d), and may not be appealed to Superior Court pursuant to M.G.L. c. 30A.  The Commissioner’s Final Decision is </w:t>
      </w:r>
    </w:p>
    <w:p w:rsidR="00A43B49" w:rsidRPr="00A43B49" w:rsidRDefault="00A43B49" w:rsidP="00A43B49">
      <w:pPr>
        <w:spacing w:line="360" w:lineRule="auto"/>
        <w:rPr>
          <w:sz w:val="24"/>
          <w:szCs w:val="24"/>
        </w:rPr>
      </w:pPr>
      <w:r w:rsidRPr="00A43B49">
        <w:rPr>
          <w:sz w:val="24"/>
          <w:szCs w:val="24"/>
        </w:rPr>
        <w:t xml:space="preserve">subject to rights of reconsideration and court appeal and will contain a notice to that effect.  </w:t>
      </w:r>
    </w:p>
    <w:p w:rsidR="00A43B49" w:rsidRPr="00A43B49" w:rsidRDefault="00A43B49" w:rsidP="00A43B49">
      <w:pPr>
        <w:spacing w:line="360" w:lineRule="auto"/>
        <w:rPr>
          <w:sz w:val="24"/>
          <w:szCs w:val="24"/>
        </w:rPr>
      </w:pPr>
      <w:r w:rsidRPr="00A43B49">
        <w:rPr>
          <w:sz w:val="24"/>
          <w:szCs w:val="24"/>
        </w:rPr>
        <w:tab/>
        <w:t>Because this matter has now been transmitted to the Commissioner, no party shall file a</w:t>
      </w:r>
    </w:p>
    <w:p w:rsidR="00A43B49" w:rsidRPr="00A43B49" w:rsidRDefault="00A43B49" w:rsidP="00A43B49">
      <w:pPr>
        <w:spacing w:line="360" w:lineRule="auto"/>
        <w:rPr>
          <w:sz w:val="24"/>
          <w:szCs w:val="24"/>
        </w:rPr>
      </w:pPr>
      <w:r w:rsidRPr="00A43B49">
        <w:rPr>
          <w:sz w:val="24"/>
          <w:szCs w:val="24"/>
        </w:rPr>
        <w:t>motion to renew or reargue this Recommended Final Decision or any part of it, and no party</w:t>
      </w:r>
    </w:p>
    <w:p w:rsidR="00A43B49" w:rsidRPr="00A43B49" w:rsidRDefault="00A43B49" w:rsidP="00A43B49">
      <w:pPr>
        <w:spacing w:line="360" w:lineRule="auto"/>
        <w:contextualSpacing/>
        <w:rPr>
          <w:sz w:val="24"/>
          <w:szCs w:val="24"/>
        </w:rPr>
      </w:pPr>
      <w:r w:rsidRPr="00A43B49">
        <w:rPr>
          <w:sz w:val="24"/>
          <w:szCs w:val="24"/>
        </w:rPr>
        <w:t>shall communicate with the Commissioner’s office regarding this decision unless the Commissioner, in his sole discretion, directs otherwise.</w:t>
      </w:r>
    </w:p>
    <w:p w:rsidR="00163406" w:rsidRPr="00A43B49" w:rsidRDefault="00F3335A" w:rsidP="005022C2">
      <w:pPr>
        <w:spacing w:line="480" w:lineRule="auto"/>
        <w:contextualSpacing/>
        <w:rPr>
          <w:sz w:val="24"/>
          <w:szCs w:val="24"/>
        </w:rPr>
      </w:pPr>
      <w:r w:rsidRPr="00A43B49">
        <w:rPr>
          <w:sz w:val="24"/>
          <w:szCs w:val="24"/>
        </w:rPr>
        <w:tab/>
      </w:r>
      <w:r w:rsidRPr="00A43B49">
        <w:rPr>
          <w:sz w:val="24"/>
          <w:szCs w:val="24"/>
        </w:rPr>
        <w:tab/>
      </w:r>
    </w:p>
    <w:p w:rsidR="00234040" w:rsidRPr="005022C2" w:rsidRDefault="00234040" w:rsidP="005022C2">
      <w:pPr>
        <w:spacing w:line="480" w:lineRule="auto"/>
        <w:contextualSpacing/>
        <w:rPr>
          <w:sz w:val="24"/>
          <w:szCs w:val="24"/>
        </w:rPr>
      </w:pPr>
    </w:p>
    <w:p w:rsidR="00F3335A" w:rsidRPr="00E7475E" w:rsidRDefault="00163406" w:rsidP="00F3335A">
      <w:pPr>
        <w:autoSpaceDE w:val="0"/>
        <w:autoSpaceDN w:val="0"/>
        <w:rPr>
          <w:sz w:val="24"/>
          <w:szCs w:val="24"/>
        </w:rPr>
      </w:pPr>
      <w:r w:rsidRPr="00E7475E">
        <w:rPr>
          <w:sz w:val="24"/>
          <w:szCs w:val="24"/>
        </w:rPr>
        <w:tab/>
      </w:r>
      <w:r w:rsidRPr="00E7475E">
        <w:rPr>
          <w:sz w:val="24"/>
          <w:szCs w:val="24"/>
        </w:rPr>
        <w:tab/>
      </w:r>
      <w:r w:rsidR="00F3335A" w:rsidRPr="00E7475E">
        <w:rPr>
          <w:sz w:val="24"/>
          <w:szCs w:val="24"/>
        </w:rPr>
        <w:tab/>
      </w:r>
      <w:r w:rsidR="00F3335A" w:rsidRPr="00E7475E">
        <w:rPr>
          <w:sz w:val="24"/>
          <w:szCs w:val="24"/>
        </w:rPr>
        <w:tab/>
      </w:r>
      <w:r w:rsidR="00F3335A" w:rsidRPr="00E7475E">
        <w:rPr>
          <w:sz w:val="24"/>
          <w:szCs w:val="24"/>
        </w:rPr>
        <w:tab/>
      </w:r>
      <w:r w:rsidR="00F3335A" w:rsidRPr="00E7475E">
        <w:rPr>
          <w:sz w:val="24"/>
          <w:szCs w:val="24"/>
        </w:rPr>
        <w:tab/>
      </w:r>
      <w:r w:rsidR="00F3335A" w:rsidRPr="00E7475E">
        <w:rPr>
          <w:sz w:val="24"/>
          <w:szCs w:val="24"/>
        </w:rPr>
        <w:tab/>
        <w:t>_________________________________</w:t>
      </w:r>
    </w:p>
    <w:p w:rsidR="00F3335A" w:rsidRPr="00E7475E" w:rsidRDefault="00F3335A" w:rsidP="0000116E">
      <w:pPr>
        <w:pStyle w:val="BodyText"/>
        <w:rPr>
          <w:szCs w:val="24"/>
        </w:rPr>
      </w:pPr>
      <w:r w:rsidRPr="00E7475E">
        <w:rPr>
          <w:szCs w:val="24"/>
        </w:rPr>
        <w:tab/>
      </w:r>
      <w:r w:rsidRPr="00E7475E">
        <w:rPr>
          <w:szCs w:val="24"/>
        </w:rPr>
        <w:tab/>
      </w:r>
      <w:r w:rsidRPr="00E7475E">
        <w:rPr>
          <w:szCs w:val="24"/>
        </w:rPr>
        <w:tab/>
      </w:r>
      <w:r w:rsidRPr="00E7475E">
        <w:rPr>
          <w:szCs w:val="24"/>
        </w:rPr>
        <w:tab/>
      </w:r>
      <w:r w:rsidRPr="00E7475E">
        <w:rPr>
          <w:szCs w:val="24"/>
        </w:rPr>
        <w:tab/>
      </w:r>
      <w:r w:rsidRPr="00E7475E">
        <w:rPr>
          <w:szCs w:val="24"/>
        </w:rPr>
        <w:tab/>
      </w:r>
      <w:r w:rsidRPr="00E7475E">
        <w:rPr>
          <w:szCs w:val="24"/>
        </w:rPr>
        <w:tab/>
        <w:t xml:space="preserve">Timothy </w:t>
      </w:r>
      <w:r w:rsidR="0000116E" w:rsidRPr="00E7475E">
        <w:rPr>
          <w:szCs w:val="24"/>
        </w:rPr>
        <w:t xml:space="preserve">M. </w:t>
      </w:r>
      <w:r w:rsidRPr="00E7475E">
        <w:rPr>
          <w:szCs w:val="24"/>
        </w:rPr>
        <w:t>Jones</w:t>
      </w:r>
    </w:p>
    <w:p w:rsidR="00163406" w:rsidRPr="00E7475E" w:rsidRDefault="0000116E" w:rsidP="0000116E">
      <w:pPr>
        <w:pStyle w:val="BodyText"/>
        <w:spacing w:line="480" w:lineRule="auto"/>
        <w:rPr>
          <w:szCs w:val="24"/>
        </w:rPr>
      </w:pPr>
      <w:r w:rsidRPr="00E7475E">
        <w:rPr>
          <w:szCs w:val="24"/>
        </w:rPr>
        <w:tab/>
      </w:r>
      <w:r w:rsidRPr="00E7475E">
        <w:rPr>
          <w:szCs w:val="24"/>
        </w:rPr>
        <w:tab/>
      </w:r>
      <w:r w:rsidRPr="00E7475E">
        <w:rPr>
          <w:szCs w:val="24"/>
        </w:rPr>
        <w:tab/>
      </w:r>
      <w:r w:rsidRPr="00E7475E">
        <w:rPr>
          <w:szCs w:val="24"/>
        </w:rPr>
        <w:tab/>
      </w:r>
      <w:r w:rsidRPr="00E7475E">
        <w:rPr>
          <w:szCs w:val="24"/>
        </w:rPr>
        <w:tab/>
      </w:r>
      <w:r w:rsidRPr="00E7475E">
        <w:rPr>
          <w:szCs w:val="24"/>
        </w:rPr>
        <w:tab/>
      </w:r>
      <w:r w:rsidRPr="00E7475E">
        <w:rPr>
          <w:szCs w:val="24"/>
        </w:rPr>
        <w:tab/>
        <w:t>Presiding Office</w:t>
      </w:r>
      <w:r w:rsidR="00885B91" w:rsidRPr="00E7475E">
        <w:rPr>
          <w:szCs w:val="24"/>
        </w:rPr>
        <w:t>r</w:t>
      </w:r>
    </w:p>
    <w:p w:rsidR="008F298B" w:rsidRDefault="008F298B">
      <w:pPr>
        <w:rPr>
          <w:sz w:val="24"/>
          <w:szCs w:val="24"/>
        </w:rPr>
      </w:pPr>
      <w:r>
        <w:rPr>
          <w:szCs w:val="24"/>
        </w:rPr>
        <w:br w:type="page"/>
      </w:r>
    </w:p>
    <w:p w:rsidR="009E48E9" w:rsidRDefault="009E48E9" w:rsidP="009E48E9">
      <w:pPr>
        <w:ind w:left="3600" w:hanging="3600"/>
        <w:jc w:val="center"/>
        <w:rPr>
          <w:rFonts w:ascii="Arial" w:hAnsi="Arial" w:cs="Arial"/>
          <w:b/>
        </w:rPr>
      </w:pPr>
      <w:r>
        <w:rPr>
          <w:rFonts w:ascii="Arial" w:hAnsi="Arial" w:cs="Arial"/>
          <w:b/>
        </w:rPr>
        <w:lastRenderedPageBreak/>
        <w:t>SERVICE LIST</w:t>
      </w:r>
    </w:p>
    <w:p w:rsidR="009E48E9" w:rsidRPr="009E48E9" w:rsidRDefault="009E48E9" w:rsidP="009E48E9">
      <w:pPr>
        <w:ind w:left="3600" w:hanging="3600"/>
        <w:jc w:val="center"/>
        <w:rPr>
          <w:rFonts w:ascii="Arial" w:hAnsi="Arial" w:cs="Arial"/>
          <w:b/>
        </w:rPr>
      </w:pPr>
    </w:p>
    <w:p w:rsidR="009E48E9" w:rsidRDefault="009E48E9" w:rsidP="009E48E9">
      <w:pPr>
        <w:ind w:left="3600" w:hanging="3600"/>
        <w:rPr>
          <w:rFonts w:ascii="Arial" w:hAnsi="Arial" w:cs="Arial"/>
        </w:rPr>
      </w:pPr>
      <w:r>
        <w:rPr>
          <w:rFonts w:ascii="Arial" w:hAnsi="Arial" w:cs="Arial"/>
        </w:rPr>
        <w:t>In The Matter Of:</w:t>
      </w:r>
      <w:r>
        <w:rPr>
          <w:rFonts w:ascii="Arial" w:hAnsi="Arial" w:cs="Arial"/>
        </w:rPr>
        <w:tab/>
      </w:r>
      <w:r>
        <w:rPr>
          <w:rFonts w:ascii="Arial" w:hAnsi="Arial" w:cs="Arial"/>
        </w:rPr>
        <w:tab/>
        <w:t>Elizabeth A. Maher</w:t>
      </w:r>
    </w:p>
    <w:p w:rsidR="009E48E9" w:rsidRDefault="009E48E9" w:rsidP="003D201A">
      <w:pPr>
        <w:rPr>
          <w:rFonts w:ascii="Arial" w:hAnsi="Arial" w:cs="Arial"/>
        </w:rPr>
      </w:pPr>
      <w:r>
        <w:rPr>
          <w:rFonts w:ascii="Arial" w:hAnsi="Arial" w:cs="Arial"/>
        </w:rPr>
        <w:t>Docket No. 2014-018</w:t>
      </w:r>
      <w:r>
        <w:rPr>
          <w:rFonts w:ascii="Arial" w:hAnsi="Arial" w:cs="Arial"/>
        </w:rPr>
        <w:tab/>
      </w:r>
      <w:r>
        <w:rPr>
          <w:rFonts w:ascii="Arial" w:hAnsi="Arial" w:cs="Arial"/>
        </w:rPr>
        <w:tab/>
      </w:r>
      <w:r w:rsidR="003D201A">
        <w:rPr>
          <w:rFonts w:ascii="Arial" w:hAnsi="Arial" w:cs="Arial"/>
        </w:rPr>
        <w:tab/>
      </w:r>
      <w:r w:rsidR="003D201A">
        <w:rPr>
          <w:rFonts w:ascii="Arial" w:hAnsi="Arial" w:cs="Arial"/>
        </w:rPr>
        <w:tab/>
      </w:r>
      <w:r w:rsidRPr="00A27956">
        <w:rPr>
          <w:rFonts w:ascii="Arial" w:hAnsi="Arial" w:cs="Arial"/>
        </w:rPr>
        <w:t xml:space="preserve">File No. </w:t>
      </w:r>
      <w:r>
        <w:rPr>
          <w:rFonts w:ascii="Arial" w:hAnsi="Arial" w:cs="Arial"/>
        </w:rPr>
        <w:t>W13-3970</w:t>
      </w:r>
    </w:p>
    <w:p w:rsidR="009E48E9" w:rsidRDefault="009E48E9" w:rsidP="009E48E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Harwich</w:t>
      </w:r>
    </w:p>
    <w:p w:rsidR="009E48E9" w:rsidRDefault="009E48E9" w:rsidP="009E48E9">
      <w:pPr>
        <w:rPr>
          <w:rFonts w:ascii="Arial" w:hAnsi="Arial" w:cs="Arial"/>
        </w:rPr>
      </w:pPr>
    </w:p>
    <w:tbl>
      <w:tblPr>
        <w:tblW w:w="0" w:type="auto"/>
        <w:tblLayout w:type="fixed"/>
        <w:tblLook w:val="0000"/>
      </w:tblPr>
      <w:tblGrid>
        <w:gridCol w:w="4428"/>
        <w:gridCol w:w="4428"/>
      </w:tblGrid>
      <w:tr w:rsidR="009E48E9" w:rsidTr="00E55EDC">
        <w:tc>
          <w:tcPr>
            <w:tcW w:w="4428" w:type="dxa"/>
          </w:tcPr>
          <w:p w:rsidR="009E48E9" w:rsidRDefault="009E48E9" w:rsidP="00E55EDC">
            <w:pPr>
              <w:rPr>
                <w:rFonts w:ascii="Arial" w:hAnsi="Arial" w:cs="Arial"/>
                <w:u w:val="single"/>
              </w:rPr>
            </w:pPr>
            <w:r>
              <w:rPr>
                <w:rFonts w:ascii="Arial" w:hAnsi="Arial" w:cs="Arial"/>
                <w:u w:val="single"/>
              </w:rPr>
              <w:t>Representative</w:t>
            </w:r>
          </w:p>
        </w:tc>
        <w:tc>
          <w:tcPr>
            <w:tcW w:w="4428" w:type="dxa"/>
          </w:tcPr>
          <w:p w:rsidR="009E48E9" w:rsidRDefault="009E48E9" w:rsidP="00E55EDC">
            <w:pPr>
              <w:pStyle w:val="Heading1"/>
              <w:rPr>
                <w:rFonts w:ascii="Arial" w:hAnsi="Arial" w:cs="Arial"/>
              </w:rPr>
            </w:pPr>
            <w:r>
              <w:rPr>
                <w:rFonts w:ascii="Arial" w:hAnsi="Arial" w:cs="Arial"/>
              </w:rPr>
              <w:t>Party</w:t>
            </w:r>
          </w:p>
        </w:tc>
      </w:tr>
      <w:tr w:rsidR="009E48E9" w:rsidTr="00E55EDC">
        <w:tc>
          <w:tcPr>
            <w:tcW w:w="4428" w:type="dxa"/>
          </w:tcPr>
          <w:p w:rsidR="009E48E9" w:rsidRDefault="009E48E9" w:rsidP="00E55EDC">
            <w:pPr>
              <w:rPr>
                <w:rFonts w:ascii="Arial" w:hAnsi="Arial" w:cs="Arial"/>
              </w:rPr>
            </w:pPr>
          </w:p>
          <w:p w:rsidR="009E48E9" w:rsidRDefault="009E48E9" w:rsidP="00E55EDC">
            <w:pPr>
              <w:rPr>
                <w:rFonts w:ascii="Arial" w:hAnsi="Arial" w:cs="Arial"/>
              </w:rPr>
            </w:pPr>
            <w:r>
              <w:rPr>
                <w:rFonts w:ascii="Arial" w:hAnsi="Arial" w:cs="Arial"/>
              </w:rPr>
              <w:t>James B. Stinson, Esq.</w:t>
            </w:r>
          </w:p>
          <w:p w:rsidR="009E48E9" w:rsidRDefault="009E48E9" w:rsidP="00E55EDC">
            <w:pPr>
              <w:rPr>
                <w:rFonts w:ascii="Arial" w:hAnsi="Arial" w:cs="Arial"/>
              </w:rPr>
            </w:pPr>
            <w:r>
              <w:rPr>
                <w:rFonts w:ascii="Arial" w:hAnsi="Arial" w:cs="Arial"/>
              </w:rPr>
              <w:t xml:space="preserve">72 Route 28 </w:t>
            </w:r>
          </w:p>
          <w:p w:rsidR="009E48E9" w:rsidRDefault="009E48E9" w:rsidP="00E55EDC">
            <w:pPr>
              <w:rPr>
                <w:rFonts w:ascii="Arial" w:hAnsi="Arial" w:cs="Arial"/>
              </w:rPr>
            </w:pPr>
            <w:r>
              <w:rPr>
                <w:rFonts w:ascii="Arial" w:hAnsi="Arial" w:cs="Arial"/>
              </w:rPr>
              <w:t>P.O. Box 665</w:t>
            </w:r>
          </w:p>
          <w:p w:rsidR="009E48E9" w:rsidRDefault="009E48E9" w:rsidP="00E55EDC">
            <w:pPr>
              <w:rPr>
                <w:rFonts w:ascii="Arial" w:hAnsi="Arial" w:cs="Arial"/>
              </w:rPr>
            </w:pPr>
            <w:r>
              <w:rPr>
                <w:rFonts w:ascii="Arial" w:hAnsi="Arial" w:cs="Arial"/>
              </w:rPr>
              <w:t>West Harwich, MA 02671</w:t>
            </w:r>
          </w:p>
          <w:p w:rsidR="009E48E9" w:rsidRDefault="00951FBC" w:rsidP="00E55EDC">
            <w:pPr>
              <w:rPr>
                <w:rFonts w:ascii="Arial" w:hAnsi="Arial" w:cs="Arial"/>
              </w:rPr>
            </w:pPr>
            <w:hyperlink r:id="rId10" w:history="1">
              <w:r w:rsidR="009E48E9" w:rsidRPr="00C566CF">
                <w:rPr>
                  <w:rStyle w:val="Hyperlink"/>
                  <w:rFonts w:ascii="Arial" w:hAnsi="Arial" w:cs="Arial"/>
                </w:rPr>
                <w:t>stinsonlaw@verizon.net</w:t>
              </w:r>
            </w:hyperlink>
          </w:p>
          <w:p w:rsidR="009E48E9" w:rsidRDefault="009E48E9" w:rsidP="00E55EDC">
            <w:pPr>
              <w:rPr>
                <w:rFonts w:ascii="Arial" w:hAnsi="Arial" w:cs="Arial"/>
              </w:rPr>
            </w:pPr>
          </w:p>
          <w:p w:rsidR="009E48E9" w:rsidRDefault="009E48E9" w:rsidP="00E55EDC">
            <w:pPr>
              <w:rPr>
                <w:rFonts w:ascii="Arial" w:hAnsi="Arial" w:cs="Arial"/>
              </w:rPr>
            </w:pPr>
            <w:r>
              <w:rPr>
                <w:rFonts w:ascii="Arial" w:hAnsi="Arial" w:cs="Arial"/>
              </w:rPr>
              <w:t>Charles M. Sabatt</w:t>
            </w:r>
          </w:p>
          <w:p w:rsidR="009E48E9" w:rsidRDefault="009E48E9" w:rsidP="00E55EDC">
            <w:pPr>
              <w:rPr>
                <w:rFonts w:ascii="Arial" w:hAnsi="Arial" w:cs="Arial"/>
              </w:rPr>
            </w:pPr>
            <w:r>
              <w:rPr>
                <w:rFonts w:ascii="Arial" w:hAnsi="Arial" w:cs="Arial"/>
              </w:rPr>
              <w:t>540 Main Street, Suite 8</w:t>
            </w:r>
          </w:p>
          <w:p w:rsidR="009E48E9" w:rsidRDefault="009E48E9" w:rsidP="00E55EDC">
            <w:pPr>
              <w:rPr>
                <w:rFonts w:ascii="Arial" w:hAnsi="Arial" w:cs="Arial"/>
              </w:rPr>
            </w:pPr>
            <w:r>
              <w:rPr>
                <w:rFonts w:ascii="Arial" w:hAnsi="Arial" w:cs="Arial"/>
              </w:rPr>
              <w:t>Hyannis, MA 02601</w:t>
            </w:r>
          </w:p>
          <w:p w:rsidR="009E48E9" w:rsidRDefault="00951FBC" w:rsidP="00E55EDC">
            <w:pPr>
              <w:rPr>
                <w:rFonts w:ascii="Arial" w:hAnsi="Arial" w:cs="Arial"/>
              </w:rPr>
            </w:pPr>
            <w:hyperlink r:id="rId11" w:history="1">
              <w:r w:rsidR="009E48E9" w:rsidRPr="00885B0D">
                <w:rPr>
                  <w:rStyle w:val="Hyperlink"/>
                  <w:rFonts w:ascii="Arial" w:hAnsi="Arial" w:cs="Arial"/>
                </w:rPr>
                <w:t>cms@sabattlaw.com</w:t>
              </w:r>
            </w:hyperlink>
          </w:p>
          <w:p w:rsidR="009E48E9" w:rsidRDefault="009E48E9" w:rsidP="00E55EDC">
            <w:pPr>
              <w:rPr>
                <w:rFonts w:ascii="Arial" w:hAnsi="Arial" w:cs="Arial"/>
              </w:rPr>
            </w:pPr>
          </w:p>
          <w:p w:rsidR="009E48E9" w:rsidRDefault="009E48E9" w:rsidP="00E55EDC">
            <w:pPr>
              <w:rPr>
                <w:rFonts w:ascii="Arial" w:hAnsi="Arial" w:cs="Arial"/>
              </w:rPr>
            </w:pPr>
            <w:r>
              <w:rPr>
                <w:rFonts w:ascii="Arial" w:hAnsi="Arial" w:cs="Arial"/>
              </w:rPr>
              <w:t>Drew W. Hoyt</w:t>
            </w:r>
          </w:p>
          <w:p w:rsidR="009E48E9" w:rsidRDefault="009E48E9" w:rsidP="00E55EDC">
            <w:pPr>
              <w:rPr>
                <w:rFonts w:ascii="Arial" w:hAnsi="Arial" w:cs="Arial"/>
              </w:rPr>
            </w:pPr>
            <w:r>
              <w:rPr>
                <w:rFonts w:ascii="Arial" w:hAnsi="Arial" w:cs="Arial"/>
              </w:rPr>
              <w:t>Hoyt Porro LLP</w:t>
            </w:r>
          </w:p>
          <w:p w:rsidR="009E48E9" w:rsidRDefault="009E48E9" w:rsidP="00E55EDC">
            <w:pPr>
              <w:rPr>
                <w:rFonts w:ascii="Arial" w:hAnsi="Arial" w:cs="Arial"/>
              </w:rPr>
            </w:pPr>
            <w:r>
              <w:rPr>
                <w:rFonts w:ascii="Arial" w:hAnsi="Arial" w:cs="Arial"/>
              </w:rPr>
              <w:t>1600 Providence Highway</w:t>
            </w:r>
          </w:p>
          <w:p w:rsidR="009E48E9" w:rsidRDefault="009E48E9" w:rsidP="00E55EDC">
            <w:pPr>
              <w:rPr>
                <w:rFonts w:ascii="Arial" w:hAnsi="Arial" w:cs="Arial"/>
              </w:rPr>
            </w:pPr>
            <w:r>
              <w:rPr>
                <w:rFonts w:ascii="Arial" w:hAnsi="Arial" w:cs="Arial"/>
              </w:rPr>
              <w:t>Walpole, MA 02081</w:t>
            </w:r>
          </w:p>
          <w:p w:rsidR="009E48E9" w:rsidRDefault="00951FBC" w:rsidP="00E55EDC">
            <w:pPr>
              <w:rPr>
                <w:rFonts w:ascii="Arial" w:hAnsi="Arial" w:cs="Arial"/>
              </w:rPr>
            </w:pPr>
            <w:hyperlink r:id="rId12" w:history="1">
              <w:r w:rsidR="009E48E9" w:rsidRPr="00885B0D">
                <w:rPr>
                  <w:rStyle w:val="Hyperlink"/>
                  <w:rFonts w:ascii="Arial" w:hAnsi="Arial" w:cs="Arial"/>
                </w:rPr>
                <w:t>dhoyt@hoytporro.com</w:t>
              </w:r>
            </w:hyperlink>
          </w:p>
          <w:p w:rsidR="009E48E9" w:rsidRDefault="009E48E9" w:rsidP="00E55EDC">
            <w:pPr>
              <w:rPr>
                <w:rFonts w:ascii="Arial" w:hAnsi="Arial" w:cs="Arial"/>
              </w:rPr>
            </w:pPr>
          </w:p>
        </w:tc>
        <w:tc>
          <w:tcPr>
            <w:tcW w:w="4428" w:type="dxa"/>
          </w:tcPr>
          <w:p w:rsidR="009E48E9" w:rsidRDefault="009E48E9" w:rsidP="00E55EDC">
            <w:pPr>
              <w:rPr>
                <w:rFonts w:ascii="Arial" w:hAnsi="Arial" w:cs="Arial"/>
              </w:rPr>
            </w:pPr>
          </w:p>
          <w:p w:rsidR="009E48E9" w:rsidRDefault="009E48E9" w:rsidP="00E55EDC">
            <w:pPr>
              <w:rPr>
                <w:rFonts w:ascii="Arial" w:hAnsi="Arial" w:cs="Arial"/>
              </w:rPr>
            </w:pPr>
            <w:r>
              <w:rPr>
                <w:rFonts w:ascii="Arial" w:hAnsi="Arial" w:cs="Arial"/>
              </w:rPr>
              <w:t>APPLICANT</w:t>
            </w:r>
          </w:p>
          <w:p w:rsidR="009E48E9" w:rsidRDefault="009E48E9" w:rsidP="00E55EDC">
            <w:pPr>
              <w:rPr>
                <w:rFonts w:ascii="Arial" w:hAnsi="Arial" w:cs="Arial"/>
              </w:rPr>
            </w:pPr>
            <w:r>
              <w:rPr>
                <w:rFonts w:ascii="Arial" w:hAnsi="Arial" w:cs="Arial"/>
              </w:rPr>
              <w:t>Elizabeth Maher</w:t>
            </w:r>
          </w:p>
        </w:tc>
      </w:tr>
      <w:tr w:rsidR="009E48E9" w:rsidTr="00E55EDC">
        <w:tc>
          <w:tcPr>
            <w:tcW w:w="4428" w:type="dxa"/>
          </w:tcPr>
          <w:p w:rsidR="009E48E9" w:rsidRDefault="009E48E9" w:rsidP="00E55EDC">
            <w:pPr>
              <w:rPr>
                <w:rFonts w:ascii="Arial" w:hAnsi="Arial" w:cs="Arial"/>
              </w:rPr>
            </w:pPr>
            <w:r>
              <w:rPr>
                <w:rFonts w:ascii="Arial" w:hAnsi="Arial" w:cs="Arial"/>
              </w:rPr>
              <w:t>Joel E. Faller</w:t>
            </w:r>
          </w:p>
          <w:p w:rsidR="009E48E9" w:rsidRDefault="009E48E9" w:rsidP="00E55EDC">
            <w:pPr>
              <w:rPr>
                <w:rFonts w:ascii="Arial" w:hAnsi="Arial" w:cs="Arial"/>
              </w:rPr>
            </w:pPr>
            <w:r>
              <w:rPr>
                <w:rFonts w:ascii="Arial" w:hAnsi="Arial" w:cs="Arial"/>
              </w:rPr>
              <w:t>The McLaughlin Brothers, P.C.</w:t>
            </w:r>
          </w:p>
          <w:p w:rsidR="009E48E9" w:rsidRDefault="009E48E9" w:rsidP="00E55EDC">
            <w:pPr>
              <w:rPr>
                <w:rFonts w:ascii="Arial" w:hAnsi="Arial" w:cs="Arial"/>
              </w:rPr>
            </w:pPr>
            <w:r>
              <w:rPr>
                <w:rFonts w:ascii="Arial" w:hAnsi="Arial" w:cs="Arial"/>
              </w:rPr>
              <w:t>One Washington Mall, 16</w:t>
            </w:r>
            <w:r w:rsidRPr="00D21710">
              <w:rPr>
                <w:rFonts w:ascii="Arial" w:hAnsi="Arial" w:cs="Arial"/>
                <w:vertAlign w:val="superscript"/>
              </w:rPr>
              <w:t>th</w:t>
            </w:r>
            <w:r>
              <w:rPr>
                <w:rFonts w:ascii="Arial" w:hAnsi="Arial" w:cs="Arial"/>
              </w:rPr>
              <w:t xml:space="preserve"> Floor</w:t>
            </w:r>
          </w:p>
          <w:p w:rsidR="009E48E9" w:rsidRDefault="009E48E9" w:rsidP="00E55EDC">
            <w:pPr>
              <w:rPr>
                <w:rFonts w:ascii="Arial" w:hAnsi="Arial" w:cs="Arial"/>
              </w:rPr>
            </w:pPr>
            <w:r>
              <w:rPr>
                <w:rFonts w:ascii="Arial" w:hAnsi="Arial" w:cs="Arial"/>
              </w:rPr>
              <w:t>Boston, MA 02108</w:t>
            </w:r>
          </w:p>
          <w:p w:rsidR="009E48E9" w:rsidRDefault="00951FBC" w:rsidP="00E55EDC">
            <w:pPr>
              <w:rPr>
                <w:rFonts w:ascii="Arial" w:hAnsi="Arial" w:cs="Arial"/>
              </w:rPr>
            </w:pPr>
            <w:hyperlink r:id="rId13" w:history="1">
              <w:r w:rsidR="009E48E9" w:rsidRPr="00EE34C8">
                <w:rPr>
                  <w:rStyle w:val="Hyperlink"/>
                  <w:rFonts w:ascii="Arial" w:hAnsi="Arial" w:cs="Arial"/>
                </w:rPr>
                <w:t>lawyers@mclaughlinbrothers.com</w:t>
              </w:r>
            </w:hyperlink>
          </w:p>
          <w:p w:rsidR="009E48E9" w:rsidRDefault="009E48E9" w:rsidP="00E55EDC">
            <w:pPr>
              <w:rPr>
                <w:rFonts w:ascii="Arial" w:hAnsi="Arial" w:cs="Arial"/>
              </w:rPr>
            </w:pPr>
          </w:p>
        </w:tc>
        <w:tc>
          <w:tcPr>
            <w:tcW w:w="4428" w:type="dxa"/>
          </w:tcPr>
          <w:p w:rsidR="009E48E9" w:rsidRDefault="009E48E9" w:rsidP="00E55EDC">
            <w:pPr>
              <w:rPr>
                <w:rFonts w:ascii="Arial" w:hAnsi="Arial" w:cs="Arial"/>
              </w:rPr>
            </w:pPr>
            <w:r>
              <w:rPr>
                <w:rFonts w:ascii="Arial" w:hAnsi="Arial" w:cs="Arial"/>
              </w:rPr>
              <w:t>PETITIONER</w:t>
            </w:r>
          </w:p>
          <w:p w:rsidR="009E48E9" w:rsidRDefault="009E48E9" w:rsidP="00E55EDC">
            <w:pPr>
              <w:rPr>
                <w:rFonts w:ascii="Arial" w:hAnsi="Arial" w:cs="Arial"/>
              </w:rPr>
            </w:pPr>
            <w:r>
              <w:rPr>
                <w:rFonts w:ascii="Arial" w:hAnsi="Arial" w:cs="Arial"/>
              </w:rPr>
              <w:t>Charlene E. McLaughlin</w:t>
            </w:r>
          </w:p>
        </w:tc>
      </w:tr>
      <w:tr w:rsidR="009E48E9" w:rsidTr="00E55EDC">
        <w:tc>
          <w:tcPr>
            <w:tcW w:w="4428" w:type="dxa"/>
          </w:tcPr>
          <w:p w:rsidR="009E48E9" w:rsidRPr="006F2069" w:rsidRDefault="009E48E9" w:rsidP="00E55EDC">
            <w:pPr>
              <w:rPr>
                <w:rFonts w:ascii="Arial" w:hAnsi="Arial" w:cs="Arial"/>
              </w:rPr>
            </w:pPr>
            <w:r w:rsidRPr="006F2069">
              <w:rPr>
                <w:rFonts w:ascii="Arial" w:hAnsi="Arial" w:cs="Arial"/>
              </w:rPr>
              <w:t>John J. Goldrosen, Esq.</w:t>
            </w:r>
          </w:p>
          <w:p w:rsidR="009E48E9" w:rsidRPr="006F2069" w:rsidRDefault="009E48E9" w:rsidP="00E55EDC">
            <w:pPr>
              <w:rPr>
                <w:rFonts w:ascii="Arial" w:hAnsi="Arial" w:cs="Arial"/>
              </w:rPr>
            </w:pPr>
            <w:r w:rsidRPr="006F2069">
              <w:rPr>
                <w:rFonts w:ascii="Arial" w:hAnsi="Arial" w:cs="Arial"/>
              </w:rPr>
              <w:t>Kopelman and Paige, P.C.</w:t>
            </w:r>
          </w:p>
          <w:p w:rsidR="009E48E9" w:rsidRPr="006F2069" w:rsidRDefault="009E48E9" w:rsidP="00E55EDC">
            <w:pPr>
              <w:rPr>
                <w:rFonts w:ascii="Arial" w:hAnsi="Arial" w:cs="Arial"/>
              </w:rPr>
            </w:pPr>
            <w:r w:rsidRPr="006F2069">
              <w:rPr>
                <w:rFonts w:ascii="Arial" w:hAnsi="Arial" w:cs="Arial"/>
              </w:rPr>
              <w:t xml:space="preserve">101 Arch Street </w:t>
            </w:r>
          </w:p>
          <w:p w:rsidR="009E48E9" w:rsidRPr="006F2069" w:rsidRDefault="009E48E9" w:rsidP="00E55EDC">
            <w:pPr>
              <w:rPr>
                <w:rFonts w:ascii="Arial" w:hAnsi="Arial" w:cs="Arial"/>
              </w:rPr>
            </w:pPr>
            <w:r w:rsidRPr="006F2069">
              <w:rPr>
                <w:rFonts w:ascii="Arial" w:hAnsi="Arial" w:cs="Arial"/>
              </w:rPr>
              <w:t>12th floor</w:t>
            </w:r>
          </w:p>
          <w:p w:rsidR="009E48E9" w:rsidRDefault="009E48E9" w:rsidP="00E55EDC">
            <w:pPr>
              <w:rPr>
                <w:rFonts w:ascii="Arial" w:hAnsi="Arial" w:cs="Arial"/>
              </w:rPr>
            </w:pPr>
            <w:r w:rsidRPr="006F2069">
              <w:rPr>
                <w:rFonts w:ascii="Arial" w:hAnsi="Arial" w:cs="Arial"/>
              </w:rPr>
              <w:t>Boston, MA 02110</w:t>
            </w:r>
          </w:p>
          <w:p w:rsidR="009E48E9" w:rsidRDefault="00951FBC" w:rsidP="00E55EDC">
            <w:pPr>
              <w:rPr>
                <w:rFonts w:ascii="Arial" w:hAnsi="Arial" w:cs="Arial"/>
              </w:rPr>
            </w:pPr>
            <w:hyperlink r:id="rId14" w:history="1">
              <w:r w:rsidR="009E48E9" w:rsidRPr="00A921A2">
                <w:rPr>
                  <w:rStyle w:val="Hyperlink"/>
                  <w:rFonts w:ascii="Arial" w:hAnsi="Arial" w:cs="Arial"/>
                </w:rPr>
                <w:t>jgoldrosen@k-plaw.com</w:t>
              </w:r>
            </w:hyperlink>
          </w:p>
          <w:p w:rsidR="009E48E9" w:rsidRDefault="009E48E9" w:rsidP="00E55EDC">
            <w:pPr>
              <w:rPr>
                <w:rFonts w:ascii="Arial" w:hAnsi="Arial" w:cs="Arial"/>
              </w:rPr>
            </w:pPr>
          </w:p>
        </w:tc>
        <w:tc>
          <w:tcPr>
            <w:tcW w:w="4428" w:type="dxa"/>
          </w:tcPr>
          <w:p w:rsidR="009E48E9" w:rsidRDefault="009E48E9" w:rsidP="00E55EDC">
            <w:pPr>
              <w:rPr>
                <w:rFonts w:ascii="Arial" w:hAnsi="Arial" w:cs="Arial"/>
              </w:rPr>
            </w:pPr>
            <w:r>
              <w:rPr>
                <w:rFonts w:ascii="Arial" w:hAnsi="Arial" w:cs="Arial"/>
              </w:rPr>
              <w:t>INTERVENER</w:t>
            </w:r>
          </w:p>
          <w:p w:rsidR="009E48E9" w:rsidRDefault="009E48E9" w:rsidP="00E55EDC">
            <w:pPr>
              <w:rPr>
                <w:rFonts w:ascii="Arial" w:hAnsi="Arial" w:cs="Arial"/>
              </w:rPr>
            </w:pPr>
            <w:r>
              <w:rPr>
                <w:rFonts w:ascii="Arial" w:hAnsi="Arial" w:cs="Arial"/>
              </w:rPr>
              <w:t>Town of Harwich</w:t>
            </w:r>
          </w:p>
        </w:tc>
      </w:tr>
      <w:tr w:rsidR="009E48E9" w:rsidTr="00E55EDC">
        <w:tc>
          <w:tcPr>
            <w:tcW w:w="4428" w:type="dxa"/>
          </w:tcPr>
          <w:p w:rsidR="009E48E9" w:rsidRDefault="009E48E9" w:rsidP="00E55EDC">
            <w:pPr>
              <w:rPr>
                <w:rFonts w:ascii="Arial" w:hAnsi="Arial" w:cs="Arial"/>
              </w:rPr>
            </w:pPr>
            <w:r>
              <w:rPr>
                <w:rFonts w:ascii="Arial" w:hAnsi="Arial" w:cs="Arial"/>
              </w:rPr>
              <w:t>David Bragg</w:t>
            </w:r>
          </w:p>
          <w:p w:rsidR="009E48E9" w:rsidRDefault="009E48E9" w:rsidP="00E55EDC">
            <w:pPr>
              <w:rPr>
                <w:rFonts w:ascii="Arial" w:hAnsi="Arial" w:cs="Arial"/>
              </w:rPr>
            </w:pPr>
            <w:r>
              <w:rPr>
                <w:rFonts w:ascii="Arial" w:hAnsi="Arial" w:cs="Arial"/>
              </w:rPr>
              <w:t>Mass DEP Office of General Counsel</w:t>
            </w:r>
          </w:p>
          <w:p w:rsidR="009E48E9" w:rsidRDefault="009E48E9" w:rsidP="00E55EDC">
            <w:pPr>
              <w:rPr>
                <w:rFonts w:ascii="Arial" w:hAnsi="Arial" w:cs="Arial"/>
              </w:rPr>
            </w:pPr>
            <w:r>
              <w:rPr>
                <w:rFonts w:ascii="Arial" w:hAnsi="Arial" w:cs="Arial"/>
              </w:rPr>
              <w:t>One Winter Street</w:t>
            </w:r>
          </w:p>
          <w:p w:rsidR="009E48E9" w:rsidRDefault="009E48E9" w:rsidP="00E55EDC">
            <w:pPr>
              <w:rPr>
                <w:rFonts w:ascii="Arial" w:hAnsi="Arial" w:cs="Arial"/>
              </w:rPr>
            </w:pPr>
            <w:r>
              <w:rPr>
                <w:rFonts w:ascii="Arial" w:hAnsi="Arial" w:cs="Arial"/>
              </w:rPr>
              <w:t>Boston, MA 02108</w:t>
            </w:r>
          </w:p>
          <w:p w:rsidR="009E48E9" w:rsidRDefault="00951FBC" w:rsidP="00E55EDC">
            <w:pPr>
              <w:rPr>
                <w:rFonts w:ascii="Arial" w:hAnsi="Arial" w:cs="Arial"/>
              </w:rPr>
            </w:pPr>
            <w:hyperlink r:id="rId15" w:history="1">
              <w:r w:rsidR="009E48E9">
                <w:rPr>
                  <w:rStyle w:val="Hyperlink"/>
                  <w:rFonts w:ascii="Arial" w:hAnsi="Arial" w:cs="Arial"/>
                </w:rPr>
                <w:t>david.bragg@state.ma.us</w:t>
              </w:r>
            </w:hyperlink>
          </w:p>
          <w:p w:rsidR="009E48E9" w:rsidRDefault="009E48E9" w:rsidP="00E55EDC">
            <w:pPr>
              <w:rPr>
                <w:rFonts w:ascii="Arial" w:hAnsi="Arial" w:cs="Arial"/>
              </w:rPr>
            </w:pPr>
          </w:p>
        </w:tc>
        <w:tc>
          <w:tcPr>
            <w:tcW w:w="4428" w:type="dxa"/>
          </w:tcPr>
          <w:p w:rsidR="009E48E9" w:rsidRDefault="009E48E9" w:rsidP="00E55EDC">
            <w:pPr>
              <w:rPr>
                <w:rFonts w:ascii="Arial" w:hAnsi="Arial" w:cs="Arial"/>
              </w:rPr>
            </w:pPr>
            <w:r>
              <w:rPr>
                <w:rFonts w:ascii="Arial" w:hAnsi="Arial" w:cs="Arial"/>
              </w:rPr>
              <w:t>DEPARTMENT</w:t>
            </w:r>
          </w:p>
          <w:p w:rsidR="009E48E9" w:rsidRDefault="009E48E9" w:rsidP="00E55EDC">
            <w:pPr>
              <w:rPr>
                <w:rFonts w:ascii="Arial" w:hAnsi="Arial" w:cs="Arial"/>
              </w:rPr>
            </w:pPr>
          </w:p>
          <w:p w:rsidR="009E48E9" w:rsidRDefault="009E48E9" w:rsidP="00E55EDC">
            <w:pPr>
              <w:rPr>
                <w:rFonts w:ascii="Arial" w:hAnsi="Arial" w:cs="Arial"/>
              </w:rPr>
            </w:pPr>
          </w:p>
          <w:p w:rsidR="009E48E9" w:rsidRDefault="009E48E9" w:rsidP="00E55EDC">
            <w:pPr>
              <w:rPr>
                <w:rFonts w:ascii="Arial" w:hAnsi="Arial" w:cs="Arial"/>
              </w:rPr>
            </w:pPr>
          </w:p>
          <w:p w:rsidR="009E48E9" w:rsidRDefault="009E48E9" w:rsidP="00E55EDC">
            <w:pPr>
              <w:rPr>
                <w:rFonts w:ascii="Arial" w:hAnsi="Arial" w:cs="Arial"/>
              </w:rPr>
            </w:pPr>
          </w:p>
          <w:p w:rsidR="009E48E9" w:rsidRDefault="009E48E9" w:rsidP="00E55EDC">
            <w:pPr>
              <w:rPr>
                <w:rFonts w:ascii="Arial" w:hAnsi="Arial" w:cs="Arial"/>
              </w:rPr>
            </w:pPr>
          </w:p>
        </w:tc>
      </w:tr>
      <w:tr w:rsidR="009E48E9" w:rsidTr="00E55EDC">
        <w:tc>
          <w:tcPr>
            <w:tcW w:w="4428" w:type="dxa"/>
          </w:tcPr>
          <w:p w:rsidR="009E48E9" w:rsidRDefault="009E48E9" w:rsidP="00E55EDC">
            <w:pPr>
              <w:rPr>
                <w:rFonts w:ascii="Arial" w:hAnsi="Arial" w:cs="Arial"/>
              </w:rPr>
            </w:pPr>
            <w:r>
              <w:rPr>
                <w:rFonts w:ascii="Arial" w:hAnsi="Arial" w:cs="Arial"/>
              </w:rPr>
              <w:t>David Hill</w:t>
            </w:r>
          </w:p>
          <w:p w:rsidR="009E48E9" w:rsidRDefault="009E48E9" w:rsidP="00E55EDC">
            <w:pPr>
              <w:rPr>
                <w:rFonts w:ascii="Arial" w:hAnsi="Arial" w:cs="Arial"/>
              </w:rPr>
            </w:pPr>
            <w:r>
              <w:rPr>
                <w:rFonts w:ascii="Arial" w:hAnsi="Arial" w:cs="Arial"/>
              </w:rPr>
              <w:t>MassDEP – Southeast Regional Office</w:t>
            </w:r>
          </w:p>
          <w:p w:rsidR="009E48E9" w:rsidRDefault="009E48E9" w:rsidP="00E55EDC">
            <w:pPr>
              <w:rPr>
                <w:rFonts w:ascii="Arial" w:hAnsi="Arial" w:cs="Arial"/>
              </w:rPr>
            </w:pPr>
            <w:r>
              <w:rPr>
                <w:rFonts w:ascii="Arial" w:hAnsi="Arial" w:cs="Arial"/>
              </w:rPr>
              <w:t>20 Riverside Drive</w:t>
            </w:r>
          </w:p>
          <w:p w:rsidR="009E48E9" w:rsidRDefault="009E48E9" w:rsidP="00E55EDC">
            <w:pPr>
              <w:rPr>
                <w:rFonts w:ascii="Arial" w:hAnsi="Arial" w:cs="Arial"/>
              </w:rPr>
            </w:pPr>
            <w:r>
              <w:rPr>
                <w:rFonts w:ascii="Arial" w:hAnsi="Arial" w:cs="Arial"/>
              </w:rPr>
              <w:t>Lakeville, MA 02347</w:t>
            </w:r>
          </w:p>
          <w:p w:rsidR="009E48E9" w:rsidRDefault="00951FBC" w:rsidP="00E55EDC">
            <w:pPr>
              <w:rPr>
                <w:rFonts w:ascii="Arial" w:hAnsi="Arial" w:cs="Arial"/>
              </w:rPr>
            </w:pPr>
            <w:hyperlink r:id="rId16" w:history="1">
              <w:r w:rsidR="009E48E9" w:rsidRPr="00EE34C8">
                <w:rPr>
                  <w:rStyle w:val="Hyperlink"/>
                  <w:rFonts w:ascii="Arial" w:hAnsi="Arial" w:cs="Arial"/>
                </w:rPr>
                <w:t>David.hill@state.ma.us</w:t>
              </w:r>
            </w:hyperlink>
          </w:p>
          <w:p w:rsidR="009E48E9" w:rsidRDefault="009E48E9" w:rsidP="00E55EDC">
            <w:pPr>
              <w:rPr>
                <w:rFonts w:ascii="Arial" w:hAnsi="Arial" w:cs="Arial"/>
              </w:rPr>
            </w:pPr>
          </w:p>
        </w:tc>
        <w:tc>
          <w:tcPr>
            <w:tcW w:w="4428" w:type="dxa"/>
          </w:tcPr>
          <w:p w:rsidR="009E48E9" w:rsidRDefault="009E48E9" w:rsidP="00E55EDC">
            <w:pPr>
              <w:rPr>
                <w:rFonts w:ascii="Arial" w:hAnsi="Arial" w:cs="Arial"/>
              </w:rPr>
            </w:pPr>
            <w:r>
              <w:rPr>
                <w:rFonts w:ascii="Arial" w:hAnsi="Arial" w:cs="Arial"/>
              </w:rPr>
              <w:t>ANALYST</w:t>
            </w:r>
          </w:p>
        </w:tc>
      </w:tr>
      <w:tr w:rsidR="009E48E9" w:rsidTr="00E55EDC">
        <w:tc>
          <w:tcPr>
            <w:tcW w:w="4428" w:type="dxa"/>
          </w:tcPr>
          <w:p w:rsidR="009E48E9" w:rsidRDefault="009E48E9" w:rsidP="00E55EDC">
            <w:pPr>
              <w:rPr>
                <w:rFonts w:ascii="Arial" w:hAnsi="Arial" w:cs="Arial"/>
              </w:rPr>
            </w:pPr>
            <w:r w:rsidRPr="00296783">
              <w:rPr>
                <w:rFonts w:ascii="Arial" w:hAnsi="Arial" w:cs="Arial"/>
              </w:rPr>
              <w:t xml:space="preserve">Date: </w:t>
            </w:r>
            <w:r w:rsidR="00A43B49">
              <w:rPr>
                <w:rFonts w:ascii="Arial" w:hAnsi="Arial" w:cs="Arial"/>
              </w:rPr>
              <w:t>December 21</w:t>
            </w:r>
            <w:r w:rsidR="00923D9F">
              <w:rPr>
                <w:rFonts w:ascii="Arial" w:hAnsi="Arial" w:cs="Arial"/>
              </w:rPr>
              <w:t>, 2015</w:t>
            </w:r>
          </w:p>
        </w:tc>
        <w:tc>
          <w:tcPr>
            <w:tcW w:w="4428" w:type="dxa"/>
          </w:tcPr>
          <w:p w:rsidR="009E48E9" w:rsidRDefault="009E48E9" w:rsidP="00E55EDC">
            <w:pPr>
              <w:rPr>
                <w:rFonts w:ascii="Arial" w:hAnsi="Arial" w:cs="Arial"/>
              </w:rPr>
            </w:pPr>
          </w:p>
        </w:tc>
      </w:tr>
    </w:tbl>
    <w:p w:rsidR="00331570" w:rsidRPr="00E7475E" w:rsidRDefault="00331570" w:rsidP="003D201A">
      <w:pPr>
        <w:pStyle w:val="BodyText"/>
        <w:spacing w:line="480" w:lineRule="auto"/>
        <w:rPr>
          <w:szCs w:val="24"/>
        </w:rPr>
      </w:pPr>
    </w:p>
    <w:sectPr w:rsidR="00331570" w:rsidRPr="00E7475E" w:rsidSect="00C83644">
      <w:footerReference w:type="default" r:id="rId17"/>
      <w:footerReference w:type="first" r:id="rId18"/>
      <w:pgSz w:w="12240" w:h="15840" w:code="1"/>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B98" w:rsidRDefault="00584B98" w:rsidP="00F3335A">
      <w:r>
        <w:separator/>
      </w:r>
    </w:p>
  </w:endnote>
  <w:endnote w:type="continuationSeparator" w:id="0">
    <w:p w:rsidR="00584B98" w:rsidRDefault="00584B98" w:rsidP="00F33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00"/>
    <w:family w:val="auto"/>
    <w:notTrueType/>
    <w:pitch w:val="default"/>
    <w:sig w:usb0="0395B55B" w:usb1="0000014C" w:usb2="0395B55C" w:usb3="308FE4E5" w:csb0="00000001" w:csb1="308FE507"/>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98" w:rsidRDefault="00584B98" w:rsidP="00C16420">
    <w:pPr>
      <w:pStyle w:val="Footer"/>
      <w:rPr>
        <w:color w:val="FF0000"/>
        <w:u w:val="single"/>
      </w:rPr>
    </w:pPr>
  </w:p>
  <w:p w:rsidR="00584B98" w:rsidRDefault="00584B98" w:rsidP="00C16420">
    <w:pPr>
      <w:pStyle w:val="Footer"/>
      <w:rPr>
        <w:color w:val="FF0000"/>
      </w:rPr>
    </w:pPr>
    <w:r w:rsidRPr="00864D65">
      <w:rPr>
        <w:color w:val="FF0000"/>
        <w:u w:val="single"/>
      </w:rPr>
      <w:t xml:space="preserve">Matter of </w:t>
    </w:r>
    <w:r>
      <w:rPr>
        <w:color w:val="FF0000"/>
        <w:u w:val="single"/>
      </w:rPr>
      <w:t>Maher</w:t>
    </w:r>
    <w:r>
      <w:rPr>
        <w:color w:val="FF0000"/>
      </w:rPr>
      <w:t>, Docket No. 2014-018</w:t>
    </w:r>
  </w:p>
  <w:p w:rsidR="00584B98" w:rsidRDefault="00584B98" w:rsidP="00C16420">
    <w:pPr>
      <w:pStyle w:val="Footer"/>
    </w:pPr>
    <w:r>
      <w:t>Recommended Final Decision</w:t>
    </w:r>
  </w:p>
  <w:p w:rsidR="00584B98" w:rsidRDefault="00584B98" w:rsidP="00C16420">
    <w:pPr>
      <w:pStyle w:val="Footer"/>
      <w:rPr>
        <w:rStyle w:val="PageNumber"/>
      </w:rPr>
    </w:pPr>
    <w:r>
      <w:rPr>
        <w:rStyle w:val="PageNumber"/>
      </w:rPr>
      <w:t xml:space="preserve">Page </w:t>
    </w:r>
    <w:r w:rsidR="00951FBC">
      <w:rPr>
        <w:rStyle w:val="PageNumber"/>
      </w:rPr>
      <w:fldChar w:fldCharType="begin"/>
    </w:r>
    <w:r>
      <w:rPr>
        <w:rStyle w:val="PageNumber"/>
      </w:rPr>
      <w:instrText xml:space="preserve"> PAGE </w:instrText>
    </w:r>
    <w:r w:rsidR="00951FBC">
      <w:rPr>
        <w:rStyle w:val="PageNumber"/>
      </w:rPr>
      <w:fldChar w:fldCharType="separate"/>
    </w:r>
    <w:r w:rsidR="00CD52D9">
      <w:rPr>
        <w:rStyle w:val="PageNumber"/>
        <w:noProof/>
      </w:rPr>
      <w:t>18</w:t>
    </w:r>
    <w:r w:rsidR="00951FBC">
      <w:rPr>
        <w:rStyle w:val="PageNumber"/>
      </w:rPr>
      <w:fldChar w:fldCharType="end"/>
    </w:r>
    <w:r>
      <w:rPr>
        <w:rStyle w:val="PageNumber"/>
      </w:rPr>
      <w:t xml:space="preserve"> of </w:t>
    </w:r>
    <w:r w:rsidR="00951FBC">
      <w:rPr>
        <w:rStyle w:val="PageNumber"/>
      </w:rPr>
      <w:fldChar w:fldCharType="begin"/>
    </w:r>
    <w:r>
      <w:rPr>
        <w:rStyle w:val="PageNumber"/>
      </w:rPr>
      <w:instrText xml:space="preserve"> NUMPAGES </w:instrText>
    </w:r>
    <w:r w:rsidR="00951FBC">
      <w:rPr>
        <w:rStyle w:val="PageNumber"/>
      </w:rPr>
      <w:fldChar w:fldCharType="separate"/>
    </w:r>
    <w:r w:rsidR="00CD52D9">
      <w:rPr>
        <w:rStyle w:val="PageNumber"/>
        <w:noProof/>
      </w:rPr>
      <w:t>18</w:t>
    </w:r>
    <w:r w:rsidR="00951FBC">
      <w:rPr>
        <w:rStyle w:val="PageNumber"/>
      </w:rPr>
      <w:fldChar w:fldCharType="end"/>
    </w:r>
  </w:p>
  <w:p w:rsidR="00584B98" w:rsidRPr="00C83644" w:rsidRDefault="00584B98" w:rsidP="00C836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jc w:val="center"/>
      <w:tblInd w:w="90" w:type="dxa"/>
      <w:tblLayout w:type="fixed"/>
      <w:tblLook w:val="0000"/>
    </w:tblPr>
    <w:tblGrid>
      <w:gridCol w:w="11520"/>
    </w:tblGrid>
    <w:tr w:rsidR="00584B98" w:rsidRPr="000C3209" w:rsidTr="002D091B">
      <w:trPr>
        <w:trHeight w:val="363"/>
        <w:jc w:val="center"/>
      </w:trPr>
      <w:tc>
        <w:tcPr>
          <w:tcW w:w="11520" w:type="dxa"/>
          <w:vAlign w:val="bottom"/>
        </w:tcPr>
        <w:p w:rsidR="00584B98" w:rsidRDefault="00584B98" w:rsidP="002D091B">
          <w:pPr>
            <w:ind w:left="72" w:right="162"/>
            <w:jc w:val="center"/>
            <w:rPr>
              <w:rFonts w:ascii="Arial" w:hAnsi="Arial"/>
              <w:b/>
              <w:color w:val="008000"/>
              <w:sz w:val="14"/>
            </w:rPr>
          </w:pPr>
          <w:r w:rsidRPr="000C3209">
            <w:rPr>
              <w:rFonts w:ascii="Arial" w:hAnsi="Arial"/>
              <w:b/>
              <w:color w:val="008000"/>
              <w:sz w:val="14"/>
            </w:rPr>
            <w:t>This information is available in alternate format. Call Michelle Waters-Ekanem,</w:t>
          </w:r>
          <w:r>
            <w:rPr>
              <w:rFonts w:ascii="Arial" w:hAnsi="Arial"/>
              <w:b/>
              <w:color w:val="008000"/>
              <w:sz w:val="14"/>
            </w:rPr>
            <w:t xml:space="preserve"> </w:t>
          </w:r>
          <w:r w:rsidRPr="000C3209">
            <w:rPr>
              <w:rFonts w:ascii="Arial" w:hAnsi="Arial"/>
              <w:b/>
              <w:color w:val="008000"/>
              <w:sz w:val="14"/>
            </w:rPr>
            <w:t>Diversity Director</w:t>
          </w:r>
          <w:r>
            <w:rPr>
              <w:rFonts w:ascii="Arial" w:hAnsi="Arial"/>
              <w:b/>
              <w:color w:val="008000"/>
              <w:sz w:val="14"/>
            </w:rPr>
            <w:t>,</w:t>
          </w:r>
          <w:r w:rsidRPr="000C3209">
            <w:rPr>
              <w:rFonts w:ascii="Arial" w:hAnsi="Arial"/>
              <w:b/>
              <w:color w:val="008000"/>
              <w:sz w:val="14"/>
            </w:rPr>
            <w:t xml:space="preserve"> at 617-292-5751. TDD# 1</w:t>
          </w:r>
          <w:r>
            <w:rPr>
              <w:rFonts w:ascii="Arial" w:hAnsi="Arial"/>
              <w:b/>
              <w:color w:val="008000"/>
              <w:sz w:val="14"/>
            </w:rPr>
            <w:t>-866-539-7622 or 1-617-574-6868</w:t>
          </w:r>
        </w:p>
        <w:p w:rsidR="00584B98" w:rsidRPr="000C3209" w:rsidRDefault="00584B98" w:rsidP="002D091B">
          <w:pPr>
            <w:ind w:left="-18" w:right="-252"/>
            <w:jc w:val="center"/>
            <w:rPr>
              <w:color w:val="008000"/>
            </w:rPr>
          </w:pPr>
          <w:r w:rsidRPr="000C3209">
            <w:rPr>
              <w:rFonts w:ascii="Arial" w:hAnsi="Arial"/>
              <w:color w:val="008000"/>
              <w:sz w:val="14"/>
            </w:rPr>
            <w:t>MassDEP Web</w:t>
          </w:r>
          <w:r>
            <w:rPr>
              <w:rFonts w:ascii="Arial" w:hAnsi="Arial"/>
              <w:color w:val="008000"/>
              <w:sz w:val="14"/>
            </w:rPr>
            <w:t>site</w:t>
          </w:r>
          <w:r w:rsidRPr="000C3209">
            <w:rPr>
              <w:rFonts w:ascii="Arial" w:hAnsi="Arial"/>
              <w:color w:val="008000"/>
              <w:sz w:val="14"/>
            </w:rPr>
            <w:t xml:space="preserve">: </w:t>
          </w:r>
          <w:r>
            <w:rPr>
              <w:rFonts w:ascii="Arial" w:hAnsi="Arial"/>
              <w:color w:val="008000"/>
              <w:sz w:val="14"/>
            </w:rPr>
            <w:t>www.</w:t>
          </w:r>
          <w:r w:rsidRPr="000C3209">
            <w:rPr>
              <w:rFonts w:ascii="Arial" w:hAnsi="Arial"/>
              <w:color w:val="008000"/>
              <w:sz w:val="14"/>
            </w:rPr>
            <w:t>mass.gov/dep</w:t>
          </w:r>
        </w:p>
      </w:tc>
    </w:tr>
    <w:tr w:rsidR="00584B98" w:rsidRPr="000C3209" w:rsidTr="002D091B">
      <w:trPr>
        <w:trHeight w:val="296"/>
        <w:jc w:val="center"/>
      </w:trPr>
      <w:tc>
        <w:tcPr>
          <w:tcW w:w="11520" w:type="dxa"/>
          <w:vAlign w:val="bottom"/>
        </w:tcPr>
        <w:p w:rsidR="00584B98" w:rsidRPr="000C3209" w:rsidRDefault="00584B98" w:rsidP="002D091B">
          <w:pPr>
            <w:ind w:left="-18"/>
            <w:jc w:val="center"/>
            <w:rPr>
              <w:color w:val="008000"/>
            </w:rPr>
          </w:pPr>
          <w:r w:rsidRPr="000C3209">
            <w:rPr>
              <w:rFonts w:ascii="Arial" w:hAnsi="Arial"/>
              <w:color w:val="008000"/>
              <w:position w:val="8"/>
              <w:sz w:val="14"/>
            </w:rPr>
            <w:t>Printed on Recycled Paper</w:t>
          </w:r>
        </w:p>
      </w:tc>
    </w:tr>
  </w:tbl>
  <w:p w:rsidR="00584B98" w:rsidRDefault="00584B98" w:rsidP="00C83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B98" w:rsidRDefault="00584B98" w:rsidP="00F3335A">
      <w:r>
        <w:separator/>
      </w:r>
    </w:p>
  </w:footnote>
  <w:footnote w:type="continuationSeparator" w:id="0">
    <w:p w:rsidR="00584B98" w:rsidRDefault="00584B98" w:rsidP="00F3335A">
      <w:r>
        <w:continuationSeparator/>
      </w:r>
    </w:p>
  </w:footnote>
  <w:footnote w:id="1">
    <w:p w:rsidR="00584B98" w:rsidRDefault="00584B98">
      <w:pPr>
        <w:pStyle w:val="FootnoteText"/>
      </w:pPr>
      <w:r>
        <w:rPr>
          <w:rStyle w:val="FootnoteReference"/>
        </w:rPr>
        <w:footnoteRef/>
      </w:r>
      <w:r>
        <w:t xml:space="preserve"> </w:t>
      </w:r>
      <w:r w:rsidRPr="00782AB3">
        <w:t xml:space="preserve">The Presiding Officer who presided over the Hearing participated in the Commonwealth’s 2015 Early Retirement Incentive Program, and consequently retired from State service on July 1, 2015.  She was unable to issue a Recommended Final Decision before her departure.  The Chief Presiding Officer assigned this appeal to me to resolve.  The parties jointly requested that I proceed with issuing a Tentative Decision in the case pursuant to </w:t>
      </w:r>
      <w:r w:rsidRPr="00DB5082">
        <w:t>310 CMR 1.01(14)(a) and (c).  Under 310 CMR 1.01(14)(a) Tentative Decisions may be issued under certain circumstances, including when “the</w:t>
      </w:r>
      <w:r w:rsidRPr="00782AB3">
        <w:t xml:space="preserve"> </w:t>
      </w:r>
      <w:r w:rsidRPr="00DB5082">
        <w:t>hearing was conducted by a Presiding Officer other than the one who will write the</w:t>
      </w:r>
      <w:r w:rsidRPr="00782AB3">
        <w:t xml:space="preserve"> </w:t>
      </w:r>
      <w:r w:rsidRPr="00DB5082">
        <w:t>recommended decision and the</w:t>
      </w:r>
      <w:r w:rsidRPr="00782AB3">
        <w:t xml:space="preserve"> </w:t>
      </w:r>
      <w:r w:rsidRPr="00DB5082">
        <w:t>recommended decision will be adverse to a party other than</w:t>
      </w:r>
      <w:r w:rsidRPr="00782AB3">
        <w:t xml:space="preserve"> </w:t>
      </w:r>
      <w:r w:rsidRPr="00DB5082">
        <w:t>the Department</w:t>
      </w:r>
      <w:r w:rsidRPr="00782AB3">
        <w:t>.”</w:t>
      </w:r>
      <w:r>
        <w:t xml:space="preserve">  Under 310 CMR 1.01(14)(c), “a tentative decision shall be made by a substitute Presiding Officer upon the record [in the appeal]” when the Presiding Officer who had adjudicatory responsibility for the appeal is unavailable.  Following the issuance of a Tentative Decision, “[t]he </w:t>
      </w:r>
      <w:r w:rsidRPr="00DB5082">
        <w:rPr>
          <w:rFonts w:ascii="TimesNewRoman" w:hAnsi="TimesNewRoman" w:cs="TimesNewRoman"/>
        </w:rPr>
        <w:t>parties</w:t>
      </w:r>
      <w:r>
        <w:rPr>
          <w:rFonts w:ascii="TimesNewRoman" w:hAnsi="TimesNewRoman" w:cs="TimesNewRoman"/>
        </w:rPr>
        <w:t xml:space="preserve"> . . . </w:t>
      </w:r>
      <w:r w:rsidRPr="00DB5082">
        <w:rPr>
          <w:rFonts w:ascii="TimesNewRoman" w:hAnsi="TimesNewRoman" w:cs="TimesNewRoman"/>
        </w:rPr>
        <w:t>have seven days from the receipt of the tentative decision to file objections to the</w:t>
      </w:r>
      <w:r>
        <w:rPr>
          <w:rFonts w:ascii="TimesNewRoman" w:hAnsi="TimesNewRoman" w:cs="TimesNewRoman"/>
        </w:rPr>
        <w:t xml:space="preserve"> </w:t>
      </w:r>
      <w:r w:rsidRPr="00DB5082">
        <w:rPr>
          <w:rFonts w:ascii="TimesNewRoman" w:hAnsi="TimesNewRoman" w:cs="TimesNewRoman"/>
        </w:rPr>
        <w:t xml:space="preserve">decision and supporting arguments with the </w:t>
      </w:r>
      <w:r>
        <w:rPr>
          <w:rFonts w:ascii="TimesNewRoman" w:hAnsi="TimesNewRoman" w:cs="TimesNewRoman"/>
        </w:rPr>
        <w:t>[Office of Appeals and Dispute Resolution]</w:t>
      </w:r>
      <w:r w:rsidRPr="00DB5082">
        <w:rPr>
          <w:rFonts w:ascii="TimesNewRoman" w:hAnsi="TimesNewRoman" w:cs="TimesNewRoman"/>
        </w:rPr>
        <w:t>.</w:t>
      </w:r>
      <w:r>
        <w:rPr>
          <w:rFonts w:ascii="TimesNewRoman" w:hAnsi="TimesNewRoman" w:cs="TimesNewRoman"/>
        </w:rPr>
        <w:t>”  310 CMR 1.01(14)(a).</w:t>
      </w:r>
    </w:p>
  </w:footnote>
  <w:footnote w:id="2">
    <w:p w:rsidR="00584B98" w:rsidRPr="00B41D0F" w:rsidRDefault="00584B98">
      <w:pPr>
        <w:pStyle w:val="FootnoteText"/>
      </w:pPr>
      <w:r w:rsidRPr="00B41D0F">
        <w:rPr>
          <w:rStyle w:val="FootnoteReference"/>
        </w:rPr>
        <w:footnoteRef/>
      </w:r>
      <w:r w:rsidRPr="00B41D0F">
        <w:t xml:space="preserve"> “PFT” refers to pre-filed written testimony.</w:t>
      </w:r>
    </w:p>
  </w:footnote>
  <w:footnote w:id="3">
    <w:p w:rsidR="00584B98" w:rsidRDefault="00584B98">
      <w:pPr>
        <w:pStyle w:val="FootnoteText"/>
      </w:pPr>
      <w:r>
        <w:rPr>
          <w:rStyle w:val="FootnoteReference"/>
        </w:rPr>
        <w:footnoteRef/>
      </w:r>
      <w:r>
        <w:rPr>
          <w:szCs w:val="24"/>
        </w:rPr>
        <w:t xml:space="preserve">  When it approved it at that time the dock was to be 80 feet long and 76 feet from the Town pier.  It was also stipulated that the Maher boat was to be parked on the north side of their pier.  </w:t>
      </w:r>
    </w:p>
  </w:footnote>
  <w:footnote w:id="4">
    <w:p w:rsidR="00584B98" w:rsidRPr="00856580" w:rsidRDefault="00584B98" w:rsidP="00C36098">
      <w:pPr>
        <w:contextualSpacing/>
        <w:rPr>
          <w:color w:val="333333"/>
          <w:shd w:val="clear" w:color="auto" w:fill="FFFFFF"/>
        </w:rPr>
      </w:pPr>
      <w:r w:rsidRPr="00856580">
        <w:rPr>
          <w:rStyle w:val="FootnoteReference"/>
        </w:rPr>
        <w:footnoteRef/>
      </w:r>
      <w:r w:rsidRPr="00856580">
        <w:t xml:space="preserve"> The prior Presiding Officer in the case had designated an additional issue to be adjudicated under </w:t>
      </w:r>
      <w:r w:rsidRPr="00856580">
        <w:rPr>
          <w:shd w:val="clear" w:color="auto" w:fill="FFFFFF"/>
        </w:rPr>
        <w:t xml:space="preserve">310 CMR 9.35(2)(a)(1)(j).  </w:t>
      </w:r>
      <w:r w:rsidRPr="00856580">
        <w:rPr>
          <w:color w:val="333333"/>
          <w:shd w:val="clear" w:color="auto" w:fill="FFFFFF"/>
        </w:rPr>
        <w:t>Under that provision, a project shall not significantly interfere with public right</w:t>
      </w:r>
      <w:r>
        <w:rPr>
          <w:color w:val="333333"/>
          <w:shd w:val="clear" w:color="auto" w:fill="FFFFFF"/>
        </w:rPr>
        <w:t xml:space="preserve">s of navigation which exist in </w:t>
      </w:r>
      <w:r w:rsidRPr="00856580">
        <w:rPr>
          <w:color w:val="333333"/>
          <w:shd w:val="clear" w:color="auto" w:fill="FFFFFF"/>
        </w:rPr>
        <w:t xml:space="preserve">all waterways.  Such rights include the right to conduct any activity which entails the movement of a “boat, vessel, float, or other watercraft; the right to conduct any activity in involving the transport or the loading/unloading of persons or objects to or from any such watercraft, and the natural derivatives thereof.”  Also, a project shall not impair in any “substantial manner the ability of the public to pass freely upon the waterways and to engage in transport or loading/unloading activities.”  310 CMR 9.35(2)(a)(1)(j).  There was, however, almost no evidence specifically addressed to this provision and issue.  Generally, the only probative evidence was from Hill and DeCesare, who both testified that the provision would not be violated by the proposed pier.  Given that and given that the standard is materially similar—whether there is significant interference—I find that the proposed pier will not violate 310 CMR 9.35(2)(a)(1)(j) and I focus this decision on whether there was significant interference under 310 CMR 9.36(2).   </w:t>
      </w:r>
    </w:p>
    <w:p w:rsidR="00584B98" w:rsidRDefault="00584B9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CAE"/>
    <w:multiLevelType w:val="hybridMultilevel"/>
    <w:tmpl w:val="0AB061CC"/>
    <w:lvl w:ilvl="0" w:tplc="DBB8C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E43CA"/>
    <w:multiLevelType w:val="hybridMultilevel"/>
    <w:tmpl w:val="0A6AD11E"/>
    <w:lvl w:ilvl="0" w:tplc="1BEA51C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614F8C"/>
    <w:multiLevelType w:val="hybridMultilevel"/>
    <w:tmpl w:val="615A25F4"/>
    <w:lvl w:ilvl="0" w:tplc="9B7A0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D835F4"/>
    <w:multiLevelType w:val="hybridMultilevel"/>
    <w:tmpl w:val="AEF6C016"/>
    <w:lvl w:ilvl="0" w:tplc="97B0B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975A96"/>
    <w:multiLevelType w:val="hybridMultilevel"/>
    <w:tmpl w:val="FE0CC836"/>
    <w:lvl w:ilvl="0" w:tplc="2694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E35E82"/>
    <w:multiLevelType w:val="hybridMultilevel"/>
    <w:tmpl w:val="51E07ACC"/>
    <w:lvl w:ilvl="0" w:tplc="90BC1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B84393"/>
    <w:multiLevelType w:val="hybridMultilevel"/>
    <w:tmpl w:val="56324F20"/>
    <w:lvl w:ilvl="0" w:tplc="0E0C2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4A1601"/>
    <w:multiLevelType w:val="hybridMultilevel"/>
    <w:tmpl w:val="D46816C8"/>
    <w:lvl w:ilvl="0" w:tplc="57EC6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F37142"/>
    <w:multiLevelType w:val="hybridMultilevel"/>
    <w:tmpl w:val="1138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E56DD"/>
    <w:multiLevelType w:val="hybridMultilevel"/>
    <w:tmpl w:val="D1C87C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CF040E"/>
    <w:multiLevelType w:val="hybridMultilevel"/>
    <w:tmpl w:val="BD0C2F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8E57F6A"/>
    <w:multiLevelType w:val="hybridMultilevel"/>
    <w:tmpl w:val="E26A8D28"/>
    <w:lvl w:ilvl="0" w:tplc="6D889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886C60"/>
    <w:multiLevelType w:val="hybridMultilevel"/>
    <w:tmpl w:val="540A6B46"/>
    <w:lvl w:ilvl="0" w:tplc="588A33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B11452"/>
    <w:multiLevelType w:val="hybridMultilevel"/>
    <w:tmpl w:val="97EEFBE0"/>
    <w:lvl w:ilvl="0" w:tplc="D940EC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1FF0BC1"/>
    <w:multiLevelType w:val="hybridMultilevel"/>
    <w:tmpl w:val="92D0E002"/>
    <w:lvl w:ilvl="0" w:tplc="F49CB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B82587"/>
    <w:multiLevelType w:val="hybridMultilevel"/>
    <w:tmpl w:val="0B145CE4"/>
    <w:lvl w:ilvl="0" w:tplc="0409000F">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nsid w:val="7DAA308A"/>
    <w:multiLevelType w:val="hybridMultilevel"/>
    <w:tmpl w:val="42C01960"/>
    <w:lvl w:ilvl="0" w:tplc="87902C92">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DBD14CE"/>
    <w:multiLevelType w:val="hybridMultilevel"/>
    <w:tmpl w:val="4C62E16C"/>
    <w:lvl w:ilvl="0" w:tplc="91062A12">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16"/>
  </w:num>
  <w:num w:numId="2">
    <w:abstractNumId w:val="2"/>
  </w:num>
  <w:num w:numId="3">
    <w:abstractNumId w:val="1"/>
  </w:num>
  <w:num w:numId="4">
    <w:abstractNumId w:val="14"/>
  </w:num>
  <w:num w:numId="5">
    <w:abstractNumId w:val="0"/>
  </w:num>
  <w:num w:numId="6">
    <w:abstractNumId w:val="13"/>
  </w:num>
  <w:num w:numId="7">
    <w:abstractNumId w:val="4"/>
  </w:num>
  <w:num w:numId="8">
    <w:abstractNumId w:val="3"/>
  </w:num>
  <w:num w:numId="9">
    <w:abstractNumId w:val="5"/>
  </w:num>
  <w:num w:numId="10">
    <w:abstractNumId w:val="17"/>
  </w:num>
  <w:num w:numId="11">
    <w:abstractNumId w:val="15"/>
  </w:num>
  <w:num w:numId="12">
    <w:abstractNumId w:val="8"/>
  </w:num>
  <w:num w:numId="13">
    <w:abstractNumId w:val="7"/>
  </w:num>
  <w:num w:numId="14">
    <w:abstractNumId w:val="10"/>
  </w:num>
  <w:num w:numId="15">
    <w:abstractNumId w:val="6"/>
  </w:num>
  <w:num w:numId="16">
    <w:abstractNumId w:val="11"/>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03B7F"/>
    <w:rsid w:val="0000116E"/>
    <w:rsid w:val="00002A67"/>
    <w:rsid w:val="00004D8A"/>
    <w:rsid w:val="00006547"/>
    <w:rsid w:val="0000713D"/>
    <w:rsid w:val="00011FA0"/>
    <w:rsid w:val="000134F9"/>
    <w:rsid w:val="000170F0"/>
    <w:rsid w:val="00021824"/>
    <w:rsid w:val="000233BF"/>
    <w:rsid w:val="00026356"/>
    <w:rsid w:val="00027E92"/>
    <w:rsid w:val="00034E11"/>
    <w:rsid w:val="000378BF"/>
    <w:rsid w:val="00045AEA"/>
    <w:rsid w:val="00046AC2"/>
    <w:rsid w:val="00047A23"/>
    <w:rsid w:val="00047AA2"/>
    <w:rsid w:val="00052475"/>
    <w:rsid w:val="00053D0A"/>
    <w:rsid w:val="00053F75"/>
    <w:rsid w:val="00054058"/>
    <w:rsid w:val="0005582E"/>
    <w:rsid w:val="000579BC"/>
    <w:rsid w:val="00060528"/>
    <w:rsid w:val="00063B48"/>
    <w:rsid w:val="0006464A"/>
    <w:rsid w:val="00066C36"/>
    <w:rsid w:val="00067314"/>
    <w:rsid w:val="0006776E"/>
    <w:rsid w:val="000701EB"/>
    <w:rsid w:val="000710A5"/>
    <w:rsid w:val="000710E4"/>
    <w:rsid w:val="00071E34"/>
    <w:rsid w:val="00073FE3"/>
    <w:rsid w:val="000763E0"/>
    <w:rsid w:val="00080BA8"/>
    <w:rsid w:val="00081377"/>
    <w:rsid w:val="000817A5"/>
    <w:rsid w:val="00081A19"/>
    <w:rsid w:val="00082999"/>
    <w:rsid w:val="000845C3"/>
    <w:rsid w:val="00090A78"/>
    <w:rsid w:val="00090D7B"/>
    <w:rsid w:val="000933AB"/>
    <w:rsid w:val="000947DB"/>
    <w:rsid w:val="00095D0A"/>
    <w:rsid w:val="00097862"/>
    <w:rsid w:val="000A4F46"/>
    <w:rsid w:val="000B7461"/>
    <w:rsid w:val="000B7A0B"/>
    <w:rsid w:val="000C066D"/>
    <w:rsid w:val="000C1DD5"/>
    <w:rsid w:val="000C1E47"/>
    <w:rsid w:val="000C6BBF"/>
    <w:rsid w:val="000C7CBD"/>
    <w:rsid w:val="000D3FFE"/>
    <w:rsid w:val="000D4C87"/>
    <w:rsid w:val="000E1398"/>
    <w:rsid w:val="000E19F0"/>
    <w:rsid w:val="000E54D5"/>
    <w:rsid w:val="000E5DC6"/>
    <w:rsid w:val="000E6151"/>
    <w:rsid w:val="000E6F17"/>
    <w:rsid w:val="000E7746"/>
    <w:rsid w:val="000F1A37"/>
    <w:rsid w:val="000F3092"/>
    <w:rsid w:val="00100B96"/>
    <w:rsid w:val="001052C9"/>
    <w:rsid w:val="00105C94"/>
    <w:rsid w:val="00114C98"/>
    <w:rsid w:val="00120097"/>
    <w:rsid w:val="001238CD"/>
    <w:rsid w:val="0012401B"/>
    <w:rsid w:val="001271C5"/>
    <w:rsid w:val="001316BC"/>
    <w:rsid w:val="001327A5"/>
    <w:rsid w:val="00133C4F"/>
    <w:rsid w:val="001351DF"/>
    <w:rsid w:val="00137089"/>
    <w:rsid w:val="00137968"/>
    <w:rsid w:val="00140B5C"/>
    <w:rsid w:val="00141FDA"/>
    <w:rsid w:val="00142219"/>
    <w:rsid w:val="00142FC7"/>
    <w:rsid w:val="00145F13"/>
    <w:rsid w:val="0014708A"/>
    <w:rsid w:val="001479E8"/>
    <w:rsid w:val="00150E64"/>
    <w:rsid w:val="00155732"/>
    <w:rsid w:val="00156DD1"/>
    <w:rsid w:val="00160695"/>
    <w:rsid w:val="0016198A"/>
    <w:rsid w:val="00162907"/>
    <w:rsid w:val="00163406"/>
    <w:rsid w:val="00165754"/>
    <w:rsid w:val="00165ABA"/>
    <w:rsid w:val="00166EBC"/>
    <w:rsid w:val="0017069F"/>
    <w:rsid w:val="00172A48"/>
    <w:rsid w:val="001838A8"/>
    <w:rsid w:val="00186F89"/>
    <w:rsid w:val="001923DE"/>
    <w:rsid w:val="00192DE6"/>
    <w:rsid w:val="001940D4"/>
    <w:rsid w:val="001960EC"/>
    <w:rsid w:val="001A0F66"/>
    <w:rsid w:val="001A43EC"/>
    <w:rsid w:val="001A4545"/>
    <w:rsid w:val="001A55BC"/>
    <w:rsid w:val="001A6431"/>
    <w:rsid w:val="001B057A"/>
    <w:rsid w:val="001B512E"/>
    <w:rsid w:val="001C0052"/>
    <w:rsid w:val="001C051D"/>
    <w:rsid w:val="001C3A2E"/>
    <w:rsid w:val="001C40B4"/>
    <w:rsid w:val="001C4B85"/>
    <w:rsid w:val="001C5F87"/>
    <w:rsid w:val="001C7601"/>
    <w:rsid w:val="001D27B6"/>
    <w:rsid w:val="001D2BCE"/>
    <w:rsid w:val="001D6E8F"/>
    <w:rsid w:val="001D7783"/>
    <w:rsid w:val="001D7A86"/>
    <w:rsid w:val="001E351A"/>
    <w:rsid w:val="001E53A2"/>
    <w:rsid w:val="001F16CA"/>
    <w:rsid w:val="00202E08"/>
    <w:rsid w:val="002035F5"/>
    <w:rsid w:val="00203C98"/>
    <w:rsid w:val="0020450D"/>
    <w:rsid w:val="00205408"/>
    <w:rsid w:val="00210162"/>
    <w:rsid w:val="00210E77"/>
    <w:rsid w:val="00211643"/>
    <w:rsid w:val="00215A5A"/>
    <w:rsid w:val="002200DF"/>
    <w:rsid w:val="00221072"/>
    <w:rsid w:val="002234C8"/>
    <w:rsid w:val="00227F73"/>
    <w:rsid w:val="002320BB"/>
    <w:rsid w:val="00234040"/>
    <w:rsid w:val="0023539C"/>
    <w:rsid w:val="002412D2"/>
    <w:rsid w:val="00241AFD"/>
    <w:rsid w:val="00243ED6"/>
    <w:rsid w:val="0024562D"/>
    <w:rsid w:val="0024748A"/>
    <w:rsid w:val="00251348"/>
    <w:rsid w:val="00252B29"/>
    <w:rsid w:val="00255DD5"/>
    <w:rsid w:val="0026151F"/>
    <w:rsid w:val="002629BC"/>
    <w:rsid w:val="00271348"/>
    <w:rsid w:val="00272224"/>
    <w:rsid w:val="00273190"/>
    <w:rsid w:val="00274E14"/>
    <w:rsid w:val="00275E09"/>
    <w:rsid w:val="00275E73"/>
    <w:rsid w:val="00276CEC"/>
    <w:rsid w:val="002770F3"/>
    <w:rsid w:val="00287811"/>
    <w:rsid w:val="00290389"/>
    <w:rsid w:val="002918BB"/>
    <w:rsid w:val="00291C88"/>
    <w:rsid w:val="00292C6A"/>
    <w:rsid w:val="0029304E"/>
    <w:rsid w:val="002955AA"/>
    <w:rsid w:val="00295770"/>
    <w:rsid w:val="0029696F"/>
    <w:rsid w:val="00296C94"/>
    <w:rsid w:val="002A4A98"/>
    <w:rsid w:val="002A5C41"/>
    <w:rsid w:val="002A623C"/>
    <w:rsid w:val="002A6912"/>
    <w:rsid w:val="002B0025"/>
    <w:rsid w:val="002B1112"/>
    <w:rsid w:val="002B3A8C"/>
    <w:rsid w:val="002B61CD"/>
    <w:rsid w:val="002C069B"/>
    <w:rsid w:val="002C1568"/>
    <w:rsid w:val="002C2C59"/>
    <w:rsid w:val="002C532B"/>
    <w:rsid w:val="002D091B"/>
    <w:rsid w:val="002D2377"/>
    <w:rsid w:val="002D2A53"/>
    <w:rsid w:val="002E1920"/>
    <w:rsid w:val="002F2659"/>
    <w:rsid w:val="002F3042"/>
    <w:rsid w:val="002F7BEC"/>
    <w:rsid w:val="00300F4E"/>
    <w:rsid w:val="00301EAA"/>
    <w:rsid w:val="0030333E"/>
    <w:rsid w:val="00310A8C"/>
    <w:rsid w:val="00315310"/>
    <w:rsid w:val="00315C6C"/>
    <w:rsid w:val="00315EC0"/>
    <w:rsid w:val="00315F51"/>
    <w:rsid w:val="00317F03"/>
    <w:rsid w:val="00320356"/>
    <w:rsid w:val="003249C3"/>
    <w:rsid w:val="00325C36"/>
    <w:rsid w:val="00325E58"/>
    <w:rsid w:val="0033096C"/>
    <w:rsid w:val="00330C87"/>
    <w:rsid w:val="00331570"/>
    <w:rsid w:val="00333BF7"/>
    <w:rsid w:val="00344217"/>
    <w:rsid w:val="00344409"/>
    <w:rsid w:val="00347282"/>
    <w:rsid w:val="00351D79"/>
    <w:rsid w:val="00352386"/>
    <w:rsid w:val="0035387E"/>
    <w:rsid w:val="003542CC"/>
    <w:rsid w:val="00356607"/>
    <w:rsid w:val="00357BBD"/>
    <w:rsid w:val="003614BC"/>
    <w:rsid w:val="00361F42"/>
    <w:rsid w:val="00363024"/>
    <w:rsid w:val="003635ED"/>
    <w:rsid w:val="0036387E"/>
    <w:rsid w:val="003649AE"/>
    <w:rsid w:val="0036662F"/>
    <w:rsid w:val="00371547"/>
    <w:rsid w:val="00371A7C"/>
    <w:rsid w:val="0037313A"/>
    <w:rsid w:val="00374875"/>
    <w:rsid w:val="00375330"/>
    <w:rsid w:val="003771AA"/>
    <w:rsid w:val="00386831"/>
    <w:rsid w:val="00395359"/>
    <w:rsid w:val="00397119"/>
    <w:rsid w:val="003A3365"/>
    <w:rsid w:val="003B0D9E"/>
    <w:rsid w:val="003B26DC"/>
    <w:rsid w:val="003B2DEF"/>
    <w:rsid w:val="003B57A6"/>
    <w:rsid w:val="003B5930"/>
    <w:rsid w:val="003B739A"/>
    <w:rsid w:val="003B7995"/>
    <w:rsid w:val="003C41A1"/>
    <w:rsid w:val="003D0230"/>
    <w:rsid w:val="003D0FEB"/>
    <w:rsid w:val="003D201A"/>
    <w:rsid w:val="003D24A1"/>
    <w:rsid w:val="003D24F8"/>
    <w:rsid w:val="003E4FAD"/>
    <w:rsid w:val="003F07EE"/>
    <w:rsid w:val="003F10FD"/>
    <w:rsid w:val="003F5B0B"/>
    <w:rsid w:val="003F6684"/>
    <w:rsid w:val="004033DC"/>
    <w:rsid w:val="00403641"/>
    <w:rsid w:val="00404C60"/>
    <w:rsid w:val="00405EE8"/>
    <w:rsid w:val="0041419C"/>
    <w:rsid w:val="0042402C"/>
    <w:rsid w:val="00427A1A"/>
    <w:rsid w:val="00427ECD"/>
    <w:rsid w:val="00427F06"/>
    <w:rsid w:val="004302ED"/>
    <w:rsid w:val="004363D2"/>
    <w:rsid w:val="00441D3B"/>
    <w:rsid w:val="00443433"/>
    <w:rsid w:val="00443D34"/>
    <w:rsid w:val="00445543"/>
    <w:rsid w:val="004465B9"/>
    <w:rsid w:val="004478BA"/>
    <w:rsid w:val="00450851"/>
    <w:rsid w:val="00450B46"/>
    <w:rsid w:val="00452525"/>
    <w:rsid w:val="00461E06"/>
    <w:rsid w:val="00462CAB"/>
    <w:rsid w:val="004677E9"/>
    <w:rsid w:val="00471D62"/>
    <w:rsid w:val="00472247"/>
    <w:rsid w:val="00473D17"/>
    <w:rsid w:val="004755FB"/>
    <w:rsid w:val="00477185"/>
    <w:rsid w:val="00477AB6"/>
    <w:rsid w:val="0048146B"/>
    <w:rsid w:val="00483D2A"/>
    <w:rsid w:val="00484913"/>
    <w:rsid w:val="00485568"/>
    <w:rsid w:val="004878B0"/>
    <w:rsid w:val="004938D5"/>
    <w:rsid w:val="0049462B"/>
    <w:rsid w:val="00496430"/>
    <w:rsid w:val="004A0358"/>
    <w:rsid w:val="004A06C9"/>
    <w:rsid w:val="004A16D9"/>
    <w:rsid w:val="004A4603"/>
    <w:rsid w:val="004B4773"/>
    <w:rsid w:val="004B5FA4"/>
    <w:rsid w:val="004B7E68"/>
    <w:rsid w:val="004C53F0"/>
    <w:rsid w:val="004C6BA3"/>
    <w:rsid w:val="004C77D2"/>
    <w:rsid w:val="004D1038"/>
    <w:rsid w:val="004D1128"/>
    <w:rsid w:val="004D292C"/>
    <w:rsid w:val="004D2E59"/>
    <w:rsid w:val="004E236A"/>
    <w:rsid w:val="004E250D"/>
    <w:rsid w:val="004E28A0"/>
    <w:rsid w:val="004E45E3"/>
    <w:rsid w:val="004E4BC8"/>
    <w:rsid w:val="004E7C23"/>
    <w:rsid w:val="004F00A7"/>
    <w:rsid w:val="004F1114"/>
    <w:rsid w:val="004F19DF"/>
    <w:rsid w:val="004F28F3"/>
    <w:rsid w:val="004F5B39"/>
    <w:rsid w:val="004F5B4A"/>
    <w:rsid w:val="004F5B8B"/>
    <w:rsid w:val="004F64EA"/>
    <w:rsid w:val="004F75D2"/>
    <w:rsid w:val="005022C2"/>
    <w:rsid w:val="005063A7"/>
    <w:rsid w:val="00506EB7"/>
    <w:rsid w:val="00507A5E"/>
    <w:rsid w:val="005109E4"/>
    <w:rsid w:val="00511989"/>
    <w:rsid w:val="00513556"/>
    <w:rsid w:val="00515080"/>
    <w:rsid w:val="005161B4"/>
    <w:rsid w:val="005165B9"/>
    <w:rsid w:val="00516FC4"/>
    <w:rsid w:val="00517BF8"/>
    <w:rsid w:val="0052090A"/>
    <w:rsid w:val="005222FE"/>
    <w:rsid w:val="005224D0"/>
    <w:rsid w:val="005253DA"/>
    <w:rsid w:val="00527BE2"/>
    <w:rsid w:val="00530B35"/>
    <w:rsid w:val="00531B69"/>
    <w:rsid w:val="00532897"/>
    <w:rsid w:val="00535A60"/>
    <w:rsid w:val="00536E97"/>
    <w:rsid w:val="0054435E"/>
    <w:rsid w:val="00553B30"/>
    <w:rsid w:val="005570A6"/>
    <w:rsid w:val="00563721"/>
    <w:rsid w:val="00563C29"/>
    <w:rsid w:val="0056412B"/>
    <w:rsid w:val="0056442A"/>
    <w:rsid w:val="00570762"/>
    <w:rsid w:val="00577F69"/>
    <w:rsid w:val="00584B98"/>
    <w:rsid w:val="00594340"/>
    <w:rsid w:val="00595BAF"/>
    <w:rsid w:val="00596AA9"/>
    <w:rsid w:val="005A16A5"/>
    <w:rsid w:val="005A46E3"/>
    <w:rsid w:val="005B4EE0"/>
    <w:rsid w:val="005B695F"/>
    <w:rsid w:val="005B7397"/>
    <w:rsid w:val="005B77AF"/>
    <w:rsid w:val="005B7A45"/>
    <w:rsid w:val="005C386F"/>
    <w:rsid w:val="005C5A0E"/>
    <w:rsid w:val="005D33E1"/>
    <w:rsid w:val="005D4DAD"/>
    <w:rsid w:val="005E5706"/>
    <w:rsid w:val="005F1839"/>
    <w:rsid w:val="005F22DA"/>
    <w:rsid w:val="005F33F9"/>
    <w:rsid w:val="005F537D"/>
    <w:rsid w:val="005F6DE3"/>
    <w:rsid w:val="005F709F"/>
    <w:rsid w:val="00600AF2"/>
    <w:rsid w:val="00601173"/>
    <w:rsid w:val="00601A29"/>
    <w:rsid w:val="006036D2"/>
    <w:rsid w:val="00613ED0"/>
    <w:rsid w:val="00614557"/>
    <w:rsid w:val="00620980"/>
    <w:rsid w:val="0062684C"/>
    <w:rsid w:val="00627E0C"/>
    <w:rsid w:val="0063059D"/>
    <w:rsid w:val="00632B3A"/>
    <w:rsid w:val="006346A3"/>
    <w:rsid w:val="00634AA8"/>
    <w:rsid w:val="00636143"/>
    <w:rsid w:val="00640059"/>
    <w:rsid w:val="0064357B"/>
    <w:rsid w:val="0065296B"/>
    <w:rsid w:val="00654415"/>
    <w:rsid w:val="00654447"/>
    <w:rsid w:val="0065628E"/>
    <w:rsid w:val="00656E72"/>
    <w:rsid w:val="006573DA"/>
    <w:rsid w:val="00663A5D"/>
    <w:rsid w:val="00664661"/>
    <w:rsid w:val="00666409"/>
    <w:rsid w:val="006672F1"/>
    <w:rsid w:val="00667712"/>
    <w:rsid w:val="00667EA2"/>
    <w:rsid w:val="00670F28"/>
    <w:rsid w:val="0067258C"/>
    <w:rsid w:val="0067580D"/>
    <w:rsid w:val="00675D74"/>
    <w:rsid w:val="00676B34"/>
    <w:rsid w:val="006776C4"/>
    <w:rsid w:val="00685528"/>
    <w:rsid w:val="00687292"/>
    <w:rsid w:val="00687843"/>
    <w:rsid w:val="0069256A"/>
    <w:rsid w:val="00692B07"/>
    <w:rsid w:val="00692D4D"/>
    <w:rsid w:val="00693CBF"/>
    <w:rsid w:val="00695F6E"/>
    <w:rsid w:val="00697188"/>
    <w:rsid w:val="006A068E"/>
    <w:rsid w:val="006A07B0"/>
    <w:rsid w:val="006A58BD"/>
    <w:rsid w:val="006A6053"/>
    <w:rsid w:val="006A6815"/>
    <w:rsid w:val="006B1C03"/>
    <w:rsid w:val="006B4F2F"/>
    <w:rsid w:val="006C481A"/>
    <w:rsid w:val="006C6A72"/>
    <w:rsid w:val="006D31BB"/>
    <w:rsid w:val="006D4B59"/>
    <w:rsid w:val="006E23AA"/>
    <w:rsid w:val="006F064B"/>
    <w:rsid w:val="006F0C12"/>
    <w:rsid w:val="006F1849"/>
    <w:rsid w:val="006F2265"/>
    <w:rsid w:val="006F7A23"/>
    <w:rsid w:val="00702900"/>
    <w:rsid w:val="00703EB8"/>
    <w:rsid w:val="00705643"/>
    <w:rsid w:val="00705BBA"/>
    <w:rsid w:val="007077F1"/>
    <w:rsid w:val="00710807"/>
    <w:rsid w:val="00711A7B"/>
    <w:rsid w:val="00716452"/>
    <w:rsid w:val="00721F26"/>
    <w:rsid w:val="00724B9F"/>
    <w:rsid w:val="007251AF"/>
    <w:rsid w:val="00730101"/>
    <w:rsid w:val="0073145A"/>
    <w:rsid w:val="00731534"/>
    <w:rsid w:val="00735F2E"/>
    <w:rsid w:val="00736C03"/>
    <w:rsid w:val="007436E5"/>
    <w:rsid w:val="007442B3"/>
    <w:rsid w:val="00751EE9"/>
    <w:rsid w:val="007550EB"/>
    <w:rsid w:val="0075751F"/>
    <w:rsid w:val="00761DCC"/>
    <w:rsid w:val="007638CB"/>
    <w:rsid w:val="00765CCE"/>
    <w:rsid w:val="0076719C"/>
    <w:rsid w:val="007673FB"/>
    <w:rsid w:val="0077415B"/>
    <w:rsid w:val="00774901"/>
    <w:rsid w:val="007800BC"/>
    <w:rsid w:val="00782F56"/>
    <w:rsid w:val="00784D6C"/>
    <w:rsid w:val="0079423D"/>
    <w:rsid w:val="007953F9"/>
    <w:rsid w:val="0079567F"/>
    <w:rsid w:val="00795F9F"/>
    <w:rsid w:val="007A6836"/>
    <w:rsid w:val="007A7B8B"/>
    <w:rsid w:val="007B13FD"/>
    <w:rsid w:val="007B1CCA"/>
    <w:rsid w:val="007B312B"/>
    <w:rsid w:val="007B392D"/>
    <w:rsid w:val="007B3C1A"/>
    <w:rsid w:val="007B43A4"/>
    <w:rsid w:val="007B5F5A"/>
    <w:rsid w:val="007C1CF1"/>
    <w:rsid w:val="007C236B"/>
    <w:rsid w:val="007C6D93"/>
    <w:rsid w:val="007C7DB0"/>
    <w:rsid w:val="007C7F98"/>
    <w:rsid w:val="007D1914"/>
    <w:rsid w:val="007D22E0"/>
    <w:rsid w:val="007D4091"/>
    <w:rsid w:val="007E07E1"/>
    <w:rsid w:val="007E5092"/>
    <w:rsid w:val="007E5D85"/>
    <w:rsid w:val="007E655C"/>
    <w:rsid w:val="007F0E31"/>
    <w:rsid w:val="007F27D1"/>
    <w:rsid w:val="007F29CE"/>
    <w:rsid w:val="007F4974"/>
    <w:rsid w:val="007F6341"/>
    <w:rsid w:val="008026C8"/>
    <w:rsid w:val="00806353"/>
    <w:rsid w:val="008066B6"/>
    <w:rsid w:val="00810C90"/>
    <w:rsid w:val="00810D44"/>
    <w:rsid w:val="008136AF"/>
    <w:rsid w:val="00814B46"/>
    <w:rsid w:val="0081797A"/>
    <w:rsid w:val="00820BE5"/>
    <w:rsid w:val="00825BF6"/>
    <w:rsid w:val="00826322"/>
    <w:rsid w:val="0082642D"/>
    <w:rsid w:val="00830EC9"/>
    <w:rsid w:val="00835E7D"/>
    <w:rsid w:val="00840620"/>
    <w:rsid w:val="00840FE3"/>
    <w:rsid w:val="0084160F"/>
    <w:rsid w:val="00843C0E"/>
    <w:rsid w:val="008467EF"/>
    <w:rsid w:val="00847A91"/>
    <w:rsid w:val="00847CB8"/>
    <w:rsid w:val="00850B7C"/>
    <w:rsid w:val="00852235"/>
    <w:rsid w:val="008534D4"/>
    <w:rsid w:val="00856580"/>
    <w:rsid w:val="00857BA0"/>
    <w:rsid w:val="00857BA2"/>
    <w:rsid w:val="00860BFA"/>
    <w:rsid w:val="008623B1"/>
    <w:rsid w:val="00863E13"/>
    <w:rsid w:val="00864D65"/>
    <w:rsid w:val="00865270"/>
    <w:rsid w:val="008654E2"/>
    <w:rsid w:val="0087183F"/>
    <w:rsid w:val="008723CD"/>
    <w:rsid w:val="0087561D"/>
    <w:rsid w:val="00876844"/>
    <w:rsid w:val="008834C6"/>
    <w:rsid w:val="00885050"/>
    <w:rsid w:val="00885B91"/>
    <w:rsid w:val="00886028"/>
    <w:rsid w:val="00886810"/>
    <w:rsid w:val="00886ABB"/>
    <w:rsid w:val="00892149"/>
    <w:rsid w:val="008923D8"/>
    <w:rsid w:val="008A0228"/>
    <w:rsid w:val="008A1FED"/>
    <w:rsid w:val="008A37B4"/>
    <w:rsid w:val="008B102C"/>
    <w:rsid w:val="008B1FCF"/>
    <w:rsid w:val="008B3118"/>
    <w:rsid w:val="008B49E4"/>
    <w:rsid w:val="008B7C02"/>
    <w:rsid w:val="008C1811"/>
    <w:rsid w:val="008C1CA2"/>
    <w:rsid w:val="008C312B"/>
    <w:rsid w:val="008C6A5B"/>
    <w:rsid w:val="008D46D2"/>
    <w:rsid w:val="008D54BD"/>
    <w:rsid w:val="008D5863"/>
    <w:rsid w:val="008D5A03"/>
    <w:rsid w:val="008D7E5C"/>
    <w:rsid w:val="008E0562"/>
    <w:rsid w:val="008E41D2"/>
    <w:rsid w:val="008E4684"/>
    <w:rsid w:val="008E4D15"/>
    <w:rsid w:val="008E5946"/>
    <w:rsid w:val="008E5AD6"/>
    <w:rsid w:val="008E6FEA"/>
    <w:rsid w:val="008F298B"/>
    <w:rsid w:val="008F67EF"/>
    <w:rsid w:val="008F6D29"/>
    <w:rsid w:val="008F6F2B"/>
    <w:rsid w:val="00901BD1"/>
    <w:rsid w:val="00902A08"/>
    <w:rsid w:val="00904E24"/>
    <w:rsid w:val="00907668"/>
    <w:rsid w:val="00912B35"/>
    <w:rsid w:val="00914646"/>
    <w:rsid w:val="00921FF2"/>
    <w:rsid w:val="00923D9F"/>
    <w:rsid w:val="00924540"/>
    <w:rsid w:val="00926145"/>
    <w:rsid w:val="00931320"/>
    <w:rsid w:val="0093213A"/>
    <w:rsid w:val="00934F6A"/>
    <w:rsid w:val="00936C1F"/>
    <w:rsid w:val="00937637"/>
    <w:rsid w:val="00940A5F"/>
    <w:rsid w:val="00944381"/>
    <w:rsid w:val="0094567F"/>
    <w:rsid w:val="009467FC"/>
    <w:rsid w:val="00947120"/>
    <w:rsid w:val="00951C68"/>
    <w:rsid w:val="00951F72"/>
    <w:rsid w:val="00951FBC"/>
    <w:rsid w:val="0095588A"/>
    <w:rsid w:val="00957E5A"/>
    <w:rsid w:val="00960857"/>
    <w:rsid w:val="00961FFC"/>
    <w:rsid w:val="00964932"/>
    <w:rsid w:val="00965CA5"/>
    <w:rsid w:val="00966540"/>
    <w:rsid w:val="00970C50"/>
    <w:rsid w:val="00971D81"/>
    <w:rsid w:val="00972405"/>
    <w:rsid w:val="009772F0"/>
    <w:rsid w:val="00983AEF"/>
    <w:rsid w:val="00990AD8"/>
    <w:rsid w:val="00992F77"/>
    <w:rsid w:val="0099438F"/>
    <w:rsid w:val="00995EAD"/>
    <w:rsid w:val="00997A18"/>
    <w:rsid w:val="00997D4C"/>
    <w:rsid w:val="009B4E07"/>
    <w:rsid w:val="009B6415"/>
    <w:rsid w:val="009C376B"/>
    <w:rsid w:val="009D0D4C"/>
    <w:rsid w:val="009D1DB5"/>
    <w:rsid w:val="009D258D"/>
    <w:rsid w:val="009D3170"/>
    <w:rsid w:val="009D51EA"/>
    <w:rsid w:val="009D6A7D"/>
    <w:rsid w:val="009D7BA9"/>
    <w:rsid w:val="009E2338"/>
    <w:rsid w:val="009E47FE"/>
    <w:rsid w:val="009E48E9"/>
    <w:rsid w:val="009F1567"/>
    <w:rsid w:val="009F28C4"/>
    <w:rsid w:val="009F2CF6"/>
    <w:rsid w:val="009F3D0D"/>
    <w:rsid w:val="009F3FE9"/>
    <w:rsid w:val="009F61C7"/>
    <w:rsid w:val="00A015C9"/>
    <w:rsid w:val="00A021F8"/>
    <w:rsid w:val="00A03311"/>
    <w:rsid w:val="00A038C0"/>
    <w:rsid w:val="00A048BF"/>
    <w:rsid w:val="00A06110"/>
    <w:rsid w:val="00A069DA"/>
    <w:rsid w:val="00A20576"/>
    <w:rsid w:val="00A23369"/>
    <w:rsid w:val="00A23A8B"/>
    <w:rsid w:val="00A244BA"/>
    <w:rsid w:val="00A2603A"/>
    <w:rsid w:val="00A3381D"/>
    <w:rsid w:val="00A37511"/>
    <w:rsid w:val="00A43113"/>
    <w:rsid w:val="00A437C4"/>
    <w:rsid w:val="00A43B49"/>
    <w:rsid w:val="00A4571B"/>
    <w:rsid w:val="00A50C95"/>
    <w:rsid w:val="00A516F0"/>
    <w:rsid w:val="00A52929"/>
    <w:rsid w:val="00A54D98"/>
    <w:rsid w:val="00A57860"/>
    <w:rsid w:val="00A57EDE"/>
    <w:rsid w:val="00A62BA2"/>
    <w:rsid w:val="00A65A68"/>
    <w:rsid w:val="00A7481A"/>
    <w:rsid w:val="00A765FE"/>
    <w:rsid w:val="00A804A1"/>
    <w:rsid w:val="00A84984"/>
    <w:rsid w:val="00A869B7"/>
    <w:rsid w:val="00A916E3"/>
    <w:rsid w:val="00A94624"/>
    <w:rsid w:val="00A94644"/>
    <w:rsid w:val="00A94EC5"/>
    <w:rsid w:val="00A94FF3"/>
    <w:rsid w:val="00AA0A31"/>
    <w:rsid w:val="00AA11DF"/>
    <w:rsid w:val="00AA1891"/>
    <w:rsid w:val="00AA209B"/>
    <w:rsid w:val="00AA67A3"/>
    <w:rsid w:val="00AA6828"/>
    <w:rsid w:val="00AB00EC"/>
    <w:rsid w:val="00AB0FBC"/>
    <w:rsid w:val="00AB1289"/>
    <w:rsid w:val="00AB159F"/>
    <w:rsid w:val="00AB2484"/>
    <w:rsid w:val="00AB523D"/>
    <w:rsid w:val="00AC7003"/>
    <w:rsid w:val="00AD1BFD"/>
    <w:rsid w:val="00AD6382"/>
    <w:rsid w:val="00AE3252"/>
    <w:rsid w:val="00AE36CE"/>
    <w:rsid w:val="00AE4C39"/>
    <w:rsid w:val="00AF16B5"/>
    <w:rsid w:val="00AF3A69"/>
    <w:rsid w:val="00AF3BD1"/>
    <w:rsid w:val="00AF7515"/>
    <w:rsid w:val="00B02721"/>
    <w:rsid w:val="00B04B88"/>
    <w:rsid w:val="00B06480"/>
    <w:rsid w:val="00B06970"/>
    <w:rsid w:val="00B14C5A"/>
    <w:rsid w:val="00B15406"/>
    <w:rsid w:val="00B16BAB"/>
    <w:rsid w:val="00B179EE"/>
    <w:rsid w:val="00B20498"/>
    <w:rsid w:val="00B20E56"/>
    <w:rsid w:val="00B216F2"/>
    <w:rsid w:val="00B219AE"/>
    <w:rsid w:val="00B22BC7"/>
    <w:rsid w:val="00B24952"/>
    <w:rsid w:val="00B25E76"/>
    <w:rsid w:val="00B3197F"/>
    <w:rsid w:val="00B33A14"/>
    <w:rsid w:val="00B35471"/>
    <w:rsid w:val="00B36DB6"/>
    <w:rsid w:val="00B41D0F"/>
    <w:rsid w:val="00B42985"/>
    <w:rsid w:val="00B42AAC"/>
    <w:rsid w:val="00B43B00"/>
    <w:rsid w:val="00B45750"/>
    <w:rsid w:val="00B46364"/>
    <w:rsid w:val="00B46828"/>
    <w:rsid w:val="00B47CB7"/>
    <w:rsid w:val="00B51DB9"/>
    <w:rsid w:val="00B52DCE"/>
    <w:rsid w:val="00B54372"/>
    <w:rsid w:val="00B5630C"/>
    <w:rsid w:val="00B56E35"/>
    <w:rsid w:val="00B573B0"/>
    <w:rsid w:val="00B61547"/>
    <w:rsid w:val="00B62001"/>
    <w:rsid w:val="00B6299E"/>
    <w:rsid w:val="00B64150"/>
    <w:rsid w:val="00B65AA4"/>
    <w:rsid w:val="00B6761C"/>
    <w:rsid w:val="00B737DA"/>
    <w:rsid w:val="00B74D6C"/>
    <w:rsid w:val="00B75FAF"/>
    <w:rsid w:val="00B762EB"/>
    <w:rsid w:val="00B778F8"/>
    <w:rsid w:val="00B84FD4"/>
    <w:rsid w:val="00B84FF6"/>
    <w:rsid w:val="00B8635F"/>
    <w:rsid w:val="00B92EBC"/>
    <w:rsid w:val="00B9327D"/>
    <w:rsid w:val="00B9438F"/>
    <w:rsid w:val="00B9505C"/>
    <w:rsid w:val="00B97A37"/>
    <w:rsid w:val="00BA0153"/>
    <w:rsid w:val="00BA7892"/>
    <w:rsid w:val="00BA7D81"/>
    <w:rsid w:val="00BB31FF"/>
    <w:rsid w:val="00BB554F"/>
    <w:rsid w:val="00BB555B"/>
    <w:rsid w:val="00BB7AC3"/>
    <w:rsid w:val="00BC0946"/>
    <w:rsid w:val="00BC23B1"/>
    <w:rsid w:val="00BC48E9"/>
    <w:rsid w:val="00BC5A59"/>
    <w:rsid w:val="00BD2F5F"/>
    <w:rsid w:val="00BD4B21"/>
    <w:rsid w:val="00BD563D"/>
    <w:rsid w:val="00BE06C6"/>
    <w:rsid w:val="00BE2692"/>
    <w:rsid w:val="00BE3116"/>
    <w:rsid w:val="00BE7CCB"/>
    <w:rsid w:val="00BF2E7C"/>
    <w:rsid w:val="00BF381F"/>
    <w:rsid w:val="00C0058D"/>
    <w:rsid w:val="00C007B1"/>
    <w:rsid w:val="00C0273E"/>
    <w:rsid w:val="00C04418"/>
    <w:rsid w:val="00C05F2B"/>
    <w:rsid w:val="00C122FC"/>
    <w:rsid w:val="00C12516"/>
    <w:rsid w:val="00C12A51"/>
    <w:rsid w:val="00C16420"/>
    <w:rsid w:val="00C21983"/>
    <w:rsid w:val="00C2199F"/>
    <w:rsid w:val="00C223CE"/>
    <w:rsid w:val="00C22BB2"/>
    <w:rsid w:val="00C22DD7"/>
    <w:rsid w:val="00C26EEC"/>
    <w:rsid w:val="00C27BBB"/>
    <w:rsid w:val="00C3127A"/>
    <w:rsid w:val="00C32470"/>
    <w:rsid w:val="00C32AA6"/>
    <w:rsid w:val="00C33675"/>
    <w:rsid w:val="00C36098"/>
    <w:rsid w:val="00C515D2"/>
    <w:rsid w:val="00C529C6"/>
    <w:rsid w:val="00C53CA9"/>
    <w:rsid w:val="00C634AF"/>
    <w:rsid w:val="00C6652C"/>
    <w:rsid w:val="00C70420"/>
    <w:rsid w:val="00C72C95"/>
    <w:rsid w:val="00C755B5"/>
    <w:rsid w:val="00C76FDA"/>
    <w:rsid w:val="00C77B11"/>
    <w:rsid w:val="00C81966"/>
    <w:rsid w:val="00C81B72"/>
    <w:rsid w:val="00C82BBE"/>
    <w:rsid w:val="00C831CA"/>
    <w:rsid w:val="00C83644"/>
    <w:rsid w:val="00C83946"/>
    <w:rsid w:val="00C83C91"/>
    <w:rsid w:val="00C84E11"/>
    <w:rsid w:val="00C85582"/>
    <w:rsid w:val="00C85960"/>
    <w:rsid w:val="00C85D83"/>
    <w:rsid w:val="00C8734D"/>
    <w:rsid w:val="00C87C91"/>
    <w:rsid w:val="00C90154"/>
    <w:rsid w:val="00C915E9"/>
    <w:rsid w:val="00C91EE8"/>
    <w:rsid w:val="00C96E46"/>
    <w:rsid w:val="00C97041"/>
    <w:rsid w:val="00C97489"/>
    <w:rsid w:val="00C97B7B"/>
    <w:rsid w:val="00CA0AD8"/>
    <w:rsid w:val="00CA0B4D"/>
    <w:rsid w:val="00CA0FD4"/>
    <w:rsid w:val="00CA253A"/>
    <w:rsid w:val="00CA389B"/>
    <w:rsid w:val="00CA3A9C"/>
    <w:rsid w:val="00CA3B8F"/>
    <w:rsid w:val="00CA516C"/>
    <w:rsid w:val="00CA59D3"/>
    <w:rsid w:val="00CA5A1D"/>
    <w:rsid w:val="00CA768C"/>
    <w:rsid w:val="00CB0B59"/>
    <w:rsid w:val="00CB1F54"/>
    <w:rsid w:val="00CB72EE"/>
    <w:rsid w:val="00CC1335"/>
    <w:rsid w:val="00CC3A10"/>
    <w:rsid w:val="00CC4090"/>
    <w:rsid w:val="00CC5BB0"/>
    <w:rsid w:val="00CC6DF7"/>
    <w:rsid w:val="00CC71F1"/>
    <w:rsid w:val="00CD1F66"/>
    <w:rsid w:val="00CD20E4"/>
    <w:rsid w:val="00CD410F"/>
    <w:rsid w:val="00CD4650"/>
    <w:rsid w:val="00CD482C"/>
    <w:rsid w:val="00CD52D9"/>
    <w:rsid w:val="00CD771C"/>
    <w:rsid w:val="00CE06D4"/>
    <w:rsid w:val="00CE295B"/>
    <w:rsid w:val="00CE381B"/>
    <w:rsid w:val="00CE431A"/>
    <w:rsid w:val="00CE4D23"/>
    <w:rsid w:val="00CE6F6B"/>
    <w:rsid w:val="00CF08D4"/>
    <w:rsid w:val="00CF0C96"/>
    <w:rsid w:val="00CF4096"/>
    <w:rsid w:val="00CF4CDA"/>
    <w:rsid w:val="00CF4E05"/>
    <w:rsid w:val="00D0127F"/>
    <w:rsid w:val="00D020F9"/>
    <w:rsid w:val="00D03558"/>
    <w:rsid w:val="00D037B3"/>
    <w:rsid w:val="00D11928"/>
    <w:rsid w:val="00D12805"/>
    <w:rsid w:val="00D13580"/>
    <w:rsid w:val="00D20A18"/>
    <w:rsid w:val="00D24263"/>
    <w:rsid w:val="00D262E3"/>
    <w:rsid w:val="00D26884"/>
    <w:rsid w:val="00D32D44"/>
    <w:rsid w:val="00D35511"/>
    <w:rsid w:val="00D37A16"/>
    <w:rsid w:val="00D50C0E"/>
    <w:rsid w:val="00D65664"/>
    <w:rsid w:val="00D65B87"/>
    <w:rsid w:val="00D70B54"/>
    <w:rsid w:val="00D73AC2"/>
    <w:rsid w:val="00D87A8A"/>
    <w:rsid w:val="00D920B4"/>
    <w:rsid w:val="00D922FF"/>
    <w:rsid w:val="00D92F85"/>
    <w:rsid w:val="00D93AC2"/>
    <w:rsid w:val="00DA07DF"/>
    <w:rsid w:val="00DA3224"/>
    <w:rsid w:val="00DA32C2"/>
    <w:rsid w:val="00DA4C71"/>
    <w:rsid w:val="00DA5DCF"/>
    <w:rsid w:val="00DA7935"/>
    <w:rsid w:val="00DB229E"/>
    <w:rsid w:val="00DB5E03"/>
    <w:rsid w:val="00DC0584"/>
    <w:rsid w:val="00DC3E98"/>
    <w:rsid w:val="00DC5E76"/>
    <w:rsid w:val="00DC7218"/>
    <w:rsid w:val="00DC7A81"/>
    <w:rsid w:val="00DD2F2F"/>
    <w:rsid w:val="00DD5FF9"/>
    <w:rsid w:val="00DD7C66"/>
    <w:rsid w:val="00DE1087"/>
    <w:rsid w:val="00DE2973"/>
    <w:rsid w:val="00DE33EC"/>
    <w:rsid w:val="00DE6D0E"/>
    <w:rsid w:val="00DE6DA5"/>
    <w:rsid w:val="00DF2FF3"/>
    <w:rsid w:val="00DF4C41"/>
    <w:rsid w:val="00DF569B"/>
    <w:rsid w:val="00E0123A"/>
    <w:rsid w:val="00E01292"/>
    <w:rsid w:val="00E01937"/>
    <w:rsid w:val="00E03B7F"/>
    <w:rsid w:val="00E0521F"/>
    <w:rsid w:val="00E10B9F"/>
    <w:rsid w:val="00E126D5"/>
    <w:rsid w:val="00E13260"/>
    <w:rsid w:val="00E22432"/>
    <w:rsid w:val="00E22D9A"/>
    <w:rsid w:val="00E233AB"/>
    <w:rsid w:val="00E340E8"/>
    <w:rsid w:val="00E3520B"/>
    <w:rsid w:val="00E3537E"/>
    <w:rsid w:val="00E3734F"/>
    <w:rsid w:val="00E376B9"/>
    <w:rsid w:val="00E41887"/>
    <w:rsid w:val="00E435B0"/>
    <w:rsid w:val="00E466FE"/>
    <w:rsid w:val="00E50BA3"/>
    <w:rsid w:val="00E521DE"/>
    <w:rsid w:val="00E5232A"/>
    <w:rsid w:val="00E552E4"/>
    <w:rsid w:val="00E55EDC"/>
    <w:rsid w:val="00E57210"/>
    <w:rsid w:val="00E6162D"/>
    <w:rsid w:val="00E61A95"/>
    <w:rsid w:val="00E639A1"/>
    <w:rsid w:val="00E675A9"/>
    <w:rsid w:val="00E700E8"/>
    <w:rsid w:val="00E7181C"/>
    <w:rsid w:val="00E7475E"/>
    <w:rsid w:val="00E80B02"/>
    <w:rsid w:val="00E80D85"/>
    <w:rsid w:val="00E83B70"/>
    <w:rsid w:val="00E84EF1"/>
    <w:rsid w:val="00E90ECF"/>
    <w:rsid w:val="00E921BE"/>
    <w:rsid w:val="00E93636"/>
    <w:rsid w:val="00E96341"/>
    <w:rsid w:val="00EA2433"/>
    <w:rsid w:val="00EA3196"/>
    <w:rsid w:val="00EA4C52"/>
    <w:rsid w:val="00EA6E35"/>
    <w:rsid w:val="00EB1B29"/>
    <w:rsid w:val="00EB2030"/>
    <w:rsid w:val="00EB32DE"/>
    <w:rsid w:val="00EC0286"/>
    <w:rsid w:val="00EC6731"/>
    <w:rsid w:val="00EC747E"/>
    <w:rsid w:val="00ED0C31"/>
    <w:rsid w:val="00ED216E"/>
    <w:rsid w:val="00ED2974"/>
    <w:rsid w:val="00ED68C0"/>
    <w:rsid w:val="00ED6D90"/>
    <w:rsid w:val="00EE138E"/>
    <w:rsid w:val="00EE5691"/>
    <w:rsid w:val="00EE6042"/>
    <w:rsid w:val="00EE704D"/>
    <w:rsid w:val="00EF1230"/>
    <w:rsid w:val="00F00D30"/>
    <w:rsid w:val="00F0494B"/>
    <w:rsid w:val="00F04B36"/>
    <w:rsid w:val="00F0723A"/>
    <w:rsid w:val="00F122CF"/>
    <w:rsid w:val="00F12C5C"/>
    <w:rsid w:val="00F13FFD"/>
    <w:rsid w:val="00F1653E"/>
    <w:rsid w:val="00F20CC9"/>
    <w:rsid w:val="00F21E78"/>
    <w:rsid w:val="00F23DC5"/>
    <w:rsid w:val="00F24C2D"/>
    <w:rsid w:val="00F320A0"/>
    <w:rsid w:val="00F324CC"/>
    <w:rsid w:val="00F3335A"/>
    <w:rsid w:val="00F36856"/>
    <w:rsid w:val="00F40D5C"/>
    <w:rsid w:val="00F40D7C"/>
    <w:rsid w:val="00F40DD5"/>
    <w:rsid w:val="00F41634"/>
    <w:rsid w:val="00F43051"/>
    <w:rsid w:val="00F44543"/>
    <w:rsid w:val="00F458BE"/>
    <w:rsid w:val="00F45A06"/>
    <w:rsid w:val="00F46611"/>
    <w:rsid w:val="00F50D6A"/>
    <w:rsid w:val="00F51C83"/>
    <w:rsid w:val="00F55EEE"/>
    <w:rsid w:val="00F6204F"/>
    <w:rsid w:val="00F6213E"/>
    <w:rsid w:val="00F6508E"/>
    <w:rsid w:val="00F67BFD"/>
    <w:rsid w:val="00F71DFB"/>
    <w:rsid w:val="00F7327C"/>
    <w:rsid w:val="00F73342"/>
    <w:rsid w:val="00F73BB4"/>
    <w:rsid w:val="00F73F66"/>
    <w:rsid w:val="00F746AB"/>
    <w:rsid w:val="00F75A20"/>
    <w:rsid w:val="00F76CC4"/>
    <w:rsid w:val="00F830C7"/>
    <w:rsid w:val="00F964A7"/>
    <w:rsid w:val="00FA0192"/>
    <w:rsid w:val="00FA36F6"/>
    <w:rsid w:val="00FA62E3"/>
    <w:rsid w:val="00FB1EAE"/>
    <w:rsid w:val="00FB41D3"/>
    <w:rsid w:val="00FB5011"/>
    <w:rsid w:val="00FB759F"/>
    <w:rsid w:val="00FC20DE"/>
    <w:rsid w:val="00FC2C15"/>
    <w:rsid w:val="00FC54B6"/>
    <w:rsid w:val="00FC617C"/>
    <w:rsid w:val="00FC6B11"/>
    <w:rsid w:val="00FD061D"/>
    <w:rsid w:val="00FD0E6F"/>
    <w:rsid w:val="00FD2971"/>
    <w:rsid w:val="00FD48A1"/>
    <w:rsid w:val="00FD5685"/>
    <w:rsid w:val="00FD5A90"/>
    <w:rsid w:val="00FD763A"/>
    <w:rsid w:val="00FE098D"/>
    <w:rsid w:val="00FE2421"/>
    <w:rsid w:val="00FE308B"/>
    <w:rsid w:val="00FE4D02"/>
    <w:rsid w:val="00FE631B"/>
    <w:rsid w:val="00FF00C3"/>
    <w:rsid w:val="00FF3578"/>
    <w:rsid w:val="00FF3635"/>
    <w:rsid w:val="00FF4E47"/>
    <w:rsid w:val="00FF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97"/>
  </w:style>
  <w:style w:type="paragraph" w:styleId="Heading1">
    <w:name w:val="heading 1"/>
    <w:basedOn w:val="Normal"/>
    <w:next w:val="Normal"/>
    <w:qFormat/>
    <w:rsid w:val="005B7397"/>
    <w:pPr>
      <w:keepNext/>
      <w:outlineLvl w:val="0"/>
    </w:pPr>
    <w:rPr>
      <w:sz w:val="24"/>
    </w:rPr>
  </w:style>
  <w:style w:type="paragraph" w:styleId="Heading2">
    <w:name w:val="heading 2"/>
    <w:basedOn w:val="Normal"/>
    <w:next w:val="Normal"/>
    <w:qFormat/>
    <w:rsid w:val="005B7397"/>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7397"/>
    <w:rPr>
      <w:sz w:val="24"/>
    </w:rPr>
  </w:style>
  <w:style w:type="paragraph" w:styleId="Header">
    <w:name w:val="header"/>
    <w:basedOn w:val="Normal"/>
    <w:link w:val="HeaderChar"/>
    <w:uiPriority w:val="99"/>
    <w:rsid w:val="005B7397"/>
    <w:pPr>
      <w:tabs>
        <w:tab w:val="center" w:pos="4320"/>
        <w:tab w:val="right" w:pos="8640"/>
      </w:tabs>
    </w:pPr>
  </w:style>
  <w:style w:type="paragraph" w:styleId="Footer">
    <w:name w:val="footer"/>
    <w:basedOn w:val="Normal"/>
    <w:rsid w:val="005B7397"/>
    <w:pPr>
      <w:tabs>
        <w:tab w:val="center" w:pos="4320"/>
        <w:tab w:val="right" w:pos="8640"/>
      </w:tabs>
    </w:pPr>
  </w:style>
  <w:style w:type="paragraph" w:styleId="FootnoteText">
    <w:name w:val="footnote text"/>
    <w:basedOn w:val="Normal"/>
    <w:link w:val="FootnoteTextChar"/>
    <w:uiPriority w:val="99"/>
    <w:rsid w:val="005B7397"/>
  </w:style>
  <w:style w:type="character" w:styleId="FootnoteReference">
    <w:name w:val="footnote reference"/>
    <w:basedOn w:val="DefaultParagraphFont"/>
    <w:rsid w:val="005B7397"/>
    <w:rPr>
      <w:vertAlign w:val="superscript"/>
    </w:rPr>
  </w:style>
  <w:style w:type="character" w:styleId="Hyperlink">
    <w:name w:val="Hyperlink"/>
    <w:basedOn w:val="DefaultParagraphFont"/>
    <w:rsid w:val="005B7397"/>
    <w:rPr>
      <w:color w:val="0000FF"/>
      <w:u w:val="single"/>
    </w:rPr>
  </w:style>
  <w:style w:type="character" w:customStyle="1" w:styleId="HeaderChar">
    <w:name w:val="Header Char"/>
    <w:basedOn w:val="DefaultParagraphFont"/>
    <w:link w:val="Header"/>
    <w:uiPriority w:val="99"/>
    <w:rsid w:val="0000116E"/>
  </w:style>
  <w:style w:type="paragraph" w:styleId="BalloonText">
    <w:name w:val="Balloon Text"/>
    <w:basedOn w:val="Normal"/>
    <w:link w:val="BalloonTextChar"/>
    <w:uiPriority w:val="99"/>
    <w:semiHidden/>
    <w:unhideWhenUsed/>
    <w:rsid w:val="0000116E"/>
    <w:rPr>
      <w:rFonts w:ascii="Tahoma" w:hAnsi="Tahoma" w:cs="Tahoma"/>
      <w:sz w:val="16"/>
      <w:szCs w:val="16"/>
    </w:rPr>
  </w:style>
  <w:style w:type="character" w:customStyle="1" w:styleId="BalloonTextChar">
    <w:name w:val="Balloon Text Char"/>
    <w:basedOn w:val="DefaultParagraphFont"/>
    <w:link w:val="BalloonText"/>
    <w:uiPriority w:val="99"/>
    <w:semiHidden/>
    <w:rsid w:val="0000116E"/>
    <w:rPr>
      <w:rFonts w:ascii="Tahoma" w:hAnsi="Tahoma" w:cs="Tahoma"/>
      <w:sz w:val="16"/>
      <w:szCs w:val="16"/>
    </w:rPr>
  </w:style>
  <w:style w:type="paragraph" w:styleId="Title">
    <w:name w:val="Title"/>
    <w:basedOn w:val="Normal"/>
    <w:link w:val="TitleChar"/>
    <w:qFormat/>
    <w:rsid w:val="00BE06C6"/>
    <w:pPr>
      <w:jc w:val="center"/>
    </w:pPr>
    <w:rPr>
      <w:b/>
      <w:bCs/>
      <w:sz w:val="24"/>
      <w:u w:val="single"/>
    </w:rPr>
  </w:style>
  <w:style w:type="character" w:customStyle="1" w:styleId="TitleChar">
    <w:name w:val="Title Char"/>
    <w:basedOn w:val="DefaultParagraphFont"/>
    <w:link w:val="Title"/>
    <w:rsid w:val="00BE06C6"/>
    <w:rPr>
      <w:b/>
      <w:bCs/>
      <w:sz w:val="24"/>
      <w:u w:val="single"/>
    </w:rPr>
  </w:style>
  <w:style w:type="paragraph" w:styleId="BodyTextIndent">
    <w:name w:val="Body Text Indent"/>
    <w:basedOn w:val="Normal"/>
    <w:link w:val="BodyTextIndentChar"/>
    <w:uiPriority w:val="99"/>
    <w:semiHidden/>
    <w:unhideWhenUsed/>
    <w:rsid w:val="00BE06C6"/>
    <w:pPr>
      <w:spacing w:after="120"/>
      <w:ind w:left="360"/>
    </w:pPr>
  </w:style>
  <w:style w:type="character" w:customStyle="1" w:styleId="BodyTextIndentChar">
    <w:name w:val="Body Text Indent Char"/>
    <w:basedOn w:val="DefaultParagraphFont"/>
    <w:link w:val="BodyTextIndent"/>
    <w:uiPriority w:val="99"/>
    <w:semiHidden/>
    <w:rsid w:val="00BE06C6"/>
  </w:style>
  <w:style w:type="paragraph" w:customStyle="1" w:styleId="le-dep-normal-32-level">
    <w:name w:val="le-dep-normal-32-level"/>
    <w:basedOn w:val="Normal"/>
    <w:rsid w:val="00BE06C6"/>
    <w:pPr>
      <w:spacing w:before="20" w:after="20"/>
    </w:pPr>
    <w:rPr>
      <w:rFonts w:ascii="Courier New" w:hAnsi="Courier New" w:cs="Courier New"/>
      <w:color w:val="000000"/>
    </w:rPr>
  </w:style>
  <w:style w:type="paragraph" w:styleId="BodyText2">
    <w:name w:val="Body Text 2"/>
    <w:basedOn w:val="Normal"/>
    <w:link w:val="BodyText2Char"/>
    <w:uiPriority w:val="99"/>
    <w:semiHidden/>
    <w:unhideWhenUsed/>
    <w:rsid w:val="001A4545"/>
    <w:pPr>
      <w:spacing w:after="120" w:line="480" w:lineRule="auto"/>
    </w:pPr>
  </w:style>
  <w:style w:type="character" w:customStyle="1" w:styleId="BodyText2Char">
    <w:name w:val="Body Text 2 Char"/>
    <w:basedOn w:val="DefaultParagraphFont"/>
    <w:link w:val="BodyText2"/>
    <w:uiPriority w:val="99"/>
    <w:semiHidden/>
    <w:rsid w:val="001A4545"/>
  </w:style>
  <w:style w:type="character" w:customStyle="1" w:styleId="pmterms11">
    <w:name w:val="pmterms11"/>
    <w:basedOn w:val="DefaultParagraphFont"/>
    <w:rsid w:val="0079423D"/>
    <w:rPr>
      <w:b/>
      <w:bCs/>
      <w:i w:val="0"/>
      <w:iCs w:val="0"/>
      <w:color w:val="000000"/>
    </w:rPr>
  </w:style>
  <w:style w:type="character" w:customStyle="1" w:styleId="term1">
    <w:name w:val="term1"/>
    <w:basedOn w:val="DefaultParagraphFont"/>
    <w:rsid w:val="001D7783"/>
    <w:rPr>
      <w:b/>
      <w:bCs/>
    </w:rPr>
  </w:style>
  <w:style w:type="paragraph" w:styleId="ListParagraph">
    <w:name w:val="List Paragraph"/>
    <w:basedOn w:val="Normal"/>
    <w:uiPriority w:val="34"/>
    <w:qFormat/>
    <w:rsid w:val="00972405"/>
    <w:pPr>
      <w:ind w:left="720"/>
      <w:contextualSpacing/>
    </w:pPr>
  </w:style>
  <w:style w:type="character" w:styleId="PageNumber">
    <w:name w:val="page number"/>
    <w:basedOn w:val="DefaultParagraphFont"/>
    <w:rsid w:val="00C16420"/>
  </w:style>
  <w:style w:type="character" w:customStyle="1" w:styleId="FootnoteTextChar">
    <w:name w:val="Footnote Text Char"/>
    <w:basedOn w:val="DefaultParagraphFont"/>
    <w:link w:val="FootnoteText"/>
    <w:uiPriority w:val="99"/>
    <w:rsid w:val="001316BC"/>
  </w:style>
  <w:style w:type="character" w:styleId="SubtleEmphasis">
    <w:name w:val="Subtle Emphasis"/>
    <w:basedOn w:val="DefaultParagraphFont"/>
    <w:uiPriority w:val="19"/>
    <w:qFormat/>
    <w:rsid w:val="00601A29"/>
    <w:rPr>
      <w:i/>
      <w:iCs/>
      <w:color w:val="808080" w:themeColor="text1" w:themeTint="7F"/>
    </w:rPr>
  </w:style>
  <w:style w:type="character" w:customStyle="1" w:styleId="oneclick-link">
    <w:name w:val="oneclick-link"/>
    <w:basedOn w:val="DefaultParagraphFont"/>
    <w:rsid w:val="002C069B"/>
  </w:style>
  <w:style w:type="character" w:customStyle="1" w:styleId="apple-converted-space">
    <w:name w:val="apple-converted-space"/>
    <w:basedOn w:val="DefaultParagraphFont"/>
    <w:rsid w:val="002C069B"/>
  </w:style>
  <w:style w:type="character" w:customStyle="1" w:styleId="ssun">
    <w:name w:val="ss_un"/>
    <w:basedOn w:val="DefaultParagraphFont"/>
    <w:rsid w:val="00275E09"/>
  </w:style>
  <w:style w:type="character" w:customStyle="1" w:styleId="sspagshow">
    <w:name w:val="ss_pag_show"/>
    <w:basedOn w:val="DefaultParagraphFont"/>
    <w:rsid w:val="00275E09"/>
  </w:style>
  <w:style w:type="paragraph" w:styleId="NormalWeb">
    <w:name w:val="Normal (Web)"/>
    <w:basedOn w:val="Normal"/>
    <w:uiPriority w:val="99"/>
    <w:semiHidden/>
    <w:unhideWhenUsed/>
    <w:rsid w:val="008F6F2B"/>
    <w:pPr>
      <w:spacing w:before="100" w:beforeAutospacing="1" w:after="100" w:afterAutospacing="1"/>
    </w:pPr>
    <w:rPr>
      <w:sz w:val="24"/>
      <w:szCs w:val="24"/>
    </w:rPr>
  </w:style>
  <w:style w:type="character" w:customStyle="1" w:styleId="sssh">
    <w:name w:val="ss_sh"/>
    <w:basedOn w:val="DefaultParagraphFont"/>
    <w:rsid w:val="008F6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97"/>
  </w:style>
  <w:style w:type="paragraph" w:styleId="Heading1">
    <w:name w:val="heading 1"/>
    <w:basedOn w:val="Normal"/>
    <w:next w:val="Normal"/>
    <w:qFormat/>
    <w:rsid w:val="005B7397"/>
    <w:pPr>
      <w:keepNext/>
      <w:outlineLvl w:val="0"/>
    </w:pPr>
    <w:rPr>
      <w:sz w:val="24"/>
    </w:rPr>
  </w:style>
  <w:style w:type="paragraph" w:styleId="Heading2">
    <w:name w:val="heading 2"/>
    <w:basedOn w:val="Normal"/>
    <w:next w:val="Normal"/>
    <w:qFormat/>
    <w:rsid w:val="005B7397"/>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B7397"/>
    <w:rPr>
      <w:sz w:val="24"/>
    </w:rPr>
  </w:style>
  <w:style w:type="paragraph" w:styleId="Header">
    <w:name w:val="header"/>
    <w:basedOn w:val="Normal"/>
    <w:link w:val="HeaderChar"/>
    <w:uiPriority w:val="99"/>
    <w:rsid w:val="005B7397"/>
    <w:pPr>
      <w:tabs>
        <w:tab w:val="center" w:pos="4320"/>
        <w:tab w:val="right" w:pos="8640"/>
      </w:tabs>
    </w:pPr>
  </w:style>
  <w:style w:type="paragraph" w:styleId="Footer">
    <w:name w:val="footer"/>
    <w:basedOn w:val="Normal"/>
    <w:rsid w:val="005B7397"/>
    <w:pPr>
      <w:tabs>
        <w:tab w:val="center" w:pos="4320"/>
        <w:tab w:val="right" w:pos="8640"/>
      </w:tabs>
    </w:pPr>
  </w:style>
  <w:style w:type="paragraph" w:styleId="FootnoteText">
    <w:name w:val="footnote text"/>
    <w:basedOn w:val="Normal"/>
    <w:link w:val="FootnoteTextChar"/>
    <w:uiPriority w:val="99"/>
    <w:rsid w:val="005B7397"/>
  </w:style>
  <w:style w:type="character" w:styleId="FootnoteReference">
    <w:name w:val="footnote reference"/>
    <w:basedOn w:val="DefaultParagraphFont"/>
    <w:rsid w:val="005B7397"/>
    <w:rPr>
      <w:vertAlign w:val="superscript"/>
    </w:rPr>
  </w:style>
  <w:style w:type="character" w:styleId="Hyperlink">
    <w:name w:val="Hyperlink"/>
    <w:basedOn w:val="DefaultParagraphFont"/>
    <w:rsid w:val="005B7397"/>
    <w:rPr>
      <w:color w:val="0000FF"/>
      <w:u w:val="single"/>
    </w:rPr>
  </w:style>
  <w:style w:type="character" w:customStyle="1" w:styleId="HeaderChar">
    <w:name w:val="Header Char"/>
    <w:basedOn w:val="DefaultParagraphFont"/>
    <w:link w:val="Header"/>
    <w:uiPriority w:val="99"/>
    <w:rsid w:val="0000116E"/>
  </w:style>
  <w:style w:type="paragraph" w:styleId="BalloonText">
    <w:name w:val="Balloon Text"/>
    <w:basedOn w:val="Normal"/>
    <w:link w:val="BalloonTextChar"/>
    <w:uiPriority w:val="99"/>
    <w:semiHidden/>
    <w:unhideWhenUsed/>
    <w:rsid w:val="0000116E"/>
    <w:rPr>
      <w:rFonts w:ascii="Tahoma" w:hAnsi="Tahoma" w:cs="Tahoma"/>
      <w:sz w:val="16"/>
      <w:szCs w:val="16"/>
    </w:rPr>
  </w:style>
  <w:style w:type="character" w:customStyle="1" w:styleId="BalloonTextChar">
    <w:name w:val="Balloon Text Char"/>
    <w:basedOn w:val="DefaultParagraphFont"/>
    <w:link w:val="BalloonText"/>
    <w:uiPriority w:val="99"/>
    <w:semiHidden/>
    <w:rsid w:val="0000116E"/>
    <w:rPr>
      <w:rFonts w:ascii="Tahoma" w:hAnsi="Tahoma" w:cs="Tahoma"/>
      <w:sz w:val="16"/>
      <w:szCs w:val="16"/>
    </w:rPr>
  </w:style>
  <w:style w:type="paragraph" w:styleId="Title">
    <w:name w:val="Title"/>
    <w:basedOn w:val="Normal"/>
    <w:link w:val="TitleChar"/>
    <w:qFormat/>
    <w:rsid w:val="00BE06C6"/>
    <w:pPr>
      <w:jc w:val="center"/>
    </w:pPr>
    <w:rPr>
      <w:b/>
      <w:bCs/>
      <w:sz w:val="24"/>
      <w:u w:val="single"/>
    </w:rPr>
  </w:style>
  <w:style w:type="character" w:customStyle="1" w:styleId="TitleChar">
    <w:name w:val="Title Char"/>
    <w:basedOn w:val="DefaultParagraphFont"/>
    <w:link w:val="Title"/>
    <w:rsid w:val="00BE06C6"/>
    <w:rPr>
      <w:b/>
      <w:bCs/>
      <w:sz w:val="24"/>
      <w:u w:val="single"/>
    </w:rPr>
  </w:style>
  <w:style w:type="paragraph" w:styleId="BodyTextIndent">
    <w:name w:val="Body Text Indent"/>
    <w:basedOn w:val="Normal"/>
    <w:link w:val="BodyTextIndentChar"/>
    <w:uiPriority w:val="99"/>
    <w:semiHidden/>
    <w:unhideWhenUsed/>
    <w:rsid w:val="00BE06C6"/>
    <w:pPr>
      <w:spacing w:after="120"/>
      <w:ind w:left="360"/>
    </w:pPr>
  </w:style>
  <w:style w:type="character" w:customStyle="1" w:styleId="BodyTextIndentChar">
    <w:name w:val="Body Text Indent Char"/>
    <w:basedOn w:val="DefaultParagraphFont"/>
    <w:link w:val="BodyTextIndent"/>
    <w:uiPriority w:val="99"/>
    <w:semiHidden/>
    <w:rsid w:val="00BE06C6"/>
  </w:style>
  <w:style w:type="paragraph" w:customStyle="1" w:styleId="le-dep-normal-32-level">
    <w:name w:val="le-dep-normal-32-level"/>
    <w:basedOn w:val="Normal"/>
    <w:rsid w:val="00BE06C6"/>
    <w:pPr>
      <w:spacing w:before="20" w:after="20"/>
    </w:pPr>
    <w:rPr>
      <w:rFonts w:ascii="Courier New" w:hAnsi="Courier New" w:cs="Courier New"/>
      <w:color w:val="000000"/>
    </w:rPr>
  </w:style>
  <w:style w:type="paragraph" w:styleId="BodyText2">
    <w:name w:val="Body Text 2"/>
    <w:basedOn w:val="Normal"/>
    <w:link w:val="BodyText2Char"/>
    <w:uiPriority w:val="99"/>
    <w:semiHidden/>
    <w:unhideWhenUsed/>
    <w:rsid w:val="001A4545"/>
    <w:pPr>
      <w:spacing w:after="120" w:line="480" w:lineRule="auto"/>
    </w:pPr>
  </w:style>
  <w:style w:type="character" w:customStyle="1" w:styleId="BodyText2Char">
    <w:name w:val="Body Text 2 Char"/>
    <w:basedOn w:val="DefaultParagraphFont"/>
    <w:link w:val="BodyText2"/>
    <w:uiPriority w:val="99"/>
    <w:semiHidden/>
    <w:rsid w:val="001A4545"/>
  </w:style>
  <w:style w:type="character" w:customStyle="1" w:styleId="pmterms11">
    <w:name w:val="pmterms11"/>
    <w:basedOn w:val="DefaultParagraphFont"/>
    <w:rsid w:val="0079423D"/>
    <w:rPr>
      <w:b/>
      <w:bCs/>
      <w:i w:val="0"/>
      <w:iCs w:val="0"/>
      <w:color w:val="000000"/>
    </w:rPr>
  </w:style>
  <w:style w:type="character" w:customStyle="1" w:styleId="term1">
    <w:name w:val="term1"/>
    <w:basedOn w:val="DefaultParagraphFont"/>
    <w:rsid w:val="001D7783"/>
    <w:rPr>
      <w:b/>
      <w:bCs/>
    </w:rPr>
  </w:style>
  <w:style w:type="paragraph" w:styleId="ListParagraph">
    <w:name w:val="List Paragraph"/>
    <w:basedOn w:val="Normal"/>
    <w:uiPriority w:val="34"/>
    <w:qFormat/>
    <w:rsid w:val="00972405"/>
    <w:pPr>
      <w:ind w:left="720"/>
      <w:contextualSpacing/>
    </w:pPr>
  </w:style>
  <w:style w:type="character" w:styleId="PageNumber">
    <w:name w:val="page number"/>
    <w:basedOn w:val="DefaultParagraphFont"/>
    <w:rsid w:val="00C16420"/>
  </w:style>
  <w:style w:type="character" w:customStyle="1" w:styleId="FootnoteTextChar">
    <w:name w:val="Footnote Text Char"/>
    <w:basedOn w:val="DefaultParagraphFont"/>
    <w:link w:val="FootnoteText"/>
    <w:uiPriority w:val="99"/>
    <w:rsid w:val="001316BC"/>
  </w:style>
  <w:style w:type="character" w:styleId="SubtleEmphasis">
    <w:name w:val="Subtle Emphasis"/>
    <w:basedOn w:val="DefaultParagraphFont"/>
    <w:uiPriority w:val="19"/>
    <w:qFormat/>
    <w:rsid w:val="00601A29"/>
    <w:rPr>
      <w:i/>
      <w:iCs/>
      <w:color w:val="808080" w:themeColor="text1" w:themeTint="7F"/>
    </w:rPr>
  </w:style>
  <w:style w:type="character" w:customStyle="1" w:styleId="oneclick-link">
    <w:name w:val="oneclick-link"/>
    <w:basedOn w:val="DefaultParagraphFont"/>
    <w:rsid w:val="002C069B"/>
  </w:style>
  <w:style w:type="character" w:customStyle="1" w:styleId="apple-converted-space">
    <w:name w:val="apple-converted-space"/>
    <w:basedOn w:val="DefaultParagraphFont"/>
    <w:rsid w:val="002C069B"/>
  </w:style>
</w:styles>
</file>

<file path=word/webSettings.xml><?xml version="1.0" encoding="utf-8"?>
<w:webSettings xmlns:r="http://schemas.openxmlformats.org/officeDocument/2006/relationships" xmlns:w="http://schemas.openxmlformats.org/wordprocessingml/2006/main">
  <w:divs>
    <w:div w:id="164521867">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1179389941">
      <w:bodyDiv w:val="1"/>
      <w:marLeft w:val="0"/>
      <w:marRight w:val="0"/>
      <w:marTop w:val="0"/>
      <w:marBottom w:val="0"/>
      <w:divBdr>
        <w:top w:val="none" w:sz="0" w:space="0" w:color="auto"/>
        <w:left w:val="none" w:sz="0" w:space="0" w:color="auto"/>
        <w:bottom w:val="none" w:sz="0" w:space="0" w:color="auto"/>
        <w:right w:val="none" w:sz="0" w:space="0" w:color="auto"/>
      </w:divBdr>
      <w:divsChild>
        <w:div w:id="1784688151">
          <w:marLeft w:val="0"/>
          <w:marRight w:val="0"/>
          <w:marTop w:val="0"/>
          <w:marBottom w:val="0"/>
          <w:divBdr>
            <w:top w:val="none" w:sz="0" w:space="0" w:color="auto"/>
            <w:left w:val="none" w:sz="0" w:space="0" w:color="auto"/>
            <w:bottom w:val="none" w:sz="0" w:space="0" w:color="auto"/>
            <w:right w:val="none" w:sz="0" w:space="0" w:color="auto"/>
          </w:divBdr>
          <w:divsChild>
            <w:div w:id="721095643">
              <w:marLeft w:val="0"/>
              <w:marRight w:val="0"/>
              <w:marTop w:val="0"/>
              <w:marBottom w:val="0"/>
              <w:divBdr>
                <w:top w:val="none" w:sz="0" w:space="0" w:color="auto"/>
                <w:left w:val="none" w:sz="0" w:space="0" w:color="auto"/>
                <w:bottom w:val="none" w:sz="0" w:space="0" w:color="auto"/>
                <w:right w:val="none" w:sz="0" w:space="0" w:color="auto"/>
              </w:divBdr>
              <w:divsChild>
                <w:div w:id="550071698">
                  <w:marLeft w:val="0"/>
                  <w:marRight w:val="0"/>
                  <w:marTop w:val="0"/>
                  <w:marBottom w:val="0"/>
                  <w:divBdr>
                    <w:top w:val="none" w:sz="0" w:space="0" w:color="auto"/>
                    <w:left w:val="none" w:sz="0" w:space="0" w:color="auto"/>
                    <w:bottom w:val="none" w:sz="0" w:space="0" w:color="auto"/>
                    <w:right w:val="none" w:sz="0" w:space="0" w:color="auto"/>
                  </w:divBdr>
                  <w:divsChild>
                    <w:div w:id="1270504812">
                      <w:marLeft w:val="250"/>
                      <w:marRight w:val="250"/>
                      <w:marTop w:val="0"/>
                      <w:marBottom w:val="0"/>
                      <w:divBdr>
                        <w:top w:val="none" w:sz="0" w:space="0" w:color="auto"/>
                        <w:left w:val="none" w:sz="0" w:space="0" w:color="auto"/>
                        <w:bottom w:val="none" w:sz="0" w:space="0" w:color="auto"/>
                        <w:right w:val="none" w:sz="0" w:space="0" w:color="auto"/>
                      </w:divBdr>
                      <w:divsChild>
                        <w:div w:id="14366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33801608">
      <w:bodyDiv w:val="1"/>
      <w:marLeft w:val="0"/>
      <w:marRight w:val="0"/>
      <w:marTop w:val="0"/>
      <w:marBottom w:val="0"/>
      <w:divBdr>
        <w:top w:val="none" w:sz="0" w:space="0" w:color="auto"/>
        <w:left w:val="none" w:sz="0" w:space="0" w:color="auto"/>
        <w:bottom w:val="none" w:sz="0" w:space="0" w:color="auto"/>
        <w:right w:val="none" w:sz="0" w:space="0" w:color="auto"/>
      </w:divBdr>
    </w:div>
    <w:div w:id="2077625910">
      <w:bodyDiv w:val="1"/>
      <w:marLeft w:val="0"/>
      <w:marRight w:val="0"/>
      <w:marTop w:val="0"/>
      <w:marBottom w:val="0"/>
      <w:divBdr>
        <w:top w:val="none" w:sz="0" w:space="0" w:color="auto"/>
        <w:left w:val="none" w:sz="0" w:space="0" w:color="auto"/>
        <w:bottom w:val="none" w:sz="0" w:space="0" w:color="auto"/>
        <w:right w:val="none" w:sz="0" w:space="0" w:color="auto"/>
      </w:divBdr>
      <w:divsChild>
        <w:div w:id="325255608">
          <w:blockQuote w:val="1"/>
          <w:marLeft w:val="543"/>
          <w:marRight w:val="543"/>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stinsonlaw@verizon.net"/>
  <Relationship Id="rId11" Type="http://schemas.openxmlformats.org/officeDocument/2006/relationships/hyperlink" TargetMode="External" Target="mailto:cms@sabattlaw.com"/>
  <Relationship Id="rId12" Type="http://schemas.openxmlformats.org/officeDocument/2006/relationships/hyperlink" TargetMode="External" Target="mailto:dhoyt@hoytporro.com"/>
  <Relationship Id="rId13" Type="http://schemas.openxmlformats.org/officeDocument/2006/relationships/hyperlink" TargetMode="External" Target="mailto:lawyers@mclaughlinbrothers.com"/>
  <Relationship Id="rId14" Type="http://schemas.openxmlformats.org/officeDocument/2006/relationships/hyperlink" TargetMode="External" Target="mailto:jgoldrosen@k-plaw.com"/>
  <Relationship Id="rId15" Type="http://schemas.openxmlformats.org/officeDocument/2006/relationships/hyperlink" TargetMode="External" Target="mailto:Dana.muldoon@state.ma.us"/>
  <Relationship Id="rId16" Type="http://schemas.openxmlformats.org/officeDocument/2006/relationships/hyperlink" TargetMode="External" Target="mailto:David.hill@state.ma.us"/>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21" Type="http://schemas.microsoft.com/office/2007/relationships/stylesWithEffects" Target="stylesWithEffect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advance.lexis.com/document/?pdmfid=1000516&amp;crid=195fab89-dfcd-447a-99a2-f63ab74f4f0d&amp;pddocfullpath=%2Fshared%2Fdocument%2Fadministrative-materials%2Furn%3AcontentItem%3A576G-KMX0-00FG-V2V6-00000-00&amp;pddocid=urn%3AcontentItem%3A576G-KMX0-00FG-V2V6-00000-00&amp;pdcontentcomponentid=232350&amp;pdteaserkey=sr1&amp;ecomp=_thhk&amp;earg=sr1&amp;prid=9b320db3-82e2-45b0-baa6-2345fbd6a4d0"/>
  <Relationship Id="rId9" Type="http://schemas.openxmlformats.org/officeDocument/2006/relationships/hyperlink" TargetMode="External" Target="https://advance.lexis.com/document/?pdmfid=1000516&amp;crid=195fab89-dfcd-447a-99a2-f63ab74f4f0d&amp;pddocfullpath=%2Fshared%2Fdocument%2Fadministrative-materials%2Furn%3AcontentItem%3A576G-KMX0-00FG-V2V6-00000-00&amp;pddocid=urn%3AcontentItem%3A576G-KMX0-00FG-V2V6-00000-00&amp;pdcontentcomponentid=232350&amp;pdteaserkey=sr1&amp;ecomp=_thhk&amp;earg=sr1&amp;prid=9b320db3-82e2-45b0-baa6-2345fbd6a4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FEF3-75E3-4B0E-BE2B-115C68D2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4976</Words>
  <Characters>27404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The Request for Adjudicatory Hearing filed in this matter, seeking a rescission of the SOC, states as the basis for the appeal…” that the project would be in violation of 310 CMR</vt:lpstr>
    </vt:vector>
  </TitlesOfParts>
  <Company>EOEEA</Company>
  <LinksUpToDate>false</LinksUpToDate>
  <CharactersWithSpaces>32316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2016-01-05T20:56:00Z</dcterms:created>
  <dc:creator>Philip Weinberg</dc:creator>
  <lastModifiedBy>bmunster</lastModifiedBy>
  <lastPrinted>2015-12-21T19:48:00Z</lastPrinted>
  <dcterms:modified xsi:type="dcterms:W3CDTF">2016-01-05T20:56:00Z</dcterms:modified>
  <revision>2</revision>
  <dc:title>The Request for Adjudicatory Hearing filed in this matter, seeking a rescission of the SOC, states as the basis for the appeal…” that the project would be in violation of 310 CMR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-703556062</vt:i4>
  </property>
  <property fmtid="{D5CDD505-2E9C-101B-9397-08002B2CF9AE}" pid="3" name="_NewReviewCycle">
    <vt:lpwstr/>
  </property>
  <property fmtid="{D5CDD505-2E9C-101B-9397-08002B2CF9AE}" pid="4" name="_EmailSubject">
    <vt:lpwstr>In the matter of Elizabeth A. Maher, Docket No. 2014-018</vt:lpwstr>
  </property>
  <property fmtid="{D5CDD505-2E9C-101B-9397-08002B2CF9AE}" pid="5" name="_AuthorEmail">
    <vt:lpwstr>Timothy.Jones@MassMail.State.MA.US</vt:lpwstr>
  </property>
  <property fmtid="{D5CDD505-2E9C-101B-9397-08002B2CF9AE}" pid="6" name="_AuthorEmailDisplayName">
    <vt:lpwstr>Jones, Timothy (DEP)</vt:lpwstr>
  </property>
  <property fmtid="{D5CDD505-2E9C-101B-9397-08002B2CF9AE}" pid="7" name="_ReviewingToolsShownOnce">
    <vt:lpwstr/>
  </property>
</Properties>
</file>