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CD" w:rsidRPr="004664BF" w:rsidRDefault="004664BF" w:rsidP="0084692F">
      <w:pPr>
        <w:pStyle w:val="Heading3"/>
        <w:jc w:val="center"/>
        <w:rPr>
          <w:color w:val="FF0000"/>
        </w:rPr>
      </w:pPr>
      <w:proofErr w:type="gramStart"/>
      <w:r>
        <w:t>Table 1</w:t>
      </w:r>
      <w:r w:rsidRPr="00183157">
        <w:t>.</w:t>
      </w:r>
      <w:proofErr w:type="gramEnd"/>
      <w:r w:rsidRPr="00183157">
        <w:t xml:space="preserve"> </w:t>
      </w:r>
      <w:r w:rsidR="000005AE" w:rsidRPr="00183157">
        <w:t>Summary</w:t>
      </w:r>
      <w:r w:rsidR="00075D5D">
        <w:t xml:space="preserve"> of All ED Visits</w:t>
      </w:r>
    </w:p>
    <w:p w:rsidR="0084692F" w:rsidRPr="004138CC" w:rsidRDefault="003D6984" w:rsidP="00710A2E">
      <w:pPr>
        <w:ind w:left="11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75D5D">
        <w:rPr>
          <w:rFonts w:ascii="Arial" w:hAnsi="Arial" w:cs="Arial"/>
          <w:sz w:val="20"/>
          <w:szCs w:val="20"/>
        </w:rPr>
        <w:t xml:space="preserve"> = Number of Visits</w:t>
      </w:r>
    </w:p>
    <w:tbl>
      <w:tblPr>
        <w:tblStyle w:val="TableGrid"/>
        <w:tblpPr w:leftFromText="180" w:rightFromText="180" w:vertAnchor="text" w:tblpX="1101" w:tblpY="1"/>
        <w:tblOverlap w:val="never"/>
        <w:tblW w:w="8710" w:type="dxa"/>
        <w:tblBorders>
          <w:top w:val="single" w:sz="18" w:space="0" w:color="808080"/>
          <w:left w:val="single" w:sz="18" w:space="0" w:color="808080"/>
          <w:bottom w:val="single" w:sz="4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48"/>
        <w:gridCol w:w="561"/>
        <w:gridCol w:w="1309"/>
        <w:gridCol w:w="1496"/>
        <w:gridCol w:w="1496"/>
        <w:gridCol w:w="1496"/>
      </w:tblGrid>
      <w:tr w:rsidR="00C92AE6" w:rsidRPr="003C4AC4">
        <w:trPr>
          <w:trHeight w:val="360"/>
        </w:trPr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AE6" w:rsidRPr="004138CC" w:rsidRDefault="00C92AE6" w:rsidP="00710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= Percent of Visits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C92AE6" w:rsidRPr="000005AE" w:rsidRDefault="00C92AE6" w:rsidP="00710A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7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C92AE6" w:rsidRPr="00183157" w:rsidRDefault="00C92AE6" w:rsidP="0071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063EA2" w:rsidRPr="003C4AC4"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EA2" w:rsidRPr="004138CC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063EA2" w:rsidRPr="000005AE" w:rsidRDefault="00063EA2" w:rsidP="00710A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7C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Visits</w:t>
            </w:r>
            <w:r w:rsidRPr="005047C9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063EA2" w:rsidRPr="005047C9" w:rsidRDefault="00063EA2" w:rsidP="00710A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063EA2" w:rsidRPr="003C4AC4" w:rsidTr="00D13414">
        <w:trPr>
          <w:trHeight w:val="500"/>
        </w:trPr>
        <w:tc>
          <w:tcPr>
            <w:tcW w:w="2913" w:type="dxa"/>
            <w:gridSpan w:val="3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4D57C1" w:rsidRDefault="00710A2E" w:rsidP="00710A2E">
            <w:pPr>
              <w:tabs>
                <w:tab w:val="left" w:pos="2618"/>
              </w:tabs>
              <w:ind w:left="2172" w:right="-295" w:hanging="3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63EA2" w:rsidRPr="004D57C1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16D4">
              <w:rPr>
                <w:rFonts w:ascii="Arial" w:hAnsi="Arial" w:cs="Arial"/>
                <w:b/>
                <w:sz w:val="20"/>
                <w:szCs w:val="20"/>
              </w:rPr>
              <w:t>44,023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063EA2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16D4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8C16D4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324.5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8C16D4" w:rsidP="00D134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322-328</w:t>
            </w:r>
          </w:p>
        </w:tc>
      </w:tr>
      <w:tr w:rsidR="00063EA2" w:rsidRPr="003C4AC4" w:rsidTr="00D13414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063EA2" w:rsidRPr="00311545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309" w:type="dxa"/>
            <w:gridSpan w:val="2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341.6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330-353</w:t>
            </w:r>
          </w:p>
        </w:tc>
      </w:tr>
      <w:tr w:rsidR="004C5C36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5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475.2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463-488</w:t>
            </w:r>
          </w:p>
        </w:tc>
      </w:tr>
      <w:tr w:rsidR="004C5C36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6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382.0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373-392</w:t>
            </w:r>
          </w:p>
        </w:tc>
      </w:tr>
      <w:tr w:rsidR="004C5C36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6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362.9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354-372</w:t>
            </w:r>
          </w:p>
        </w:tc>
      </w:tr>
      <w:tr w:rsidR="004C5C36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326.5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320-334</w:t>
            </w:r>
          </w:p>
        </w:tc>
      </w:tr>
      <w:tr w:rsidR="004C5C36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269.2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263-275</w:t>
            </w:r>
          </w:p>
        </w:tc>
      </w:tr>
      <w:tr w:rsidR="004C5C36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4C5C36" w:rsidRPr="00311545" w:rsidRDefault="004C5C36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258.8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4C5C36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253-265</w:t>
            </w:r>
          </w:p>
        </w:tc>
      </w:tr>
      <w:tr w:rsidR="00063EA2" w:rsidRPr="003C4AC4" w:rsidTr="00D13414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063EA2" w:rsidRPr="00311545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CD4D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309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309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29,027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65.9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458.6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454-464</w:t>
            </w:r>
          </w:p>
        </w:tc>
      </w:tr>
      <w:tr w:rsidR="00063EA2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063EA2" w:rsidRPr="00311545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14,995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4C5C36" w:rsidRPr="008C16D4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207.2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53F6E" w:rsidRDefault="004C5C36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204-211</w:t>
            </w:r>
          </w:p>
        </w:tc>
      </w:tr>
      <w:tr w:rsidR="00063EA2" w:rsidRPr="003C4AC4" w:rsidTr="00D13414">
        <w:trPr>
          <w:trHeight w:val="505"/>
        </w:trPr>
        <w:tc>
          <w:tcPr>
            <w:tcW w:w="1604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063EA2" w:rsidRPr="00311545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  <w:tc>
          <w:tcPr>
            <w:tcW w:w="1309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White, non-Hispanic</w:t>
            </w:r>
          </w:p>
        </w:tc>
        <w:tc>
          <w:tcPr>
            <w:tcW w:w="1309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34,215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366E4E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77.7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317.8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314-321</w:t>
            </w:r>
          </w:p>
        </w:tc>
      </w:tr>
      <w:tr w:rsidR="00063EA2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063EA2" w:rsidRPr="00311545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972B80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347.8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33</w:t>
            </w:r>
            <w:r w:rsidR="00972B80">
              <w:rPr>
                <w:rFonts w:ascii="Arial" w:hAnsi="Arial" w:cs="Arial"/>
                <w:sz w:val="20"/>
                <w:szCs w:val="20"/>
              </w:rPr>
              <w:t>8</w:t>
            </w:r>
            <w:r w:rsidRPr="00853F6E">
              <w:rPr>
                <w:rFonts w:ascii="Arial" w:hAnsi="Arial" w:cs="Arial"/>
                <w:sz w:val="20"/>
                <w:szCs w:val="20"/>
              </w:rPr>
              <w:t>-358</w:t>
            </w:r>
          </w:p>
        </w:tc>
      </w:tr>
      <w:tr w:rsidR="00063EA2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063EA2" w:rsidRPr="00311545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Black, non-</w:t>
            </w:r>
            <w:r w:rsidRPr="000746A6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7F14AB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972B80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301.6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063EA2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290-313</w:t>
            </w:r>
          </w:p>
        </w:tc>
      </w:tr>
      <w:tr w:rsidR="00063EA2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063EA2" w:rsidRPr="00311545" w:rsidRDefault="00063EA2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063EA2" w:rsidRPr="000746A6" w:rsidRDefault="00063EA2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C16D4" w:rsidRDefault="00366E4E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1,740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C16D4" w:rsidRDefault="00366E4E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281.3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063EA2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268-295</w:t>
            </w:r>
          </w:p>
        </w:tc>
      </w:tr>
      <w:tr w:rsidR="00952368" w:rsidRPr="003C4AC4" w:rsidTr="00D13414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952368" w:rsidRPr="00311545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545">
              <w:rPr>
                <w:rFonts w:ascii="Arial" w:hAnsi="Arial" w:cs="Arial"/>
                <w:b/>
                <w:sz w:val="20"/>
                <w:szCs w:val="20"/>
              </w:rPr>
              <w:t>Year of Hospital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Visit</w:t>
            </w:r>
            <w:r w:rsidRPr="00CD4D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309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1309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11,225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390.1</w:t>
            </w:r>
          </w:p>
        </w:tc>
        <w:tc>
          <w:tcPr>
            <w:tcW w:w="1496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383-397</w:t>
            </w:r>
          </w:p>
        </w:tc>
      </w:tr>
      <w:tr w:rsidR="00952368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9,734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342.8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336-350</w:t>
            </w:r>
          </w:p>
        </w:tc>
      </w:tr>
      <w:tr w:rsidR="00952368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7,795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278.1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272-284</w:t>
            </w:r>
          </w:p>
        </w:tc>
      </w:tr>
      <w:tr w:rsidR="00952368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7,724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313.3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306-320</w:t>
            </w:r>
          </w:p>
        </w:tc>
      </w:tr>
      <w:tr w:rsidR="00952368" w:rsidRPr="003C4AC4" w:rsidTr="00D13414">
        <w:trPr>
          <w:trHeight w:val="432"/>
        </w:trPr>
        <w:tc>
          <w:tcPr>
            <w:tcW w:w="1604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952368" w:rsidRPr="00311545" w:rsidRDefault="00952368" w:rsidP="0071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952368" w:rsidRPr="000746A6" w:rsidRDefault="00952368" w:rsidP="00710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7,545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17.1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C16D4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292.5</w:t>
            </w:r>
          </w:p>
        </w:tc>
        <w:tc>
          <w:tcPr>
            <w:tcW w:w="149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952368" w:rsidRPr="00853F6E" w:rsidRDefault="00952368" w:rsidP="00D134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F6E">
              <w:rPr>
                <w:rFonts w:ascii="Arial" w:hAnsi="Arial" w:cs="Arial"/>
                <w:sz w:val="20"/>
                <w:szCs w:val="20"/>
              </w:rPr>
              <w:t>286-299</w:t>
            </w:r>
          </w:p>
        </w:tc>
      </w:tr>
    </w:tbl>
    <w:p w:rsidR="0054105C" w:rsidRPr="0054105C" w:rsidRDefault="00E714F8" w:rsidP="0054105C">
      <w:pPr>
        <w:pStyle w:val="Heading3"/>
        <w:spacing w:before="0" w:after="0"/>
        <w:jc w:val="center"/>
        <w:rPr>
          <w:sz w:val="12"/>
          <w:szCs w:val="12"/>
        </w:rPr>
      </w:pPr>
      <w:r>
        <w:rPr>
          <w:noProof/>
          <w:sz w:val="20"/>
          <w:szCs w:val="20"/>
        </w:rPr>
        <w:pict>
          <v:group id="_x0000_s1047" style="position:absolute;left:0;text-align:left;margin-left:38.85pt;margin-top:438.05pt;width:455.45pt;height:44.7pt;z-index:-251665920;mso-position-horizontal-relative:text;mso-position-vertical-relative:text" coordorigin="1525,11510" coordsize="9109,894">
            <v:line id="_x0000_s1027" style="position:absolute;flip:x" from="1525,11526" to="1529,12404" o:regroupid="2" strokecolor="gray" strokeweight="2.25pt">
              <v:stroke dashstyle="1 1" endarrow="block"/>
            </v:line>
            <v:line id="_x0000_s1028" style="position:absolute;flip:x" from="10630,11510" to="10634,12388" o:regroupid="2" strokecolor="gray" strokeweight="2.25pt">
              <v:stroke dashstyle="1 1" endarrow="block"/>
            </v:line>
          </v:group>
        </w:pict>
      </w:r>
      <w:r w:rsidR="008E79D5">
        <w:br w:type="textWrapping" w:clear="all"/>
      </w:r>
    </w:p>
    <w:p w:rsidR="009B6F98" w:rsidRDefault="0054105C" w:rsidP="00CD4DCA">
      <w:pPr>
        <w:pStyle w:val="Heading3"/>
        <w:spacing w:before="0" w:after="0"/>
        <w:jc w:val="center"/>
        <w:rPr>
          <w:rFonts w:ascii="Garamond" w:hAnsi="Garamond"/>
          <w:b w:val="0"/>
          <w:color w:val="808080"/>
          <w:sz w:val="24"/>
          <w:szCs w:val="24"/>
        </w:rPr>
      </w:pPr>
      <w:r w:rsidRPr="0054105C">
        <w:rPr>
          <w:rFonts w:ascii="Garamond" w:hAnsi="Garamond"/>
          <w:b w:val="0"/>
          <w:color w:val="808080"/>
          <w:sz w:val="24"/>
          <w:szCs w:val="24"/>
        </w:rPr>
        <w:t>(</w:t>
      </w:r>
      <w:proofErr w:type="gramStart"/>
      <w:r w:rsidRPr="0054105C">
        <w:rPr>
          <w:rFonts w:ascii="Garamond" w:hAnsi="Garamond"/>
          <w:b w:val="0"/>
          <w:color w:val="808080"/>
          <w:sz w:val="24"/>
          <w:szCs w:val="24"/>
        </w:rPr>
        <w:t>continued</w:t>
      </w:r>
      <w:proofErr w:type="gramEnd"/>
      <w:r w:rsidRPr="0054105C">
        <w:rPr>
          <w:rFonts w:ascii="Garamond" w:hAnsi="Garamond"/>
          <w:b w:val="0"/>
          <w:color w:val="808080"/>
          <w:sz w:val="24"/>
          <w:szCs w:val="24"/>
        </w:rPr>
        <w:t xml:space="preserve"> on next page)</w:t>
      </w:r>
    </w:p>
    <w:p w:rsidR="003D6984" w:rsidRDefault="00E714F8" w:rsidP="0034399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24"/>
          <w:szCs w:val="24"/>
        </w:rPr>
        <w:pict>
          <v:line id="_x0000_s1030" style="position:absolute;left:0;text-align:left;flip:y;z-index:251652608" from="0,6.3pt" to="523.6pt,6.8pt" strokecolor="silver"/>
        </w:pict>
      </w:r>
    </w:p>
    <w:p w:rsidR="009B6F98" w:rsidRPr="00725993" w:rsidRDefault="009B6F98" w:rsidP="0034399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 w:rsidR="00D9348E">
        <w:rPr>
          <w:rFonts w:ascii="Garamond" w:hAnsi="Garamond"/>
          <w:b w:val="0"/>
          <w:color w:val="808080"/>
          <w:sz w:val="18"/>
          <w:szCs w:val="18"/>
        </w:rPr>
        <w:t xml:space="preserve">Emergency </w:t>
      </w:r>
      <w:r w:rsidR="00BC7E82">
        <w:rPr>
          <w:rFonts w:ascii="Garamond" w:hAnsi="Garamond"/>
          <w:b w:val="0"/>
          <w:color w:val="808080"/>
          <w:sz w:val="18"/>
          <w:szCs w:val="18"/>
        </w:rPr>
        <w:t>Discharge</w:t>
      </w:r>
      <w:r w:rsidR="00972B80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 w:rsidR="003E3341"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972B80">
        <w:rPr>
          <w:rFonts w:ascii="Garamond" w:hAnsi="Garamond"/>
          <w:b w:val="0"/>
          <w:color w:val="808080"/>
          <w:sz w:val="18"/>
          <w:szCs w:val="18"/>
        </w:rPr>
        <w:t xml:space="preserve"> 31 Dec 2011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, Massachusetts </w:t>
      </w:r>
      <w:r w:rsidR="00F30A8B">
        <w:rPr>
          <w:rFonts w:ascii="Garamond" w:hAnsi="Garamond"/>
          <w:b w:val="0"/>
          <w:color w:val="808080"/>
          <w:sz w:val="18"/>
          <w:szCs w:val="18"/>
        </w:rPr>
        <w:t>Center for Health Information and Analysis</w:t>
      </w:r>
      <w:r w:rsidR="00F84F48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and rates not calculated for cells with less</w:t>
      </w:r>
      <w:r w:rsidR="00C0354E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 </w:t>
      </w:r>
    </w:p>
    <w:p w:rsidR="00F84F48" w:rsidRDefault="00F84F48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F84F48" w:rsidRDefault="00075D5D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 visit</w:t>
      </w:r>
      <w:r w:rsidR="008A7C96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F84F48" w:rsidRDefault="00ED3C89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</w:t>
      </w:r>
      <w:r w:rsidR="008A7C96" w:rsidRPr="00ED3C89">
        <w:rPr>
          <w:rFonts w:ascii="Garamond" w:hAnsi="Garamond"/>
          <w:b w:val="0"/>
          <w:color w:val="808080"/>
          <w:sz w:val="18"/>
          <w:szCs w:val="18"/>
        </w:rPr>
        <w:t xml:space="preserve">of work-relatedness </w:t>
      </w:r>
      <w:r w:rsidR="00725993" w:rsidRPr="00ED3C89">
        <w:rPr>
          <w:rFonts w:ascii="Garamond" w:hAnsi="Garamond"/>
          <w:b w:val="0"/>
          <w:color w:val="808080"/>
          <w:sz w:val="18"/>
          <w:szCs w:val="18"/>
        </w:rPr>
        <w:t xml:space="preserve">is </w:t>
      </w:r>
      <w:r w:rsidR="008A7C96" w:rsidRPr="00ED3C89">
        <w:rPr>
          <w:rFonts w:ascii="Garamond" w:hAnsi="Garamond"/>
          <w:b w:val="0"/>
          <w:color w:val="808080"/>
          <w:sz w:val="18"/>
          <w:szCs w:val="18"/>
        </w:rPr>
        <w:t>based on designation of Workers’ Compensation Insurance as expected payer</w:t>
      </w:r>
      <w:r w:rsidR="00725993" w:rsidRPr="00ED3C89">
        <w:rPr>
          <w:rFonts w:ascii="Garamond" w:hAnsi="Garamond"/>
          <w:b w:val="0"/>
          <w:color w:val="808080"/>
          <w:sz w:val="18"/>
          <w:szCs w:val="18"/>
        </w:rPr>
        <w:t>.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F84F48" w:rsidRDefault="00725993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Injuries per 10,000 FTE calculated a</w:t>
      </w:r>
      <w:r w:rsidR="003E3341" w:rsidRPr="00ED3C89">
        <w:rPr>
          <w:rFonts w:ascii="Garamond" w:hAnsi="Garamond"/>
          <w:b w:val="0"/>
          <w:color w:val="808080"/>
          <w:sz w:val="18"/>
          <w:szCs w:val="18"/>
        </w:rPr>
        <w:t>s number of injury / FTE*10,000;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FT</w:t>
      </w:r>
      <w:r w:rsidR="003E3341" w:rsidRPr="00ED3C89">
        <w:rPr>
          <w:rFonts w:ascii="Garamond" w:hAnsi="Garamond"/>
          <w:b w:val="0"/>
          <w:color w:val="808080"/>
          <w:sz w:val="18"/>
          <w:szCs w:val="18"/>
        </w:rPr>
        <w:t>Es=total hours per year / 2000</w:t>
      </w:r>
      <w:r w:rsidR="00F84F48">
        <w:rPr>
          <w:rFonts w:ascii="Garamond" w:hAnsi="Garamond"/>
          <w:b w:val="0"/>
          <w:color w:val="808080"/>
          <w:sz w:val="18"/>
          <w:szCs w:val="18"/>
        </w:rPr>
        <w:t>.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CD4DCA" w:rsidRDefault="003E3341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Total hours worked for Massachusetts residents obtained from</w:t>
      </w:r>
      <w:r w:rsidR="00884B12" w:rsidRPr="00ED3C89">
        <w:rPr>
          <w:rFonts w:ascii="Garamond" w:hAnsi="Garamond"/>
          <w:b w:val="0"/>
          <w:color w:val="808080"/>
          <w:sz w:val="18"/>
          <w:szCs w:val="18"/>
        </w:rPr>
        <w:t xml:space="preserve"> Current Population Survey</w:t>
      </w:r>
      <w:r w:rsidR="00ED3C89" w:rsidRPr="00ED3C89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r w:rsidR="00884B12" w:rsidRPr="00ED3C89">
        <w:rPr>
          <w:rFonts w:ascii="Garamond" w:hAnsi="Garamond"/>
          <w:b w:val="0"/>
          <w:color w:val="808080"/>
          <w:sz w:val="18"/>
          <w:szCs w:val="18"/>
        </w:rPr>
        <w:t>Bureau of Labor Statistics</w:t>
      </w:r>
      <w:r w:rsidR="00972B80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proofErr w:type="gramStart"/>
      <w:r w:rsidR="00972B80">
        <w:rPr>
          <w:rFonts w:ascii="Garamond" w:hAnsi="Garamond"/>
          <w:b w:val="0"/>
          <w:color w:val="808080"/>
          <w:sz w:val="18"/>
          <w:szCs w:val="18"/>
        </w:rPr>
        <w:t>Jan</w:t>
      </w:r>
      <w:proofErr w:type="gramEnd"/>
      <w:r w:rsidR="00972B80">
        <w:rPr>
          <w:rFonts w:ascii="Garamond" w:hAnsi="Garamond"/>
          <w:b w:val="0"/>
          <w:color w:val="808080"/>
          <w:sz w:val="18"/>
          <w:szCs w:val="18"/>
        </w:rPr>
        <w:t xml:space="preserve"> 2007 through Dec 2011</w:t>
      </w:r>
      <w:r w:rsidR="00884B12" w:rsidRPr="00ED3C89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2C38BC" w:rsidRDefault="00E714F8" w:rsidP="002C38BC">
      <w:pPr>
        <w:pStyle w:val="Heading3"/>
        <w:spacing w:before="0" w:after="0"/>
        <w:ind w:left="187" w:right="113"/>
        <w:rPr>
          <w:rFonts w:ascii="Garamond" w:hAnsi="Garamond"/>
          <w:b w:val="0"/>
          <w:bCs w:val="0"/>
          <w:color w:val="808080"/>
          <w:sz w:val="18"/>
        </w:rPr>
        <w:sectPr w:rsidR="002C38BC" w:rsidSect="000779A0">
          <w:headerReference w:type="default" r:id="rId8"/>
          <w:footerReference w:type="default" r:id="rId9"/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  <w:r>
        <w:rPr>
          <w:rFonts w:ascii="Garamond" w:hAnsi="Garamond"/>
          <w:b w:val="0"/>
          <w:bCs w:val="0"/>
          <w:noProof/>
          <w:color w:val="808080"/>
          <w:sz w:val="18"/>
        </w:rPr>
        <w:pict>
          <v:line id="_x0000_s1029" style="position:absolute;left:0;text-align:left;z-index:251651584" from="0,24.3pt" to="523.6pt,24.3pt" strokecolor="gray"/>
        </w:pict>
      </w:r>
      <w:r w:rsidR="00CD4DCA" w:rsidRPr="00CD4DCA">
        <w:rPr>
          <w:rFonts w:ascii="Garamond" w:hAnsi="Garamond"/>
          <w:b w:val="0"/>
          <w:bCs w:val="0"/>
          <w:color w:val="808080"/>
          <w:sz w:val="18"/>
          <w:vertAlign w:val="superscript"/>
        </w:rPr>
        <w:t>+</w:t>
      </w:r>
      <w:r w:rsidR="003D6984">
        <w:rPr>
          <w:rFonts w:ascii="Garamond" w:hAnsi="Garamond"/>
          <w:b w:val="0"/>
          <w:bCs w:val="0"/>
          <w:color w:val="808080"/>
          <w:sz w:val="18"/>
        </w:rPr>
        <w:t>Difference is</w:t>
      </w:r>
      <w:r w:rsidR="00CD4DCA" w:rsidRPr="00CD4DCA">
        <w:rPr>
          <w:rFonts w:ascii="Garamond" w:hAnsi="Garamond"/>
          <w:b w:val="0"/>
          <w:bCs w:val="0"/>
          <w:color w:val="808080"/>
          <w:sz w:val="18"/>
        </w:rPr>
        <w:t xml:space="preserve"> significant based on 95% confidence intervals; however, the standard error of the denominator was not taken into account when calculating confidence intervals.</w:t>
      </w:r>
      <w:r w:rsidR="00884B12" w:rsidRPr="00CD4DCA">
        <w:rPr>
          <w:rFonts w:ascii="Garamond" w:hAnsi="Garamond"/>
          <w:b w:val="0"/>
          <w:bCs w:val="0"/>
          <w:color w:val="808080"/>
          <w:sz w:val="18"/>
        </w:rPr>
        <w:t xml:space="preserve"> </w:t>
      </w:r>
    </w:p>
    <w:p w:rsidR="000005AE" w:rsidRPr="0026118E" w:rsidRDefault="00AE3045" w:rsidP="002C38BC">
      <w:pPr>
        <w:pStyle w:val="Heading3"/>
        <w:spacing w:before="0" w:after="0"/>
        <w:ind w:left="187" w:right="113"/>
        <w:jc w:val="center"/>
        <w:rPr>
          <w:rFonts w:ascii="Garamond" w:hAnsi="Garamond"/>
          <w:color w:val="808080"/>
          <w:sz w:val="22"/>
          <w:szCs w:val="22"/>
        </w:rPr>
      </w:pPr>
      <w:r w:rsidRPr="00CD4DCA">
        <w:rPr>
          <w:rFonts w:ascii="Garamond" w:hAnsi="Garamond"/>
          <w:b w:val="0"/>
          <w:bCs w:val="0"/>
          <w:color w:val="808080"/>
          <w:sz w:val="18"/>
        </w:rPr>
        <w:lastRenderedPageBreak/>
        <w:br w:type="page"/>
      </w:r>
      <w:r>
        <w:lastRenderedPageBreak/>
        <w:t>T</w:t>
      </w:r>
      <w:r w:rsidR="004664BF">
        <w:t xml:space="preserve">able 1. </w:t>
      </w:r>
      <w:r w:rsidR="009E76CD">
        <w:t>Summary</w:t>
      </w:r>
      <w:r w:rsidR="00F30A8B">
        <w:t xml:space="preserve"> of All ED Visits</w:t>
      </w:r>
    </w:p>
    <w:p w:rsidR="00604B2A" w:rsidRDefault="00E714F8" w:rsidP="009E76CD">
      <w:pPr>
        <w:jc w:val="center"/>
        <w:rPr>
          <w:rFonts w:ascii="Garamond" w:hAnsi="Garamond"/>
          <w:color w:val="808080"/>
        </w:rPr>
      </w:pPr>
      <w:r>
        <w:rPr>
          <w:noProof/>
        </w:rPr>
        <w:pict>
          <v:group id="_x0000_s1048" style="position:absolute;left:0;text-align:left;margin-left:45.45pt;margin-top:2.7pt;width:447.1pt;height:48.45pt;z-index:-251660800" coordorigin="1657,2333" coordsize="8942,969">
            <v:line id="_x0000_s1034" style="position:absolute;flip:x" from="1657,2424" to="1661,3302" o:regroupid="3" strokecolor="gray" strokeweight="2.25pt">
              <v:stroke dashstyle="1 1" endarrow="block"/>
            </v:line>
            <v:line id="_x0000_s1035" style="position:absolute;flip:x" from="10595,2333" to="10599,3211" o:regroupid="3" strokecolor="gray" strokeweight="2.25pt">
              <v:stroke dashstyle="1 1" endarrow="block"/>
            </v:line>
          </v:group>
        </w:pict>
      </w:r>
      <w:r w:rsidR="004664BF">
        <w:rPr>
          <w:rFonts w:ascii="Garamond" w:hAnsi="Garamond"/>
          <w:color w:val="808080"/>
        </w:rPr>
        <w:t>continued from previous page</w:t>
      </w:r>
    </w:p>
    <w:p w:rsidR="009E76CD" w:rsidRPr="009E76CD" w:rsidRDefault="009E76CD" w:rsidP="009E76CD">
      <w:pPr>
        <w:jc w:val="center"/>
        <w:rPr>
          <w:rFonts w:ascii="Garamond" w:hAnsi="Garamond"/>
          <w:color w:val="808080"/>
          <w:sz w:val="12"/>
          <w:szCs w:val="12"/>
        </w:rPr>
      </w:pPr>
    </w:p>
    <w:tbl>
      <w:tblPr>
        <w:tblStyle w:val="TableGrid"/>
        <w:tblW w:w="8493" w:type="dxa"/>
        <w:tblInd w:w="1122" w:type="dxa"/>
        <w:tblBorders>
          <w:top w:val="none" w:sz="0" w:space="0" w:color="auto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15"/>
        <w:gridCol w:w="2395"/>
        <w:gridCol w:w="1181"/>
        <w:gridCol w:w="1071"/>
        <w:gridCol w:w="1309"/>
        <w:gridCol w:w="1122"/>
      </w:tblGrid>
      <w:tr w:rsidR="00F70351" w:rsidRPr="003C4AC4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F70351" w:rsidRPr="00160689" w:rsidRDefault="00F70351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F70351" w:rsidRPr="00160689" w:rsidRDefault="00F70351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3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F70351" w:rsidRPr="00183157" w:rsidRDefault="00F70351" w:rsidP="00AC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157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763B1A" w:rsidRPr="003C4AC4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763B1A" w:rsidRPr="00160689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763B1A" w:rsidRPr="00531246" w:rsidRDefault="00763B1A" w:rsidP="009B47F5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763B1A" w:rsidRPr="00531246" w:rsidRDefault="00763B1A" w:rsidP="00B40F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24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763B1A" w:rsidRPr="00531246" w:rsidRDefault="00763B1A" w:rsidP="00B40F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Visits</w:t>
            </w:r>
            <w:r w:rsidRPr="00531246">
              <w:rPr>
                <w:rFonts w:ascii="Arial" w:hAnsi="Arial" w:cs="Arial"/>
                <w:sz w:val="20"/>
                <w:szCs w:val="20"/>
              </w:rPr>
              <w:t xml:space="preserve"> per 10,000 FTEs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763B1A" w:rsidRPr="00531246" w:rsidRDefault="00763B1A" w:rsidP="00AC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763B1A" w:rsidRPr="00160689" w:rsidRDefault="00763B1A" w:rsidP="006F7ACB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395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16,859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38.3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124.3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122-126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9,234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67-70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8,202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59-62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2,203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52368">
              <w:rPr>
                <w:rFonts w:ascii="Arial" w:hAnsi="Arial" w:cs="Arial"/>
                <w:sz w:val="20"/>
                <w:szCs w:val="20"/>
              </w:rPr>
              <w:t>-17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952368">
              <w:rPr>
                <w:rFonts w:ascii="Arial" w:hAnsi="Arial" w:cs="Arial"/>
                <w:sz w:val="20"/>
                <w:szCs w:val="20"/>
              </w:rPr>
              <w:t>-14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52368"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66E4E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66E4E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BB4FC2" w:rsidRDefault="00763B1A" w:rsidP="006365FF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1,739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9999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2,442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17-19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999999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763B1A" w:rsidRPr="00160689" w:rsidRDefault="00763B1A" w:rsidP="006F7ACB">
            <w:pPr>
              <w:rPr>
                <w:rFonts w:ascii="Arial" w:hAnsi="Arial" w:cs="Arial"/>
                <w:sz w:val="20"/>
                <w:szCs w:val="20"/>
              </w:rPr>
            </w:pPr>
            <w:r w:rsidRPr="00160689">
              <w:rPr>
                <w:rFonts w:ascii="Arial" w:hAnsi="Arial" w:cs="Arial"/>
                <w:b/>
                <w:sz w:val="20"/>
                <w:szCs w:val="20"/>
              </w:rPr>
              <w:t>External Cause of Injury</w:t>
            </w:r>
          </w:p>
        </w:tc>
        <w:tc>
          <w:tcPr>
            <w:tcW w:w="2395" w:type="dxa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81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12,822</w:t>
            </w:r>
          </w:p>
        </w:tc>
        <w:tc>
          <w:tcPr>
            <w:tcW w:w="1071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  <w:tc>
          <w:tcPr>
            <w:tcW w:w="1309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93-96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7,278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52-55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43-45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4,460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32-34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2,225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1,490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952368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04B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366E4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66E4E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1.5-2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ther transportation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A301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6A3013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6A3013">
              <w:rPr>
                <w:rFonts w:ascii="Arial" w:hAnsi="Arial" w:cs="Arial"/>
                <w:sz w:val="20"/>
                <w:szCs w:val="20"/>
              </w:rPr>
              <w:t>6-0.9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BB4FC2" w:rsidRDefault="00763B1A" w:rsidP="00604B2A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5,063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36-38</w:t>
            </w:r>
          </w:p>
        </w:tc>
      </w:tr>
      <w:tr w:rsidR="00763B1A" w:rsidRPr="003C4AC4" w:rsidTr="004A1AF7">
        <w:trPr>
          <w:trHeight w:val="360"/>
        </w:trPr>
        <w:tc>
          <w:tcPr>
            <w:tcW w:w="1415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763B1A" w:rsidRPr="00160689" w:rsidRDefault="00763B1A" w:rsidP="00604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763B1A" w:rsidRPr="000746A6" w:rsidRDefault="00763B1A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FC258E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63B1A" w:rsidRPr="00160689" w:rsidRDefault="008C16D4" w:rsidP="004A1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</w:tr>
    </w:tbl>
    <w:p w:rsidR="000C542E" w:rsidRDefault="000C542E" w:rsidP="00B813CD">
      <w:pPr>
        <w:rPr>
          <w:sz w:val="22"/>
          <w:szCs w:val="22"/>
        </w:rPr>
      </w:pPr>
    </w:p>
    <w:p w:rsidR="001A5C1D" w:rsidRDefault="001A5C1D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1A5C1D" w:rsidRDefault="001A5C1D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1A5C1D" w:rsidRDefault="001A5C1D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1A5C1D" w:rsidRDefault="001A5C1D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1A5C1D" w:rsidRDefault="00E714F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sz w:val="22"/>
          <w:szCs w:val="22"/>
        </w:rPr>
        <w:pict>
          <v:line id="_x0000_s1049" style="position:absolute;left:0;text-align:left;flip:y;z-index:251665920" from=".05pt,2.9pt" to="523.65pt,3.4pt" strokecolor="silver"/>
        </w:pic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injuries.</w: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(b) Other includes drowning, </w:t>
      </w:r>
      <w:r w:rsidR="006A3013">
        <w:rPr>
          <w:rFonts w:ascii="Garamond" w:hAnsi="Garamond"/>
          <w:b w:val="0"/>
          <w:color w:val="808080"/>
          <w:sz w:val="18"/>
          <w:szCs w:val="18"/>
        </w:rPr>
        <w:t xml:space="preserve">suffocation, firearm, </w:t>
      </w:r>
      <w:r>
        <w:rPr>
          <w:rFonts w:ascii="Garamond" w:hAnsi="Garamond"/>
          <w:b w:val="0"/>
          <w:color w:val="808080"/>
          <w:sz w:val="18"/>
          <w:szCs w:val="18"/>
        </w:rPr>
        <w:t>other specified, and not elsewhere specified.</w:t>
      </w:r>
    </w:p>
    <w:p w:rsidR="00F84F48" w:rsidRDefault="00F84F48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Jun;8(2):91-96.</w:t>
      </w:r>
    </w:p>
    <w:p w:rsidR="00F84F48" w:rsidRPr="00ED3C89" w:rsidRDefault="00F84F48" w:rsidP="00F84F48">
      <w:pPr>
        <w:pStyle w:val="Heading3"/>
        <w:spacing w:before="0" w:after="0"/>
        <w:ind w:left="187" w:right="113"/>
        <w:rPr>
          <w:rFonts w:ascii="Garamond" w:hAnsi="Garamond" w:cs="Albany AMT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External Cause of Injury groupings are based on ‘ICD-9 Framework for Presenting Injury Mortality Data,’ MMWR Recommendations and Reports, August 29, 1997, Volume 46/NORR-14.</w:t>
      </w:r>
    </w:p>
    <w:p w:rsidR="00B813CD" w:rsidRDefault="00B813CD" w:rsidP="009E76CD">
      <w:pPr>
        <w:rPr>
          <w:color w:val="FF00FF"/>
          <w:sz w:val="22"/>
          <w:szCs w:val="22"/>
        </w:rPr>
      </w:pPr>
    </w:p>
    <w:p w:rsidR="006D2EF2" w:rsidRDefault="00E714F8" w:rsidP="000005AE">
      <w:pPr>
        <w:rPr>
          <w:color w:val="FF00FF"/>
          <w:sz w:val="22"/>
          <w:szCs w:val="22"/>
        </w:rPr>
        <w:sectPr w:rsidR="006D2EF2" w:rsidSect="000779A0"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  <w:r>
        <w:rPr>
          <w:rFonts w:ascii="Garamond" w:hAnsi="Garamond"/>
          <w:b/>
          <w:noProof/>
          <w:color w:val="808080"/>
        </w:rPr>
        <w:pict>
          <v:line id="_x0000_s1031" style="position:absolute;z-index:251653632" from=".05pt,6.15pt" to="523.65pt,6.15pt" strokecolor="gray"/>
        </w:pict>
      </w:r>
    </w:p>
    <w:p w:rsidR="005B6ACA" w:rsidRPr="003C4AC4" w:rsidRDefault="005B6ACA">
      <w:pPr>
        <w:rPr>
          <w:color w:val="FF00FF"/>
          <w:sz w:val="22"/>
          <w:szCs w:val="22"/>
        </w:rPr>
      </w:pPr>
    </w:p>
    <w:p w:rsidR="005B6ACA" w:rsidRDefault="002F1463" w:rsidP="001832A3">
      <w:pPr>
        <w:pStyle w:val="Heading3"/>
        <w:ind w:right="-935"/>
        <w:jc w:val="center"/>
      </w:pPr>
      <w:r>
        <w:t xml:space="preserve">Table 2. </w:t>
      </w:r>
      <w:r w:rsidR="005C65DB">
        <w:t>Nature of Injury by Ge</w:t>
      </w:r>
      <w:r w:rsidR="00F30A8B">
        <w:t>nder</w:t>
      </w:r>
      <w:r w:rsidR="005C65DB">
        <w:t xml:space="preserve"> and Race &amp; Ethnicity</w:t>
      </w:r>
    </w:p>
    <w:p w:rsidR="003B782D" w:rsidRDefault="003D6984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30A8B">
        <w:rPr>
          <w:rFonts w:ascii="Arial" w:hAnsi="Arial" w:cs="Arial"/>
          <w:sz w:val="20"/>
          <w:szCs w:val="20"/>
        </w:rPr>
        <w:t xml:space="preserve"> = Number of Visits</w:t>
      </w:r>
    </w:p>
    <w:p w:rsidR="003B782D" w:rsidRPr="003B782D" w:rsidRDefault="00F30A8B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tbl>
      <w:tblPr>
        <w:tblStyle w:val="TableGrid"/>
        <w:tblpPr w:leftFromText="180" w:rightFromText="180" w:vertAnchor="text" w:horzAnchor="margin" w:tblpY="10"/>
        <w:tblW w:w="13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165"/>
        <w:gridCol w:w="935"/>
        <w:gridCol w:w="748"/>
        <w:gridCol w:w="935"/>
        <w:gridCol w:w="748"/>
        <w:gridCol w:w="935"/>
        <w:gridCol w:w="748"/>
        <w:gridCol w:w="935"/>
        <w:gridCol w:w="748"/>
        <w:gridCol w:w="935"/>
        <w:gridCol w:w="748"/>
        <w:gridCol w:w="935"/>
        <w:gridCol w:w="748"/>
      </w:tblGrid>
      <w:tr w:rsidR="001C18F5" w:rsidRPr="003C4AC4">
        <w:trPr>
          <w:trHeight w:val="341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C18F5" w:rsidRPr="00505D54" w:rsidRDefault="001C18F5" w:rsidP="001C18F5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C18F5" w:rsidRPr="00505D54" w:rsidRDefault="001C18F5" w:rsidP="001C18F5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B265"/>
              <w:right w:val="single" w:sz="2" w:space="0" w:color="999999"/>
            </w:tcBorders>
            <w:shd w:val="clear" w:color="auto" w:fill="FFCC99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6732" w:type="dxa"/>
            <w:gridSpan w:val="8"/>
            <w:tcBorders>
              <w:top w:val="single" w:sz="2" w:space="0" w:color="C0C0C0"/>
              <w:left w:val="single" w:sz="2" w:space="0" w:color="999999"/>
              <w:bottom w:val="single" w:sz="2" w:space="0" w:color="FFB265"/>
              <w:right w:val="single" w:sz="2" w:space="0" w:color="C0C0C0"/>
            </w:tcBorders>
            <w:shd w:val="clear" w:color="auto" w:fill="FFCC99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</w:tr>
      <w:tr w:rsidR="001C18F5" w:rsidRPr="003C4AC4">
        <w:trPr>
          <w:trHeight w:val="647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C18F5" w:rsidRPr="00505D54" w:rsidRDefault="001C18F5" w:rsidP="001C18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C18F5" w:rsidRPr="00505D54" w:rsidRDefault="001C18F5" w:rsidP="001C18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FFB265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Males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C0C0C0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Females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9999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C18F5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C18F5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1C18F5" w:rsidRPr="003C4AC4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8F5" w:rsidRPr="009831C3" w:rsidRDefault="001C18F5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C0C0C0"/>
            </w:tcBorders>
            <w:shd w:val="clear" w:color="auto" w:fill="auto"/>
            <w:vAlign w:val="center"/>
          </w:tcPr>
          <w:p w:rsidR="001C18F5" w:rsidRPr="009831C3" w:rsidRDefault="001C18F5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C0C0C0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C0C0C0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9999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999999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C0C0C0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C0C0C0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C0C0C0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1C18F5" w:rsidRPr="009831C3" w:rsidRDefault="001C18F5" w:rsidP="001C18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1C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1C18F5" w:rsidRPr="003C4AC4" w:rsidTr="003D7860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1C18F5" w:rsidRDefault="001C18F5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1C18F5" w:rsidRPr="009831C3" w:rsidRDefault="001C18F5" w:rsidP="001C18F5">
            <w:pPr>
              <w:ind w:right="-137" w:firstLine="1266"/>
              <w:rPr>
                <w:rFonts w:ascii="Arial" w:hAnsi="Arial" w:cs="Arial"/>
                <w:b/>
                <w:sz w:val="20"/>
                <w:szCs w:val="20"/>
              </w:rPr>
            </w:pPr>
            <w:r w:rsidRPr="009831C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FC258E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29,027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65.9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FC258E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14,995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34.1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34,215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77.7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4,879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2,504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5.7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1,740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1C18F5" w:rsidRPr="009831C3" w:rsidRDefault="008C16D4" w:rsidP="003D78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</w:tr>
      <w:tr w:rsidR="00FC258E" w:rsidRPr="003C4AC4" w:rsidTr="003D7860">
        <w:trPr>
          <w:trHeight w:val="360"/>
        </w:trPr>
        <w:tc>
          <w:tcPr>
            <w:tcW w:w="130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FC258E" w:rsidRPr="009831C3" w:rsidRDefault="00FC258E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165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FC258E" w:rsidRPr="000746A6" w:rsidRDefault="00FC258E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12,311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9831C3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4,548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FC258E" w:rsidRPr="009831C3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38.</w:t>
            </w:r>
            <w:r w:rsidR="005A6A9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38.</w:t>
            </w:r>
            <w:r w:rsidR="005A6A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FC258E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30.</w:t>
            </w:r>
            <w:r w:rsidR="005A6A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C258E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5,324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FC258E">
              <w:rPr>
                <w:rFonts w:ascii="Arial" w:hAnsi="Arial" w:cs="Arial"/>
                <w:sz w:val="20"/>
                <w:szCs w:val="20"/>
              </w:rPr>
              <w:t>3,910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20.</w:t>
            </w:r>
            <w:r w:rsidR="005A6A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075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22.</w:t>
            </w:r>
            <w:r w:rsidR="005A6A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25.</w:t>
            </w:r>
            <w:r w:rsidR="005A6A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contusions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4,936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3,265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18.5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17.</w:t>
            </w:r>
            <w:r w:rsidR="005A6A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5A6A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5A6A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</w:t>
            </w:r>
            <w:r w:rsidR="005A6A9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DF78E5" w:rsidRDefault="004C5C36" w:rsidP="001C18F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</w:t>
            </w:r>
            <w:r w:rsidR="005A6A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4C5C36" w:rsidRPr="003C4AC4" w:rsidTr="003D7860">
        <w:trPr>
          <w:trHeight w:val="360"/>
        </w:trPr>
        <w:tc>
          <w:tcPr>
            <w:tcW w:w="130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4C5C36" w:rsidRPr="009831C3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0746A6" w:rsidRDefault="004C5C36" w:rsidP="001C18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6A6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1,424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1,018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9831C3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E714F8">
              <w:rPr>
                <w:rFonts w:ascii="Arial" w:hAnsi="Arial" w:cs="Arial"/>
                <w:sz w:val="20"/>
                <w:szCs w:val="20"/>
              </w:rPr>
              <w:t>,859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5.</w:t>
            </w:r>
            <w:r w:rsidR="005A6A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E714F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5.</w:t>
            </w:r>
            <w:r w:rsidR="005A6A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E714F8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5A6A9B" w:rsidP="003D7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</w:tr>
    </w:tbl>
    <w:p w:rsidR="005B6ACA" w:rsidRPr="00BA1195" w:rsidRDefault="005B6ACA" w:rsidP="003B782D">
      <w:pPr>
        <w:jc w:val="right"/>
        <w:rPr>
          <w:rFonts w:ascii="Arial" w:hAnsi="Arial" w:cs="Arial"/>
          <w:sz w:val="16"/>
          <w:szCs w:val="16"/>
        </w:rPr>
      </w:pPr>
    </w:p>
    <w:p w:rsidR="00692FDD" w:rsidRDefault="00692FDD" w:rsidP="00692FDD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bookmarkStart w:id="0" w:name="_GoBack"/>
      <w:bookmarkEnd w:id="0"/>
    </w:p>
    <w:p w:rsidR="002C38BC" w:rsidRDefault="002C38BC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</w:p>
    <w:p w:rsidR="00A83D4F" w:rsidRDefault="00E714F8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noProof/>
          <w:color w:val="808080"/>
          <w:sz w:val="18"/>
          <w:szCs w:val="18"/>
        </w:rPr>
        <w:pict>
          <v:line id="_x0000_s1032" style="position:absolute;z-index:251654656" from="-15.1pt,3.2pt" to="667.45pt,3.2pt" strokecolor="silver"/>
        </w:pict>
      </w:r>
    </w:p>
    <w:p w:rsidR="00DF78E5" w:rsidRDefault="00692FDD" w:rsidP="00DF78E5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 w:rsidR="00D9348E">
        <w:rPr>
          <w:rFonts w:ascii="Garamond" w:hAnsi="Garamond"/>
          <w:b w:val="0"/>
          <w:color w:val="808080"/>
          <w:sz w:val="18"/>
          <w:szCs w:val="18"/>
        </w:rPr>
        <w:t xml:space="preserve">Emergency </w:t>
      </w:r>
      <w:r w:rsidR="00BC7E82">
        <w:rPr>
          <w:rFonts w:ascii="Garamond" w:hAnsi="Garamond"/>
          <w:b w:val="0"/>
          <w:color w:val="808080"/>
          <w:sz w:val="18"/>
          <w:szCs w:val="18"/>
        </w:rPr>
        <w:t>Discharge</w:t>
      </w:r>
      <w:r w:rsidR="005A6A9B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5A6A9B">
        <w:rPr>
          <w:rFonts w:ascii="Garamond" w:hAnsi="Garamond"/>
          <w:b w:val="0"/>
          <w:color w:val="808080"/>
          <w:sz w:val="18"/>
          <w:szCs w:val="18"/>
        </w:rPr>
        <w:t xml:space="preserve"> 31 Dec 2011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>, Massachusetts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Center for Health Information and Analysis</w:t>
      </w:r>
      <w:r w:rsidR="007A60B0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7A60B0" w:rsidRDefault="00DF78E5" w:rsidP="007A60B0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</w:t>
      </w:r>
      <w:r w:rsidR="007A60B0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7A60B0" w:rsidRDefault="007A60B0" w:rsidP="007A60B0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</w:t>
      </w:r>
      <w:r w:rsidR="008F605B">
        <w:rPr>
          <w:rFonts w:ascii="Garamond" w:hAnsi="Garamond"/>
          <w:b w:val="0"/>
          <w:color w:val="808080"/>
          <w:sz w:val="18"/>
          <w:szCs w:val="18"/>
        </w:rPr>
        <w:t xml:space="preserve"> for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cells with less</w:t>
      </w:r>
      <w:r w:rsidR="005A6A9B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7A60B0" w:rsidRDefault="00F30A8B" w:rsidP="00CC66C6">
      <w:pPr>
        <w:pStyle w:val="Heading3"/>
        <w:spacing w:before="0" w:after="0"/>
        <w:ind w:left="-187" w:right="-1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</w:t>
      </w:r>
      <w:r w:rsidR="00DF78E5">
        <w:rPr>
          <w:rFonts w:ascii="Garamond" w:hAnsi="Garamond"/>
          <w:b w:val="0"/>
          <w:color w:val="808080"/>
          <w:sz w:val="18"/>
          <w:szCs w:val="18"/>
        </w:rPr>
        <w:t xml:space="preserve"> visit</w:t>
      </w:r>
      <w:r w:rsidR="00692FDD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</w:t>
      </w:r>
    </w:p>
    <w:p w:rsidR="00692FDD" w:rsidRDefault="00692FDD" w:rsidP="00CC66C6">
      <w:pPr>
        <w:pStyle w:val="Heading3"/>
        <w:spacing w:before="0" w:after="0"/>
        <w:ind w:left="-187" w:right="-1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based on designation of </w:t>
      </w:r>
      <w:r w:rsidR="007A60B0" w:rsidRPr="00725993">
        <w:rPr>
          <w:rFonts w:ascii="Garamond" w:hAnsi="Garamond"/>
          <w:b w:val="0"/>
          <w:color w:val="808080"/>
          <w:sz w:val="18"/>
          <w:szCs w:val="18"/>
        </w:rPr>
        <w:t>Workers’ Compensation Insurance as expected payer.</w:t>
      </w:r>
    </w:p>
    <w:p w:rsidR="00F55BE3" w:rsidRDefault="00CE6042" w:rsidP="00F30A8B">
      <w:pPr>
        <w:ind w:left="187" w:hanging="374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>
        <w:rPr>
          <w:rFonts w:ascii="Garamond" w:hAnsi="Garamond"/>
          <w:color w:val="808080"/>
          <w:sz w:val="18"/>
          <w:szCs w:val="18"/>
        </w:rPr>
        <w:t>, 2002 Jun;8(2):91-96.</w:t>
      </w:r>
    </w:p>
    <w:p w:rsidR="00CE6042" w:rsidRDefault="00E714F8" w:rsidP="00F30E3F">
      <w:pPr>
        <w:rPr>
          <w:sz w:val="22"/>
          <w:szCs w:val="22"/>
        </w:rPr>
        <w:sectPr w:rsidR="00CE6042" w:rsidSect="000779A0">
          <w:headerReference w:type="default" r:id="rId10"/>
          <w:footerReference w:type="default" r:id="rId11"/>
          <w:pgSz w:w="15840" w:h="12240" w:orient="landscape" w:code="1"/>
          <w:pgMar w:top="1008" w:right="1067" w:bottom="720" w:left="1310" w:header="720" w:footer="720" w:gutter="0"/>
          <w:cols w:space="720"/>
          <w:docGrid w:linePitch="360"/>
        </w:sectPr>
      </w:pPr>
      <w:r>
        <w:rPr>
          <w:rFonts w:ascii="Garamond" w:hAnsi="Garamond"/>
          <w:b/>
          <w:noProof/>
          <w:color w:val="808080"/>
          <w:sz w:val="18"/>
          <w:szCs w:val="18"/>
        </w:rPr>
        <w:pict>
          <v:line id="_x0000_s1037" style="position:absolute;z-index:251657728" from="-15.1pt,14.95pt" to="667.45pt,14.95pt" strokecolor="gray"/>
        </w:pict>
      </w:r>
    </w:p>
    <w:p w:rsidR="00755ACF" w:rsidRDefault="002F1463" w:rsidP="00BD2223">
      <w:pPr>
        <w:pStyle w:val="Heading3"/>
        <w:jc w:val="center"/>
      </w:pPr>
      <w:r>
        <w:lastRenderedPageBreak/>
        <w:t xml:space="preserve">Table 3. </w:t>
      </w:r>
      <w:r w:rsidR="00582703">
        <w:t>Nature of Injury by Age</w:t>
      </w:r>
    </w:p>
    <w:p w:rsidR="003B782D" w:rsidRDefault="003D6984" w:rsidP="00142252">
      <w:pPr>
        <w:ind w:right="461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30A8B">
        <w:rPr>
          <w:rFonts w:ascii="Arial" w:hAnsi="Arial" w:cs="Arial"/>
          <w:sz w:val="20"/>
          <w:szCs w:val="20"/>
        </w:rPr>
        <w:t xml:space="preserve"> = Number of Visits</w:t>
      </w:r>
    </w:p>
    <w:p w:rsidR="003B782D" w:rsidRPr="003B782D" w:rsidRDefault="00F30A8B" w:rsidP="00142252">
      <w:pPr>
        <w:ind w:right="461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tbl>
      <w:tblPr>
        <w:tblStyle w:val="TableGrid"/>
        <w:tblpPr w:leftFromText="180" w:rightFromText="180" w:vertAnchor="text" w:horzAnchor="margin" w:tblpX="108" w:tblpY="207"/>
        <w:tblW w:w="13651" w:type="dxa"/>
        <w:tblLayout w:type="fixed"/>
        <w:tblLook w:val="01E0" w:firstRow="1" w:lastRow="1" w:firstColumn="1" w:lastColumn="1" w:noHBand="0" w:noVBand="0"/>
      </w:tblPr>
      <w:tblGrid>
        <w:gridCol w:w="1122"/>
        <w:gridCol w:w="1555"/>
        <w:gridCol w:w="783"/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476BCF" w:rsidRPr="003C4AC4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10AD0" w:rsidRPr="003C4AC4" w:rsidRDefault="00910AD0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910AD0" w:rsidRPr="00B8256D" w:rsidRDefault="00910AD0" w:rsidP="002E1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4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910AD0" w:rsidRPr="00910AD0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AD0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</w:tr>
      <w:tr w:rsidR="00910AD0" w:rsidRPr="003C4AC4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10AD0" w:rsidRPr="003C4AC4" w:rsidRDefault="00910AD0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910AD0" w:rsidRPr="00B8256D" w:rsidRDefault="00910AD0" w:rsidP="002E16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910AD0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AD0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BD3ADD" w:rsidRPr="003C4AC4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AD0" w:rsidRPr="00B8256D" w:rsidRDefault="00910AD0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910AD0" w:rsidRPr="00B8256D" w:rsidRDefault="00910AD0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999999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910AD0" w:rsidRPr="00B8256D" w:rsidRDefault="003D6984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910AD0" w:rsidRPr="00B8256D" w:rsidRDefault="00910AD0" w:rsidP="002E1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4C5C36" w:rsidRDefault="004C5C36" w:rsidP="00F035C4">
            <w:pPr>
              <w:rPr>
                <w:rFonts w:ascii="Garamond" w:hAnsi="Garamond"/>
                <w:b/>
                <w:noProof/>
                <w:color w:val="80808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C5C36" w:rsidRPr="00B8256D" w:rsidRDefault="004C5C36" w:rsidP="00F035C4">
            <w:pPr>
              <w:ind w:firstLine="827"/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428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7.8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11.8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227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616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281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612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17.3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5C3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E22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b/>
                <w:sz w:val="20"/>
                <w:szCs w:val="20"/>
              </w:rPr>
              <w:t>643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8C16D4" w:rsidP="004830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16D4">
              <w:rPr>
                <w:rFonts w:ascii="Arial" w:hAnsi="Arial" w:cs="Arial"/>
                <w:b/>
                <w:sz w:val="20"/>
                <w:szCs w:val="20"/>
              </w:rPr>
              <w:t>17.4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4C5C36" w:rsidRPr="00B8256D" w:rsidRDefault="004C5C36" w:rsidP="00FD7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1555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ounds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48.0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43.4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37.5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35.0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34.5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17.8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23.7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ontusions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16.8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18.4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19.8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4C5C36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2E1631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2E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rgan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8256D">
              <w:rPr>
                <w:rFonts w:ascii="Arial" w:hAnsi="Arial" w:cs="Arial"/>
                <w:b/>
                <w:sz w:val="20"/>
                <w:szCs w:val="20"/>
              </w:rPr>
              <w:t>mputations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</w:tr>
      <w:tr w:rsidR="004C5C36" w:rsidRPr="003C4AC4" w:rsidTr="004830A2">
        <w:trPr>
          <w:trHeight w:val="432"/>
        </w:trPr>
        <w:tc>
          <w:tcPr>
            <w:tcW w:w="1122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4C5C36" w:rsidRPr="003C4AC4" w:rsidRDefault="004C5C36" w:rsidP="00DF78E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B8256D" w:rsidRDefault="004C5C36" w:rsidP="00DF7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256D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999999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999999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4C5C36" w:rsidRDefault="004C5C36" w:rsidP="004830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C36"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</w:tbl>
    <w:p w:rsidR="00795149" w:rsidRDefault="00795149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</w:p>
    <w:p w:rsidR="00142252" w:rsidRDefault="00E714F8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  <w:r>
        <w:rPr>
          <w:rFonts w:ascii="Garamond" w:hAnsi="Garamond"/>
          <w:b w:val="0"/>
          <w:bCs w:val="0"/>
          <w:noProof/>
          <w:color w:val="808080"/>
          <w:sz w:val="18"/>
        </w:rPr>
        <w:pict>
          <v:line id="_x0000_s1036" style="position:absolute;z-index:251656704" from="-4.5pt,329.95pt" to="668.7pt,329.95pt" strokecolor="silver"/>
        </w:pict>
      </w:r>
    </w:p>
    <w:p w:rsidR="003B0473" w:rsidRPr="00F55BE3" w:rsidRDefault="003B0473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  <w:szCs w:val="22"/>
        </w:rPr>
      </w:pPr>
      <w:r w:rsidRPr="00F55BE3">
        <w:rPr>
          <w:rFonts w:ascii="Garamond" w:hAnsi="Garamond"/>
          <w:b w:val="0"/>
          <w:bCs w:val="0"/>
          <w:color w:val="808080"/>
          <w:sz w:val="18"/>
        </w:rPr>
        <w:t xml:space="preserve">Source: </w:t>
      </w:r>
      <w:r w:rsidR="00D9348E" w:rsidRPr="00F55BE3">
        <w:rPr>
          <w:rFonts w:ascii="Garamond" w:hAnsi="Garamond"/>
          <w:b w:val="0"/>
          <w:bCs w:val="0"/>
          <w:color w:val="808080"/>
          <w:sz w:val="18"/>
        </w:rPr>
        <w:t xml:space="preserve">Emergency </w:t>
      </w:r>
      <w:r w:rsidR="00BC7E82" w:rsidRPr="00F55BE3">
        <w:rPr>
          <w:rFonts w:ascii="Garamond" w:hAnsi="Garamond"/>
          <w:b w:val="0"/>
          <w:bCs w:val="0"/>
          <w:color w:val="808080"/>
          <w:sz w:val="18"/>
        </w:rPr>
        <w:t>Discharge</w:t>
      </w:r>
      <w:r w:rsidR="005F5020">
        <w:rPr>
          <w:rFonts w:ascii="Garamond" w:hAnsi="Garamond"/>
          <w:b w:val="0"/>
          <w:bCs w:val="0"/>
          <w:color w:val="808080"/>
          <w:sz w:val="18"/>
        </w:rPr>
        <w:t xml:space="preserve"> Data, for 1 Jan 2007</w:t>
      </w:r>
      <w:r w:rsidRPr="00F55BE3">
        <w:rPr>
          <w:rFonts w:ascii="Garamond" w:hAnsi="Garamond"/>
          <w:b w:val="0"/>
          <w:bCs w:val="0"/>
          <w:color w:val="808080"/>
          <w:sz w:val="18"/>
        </w:rPr>
        <w:t xml:space="preserve"> through 31 Dec </w:t>
      </w:r>
      <w:r w:rsidR="005F5020">
        <w:rPr>
          <w:rFonts w:ascii="Garamond" w:hAnsi="Garamond"/>
          <w:b w:val="0"/>
          <w:bCs w:val="0"/>
          <w:color w:val="808080"/>
          <w:sz w:val="18"/>
        </w:rPr>
        <w:t>2011</w:t>
      </w:r>
      <w:r w:rsidR="00F30A8B">
        <w:rPr>
          <w:rFonts w:ascii="Garamond" w:hAnsi="Garamond"/>
          <w:b w:val="0"/>
          <w:bCs w:val="0"/>
          <w:color w:val="808080"/>
          <w:sz w:val="18"/>
        </w:rPr>
        <w:t>, Massachusetts Center for Health Information and Analysis</w:t>
      </w:r>
      <w:r w:rsidR="00F36C53" w:rsidRPr="00F55BE3">
        <w:rPr>
          <w:rFonts w:ascii="Garamond" w:hAnsi="Garamond"/>
          <w:b w:val="0"/>
          <w:bCs w:val="0"/>
          <w:color w:val="808080"/>
          <w:sz w:val="18"/>
        </w:rPr>
        <w:t>.</w:t>
      </w:r>
    </w:p>
    <w:p w:rsidR="00DF78E5" w:rsidRDefault="00DF78E5" w:rsidP="00DF78E5">
      <w:pPr>
        <w:pStyle w:val="Heading3"/>
        <w:spacing w:before="0" w:after="0"/>
        <w:ind w:left="-187" w:right="113"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</w:t>
      </w:r>
      <w:r w:rsidR="00F36C53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EA17E5" w:rsidRDefault="00EA17E5" w:rsidP="00EA17E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</w:t>
      </w:r>
      <w:r w:rsidR="008F605B">
        <w:rPr>
          <w:rFonts w:ascii="Garamond" w:hAnsi="Garamond"/>
          <w:b w:val="0"/>
          <w:color w:val="808080"/>
          <w:sz w:val="18"/>
          <w:szCs w:val="18"/>
        </w:rPr>
        <w:t xml:space="preserve">for </w:t>
      </w:r>
      <w:r>
        <w:rPr>
          <w:rFonts w:ascii="Garamond" w:hAnsi="Garamond"/>
          <w:b w:val="0"/>
          <w:color w:val="808080"/>
          <w:sz w:val="18"/>
          <w:szCs w:val="18"/>
        </w:rPr>
        <w:t>cells with less</w:t>
      </w:r>
      <w:r w:rsidR="005F5020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3B0473" w:rsidRDefault="00F30A8B" w:rsidP="003B0473">
      <w:pPr>
        <w:pStyle w:val="Heading3"/>
        <w:spacing w:before="0" w:after="0"/>
        <w:ind w:right="274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DF78E5">
        <w:rPr>
          <w:rFonts w:ascii="Garamond" w:hAnsi="Garamond"/>
          <w:b w:val="0"/>
          <w:color w:val="808080"/>
          <w:sz w:val="18"/>
          <w:szCs w:val="18"/>
        </w:rPr>
        <w:t>visit</w:t>
      </w:r>
      <w:r w:rsidR="003B0473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  <w:r w:rsidR="003B0473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F55BE3" w:rsidRPr="00F30A8B" w:rsidRDefault="00A53FAB" w:rsidP="00F30A8B">
      <w:pPr>
        <w:ind w:left="187" w:hanging="187"/>
        <w:rPr>
          <w:rFonts w:ascii="Garamond" w:hAnsi="Garamond"/>
          <w:color w:val="808080"/>
          <w:sz w:val="18"/>
          <w:szCs w:val="18"/>
          <w:vertAlign w:val="superscript"/>
        </w:rPr>
        <w:sectPr w:rsidR="00F55BE3" w:rsidRPr="00F30A8B" w:rsidSect="00DF7984"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  <w:r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>
        <w:rPr>
          <w:rFonts w:ascii="Garamond" w:hAnsi="Garamond"/>
          <w:color w:val="808080"/>
          <w:sz w:val="18"/>
          <w:szCs w:val="18"/>
        </w:rPr>
        <w:t>, 2002 Jun;8(2):91-96.</w:t>
      </w:r>
      <w:r w:rsidR="00E714F8">
        <w:rPr>
          <w:noProof/>
        </w:rPr>
        <w:pict>
          <v:line id="_x0000_s1038" style="position:absolute;left:0;text-align:left;z-index:251658752;mso-position-horizontal-relative:text;mso-position-vertical-relative:text" from="-3.6pt,19.05pt" to="669.6pt,19.05pt" strokecolor="gray"/>
        </w:pict>
      </w:r>
    </w:p>
    <w:p w:rsidR="000C4D0C" w:rsidRPr="000C4D0C" w:rsidRDefault="000C4D0C" w:rsidP="0006359B">
      <w:pPr>
        <w:jc w:val="center"/>
        <w:rPr>
          <w:rFonts w:ascii="Arial" w:hAnsi="Arial" w:cs="Arial"/>
          <w:b/>
          <w:sz w:val="26"/>
          <w:szCs w:val="26"/>
        </w:rPr>
      </w:pPr>
      <w:r w:rsidRPr="000C4D0C">
        <w:rPr>
          <w:rFonts w:ascii="Arial" w:hAnsi="Arial" w:cs="Arial"/>
          <w:b/>
          <w:sz w:val="26"/>
          <w:szCs w:val="26"/>
        </w:rPr>
        <w:lastRenderedPageBreak/>
        <w:t xml:space="preserve">Table 4. Nature of Injury by Body </w:t>
      </w:r>
      <w:r w:rsidR="003E2D83">
        <w:rPr>
          <w:rFonts w:ascii="Arial" w:hAnsi="Arial" w:cs="Arial"/>
          <w:b/>
          <w:sz w:val="26"/>
          <w:szCs w:val="26"/>
        </w:rPr>
        <w:t>Part</w:t>
      </w:r>
    </w:p>
    <w:p w:rsidR="0006359B" w:rsidRDefault="0006359B" w:rsidP="000C4D0C">
      <w:pPr>
        <w:ind w:left="187" w:firstLine="374"/>
        <w:rPr>
          <w:rFonts w:ascii="Arial" w:hAnsi="Arial" w:cs="Arial"/>
          <w:sz w:val="8"/>
          <w:szCs w:val="8"/>
        </w:rPr>
      </w:pPr>
    </w:p>
    <w:p w:rsidR="000C4D0C" w:rsidRPr="00506F99" w:rsidRDefault="000C4D0C" w:rsidP="00F30E3F">
      <w:pPr>
        <w:rPr>
          <w:sz w:val="20"/>
          <w:szCs w:val="20"/>
        </w:rPr>
      </w:pPr>
    </w:p>
    <w:tbl>
      <w:tblPr>
        <w:tblStyle w:val="TableGrid"/>
        <w:tblW w:w="0" w:type="auto"/>
        <w:tblInd w:w="1230" w:type="dxa"/>
        <w:tblLook w:val="01E0" w:firstRow="1" w:lastRow="1" w:firstColumn="1" w:lastColumn="1" w:noHBand="0" w:noVBand="0"/>
      </w:tblPr>
      <w:tblGrid>
        <w:gridCol w:w="2057"/>
        <w:gridCol w:w="2731"/>
        <w:gridCol w:w="1009"/>
        <w:gridCol w:w="1122"/>
        <w:gridCol w:w="1122"/>
      </w:tblGrid>
      <w:tr w:rsidR="000C4D0C" w:rsidRPr="0079630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8F605B" w:rsidRDefault="008F605B" w:rsidP="008F605B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= Number of Visits</w:t>
            </w:r>
          </w:p>
          <w:p w:rsidR="008F605B" w:rsidRPr="00796308" w:rsidRDefault="008F605B" w:rsidP="008F605B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= Percent of Visits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0C4D0C" w:rsidRPr="00F0642D" w:rsidRDefault="00F30A8B" w:rsidP="009E2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0C4D0C" w:rsidRPr="0079630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0C4D0C" w:rsidRPr="00796308" w:rsidRDefault="003D6984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0C4D0C" w:rsidRPr="00796308" w:rsidRDefault="000C4D0C" w:rsidP="009E2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C4D0C" w:rsidRPr="0079630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0C4D0C" w:rsidRPr="00796308" w:rsidRDefault="000C4D0C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2" w:space="0" w:color="C0C0C0"/>
              <w:right w:val="single" w:sz="4" w:space="0" w:color="C0C0C0"/>
            </w:tcBorders>
            <w:vAlign w:val="center"/>
          </w:tcPr>
          <w:p w:rsidR="000C4D0C" w:rsidRPr="00B567FE" w:rsidRDefault="000C4D0C" w:rsidP="009E235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5F5020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44,023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0C4D0C" w:rsidRPr="00B567FE" w:rsidRDefault="000C4D0C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CD74F3" w:rsidRDefault="00F0642D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  <w:p w:rsidR="00CD74F3" w:rsidRPr="00F0642D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  <w:r w:rsidRPr="00F0642D">
              <w:rPr>
                <w:rFonts w:ascii="Arial" w:hAnsi="Arial" w:cs="Arial"/>
                <w:sz w:val="20"/>
                <w:szCs w:val="20"/>
              </w:rPr>
              <w:t>by Body Region</w:t>
            </w:r>
          </w:p>
        </w:tc>
        <w:tc>
          <w:tcPr>
            <w:tcW w:w="3740" w:type="dxa"/>
            <w:gridSpan w:val="2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5F5020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16,859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38.3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F227F0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F5020">
              <w:rPr>
                <w:rFonts w:ascii="Arial" w:hAnsi="Arial" w:cs="Arial"/>
                <w:sz w:val="20"/>
                <w:szCs w:val="20"/>
              </w:rPr>
              <w:t>5,369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91.1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F227F0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5F5020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5F5020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9,234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5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5F5020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5704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55.2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5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Spine &amp; Back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5F5020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5704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32.7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5FAFF"/>
            <w:vAlign w:val="center"/>
          </w:tcPr>
          <w:p w:rsidR="00CD74F3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5F5020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8,202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18.6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CD74F3" w:rsidRDefault="00CD74F3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5,366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CD74F3" w:rsidRDefault="00CD74F3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1,910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CD74F3" w:rsidRDefault="00CD74F3" w:rsidP="00CD74F3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2,203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1,800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1,627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186096" w:rsidRDefault="00186096" w:rsidP="009E2350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1,739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D74F3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568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CD74F3" w:rsidRPr="00796308" w:rsidRDefault="00CD74F3" w:rsidP="009E2350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796308" w:rsidRDefault="00E57049" w:rsidP="009E2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494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  <w:r w:rsidR="00B1675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BFD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172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CD74F3" w:rsidRPr="00796308" w:rsidRDefault="00C06375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 w:rsidR="00186096"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2,442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D5512C" w:rsidRDefault="00E57049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39.6</w:t>
            </w:r>
          </w:p>
        </w:tc>
      </w:tr>
      <w:tr w:rsidR="00CD74F3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CD74F3" w:rsidRPr="00796308" w:rsidRDefault="00CD74F3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7FBFF"/>
            <w:vAlign w:val="center"/>
          </w:tcPr>
          <w:p w:rsidR="00CD74F3" w:rsidRPr="00A03FF0" w:rsidRDefault="00A03FF0" w:rsidP="00A03FF0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CD74F3" w:rsidRPr="00F227F0" w:rsidRDefault="00E57049" w:rsidP="00F22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</w:tbl>
    <w:p w:rsidR="008F605B" w:rsidRDefault="008F605B" w:rsidP="00874341">
      <w:pPr>
        <w:rPr>
          <w:rFonts w:ascii="Garamond" w:hAnsi="Garamond"/>
          <w:color w:val="808080"/>
          <w:sz w:val="18"/>
          <w:szCs w:val="18"/>
        </w:rPr>
        <w:sectPr w:rsidR="008F605B" w:rsidSect="00593257">
          <w:headerReference w:type="default" r:id="rId12"/>
          <w:pgSz w:w="12240" w:h="15840" w:code="1"/>
          <w:pgMar w:top="1800" w:right="720" w:bottom="720" w:left="749" w:header="720" w:footer="573" w:gutter="0"/>
          <w:cols w:space="720"/>
          <w:docGrid w:linePitch="360"/>
        </w:sectPr>
      </w:pPr>
    </w:p>
    <w:p w:rsidR="00874341" w:rsidRDefault="00874341" w:rsidP="00874341">
      <w:pPr>
        <w:rPr>
          <w:rFonts w:ascii="Garamond" w:hAnsi="Garamond"/>
          <w:color w:val="808080"/>
          <w:sz w:val="18"/>
          <w:szCs w:val="18"/>
        </w:rPr>
      </w:pPr>
    </w:p>
    <w:p w:rsidR="00874341" w:rsidRPr="000C4D0C" w:rsidRDefault="00E714F8" w:rsidP="0006359B">
      <w:pPr>
        <w:spacing w:before="60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noProof/>
          <w:color w:val="808080"/>
          <w:sz w:val="18"/>
          <w:szCs w:val="18"/>
        </w:rPr>
        <w:pict>
          <v:line id="_x0000_s1040" style="position:absolute;z-index:251660800" from="-3.65pt,.2pt" to="538.65pt,.2pt" strokecolor="silver"/>
        </w:pict>
      </w:r>
      <w:r w:rsidR="00874341" w:rsidRPr="000C4D0C">
        <w:rPr>
          <w:rFonts w:ascii="Garamond" w:hAnsi="Garamond"/>
          <w:color w:val="808080"/>
          <w:sz w:val="18"/>
          <w:szCs w:val="18"/>
        </w:rPr>
        <w:t>Source: Emergenc</w:t>
      </w:r>
      <w:r w:rsidR="00E57049">
        <w:rPr>
          <w:rFonts w:ascii="Garamond" w:hAnsi="Garamond"/>
          <w:color w:val="808080"/>
          <w:sz w:val="18"/>
          <w:szCs w:val="18"/>
        </w:rPr>
        <w:t>y Discharge Data, for 1 Jan 2007</w:t>
      </w:r>
      <w:r w:rsidR="00874341" w:rsidRPr="000C4D0C">
        <w:rPr>
          <w:rFonts w:ascii="Garamond" w:hAnsi="Garamond"/>
          <w:color w:val="808080"/>
          <w:sz w:val="18"/>
          <w:szCs w:val="18"/>
        </w:rPr>
        <w:t xml:space="preserve"> through 31 Dec </w:t>
      </w:r>
      <w:r w:rsidR="00E57049">
        <w:rPr>
          <w:rFonts w:ascii="Garamond" w:hAnsi="Garamond"/>
          <w:color w:val="808080"/>
          <w:sz w:val="18"/>
          <w:szCs w:val="18"/>
        </w:rPr>
        <w:t>2011</w:t>
      </w:r>
      <w:r w:rsidR="00F30A8B">
        <w:rPr>
          <w:rFonts w:ascii="Garamond" w:hAnsi="Garamond"/>
          <w:color w:val="808080"/>
          <w:sz w:val="18"/>
          <w:szCs w:val="18"/>
        </w:rPr>
        <w:t>, Massachusetts Center for Health Information and Analysis</w:t>
      </w:r>
    </w:p>
    <w:p w:rsidR="00874341" w:rsidRPr="00725993" w:rsidRDefault="00874341" w:rsidP="00874341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) Other includes blood vessel injuries and nerve injuries, </w:t>
      </w:r>
      <w:r w:rsidR="00186096">
        <w:rPr>
          <w:rFonts w:ascii="Garamond" w:hAnsi="Garamond"/>
          <w:b w:val="0"/>
          <w:color w:val="808080"/>
          <w:sz w:val="18"/>
          <w:szCs w:val="18"/>
        </w:rPr>
        <w:t xml:space="preserve">system wide and late effect injuries. </w:t>
      </w:r>
    </w:p>
    <w:p w:rsidR="00186096" w:rsidRDefault="002742D6" w:rsidP="0087434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* </w:t>
      </w:r>
      <w:r w:rsidR="00E57049">
        <w:rPr>
          <w:rFonts w:ascii="Garamond" w:hAnsi="Garamond"/>
          <w:b w:val="0"/>
          <w:color w:val="808080"/>
          <w:sz w:val="18"/>
          <w:szCs w:val="18"/>
        </w:rPr>
        <w:t>472</w:t>
      </w:r>
      <w:r w:rsidR="00186096">
        <w:rPr>
          <w:rFonts w:ascii="Garamond" w:hAnsi="Garamond"/>
          <w:b w:val="0"/>
          <w:color w:val="808080"/>
          <w:sz w:val="18"/>
          <w:szCs w:val="18"/>
        </w:rPr>
        <w:t xml:space="preserve"> of these injuries are concussions.</w:t>
      </w:r>
    </w:p>
    <w:p w:rsidR="00EA17E5" w:rsidRDefault="00EA17E5" w:rsidP="008F605B">
      <w:pPr>
        <w:pStyle w:val="Heading3"/>
        <w:spacing w:before="0" w:after="0"/>
        <w:ind w:right="-75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</w:t>
      </w:r>
      <w:r w:rsidR="008F605B">
        <w:rPr>
          <w:rFonts w:ascii="Garamond" w:hAnsi="Garamond"/>
          <w:b w:val="0"/>
          <w:color w:val="808080"/>
          <w:sz w:val="18"/>
          <w:szCs w:val="18"/>
        </w:rPr>
        <w:t xml:space="preserve">for </w:t>
      </w:r>
      <w:r>
        <w:rPr>
          <w:rFonts w:ascii="Garamond" w:hAnsi="Garamond"/>
          <w:b w:val="0"/>
          <w:color w:val="808080"/>
          <w:sz w:val="18"/>
          <w:szCs w:val="18"/>
        </w:rPr>
        <w:t>cells with less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F30A8B">
        <w:rPr>
          <w:rFonts w:ascii="Garamond" w:hAnsi="Garamond"/>
          <w:b w:val="0"/>
          <w:color w:val="808080"/>
          <w:sz w:val="18"/>
          <w:szCs w:val="18"/>
        </w:rPr>
        <w:t xml:space="preserve"> cases based on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874341" w:rsidRDefault="00F30A8B" w:rsidP="0087434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EA17E5">
        <w:rPr>
          <w:rFonts w:ascii="Garamond" w:hAnsi="Garamond"/>
          <w:b w:val="0"/>
          <w:color w:val="808080"/>
          <w:sz w:val="18"/>
          <w:szCs w:val="18"/>
        </w:rPr>
        <w:t>visit</w:t>
      </w:r>
      <w:r w:rsidR="00874341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</w:p>
    <w:p w:rsidR="00A20134" w:rsidRPr="0006359B" w:rsidRDefault="00E714F8" w:rsidP="0006359B">
      <w:pPr>
        <w:ind w:left="187" w:hanging="187"/>
        <w:rPr>
          <w:rFonts w:ascii="Garamond" w:hAnsi="Garamond"/>
          <w:color w:val="808080"/>
          <w:sz w:val="18"/>
          <w:szCs w:val="18"/>
        </w:rPr>
        <w:sectPr w:rsidR="00A20134" w:rsidRPr="0006359B" w:rsidSect="00593257">
          <w:type w:val="continuous"/>
          <w:pgSz w:w="12240" w:h="15840" w:code="1"/>
          <w:pgMar w:top="1800" w:right="720" w:bottom="720" w:left="749" w:header="720" w:footer="573" w:gutter="0"/>
          <w:cols w:space="720"/>
          <w:docGrid w:linePitch="360"/>
        </w:sectPr>
      </w:pPr>
      <w:r>
        <w:rPr>
          <w:noProof/>
          <w:sz w:val="22"/>
          <w:szCs w:val="22"/>
        </w:rPr>
        <w:pict>
          <v:line id="_x0000_s1039" style="position:absolute;left:0;text-align:left;z-index:251659776" from="-3.45pt,22.35pt" to="538.85pt,22.35pt" strokecolor="silver"/>
        </w:pict>
      </w:r>
      <w:r w:rsidR="00874341"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="00874341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874341"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 w:rsidR="00874341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874341"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="00874341"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="00874341"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="00874341"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 w:rsidR="00874341">
        <w:rPr>
          <w:rFonts w:ascii="Garamond" w:hAnsi="Garamond"/>
          <w:color w:val="808080"/>
          <w:sz w:val="18"/>
          <w:szCs w:val="18"/>
        </w:rPr>
        <w:t>, 2002 Jun;8(2):91-96.</w:t>
      </w:r>
    </w:p>
    <w:p w:rsidR="00F30E3F" w:rsidRDefault="002F1463" w:rsidP="00B174F6">
      <w:pPr>
        <w:jc w:val="center"/>
        <w:rPr>
          <w:rStyle w:val="Heading3Char"/>
        </w:rPr>
      </w:pPr>
      <w:r>
        <w:rPr>
          <w:rStyle w:val="Heading3Char"/>
        </w:rPr>
        <w:lastRenderedPageBreak/>
        <w:t xml:space="preserve">Table 5. </w:t>
      </w:r>
      <w:r w:rsidR="00B174F6">
        <w:rPr>
          <w:rStyle w:val="Heading3Char"/>
        </w:rPr>
        <w:t>Exte</w:t>
      </w:r>
      <w:r w:rsidR="00B174F6" w:rsidRPr="00B174F6">
        <w:rPr>
          <w:rStyle w:val="Heading3Char"/>
        </w:rPr>
        <w:t>rnal Cause of Injury</w:t>
      </w:r>
    </w:p>
    <w:p w:rsidR="00765AF4" w:rsidRDefault="003D6984" w:rsidP="00765AF4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30A8B">
        <w:rPr>
          <w:rFonts w:ascii="Arial" w:hAnsi="Arial" w:cs="Arial"/>
          <w:sz w:val="20"/>
          <w:szCs w:val="20"/>
        </w:rPr>
        <w:t xml:space="preserve"> = Number of Visits</w:t>
      </w:r>
    </w:p>
    <w:p w:rsidR="00765AF4" w:rsidRPr="00765AF4" w:rsidRDefault="00765AF4" w:rsidP="00765AF4">
      <w:pPr>
        <w:ind w:left="187" w:firstLine="374"/>
        <w:rPr>
          <w:rStyle w:val="Heading3Char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% = Percent of </w:t>
      </w:r>
      <w:r w:rsidR="00F30A8B">
        <w:rPr>
          <w:rFonts w:ascii="Arial" w:hAnsi="Arial" w:cs="Arial"/>
          <w:sz w:val="20"/>
          <w:szCs w:val="20"/>
        </w:rPr>
        <w:t>Visits</w:t>
      </w:r>
    </w:p>
    <w:p w:rsidR="00B174F6" w:rsidRPr="006D2251" w:rsidRDefault="00B174F6" w:rsidP="00B174F6">
      <w:pPr>
        <w:jc w:val="center"/>
        <w:rPr>
          <w:rStyle w:val="Heading3Char"/>
          <w:sz w:val="12"/>
          <w:szCs w:val="12"/>
        </w:rPr>
      </w:pPr>
    </w:p>
    <w:tbl>
      <w:tblPr>
        <w:tblStyle w:val="TableGrid"/>
        <w:tblW w:w="0" w:type="auto"/>
        <w:tblInd w:w="482" w:type="dxa"/>
        <w:tblLook w:val="01E0" w:firstRow="1" w:lastRow="1" w:firstColumn="1" w:lastColumn="1" w:noHBand="0" w:noVBand="0"/>
      </w:tblPr>
      <w:tblGrid>
        <w:gridCol w:w="2057"/>
        <w:gridCol w:w="2731"/>
        <w:gridCol w:w="2131"/>
        <w:gridCol w:w="1122"/>
        <w:gridCol w:w="1122"/>
      </w:tblGrid>
      <w:tr w:rsidR="00573A04" w:rsidRPr="0079630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573A04" w:rsidRPr="00796308" w:rsidRDefault="00573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573A04" w:rsidRPr="00BF5444" w:rsidRDefault="00F30A8B" w:rsidP="00573A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C07571" w:rsidRPr="00796308" w:rsidRDefault="00C07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07571" w:rsidRPr="00796308" w:rsidRDefault="003D6984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C07571" w:rsidRPr="00796308" w:rsidRDefault="00C07571" w:rsidP="00573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567FE" w:rsidRPr="0079630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B567FE" w:rsidRPr="00796308" w:rsidRDefault="00B56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B567FE" w:rsidRPr="00B567FE" w:rsidRDefault="00B567FE" w:rsidP="00B567F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E57049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44,023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B567FE" w:rsidRPr="00B567FE" w:rsidRDefault="00B567FE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0A7B32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 xml:space="preserve">External Cause </w:t>
            </w:r>
          </w:p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4862" w:type="dxa"/>
            <w:gridSpan w:val="2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1F6C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822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F6C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278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F6C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001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13.6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F6C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to same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573E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to lower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from stairs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from ladder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from building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571B04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into</w:t>
            </w:r>
            <w:r w:rsidR="00796308" w:rsidRPr="00796308">
              <w:rPr>
                <w:rFonts w:ascii="Arial" w:hAnsi="Arial" w:cs="Arial"/>
                <w:sz w:val="20"/>
                <w:szCs w:val="20"/>
              </w:rPr>
              <w:t xml:space="preserve"> opening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Fall to same level w/person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Other 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573E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962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</w:tr>
      <w:tr w:rsidR="00796308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5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962E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93.3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5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62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490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62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032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  <w:tr w:rsidR="00EE419B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Driver/passenger m</w:t>
            </w:r>
            <w:r w:rsidR="00B871EC">
              <w:rPr>
                <w:rFonts w:ascii="Arial" w:hAnsi="Arial" w:cs="Arial"/>
                <w:sz w:val="20"/>
                <w:szCs w:val="20"/>
              </w:rPr>
              <w:t>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82.0</w:t>
            </w:r>
          </w:p>
        </w:tc>
      </w:tr>
      <w:tr w:rsidR="00796308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871EC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96308" w:rsidRPr="00796308">
              <w:rPr>
                <w:rFonts w:ascii="Arial" w:hAnsi="Arial" w:cs="Arial"/>
                <w:sz w:val="20"/>
                <w:szCs w:val="20"/>
              </w:rPr>
              <w:t>edestrian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B871EC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Unspecified P</w:t>
            </w:r>
            <w:r w:rsidR="00796308" w:rsidRPr="00796308">
              <w:rPr>
                <w:rFonts w:ascii="Arial" w:hAnsi="Arial" w:cs="Arial"/>
                <w:sz w:val="20"/>
                <w:szCs w:val="20"/>
              </w:rPr>
              <w:t>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62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028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  <w:tr w:rsidR="00796308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Sting, non-poisonous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70.4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796308" w:rsidP="0079630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796308">
              <w:rPr>
                <w:rFonts w:ascii="Arial" w:hAnsi="Arial" w:cs="Arial"/>
                <w:sz w:val="20"/>
                <w:szCs w:val="20"/>
              </w:rPr>
              <w:t>Sting, 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236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</w:tr>
      <w:tr w:rsidR="00D5512C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EBF5FF"/>
            <w:vAlign w:val="center"/>
          </w:tcPr>
          <w:p w:rsidR="00796308" w:rsidRPr="00796308" w:rsidRDefault="00796308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871EC">
              <w:rPr>
                <w:rFonts w:ascii="Arial" w:hAnsi="Arial" w:cs="Arial"/>
                <w:b/>
                <w:sz w:val="20"/>
                <w:szCs w:val="20"/>
              </w:rPr>
              <w:t>ther T</w:t>
            </w:r>
            <w:r w:rsidRPr="00796308">
              <w:rPr>
                <w:rFonts w:ascii="Arial" w:hAnsi="Arial" w:cs="Arial"/>
                <w:b/>
                <w:sz w:val="20"/>
                <w:szCs w:val="20"/>
              </w:rPr>
              <w:t>ransportation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E57049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D5512C" w:rsidRDefault="00A224EB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</w:tr>
      <w:tr w:rsidR="00D5512C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186096" w:rsidP="002742D6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</w:t>
            </w:r>
          </w:p>
        </w:tc>
      </w:tr>
      <w:tr w:rsidR="00D5512C" w:rsidRPr="0079630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796308" w:rsidRPr="00796308" w:rsidRDefault="00796308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796308" w:rsidRPr="00796308" w:rsidRDefault="00186096" w:rsidP="00D5512C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Pedestrian,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E57049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796308" w:rsidRPr="00796308" w:rsidRDefault="00A224EB" w:rsidP="00D551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</w:t>
            </w:r>
          </w:p>
        </w:tc>
      </w:tr>
      <w:tr w:rsidR="00186096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186096" w:rsidRPr="00796308" w:rsidRDefault="00186096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CCFF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F3FAFF"/>
            <w:vAlign w:val="center"/>
          </w:tcPr>
          <w:p w:rsidR="00186096" w:rsidRPr="00796308" w:rsidRDefault="00186096" w:rsidP="002742D6">
            <w:pPr>
              <w:ind w:left="6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Pedal cyclist,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186096" w:rsidRPr="002742D6" w:rsidRDefault="00E57049" w:rsidP="002742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186096" w:rsidRPr="002742D6" w:rsidRDefault="00A224EB" w:rsidP="002742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</w:tr>
      <w:tr w:rsidR="002742D6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2742D6" w:rsidRPr="00796308" w:rsidRDefault="002742D6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99CCFF"/>
            </w:tcBorders>
            <w:shd w:val="clear" w:color="auto" w:fill="EBF5FF"/>
            <w:vAlign w:val="center"/>
          </w:tcPr>
          <w:p w:rsidR="002742D6" w:rsidRPr="002742D6" w:rsidRDefault="002742D6" w:rsidP="006365FF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5019F9" w:rsidRPr="005019F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999999"/>
              <w:right w:val="single" w:sz="2" w:space="0" w:color="C0C0C0"/>
            </w:tcBorders>
            <w:vAlign w:val="center"/>
          </w:tcPr>
          <w:p w:rsidR="002742D6" w:rsidRPr="00D5512C" w:rsidRDefault="00E57049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962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063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999999"/>
              <w:right w:val="single" w:sz="2" w:space="0" w:color="C0C0C0"/>
            </w:tcBorders>
            <w:vAlign w:val="center"/>
          </w:tcPr>
          <w:p w:rsidR="002742D6" w:rsidRPr="00D5512C" w:rsidRDefault="00A224EB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11.5</w:t>
            </w:r>
          </w:p>
        </w:tc>
      </w:tr>
      <w:tr w:rsidR="002742D6" w:rsidRPr="0079630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2742D6" w:rsidRPr="00796308" w:rsidRDefault="002742D6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EBF5FF"/>
            <w:vAlign w:val="center"/>
          </w:tcPr>
          <w:p w:rsidR="002742D6" w:rsidRPr="00796308" w:rsidRDefault="002742D6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308">
              <w:rPr>
                <w:rFonts w:ascii="Arial" w:hAnsi="Arial" w:cs="Arial"/>
                <w:b/>
                <w:sz w:val="20"/>
                <w:szCs w:val="20"/>
              </w:rPr>
              <w:t>Unspecified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Missing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2742D6" w:rsidRPr="00D5512C" w:rsidRDefault="00E57049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962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122" w:type="dxa"/>
            <w:tcBorders>
              <w:top w:val="sing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2742D6" w:rsidRPr="00D5512C" w:rsidRDefault="00A224EB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</w:tr>
    </w:tbl>
    <w:p w:rsidR="006A2AA9" w:rsidRPr="00796308" w:rsidRDefault="006A2AA9" w:rsidP="006A2AA9">
      <w:pPr>
        <w:rPr>
          <w:rFonts w:ascii="Arial" w:hAnsi="Arial" w:cs="Arial"/>
          <w:sz w:val="20"/>
          <w:szCs w:val="20"/>
        </w:rPr>
      </w:pPr>
    </w:p>
    <w:p w:rsidR="00983B8A" w:rsidRDefault="00983B8A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AD6921" w:rsidRPr="000C4D0C" w:rsidRDefault="00E714F8" w:rsidP="0006359B">
      <w:pPr>
        <w:spacing w:before="60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noProof/>
          <w:color w:val="808080"/>
          <w:sz w:val="18"/>
          <w:szCs w:val="18"/>
        </w:rPr>
        <w:pict>
          <v:line id="_x0000_s1042" style="position:absolute;flip:y;z-index:251662848" from="-5.45pt,.15pt" to="521.55pt,.25pt" strokecolor="silver"/>
        </w:pict>
      </w:r>
      <w:r w:rsidR="00AD6921" w:rsidRPr="000C4D0C">
        <w:rPr>
          <w:rFonts w:ascii="Garamond" w:hAnsi="Garamond"/>
          <w:color w:val="808080"/>
          <w:sz w:val="18"/>
          <w:szCs w:val="18"/>
        </w:rPr>
        <w:t>Source: Emergenc</w:t>
      </w:r>
      <w:r w:rsidR="00E57049">
        <w:rPr>
          <w:rFonts w:ascii="Garamond" w:hAnsi="Garamond"/>
          <w:color w:val="808080"/>
          <w:sz w:val="18"/>
          <w:szCs w:val="18"/>
        </w:rPr>
        <w:t>y Discharge Data, for 1 Jan 2007</w:t>
      </w:r>
      <w:r w:rsidR="00AD6921" w:rsidRPr="000C4D0C">
        <w:rPr>
          <w:rFonts w:ascii="Garamond" w:hAnsi="Garamond"/>
          <w:color w:val="808080"/>
          <w:sz w:val="18"/>
          <w:szCs w:val="18"/>
        </w:rPr>
        <w:t xml:space="preserve"> through 31 Dec </w:t>
      </w:r>
      <w:r w:rsidR="00E57049">
        <w:rPr>
          <w:rFonts w:ascii="Garamond" w:hAnsi="Garamond"/>
          <w:color w:val="808080"/>
          <w:sz w:val="18"/>
          <w:szCs w:val="18"/>
        </w:rPr>
        <w:t>2011</w:t>
      </w:r>
      <w:r w:rsidR="00814BD4">
        <w:rPr>
          <w:rFonts w:ascii="Garamond" w:hAnsi="Garamond"/>
          <w:color w:val="808080"/>
          <w:sz w:val="18"/>
          <w:szCs w:val="18"/>
        </w:rPr>
        <w:t>, Massachusetts Center for Health Information and Analysis.</w:t>
      </w:r>
    </w:p>
    <w:p w:rsidR="002742D6" w:rsidRDefault="005019F9" w:rsidP="002742D6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</w:t>
      </w:r>
      <w:r w:rsidR="002742D6">
        <w:rPr>
          <w:rFonts w:ascii="Garamond" w:hAnsi="Garamond"/>
          <w:b w:val="0"/>
          <w:color w:val="808080"/>
          <w:sz w:val="18"/>
          <w:szCs w:val="18"/>
        </w:rPr>
        <w:t xml:space="preserve">) Other includes drowning, 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suffocation, firearm </w:t>
      </w:r>
      <w:r w:rsidR="002742D6">
        <w:rPr>
          <w:rFonts w:ascii="Garamond" w:hAnsi="Garamond"/>
          <w:b w:val="0"/>
          <w:color w:val="808080"/>
          <w:sz w:val="18"/>
          <w:szCs w:val="18"/>
        </w:rPr>
        <w:t>other specified, and not elsewhere specified</w:t>
      </w:r>
    </w:p>
    <w:p w:rsidR="005019F9" w:rsidRDefault="005019F9" w:rsidP="005019F9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cells with less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 than 11</w:t>
      </w:r>
      <w:r w:rsidR="00814BD4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AD6921" w:rsidRDefault="00814BD4" w:rsidP="00AD692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5019F9">
        <w:rPr>
          <w:rFonts w:ascii="Garamond" w:hAnsi="Garamond"/>
          <w:b w:val="0"/>
          <w:color w:val="808080"/>
          <w:sz w:val="18"/>
          <w:szCs w:val="18"/>
        </w:rPr>
        <w:t>visit</w:t>
      </w:r>
      <w:r w:rsidR="00AD6921"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  <w:r w:rsidR="00AD6921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4C1024" w:rsidRDefault="006D2251" w:rsidP="00A544F1">
      <w:pPr>
        <w:spacing w:line="216" w:lineRule="auto"/>
        <w:sectPr w:rsidR="004C1024" w:rsidSect="0006359B">
          <w:pgSz w:w="12240" w:h="15840" w:code="1"/>
          <w:pgMar w:top="1845" w:right="720" w:bottom="900" w:left="1008" w:header="720" w:footer="461" w:gutter="0"/>
          <w:cols w:space="720"/>
          <w:docGrid w:linePitch="360"/>
        </w:sectPr>
      </w:pPr>
      <w:r>
        <w:rPr>
          <w:rFonts w:ascii="Garamond" w:hAnsi="Garamond"/>
          <w:color w:val="808080"/>
          <w:sz w:val="18"/>
          <w:szCs w:val="18"/>
        </w:rPr>
        <w:t>External Cause of Injury groupings are based on ‘ICD-9 Framework for Presenting Injury Mortality Data,’ MM</w:t>
      </w:r>
      <w:r w:rsidR="00A544F1">
        <w:rPr>
          <w:rFonts w:ascii="Garamond" w:hAnsi="Garamond"/>
          <w:color w:val="808080"/>
          <w:sz w:val="18"/>
          <w:szCs w:val="18"/>
        </w:rPr>
        <w:t xml:space="preserve">WR Recommendations and Reports, </w:t>
      </w:r>
      <w:r>
        <w:rPr>
          <w:rFonts w:ascii="Garamond" w:hAnsi="Garamond"/>
          <w:color w:val="808080"/>
          <w:sz w:val="18"/>
          <w:szCs w:val="18"/>
        </w:rPr>
        <w:t>August 29, 1997, Volume 46/NORR-14</w:t>
      </w:r>
      <w:r w:rsidR="0006359B">
        <w:t>.</w:t>
      </w:r>
    </w:p>
    <w:p w:rsidR="00D35CD4" w:rsidRPr="0006359B" w:rsidRDefault="00E714F8" w:rsidP="00FA727E">
      <w:pPr>
        <w:spacing w:before="60"/>
        <w:jc w:val="center"/>
      </w:pPr>
      <w:r>
        <w:rPr>
          <w:noProof/>
          <w:sz w:val="22"/>
          <w:szCs w:val="22"/>
        </w:rPr>
        <w:lastRenderedPageBreak/>
        <w:pict>
          <v:line id="_x0000_s1041" style="position:absolute;left:0;text-align:left;z-index:251661824" from="-5.45pt,11.6pt" to="521.55pt,11.6pt" strokecolor="silver"/>
        </w:pict>
      </w:r>
      <w:r w:rsidR="00766BE5">
        <w:rPr>
          <w:sz w:val="22"/>
          <w:szCs w:val="22"/>
        </w:rPr>
        <w:br w:type="page"/>
      </w:r>
      <w:r w:rsidR="002F1463" w:rsidRPr="00A0549B">
        <w:rPr>
          <w:rFonts w:ascii="Arial" w:hAnsi="Arial" w:cs="Arial"/>
          <w:b/>
          <w:sz w:val="26"/>
          <w:szCs w:val="26"/>
        </w:rPr>
        <w:lastRenderedPageBreak/>
        <w:t xml:space="preserve">Table 6. </w:t>
      </w:r>
      <w:r w:rsidR="00814BD4">
        <w:rPr>
          <w:rFonts w:ascii="Arial" w:hAnsi="Arial" w:cs="Arial"/>
          <w:b/>
          <w:sz w:val="26"/>
          <w:szCs w:val="26"/>
        </w:rPr>
        <w:t>Visits</w:t>
      </w:r>
      <w:r w:rsidR="00F91270" w:rsidRPr="00A0549B">
        <w:rPr>
          <w:rFonts w:ascii="Arial" w:hAnsi="Arial" w:cs="Arial"/>
          <w:b/>
          <w:sz w:val="26"/>
          <w:szCs w:val="26"/>
        </w:rPr>
        <w:t xml:space="preserve"> Distributed by Month</w:t>
      </w:r>
    </w:p>
    <w:p w:rsidR="00C36C85" w:rsidRPr="00C36C85" w:rsidRDefault="00C36C85" w:rsidP="00C36C85"/>
    <w:p w:rsidR="00C36C85" w:rsidRDefault="003D6984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14BD4">
        <w:rPr>
          <w:rFonts w:ascii="Arial" w:hAnsi="Arial" w:cs="Arial"/>
          <w:sz w:val="20"/>
          <w:szCs w:val="20"/>
        </w:rPr>
        <w:t xml:space="preserve"> = Number of Visits</w:t>
      </w:r>
    </w:p>
    <w:p w:rsidR="00C36C85" w:rsidRPr="00993B91" w:rsidRDefault="00814BD4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p w:rsidR="00F91270" w:rsidRPr="006D2EF2" w:rsidRDefault="00F91270" w:rsidP="00D35CD4">
      <w:pPr>
        <w:rPr>
          <w:color w:val="999999"/>
          <w:sz w:val="22"/>
          <w:szCs w:val="22"/>
        </w:rPr>
      </w:pPr>
    </w:p>
    <w:tbl>
      <w:tblPr>
        <w:tblStyle w:val="TableGrid"/>
        <w:tblW w:w="0" w:type="auto"/>
        <w:tblInd w:w="2622" w:type="dxa"/>
        <w:tblLook w:val="01E0" w:firstRow="1" w:lastRow="1" w:firstColumn="1" w:lastColumn="1" w:noHBand="0" w:noVBand="0"/>
      </w:tblPr>
      <w:tblGrid>
        <w:gridCol w:w="1499"/>
        <w:gridCol w:w="1499"/>
        <w:gridCol w:w="1238"/>
        <w:gridCol w:w="1260"/>
      </w:tblGrid>
      <w:tr w:rsidR="00C36C85" w:rsidRPr="006D2EF2" w:rsidTr="003147C6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C36C85" w:rsidRPr="00884E78" w:rsidRDefault="00814BD4" w:rsidP="00C36C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C36C85" w:rsidRPr="006D2EF2" w:rsidTr="003147C6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</w:tcPr>
          <w:p w:rsidR="00C36C85" w:rsidRPr="00884E78" w:rsidRDefault="00C36C85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C36C85" w:rsidRPr="00884E78" w:rsidRDefault="003D6984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C36C85" w:rsidRPr="00884E78" w:rsidRDefault="00C36C85" w:rsidP="00C36C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E7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  <w:vAlign w:val="center"/>
          </w:tcPr>
          <w:p w:rsidR="004C5C36" w:rsidRDefault="004C5C36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4C5C36" w:rsidRPr="00884E78" w:rsidRDefault="004C5C36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1499" w:type="dxa"/>
            <w:tcBorders>
              <w:top w:val="single" w:sz="2" w:space="0" w:color="C0C0C0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1238" w:type="dxa"/>
            <w:tcBorders>
              <w:top w:val="single" w:sz="2" w:space="0" w:color="FFCC99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2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4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99CCFF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</w:tr>
      <w:tr w:rsidR="004C5C36" w:rsidRPr="006D2EF2" w:rsidTr="003147C6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99CCFF"/>
            </w:tcBorders>
            <w:shd w:val="clear" w:color="auto" w:fill="CCECFF"/>
          </w:tcPr>
          <w:p w:rsidR="004C5C36" w:rsidRPr="00884E78" w:rsidRDefault="004C5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99CCFF"/>
              <w:left w:val="single" w:sz="2" w:space="0" w:color="99CCFF"/>
              <w:bottom w:val="single" w:sz="2" w:space="0" w:color="C0C0C0"/>
              <w:right w:val="single" w:sz="2" w:space="0" w:color="99CCFF"/>
            </w:tcBorders>
            <w:shd w:val="clear" w:color="auto" w:fill="F3FAFF"/>
            <w:vAlign w:val="center"/>
          </w:tcPr>
          <w:p w:rsidR="004C5C36" w:rsidRPr="00884E78" w:rsidRDefault="004C5C36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4E78">
              <w:rPr>
                <w:rFonts w:ascii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99CCFF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3</w:t>
            </w:r>
            <w:r w:rsidR="009E22C6">
              <w:rPr>
                <w:rFonts w:ascii="Arial" w:hAnsi="Arial" w:cs="Arial"/>
                <w:sz w:val="20"/>
                <w:szCs w:val="20"/>
              </w:rPr>
              <w:t>,</w:t>
            </w:r>
            <w:r w:rsidRPr="008C16D4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C5C36" w:rsidRPr="008C16D4" w:rsidRDefault="004C5C36" w:rsidP="0028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16D4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</w:tr>
    </w:tbl>
    <w:p w:rsidR="00D35CD4" w:rsidRPr="006D2EF2" w:rsidRDefault="00D35CD4" w:rsidP="006A2AA9">
      <w:pPr>
        <w:rPr>
          <w:color w:val="999999"/>
          <w:sz w:val="22"/>
          <w:szCs w:val="22"/>
        </w:rPr>
      </w:pPr>
    </w:p>
    <w:p w:rsidR="00FA31D5" w:rsidRDefault="00FA31D5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FA31D5">
      <w:pPr>
        <w:jc w:val="center"/>
        <w:rPr>
          <w:color w:val="FF0000"/>
          <w:sz w:val="22"/>
          <w:szCs w:val="22"/>
        </w:rPr>
      </w:pPr>
    </w:p>
    <w:p w:rsidR="001A59CC" w:rsidRDefault="001A59CC" w:rsidP="001A59CC">
      <w:pPr>
        <w:rPr>
          <w:color w:val="FF0000"/>
          <w:sz w:val="22"/>
          <w:szCs w:val="22"/>
        </w:rPr>
      </w:pPr>
    </w:p>
    <w:p w:rsidR="00FA31D5" w:rsidRDefault="00E714F8" w:rsidP="00FA31D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pict>
          <v:line id="_x0000_s1044" style="position:absolute;left:0;text-align:left;flip:y;z-index:251663872" from="0,1.8pt" to="527pt,1.9pt" strokecolor="silver"/>
        </w:pict>
      </w:r>
    </w:p>
    <w:p w:rsidR="005019F9" w:rsidRPr="00725993" w:rsidRDefault="005019F9" w:rsidP="005019F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>
        <w:rPr>
          <w:rFonts w:ascii="Garamond" w:hAnsi="Garamond"/>
          <w:b w:val="0"/>
          <w:color w:val="808080"/>
          <w:sz w:val="18"/>
          <w:szCs w:val="18"/>
        </w:rPr>
        <w:t>Emergency Discharge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 Data, for 1 Jan 2007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</w:t>
      </w:r>
      <w:r w:rsidR="00E57049">
        <w:rPr>
          <w:rFonts w:ascii="Garamond" w:hAnsi="Garamond"/>
          <w:b w:val="0"/>
          <w:color w:val="808080"/>
          <w:sz w:val="18"/>
          <w:szCs w:val="18"/>
        </w:rPr>
        <w:t xml:space="preserve"> 31 Dec 2011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, Massachusetts </w:t>
      </w:r>
      <w:r w:rsidR="00814BD4">
        <w:rPr>
          <w:rFonts w:ascii="Garamond" w:hAnsi="Garamond"/>
          <w:b w:val="0"/>
          <w:color w:val="808080"/>
          <w:sz w:val="18"/>
          <w:szCs w:val="18"/>
        </w:rPr>
        <w:t>Center for Health Information and Analysis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5019F9" w:rsidRDefault="005019F9" w:rsidP="00B1675C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Counts not shown for cells with les</w:t>
      </w:r>
      <w:r w:rsidR="00E57049">
        <w:rPr>
          <w:rFonts w:ascii="Garamond" w:hAnsi="Garamond"/>
          <w:b w:val="0"/>
          <w:color w:val="808080"/>
          <w:sz w:val="18"/>
          <w:szCs w:val="18"/>
        </w:rPr>
        <w:t>s than 11</w:t>
      </w:r>
      <w:r w:rsidR="00814BD4">
        <w:rPr>
          <w:rFonts w:ascii="Garamond" w:hAnsi="Garamond"/>
          <w:b w:val="0"/>
          <w:color w:val="808080"/>
          <w:sz w:val="18"/>
          <w:szCs w:val="18"/>
        </w:rPr>
        <w:t xml:space="preserve"> cases based on the CHIA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rules pertaining to confidentiality. </w:t>
      </w:r>
    </w:p>
    <w:p w:rsidR="005019F9" w:rsidRDefault="00814BD4" w:rsidP="005019F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An ED </w:t>
      </w:r>
      <w:r w:rsidR="005019F9">
        <w:rPr>
          <w:rFonts w:ascii="Garamond" w:hAnsi="Garamond"/>
          <w:b w:val="0"/>
          <w:color w:val="808080"/>
          <w:sz w:val="18"/>
          <w:szCs w:val="18"/>
        </w:rPr>
        <w:t>visit</w:t>
      </w:r>
      <w:r w:rsidR="005019F9"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ED49EC" w:rsidRPr="003C4AC4" w:rsidRDefault="00E714F8" w:rsidP="009B611C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45" style="position:absolute;z-index:251664896" from="0,12.4pt" to="527pt,12.4pt" strokecolor="silver"/>
        </w:pict>
      </w:r>
    </w:p>
    <w:sectPr w:rsidR="00ED49EC" w:rsidRPr="003C4AC4" w:rsidSect="004C1024">
      <w:type w:val="continuous"/>
      <w:pgSz w:w="12240" w:h="15840" w:code="1"/>
      <w:pgMar w:top="1845" w:right="720" w:bottom="900" w:left="1008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14" w:rsidRDefault="00D13414">
      <w:r>
        <w:separator/>
      </w:r>
    </w:p>
  </w:endnote>
  <w:endnote w:type="continuationSeparator" w:id="0">
    <w:p w:rsidR="00D13414" w:rsidRDefault="00D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any AMT">
    <w:panose1 w:val="020B0604020202020204"/>
    <w:charset w:val="00"/>
    <w:family w:val="swiss"/>
    <w:pitch w:val="variable"/>
    <w:sig w:usb0="00002A87" w:usb1="4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14" w:rsidRDefault="00D13414" w:rsidP="00C3570C">
    <w:pPr>
      <w:pStyle w:val="Footer"/>
      <w:tabs>
        <w:tab w:val="clear" w:pos="8640"/>
        <w:tab w:val="right" w:pos="7480"/>
      </w:tabs>
      <w:ind w:left="7293" w:hanging="7293"/>
      <w:rPr>
        <w:rFonts w:ascii="Footlight MT Light" w:hAnsi="Footlight MT Light"/>
        <w:i/>
      </w:rPr>
    </w:pPr>
  </w:p>
  <w:p w:rsidR="00D13414" w:rsidRPr="008F4946" w:rsidRDefault="00D13414" w:rsidP="00CE33A0">
    <w:pPr>
      <w:pStyle w:val="Footer"/>
      <w:tabs>
        <w:tab w:val="clear" w:pos="8640"/>
        <w:tab w:val="right" w:pos="7480"/>
      </w:tabs>
      <w:ind w:left="7480" w:right="-1309" w:hanging="7293"/>
      <w:rPr>
        <w:rFonts w:ascii="Footlight MT Light" w:hAnsi="Footlight MT Light"/>
      </w:rPr>
    </w:pPr>
    <w:r w:rsidRPr="00C3570C">
      <w:rPr>
        <w:rFonts w:ascii="Footlight MT Light" w:hAnsi="Footlight MT Light"/>
        <w:i/>
      </w:rPr>
      <w:t xml:space="preserve">Teens at Work: Injury Surveillance System </w:t>
    </w:r>
    <w:r>
      <w:rPr>
        <w:rFonts w:ascii="Footlight MT Light" w:hAnsi="Footlight MT Light"/>
        <w:i/>
      </w:rPr>
      <w:tab/>
      <w:t xml:space="preserve">                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57" w:rsidRDefault="00593257" w:rsidP="008F605B">
    <w:pPr>
      <w:pStyle w:val="Footer"/>
      <w:tabs>
        <w:tab w:val="clear" w:pos="8640"/>
        <w:tab w:val="left" w:pos="6919"/>
        <w:tab w:val="left" w:pos="7480"/>
        <w:tab w:val="left" w:pos="8228"/>
        <w:tab w:val="left" w:pos="8415"/>
      </w:tabs>
      <w:ind w:left="7667" w:right="40" w:hanging="7667"/>
      <w:rPr>
        <w:rFonts w:ascii="Footlight MT Light" w:hAnsi="Footlight MT Light"/>
        <w:i/>
      </w:rPr>
    </w:pPr>
  </w:p>
  <w:p w:rsidR="00D13414" w:rsidRPr="008F4946" w:rsidRDefault="00E714F8" w:rsidP="008F605B">
    <w:pPr>
      <w:pStyle w:val="Footer"/>
      <w:tabs>
        <w:tab w:val="clear" w:pos="8640"/>
        <w:tab w:val="left" w:pos="6919"/>
        <w:tab w:val="left" w:pos="7480"/>
        <w:tab w:val="left" w:pos="8228"/>
        <w:tab w:val="left" w:pos="8415"/>
      </w:tabs>
      <w:ind w:left="7667" w:right="40" w:hanging="7667"/>
      <w:rPr>
        <w:rFonts w:ascii="Footlight MT Light" w:hAnsi="Footlight MT Light"/>
      </w:rPr>
    </w:pPr>
    <w:r>
      <w:rPr>
        <w:rFonts w:ascii="Footlight MT Light" w:hAnsi="Footlight MT Light"/>
        <w:i/>
        <w:noProof/>
      </w:rPr>
      <w:pict>
        <v:line id="_x0000_s2065" style="position:absolute;left:0;text-align:left;flip:x;z-index:251662848" from="-89.9pt,212.9pt" to="499.15pt,212.9pt"/>
      </w:pict>
    </w:r>
    <w:r>
      <w:rPr>
        <w:rFonts w:ascii="Footlight MT Light" w:hAnsi="Footlight MT Light"/>
        <w:i/>
        <w:noProof/>
      </w:rPr>
      <w:pict>
        <v:line id="_x0000_s2064" style="position:absolute;left:0;text-align:left;z-index:251661824" from="-52.5pt,104.9pt" to="489.8pt,104.9pt" strokecolor="silver"/>
      </w:pict>
    </w:r>
    <w:r w:rsidR="00D13414" w:rsidRPr="00C3570C">
      <w:rPr>
        <w:rFonts w:ascii="Footlight MT Light" w:hAnsi="Footlight MT Light"/>
        <w:i/>
      </w:rPr>
      <w:t xml:space="preserve">Teens at Work: Injury Surveillance System </w:t>
    </w:r>
    <w:r w:rsidR="00593257">
      <w:rPr>
        <w:rFonts w:ascii="Footlight MT Light" w:hAnsi="Footlight MT Light"/>
        <w:i/>
      </w:rPr>
      <w:t xml:space="preserve"> </w:t>
    </w:r>
    <w:r w:rsidR="00F77F7A">
      <w:rPr>
        <w:rFonts w:ascii="Footlight MT Light" w:hAnsi="Footlight MT Light"/>
        <w:i/>
      </w:rPr>
      <w:tab/>
    </w:r>
    <w:r w:rsidR="00F77F7A">
      <w:rPr>
        <w:rFonts w:ascii="Footlight MT Light" w:hAnsi="Footlight MT Light"/>
        <w:i/>
      </w:rPr>
      <w:tab/>
    </w:r>
    <w:hyperlink r:id="rId1" w:history="1">
      <w:r w:rsidR="00D13414"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14" w:rsidRDefault="00D13414">
      <w:r>
        <w:separator/>
      </w:r>
    </w:p>
  </w:footnote>
  <w:footnote w:type="continuationSeparator" w:id="0">
    <w:p w:rsidR="00D13414" w:rsidRDefault="00D1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14" w:rsidRDefault="00E714F8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58" style="position:absolute;left:0;text-align:left;z-index:251657728" from="-1.3pt,-4.6pt" to="234.5pt,-4.5pt" strokecolor="gray" strokeweight="3pt">
          <v:stroke linestyle="thinThin"/>
        </v:line>
      </w:pict>
    </w:r>
    <w:r w:rsidR="00D13414" w:rsidRPr="004F71EE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</w:p>
  <w:p w:rsidR="00D13414" w:rsidRPr="004F71EE" w:rsidRDefault="00E714F8" w:rsidP="00160689">
    <w:pPr>
      <w:pStyle w:val="Header"/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group id="_x0000_s2055" style="position:absolute;left:0;text-align:left;margin-left:420.75pt;margin-top:-31.5pt;width:113.7pt;height:45pt;z-index:-251659776" coordorigin="9236,752" coordsize="2502,1148">
          <v:rect id="_x0000_s2056" style="position:absolute;left:9385;top:752;width:2353;height:1079" fillcolor="gray" strokecolor="gray"/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9236;top:828;width:2431;height:1072" fillcolor="#ddd" strokecolor="silver">
            <v:textbox style="mso-next-textbox:#_x0000_s2057" inset="3.6pt">
              <w:txbxContent>
                <w:p w:rsidR="00D13414" w:rsidRPr="00207492" w:rsidRDefault="00D13414" w:rsidP="00A731E0">
                  <w:pPr>
                    <w:spacing w:after="60"/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smartTag>
                  </w:smartTag>
                </w:p>
                <w:p w:rsidR="00D13414" w:rsidRPr="00207492" w:rsidRDefault="00D13414" w:rsidP="00A731E0">
                  <w:pPr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2007 - 2011</w:t>
                  </w:r>
                </w:p>
              </w:txbxContent>
            </v:textbox>
          </v:shape>
        </v:group>
      </w:pict>
    </w: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49" style="position:absolute;left:0;text-align:left;flip:y;z-index:251652608" from="0,31.9pt" to="529.3pt,32.25pt" strokecolor="gray" strokeweight="3pt">
          <v:stroke linestyle="thinThin"/>
        </v:line>
      </w:pict>
    </w:r>
    <w:proofErr w:type="gramStart"/>
    <w:r w:rsidR="00D13414" w:rsidRPr="004F71EE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="00D13414" w:rsidRPr="004F71EE">
      <w:rPr>
        <w:rFonts w:ascii="Garamond" w:hAnsi="Garamond" w:cs="Tahoma"/>
        <w:b/>
        <w:color w:val="333399"/>
        <w:sz w:val="40"/>
        <w:szCs w:val="40"/>
      </w:rPr>
      <w:t xml:space="preserve"> among</w:t>
    </w:r>
    <w:r w:rsidR="00D13414">
      <w:rPr>
        <w:rFonts w:ascii="Garamond" w:hAnsi="Garamond" w:cs="Tahoma"/>
        <w:b/>
        <w:color w:val="333399"/>
        <w:sz w:val="40"/>
        <w:szCs w:val="40"/>
      </w:rPr>
      <w:t xml:space="preserve"> </w:t>
    </w:r>
    <w:r w:rsidR="00D13414" w:rsidRPr="004F71EE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14" w:rsidRDefault="00E714F8" w:rsidP="00A731E0">
    <w:pPr>
      <w:pStyle w:val="Header"/>
      <w:tabs>
        <w:tab w:val="clear" w:pos="8640"/>
        <w:tab w:val="left" w:pos="10504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group id="_x0000_s2050" style="position:absolute;left:0;text-align:left;margin-left:523.6pt;margin-top:-12.6pt;width:113.7pt;height:45pt;z-index:-251662848" coordorigin="9236,752" coordsize="2502,1148">
          <v:rect id="_x0000_s2051" style="position:absolute;left:9385;top:752;width:2353;height:1079" fillcolor="gray" strokecolor="gray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9236;top:828;width:2431;height:1072" fillcolor="#ddd" strokecolor="silver">
            <v:textbox style="mso-next-textbox:#_x0000_s2052" inset="3.6pt">
              <w:txbxContent>
                <w:p w:rsidR="00D13414" w:rsidRPr="00207492" w:rsidRDefault="00D13414" w:rsidP="00DA64A6">
                  <w:pPr>
                    <w:spacing w:after="60"/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207492">
                    <w:rPr>
                      <w:rFonts w:ascii="Arial" w:hAnsi="Arial" w:cs="Arial"/>
                      <w:b/>
                      <w:sz w:val="26"/>
                      <w:szCs w:val="26"/>
                    </w:rPr>
                    <w:t>Massachusetts</w:t>
                  </w:r>
                </w:p>
                <w:p w:rsidR="00D13414" w:rsidRPr="00207492" w:rsidRDefault="00D13414" w:rsidP="008D0E0C">
                  <w:pPr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2007 - 2011</w:t>
                  </w:r>
                </w:p>
              </w:txbxContent>
            </v:textbox>
          </v:shape>
        </v:group>
      </w:pict>
    </w: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54" style="position:absolute;left:0;text-align:left;z-index:251655680" from="0,-12.6pt" to="308.55pt,-12.6pt" strokecolor="gray" strokeweight="3pt">
          <v:stroke linestyle="thinThin"/>
        </v:line>
      </w:pict>
    </w:r>
    <w:r w:rsidR="00D13414"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 w:rsidR="00D13414">
      <w:rPr>
        <w:rFonts w:ascii="Garamond" w:hAnsi="Garamond" w:cs="Tahoma"/>
        <w:b/>
        <w:color w:val="333399"/>
        <w:sz w:val="40"/>
        <w:szCs w:val="40"/>
      </w:rPr>
      <w:tab/>
    </w:r>
  </w:p>
  <w:p w:rsidR="00D13414" w:rsidRPr="000813B8" w:rsidRDefault="00D13414" w:rsidP="00207492">
    <w:pPr>
      <w:pStyle w:val="Header"/>
      <w:tabs>
        <w:tab w:val="clear" w:pos="8640"/>
        <w:tab w:val="left" w:pos="10277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 w:rsidR="00E714F8">
      <w:rPr>
        <w:rFonts w:ascii="Garamond" w:hAnsi="Garamond" w:cs="Tahoma"/>
        <w:b/>
        <w:noProof/>
        <w:color w:val="333399"/>
        <w:sz w:val="40"/>
        <w:szCs w:val="40"/>
      </w:rPr>
      <w:pict>
        <v:line id="_x0000_s2053" style="position:absolute;left:0;text-align:left;flip:y;z-index:251654656;mso-position-horizontal-relative:text;mso-position-vertical-relative:text" from="0,27.6pt" to="650.15pt,27.75pt" strokecolor="gray" strokeweight="3pt">
          <v:stroke linestyle="thinThin"/>
        </v:line>
      </w:pic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14" w:rsidRDefault="00E714F8" w:rsidP="00337D67">
    <w:pPr>
      <w:pStyle w:val="Header"/>
      <w:tabs>
        <w:tab w:val="clear" w:pos="8640"/>
        <w:tab w:val="left" w:pos="10504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63" style="position:absolute;left:0;text-align:left;z-index:251660800" from="0,-9pt" to="308.55pt,-9pt" strokecolor="gray" strokeweight="3pt">
          <v:stroke linestyle="thinThin"/>
        </v:line>
      </w:pict>
    </w:r>
    <w:r>
      <w:rPr>
        <w:rFonts w:ascii="Garamond" w:hAnsi="Garamond" w:cs="Tahoma"/>
        <w:b/>
        <w:noProof/>
        <w:color w:val="333399"/>
        <w:sz w:val="40"/>
        <w:szCs w:val="40"/>
      </w:rPr>
      <w:pict>
        <v:group id="_x0000_s2059" style="position:absolute;left:0;text-align:left;margin-left:420.75pt;margin-top:-9pt;width:113.7pt;height:45pt;z-index:-251657728" coordorigin="9236,752" coordsize="2502,1148">
          <v:rect id="_x0000_s2060" style="position:absolute;left:9385;top:752;width:2353;height:1079" fillcolor="gray" strokecolor="gray"/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9236;top:828;width:2431;height:1072" fillcolor="#ddd" strokecolor="silver">
            <v:textbox style="mso-next-textbox:#_x0000_s2061" inset="3.6pt">
              <w:txbxContent>
                <w:p w:rsidR="00D13414" w:rsidRPr="00207492" w:rsidRDefault="00D13414" w:rsidP="00DA64A6">
                  <w:pPr>
                    <w:spacing w:after="60"/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20749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Massachusetts</w:t>
                      </w:r>
                    </w:smartTag>
                  </w:smartTag>
                </w:p>
                <w:p w:rsidR="00D13414" w:rsidRPr="00207492" w:rsidRDefault="00D13414" w:rsidP="008D0E0C">
                  <w:pPr>
                    <w:jc w:val="right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2007 - 2011</w:t>
                  </w:r>
                </w:p>
              </w:txbxContent>
            </v:textbox>
          </v:shape>
        </v:group>
      </w:pict>
    </w:r>
    <w:r w:rsidR="00D13414"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 w:rsidR="00D13414">
      <w:rPr>
        <w:rFonts w:ascii="Garamond" w:hAnsi="Garamond" w:cs="Tahoma"/>
        <w:b/>
        <w:color w:val="333399"/>
        <w:sz w:val="40"/>
        <w:szCs w:val="40"/>
      </w:rPr>
      <w:tab/>
    </w:r>
  </w:p>
  <w:p w:rsidR="00D13414" w:rsidRPr="000813B8" w:rsidRDefault="00E714F8" w:rsidP="00337D67">
    <w:pPr>
      <w:pStyle w:val="Header"/>
      <w:tabs>
        <w:tab w:val="clear" w:pos="8640"/>
        <w:tab w:val="left" w:pos="10277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rFonts w:ascii="Garamond" w:hAnsi="Garamond" w:cs="Tahoma"/>
        <w:b/>
        <w:noProof/>
        <w:color w:val="333399"/>
        <w:sz w:val="40"/>
        <w:szCs w:val="40"/>
      </w:rPr>
      <w:pict>
        <v:line id="_x0000_s2062" style="position:absolute;left:0;text-align:left;flip:y;z-index:251659776" from="-1.45pt,26.65pt" to="519.3pt,26.65pt" strokecolor="gray" strokeweight="3pt">
          <v:stroke linestyle="thinThin"/>
        </v:line>
      </w:pict>
    </w:r>
    <w:proofErr w:type="gramStart"/>
    <w:r w:rsidR="00D13414"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="00D13414"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 w:rsidR="00D13414">
      <w:rPr>
        <w:rFonts w:ascii="Garamond" w:hAnsi="Garamond" w:cs="Tahoma"/>
        <w:b/>
        <w:color w:val="333399"/>
        <w:sz w:val="40"/>
        <w:szCs w:val="40"/>
      </w:rPr>
      <w:t xml:space="preserve"> </w:t>
    </w:r>
    <w:r w:rsidR="00D13414"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612"/>
    <w:multiLevelType w:val="hybridMultilevel"/>
    <w:tmpl w:val="6BD06B1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A838F8"/>
    <w:multiLevelType w:val="hybridMultilevel"/>
    <w:tmpl w:val="A33008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69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5F6"/>
    <w:rsid w:val="000005AE"/>
    <w:rsid w:val="00031392"/>
    <w:rsid w:val="000344DE"/>
    <w:rsid w:val="00040D1C"/>
    <w:rsid w:val="00041504"/>
    <w:rsid w:val="00042D27"/>
    <w:rsid w:val="00044EAB"/>
    <w:rsid w:val="00047C52"/>
    <w:rsid w:val="00054775"/>
    <w:rsid w:val="0005676C"/>
    <w:rsid w:val="00061007"/>
    <w:rsid w:val="000615E0"/>
    <w:rsid w:val="0006359B"/>
    <w:rsid w:val="00063EA2"/>
    <w:rsid w:val="000738B1"/>
    <w:rsid w:val="000746A6"/>
    <w:rsid w:val="00075D5D"/>
    <w:rsid w:val="000779A0"/>
    <w:rsid w:val="00080D4D"/>
    <w:rsid w:val="000813B8"/>
    <w:rsid w:val="00085E85"/>
    <w:rsid w:val="000A7B32"/>
    <w:rsid w:val="000B043C"/>
    <w:rsid w:val="000C26AF"/>
    <w:rsid w:val="000C4D0C"/>
    <w:rsid w:val="000C542E"/>
    <w:rsid w:val="000E33E3"/>
    <w:rsid w:val="000E52BA"/>
    <w:rsid w:val="000E581D"/>
    <w:rsid w:val="000E644C"/>
    <w:rsid w:val="00104854"/>
    <w:rsid w:val="00104F8B"/>
    <w:rsid w:val="00111A28"/>
    <w:rsid w:val="0011401A"/>
    <w:rsid w:val="00117A73"/>
    <w:rsid w:val="00120A51"/>
    <w:rsid w:val="00125DD3"/>
    <w:rsid w:val="00141D85"/>
    <w:rsid w:val="00142252"/>
    <w:rsid w:val="00142508"/>
    <w:rsid w:val="001478BB"/>
    <w:rsid w:val="00160689"/>
    <w:rsid w:val="00161A4E"/>
    <w:rsid w:val="00164212"/>
    <w:rsid w:val="001646DB"/>
    <w:rsid w:val="00167ACB"/>
    <w:rsid w:val="001726A5"/>
    <w:rsid w:val="00177A0E"/>
    <w:rsid w:val="00183157"/>
    <w:rsid w:val="001832A3"/>
    <w:rsid w:val="00186096"/>
    <w:rsid w:val="00186870"/>
    <w:rsid w:val="00197927"/>
    <w:rsid w:val="001A2FF5"/>
    <w:rsid w:val="001A59CC"/>
    <w:rsid w:val="001A5C1D"/>
    <w:rsid w:val="001A7954"/>
    <w:rsid w:val="001B2DC2"/>
    <w:rsid w:val="001C18F5"/>
    <w:rsid w:val="001C2A0F"/>
    <w:rsid w:val="001C75F6"/>
    <w:rsid w:val="001C7980"/>
    <w:rsid w:val="001D124B"/>
    <w:rsid w:val="001D1DB6"/>
    <w:rsid w:val="001D5B03"/>
    <w:rsid w:val="001E19DA"/>
    <w:rsid w:val="001E36A2"/>
    <w:rsid w:val="001F6C77"/>
    <w:rsid w:val="00200DF5"/>
    <w:rsid w:val="00203F4B"/>
    <w:rsid w:val="00206C1B"/>
    <w:rsid w:val="00207492"/>
    <w:rsid w:val="00234071"/>
    <w:rsid w:val="00245923"/>
    <w:rsid w:val="0025216D"/>
    <w:rsid w:val="00256233"/>
    <w:rsid w:val="0026118E"/>
    <w:rsid w:val="00261A63"/>
    <w:rsid w:val="0026334E"/>
    <w:rsid w:val="002669BB"/>
    <w:rsid w:val="002742D6"/>
    <w:rsid w:val="0028336F"/>
    <w:rsid w:val="00284525"/>
    <w:rsid w:val="00291E99"/>
    <w:rsid w:val="00293118"/>
    <w:rsid w:val="002A3A94"/>
    <w:rsid w:val="002B6FBB"/>
    <w:rsid w:val="002C38BC"/>
    <w:rsid w:val="002C67FD"/>
    <w:rsid w:val="002E1631"/>
    <w:rsid w:val="002F0A18"/>
    <w:rsid w:val="002F1463"/>
    <w:rsid w:val="002F1B8C"/>
    <w:rsid w:val="003009B9"/>
    <w:rsid w:val="00311545"/>
    <w:rsid w:val="003147C6"/>
    <w:rsid w:val="00315BBF"/>
    <w:rsid w:val="00325E05"/>
    <w:rsid w:val="00337D67"/>
    <w:rsid w:val="00343999"/>
    <w:rsid w:val="00352874"/>
    <w:rsid w:val="00356E3D"/>
    <w:rsid w:val="003573E4"/>
    <w:rsid w:val="00363344"/>
    <w:rsid w:val="00364A18"/>
    <w:rsid w:val="00366E4E"/>
    <w:rsid w:val="00367281"/>
    <w:rsid w:val="00380125"/>
    <w:rsid w:val="003A783A"/>
    <w:rsid w:val="003B0473"/>
    <w:rsid w:val="003B782D"/>
    <w:rsid w:val="003C12E7"/>
    <w:rsid w:val="003C22A5"/>
    <w:rsid w:val="003C43F2"/>
    <w:rsid w:val="003C4AC4"/>
    <w:rsid w:val="003D2AE8"/>
    <w:rsid w:val="003D6984"/>
    <w:rsid w:val="003D7860"/>
    <w:rsid w:val="003D7ACE"/>
    <w:rsid w:val="003E2D83"/>
    <w:rsid w:val="003E3341"/>
    <w:rsid w:val="003E6A53"/>
    <w:rsid w:val="003E6C19"/>
    <w:rsid w:val="004072F6"/>
    <w:rsid w:val="004138CC"/>
    <w:rsid w:val="00414211"/>
    <w:rsid w:val="00414E38"/>
    <w:rsid w:val="00417384"/>
    <w:rsid w:val="004245A5"/>
    <w:rsid w:val="004273B1"/>
    <w:rsid w:val="0043068D"/>
    <w:rsid w:val="00431040"/>
    <w:rsid w:val="00432A3C"/>
    <w:rsid w:val="00436DC3"/>
    <w:rsid w:val="00443992"/>
    <w:rsid w:val="00443A29"/>
    <w:rsid w:val="00444969"/>
    <w:rsid w:val="004508E6"/>
    <w:rsid w:val="00464F5E"/>
    <w:rsid w:val="004651FB"/>
    <w:rsid w:val="004664BF"/>
    <w:rsid w:val="00467B63"/>
    <w:rsid w:val="00467DD4"/>
    <w:rsid w:val="00473364"/>
    <w:rsid w:val="00476BCF"/>
    <w:rsid w:val="00477108"/>
    <w:rsid w:val="0047712F"/>
    <w:rsid w:val="004830A2"/>
    <w:rsid w:val="00491E20"/>
    <w:rsid w:val="0049556F"/>
    <w:rsid w:val="004A1AF7"/>
    <w:rsid w:val="004B02B2"/>
    <w:rsid w:val="004B3326"/>
    <w:rsid w:val="004C1024"/>
    <w:rsid w:val="004C4DF9"/>
    <w:rsid w:val="004C5C36"/>
    <w:rsid w:val="004D57C1"/>
    <w:rsid w:val="004D78E9"/>
    <w:rsid w:val="004E0EA3"/>
    <w:rsid w:val="004E349C"/>
    <w:rsid w:val="004E77FB"/>
    <w:rsid w:val="004F3D99"/>
    <w:rsid w:val="004F6A32"/>
    <w:rsid w:val="004F71EE"/>
    <w:rsid w:val="005019F9"/>
    <w:rsid w:val="005047C9"/>
    <w:rsid w:val="00505D54"/>
    <w:rsid w:val="00506F99"/>
    <w:rsid w:val="00515A52"/>
    <w:rsid w:val="00525801"/>
    <w:rsid w:val="00526DBE"/>
    <w:rsid w:val="00530FD1"/>
    <w:rsid w:val="00531246"/>
    <w:rsid w:val="0054105C"/>
    <w:rsid w:val="0056135B"/>
    <w:rsid w:val="00571B04"/>
    <w:rsid w:val="00573A04"/>
    <w:rsid w:val="005804D1"/>
    <w:rsid w:val="005825DE"/>
    <w:rsid w:val="00582703"/>
    <w:rsid w:val="00593257"/>
    <w:rsid w:val="00593A14"/>
    <w:rsid w:val="00594BD2"/>
    <w:rsid w:val="0059790F"/>
    <w:rsid w:val="005A55F4"/>
    <w:rsid w:val="005A5714"/>
    <w:rsid w:val="005A6A9B"/>
    <w:rsid w:val="005B6ACA"/>
    <w:rsid w:val="005C2F76"/>
    <w:rsid w:val="005C65DB"/>
    <w:rsid w:val="005D5F85"/>
    <w:rsid w:val="005E38A0"/>
    <w:rsid w:val="005E3C6D"/>
    <w:rsid w:val="005F0415"/>
    <w:rsid w:val="005F06B0"/>
    <w:rsid w:val="005F5020"/>
    <w:rsid w:val="00604B2A"/>
    <w:rsid w:val="00616D48"/>
    <w:rsid w:val="00633E89"/>
    <w:rsid w:val="006365FF"/>
    <w:rsid w:val="006366A4"/>
    <w:rsid w:val="00637AAC"/>
    <w:rsid w:val="00653289"/>
    <w:rsid w:val="0066202E"/>
    <w:rsid w:val="00667378"/>
    <w:rsid w:val="00686338"/>
    <w:rsid w:val="00692FDD"/>
    <w:rsid w:val="006A2AA9"/>
    <w:rsid w:val="006A2D24"/>
    <w:rsid w:val="006A3013"/>
    <w:rsid w:val="006B52CF"/>
    <w:rsid w:val="006C2F89"/>
    <w:rsid w:val="006D1DE0"/>
    <w:rsid w:val="006D2251"/>
    <w:rsid w:val="006D2EF2"/>
    <w:rsid w:val="006E00C8"/>
    <w:rsid w:val="006F35D5"/>
    <w:rsid w:val="006F397F"/>
    <w:rsid w:val="006F49DA"/>
    <w:rsid w:val="006F7ACB"/>
    <w:rsid w:val="00710A2E"/>
    <w:rsid w:val="00714602"/>
    <w:rsid w:val="00715AEB"/>
    <w:rsid w:val="00722F74"/>
    <w:rsid w:val="00725993"/>
    <w:rsid w:val="007343DB"/>
    <w:rsid w:val="00745560"/>
    <w:rsid w:val="00747760"/>
    <w:rsid w:val="007538F0"/>
    <w:rsid w:val="00755ACF"/>
    <w:rsid w:val="007570F5"/>
    <w:rsid w:val="00763B1A"/>
    <w:rsid w:val="00764E79"/>
    <w:rsid w:val="00765AF4"/>
    <w:rsid w:val="00766AEC"/>
    <w:rsid w:val="00766BE5"/>
    <w:rsid w:val="00771429"/>
    <w:rsid w:val="007736A6"/>
    <w:rsid w:val="00780D1D"/>
    <w:rsid w:val="00791DCE"/>
    <w:rsid w:val="00795149"/>
    <w:rsid w:val="00796308"/>
    <w:rsid w:val="007A0AF8"/>
    <w:rsid w:val="007A60B0"/>
    <w:rsid w:val="007A60E7"/>
    <w:rsid w:val="007A719E"/>
    <w:rsid w:val="007C04DC"/>
    <w:rsid w:val="007C1A27"/>
    <w:rsid w:val="007D4821"/>
    <w:rsid w:val="007E5689"/>
    <w:rsid w:val="007F14AB"/>
    <w:rsid w:val="007F7D09"/>
    <w:rsid w:val="00801F14"/>
    <w:rsid w:val="00802097"/>
    <w:rsid w:val="00810677"/>
    <w:rsid w:val="00813CB7"/>
    <w:rsid w:val="00814BD4"/>
    <w:rsid w:val="00820D03"/>
    <w:rsid w:val="0084692F"/>
    <w:rsid w:val="00852647"/>
    <w:rsid w:val="00853F6E"/>
    <w:rsid w:val="00855764"/>
    <w:rsid w:val="00856CEB"/>
    <w:rsid w:val="00857584"/>
    <w:rsid w:val="00863188"/>
    <w:rsid w:val="0086457C"/>
    <w:rsid w:val="00865144"/>
    <w:rsid w:val="0086767C"/>
    <w:rsid w:val="00872627"/>
    <w:rsid w:val="00874341"/>
    <w:rsid w:val="008767EB"/>
    <w:rsid w:val="00884B12"/>
    <w:rsid w:val="00884E78"/>
    <w:rsid w:val="00885721"/>
    <w:rsid w:val="00886682"/>
    <w:rsid w:val="00886C84"/>
    <w:rsid w:val="008A7C96"/>
    <w:rsid w:val="008B1AAE"/>
    <w:rsid w:val="008C16D4"/>
    <w:rsid w:val="008C7FB5"/>
    <w:rsid w:val="008D0E0C"/>
    <w:rsid w:val="008D78DC"/>
    <w:rsid w:val="008E167D"/>
    <w:rsid w:val="008E3039"/>
    <w:rsid w:val="008E47DA"/>
    <w:rsid w:val="008E79D5"/>
    <w:rsid w:val="008F2B49"/>
    <w:rsid w:val="008F4946"/>
    <w:rsid w:val="008F605B"/>
    <w:rsid w:val="00910AD0"/>
    <w:rsid w:val="00914769"/>
    <w:rsid w:val="0092456A"/>
    <w:rsid w:val="009314A2"/>
    <w:rsid w:val="00934F29"/>
    <w:rsid w:val="00935433"/>
    <w:rsid w:val="009354BE"/>
    <w:rsid w:val="00937639"/>
    <w:rsid w:val="00947FA5"/>
    <w:rsid w:val="00951FF8"/>
    <w:rsid w:val="00952368"/>
    <w:rsid w:val="00972B80"/>
    <w:rsid w:val="009769AF"/>
    <w:rsid w:val="009831C3"/>
    <w:rsid w:val="00983B8A"/>
    <w:rsid w:val="0098455A"/>
    <w:rsid w:val="00985D77"/>
    <w:rsid w:val="009860E0"/>
    <w:rsid w:val="0099107E"/>
    <w:rsid w:val="00993B91"/>
    <w:rsid w:val="009B47F5"/>
    <w:rsid w:val="009B611C"/>
    <w:rsid w:val="009B668E"/>
    <w:rsid w:val="009B6F98"/>
    <w:rsid w:val="009C0D7C"/>
    <w:rsid w:val="009C14DB"/>
    <w:rsid w:val="009C1F92"/>
    <w:rsid w:val="009C5AA7"/>
    <w:rsid w:val="009C6228"/>
    <w:rsid w:val="009C7E27"/>
    <w:rsid w:val="009E22C6"/>
    <w:rsid w:val="009E2350"/>
    <w:rsid w:val="009E76CD"/>
    <w:rsid w:val="009F49B7"/>
    <w:rsid w:val="009F5353"/>
    <w:rsid w:val="00A03FF0"/>
    <w:rsid w:val="00A0549B"/>
    <w:rsid w:val="00A20134"/>
    <w:rsid w:val="00A20802"/>
    <w:rsid w:val="00A224EB"/>
    <w:rsid w:val="00A24597"/>
    <w:rsid w:val="00A249C5"/>
    <w:rsid w:val="00A25974"/>
    <w:rsid w:val="00A31FF4"/>
    <w:rsid w:val="00A35A0B"/>
    <w:rsid w:val="00A53FAB"/>
    <w:rsid w:val="00A544F1"/>
    <w:rsid w:val="00A62292"/>
    <w:rsid w:val="00A64021"/>
    <w:rsid w:val="00A70D7D"/>
    <w:rsid w:val="00A731E0"/>
    <w:rsid w:val="00A82090"/>
    <w:rsid w:val="00A83D4F"/>
    <w:rsid w:val="00A84CAA"/>
    <w:rsid w:val="00A923E6"/>
    <w:rsid w:val="00AC30EE"/>
    <w:rsid w:val="00AC567B"/>
    <w:rsid w:val="00AC7EA2"/>
    <w:rsid w:val="00AD65C5"/>
    <w:rsid w:val="00AD6921"/>
    <w:rsid w:val="00AE3045"/>
    <w:rsid w:val="00AF628A"/>
    <w:rsid w:val="00B02426"/>
    <w:rsid w:val="00B05930"/>
    <w:rsid w:val="00B0716D"/>
    <w:rsid w:val="00B10685"/>
    <w:rsid w:val="00B12607"/>
    <w:rsid w:val="00B1675C"/>
    <w:rsid w:val="00B174F6"/>
    <w:rsid w:val="00B24ACF"/>
    <w:rsid w:val="00B31B7B"/>
    <w:rsid w:val="00B40FE9"/>
    <w:rsid w:val="00B46E7F"/>
    <w:rsid w:val="00B567FE"/>
    <w:rsid w:val="00B62410"/>
    <w:rsid w:val="00B813CD"/>
    <w:rsid w:val="00B8256D"/>
    <w:rsid w:val="00B83CC7"/>
    <w:rsid w:val="00B871EC"/>
    <w:rsid w:val="00B95A29"/>
    <w:rsid w:val="00B96C76"/>
    <w:rsid w:val="00BA0DE5"/>
    <w:rsid w:val="00BA1195"/>
    <w:rsid w:val="00BA4CC9"/>
    <w:rsid w:val="00BA606F"/>
    <w:rsid w:val="00BA7115"/>
    <w:rsid w:val="00BB19DE"/>
    <w:rsid w:val="00BB30C0"/>
    <w:rsid w:val="00BB4FC2"/>
    <w:rsid w:val="00BB531E"/>
    <w:rsid w:val="00BC7E82"/>
    <w:rsid w:val="00BD2223"/>
    <w:rsid w:val="00BD3ADD"/>
    <w:rsid w:val="00BE39FD"/>
    <w:rsid w:val="00BE5A66"/>
    <w:rsid w:val="00BF5444"/>
    <w:rsid w:val="00C0354E"/>
    <w:rsid w:val="00C04166"/>
    <w:rsid w:val="00C04519"/>
    <w:rsid w:val="00C04DFC"/>
    <w:rsid w:val="00C06375"/>
    <w:rsid w:val="00C07571"/>
    <w:rsid w:val="00C21958"/>
    <w:rsid w:val="00C22500"/>
    <w:rsid w:val="00C3476C"/>
    <w:rsid w:val="00C3570C"/>
    <w:rsid w:val="00C35B4F"/>
    <w:rsid w:val="00C36C85"/>
    <w:rsid w:val="00C40753"/>
    <w:rsid w:val="00C431E9"/>
    <w:rsid w:val="00C507AD"/>
    <w:rsid w:val="00C55AF6"/>
    <w:rsid w:val="00C56B7B"/>
    <w:rsid w:val="00C617D1"/>
    <w:rsid w:val="00C62A7A"/>
    <w:rsid w:val="00C63FCE"/>
    <w:rsid w:val="00C819E3"/>
    <w:rsid w:val="00C92AE6"/>
    <w:rsid w:val="00CB23C1"/>
    <w:rsid w:val="00CB4410"/>
    <w:rsid w:val="00CC66C6"/>
    <w:rsid w:val="00CD25C9"/>
    <w:rsid w:val="00CD4DCA"/>
    <w:rsid w:val="00CD6A5A"/>
    <w:rsid w:val="00CD74F3"/>
    <w:rsid w:val="00CE21DD"/>
    <w:rsid w:val="00CE33A0"/>
    <w:rsid w:val="00CE6042"/>
    <w:rsid w:val="00CF050D"/>
    <w:rsid w:val="00CF0DFB"/>
    <w:rsid w:val="00D03A19"/>
    <w:rsid w:val="00D03AD2"/>
    <w:rsid w:val="00D13414"/>
    <w:rsid w:val="00D24E56"/>
    <w:rsid w:val="00D34BBE"/>
    <w:rsid w:val="00D35CD4"/>
    <w:rsid w:val="00D40ECA"/>
    <w:rsid w:val="00D52D97"/>
    <w:rsid w:val="00D5512C"/>
    <w:rsid w:val="00D735E1"/>
    <w:rsid w:val="00D7755E"/>
    <w:rsid w:val="00D8227B"/>
    <w:rsid w:val="00D82FDD"/>
    <w:rsid w:val="00D932D5"/>
    <w:rsid w:val="00D9348E"/>
    <w:rsid w:val="00D97D92"/>
    <w:rsid w:val="00DA0697"/>
    <w:rsid w:val="00DA5FDE"/>
    <w:rsid w:val="00DA64A6"/>
    <w:rsid w:val="00DA6B07"/>
    <w:rsid w:val="00DA7AAA"/>
    <w:rsid w:val="00DB041C"/>
    <w:rsid w:val="00DC2C18"/>
    <w:rsid w:val="00DD76B1"/>
    <w:rsid w:val="00DE02F2"/>
    <w:rsid w:val="00DE105F"/>
    <w:rsid w:val="00DF0924"/>
    <w:rsid w:val="00DF2AA3"/>
    <w:rsid w:val="00DF450E"/>
    <w:rsid w:val="00DF460F"/>
    <w:rsid w:val="00DF78E5"/>
    <w:rsid w:val="00DF7984"/>
    <w:rsid w:val="00E00621"/>
    <w:rsid w:val="00E03442"/>
    <w:rsid w:val="00E06BDE"/>
    <w:rsid w:val="00E322F0"/>
    <w:rsid w:val="00E34E2D"/>
    <w:rsid w:val="00E46405"/>
    <w:rsid w:val="00E57049"/>
    <w:rsid w:val="00E62491"/>
    <w:rsid w:val="00E65A88"/>
    <w:rsid w:val="00E714F8"/>
    <w:rsid w:val="00E76278"/>
    <w:rsid w:val="00E8207A"/>
    <w:rsid w:val="00E85D2D"/>
    <w:rsid w:val="00E917C6"/>
    <w:rsid w:val="00E9372C"/>
    <w:rsid w:val="00E93DDB"/>
    <w:rsid w:val="00E962E5"/>
    <w:rsid w:val="00EA17E5"/>
    <w:rsid w:val="00EA2ED7"/>
    <w:rsid w:val="00EA4193"/>
    <w:rsid w:val="00EA5498"/>
    <w:rsid w:val="00EB765F"/>
    <w:rsid w:val="00ED3279"/>
    <w:rsid w:val="00ED3C89"/>
    <w:rsid w:val="00ED49EC"/>
    <w:rsid w:val="00EE2762"/>
    <w:rsid w:val="00EE419B"/>
    <w:rsid w:val="00EF2492"/>
    <w:rsid w:val="00EF5194"/>
    <w:rsid w:val="00F035C4"/>
    <w:rsid w:val="00F0462C"/>
    <w:rsid w:val="00F0642D"/>
    <w:rsid w:val="00F124F5"/>
    <w:rsid w:val="00F13C02"/>
    <w:rsid w:val="00F2040E"/>
    <w:rsid w:val="00F227F0"/>
    <w:rsid w:val="00F30A8B"/>
    <w:rsid w:val="00F30E3F"/>
    <w:rsid w:val="00F3103B"/>
    <w:rsid w:val="00F33BE4"/>
    <w:rsid w:val="00F36C53"/>
    <w:rsid w:val="00F55BE3"/>
    <w:rsid w:val="00F60A5C"/>
    <w:rsid w:val="00F66B77"/>
    <w:rsid w:val="00F6705F"/>
    <w:rsid w:val="00F70351"/>
    <w:rsid w:val="00F7243D"/>
    <w:rsid w:val="00F77F7A"/>
    <w:rsid w:val="00F820B8"/>
    <w:rsid w:val="00F84F48"/>
    <w:rsid w:val="00F86EBD"/>
    <w:rsid w:val="00F91270"/>
    <w:rsid w:val="00F91ED0"/>
    <w:rsid w:val="00F96127"/>
    <w:rsid w:val="00FA31D5"/>
    <w:rsid w:val="00FA3C9D"/>
    <w:rsid w:val="00FA5C72"/>
    <w:rsid w:val="00FA6C5C"/>
    <w:rsid w:val="00FA727E"/>
    <w:rsid w:val="00FC258E"/>
    <w:rsid w:val="00FC7CD2"/>
    <w:rsid w:val="00FD11F3"/>
    <w:rsid w:val="00FD7CE4"/>
    <w:rsid w:val="00FE0D46"/>
    <w:rsid w:val="00FE1FBE"/>
    <w:rsid w:val="00FE391D"/>
    <w:rsid w:val="00FF133D"/>
    <w:rsid w:val="00F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69">
      <o:colormru v:ext="edit" colors="#ddd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62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0E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0E0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57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FollowedHyperlink">
    <w:name w:val="FollowedHyperlink"/>
    <w:basedOn w:val="DefaultParagraphFont"/>
    <w:rsid w:val="000738B1"/>
    <w:rPr>
      <w:color w:val="800080"/>
      <w:u w:val="single"/>
    </w:rPr>
  </w:style>
  <w:style w:type="character" w:styleId="CommentReference">
    <w:name w:val="annotation reference"/>
    <w:basedOn w:val="DefaultParagraphFont"/>
    <w:rsid w:val="00972B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2B80"/>
  </w:style>
  <w:style w:type="paragraph" w:styleId="CommentSubject">
    <w:name w:val="annotation subject"/>
    <w:basedOn w:val="CommentText"/>
    <w:next w:val="CommentText"/>
    <w:link w:val="CommentSubjectChar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2B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Hospitalizations for Work-Related Injuries to Young Adults 18-24 years old, Massachusetts, 2005-2009</vt:lpstr>
    </vt:vector>
  </TitlesOfParts>
  <Company>DPH</Company>
  <LinksUpToDate>false</LinksUpToDate>
  <CharactersWithSpaces>11206</CharactersWithSpaces>
  <SharedDoc>false</SharedDoc>
  <HLinks>
    <vt:vector size="12" baseType="variant">
      <vt:variant>
        <vt:i4>7012390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http://www.mass.gov/dph/teensatwork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2014-02-13T20:44:00Z</dcterms:created>
  <dc:creator>Beatriz Pazos Vautin</dc:creator>
  <lastModifiedBy>Beatriz Vautin</lastModifiedBy>
  <lastPrinted>2013-07-31T17:30:00Z</lastPrinted>
  <dcterms:modified xsi:type="dcterms:W3CDTF">2014-10-02T18:32:00Z</dcterms:modified>
  <revision>33</revision>
  <dc:title>Table 1: Hospitalizations for Work-Related Injuries to Young Adults 18-24 years old, Massachusetts, 2005-2009</dc:title>
</coreProperties>
</file>