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1237648" w:displacedByCustomXml="next"/>
    <w:bookmarkEnd w:id="0" w:displacedByCustomXml="next"/>
    <w:sdt>
      <w:sdtPr>
        <w:id w:val="396476176"/>
        <w:docPartObj>
          <w:docPartGallery w:val="Cover Pages"/>
          <w:docPartUnique/>
        </w:docPartObj>
      </w:sdtPr>
      <w:sdtEndPr/>
      <w:sdtContent>
        <w:bookmarkStart w:id="1" w:name="_GoBack" w:displacedByCustomXml="prev"/>
        <w:p w14:paraId="45015012" w14:textId="77777777" w:rsidR="00D42071" w:rsidRDefault="000B71D6">
          <w:r>
            <w:rPr>
              <w:noProof/>
            </w:rPr>
            <w:drawing>
              <wp:anchor distT="0" distB="0" distL="114300" distR="114300" simplePos="0" relativeHeight="251642368" behindDoc="1" locked="0" layoutInCell="1" allowOverlap="1" wp14:anchorId="305F6285" wp14:editId="1DA2C7A6">
                <wp:simplePos x="0" y="0"/>
                <wp:positionH relativeFrom="column">
                  <wp:posOffset>-712470</wp:posOffset>
                </wp:positionH>
                <wp:positionV relativeFrom="paragraph">
                  <wp:posOffset>-914400</wp:posOffset>
                </wp:positionV>
                <wp:extent cx="7771130" cy="10058400"/>
                <wp:effectExtent l="0" t="0" r="1270" b="0"/>
                <wp:wrapNone/>
                <wp:docPr id="1" name="Picture 1" descr="/Volumes/ACG File Server/CREATIVE/REGINA VILLA/RVA002 OPEM Report/REFERENCE/COVER JPEGS/RVA002 OPEM Repor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ACG File Server/CREATIVE/REGINA VILLA/RVA002 OPEM Report/REFERENCE/COVER JPEGS/RVA002 OPEM Report3.jpg"/>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7771130" cy="10058400"/>
                        </a:xfrm>
                        <a:prstGeom prst="rect">
                          <a:avLst/>
                        </a:prstGeom>
                        <a:noFill/>
                        <a:ln>
                          <a:noFill/>
                        </a:ln>
                      </pic:spPr>
                    </pic:pic>
                  </a:graphicData>
                </a:graphic>
              </wp:anchor>
            </w:drawing>
          </w:r>
          <w:bookmarkEnd w:id="1"/>
          <w:r w:rsidR="009E6FF5">
            <w:rPr>
              <w:noProof/>
            </w:rPr>
            <w:t xml:space="preserve"> </w:t>
          </w:r>
        </w:p>
        <w:p w14:paraId="5E69988E" w14:textId="77777777" w:rsidR="00071FEB" w:rsidRDefault="00071FEB"/>
        <w:p w14:paraId="140E6D82" w14:textId="77777777" w:rsidR="00071FEB" w:rsidRPr="00071FEB" w:rsidRDefault="00071FEB" w:rsidP="00071FEB"/>
        <w:p w14:paraId="088BD99D" w14:textId="77777777" w:rsidR="00071FEB" w:rsidRPr="00071FEB" w:rsidRDefault="00071FEB" w:rsidP="00071FEB"/>
        <w:p w14:paraId="78281727" w14:textId="77777777" w:rsidR="00071FEB" w:rsidRPr="00071FEB" w:rsidRDefault="00071FEB" w:rsidP="00071FEB"/>
        <w:p w14:paraId="350D1912" w14:textId="77777777" w:rsidR="00071FEB" w:rsidRPr="00071FEB" w:rsidRDefault="00071FEB" w:rsidP="00071FEB"/>
        <w:p w14:paraId="5287A293" w14:textId="77777777" w:rsidR="00071FEB" w:rsidRPr="00071FEB" w:rsidRDefault="00071FEB" w:rsidP="00071FEB"/>
        <w:p w14:paraId="3874D5D7" w14:textId="77777777" w:rsidR="00071FEB" w:rsidRPr="00071FEB" w:rsidRDefault="00071FEB" w:rsidP="00071FEB"/>
        <w:p w14:paraId="753C7D48" w14:textId="77777777" w:rsidR="00071FEB" w:rsidRDefault="004C1A74">
          <w:r>
            <w:rPr>
              <w:noProof/>
            </w:rPr>
            <mc:AlternateContent>
              <mc:Choice Requires="wps">
                <w:drawing>
                  <wp:anchor distT="0" distB="0" distL="114300" distR="114300" simplePos="0" relativeHeight="251643392" behindDoc="0" locked="0" layoutInCell="1" allowOverlap="1" wp14:anchorId="57459193" wp14:editId="76E3CA63">
                    <wp:simplePos x="0" y="0"/>
                    <wp:positionH relativeFrom="column">
                      <wp:posOffset>1354455</wp:posOffset>
                    </wp:positionH>
                    <wp:positionV relativeFrom="paragraph">
                      <wp:posOffset>111125</wp:posOffset>
                    </wp:positionV>
                    <wp:extent cx="3234690" cy="434340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4690" cy="4343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3C9F410" w14:textId="77777777" w:rsidR="008A3AD2" w:rsidRDefault="008A3AD2" w:rsidP="005600FD">
                                <w:pPr>
                                  <w:jc w:val="center"/>
                                  <w:rPr>
                                    <w:color w:val="FFFFFF" w:themeColor="background1"/>
                                    <w:sz w:val="96"/>
                                    <w:szCs w:val="96"/>
                                  </w:rPr>
                                </w:pPr>
                                <w:r w:rsidRPr="005600FD">
                                  <w:rPr>
                                    <w:color w:val="FFFFFF" w:themeColor="background1"/>
                                    <w:sz w:val="96"/>
                                    <w:szCs w:val="96"/>
                                  </w:rPr>
                                  <w:t>Emergency Dispensing Sites (EDS)</w:t>
                                </w:r>
                              </w:p>
                              <w:p w14:paraId="55A4E569" w14:textId="77777777" w:rsidR="008A3AD2" w:rsidRPr="005600FD" w:rsidRDefault="008A3AD2" w:rsidP="005600FD">
                                <w:pPr>
                                  <w:jc w:val="center"/>
                                  <w:rPr>
                                    <w:color w:val="FFFFFF" w:themeColor="background1"/>
                                    <w:sz w:val="40"/>
                                    <w:szCs w:val="40"/>
                                  </w:rPr>
                                </w:pPr>
                              </w:p>
                              <w:p w14:paraId="3201C556" w14:textId="77777777" w:rsidR="008A3AD2" w:rsidRDefault="008A3AD2" w:rsidP="005600FD">
                                <w:pPr>
                                  <w:jc w:val="center"/>
                                  <w:rPr>
                                    <w:color w:val="FFFFFF" w:themeColor="background1"/>
                                  </w:rPr>
                                </w:pPr>
                              </w:p>
                              <w:p w14:paraId="08FC4611" w14:textId="77777777" w:rsidR="008A3AD2" w:rsidRPr="005600FD" w:rsidRDefault="008A3AD2" w:rsidP="005600FD">
                                <w:pPr>
                                  <w:jc w:val="center"/>
                                  <w:rPr>
                                    <w:color w:val="FFFFFF" w:themeColor="background1"/>
                                    <w:sz w:val="40"/>
                                    <w:szCs w:val="40"/>
                                  </w:rPr>
                                </w:pPr>
                                <w:r w:rsidRPr="005600FD">
                                  <w:rPr>
                                    <w:color w:val="FFFFFF" w:themeColor="background1"/>
                                    <w:sz w:val="40"/>
                                    <w:szCs w:val="40"/>
                                  </w:rPr>
                                  <w:t>A GUIDE FOR LOCAL HEALTH ON PLANNING FOR MEDICAL COUNTERMEASURE (MCM) DISPENSING OPERATIONS</w:t>
                                </w:r>
                              </w:p>
                              <w:p w14:paraId="5118BB23" w14:textId="77777777" w:rsidR="008A3AD2" w:rsidRDefault="008A3A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7459193" id="_x0000_t202" coordsize="21600,21600" o:spt="202" path="m,l,21600r21600,l21600,xe">
                    <v:stroke joinstyle="miter"/>
                    <v:path gradientshapeok="t" o:connecttype="rect"/>
                  </v:shapetype>
                  <v:shape id="Text Box 2" o:spid="_x0000_s1026" type="#_x0000_t202" style="position:absolute;margin-left:106.65pt;margin-top:8.75pt;width:254.7pt;height:342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zwhwIAAHoFAAAOAAAAZHJzL2Uyb0RvYy54bWysVNtu2zAMfR+wfxD0vjpJs2416hRZiw4D&#10;grVYO/RZkaXGqCRqEhM7+/pRsnNZt5cOQwBHIg8vIg95cdlZwzYqxAZcxccnI86Uk1A37qni3x9u&#10;3n3kLKJwtTDgVMW3KvLL2ds3F60v1QRWYGoVGDlxsWx9xVeIviyKKFfKingCXjlSaghWIF3DU1EH&#10;0ZJ3a4rJaHRWtBBqH0CqGEl63Sv5LPvXWkm81ToqZKbilBvmb8jfZfoWswtRPgXhV40c0hD/kIUV&#10;jaOge1fXAgVbh+YPV7aRASJoPJFgC9C6kSq/gV4zHr14zf1KeJXfQsWJfl+m+P/cyq+bu8CauuLU&#10;KCcstehBdcg+QccmqTqtjyWB7j3BsCMxdTm/NPoFyOdIkOII0xtEQqdqdDrY9E/vZGRIDdjui56i&#10;SBKeTk6nZ+ekkqSbntJvlNtSHMx9iPhZgWXpUPFAXc0piM0iYkpAlDtIiubgpjEmd9a43wQE7CUq&#10;U2OwTun3GecTbo1KVsZ9U5pKkxNPgkxKdWUC2wiik5BSORynImW/hE4oTbFfYzjgk2mf1WuM9xY5&#10;MjjcG9vGQegblWbpkHb9vEtZ9/ihgbF/dyoBdssucyIjk2QJ9ZYIEKAfoOjlTUO9WIiIdyLQxFD/&#10;aAvgLX20gbbiMJw4W0H4+Td5whORSctZSxNY8fhjLYLizHxxRPHz8XSaRjZfpu8/TOgSjjXLY41b&#10;2yugroxp33iZjwmPZnfUAewjLYt5ikoq4STFrjjujlfY7wVaNlLN5xlEQ+oFLty9lzveJ6Y9dI8i&#10;+IGOSEz+CrtZFeULVvbY1B8H8zWCbjJlD1Ud6k8Dnok0LKO0QY7vGXVYmbNfAAAA//8DAFBLAwQU&#10;AAYACAAAACEAhL9Qbd4AAAAKAQAADwAAAGRycy9kb3ducmV2LnhtbEyPwU6EMBCG7ya+QzObeHML&#10;bFYMUjbGZKMxXmT3Abq0Swl0SmgL6NM7nvQ2k//LP9+Uh9UObNaT7xwKSLcJMI2NUx22As6n4/0j&#10;MB8kKjk41AK+tIdDdXtTykK5BT/1XIeWUQn6QgowIYwF574x2kq/daNGyq5usjLQOrVcTXKhcjvw&#10;LEkeuJUd0gUjR/1idNPX0Qo4xtc3O3/zOL7XzYJm7OP5oxfibrM+PwELeg1/MPzqkzpU5HRxEZVn&#10;g4As3e0IpSDfAyMgz7Ic2IWGJN0Dr0r+/4XqBwAA//8DAFBLAQItABQABgAIAAAAIQC2gziS/gAA&#10;AOEBAAATAAAAAAAAAAAAAAAAAAAAAABbQ29udGVudF9UeXBlc10ueG1sUEsBAi0AFAAGAAgAAAAh&#10;ADj9If/WAAAAlAEAAAsAAAAAAAAAAAAAAAAALwEAAF9yZWxzLy5yZWxzUEsBAi0AFAAGAAgAAAAh&#10;AF9V3PCHAgAAegUAAA4AAAAAAAAAAAAAAAAALgIAAGRycy9lMm9Eb2MueG1sUEsBAi0AFAAGAAgA&#10;AAAhAIS/UG3eAAAACgEAAA8AAAAAAAAAAAAAAAAA4QQAAGRycy9kb3ducmV2LnhtbFBLBQYAAAAA&#10;BAAEAPMAAADsBQAAAAA=&#10;" filled="f" stroked="f">
                    <v:path arrowok="t"/>
                    <v:textbox>
                      <w:txbxContent>
                        <w:p w14:paraId="63C9F410" w14:textId="77777777" w:rsidR="008A3AD2" w:rsidRDefault="008A3AD2" w:rsidP="005600FD">
                          <w:pPr>
                            <w:jc w:val="center"/>
                            <w:rPr>
                              <w:color w:val="FFFFFF" w:themeColor="background1"/>
                              <w:sz w:val="96"/>
                              <w:szCs w:val="96"/>
                            </w:rPr>
                          </w:pPr>
                          <w:r w:rsidRPr="005600FD">
                            <w:rPr>
                              <w:color w:val="FFFFFF" w:themeColor="background1"/>
                              <w:sz w:val="96"/>
                              <w:szCs w:val="96"/>
                            </w:rPr>
                            <w:t>Emergency Dispensing Sites (EDS)</w:t>
                          </w:r>
                        </w:p>
                        <w:p w14:paraId="55A4E569" w14:textId="77777777" w:rsidR="008A3AD2" w:rsidRPr="005600FD" w:rsidRDefault="008A3AD2" w:rsidP="005600FD">
                          <w:pPr>
                            <w:jc w:val="center"/>
                            <w:rPr>
                              <w:color w:val="FFFFFF" w:themeColor="background1"/>
                              <w:sz w:val="40"/>
                              <w:szCs w:val="40"/>
                            </w:rPr>
                          </w:pPr>
                        </w:p>
                        <w:p w14:paraId="3201C556" w14:textId="77777777" w:rsidR="008A3AD2" w:rsidRDefault="008A3AD2" w:rsidP="005600FD">
                          <w:pPr>
                            <w:jc w:val="center"/>
                            <w:rPr>
                              <w:color w:val="FFFFFF" w:themeColor="background1"/>
                            </w:rPr>
                          </w:pPr>
                        </w:p>
                        <w:p w14:paraId="08FC4611" w14:textId="77777777" w:rsidR="008A3AD2" w:rsidRPr="005600FD" w:rsidRDefault="008A3AD2" w:rsidP="005600FD">
                          <w:pPr>
                            <w:jc w:val="center"/>
                            <w:rPr>
                              <w:color w:val="FFFFFF" w:themeColor="background1"/>
                              <w:sz w:val="40"/>
                              <w:szCs w:val="40"/>
                            </w:rPr>
                          </w:pPr>
                          <w:r w:rsidRPr="005600FD">
                            <w:rPr>
                              <w:color w:val="FFFFFF" w:themeColor="background1"/>
                              <w:sz w:val="40"/>
                              <w:szCs w:val="40"/>
                            </w:rPr>
                            <w:t>A GUIDE FOR LOCAL HEALTH ON PLANNING FOR MEDICAL COUNTERMEASURE (MCM) DISPENSING OPERATIONS</w:t>
                          </w:r>
                        </w:p>
                        <w:p w14:paraId="5118BB23" w14:textId="77777777" w:rsidR="008A3AD2" w:rsidRDefault="008A3AD2"/>
                      </w:txbxContent>
                    </v:textbox>
                    <w10:wrap type="square"/>
                  </v:shape>
                </w:pict>
              </mc:Fallback>
            </mc:AlternateContent>
          </w:r>
        </w:p>
        <w:p w14:paraId="2C9F2DBE" w14:textId="77777777" w:rsidR="00071FEB" w:rsidRDefault="00071FEB" w:rsidP="00071FEB">
          <w:pPr>
            <w:tabs>
              <w:tab w:val="left" w:pos="7551"/>
            </w:tabs>
          </w:pPr>
          <w:r>
            <w:tab/>
          </w:r>
        </w:p>
        <w:p w14:paraId="71AA8BCA" w14:textId="77777777" w:rsidR="00D42071" w:rsidRDefault="004C1A74">
          <w:r>
            <w:rPr>
              <w:noProof/>
            </w:rPr>
            <mc:AlternateContent>
              <mc:Choice Requires="wps">
                <w:drawing>
                  <wp:anchor distT="0" distB="0" distL="114300" distR="114300" simplePos="0" relativeHeight="251651584" behindDoc="0" locked="0" layoutInCell="1" allowOverlap="1" wp14:anchorId="35778AD3" wp14:editId="1BD83D7D">
                    <wp:simplePos x="0" y="0"/>
                    <wp:positionH relativeFrom="column">
                      <wp:posOffset>247650</wp:posOffset>
                    </wp:positionH>
                    <wp:positionV relativeFrom="paragraph">
                      <wp:posOffset>5568950</wp:posOffset>
                    </wp:positionV>
                    <wp:extent cx="2686050" cy="571500"/>
                    <wp:effectExtent l="0" t="0" r="0" b="0"/>
                    <wp:wrapSquare wrapText="bothSides"/>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6050" cy="571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684A451" w14:textId="77777777" w:rsidR="008A3AD2" w:rsidRPr="005600FD" w:rsidRDefault="008A3AD2" w:rsidP="005F7883">
                                <w:pPr>
                                  <w:jc w:val="center"/>
                                  <w:rPr>
                                    <w:color w:val="FFFFFF" w:themeColor="background1"/>
                                    <w:sz w:val="56"/>
                                    <w:szCs w:val="56"/>
                                  </w:rPr>
                                </w:pPr>
                                <w:r>
                                  <w:rPr>
                                    <w:color w:val="FFFFFF" w:themeColor="background1"/>
                                    <w:sz w:val="56"/>
                                    <w:szCs w:val="56"/>
                                  </w:rPr>
                                  <w:t>July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5778AD3" id="Text Box 4" o:spid="_x0000_s1027" type="#_x0000_t202" style="position:absolute;margin-left:19.5pt;margin-top:438.5pt;width:211.5pt;height: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5BOiQIAAHkFAAAOAAAAZHJzL2Uyb0RvYy54bWysVN9v2jAQfp+0/8Hy+wggoF1EqFirTpNQ&#10;W5VOfTaOXaLaPs82JOyv39lJgHV76bSXxL777ofvvrv5VaMV2QvnKzAFHQ2GlAjDoazMS0G/P91+&#10;uqTEB2ZKpsCIgh6Ep1eLjx/mtc3FGLagSuEIOjE+r21BtyHYPMs83wrN/ACsMKiU4DQLeHUvWelY&#10;jd61ysbD4SyrwZXWARfeo/SmVdJF8i+l4OFeSi8CUQXF3EL6uvTdxG+2mLP8xTG7rXiXBvuHLDSr&#10;DAY9urphgZGdq/5wpSvuwIMMAw46AykrLtIb8DWj4ZvXrLfMivQWLI63xzL5/+eW3+0fHKnKgl5Q&#10;YpjGFj2JJpAv0JBJrE5tfY6gtUVYaFCMXU4v9XYF/NUjJDvDtAYe0bEajXQ6/vGdBA2xAYdj0WMU&#10;jsLx7HI2nKKKo256MZoOU1eyk7V1PnwVoEk8FNRhU1MGbL/yIcZneQ+JwQzcVkqlxirzmwCBrUQk&#10;ZnTWMfs24XQKByWilTKPQmJlUt5RkDgprpUje4ZsYpwLE0axRskvoiNKYuz3GHb4aNpm9R7jo0WK&#10;DCYcjXVlwLV9iqN0Srt87VOWLb7rn2/fHUsQmk2TKDHuCbCB8oD9d9DOj7f8tsJerJgPD8zhwGD7&#10;cAmEe/xIBXVBoTtRsgX382/yiEceo5aSGgewoP7HjjlBifpmkOGfR5NJnNh0mUwvxnhx55rNucbs&#10;9DVgV0a4bixPx4gPqj9KB/oZd8UyRkUVMxxjFzT0x+vQrgXcNVwslwmEM2pZWJm15T3tI9Oemmfm&#10;bEfHgES+g35UWf6GlS029sfAchdAVomysc5tVbv643wnInW7KC6Q83tCnTbm4hcAAAD//wMAUEsD&#10;BBQABgAIAAAAIQCgr0HV3gAAAAoBAAAPAAAAZHJzL2Rvd25yZXYueG1sTI/BTsMwEETvSPyDtUjc&#10;qNOC0jaNUyGkCoS4EPoBbmziKPHaiu0k8PUsJ7jN7o5m35THxQ5s0mPoHApYrzJgGhunOmwFnD9O&#10;dztgIUpUcnCoBXzpAMfq+qqUhXIzvuupji2jEAyFFGBi9AXnoTHayrByXiPdPt1oZaRxbLka5Uzh&#10;duCbLMu5lR3SByO9fjK66etkBZzS84udvnnyr3Uzo/F9Or/1QtzeLI8HYFEv8c8Mv/iEDhUxXVxC&#10;Fdgg4H5PVaKA3XZLggwP+YbERcA+pw2vSv6/QvUDAAD//wMAUEsBAi0AFAAGAAgAAAAhALaDOJL+&#10;AAAA4QEAABMAAAAAAAAAAAAAAAAAAAAAAFtDb250ZW50X1R5cGVzXS54bWxQSwECLQAUAAYACAAA&#10;ACEAOP0h/9YAAACUAQAACwAAAAAAAAAAAAAAAAAvAQAAX3JlbHMvLnJlbHNQSwECLQAUAAYACAAA&#10;ACEAEFOQTokCAAB5BQAADgAAAAAAAAAAAAAAAAAuAgAAZHJzL2Uyb0RvYy54bWxQSwECLQAUAAYA&#10;CAAAACEAoK9B1d4AAAAKAQAADwAAAAAAAAAAAAAAAADjBAAAZHJzL2Rvd25yZXYueG1sUEsFBgAA&#10;AAAEAAQA8wAAAO4FAAAAAA==&#10;" filled="f" stroked="f">
                    <v:path arrowok="t"/>
                    <v:textbox>
                      <w:txbxContent>
                        <w:p w14:paraId="1684A451" w14:textId="77777777" w:rsidR="008A3AD2" w:rsidRPr="005600FD" w:rsidRDefault="008A3AD2" w:rsidP="005F7883">
                          <w:pPr>
                            <w:jc w:val="center"/>
                            <w:rPr>
                              <w:color w:val="FFFFFF" w:themeColor="background1"/>
                              <w:sz w:val="56"/>
                              <w:szCs w:val="56"/>
                            </w:rPr>
                          </w:pPr>
                          <w:r>
                            <w:rPr>
                              <w:color w:val="FFFFFF" w:themeColor="background1"/>
                              <w:sz w:val="56"/>
                              <w:szCs w:val="56"/>
                            </w:rPr>
                            <w:t>July 2019</w:t>
                          </w:r>
                        </w:p>
                      </w:txbxContent>
                    </v:textbox>
                    <w10:wrap type="square"/>
                  </v:shape>
                </w:pict>
              </mc:Fallback>
            </mc:AlternateContent>
          </w:r>
          <w:r>
            <w:rPr>
              <w:noProof/>
            </w:rPr>
            <mc:AlternateContent>
              <mc:Choice Requires="wps">
                <w:drawing>
                  <wp:anchor distT="4294967295" distB="4294967295" distL="114300" distR="114300" simplePos="0" relativeHeight="251647488" behindDoc="0" locked="0" layoutInCell="1" allowOverlap="1" wp14:anchorId="450E4E5E" wp14:editId="51BBB243">
                    <wp:simplePos x="0" y="0"/>
                    <wp:positionH relativeFrom="column">
                      <wp:posOffset>1188720</wp:posOffset>
                    </wp:positionH>
                    <wp:positionV relativeFrom="paragraph">
                      <wp:posOffset>2255519</wp:posOffset>
                    </wp:positionV>
                    <wp:extent cx="3566160" cy="0"/>
                    <wp:effectExtent l="0" t="0" r="0" b="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66160" cy="0"/>
                            </a:xfrm>
                            <a:prstGeom prst="line">
                              <a:avLst/>
                            </a:prstGeom>
                            <a:ln>
                              <a:solidFill>
                                <a:schemeClr val="bg1"/>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A8EBD62" id="Straight Connector 3" o:spid="_x0000_s1026" style="position:absolute;z-index:25164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93.6pt,177.6pt" to="374.4pt,1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eVL3wEAAB8EAAAOAAAAZHJzL2Uyb0RvYy54bWysU01v2zAMvQ/YfxB0X5ykWzAYcXpI0V2K&#10;LVjWH6DIVCxMEgVJS5x/P0qO3e4DKFD0Ipgi3yPfE72+7a1hJwhRo2v4YjbnDJzEVrtjwx9/3H/4&#10;zFlMwrXCoIOGXyDy2837d+uzr2GJHZoWAiMSF+uzb3iXkq+rKsoOrIgz9OAoqTBYkSgMx6oN4kzs&#10;1lTL+XxVnTG0PqCEGOn2bkjyTeFXCmT6plSExEzDabZUzlDOQz6rzVrUxyB8p+V1DPGKKazQjppO&#10;VHciCfYr6H+orJYBI6o0k2grVEpLKBpIzWL+l5p9JzwULWRO9JNN8e1o5dfTLjDdNvwjZ05YeqJ9&#10;CkIfu8S26BwZiIHdZJ/OPtZUvnW7kJXK3u39A8qfkXLVH8kcRD+U9SrYXE5SWV98v0y+Q5+YpMub&#10;T6vVYkXPI8dcJeoR6ENMXwAtyx8NN9plS0QtTg8x5daiHkvytXH5jGh0e6+NKUFeJtiawE6C1uBw&#10;XGQ5hHtWRVFGFh3D6EVEuhgYWL+DIpvysKV7WdAnTiEluDTyGkfVGaZoggk4fxl4rc9QKMs7gZcv&#10;gydE6YwuTWCrHYb/EaR+HFkN9aMDg+5swQHbyy6MT0xbWJy7/jF5zZ/HBf70X29+AwAA//8DAFBL&#10;AwQUAAYACAAAACEAl94Qw90AAAALAQAADwAAAGRycy9kb3ducmV2LnhtbExPTU/DMAy9I/EfIiPt&#10;xlIG26rSdJqQGCcObLtwyxqTljVO1WRtx6/HSEjbzc9+fh/5anSN6LELtScFD9MEBFLpTU1WwX73&#10;ep+CCFGT0Y0nVHDGAKvi9ibXmfEDfWC/jVawCIVMK6hibDMpQ1mh02HqWyS+ffnO6ciws9J0emBx&#10;18hZkiyk0zWxQ6VbfKmwPG5PjmNgac9DbNPFut98fv8c6d3u3pSa3I3rZxARx3ghw198/oGCMx38&#10;iUwQDeN0OWOqgsf5nAdmLJ9SLnP438gil9cdil8AAAD//wMAUEsBAi0AFAAGAAgAAAAhALaDOJL+&#10;AAAA4QEAABMAAAAAAAAAAAAAAAAAAAAAAFtDb250ZW50X1R5cGVzXS54bWxQSwECLQAUAAYACAAA&#10;ACEAOP0h/9YAAACUAQAACwAAAAAAAAAAAAAAAAAvAQAAX3JlbHMvLnJlbHNQSwECLQAUAAYACAAA&#10;ACEAe+XlS98BAAAfBAAADgAAAAAAAAAAAAAAAAAuAgAAZHJzL2Uyb0RvYy54bWxQSwECLQAUAAYA&#10;CAAAACEAl94Qw90AAAALAQAADwAAAAAAAAAAAAAAAAA5BAAAZHJzL2Rvd25yZXYueG1sUEsFBgAA&#10;AAAEAAQA8wAAAEMFAAAAAA==&#10;" strokecolor="white [3212]" strokeweight="1.5pt">
                    <v:stroke joinstyle="miter"/>
                    <o:lock v:ext="edit" shapetype="f"/>
                  </v:line>
                </w:pict>
              </mc:Fallback>
            </mc:AlternateContent>
          </w:r>
          <w:r w:rsidR="00D42071" w:rsidRPr="00071FEB">
            <w:br w:type="page"/>
          </w:r>
        </w:p>
      </w:sdtContent>
    </w:sdt>
    <w:p w14:paraId="36C1C64F" w14:textId="77777777" w:rsidR="006D0D34" w:rsidRPr="006D0D34" w:rsidRDefault="006D0D34" w:rsidP="006D0D34">
      <w:pPr>
        <w:pStyle w:val="Title"/>
        <w:rPr>
          <w:b/>
          <w:color w:val="ED7D31" w:themeColor="accent2"/>
          <w:sz w:val="36"/>
          <w:szCs w:val="36"/>
        </w:rPr>
      </w:pPr>
      <w:r w:rsidRPr="006D0D34">
        <w:rPr>
          <w:b/>
          <w:color w:val="ED7D31" w:themeColor="accent2"/>
          <w:sz w:val="36"/>
          <w:szCs w:val="36"/>
        </w:rPr>
        <w:lastRenderedPageBreak/>
        <w:t>Emergency Dispensing Sites (EDS)</w:t>
      </w:r>
    </w:p>
    <w:p w14:paraId="42E19D57" w14:textId="77777777" w:rsidR="006D0D34" w:rsidRPr="006A14BC" w:rsidRDefault="006D0D34" w:rsidP="006D0D34">
      <w:pPr>
        <w:pStyle w:val="Subtitle"/>
        <w:rPr>
          <w:sz w:val="20"/>
          <w:szCs w:val="20"/>
        </w:rPr>
      </w:pPr>
      <w:r w:rsidRPr="006A14BC">
        <w:rPr>
          <w:sz w:val="20"/>
          <w:szCs w:val="20"/>
        </w:rPr>
        <w:t>A Guide for Local Health on Planning for Medical Countermeasure (MCM) Dispensing Operations</w:t>
      </w:r>
    </w:p>
    <w:sdt>
      <w:sdtPr>
        <w:rPr>
          <w:rFonts w:asciiTheme="minorHAnsi" w:eastAsiaTheme="minorEastAsia" w:hAnsiTheme="minorHAnsi" w:cstheme="minorBidi"/>
          <w:b/>
          <w:bCs/>
          <w:color w:val="auto"/>
          <w:sz w:val="22"/>
          <w:szCs w:val="22"/>
          <w:lang w:eastAsia="ja-JP"/>
        </w:rPr>
        <w:id w:val="235221407"/>
        <w:docPartObj>
          <w:docPartGallery w:val="Table of Contents"/>
          <w:docPartUnique/>
        </w:docPartObj>
      </w:sdtPr>
      <w:sdtEndPr>
        <w:rPr>
          <w:noProof/>
          <w:sz w:val="20"/>
          <w:szCs w:val="20"/>
        </w:rPr>
      </w:sdtEndPr>
      <w:sdtContent>
        <w:p w14:paraId="645DE7DF" w14:textId="77777777" w:rsidR="006D0D34" w:rsidRDefault="006D0D34" w:rsidP="006D0D34">
          <w:pPr>
            <w:pStyle w:val="TOCHeading"/>
            <w:outlineLvl w:val="4"/>
          </w:pPr>
          <w:r>
            <w:t>Table of Contents</w:t>
          </w:r>
        </w:p>
        <w:p w14:paraId="01954AFB" w14:textId="77777777" w:rsidR="00A630CB" w:rsidRDefault="00A630CB" w:rsidP="00A630CB"/>
        <w:p w14:paraId="724BA3C1" w14:textId="1F0E1DF6" w:rsidR="006657D6" w:rsidRDefault="002E2EA2">
          <w:pPr>
            <w:pStyle w:val="TOC2"/>
            <w:tabs>
              <w:tab w:val="right" w:leader="dot" w:pos="9710"/>
            </w:tabs>
            <w:rPr>
              <w:b w:val="0"/>
              <w:bCs w:val="0"/>
              <w:noProof/>
              <w:sz w:val="22"/>
              <w:szCs w:val="22"/>
              <w:lang w:eastAsia="en-US"/>
            </w:rPr>
          </w:pPr>
          <w:r>
            <w:fldChar w:fldCharType="begin"/>
          </w:r>
          <w:r w:rsidR="006D0D34">
            <w:instrText xml:space="preserve"> TOC \o "1-3" </w:instrText>
          </w:r>
          <w:r>
            <w:fldChar w:fldCharType="separate"/>
          </w:r>
          <w:r w:rsidR="006657D6" w:rsidRPr="004269E9">
            <w:rPr>
              <w:noProof/>
              <w:color w:val="ED7D31" w:themeColor="accent2"/>
            </w:rPr>
            <w:t>Record of Change</w:t>
          </w:r>
          <w:r w:rsidR="006657D6">
            <w:rPr>
              <w:noProof/>
            </w:rPr>
            <w:tab/>
          </w:r>
          <w:r w:rsidR="006657D6">
            <w:rPr>
              <w:noProof/>
            </w:rPr>
            <w:fldChar w:fldCharType="begin"/>
          </w:r>
          <w:r w:rsidR="006657D6">
            <w:rPr>
              <w:noProof/>
            </w:rPr>
            <w:instrText xml:space="preserve"> PAGEREF _Toc11832703 \h </w:instrText>
          </w:r>
          <w:r w:rsidR="006657D6">
            <w:rPr>
              <w:noProof/>
            </w:rPr>
          </w:r>
          <w:r w:rsidR="006657D6">
            <w:rPr>
              <w:noProof/>
            </w:rPr>
            <w:fldChar w:fldCharType="separate"/>
          </w:r>
          <w:r w:rsidR="006657D6">
            <w:rPr>
              <w:noProof/>
            </w:rPr>
            <w:t>6</w:t>
          </w:r>
          <w:r w:rsidR="006657D6">
            <w:rPr>
              <w:noProof/>
            </w:rPr>
            <w:fldChar w:fldCharType="end"/>
          </w:r>
        </w:p>
        <w:p w14:paraId="5AD60B6A" w14:textId="702102A1" w:rsidR="006657D6" w:rsidRDefault="006657D6">
          <w:pPr>
            <w:pStyle w:val="TOC1"/>
            <w:tabs>
              <w:tab w:val="left" w:pos="440"/>
              <w:tab w:val="right" w:leader="dot" w:pos="9710"/>
            </w:tabs>
            <w:rPr>
              <w:rFonts w:asciiTheme="minorHAnsi" w:hAnsiTheme="minorHAnsi"/>
              <w:b w:val="0"/>
              <w:bCs w:val="0"/>
              <w:caps w:val="0"/>
              <w:noProof/>
              <w:sz w:val="22"/>
              <w:szCs w:val="22"/>
              <w:lang w:eastAsia="en-US"/>
            </w:rPr>
          </w:pPr>
          <w:r w:rsidRPr="004269E9">
            <w:rPr>
              <w:noProof/>
              <w:color w:val="ED7D31" w:themeColor="accent2"/>
            </w:rPr>
            <w:t>1.</w:t>
          </w:r>
          <w:r>
            <w:rPr>
              <w:rFonts w:asciiTheme="minorHAnsi" w:hAnsiTheme="minorHAnsi"/>
              <w:b w:val="0"/>
              <w:bCs w:val="0"/>
              <w:caps w:val="0"/>
              <w:noProof/>
              <w:sz w:val="22"/>
              <w:szCs w:val="22"/>
              <w:lang w:eastAsia="en-US"/>
            </w:rPr>
            <w:tab/>
          </w:r>
          <w:r w:rsidRPr="004269E9">
            <w:rPr>
              <w:noProof/>
              <w:color w:val="ED7D31" w:themeColor="accent2"/>
            </w:rPr>
            <w:t>INTRODUCTION</w:t>
          </w:r>
          <w:r>
            <w:rPr>
              <w:noProof/>
            </w:rPr>
            <w:tab/>
          </w:r>
          <w:r>
            <w:rPr>
              <w:noProof/>
            </w:rPr>
            <w:fldChar w:fldCharType="begin"/>
          </w:r>
          <w:r>
            <w:rPr>
              <w:noProof/>
            </w:rPr>
            <w:instrText xml:space="preserve"> PAGEREF _Toc11832704 \h </w:instrText>
          </w:r>
          <w:r>
            <w:rPr>
              <w:noProof/>
            </w:rPr>
          </w:r>
          <w:r>
            <w:rPr>
              <w:noProof/>
            </w:rPr>
            <w:fldChar w:fldCharType="separate"/>
          </w:r>
          <w:r>
            <w:rPr>
              <w:noProof/>
            </w:rPr>
            <w:t>7</w:t>
          </w:r>
          <w:r>
            <w:rPr>
              <w:noProof/>
            </w:rPr>
            <w:fldChar w:fldCharType="end"/>
          </w:r>
        </w:p>
        <w:p w14:paraId="6080B55A" w14:textId="59E8814E" w:rsidR="006657D6" w:rsidRDefault="006657D6">
          <w:pPr>
            <w:pStyle w:val="TOC2"/>
            <w:tabs>
              <w:tab w:val="left" w:pos="660"/>
              <w:tab w:val="right" w:leader="dot" w:pos="9710"/>
            </w:tabs>
            <w:rPr>
              <w:b w:val="0"/>
              <w:bCs w:val="0"/>
              <w:noProof/>
              <w:sz w:val="22"/>
              <w:szCs w:val="22"/>
              <w:lang w:eastAsia="en-US"/>
            </w:rPr>
          </w:pPr>
          <w:r w:rsidRPr="004269E9">
            <w:rPr>
              <w:noProof/>
              <w:color w:val="002060"/>
            </w:rPr>
            <w:t>1.1</w:t>
          </w:r>
          <w:r>
            <w:rPr>
              <w:b w:val="0"/>
              <w:bCs w:val="0"/>
              <w:noProof/>
              <w:sz w:val="22"/>
              <w:szCs w:val="22"/>
              <w:lang w:eastAsia="en-US"/>
            </w:rPr>
            <w:tab/>
          </w:r>
          <w:r w:rsidRPr="004269E9">
            <w:rPr>
              <w:noProof/>
              <w:color w:val="002060"/>
            </w:rPr>
            <w:t>PURPOSE &amp; SCOPE</w:t>
          </w:r>
          <w:r>
            <w:rPr>
              <w:noProof/>
            </w:rPr>
            <w:tab/>
          </w:r>
          <w:r>
            <w:rPr>
              <w:noProof/>
            </w:rPr>
            <w:fldChar w:fldCharType="begin"/>
          </w:r>
          <w:r>
            <w:rPr>
              <w:noProof/>
            </w:rPr>
            <w:instrText xml:space="preserve"> PAGEREF _Toc11832705 \h </w:instrText>
          </w:r>
          <w:r>
            <w:rPr>
              <w:noProof/>
            </w:rPr>
          </w:r>
          <w:r>
            <w:rPr>
              <w:noProof/>
            </w:rPr>
            <w:fldChar w:fldCharType="separate"/>
          </w:r>
          <w:r>
            <w:rPr>
              <w:noProof/>
            </w:rPr>
            <w:t>7</w:t>
          </w:r>
          <w:r>
            <w:rPr>
              <w:noProof/>
            </w:rPr>
            <w:fldChar w:fldCharType="end"/>
          </w:r>
        </w:p>
        <w:p w14:paraId="44BA215A" w14:textId="1CC530E0" w:rsidR="006657D6" w:rsidRDefault="006657D6">
          <w:pPr>
            <w:pStyle w:val="TOC2"/>
            <w:tabs>
              <w:tab w:val="left" w:pos="660"/>
              <w:tab w:val="right" w:leader="dot" w:pos="9710"/>
            </w:tabs>
            <w:rPr>
              <w:b w:val="0"/>
              <w:bCs w:val="0"/>
              <w:noProof/>
              <w:sz w:val="22"/>
              <w:szCs w:val="22"/>
              <w:lang w:eastAsia="en-US"/>
            </w:rPr>
          </w:pPr>
          <w:r w:rsidRPr="004269E9">
            <w:rPr>
              <w:noProof/>
              <w:color w:val="002060"/>
            </w:rPr>
            <w:t>1.2</w:t>
          </w:r>
          <w:r>
            <w:rPr>
              <w:b w:val="0"/>
              <w:bCs w:val="0"/>
              <w:noProof/>
              <w:sz w:val="22"/>
              <w:szCs w:val="22"/>
              <w:lang w:eastAsia="en-US"/>
            </w:rPr>
            <w:tab/>
          </w:r>
          <w:r w:rsidRPr="004269E9">
            <w:rPr>
              <w:noProof/>
              <w:color w:val="002060"/>
            </w:rPr>
            <w:t>MEDICAL COUNTERMEASURE DISTRIBUTION</w:t>
          </w:r>
          <w:r>
            <w:rPr>
              <w:noProof/>
            </w:rPr>
            <w:tab/>
          </w:r>
          <w:r>
            <w:rPr>
              <w:noProof/>
            </w:rPr>
            <w:fldChar w:fldCharType="begin"/>
          </w:r>
          <w:r>
            <w:rPr>
              <w:noProof/>
            </w:rPr>
            <w:instrText xml:space="preserve"> PAGEREF _Toc11832706 \h </w:instrText>
          </w:r>
          <w:r>
            <w:rPr>
              <w:noProof/>
            </w:rPr>
          </w:r>
          <w:r>
            <w:rPr>
              <w:noProof/>
            </w:rPr>
            <w:fldChar w:fldCharType="separate"/>
          </w:r>
          <w:r>
            <w:rPr>
              <w:noProof/>
            </w:rPr>
            <w:t>8</w:t>
          </w:r>
          <w:r>
            <w:rPr>
              <w:noProof/>
            </w:rPr>
            <w:fldChar w:fldCharType="end"/>
          </w:r>
        </w:p>
        <w:p w14:paraId="339E4380" w14:textId="3984DC47" w:rsidR="006657D6" w:rsidRDefault="006657D6">
          <w:pPr>
            <w:pStyle w:val="TOC3"/>
            <w:tabs>
              <w:tab w:val="left" w:pos="880"/>
              <w:tab w:val="right" w:leader="dot" w:pos="9710"/>
            </w:tabs>
            <w:rPr>
              <w:noProof/>
              <w:sz w:val="22"/>
              <w:szCs w:val="22"/>
              <w:lang w:eastAsia="en-US"/>
            </w:rPr>
          </w:pPr>
          <w:r w:rsidRPr="004269E9">
            <w:rPr>
              <w:noProof/>
              <w:color w:val="002060"/>
            </w:rPr>
            <w:t>1.2.1</w:t>
          </w:r>
          <w:r>
            <w:rPr>
              <w:noProof/>
              <w:sz w:val="22"/>
              <w:szCs w:val="22"/>
              <w:lang w:eastAsia="en-US"/>
            </w:rPr>
            <w:tab/>
          </w:r>
          <w:r w:rsidRPr="004269E9">
            <w:rPr>
              <w:noProof/>
              <w:color w:val="002060"/>
            </w:rPr>
            <w:t>Strategic National Stockpile (SNS)</w:t>
          </w:r>
          <w:r>
            <w:rPr>
              <w:noProof/>
            </w:rPr>
            <w:tab/>
          </w:r>
          <w:r>
            <w:rPr>
              <w:noProof/>
            </w:rPr>
            <w:fldChar w:fldCharType="begin"/>
          </w:r>
          <w:r>
            <w:rPr>
              <w:noProof/>
            </w:rPr>
            <w:instrText xml:space="preserve"> PAGEREF _Toc11832707 \h </w:instrText>
          </w:r>
          <w:r>
            <w:rPr>
              <w:noProof/>
            </w:rPr>
          </w:r>
          <w:r>
            <w:rPr>
              <w:noProof/>
            </w:rPr>
            <w:fldChar w:fldCharType="separate"/>
          </w:r>
          <w:r>
            <w:rPr>
              <w:noProof/>
            </w:rPr>
            <w:t>8</w:t>
          </w:r>
          <w:r>
            <w:rPr>
              <w:noProof/>
            </w:rPr>
            <w:fldChar w:fldCharType="end"/>
          </w:r>
        </w:p>
        <w:p w14:paraId="59905C1E" w14:textId="328C092F" w:rsidR="006657D6" w:rsidRDefault="006657D6">
          <w:pPr>
            <w:pStyle w:val="TOC3"/>
            <w:tabs>
              <w:tab w:val="left" w:pos="880"/>
              <w:tab w:val="right" w:leader="dot" w:pos="9710"/>
            </w:tabs>
            <w:rPr>
              <w:noProof/>
              <w:sz w:val="22"/>
              <w:szCs w:val="22"/>
              <w:lang w:eastAsia="en-US"/>
            </w:rPr>
          </w:pPr>
          <w:r w:rsidRPr="004269E9">
            <w:rPr>
              <w:noProof/>
              <w:color w:val="002060"/>
            </w:rPr>
            <w:t>1.2.2</w:t>
          </w:r>
          <w:r>
            <w:rPr>
              <w:noProof/>
              <w:sz w:val="22"/>
              <w:szCs w:val="22"/>
              <w:lang w:eastAsia="en-US"/>
            </w:rPr>
            <w:tab/>
          </w:r>
          <w:r w:rsidRPr="004269E9">
            <w:rPr>
              <w:noProof/>
              <w:color w:val="002060"/>
            </w:rPr>
            <w:t>Receive, Stage &amp; Store (RSS)</w:t>
          </w:r>
          <w:r>
            <w:rPr>
              <w:noProof/>
            </w:rPr>
            <w:tab/>
          </w:r>
          <w:r>
            <w:rPr>
              <w:noProof/>
            </w:rPr>
            <w:fldChar w:fldCharType="begin"/>
          </w:r>
          <w:r>
            <w:rPr>
              <w:noProof/>
            </w:rPr>
            <w:instrText xml:space="preserve"> PAGEREF _Toc11832708 \h </w:instrText>
          </w:r>
          <w:r>
            <w:rPr>
              <w:noProof/>
            </w:rPr>
          </w:r>
          <w:r>
            <w:rPr>
              <w:noProof/>
            </w:rPr>
            <w:fldChar w:fldCharType="separate"/>
          </w:r>
          <w:r>
            <w:rPr>
              <w:noProof/>
            </w:rPr>
            <w:t>9</w:t>
          </w:r>
          <w:r>
            <w:rPr>
              <w:noProof/>
            </w:rPr>
            <w:fldChar w:fldCharType="end"/>
          </w:r>
        </w:p>
        <w:p w14:paraId="122AC3D7" w14:textId="58922D2C" w:rsidR="006657D6" w:rsidRDefault="006657D6">
          <w:pPr>
            <w:pStyle w:val="TOC2"/>
            <w:tabs>
              <w:tab w:val="left" w:pos="660"/>
              <w:tab w:val="right" w:leader="dot" w:pos="9710"/>
            </w:tabs>
            <w:rPr>
              <w:b w:val="0"/>
              <w:bCs w:val="0"/>
              <w:noProof/>
              <w:sz w:val="22"/>
              <w:szCs w:val="22"/>
              <w:lang w:eastAsia="en-US"/>
            </w:rPr>
          </w:pPr>
          <w:r w:rsidRPr="004269E9">
            <w:rPr>
              <w:noProof/>
              <w:color w:val="002060"/>
            </w:rPr>
            <w:t>1.3</w:t>
          </w:r>
          <w:r>
            <w:rPr>
              <w:b w:val="0"/>
              <w:bCs w:val="0"/>
              <w:noProof/>
              <w:sz w:val="22"/>
              <w:szCs w:val="22"/>
              <w:lang w:eastAsia="en-US"/>
            </w:rPr>
            <w:tab/>
          </w:r>
          <w:r w:rsidRPr="004269E9">
            <w:rPr>
              <w:noProof/>
              <w:color w:val="002060"/>
            </w:rPr>
            <w:t>MEDICAL COUNTERMEASURE DISPENSING MODELS</w:t>
          </w:r>
          <w:r>
            <w:rPr>
              <w:noProof/>
            </w:rPr>
            <w:tab/>
          </w:r>
          <w:r>
            <w:rPr>
              <w:noProof/>
            </w:rPr>
            <w:fldChar w:fldCharType="begin"/>
          </w:r>
          <w:r>
            <w:rPr>
              <w:noProof/>
            </w:rPr>
            <w:instrText xml:space="preserve"> PAGEREF _Toc11832709 \h </w:instrText>
          </w:r>
          <w:r>
            <w:rPr>
              <w:noProof/>
            </w:rPr>
          </w:r>
          <w:r>
            <w:rPr>
              <w:noProof/>
            </w:rPr>
            <w:fldChar w:fldCharType="separate"/>
          </w:r>
          <w:r>
            <w:rPr>
              <w:noProof/>
            </w:rPr>
            <w:t>9</w:t>
          </w:r>
          <w:r>
            <w:rPr>
              <w:noProof/>
            </w:rPr>
            <w:fldChar w:fldCharType="end"/>
          </w:r>
        </w:p>
        <w:p w14:paraId="0DA7D9E3" w14:textId="506AD262" w:rsidR="006657D6" w:rsidRDefault="006657D6">
          <w:pPr>
            <w:pStyle w:val="TOC3"/>
            <w:tabs>
              <w:tab w:val="left" w:pos="880"/>
              <w:tab w:val="right" w:leader="dot" w:pos="9710"/>
            </w:tabs>
            <w:rPr>
              <w:noProof/>
              <w:sz w:val="22"/>
              <w:szCs w:val="22"/>
              <w:lang w:eastAsia="en-US"/>
            </w:rPr>
          </w:pPr>
          <w:r w:rsidRPr="004269E9">
            <w:rPr>
              <w:noProof/>
              <w:color w:val="002060"/>
            </w:rPr>
            <w:t>1.3.1</w:t>
          </w:r>
          <w:r>
            <w:rPr>
              <w:noProof/>
              <w:sz w:val="22"/>
              <w:szCs w:val="22"/>
              <w:lang w:eastAsia="en-US"/>
            </w:rPr>
            <w:tab/>
          </w:r>
          <w:r w:rsidRPr="004269E9">
            <w:rPr>
              <w:noProof/>
              <w:color w:val="002060"/>
            </w:rPr>
            <w:t>Pre-Positioned Medical Countermeasures</w:t>
          </w:r>
          <w:r>
            <w:rPr>
              <w:noProof/>
            </w:rPr>
            <w:tab/>
          </w:r>
          <w:r>
            <w:rPr>
              <w:noProof/>
            </w:rPr>
            <w:fldChar w:fldCharType="begin"/>
          </w:r>
          <w:r>
            <w:rPr>
              <w:noProof/>
            </w:rPr>
            <w:instrText xml:space="preserve"> PAGEREF _Toc11832710 \h </w:instrText>
          </w:r>
          <w:r>
            <w:rPr>
              <w:noProof/>
            </w:rPr>
          </w:r>
          <w:r>
            <w:rPr>
              <w:noProof/>
            </w:rPr>
            <w:fldChar w:fldCharType="separate"/>
          </w:r>
          <w:r>
            <w:rPr>
              <w:noProof/>
            </w:rPr>
            <w:t>9</w:t>
          </w:r>
          <w:r>
            <w:rPr>
              <w:noProof/>
            </w:rPr>
            <w:fldChar w:fldCharType="end"/>
          </w:r>
        </w:p>
        <w:p w14:paraId="7B5E9794" w14:textId="17D0E2C8" w:rsidR="006657D6" w:rsidRDefault="006657D6">
          <w:pPr>
            <w:pStyle w:val="TOC3"/>
            <w:tabs>
              <w:tab w:val="left" w:pos="880"/>
              <w:tab w:val="right" w:leader="dot" w:pos="9710"/>
            </w:tabs>
            <w:rPr>
              <w:noProof/>
              <w:sz w:val="22"/>
              <w:szCs w:val="22"/>
              <w:lang w:eastAsia="en-US"/>
            </w:rPr>
          </w:pPr>
          <w:r w:rsidRPr="004269E9">
            <w:rPr>
              <w:noProof/>
              <w:color w:val="002060"/>
            </w:rPr>
            <w:t>1.3.2</w:t>
          </w:r>
          <w:r>
            <w:rPr>
              <w:noProof/>
              <w:sz w:val="22"/>
              <w:szCs w:val="22"/>
              <w:lang w:eastAsia="en-US"/>
            </w:rPr>
            <w:tab/>
          </w:r>
          <w:r w:rsidRPr="004269E9">
            <w:rPr>
              <w:noProof/>
              <w:color w:val="002060"/>
            </w:rPr>
            <w:t>Medical vs. Non-Medical Dispensing</w:t>
          </w:r>
          <w:r>
            <w:rPr>
              <w:noProof/>
            </w:rPr>
            <w:tab/>
          </w:r>
          <w:r>
            <w:rPr>
              <w:noProof/>
            </w:rPr>
            <w:fldChar w:fldCharType="begin"/>
          </w:r>
          <w:r>
            <w:rPr>
              <w:noProof/>
            </w:rPr>
            <w:instrText xml:space="preserve"> PAGEREF _Toc11832711 \h </w:instrText>
          </w:r>
          <w:r>
            <w:rPr>
              <w:noProof/>
            </w:rPr>
          </w:r>
          <w:r>
            <w:rPr>
              <w:noProof/>
            </w:rPr>
            <w:fldChar w:fldCharType="separate"/>
          </w:r>
          <w:r>
            <w:rPr>
              <w:noProof/>
            </w:rPr>
            <w:t>10</w:t>
          </w:r>
          <w:r>
            <w:rPr>
              <w:noProof/>
            </w:rPr>
            <w:fldChar w:fldCharType="end"/>
          </w:r>
        </w:p>
        <w:p w14:paraId="76E9F8DB" w14:textId="3C530461" w:rsidR="006657D6" w:rsidRDefault="006657D6">
          <w:pPr>
            <w:pStyle w:val="TOC3"/>
            <w:tabs>
              <w:tab w:val="left" w:pos="880"/>
              <w:tab w:val="right" w:leader="dot" w:pos="9710"/>
            </w:tabs>
            <w:rPr>
              <w:noProof/>
              <w:sz w:val="22"/>
              <w:szCs w:val="22"/>
              <w:lang w:eastAsia="en-US"/>
            </w:rPr>
          </w:pPr>
          <w:r w:rsidRPr="004269E9">
            <w:rPr>
              <w:noProof/>
              <w:color w:val="002060"/>
            </w:rPr>
            <w:t>1.3.3</w:t>
          </w:r>
          <w:r>
            <w:rPr>
              <w:noProof/>
              <w:sz w:val="22"/>
              <w:szCs w:val="22"/>
              <w:lang w:eastAsia="en-US"/>
            </w:rPr>
            <w:tab/>
          </w:r>
          <w:r w:rsidRPr="004269E9">
            <w:rPr>
              <w:noProof/>
              <w:color w:val="002060"/>
            </w:rPr>
            <w:t>Sustained Dispensing</w:t>
          </w:r>
          <w:r>
            <w:rPr>
              <w:noProof/>
            </w:rPr>
            <w:tab/>
          </w:r>
          <w:r>
            <w:rPr>
              <w:noProof/>
            </w:rPr>
            <w:fldChar w:fldCharType="begin"/>
          </w:r>
          <w:r>
            <w:rPr>
              <w:noProof/>
            </w:rPr>
            <w:instrText xml:space="preserve"> PAGEREF _Toc11832712 \h </w:instrText>
          </w:r>
          <w:r>
            <w:rPr>
              <w:noProof/>
            </w:rPr>
          </w:r>
          <w:r>
            <w:rPr>
              <w:noProof/>
            </w:rPr>
            <w:fldChar w:fldCharType="separate"/>
          </w:r>
          <w:r>
            <w:rPr>
              <w:noProof/>
            </w:rPr>
            <w:t>11</w:t>
          </w:r>
          <w:r>
            <w:rPr>
              <w:noProof/>
            </w:rPr>
            <w:fldChar w:fldCharType="end"/>
          </w:r>
        </w:p>
        <w:p w14:paraId="08FCDF93" w14:textId="7ED4DA98" w:rsidR="006657D6" w:rsidRDefault="006657D6">
          <w:pPr>
            <w:pStyle w:val="TOC3"/>
            <w:tabs>
              <w:tab w:val="left" w:pos="880"/>
              <w:tab w:val="right" w:leader="dot" w:pos="9710"/>
            </w:tabs>
            <w:rPr>
              <w:noProof/>
              <w:sz w:val="22"/>
              <w:szCs w:val="22"/>
              <w:lang w:eastAsia="en-US"/>
            </w:rPr>
          </w:pPr>
          <w:r w:rsidRPr="004269E9">
            <w:rPr>
              <w:noProof/>
              <w:color w:val="002060"/>
            </w:rPr>
            <w:t>1.3.4</w:t>
          </w:r>
          <w:r>
            <w:rPr>
              <w:noProof/>
              <w:sz w:val="22"/>
              <w:szCs w:val="22"/>
              <w:lang w:eastAsia="en-US"/>
            </w:rPr>
            <w:tab/>
          </w:r>
          <w:r w:rsidRPr="004269E9">
            <w:rPr>
              <w:noProof/>
              <w:color w:val="002060"/>
            </w:rPr>
            <w:t>Pull-Method Dispensing</w:t>
          </w:r>
          <w:r>
            <w:rPr>
              <w:noProof/>
            </w:rPr>
            <w:tab/>
          </w:r>
          <w:r>
            <w:rPr>
              <w:noProof/>
            </w:rPr>
            <w:fldChar w:fldCharType="begin"/>
          </w:r>
          <w:r>
            <w:rPr>
              <w:noProof/>
            </w:rPr>
            <w:instrText xml:space="preserve"> PAGEREF _Toc11832713 \h </w:instrText>
          </w:r>
          <w:r>
            <w:rPr>
              <w:noProof/>
            </w:rPr>
          </w:r>
          <w:r>
            <w:rPr>
              <w:noProof/>
            </w:rPr>
            <w:fldChar w:fldCharType="separate"/>
          </w:r>
          <w:r>
            <w:rPr>
              <w:noProof/>
            </w:rPr>
            <w:t>11</w:t>
          </w:r>
          <w:r>
            <w:rPr>
              <w:noProof/>
            </w:rPr>
            <w:fldChar w:fldCharType="end"/>
          </w:r>
        </w:p>
        <w:p w14:paraId="6819C12C" w14:textId="28297093" w:rsidR="006657D6" w:rsidRDefault="006657D6">
          <w:pPr>
            <w:pStyle w:val="TOC3"/>
            <w:tabs>
              <w:tab w:val="left" w:pos="880"/>
              <w:tab w:val="right" w:leader="dot" w:pos="9710"/>
            </w:tabs>
            <w:rPr>
              <w:noProof/>
              <w:sz w:val="22"/>
              <w:szCs w:val="22"/>
              <w:lang w:eastAsia="en-US"/>
            </w:rPr>
          </w:pPr>
          <w:r w:rsidRPr="004269E9">
            <w:rPr>
              <w:noProof/>
              <w:color w:val="002060"/>
            </w:rPr>
            <w:t>1.3.5</w:t>
          </w:r>
          <w:r>
            <w:rPr>
              <w:noProof/>
              <w:sz w:val="22"/>
              <w:szCs w:val="22"/>
              <w:lang w:eastAsia="en-US"/>
            </w:rPr>
            <w:tab/>
          </w:r>
          <w:r w:rsidRPr="004269E9">
            <w:rPr>
              <w:noProof/>
              <w:color w:val="002060"/>
            </w:rPr>
            <w:t>Push-Method Dispensing</w:t>
          </w:r>
          <w:r>
            <w:rPr>
              <w:noProof/>
            </w:rPr>
            <w:tab/>
          </w:r>
          <w:r>
            <w:rPr>
              <w:noProof/>
            </w:rPr>
            <w:fldChar w:fldCharType="begin"/>
          </w:r>
          <w:r>
            <w:rPr>
              <w:noProof/>
            </w:rPr>
            <w:instrText xml:space="preserve"> PAGEREF _Toc11832714 \h </w:instrText>
          </w:r>
          <w:r>
            <w:rPr>
              <w:noProof/>
            </w:rPr>
          </w:r>
          <w:r>
            <w:rPr>
              <w:noProof/>
            </w:rPr>
            <w:fldChar w:fldCharType="separate"/>
          </w:r>
          <w:r>
            <w:rPr>
              <w:noProof/>
            </w:rPr>
            <w:t>13</w:t>
          </w:r>
          <w:r>
            <w:rPr>
              <w:noProof/>
            </w:rPr>
            <w:fldChar w:fldCharType="end"/>
          </w:r>
        </w:p>
        <w:p w14:paraId="3F14ACB8" w14:textId="6F11B9AC" w:rsidR="006657D6" w:rsidRDefault="006657D6">
          <w:pPr>
            <w:pStyle w:val="TOC2"/>
            <w:tabs>
              <w:tab w:val="left" w:pos="660"/>
              <w:tab w:val="right" w:leader="dot" w:pos="9710"/>
            </w:tabs>
            <w:rPr>
              <w:b w:val="0"/>
              <w:bCs w:val="0"/>
              <w:noProof/>
              <w:sz w:val="22"/>
              <w:szCs w:val="22"/>
              <w:lang w:eastAsia="en-US"/>
            </w:rPr>
          </w:pPr>
          <w:r w:rsidRPr="004269E9">
            <w:rPr>
              <w:noProof/>
              <w:color w:val="002060"/>
            </w:rPr>
            <w:t>1.4</w:t>
          </w:r>
          <w:r>
            <w:rPr>
              <w:b w:val="0"/>
              <w:bCs w:val="0"/>
              <w:noProof/>
              <w:sz w:val="22"/>
              <w:szCs w:val="22"/>
              <w:lang w:eastAsia="en-US"/>
            </w:rPr>
            <w:tab/>
          </w:r>
          <w:r w:rsidRPr="004269E9">
            <w:rPr>
              <w:noProof/>
              <w:color w:val="002060"/>
            </w:rPr>
            <w:t>MEDICAL COUNTERMEASURE DISPENSING SERVICES &amp; PROCESS</w:t>
          </w:r>
          <w:r>
            <w:rPr>
              <w:noProof/>
            </w:rPr>
            <w:tab/>
          </w:r>
          <w:r>
            <w:rPr>
              <w:noProof/>
            </w:rPr>
            <w:fldChar w:fldCharType="begin"/>
          </w:r>
          <w:r>
            <w:rPr>
              <w:noProof/>
            </w:rPr>
            <w:instrText xml:space="preserve"> PAGEREF _Toc11832715 \h </w:instrText>
          </w:r>
          <w:r>
            <w:rPr>
              <w:noProof/>
            </w:rPr>
          </w:r>
          <w:r>
            <w:rPr>
              <w:noProof/>
            </w:rPr>
            <w:fldChar w:fldCharType="separate"/>
          </w:r>
          <w:r>
            <w:rPr>
              <w:noProof/>
            </w:rPr>
            <w:t>14</w:t>
          </w:r>
          <w:r>
            <w:rPr>
              <w:noProof/>
            </w:rPr>
            <w:fldChar w:fldCharType="end"/>
          </w:r>
        </w:p>
        <w:p w14:paraId="1732F2BA" w14:textId="475096A1" w:rsidR="006657D6" w:rsidRDefault="006657D6">
          <w:pPr>
            <w:pStyle w:val="TOC3"/>
            <w:tabs>
              <w:tab w:val="left" w:pos="880"/>
              <w:tab w:val="right" w:leader="dot" w:pos="9710"/>
            </w:tabs>
            <w:rPr>
              <w:noProof/>
              <w:sz w:val="22"/>
              <w:szCs w:val="22"/>
              <w:lang w:eastAsia="en-US"/>
            </w:rPr>
          </w:pPr>
          <w:r w:rsidRPr="004269E9">
            <w:rPr>
              <w:noProof/>
              <w:color w:val="002060"/>
            </w:rPr>
            <w:t>1.4.1</w:t>
          </w:r>
          <w:r>
            <w:rPr>
              <w:noProof/>
              <w:sz w:val="22"/>
              <w:szCs w:val="22"/>
              <w:lang w:eastAsia="en-US"/>
            </w:rPr>
            <w:tab/>
          </w:r>
          <w:r w:rsidRPr="004269E9">
            <w:rPr>
              <w:noProof/>
              <w:color w:val="002060"/>
            </w:rPr>
            <w:t>Intake</w:t>
          </w:r>
          <w:r>
            <w:rPr>
              <w:noProof/>
            </w:rPr>
            <w:tab/>
          </w:r>
          <w:r>
            <w:rPr>
              <w:noProof/>
            </w:rPr>
            <w:fldChar w:fldCharType="begin"/>
          </w:r>
          <w:r>
            <w:rPr>
              <w:noProof/>
            </w:rPr>
            <w:instrText xml:space="preserve"> PAGEREF _Toc11832716 \h </w:instrText>
          </w:r>
          <w:r>
            <w:rPr>
              <w:noProof/>
            </w:rPr>
          </w:r>
          <w:r>
            <w:rPr>
              <w:noProof/>
            </w:rPr>
            <w:fldChar w:fldCharType="separate"/>
          </w:r>
          <w:r>
            <w:rPr>
              <w:noProof/>
            </w:rPr>
            <w:t>14</w:t>
          </w:r>
          <w:r>
            <w:rPr>
              <w:noProof/>
            </w:rPr>
            <w:fldChar w:fldCharType="end"/>
          </w:r>
        </w:p>
        <w:p w14:paraId="189681EB" w14:textId="58C4B4AD" w:rsidR="006657D6" w:rsidRDefault="006657D6">
          <w:pPr>
            <w:pStyle w:val="TOC3"/>
            <w:tabs>
              <w:tab w:val="left" w:pos="880"/>
              <w:tab w:val="right" w:leader="dot" w:pos="9710"/>
            </w:tabs>
            <w:rPr>
              <w:noProof/>
              <w:sz w:val="22"/>
              <w:szCs w:val="22"/>
              <w:lang w:eastAsia="en-US"/>
            </w:rPr>
          </w:pPr>
          <w:r w:rsidRPr="004269E9">
            <w:rPr>
              <w:noProof/>
              <w:color w:val="002060"/>
            </w:rPr>
            <w:t>1.4.2</w:t>
          </w:r>
          <w:r>
            <w:rPr>
              <w:noProof/>
              <w:sz w:val="22"/>
              <w:szCs w:val="22"/>
              <w:lang w:eastAsia="en-US"/>
            </w:rPr>
            <w:tab/>
          </w:r>
          <w:r w:rsidRPr="004269E9">
            <w:rPr>
              <w:noProof/>
              <w:color w:val="002060"/>
            </w:rPr>
            <w:t>Screening</w:t>
          </w:r>
          <w:r>
            <w:rPr>
              <w:noProof/>
            </w:rPr>
            <w:tab/>
          </w:r>
          <w:r>
            <w:rPr>
              <w:noProof/>
            </w:rPr>
            <w:fldChar w:fldCharType="begin"/>
          </w:r>
          <w:r>
            <w:rPr>
              <w:noProof/>
            </w:rPr>
            <w:instrText xml:space="preserve"> PAGEREF _Toc11832717 \h </w:instrText>
          </w:r>
          <w:r>
            <w:rPr>
              <w:noProof/>
            </w:rPr>
          </w:r>
          <w:r>
            <w:rPr>
              <w:noProof/>
            </w:rPr>
            <w:fldChar w:fldCharType="separate"/>
          </w:r>
          <w:r>
            <w:rPr>
              <w:noProof/>
            </w:rPr>
            <w:t>16</w:t>
          </w:r>
          <w:r>
            <w:rPr>
              <w:noProof/>
            </w:rPr>
            <w:fldChar w:fldCharType="end"/>
          </w:r>
        </w:p>
        <w:p w14:paraId="6102DEA0" w14:textId="70936D3D" w:rsidR="006657D6" w:rsidRDefault="006657D6">
          <w:pPr>
            <w:pStyle w:val="TOC3"/>
            <w:tabs>
              <w:tab w:val="left" w:pos="880"/>
              <w:tab w:val="right" w:leader="dot" w:pos="9710"/>
            </w:tabs>
            <w:rPr>
              <w:noProof/>
              <w:sz w:val="22"/>
              <w:szCs w:val="22"/>
              <w:lang w:eastAsia="en-US"/>
            </w:rPr>
          </w:pPr>
          <w:r w:rsidRPr="004269E9">
            <w:rPr>
              <w:noProof/>
              <w:color w:val="002060"/>
            </w:rPr>
            <w:t>1.4.3</w:t>
          </w:r>
          <w:r>
            <w:rPr>
              <w:noProof/>
              <w:sz w:val="22"/>
              <w:szCs w:val="22"/>
              <w:lang w:eastAsia="en-US"/>
            </w:rPr>
            <w:tab/>
          </w:r>
          <w:r w:rsidRPr="004269E9">
            <w:rPr>
              <w:noProof/>
              <w:color w:val="002060"/>
            </w:rPr>
            <w:t>Dispense/Vaccinate</w:t>
          </w:r>
          <w:r>
            <w:rPr>
              <w:noProof/>
            </w:rPr>
            <w:tab/>
          </w:r>
          <w:r>
            <w:rPr>
              <w:noProof/>
            </w:rPr>
            <w:fldChar w:fldCharType="begin"/>
          </w:r>
          <w:r>
            <w:rPr>
              <w:noProof/>
            </w:rPr>
            <w:instrText xml:space="preserve"> PAGEREF _Toc11832718 \h </w:instrText>
          </w:r>
          <w:r>
            <w:rPr>
              <w:noProof/>
            </w:rPr>
          </w:r>
          <w:r>
            <w:rPr>
              <w:noProof/>
            </w:rPr>
            <w:fldChar w:fldCharType="separate"/>
          </w:r>
          <w:r>
            <w:rPr>
              <w:noProof/>
            </w:rPr>
            <w:t>16</w:t>
          </w:r>
          <w:r>
            <w:rPr>
              <w:noProof/>
            </w:rPr>
            <w:fldChar w:fldCharType="end"/>
          </w:r>
        </w:p>
        <w:p w14:paraId="46237A30" w14:textId="50603390" w:rsidR="006657D6" w:rsidRDefault="006657D6">
          <w:pPr>
            <w:pStyle w:val="TOC3"/>
            <w:tabs>
              <w:tab w:val="left" w:pos="880"/>
              <w:tab w:val="right" w:leader="dot" w:pos="9710"/>
            </w:tabs>
            <w:rPr>
              <w:noProof/>
              <w:sz w:val="22"/>
              <w:szCs w:val="22"/>
              <w:lang w:eastAsia="en-US"/>
            </w:rPr>
          </w:pPr>
          <w:r w:rsidRPr="004269E9">
            <w:rPr>
              <w:noProof/>
              <w:color w:val="002060"/>
            </w:rPr>
            <w:t>1.4.4</w:t>
          </w:r>
          <w:r>
            <w:rPr>
              <w:noProof/>
              <w:sz w:val="22"/>
              <w:szCs w:val="22"/>
              <w:lang w:eastAsia="en-US"/>
            </w:rPr>
            <w:tab/>
          </w:r>
          <w:r w:rsidRPr="004269E9">
            <w:rPr>
              <w:noProof/>
              <w:color w:val="002060"/>
            </w:rPr>
            <w:t>Form Collection/Exit</w:t>
          </w:r>
          <w:r>
            <w:rPr>
              <w:noProof/>
            </w:rPr>
            <w:tab/>
          </w:r>
          <w:r>
            <w:rPr>
              <w:noProof/>
            </w:rPr>
            <w:fldChar w:fldCharType="begin"/>
          </w:r>
          <w:r>
            <w:rPr>
              <w:noProof/>
            </w:rPr>
            <w:instrText xml:space="preserve"> PAGEREF _Toc11832719 \h </w:instrText>
          </w:r>
          <w:r>
            <w:rPr>
              <w:noProof/>
            </w:rPr>
          </w:r>
          <w:r>
            <w:rPr>
              <w:noProof/>
            </w:rPr>
            <w:fldChar w:fldCharType="separate"/>
          </w:r>
          <w:r>
            <w:rPr>
              <w:noProof/>
            </w:rPr>
            <w:t>17</w:t>
          </w:r>
          <w:r>
            <w:rPr>
              <w:noProof/>
            </w:rPr>
            <w:fldChar w:fldCharType="end"/>
          </w:r>
        </w:p>
        <w:p w14:paraId="5A136A03" w14:textId="04F54588" w:rsidR="006657D6" w:rsidRDefault="006657D6">
          <w:pPr>
            <w:pStyle w:val="TOC3"/>
            <w:tabs>
              <w:tab w:val="left" w:pos="880"/>
              <w:tab w:val="right" w:leader="dot" w:pos="9710"/>
            </w:tabs>
            <w:rPr>
              <w:noProof/>
              <w:sz w:val="22"/>
              <w:szCs w:val="22"/>
              <w:lang w:eastAsia="en-US"/>
            </w:rPr>
          </w:pPr>
          <w:r w:rsidRPr="004269E9">
            <w:rPr>
              <w:noProof/>
              <w:color w:val="002060"/>
            </w:rPr>
            <w:t>1.4.5</w:t>
          </w:r>
          <w:r>
            <w:rPr>
              <w:noProof/>
              <w:sz w:val="22"/>
              <w:szCs w:val="22"/>
              <w:lang w:eastAsia="en-US"/>
            </w:rPr>
            <w:tab/>
          </w:r>
          <w:r w:rsidRPr="004269E9">
            <w:rPr>
              <w:noProof/>
              <w:color w:val="002060"/>
            </w:rPr>
            <w:t>Medication Dispensing</w:t>
          </w:r>
          <w:r>
            <w:rPr>
              <w:noProof/>
            </w:rPr>
            <w:tab/>
          </w:r>
          <w:r>
            <w:rPr>
              <w:noProof/>
            </w:rPr>
            <w:fldChar w:fldCharType="begin"/>
          </w:r>
          <w:r>
            <w:rPr>
              <w:noProof/>
            </w:rPr>
            <w:instrText xml:space="preserve"> PAGEREF _Toc11832720 \h </w:instrText>
          </w:r>
          <w:r>
            <w:rPr>
              <w:noProof/>
            </w:rPr>
          </w:r>
          <w:r>
            <w:rPr>
              <w:noProof/>
            </w:rPr>
            <w:fldChar w:fldCharType="separate"/>
          </w:r>
          <w:r>
            <w:rPr>
              <w:noProof/>
            </w:rPr>
            <w:t>17</w:t>
          </w:r>
          <w:r>
            <w:rPr>
              <w:noProof/>
            </w:rPr>
            <w:fldChar w:fldCharType="end"/>
          </w:r>
        </w:p>
        <w:p w14:paraId="35D6E87B" w14:textId="23A8426E" w:rsidR="006657D6" w:rsidRDefault="006657D6">
          <w:pPr>
            <w:pStyle w:val="TOC3"/>
            <w:tabs>
              <w:tab w:val="left" w:pos="880"/>
              <w:tab w:val="right" w:leader="dot" w:pos="9710"/>
            </w:tabs>
            <w:rPr>
              <w:noProof/>
              <w:sz w:val="22"/>
              <w:szCs w:val="22"/>
              <w:lang w:eastAsia="en-US"/>
            </w:rPr>
          </w:pPr>
          <w:r w:rsidRPr="004269E9">
            <w:rPr>
              <w:noProof/>
              <w:color w:val="002060"/>
            </w:rPr>
            <w:t>1.4.6</w:t>
          </w:r>
          <w:r>
            <w:rPr>
              <w:noProof/>
              <w:sz w:val="22"/>
              <w:szCs w:val="22"/>
              <w:lang w:eastAsia="en-US"/>
            </w:rPr>
            <w:tab/>
          </w:r>
          <w:r w:rsidRPr="004269E9">
            <w:rPr>
              <w:noProof/>
              <w:color w:val="002060"/>
            </w:rPr>
            <w:t>Vaccine Dispensing</w:t>
          </w:r>
          <w:r>
            <w:rPr>
              <w:noProof/>
            </w:rPr>
            <w:tab/>
          </w:r>
          <w:r>
            <w:rPr>
              <w:noProof/>
            </w:rPr>
            <w:fldChar w:fldCharType="begin"/>
          </w:r>
          <w:r>
            <w:rPr>
              <w:noProof/>
            </w:rPr>
            <w:instrText xml:space="preserve"> PAGEREF _Toc11832721 \h </w:instrText>
          </w:r>
          <w:r>
            <w:rPr>
              <w:noProof/>
            </w:rPr>
          </w:r>
          <w:r>
            <w:rPr>
              <w:noProof/>
            </w:rPr>
            <w:fldChar w:fldCharType="separate"/>
          </w:r>
          <w:r>
            <w:rPr>
              <w:noProof/>
            </w:rPr>
            <w:t>20</w:t>
          </w:r>
          <w:r>
            <w:rPr>
              <w:noProof/>
            </w:rPr>
            <w:fldChar w:fldCharType="end"/>
          </w:r>
        </w:p>
        <w:p w14:paraId="10A18609" w14:textId="14FB0251" w:rsidR="006657D6" w:rsidRDefault="006657D6">
          <w:pPr>
            <w:pStyle w:val="TOC1"/>
            <w:tabs>
              <w:tab w:val="left" w:pos="440"/>
              <w:tab w:val="right" w:leader="dot" w:pos="9710"/>
            </w:tabs>
            <w:rPr>
              <w:rFonts w:asciiTheme="minorHAnsi" w:hAnsiTheme="minorHAnsi"/>
              <w:b w:val="0"/>
              <w:bCs w:val="0"/>
              <w:caps w:val="0"/>
              <w:noProof/>
              <w:sz w:val="22"/>
              <w:szCs w:val="22"/>
              <w:lang w:eastAsia="en-US"/>
            </w:rPr>
          </w:pPr>
          <w:r w:rsidRPr="004269E9">
            <w:rPr>
              <w:noProof/>
              <w:color w:val="ED7D31" w:themeColor="accent2"/>
            </w:rPr>
            <w:t>2</w:t>
          </w:r>
          <w:r>
            <w:rPr>
              <w:rFonts w:asciiTheme="minorHAnsi" w:hAnsiTheme="minorHAnsi"/>
              <w:b w:val="0"/>
              <w:bCs w:val="0"/>
              <w:caps w:val="0"/>
              <w:noProof/>
              <w:sz w:val="22"/>
              <w:szCs w:val="22"/>
              <w:lang w:eastAsia="en-US"/>
            </w:rPr>
            <w:tab/>
          </w:r>
          <w:r w:rsidRPr="004269E9">
            <w:rPr>
              <w:noProof/>
              <w:color w:val="ED7D31" w:themeColor="accent2"/>
            </w:rPr>
            <w:t>ACTIVATION</w:t>
          </w:r>
          <w:r>
            <w:rPr>
              <w:noProof/>
            </w:rPr>
            <w:tab/>
          </w:r>
          <w:r>
            <w:rPr>
              <w:noProof/>
            </w:rPr>
            <w:fldChar w:fldCharType="begin"/>
          </w:r>
          <w:r>
            <w:rPr>
              <w:noProof/>
            </w:rPr>
            <w:instrText xml:space="preserve"> PAGEREF _Toc11832722 \h </w:instrText>
          </w:r>
          <w:r>
            <w:rPr>
              <w:noProof/>
            </w:rPr>
          </w:r>
          <w:r>
            <w:rPr>
              <w:noProof/>
            </w:rPr>
            <w:fldChar w:fldCharType="separate"/>
          </w:r>
          <w:r>
            <w:rPr>
              <w:noProof/>
            </w:rPr>
            <w:t>21</w:t>
          </w:r>
          <w:r>
            <w:rPr>
              <w:noProof/>
            </w:rPr>
            <w:fldChar w:fldCharType="end"/>
          </w:r>
        </w:p>
        <w:p w14:paraId="1F9FC876" w14:textId="1C2DEEC7" w:rsidR="006657D6" w:rsidRDefault="006657D6">
          <w:pPr>
            <w:pStyle w:val="TOC2"/>
            <w:tabs>
              <w:tab w:val="left" w:pos="660"/>
              <w:tab w:val="right" w:leader="dot" w:pos="9710"/>
            </w:tabs>
            <w:rPr>
              <w:b w:val="0"/>
              <w:bCs w:val="0"/>
              <w:noProof/>
              <w:sz w:val="22"/>
              <w:szCs w:val="22"/>
              <w:lang w:eastAsia="en-US"/>
            </w:rPr>
          </w:pPr>
          <w:r w:rsidRPr="004269E9">
            <w:rPr>
              <w:noProof/>
              <w:color w:val="002060"/>
            </w:rPr>
            <w:t>2.1</w:t>
          </w:r>
          <w:r>
            <w:rPr>
              <w:b w:val="0"/>
              <w:bCs w:val="0"/>
              <w:noProof/>
              <w:sz w:val="22"/>
              <w:szCs w:val="22"/>
              <w:lang w:eastAsia="en-US"/>
            </w:rPr>
            <w:tab/>
          </w:r>
          <w:r w:rsidRPr="004269E9">
            <w:rPr>
              <w:noProof/>
              <w:color w:val="002060"/>
            </w:rPr>
            <w:t>SURVEILLANCE</w:t>
          </w:r>
          <w:r>
            <w:rPr>
              <w:noProof/>
            </w:rPr>
            <w:tab/>
          </w:r>
          <w:r>
            <w:rPr>
              <w:noProof/>
            </w:rPr>
            <w:fldChar w:fldCharType="begin"/>
          </w:r>
          <w:r>
            <w:rPr>
              <w:noProof/>
            </w:rPr>
            <w:instrText xml:space="preserve"> PAGEREF _Toc11832723 \h </w:instrText>
          </w:r>
          <w:r>
            <w:rPr>
              <w:noProof/>
            </w:rPr>
          </w:r>
          <w:r>
            <w:rPr>
              <w:noProof/>
            </w:rPr>
            <w:fldChar w:fldCharType="separate"/>
          </w:r>
          <w:r>
            <w:rPr>
              <w:noProof/>
            </w:rPr>
            <w:t>21</w:t>
          </w:r>
          <w:r>
            <w:rPr>
              <w:noProof/>
            </w:rPr>
            <w:fldChar w:fldCharType="end"/>
          </w:r>
        </w:p>
        <w:p w14:paraId="4FDA0B64" w14:textId="5E9D5D98" w:rsidR="006657D6" w:rsidRDefault="006657D6">
          <w:pPr>
            <w:pStyle w:val="TOC3"/>
            <w:tabs>
              <w:tab w:val="left" w:pos="880"/>
              <w:tab w:val="right" w:leader="dot" w:pos="9710"/>
            </w:tabs>
            <w:rPr>
              <w:noProof/>
              <w:sz w:val="22"/>
              <w:szCs w:val="22"/>
              <w:lang w:eastAsia="en-US"/>
            </w:rPr>
          </w:pPr>
          <w:r w:rsidRPr="004269E9">
            <w:rPr>
              <w:noProof/>
              <w:color w:val="002060"/>
            </w:rPr>
            <w:t>2.1.1</w:t>
          </w:r>
          <w:r>
            <w:rPr>
              <w:noProof/>
              <w:sz w:val="22"/>
              <w:szCs w:val="22"/>
              <w:lang w:eastAsia="en-US"/>
            </w:rPr>
            <w:tab/>
          </w:r>
          <w:r w:rsidRPr="004269E9">
            <w:rPr>
              <w:noProof/>
              <w:color w:val="002060"/>
            </w:rPr>
            <w:t>Massachusetts Virtual Epidemiologic Network (MAVEN)</w:t>
          </w:r>
          <w:r>
            <w:rPr>
              <w:noProof/>
            </w:rPr>
            <w:tab/>
          </w:r>
          <w:r>
            <w:rPr>
              <w:noProof/>
            </w:rPr>
            <w:fldChar w:fldCharType="begin"/>
          </w:r>
          <w:r>
            <w:rPr>
              <w:noProof/>
            </w:rPr>
            <w:instrText xml:space="preserve"> PAGEREF _Toc11832724 \h </w:instrText>
          </w:r>
          <w:r>
            <w:rPr>
              <w:noProof/>
            </w:rPr>
          </w:r>
          <w:r>
            <w:rPr>
              <w:noProof/>
            </w:rPr>
            <w:fldChar w:fldCharType="separate"/>
          </w:r>
          <w:r>
            <w:rPr>
              <w:noProof/>
            </w:rPr>
            <w:t>21</w:t>
          </w:r>
          <w:r>
            <w:rPr>
              <w:noProof/>
            </w:rPr>
            <w:fldChar w:fldCharType="end"/>
          </w:r>
        </w:p>
        <w:p w14:paraId="7AF3E1D4" w14:textId="6FF10AD8" w:rsidR="006657D6" w:rsidRDefault="006657D6">
          <w:pPr>
            <w:pStyle w:val="TOC3"/>
            <w:tabs>
              <w:tab w:val="left" w:pos="880"/>
              <w:tab w:val="right" w:leader="dot" w:pos="9710"/>
            </w:tabs>
            <w:rPr>
              <w:noProof/>
              <w:sz w:val="22"/>
              <w:szCs w:val="22"/>
              <w:lang w:eastAsia="en-US"/>
            </w:rPr>
          </w:pPr>
          <w:r w:rsidRPr="004269E9">
            <w:rPr>
              <w:noProof/>
              <w:color w:val="002060"/>
            </w:rPr>
            <w:t>2.1.2</w:t>
          </w:r>
          <w:r>
            <w:rPr>
              <w:noProof/>
              <w:sz w:val="22"/>
              <w:szCs w:val="22"/>
              <w:lang w:eastAsia="en-US"/>
            </w:rPr>
            <w:tab/>
          </w:r>
          <w:r w:rsidRPr="004269E9">
            <w:rPr>
              <w:noProof/>
              <w:color w:val="002060"/>
            </w:rPr>
            <w:t>Electronic Laboratory Reporting (ELR)</w:t>
          </w:r>
          <w:r>
            <w:rPr>
              <w:noProof/>
            </w:rPr>
            <w:tab/>
          </w:r>
          <w:r>
            <w:rPr>
              <w:noProof/>
            </w:rPr>
            <w:fldChar w:fldCharType="begin"/>
          </w:r>
          <w:r>
            <w:rPr>
              <w:noProof/>
            </w:rPr>
            <w:instrText xml:space="preserve"> PAGEREF _Toc11832725 \h </w:instrText>
          </w:r>
          <w:r>
            <w:rPr>
              <w:noProof/>
            </w:rPr>
          </w:r>
          <w:r>
            <w:rPr>
              <w:noProof/>
            </w:rPr>
            <w:fldChar w:fldCharType="separate"/>
          </w:r>
          <w:r>
            <w:rPr>
              <w:noProof/>
            </w:rPr>
            <w:t>22</w:t>
          </w:r>
          <w:r>
            <w:rPr>
              <w:noProof/>
            </w:rPr>
            <w:fldChar w:fldCharType="end"/>
          </w:r>
        </w:p>
        <w:p w14:paraId="792B6E6F" w14:textId="7D741CCC" w:rsidR="006657D6" w:rsidRDefault="006657D6">
          <w:pPr>
            <w:pStyle w:val="TOC3"/>
            <w:tabs>
              <w:tab w:val="left" w:pos="880"/>
              <w:tab w:val="right" w:leader="dot" w:pos="9710"/>
            </w:tabs>
            <w:rPr>
              <w:noProof/>
              <w:sz w:val="22"/>
              <w:szCs w:val="22"/>
              <w:lang w:eastAsia="en-US"/>
            </w:rPr>
          </w:pPr>
          <w:r w:rsidRPr="004269E9">
            <w:rPr>
              <w:noProof/>
              <w:color w:val="002060"/>
            </w:rPr>
            <w:t>2.1.3</w:t>
          </w:r>
          <w:r>
            <w:rPr>
              <w:noProof/>
              <w:sz w:val="22"/>
              <w:szCs w:val="22"/>
              <w:lang w:eastAsia="en-US"/>
            </w:rPr>
            <w:tab/>
          </w:r>
          <w:r w:rsidRPr="004269E9">
            <w:rPr>
              <w:noProof/>
              <w:color w:val="002060"/>
            </w:rPr>
            <w:t>BioSense – Syndromic Surveillance</w:t>
          </w:r>
          <w:r>
            <w:rPr>
              <w:noProof/>
            </w:rPr>
            <w:tab/>
          </w:r>
          <w:r>
            <w:rPr>
              <w:noProof/>
            </w:rPr>
            <w:fldChar w:fldCharType="begin"/>
          </w:r>
          <w:r>
            <w:rPr>
              <w:noProof/>
            </w:rPr>
            <w:instrText xml:space="preserve"> PAGEREF _Toc11832726 \h </w:instrText>
          </w:r>
          <w:r>
            <w:rPr>
              <w:noProof/>
            </w:rPr>
          </w:r>
          <w:r>
            <w:rPr>
              <w:noProof/>
            </w:rPr>
            <w:fldChar w:fldCharType="separate"/>
          </w:r>
          <w:r>
            <w:rPr>
              <w:noProof/>
            </w:rPr>
            <w:t>22</w:t>
          </w:r>
          <w:r>
            <w:rPr>
              <w:noProof/>
            </w:rPr>
            <w:fldChar w:fldCharType="end"/>
          </w:r>
        </w:p>
        <w:p w14:paraId="1238923C" w14:textId="1FC5110B" w:rsidR="006657D6" w:rsidRDefault="006657D6">
          <w:pPr>
            <w:pStyle w:val="TOC3"/>
            <w:tabs>
              <w:tab w:val="left" w:pos="880"/>
              <w:tab w:val="right" w:leader="dot" w:pos="9710"/>
            </w:tabs>
            <w:rPr>
              <w:noProof/>
              <w:sz w:val="22"/>
              <w:szCs w:val="22"/>
              <w:lang w:eastAsia="en-US"/>
            </w:rPr>
          </w:pPr>
          <w:r w:rsidRPr="004269E9">
            <w:rPr>
              <w:noProof/>
              <w:color w:val="002060"/>
            </w:rPr>
            <w:t>2.1.4</w:t>
          </w:r>
          <w:r>
            <w:rPr>
              <w:noProof/>
              <w:sz w:val="22"/>
              <w:szCs w:val="22"/>
              <w:lang w:eastAsia="en-US"/>
            </w:rPr>
            <w:tab/>
          </w:r>
          <w:r w:rsidRPr="004269E9">
            <w:rPr>
              <w:noProof/>
              <w:color w:val="002060"/>
            </w:rPr>
            <w:t>Biohazard Detection System (BDS)</w:t>
          </w:r>
          <w:r>
            <w:rPr>
              <w:noProof/>
            </w:rPr>
            <w:tab/>
          </w:r>
          <w:r>
            <w:rPr>
              <w:noProof/>
            </w:rPr>
            <w:fldChar w:fldCharType="begin"/>
          </w:r>
          <w:r>
            <w:rPr>
              <w:noProof/>
            </w:rPr>
            <w:instrText xml:space="preserve"> PAGEREF _Toc11832727 \h </w:instrText>
          </w:r>
          <w:r>
            <w:rPr>
              <w:noProof/>
            </w:rPr>
          </w:r>
          <w:r>
            <w:rPr>
              <w:noProof/>
            </w:rPr>
            <w:fldChar w:fldCharType="separate"/>
          </w:r>
          <w:r>
            <w:rPr>
              <w:noProof/>
            </w:rPr>
            <w:t>22</w:t>
          </w:r>
          <w:r>
            <w:rPr>
              <w:noProof/>
            </w:rPr>
            <w:fldChar w:fldCharType="end"/>
          </w:r>
        </w:p>
        <w:p w14:paraId="1F4ECFA8" w14:textId="67825D48" w:rsidR="006657D6" w:rsidRDefault="006657D6">
          <w:pPr>
            <w:pStyle w:val="TOC3"/>
            <w:tabs>
              <w:tab w:val="left" w:pos="880"/>
              <w:tab w:val="right" w:leader="dot" w:pos="9710"/>
            </w:tabs>
            <w:rPr>
              <w:noProof/>
              <w:sz w:val="22"/>
              <w:szCs w:val="22"/>
              <w:lang w:eastAsia="en-US"/>
            </w:rPr>
          </w:pPr>
          <w:r w:rsidRPr="004269E9">
            <w:rPr>
              <w:noProof/>
              <w:color w:val="002060"/>
            </w:rPr>
            <w:t>2.1.5</w:t>
          </w:r>
          <w:r>
            <w:rPr>
              <w:noProof/>
              <w:sz w:val="22"/>
              <w:szCs w:val="22"/>
              <w:lang w:eastAsia="en-US"/>
            </w:rPr>
            <w:tab/>
          </w:r>
          <w:r w:rsidRPr="004269E9">
            <w:rPr>
              <w:noProof/>
              <w:color w:val="002060"/>
            </w:rPr>
            <w:t>Influenza Surveillance</w:t>
          </w:r>
          <w:r>
            <w:rPr>
              <w:noProof/>
            </w:rPr>
            <w:tab/>
          </w:r>
          <w:r>
            <w:rPr>
              <w:noProof/>
            </w:rPr>
            <w:fldChar w:fldCharType="begin"/>
          </w:r>
          <w:r>
            <w:rPr>
              <w:noProof/>
            </w:rPr>
            <w:instrText xml:space="preserve"> PAGEREF _Toc11832728 \h </w:instrText>
          </w:r>
          <w:r>
            <w:rPr>
              <w:noProof/>
            </w:rPr>
          </w:r>
          <w:r>
            <w:rPr>
              <w:noProof/>
            </w:rPr>
            <w:fldChar w:fldCharType="separate"/>
          </w:r>
          <w:r>
            <w:rPr>
              <w:noProof/>
            </w:rPr>
            <w:t>22</w:t>
          </w:r>
          <w:r>
            <w:rPr>
              <w:noProof/>
            </w:rPr>
            <w:fldChar w:fldCharType="end"/>
          </w:r>
        </w:p>
        <w:p w14:paraId="2D811AED" w14:textId="50DC8F15" w:rsidR="006657D6" w:rsidRDefault="006657D6">
          <w:pPr>
            <w:pStyle w:val="TOC2"/>
            <w:tabs>
              <w:tab w:val="left" w:pos="660"/>
              <w:tab w:val="right" w:leader="dot" w:pos="9710"/>
            </w:tabs>
            <w:rPr>
              <w:b w:val="0"/>
              <w:bCs w:val="0"/>
              <w:noProof/>
              <w:sz w:val="22"/>
              <w:szCs w:val="22"/>
              <w:lang w:eastAsia="en-US"/>
            </w:rPr>
          </w:pPr>
          <w:r w:rsidRPr="004269E9">
            <w:rPr>
              <w:noProof/>
              <w:color w:val="002060"/>
            </w:rPr>
            <w:t>2.2</w:t>
          </w:r>
          <w:r>
            <w:rPr>
              <w:b w:val="0"/>
              <w:bCs w:val="0"/>
              <w:noProof/>
              <w:sz w:val="22"/>
              <w:szCs w:val="22"/>
              <w:lang w:eastAsia="en-US"/>
            </w:rPr>
            <w:tab/>
          </w:r>
          <w:r w:rsidRPr="004269E9">
            <w:rPr>
              <w:noProof/>
              <w:color w:val="002060"/>
            </w:rPr>
            <w:t>INCIDENT NOTIFICATION &amp; ACTIVATION DETERMINATION</w:t>
          </w:r>
          <w:r>
            <w:rPr>
              <w:noProof/>
            </w:rPr>
            <w:tab/>
          </w:r>
          <w:r>
            <w:rPr>
              <w:noProof/>
            </w:rPr>
            <w:fldChar w:fldCharType="begin"/>
          </w:r>
          <w:r>
            <w:rPr>
              <w:noProof/>
            </w:rPr>
            <w:instrText xml:space="preserve"> PAGEREF _Toc11832729 \h </w:instrText>
          </w:r>
          <w:r>
            <w:rPr>
              <w:noProof/>
            </w:rPr>
          </w:r>
          <w:r>
            <w:rPr>
              <w:noProof/>
            </w:rPr>
            <w:fldChar w:fldCharType="separate"/>
          </w:r>
          <w:r>
            <w:rPr>
              <w:noProof/>
            </w:rPr>
            <w:t>22</w:t>
          </w:r>
          <w:r>
            <w:rPr>
              <w:noProof/>
            </w:rPr>
            <w:fldChar w:fldCharType="end"/>
          </w:r>
        </w:p>
        <w:p w14:paraId="4CF2C718" w14:textId="37F5AEF8" w:rsidR="006657D6" w:rsidRDefault="006657D6">
          <w:pPr>
            <w:pStyle w:val="TOC3"/>
            <w:tabs>
              <w:tab w:val="left" w:pos="880"/>
              <w:tab w:val="right" w:leader="dot" w:pos="9710"/>
            </w:tabs>
            <w:rPr>
              <w:noProof/>
              <w:sz w:val="22"/>
              <w:szCs w:val="22"/>
              <w:lang w:eastAsia="en-US"/>
            </w:rPr>
          </w:pPr>
          <w:r w:rsidRPr="004269E9">
            <w:rPr>
              <w:noProof/>
              <w:color w:val="002060"/>
            </w:rPr>
            <w:t>2.2.1</w:t>
          </w:r>
          <w:r>
            <w:rPr>
              <w:noProof/>
              <w:sz w:val="22"/>
              <w:szCs w:val="22"/>
              <w:lang w:eastAsia="en-US"/>
            </w:rPr>
            <w:tab/>
          </w:r>
          <w:r w:rsidRPr="004269E9">
            <w:rPr>
              <w:noProof/>
              <w:color w:val="002060"/>
            </w:rPr>
            <w:t>Local Emergency Management Notification</w:t>
          </w:r>
          <w:r>
            <w:rPr>
              <w:noProof/>
            </w:rPr>
            <w:tab/>
          </w:r>
          <w:r>
            <w:rPr>
              <w:noProof/>
            </w:rPr>
            <w:fldChar w:fldCharType="begin"/>
          </w:r>
          <w:r>
            <w:rPr>
              <w:noProof/>
            </w:rPr>
            <w:instrText xml:space="preserve"> PAGEREF _Toc11832730 \h </w:instrText>
          </w:r>
          <w:r>
            <w:rPr>
              <w:noProof/>
            </w:rPr>
          </w:r>
          <w:r>
            <w:rPr>
              <w:noProof/>
            </w:rPr>
            <w:fldChar w:fldCharType="separate"/>
          </w:r>
          <w:r>
            <w:rPr>
              <w:noProof/>
            </w:rPr>
            <w:t>23</w:t>
          </w:r>
          <w:r>
            <w:rPr>
              <w:noProof/>
            </w:rPr>
            <w:fldChar w:fldCharType="end"/>
          </w:r>
        </w:p>
        <w:p w14:paraId="18CCCB1F" w14:textId="017030DD" w:rsidR="006657D6" w:rsidRDefault="006657D6">
          <w:pPr>
            <w:pStyle w:val="TOC3"/>
            <w:tabs>
              <w:tab w:val="left" w:pos="880"/>
              <w:tab w:val="right" w:leader="dot" w:pos="9710"/>
            </w:tabs>
            <w:rPr>
              <w:noProof/>
              <w:sz w:val="22"/>
              <w:szCs w:val="22"/>
              <w:lang w:eastAsia="en-US"/>
            </w:rPr>
          </w:pPr>
          <w:r w:rsidRPr="004269E9">
            <w:rPr>
              <w:noProof/>
              <w:color w:val="002060"/>
            </w:rPr>
            <w:t>2.2.2</w:t>
          </w:r>
          <w:r>
            <w:rPr>
              <w:noProof/>
              <w:sz w:val="22"/>
              <w:szCs w:val="22"/>
              <w:lang w:eastAsia="en-US"/>
            </w:rPr>
            <w:tab/>
          </w:r>
          <w:r w:rsidRPr="004269E9">
            <w:rPr>
              <w:noProof/>
              <w:color w:val="002060"/>
            </w:rPr>
            <w:t>EDS Activation Requests &amp; Triggers</w:t>
          </w:r>
          <w:r>
            <w:rPr>
              <w:noProof/>
            </w:rPr>
            <w:tab/>
          </w:r>
          <w:r>
            <w:rPr>
              <w:noProof/>
            </w:rPr>
            <w:fldChar w:fldCharType="begin"/>
          </w:r>
          <w:r>
            <w:rPr>
              <w:noProof/>
            </w:rPr>
            <w:instrText xml:space="preserve"> PAGEREF _Toc11832731 \h </w:instrText>
          </w:r>
          <w:r>
            <w:rPr>
              <w:noProof/>
            </w:rPr>
          </w:r>
          <w:r>
            <w:rPr>
              <w:noProof/>
            </w:rPr>
            <w:fldChar w:fldCharType="separate"/>
          </w:r>
          <w:r>
            <w:rPr>
              <w:noProof/>
            </w:rPr>
            <w:t>23</w:t>
          </w:r>
          <w:r>
            <w:rPr>
              <w:noProof/>
            </w:rPr>
            <w:fldChar w:fldCharType="end"/>
          </w:r>
        </w:p>
        <w:p w14:paraId="03993138" w14:textId="754BD208" w:rsidR="006657D6" w:rsidRDefault="006657D6">
          <w:pPr>
            <w:pStyle w:val="TOC3"/>
            <w:tabs>
              <w:tab w:val="left" w:pos="880"/>
              <w:tab w:val="right" w:leader="dot" w:pos="9710"/>
            </w:tabs>
            <w:rPr>
              <w:noProof/>
              <w:sz w:val="22"/>
              <w:szCs w:val="22"/>
              <w:lang w:eastAsia="en-US"/>
            </w:rPr>
          </w:pPr>
          <w:r w:rsidRPr="004269E9">
            <w:rPr>
              <w:noProof/>
              <w:color w:val="002060"/>
            </w:rPr>
            <w:t>2.2.3</w:t>
          </w:r>
          <w:r>
            <w:rPr>
              <w:noProof/>
              <w:sz w:val="22"/>
              <w:szCs w:val="22"/>
              <w:lang w:eastAsia="en-US"/>
            </w:rPr>
            <w:tab/>
          </w:r>
          <w:r w:rsidRPr="004269E9">
            <w:rPr>
              <w:noProof/>
              <w:color w:val="002060"/>
            </w:rPr>
            <w:t>EDS Activation Determination</w:t>
          </w:r>
          <w:r>
            <w:rPr>
              <w:noProof/>
            </w:rPr>
            <w:tab/>
          </w:r>
          <w:r>
            <w:rPr>
              <w:noProof/>
            </w:rPr>
            <w:fldChar w:fldCharType="begin"/>
          </w:r>
          <w:r>
            <w:rPr>
              <w:noProof/>
            </w:rPr>
            <w:instrText xml:space="preserve"> PAGEREF _Toc11832732 \h </w:instrText>
          </w:r>
          <w:r>
            <w:rPr>
              <w:noProof/>
            </w:rPr>
          </w:r>
          <w:r>
            <w:rPr>
              <w:noProof/>
            </w:rPr>
            <w:fldChar w:fldCharType="separate"/>
          </w:r>
          <w:r>
            <w:rPr>
              <w:noProof/>
            </w:rPr>
            <w:t>23</w:t>
          </w:r>
          <w:r>
            <w:rPr>
              <w:noProof/>
            </w:rPr>
            <w:fldChar w:fldCharType="end"/>
          </w:r>
        </w:p>
        <w:p w14:paraId="2701D35D" w14:textId="1528DF6F" w:rsidR="006657D6" w:rsidRDefault="006657D6">
          <w:pPr>
            <w:pStyle w:val="TOC2"/>
            <w:tabs>
              <w:tab w:val="left" w:pos="660"/>
              <w:tab w:val="right" w:leader="dot" w:pos="9710"/>
            </w:tabs>
            <w:rPr>
              <w:b w:val="0"/>
              <w:bCs w:val="0"/>
              <w:noProof/>
              <w:sz w:val="22"/>
              <w:szCs w:val="22"/>
              <w:lang w:eastAsia="en-US"/>
            </w:rPr>
          </w:pPr>
          <w:r w:rsidRPr="004269E9">
            <w:rPr>
              <w:noProof/>
              <w:color w:val="002060"/>
            </w:rPr>
            <w:t>2.3</w:t>
          </w:r>
          <w:r>
            <w:rPr>
              <w:b w:val="0"/>
              <w:bCs w:val="0"/>
              <w:noProof/>
              <w:sz w:val="22"/>
              <w:szCs w:val="22"/>
              <w:lang w:eastAsia="en-US"/>
            </w:rPr>
            <w:tab/>
          </w:r>
          <w:r w:rsidRPr="004269E9">
            <w:rPr>
              <w:noProof/>
              <w:color w:val="002060"/>
            </w:rPr>
            <w:t>EDS ACTIVATION &amp; INCIDENT ACTION PLANNING</w:t>
          </w:r>
          <w:r>
            <w:rPr>
              <w:noProof/>
            </w:rPr>
            <w:tab/>
          </w:r>
          <w:r>
            <w:rPr>
              <w:noProof/>
            </w:rPr>
            <w:fldChar w:fldCharType="begin"/>
          </w:r>
          <w:r>
            <w:rPr>
              <w:noProof/>
            </w:rPr>
            <w:instrText xml:space="preserve"> PAGEREF _Toc11832733 \h </w:instrText>
          </w:r>
          <w:r>
            <w:rPr>
              <w:noProof/>
            </w:rPr>
          </w:r>
          <w:r>
            <w:rPr>
              <w:noProof/>
            </w:rPr>
            <w:fldChar w:fldCharType="separate"/>
          </w:r>
          <w:r>
            <w:rPr>
              <w:noProof/>
            </w:rPr>
            <w:t>24</w:t>
          </w:r>
          <w:r>
            <w:rPr>
              <w:noProof/>
            </w:rPr>
            <w:fldChar w:fldCharType="end"/>
          </w:r>
        </w:p>
        <w:p w14:paraId="0C165C19" w14:textId="3300F3C2" w:rsidR="006657D6" w:rsidRDefault="006657D6">
          <w:pPr>
            <w:pStyle w:val="TOC3"/>
            <w:tabs>
              <w:tab w:val="left" w:pos="880"/>
              <w:tab w:val="right" w:leader="dot" w:pos="9710"/>
            </w:tabs>
            <w:rPr>
              <w:noProof/>
              <w:sz w:val="22"/>
              <w:szCs w:val="22"/>
              <w:lang w:eastAsia="en-US"/>
            </w:rPr>
          </w:pPr>
          <w:r w:rsidRPr="004269E9">
            <w:rPr>
              <w:noProof/>
              <w:color w:val="002060"/>
            </w:rPr>
            <w:lastRenderedPageBreak/>
            <w:t>2.3.1</w:t>
          </w:r>
          <w:r>
            <w:rPr>
              <w:noProof/>
              <w:sz w:val="22"/>
              <w:szCs w:val="22"/>
              <w:lang w:eastAsia="en-US"/>
            </w:rPr>
            <w:tab/>
          </w:r>
          <w:r w:rsidRPr="004269E9">
            <w:rPr>
              <w:noProof/>
              <w:color w:val="002060"/>
            </w:rPr>
            <w:t>EDS Activation Request &amp; Assessment</w:t>
          </w:r>
          <w:r>
            <w:rPr>
              <w:noProof/>
            </w:rPr>
            <w:tab/>
          </w:r>
          <w:r>
            <w:rPr>
              <w:noProof/>
            </w:rPr>
            <w:fldChar w:fldCharType="begin"/>
          </w:r>
          <w:r>
            <w:rPr>
              <w:noProof/>
            </w:rPr>
            <w:instrText xml:space="preserve"> PAGEREF _Toc11832734 \h </w:instrText>
          </w:r>
          <w:r>
            <w:rPr>
              <w:noProof/>
            </w:rPr>
          </w:r>
          <w:r>
            <w:rPr>
              <w:noProof/>
            </w:rPr>
            <w:fldChar w:fldCharType="separate"/>
          </w:r>
          <w:r>
            <w:rPr>
              <w:noProof/>
            </w:rPr>
            <w:t>24</w:t>
          </w:r>
          <w:r>
            <w:rPr>
              <w:noProof/>
            </w:rPr>
            <w:fldChar w:fldCharType="end"/>
          </w:r>
        </w:p>
        <w:p w14:paraId="50D7DF3B" w14:textId="7B326805" w:rsidR="006657D6" w:rsidRDefault="006657D6">
          <w:pPr>
            <w:pStyle w:val="TOC3"/>
            <w:tabs>
              <w:tab w:val="left" w:pos="880"/>
              <w:tab w:val="right" w:leader="dot" w:pos="9710"/>
            </w:tabs>
            <w:rPr>
              <w:noProof/>
              <w:sz w:val="22"/>
              <w:szCs w:val="22"/>
              <w:lang w:eastAsia="en-US"/>
            </w:rPr>
          </w:pPr>
          <w:r w:rsidRPr="004269E9">
            <w:rPr>
              <w:noProof/>
              <w:color w:val="002060"/>
            </w:rPr>
            <w:t>2.3.2</w:t>
          </w:r>
          <w:r>
            <w:rPr>
              <w:noProof/>
              <w:sz w:val="22"/>
              <w:szCs w:val="22"/>
              <w:lang w:eastAsia="en-US"/>
            </w:rPr>
            <w:tab/>
          </w:r>
          <w:r w:rsidRPr="004269E9">
            <w:rPr>
              <w:noProof/>
              <w:color w:val="002060"/>
            </w:rPr>
            <w:t>EDS Management Team Activation</w:t>
          </w:r>
          <w:r>
            <w:rPr>
              <w:noProof/>
            </w:rPr>
            <w:tab/>
          </w:r>
          <w:r>
            <w:rPr>
              <w:noProof/>
            </w:rPr>
            <w:fldChar w:fldCharType="begin"/>
          </w:r>
          <w:r>
            <w:rPr>
              <w:noProof/>
            </w:rPr>
            <w:instrText xml:space="preserve"> PAGEREF _Toc11832735 \h </w:instrText>
          </w:r>
          <w:r>
            <w:rPr>
              <w:noProof/>
            </w:rPr>
          </w:r>
          <w:r>
            <w:rPr>
              <w:noProof/>
            </w:rPr>
            <w:fldChar w:fldCharType="separate"/>
          </w:r>
          <w:r>
            <w:rPr>
              <w:noProof/>
            </w:rPr>
            <w:t>24</w:t>
          </w:r>
          <w:r>
            <w:rPr>
              <w:noProof/>
            </w:rPr>
            <w:fldChar w:fldCharType="end"/>
          </w:r>
        </w:p>
        <w:p w14:paraId="049BC476" w14:textId="37A31692" w:rsidR="006657D6" w:rsidRDefault="006657D6">
          <w:pPr>
            <w:pStyle w:val="TOC3"/>
            <w:tabs>
              <w:tab w:val="left" w:pos="880"/>
              <w:tab w:val="right" w:leader="dot" w:pos="9710"/>
            </w:tabs>
            <w:rPr>
              <w:noProof/>
              <w:sz w:val="22"/>
              <w:szCs w:val="22"/>
              <w:lang w:eastAsia="en-US"/>
            </w:rPr>
          </w:pPr>
          <w:r w:rsidRPr="004269E9">
            <w:rPr>
              <w:noProof/>
              <w:color w:val="002060"/>
            </w:rPr>
            <w:t>2.3.3</w:t>
          </w:r>
          <w:r>
            <w:rPr>
              <w:noProof/>
              <w:sz w:val="22"/>
              <w:szCs w:val="22"/>
              <w:lang w:eastAsia="en-US"/>
            </w:rPr>
            <w:tab/>
          </w:r>
          <w:r w:rsidRPr="004269E9">
            <w:rPr>
              <w:noProof/>
              <w:color w:val="002060"/>
            </w:rPr>
            <w:t>Situational Awareness</w:t>
          </w:r>
          <w:r>
            <w:rPr>
              <w:noProof/>
            </w:rPr>
            <w:tab/>
          </w:r>
          <w:r>
            <w:rPr>
              <w:noProof/>
            </w:rPr>
            <w:fldChar w:fldCharType="begin"/>
          </w:r>
          <w:r>
            <w:rPr>
              <w:noProof/>
            </w:rPr>
            <w:instrText xml:space="preserve"> PAGEREF _Toc11832736 \h </w:instrText>
          </w:r>
          <w:r>
            <w:rPr>
              <w:noProof/>
            </w:rPr>
          </w:r>
          <w:r>
            <w:rPr>
              <w:noProof/>
            </w:rPr>
            <w:fldChar w:fldCharType="separate"/>
          </w:r>
          <w:r>
            <w:rPr>
              <w:noProof/>
            </w:rPr>
            <w:t>26</w:t>
          </w:r>
          <w:r>
            <w:rPr>
              <w:noProof/>
            </w:rPr>
            <w:fldChar w:fldCharType="end"/>
          </w:r>
        </w:p>
        <w:p w14:paraId="66CC972A" w14:textId="07422D51" w:rsidR="006657D6" w:rsidRDefault="006657D6">
          <w:pPr>
            <w:pStyle w:val="TOC3"/>
            <w:tabs>
              <w:tab w:val="left" w:pos="880"/>
              <w:tab w:val="right" w:leader="dot" w:pos="9710"/>
            </w:tabs>
            <w:rPr>
              <w:noProof/>
              <w:sz w:val="22"/>
              <w:szCs w:val="22"/>
              <w:lang w:eastAsia="en-US"/>
            </w:rPr>
          </w:pPr>
          <w:r w:rsidRPr="004269E9">
            <w:rPr>
              <w:noProof/>
              <w:color w:val="002060"/>
            </w:rPr>
            <w:t>2.3.4</w:t>
          </w:r>
          <w:r>
            <w:rPr>
              <w:noProof/>
              <w:sz w:val="22"/>
              <w:szCs w:val="22"/>
              <w:lang w:eastAsia="en-US"/>
            </w:rPr>
            <w:tab/>
          </w:r>
          <w:r w:rsidRPr="004269E9">
            <w:rPr>
              <w:noProof/>
              <w:color w:val="002060"/>
            </w:rPr>
            <w:t>Incident Action Planning</w:t>
          </w:r>
          <w:r>
            <w:rPr>
              <w:noProof/>
            </w:rPr>
            <w:tab/>
          </w:r>
          <w:r>
            <w:rPr>
              <w:noProof/>
            </w:rPr>
            <w:fldChar w:fldCharType="begin"/>
          </w:r>
          <w:r>
            <w:rPr>
              <w:noProof/>
            </w:rPr>
            <w:instrText xml:space="preserve"> PAGEREF _Toc11832737 \h </w:instrText>
          </w:r>
          <w:r>
            <w:rPr>
              <w:noProof/>
            </w:rPr>
          </w:r>
          <w:r>
            <w:rPr>
              <w:noProof/>
            </w:rPr>
            <w:fldChar w:fldCharType="separate"/>
          </w:r>
          <w:r>
            <w:rPr>
              <w:noProof/>
            </w:rPr>
            <w:t>27</w:t>
          </w:r>
          <w:r>
            <w:rPr>
              <w:noProof/>
            </w:rPr>
            <w:fldChar w:fldCharType="end"/>
          </w:r>
        </w:p>
        <w:p w14:paraId="51D01E38" w14:textId="79B7251A" w:rsidR="006657D6" w:rsidRDefault="006657D6">
          <w:pPr>
            <w:pStyle w:val="TOC3"/>
            <w:tabs>
              <w:tab w:val="left" w:pos="880"/>
              <w:tab w:val="right" w:leader="dot" w:pos="9710"/>
            </w:tabs>
            <w:rPr>
              <w:noProof/>
              <w:sz w:val="22"/>
              <w:szCs w:val="22"/>
              <w:lang w:eastAsia="en-US"/>
            </w:rPr>
          </w:pPr>
          <w:r w:rsidRPr="004269E9">
            <w:rPr>
              <w:noProof/>
              <w:color w:val="002060"/>
            </w:rPr>
            <w:t>2.3.5</w:t>
          </w:r>
          <w:r>
            <w:rPr>
              <w:noProof/>
              <w:sz w:val="22"/>
              <w:szCs w:val="22"/>
              <w:lang w:eastAsia="en-US"/>
            </w:rPr>
            <w:tab/>
          </w:r>
          <w:r w:rsidRPr="004269E9">
            <w:rPr>
              <w:noProof/>
              <w:color w:val="002060"/>
            </w:rPr>
            <w:t>Medical Standing Orders</w:t>
          </w:r>
          <w:r>
            <w:rPr>
              <w:noProof/>
            </w:rPr>
            <w:tab/>
          </w:r>
          <w:r>
            <w:rPr>
              <w:noProof/>
            </w:rPr>
            <w:fldChar w:fldCharType="begin"/>
          </w:r>
          <w:r>
            <w:rPr>
              <w:noProof/>
            </w:rPr>
            <w:instrText xml:space="preserve"> PAGEREF _Toc11832738 \h </w:instrText>
          </w:r>
          <w:r>
            <w:rPr>
              <w:noProof/>
            </w:rPr>
          </w:r>
          <w:r>
            <w:rPr>
              <w:noProof/>
            </w:rPr>
            <w:fldChar w:fldCharType="separate"/>
          </w:r>
          <w:r>
            <w:rPr>
              <w:noProof/>
            </w:rPr>
            <w:t>27</w:t>
          </w:r>
          <w:r>
            <w:rPr>
              <w:noProof/>
            </w:rPr>
            <w:fldChar w:fldCharType="end"/>
          </w:r>
        </w:p>
        <w:p w14:paraId="38241CC4" w14:textId="0EFE1A57" w:rsidR="006657D6" w:rsidRDefault="006657D6">
          <w:pPr>
            <w:pStyle w:val="TOC3"/>
            <w:tabs>
              <w:tab w:val="left" w:pos="880"/>
              <w:tab w:val="right" w:leader="dot" w:pos="9710"/>
            </w:tabs>
            <w:rPr>
              <w:noProof/>
              <w:sz w:val="22"/>
              <w:szCs w:val="22"/>
              <w:lang w:eastAsia="en-US"/>
            </w:rPr>
          </w:pPr>
          <w:r w:rsidRPr="004269E9">
            <w:rPr>
              <w:noProof/>
              <w:color w:val="002060"/>
            </w:rPr>
            <w:t>2.3.6</w:t>
          </w:r>
          <w:r>
            <w:rPr>
              <w:noProof/>
              <w:sz w:val="22"/>
              <w:szCs w:val="22"/>
              <w:lang w:eastAsia="en-US"/>
            </w:rPr>
            <w:tab/>
          </w:r>
          <w:r w:rsidRPr="004269E9">
            <w:rPr>
              <w:noProof/>
              <w:color w:val="002060"/>
            </w:rPr>
            <w:t>Tactical Communications &amp; Information Technology</w:t>
          </w:r>
          <w:r>
            <w:rPr>
              <w:noProof/>
            </w:rPr>
            <w:tab/>
          </w:r>
          <w:r>
            <w:rPr>
              <w:noProof/>
            </w:rPr>
            <w:fldChar w:fldCharType="begin"/>
          </w:r>
          <w:r>
            <w:rPr>
              <w:noProof/>
            </w:rPr>
            <w:instrText xml:space="preserve"> PAGEREF _Toc11832739 \h </w:instrText>
          </w:r>
          <w:r>
            <w:rPr>
              <w:noProof/>
            </w:rPr>
          </w:r>
          <w:r>
            <w:rPr>
              <w:noProof/>
            </w:rPr>
            <w:fldChar w:fldCharType="separate"/>
          </w:r>
          <w:r>
            <w:rPr>
              <w:noProof/>
            </w:rPr>
            <w:t>28</w:t>
          </w:r>
          <w:r>
            <w:rPr>
              <w:noProof/>
            </w:rPr>
            <w:fldChar w:fldCharType="end"/>
          </w:r>
        </w:p>
        <w:p w14:paraId="5C705D8C" w14:textId="6073D100" w:rsidR="006657D6" w:rsidRDefault="006657D6">
          <w:pPr>
            <w:pStyle w:val="TOC1"/>
            <w:tabs>
              <w:tab w:val="left" w:pos="440"/>
              <w:tab w:val="right" w:leader="dot" w:pos="9710"/>
            </w:tabs>
            <w:rPr>
              <w:rFonts w:asciiTheme="minorHAnsi" w:hAnsiTheme="minorHAnsi"/>
              <w:b w:val="0"/>
              <w:bCs w:val="0"/>
              <w:caps w:val="0"/>
              <w:noProof/>
              <w:sz w:val="22"/>
              <w:szCs w:val="22"/>
              <w:lang w:eastAsia="en-US"/>
            </w:rPr>
          </w:pPr>
          <w:r w:rsidRPr="004269E9">
            <w:rPr>
              <w:noProof/>
              <w:color w:val="C45911" w:themeColor="accent2" w:themeShade="BF"/>
            </w:rPr>
            <w:t>3</w:t>
          </w:r>
          <w:r>
            <w:rPr>
              <w:rFonts w:asciiTheme="minorHAnsi" w:hAnsiTheme="minorHAnsi"/>
              <w:b w:val="0"/>
              <w:bCs w:val="0"/>
              <w:caps w:val="0"/>
              <w:noProof/>
              <w:sz w:val="22"/>
              <w:szCs w:val="22"/>
              <w:lang w:eastAsia="en-US"/>
            </w:rPr>
            <w:tab/>
          </w:r>
          <w:r w:rsidRPr="004269E9">
            <w:rPr>
              <w:noProof/>
              <w:color w:val="C45911" w:themeColor="accent2" w:themeShade="BF"/>
            </w:rPr>
            <w:t>OPERATIONS</w:t>
          </w:r>
          <w:r>
            <w:rPr>
              <w:noProof/>
            </w:rPr>
            <w:tab/>
          </w:r>
          <w:r>
            <w:rPr>
              <w:noProof/>
            </w:rPr>
            <w:fldChar w:fldCharType="begin"/>
          </w:r>
          <w:r>
            <w:rPr>
              <w:noProof/>
            </w:rPr>
            <w:instrText xml:space="preserve"> PAGEREF _Toc11832740 \h </w:instrText>
          </w:r>
          <w:r>
            <w:rPr>
              <w:noProof/>
            </w:rPr>
          </w:r>
          <w:r>
            <w:rPr>
              <w:noProof/>
            </w:rPr>
            <w:fldChar w:fldCharType="separate"/>
          </w:r>
          <w:r>
            <w:rPr>
              <w:noProof/>
            </w:rPr>
            <w:t>29</w:t>
          </w:r>
          <w:r>
            <w:rPr>
              <w:noProof/>
            </w:rPr>
            <w:fldChar w:fldCharType="end"/>
          </w:r>
        </w:p>
        <w:p w14:paraId="5DC1B599" w14:textId="64440BD9" w:rsidR="006657D6" w:rsidRDefault="006657D6">
          <w:pPr>
            <w:pStyle w:val="TOC2"/>
            <w:tabs>
              <w:tab w:val="left" w:pos="660"/>
              <w:tab w:val="right" w:leader="dot" w:pos="9710"/>
            </w:tabs>
            <w:rPr>
              <w:b w:val="0"/>
              <w:bCs w:val="0"/>
              <w:noProof/>
              <w:sz w:val="22"/>
              <w:szCs w:val="22"/>
              <w:lang w:eastAsia="en-US"/>
            </w:rPr>
          </w:pPr>
          <w:r w:rsidRPr="004269E9">
            <w:rPr>
              <w:noProof/>
              <w:color w:val="002060"/>
            </w:rPr>
            <w:t>3.1</w:t>
          </w:r>
          <w:r>
            <w:rPr>
              <w:b w:val="0"/>
              <w:bCs w:val="0"/>
              <w:noProof/>
              <w:sz w:val="22"/>
              <w:szCs w:val="22"/>
              <w:lang w:eastAsia="en-US"/>
            </w:rPr>
            <w:tab/>
          </w:r>
          <w:r w:rsidRPr="004269E9">
            <w:rPr>
              <w:noProof/>
              <w:color w:val="002060"/>
            </w:rPr>
            <w:t>PUBLIC INFORMATION MOBILIZATION &amp; OPERATIONS</w:t>
          </w:r>
          <w:r>
            <w:rPr>
              <w:noProof/>
            </w:rPr>
            <w:tab/>
          </w:r>
          <w:r>
            <w:rPr>
              <w:noProof/>
            </w:rPr>
            <w:fldChar w:fldCharType="begin"/>
          </w:r>
          <w:r>
            <w:rPr>
              <w:noProof/>
            </w:rPr>
            <w:instrText xml:space="preserve"> PAGEREF _Toc11832741 \h </w:instrText>
          </w:r>
          <w:r>
            <w:rPr>
              <w:noProof/>
            </w:rPr>
          </w:r>
          <w:r>
            <w:rPr>
              <w:noProof/>
            </w:rPr>
            <w:fldChar w:fldCharType="separate"/>
          </w:r>
          <w:r>
            <w:rPr>
              <w:noProof/>
            </w:rPr>
            <w:t>29</w:t>
          </w:r>
          <w:r>
            <w:rPr>
              <w:noProof/>
            </w:rPr>
            <w:fldChar w:fldCharType="end"/>
          </w:r>
        </w:p>
        <w:p w14:paraId="6B60A471" w14:textId="5A22A1AA" w:rsidR="006657D6" w:rsidRDefault="006657D6">
          <w:pPr>
            <w:pStyle w:val="TOC3"/>
            <w:tabs>
              <w:tab w:val="left" w:pos="880"/>
              <w:tab w:val="right" w:leader="dot" w:pos="9710"/>
            </w:tabs>
            <w:rPr>
              <w:noProof/>
              <w:sz w:val="22"/>
              <w:szCs w:val="22"/>
              <w:lang w:eastAsia="en-US"/>
            </w:rPr>
          </w:pPr>
          <w:r w:rsidRPr="004269E9">
            <w:rPr>
              <w:noProof/>
              <w:color w:val="002060"/>
            </w:rPr>
            <w:t>3.1.1</w:t>
          </w:r>
          <w:r>
            <w:rPr>
              <w:noProof/>
              <w:sz w:val="22"/>
              <w:szCs w:val="22"/>
              <w:lang w:eastAsia="en-US"/>
            </w:rPr>
            <w:tab/>
          </w:r>
          <w:r w:rsidRPr="004269E9">
            <w:rPr>
              <w:noProof/>
              <w:color w:val="002060"/>
            </w:rPr>
            <w:t>Public Information Systems &amp; Staff</w:t>
          </w:r>
          <w:r>
            <w:rPr>
              <w:noProof/>
            </w:rPr>
            <w:tab/>
          </w:r>
          <w:r>
            <w:rPr>
              <w:noProof/>
            </w:rPr>
            <w:fldChar w:fldCharType="begin"/>
          </w:r>
          <w:r>
            <w:rPr>
              <w:noProof/>
            </w:rPr>
            <w:instrText xml:space="preserve"> PAGEREF _Toc11832742 \h </w:instrText>
          </w:r>
          <w:r>
            <w:rPr>
              <w:noProof/>
            </w:rPr>
          </w:r>
          <w:r>
            <w:rPr>
              <w:noProof/>
            </w:rPr>
            <w:fldChar w:fldCharType="separate"/>
          </w:r>
          <w:r>
            <w:rPr>
              <w:noProof/>
            </w:rPr>
            <w:t>29</w:t>
          </w:r>
          <w:r>
            <w:rPr>
              <w:noProof/>
            </w:rPr>
            <w:fldChar w:fldCharType="end"/>
          </w:r>
        </w:p>
        <w:p w14:paraId="75917889" w14:textId="7BA65CC6" w:rsidR="006657D6" w:rsidRDefault="006657D6">
          <w:pPr>
            <w:pStyle w:val="TOC3"/>
            <w:tabs>
              <w:tab w:val="left" w:pos="880"/>
              <w:tab w:val="right" w:leader="dot" w:pos="9710"/>
            </w:tabs>
            <w:rPr>
              <w:noProof/>
              <w:sz w:val="22"/>
              <w:szCs w:val="22"/>
              <w:lang w:eastAsia="en-US"/>
            </w:rPr>
          </w:pPr>
          <w:r w:rsidRPr="004269E9">
            <w:rPr>
              <w:noProof/>
              <w:color w:val="002060"/>
            </w:rPr>
            <w:t>3.1.2</w:t>
          </w:r>
          <w:r>
            <w:rPr>
              <w:noProof/>
              <w:sz w:val="22"/>
              <w:szCs w:val="22"/>
              <w:lang w:eastAsia="en-US"/>
            </w:rPr>
            <w:tab/>
          </w:r>
          <w:r w:rsidRPr="004269E9">
            <w:rPr>
              <w:noProof/>
              <w:color w:val="002060"/>
            </w:rPr>
            <w:t>Press Notifications &amp; Inquiries</w:t>
          </w:r>
          <w:r>
            <w:rPr>
              <w:noProof/>
            </w:rPr>
            <w:tab/>
          </w:r>
          <w:r>
            <w:rPr>
              <w:noProof/>
            </w:rPr>
            <w:fldChar w:fldCharType="begin"/>
          </w:r>
          <w:r>
            <w:rPr>
              <w:noProof/>
            </w:rPr>
            <w:instrText xml:space="preserve"> PAGEREF _Toc11832743 \h </w:instrText>
          </w:r>
          <w:r>
            <w:rPr>
              <w:noProof/>
            </w:rPr>
          </w:r>
          <w:r>
            <w:rPr>
              <w:noProof/>
            </w:rPr>
            <w:fldChar w:fldCharType="separate"/>
          </w:r>
          <w:r>
            <w:rPr>
              <w:noProof/>
            </w:rPr>
            <w:t>30</w:t>
          </w:r>
          <w:r>
            <w:rPr>
              <w:noProof/>
            </w:rPr>
            <w:fldChar w:fldCharType="end"/>
          </w:r>
        </w:p>
        <w:p w14:paraId="68CA18C7" w14:textId="2273890B" w:rsidR="006657D6" w:rsidRDefault="006657D6">
          <w:pPr>
            <w:pStyle w:val="TOC3"/>
            <w:tabs>
              <w:tab w:val="left" w:pos="880"/>
              <w:tab w:val="right" w:leader="dot" w:pos="9710"/>
            </w:tabs>
            <w:rPr>
              <w:noProof/>
              <w:sz w:val="22"/>
              <w:szCs w:val="22"/>
              <w:lang w:eastAsia="en-US"/>
            </w:rPr>
          </w:pPr>
          <w:r w:rsidRPr="004269E9">
            <w:rPr>
              <w:noProof/>
              <w:color w:val="002060"/>
            </w:rPr>
            <w:t>3.1.3</w:t>
          </w:r>
          <w:r>
            <w:rPr>
              <w:noProof/>
              <w:sz w:val="22"/>
              <w:szCs w:val="22"/>
              <w:lang w:eastAsia="en-US"/>
            </w:rPr>
            <w:tab/>
          </w:r>
          <w:r w:rsidRPr="004269E9">
            <w:rPr>
              <w:noProof/>
              <w:color w:val="002060"/>
            </w:rPr>
            <w:t>Message Development</w:t>
          </w:r>
          <w:r>
            <w:rPr>
              <w:noProof/>
            </w:rPr>
            <w:tab/>
          </w:r>
          <w:r>
            <w:rPr>
              <w:noProof/>
            </w:rPr>
            <w:fldChar w:fldCharType="begin"/>
          </w:r>
          <w:r>
            <w:rPr>
              <w:noProof/>
            </w:rPr>
            <w:instrText xml:space="preserve"> PAGEREF _Toc11832744 \h </w:instrText>
          </w:r>
          <w:r>
            <w:rPr>
              <w:noProof/>
            </w:rPr>
          </w:r>
          <w:r>
            <w:rPr>
              <w:noProof/>
            </w:rPr>
            <w:fldChar w:fldCharType="separate"/>
          </w:r>
          <w:r>
            <w:rPr>
              <w:noProof/>
            </w:rPr>
            <w:t>31</w:t>
          </w:r>
          <w:r>
            <w:rPr>
              <w:noProof/>
            </w:rPr>
            <w:fldChar w:fldCharType="end"/>
          </w:r>
        </w:p>
        <w:p w14:paraId="2C25719F" w14:textId="6715B08B" w:rsidR="006657D6" w:rsidRDefault="006657D6">
          <w:pPr>
            <w:pStyle w:val="TOC3"/>
            <w:tabs>
              <w:tab w:val="left" w:pos="880"/>
              <w:tab w:val="right" w:leader="dot" w:pos="9710"/>
            </w:tabs>
            <w:rPr>
              <w:noProof/>
              <w:sz w:val="22"/>
              <w:szCs w:val="22"/>
              <w:lang w:eastAsia="en-US"/>
            </w:rPr>
          </w:pPr>
          <w:r w:rsidRPr="004269E9">
            <w:rPr>
              <w:noProof/>
              <w:color w:val="002060"/>
            </w:rPr>
            <w:t>3.1.4</w:t>
          </w:r>
          <w:r>
            <w:rPr>
              <w:noProof/>
              <w:sz w:val="22"/>
              <w:szCs w:val="22"/>
              <w:lang w:eastAsia="en-US"/>
            </w:rPr>
            <w:tab/>
          </w:r>
          <w:r w:rsidRPr="004269E9">
            <w:rPr>
              <w:noProof/>
              <w:color w:val="002060"/>
            </w:rPr>
            <w:t>Message Approval</w:t>
          </w:r>
          <w:r>
            <w:rPr>
              <w:noProof/>
            </w:rPr>
            <w:tab/>
          </w:r>
          <w:r>
            <w:rPr>
              <w:noProof/>
            </w:rPr>
            <w:fldChar w:fldCharType="begin"/>
          </w:r>
          <w:r>
            <w:rPr>
              <w:noProof/>
            </w:rPr>
            <w:instrText xml:space="preserve"> PAGEREF _Toc11832745 \h </w:instrText>
          </w:r>
          <w:r>
            <w:rPr>
              <w:noProof/>
            </w:rPr>
          </w:r>
          <w:r>
            <w:rPr>
              <w:noProof/>
            </w:rPr>
            <w:fldChar w:fldCharType="separate"/>
          </w:r>
          <w:r>
            <w:rPr>
              <w:noProof/>
            </w:rPr>
            <w:t>32</w:t>
          </w:r>
          <w:r>
            <w:rPr>
              <w:noProof/>
            </w:rPr>
            <w:fldChar w:fldCharType="end"/>
          </w:r>
        </w:p>
        <w:p w14:paraId="3384A6BF" w14:textId="339E17A6" w:rsidR="006657D6" w:rsidRDefault="006657D6">
          <w:pPr>
            <w:pStyle w:val="TOC3"/>
            <w:tabs>
              <w:tab w:val="left" w:pos="880"/>
              <w:tab w:val="right" w:leader="dot" w:pos="9710"/>
            </w:tabs>
            <w:rPr>
              <w:noProof/>
              <w:sz w:val="22"/>
              <w:szCs w:val="22"/>
              <w:lang w:eastAsia="en-US"/>
            </w:rPr>
          </w:pPr>
          <w:r w:rsidRPr="004269E9">
            <w:rPr>
              <w:noProof/>
              <w:color w:val="002060"/>
            </w:rPr>
            <w:t>3.1.5</w:t>
          </w:r>
          <w:r>
            <w:rPr>
              <w:noProof/>
              <w:sz w:val="22"/>
              <w:szCs w:val="22"/>
              <w:lang w:eastAsia="en-US"/>
            </w:rPr>
            <w:tab/>
          </w:r>
          <w:r w:rsidRPr="004269E9">
            <w:rPr>
              <w:noProof/>
              <w:color w:val="002060"/>
            </w:rPr>
            <w:t>Message Accessibility</w:t>
          </w:r>
          <w:r>
            <w:rPr>
              <w:noProof/>
            </w:rPr>
            <w:tab/>
          </w:r>
          <w:r>
            <w:rPr>
              <w:noProof/>
            </w:rPr>
            <w:fldChar w:fldCharType="begin"/>
          </w:r>
          <w:r>
            <w:rPr>
              <w:noProof/>
            </w:rPr>
            <w:instrText xml:space="preserve"> PAGEREF _Toc11832746 \h </w:instrText>
          </w:r>
          <w:r>
            <w:rPr>
              <w:noProof/>
            </w:rPr>
          </w:r>
          <w:r>
            <w:rPr>
              <w:noProof/>
            </w:rPr>
            <w:fldChar w:fldCharType="separate"/>
          </w:r>
          <w:r>
            <w:rPr>
              <w:noProof/>
            </w:rPr>
            <w:t>32</w:t>
          </w:r>
          <w:r>
            <w:rPr>
              <w:noProof/>
            </w:rPr>
            <w:fldChar w:fldCharType="end"/>
          </w:r>
        </w:p>
        <w:p w14:paraId="02FDB9E4" w14:textId="4053E30A" w:rsidR="006657D6" w:rsidRDefault="006657D6">
          <w:pPr>
            <w:pStyle w:val="TOC3"/>
            <w:tabs>
              <w:tab w:val="left" w:pos="880"/>
              <w:tab w:val="right" w:leader="dot" w:pos="9710"/>
            </w:tabs>
            <w:rPr>
              <w:noProof/>
              <w:sz w:val="22"/>
              <w:szCs w:val="22"/>
              <w:lang w:eastAsia="en-US"/>
            </w:rPr>
          </w:pPr>
          <w:r w:rsidRPr="004269E9">
            <w:rPr>
              <w:noProof/>
              <w:color w:val="002060"/>
            </w:rPr>
            <w:t>3.1.6</w:t>
          </w:r>
          <w:r>
            <w:rPr>
              <w:noProof/>
              <w:sz w:val="22"/>
              <w:szCs w:val="22"/>
              <w:lang w:eastAsia="en-US"/>
            </w:rPr>
            <w:tab/>
          </w:r>
          <w:r w:rsidRPr="004269E9">
            <w:rPr>
              <w:noProof/>
              <w:color w:val="002060"/>
            </w:rPr>
            <w:t>Message Dissemination</w:t>
          </w:r>
          <w:r>
            <w:rPr>
              <w:noProof/>
            </w:rPr>
            <w:tab/>
          </w:r>
          <w:r>
            <w:rPr>
              <w:noProof/>
            </w:rPr>
            <w:fldChar w:fldCharType="begin"/>
          </w:r>
          <w:r>
            <w:rPr>
              <w:noProof/>
            </w:rPr>
            <w:instrText xml:space="preserve"> PAGEREF _Toc11832747 \h </w:instrText>
          </w:r>
          <w:r>
            <w:rPr>
              <w:noProof/>
            </w:rPr>
          </w:r>
          <w:r>
            <w:rPr>
              <w:noProof/>
            </w:rPr>
            <w:fldChar w:fldCharType="separate"/>
          </w:r>
          <w:r>
            <w:rPr>
              <w:noProof/>
            </w:rPr>
            <w:t>34</w:t>
          </w:r>
          <w:r>
            <w:rPr>
              <w:noProof/>
            </w:rPr>
            <w:fldChar w:fldCharType="end"/>
          </w:r>
        </w:p>
        <w:p w14:paraId="5AD124C3" w14:textId="59784D5A" w:rsidR="006657D6" w:rsidRDefault="006657D6">
          <w:pPr>
            <w:pStyle w:val="TOC2"/>
            <w:tabs>
              <w:tab w:val="left" w:pos="660"/>
              <w:tab w:val="right" w:leader="dot" w:pos="9710"/>
            </w:tabs>
            <w:rPr>
              <w:b w:val="0"/>
              <w:bCs w:val="0"/>
              <w:noProof/>
              <w:sz w:val="22"/>
              <w:szCs w:val="22"/>
              <w:lang w:eastAsia="en-US"/>
            </w:rPr>
          </w:pPr>
          <w:r w:rsidRPr="004269E9">
            <w:rPr>
              <w:noProof/>
              <w:color w:val="002060"/>
            </w:rPr>
            <w:t>3.2</w:t>
          </w:r>
          <w:r>
            <w:rPr>
              <w:b w:val="0"/>
              <w:bCs w:val="0"/>
              <w:noProof/>
              <w:sz w:val="22"/>
              <w:szCs w:val="22"/>
              <w:lang w:eastAsia="en-US"/>
            </w:rPr>
            <w:tab/>
          </w:r>
          <w:r w:rsidRPr="004269E9">
            <w:rPr>
              <w:noProof/>
              <w:color w:val="002060"/>
            </w:rPr>
            <w:t>EDS STAFF MOBILIZATION &amp; OPERATIONS</w:t>
          </w:r>
          <w:r>
            <w:rPr>
              <w:noProof/>
            </w:rPr>
            <w:tab/>
          </w:r>
          <w:r>
            <w:rPr>
              <w:noProof/>
            </w:rPr>
            <w:fldChar w:fldCharType="begin"/>
          </w:r>
          <w:r>
            <w:rPr>
              <w:noProof/>
            </w:rPr>
            <w:instrText xml:space="preserve"> PAGEREF _Toc11832748 \h </w:instrText>
          </w:r>
          <w:r>
            <w:rPr>
              <w:noProof/>
            </w:rPr>
          </w:r>
          <w:r>
            <w:rPr>
              <w:noProof/>
            </w:rPr>
            <w:fldChar w:fldCharType="separate"/>
          </w:r>
          <w:r>
            <w:rPr>
              <w:noProof/>
            </w:rPr>
            <w:t>34</w:t>
          </w:r>
          <w:r>
            <w:rPr>
              <w:noProof/>
            </w:rPr>
            <w:fldChar w:fldCharType="end"/>
          </w:r>
        </w:p>
        <w:p w14:paraId="247C2AE1" w14:textId="04F1EDD1" w:rsidR="006657D6" w:rsidRDefault="006657D6">
          <w:pPr>
            <w:pStyle w:val="TOC3"/>
            <w:tabs>
              <w:tab w:val="left" w:pos="880"/>
              <w:tab w:val="right" w:leader="dot" w:pos="9710"/>
            </w:tabs>
            <w:rPr>
              <w:noProof/>
              <w:sz w:val="22"/>
              <w:szCs w:val="22"/>
              <w:lang w:eastAsia="en-US"/>
            </w:rPr>
          </w:pPr>
          <w:r w:rsidRPr="004269E9">
            <w:rPr>
              <w:noProof/>
              <w:color w:val="002060"/>
            </w:rPr>
            <w:t>3.2.1</w:t>
          </w:r>
          <w:r>
            <w:rPr>
              <w:noProof/>
              <w:sz w:val="22"/>
              <w:szCs w:val="22"/>
              <w:lang w:eastAsia="en-US"/>
            </w:rPr>
            <w:tab/>
          </w:r>
          <w:r w:rsidRPr="004269E9">
            <w:rPr>
              <w:noProof/>
              <w:color w:val="002060"/>
            </w:rPr>
            <w:t>Staffing Requirements</w:t>
          </w:r>
          <w:r>
            <w:rPr>
              <w:noProof/>
            </w:rPr>
            <w:tab/>
          </w:r>
          <w:r>
            <w:rPr>
              <w:noProof/>
            </w:rPr>
            <w:fldChar w:fldCharType="begin"/>
          </w:r>
          <w:r>
            <w:rPr>
              <w:noProof/>
            </w:rPr>
            <w:instrText xml:space="preserve"> PAGEREF _Toc11832749 \h </w:instrText>
          </w:r>
          <w:r>
            <w:rPr>
              <w:noProof/>
            </w:rPr>
          </w:r>
          <w:r>
            <w:rPr>
              <w:noProof/>
            </w:rPr>
            <w:fldChar w:fldCharType="separate"/>
          </w:r>
          <w:r>
            <w:rPr>
              <w:noProof/>
            </w:rPr>
            <w:t>34</w:t>
          </w:r>
          <w:r>
            <w:rPr>
              <w:noProof/>
            </w:rPr>
            <w:fldChar w:fldCharType="end"/>
          </w:r>
        </w:p>
        <w:p w14:paraId="4A85C2A5" w14:textId="0F31C005" w:rsidR="006657D6" w:rsidRDefault="006657D6">
          <w:pPr>
            <w:pStyle w:val="TOC3"/>
            <w:tabs>
              <w:tab w:val="left" w:pos="880"/>
              <w:tab w:val="right" w:leader="dot" w:pos="9710"/>
            </w:tabs>
            <w:rPr>
              <w:noProof/>
              <w:sz w:val="22"/>
              <w:szCs w:val="22"/>
              <w:lang w:eastAsia="en-US"/>
            </w:rPr>
          </w:pPr>
          <w:r w:rsidRPr="004269E9">
            <w:rPr>
              <w:noProof/>
              <w:color w:val="002060"/>
            </w:rPr>
            <w:t>3.2.2</w:t>
          </w:r>
          <w:r>
            <w:rPr>
              <w:noProof/>
              <w:sz w:val="22"/>
              <w:szCs w:val="22"/>
              <w:lang w:eastAsia="en-US"/>
            </w:rPr>
            <w:tab/>
          </w:r>
          <w:r w:rsidRPr="004269E9">
            <w:rPr>
              <w:noProof/>
              <w:color w:val="002060"/>
            </w:rPr>
            <w:t>Staff Shift Schedules</w:t>
          </w:r>
          <w:r>
            <w:rPr>
              <w:noProof/>
            </w:rPr>
            <w:tab/>
          </w:r>
          <w:r>
            <w:rPr>
              <w:noProof/>
            </w:rPr>
            <w:fldChar w:fldCharType="begin"/>
          </w:r>
          <w:r>
            <w:rPr>
              <w:noProof/>
            </w:rPr>
            <w:instrText xml:space="preserve"> PAGEREF _Toc11832750 \h </w:instrText>
          </w:r>
          <w:r>
            <w:rPr>
              <w:noProof/>
            </w:rPr>
          </w:r>
          <w:r>
            <w:rPr>
              <w:noProof/>
            </w:rPr>
            <w:fldChar w:fldCharType="separate"/>
          </w:r>
          <w:r>
            <w:rPr>
              <w:noProof/>
            </w:rPr>
            <w:t>35</w:t>
          </w:r>
          <w:r>
            <w:rPr>
              <w:noProof/>
            </w:rPr>
            <w:fldChar w:fldCharType="end"/>
          </w:r>
        </w:p>
        <w:p w14:paraId="088903AB" w14:textId="1E64BB0D" w:rsidR="006657D6" w:rsidRDefault="006657D6">
          <w:pPr>
            <w:pStyle w:val="TOC3"/>
            <w:tabs>
              <w:tab w:val="left" w:pos="880"/>
              <w:tab w:val="right" w:leader="dot" w:pos="9710"/>
            </w:tabs>
            <w:rPr>
              <w:noProof/>
              <w:sz w:val="22"/>
              <w:szCs w:val="22"/>
              <w:lang w:eastAsia="en-US"/>
            </w:rPr>
          </w:pPr>
          <w:r w:rsidRPr="004269E9">
            <w:rPr>
              <w:noProof/>
              <w:color w:val="002060"/>
            </w:rPr>
            <w:t>3.2.3</w:t>
          </w:r>
          <w:r>
            <w:rPr>
              <w:noProof/>
              <w:sz w:val="22"/>
              <w:szCs w:val="22"/>
              <w:lang w:eastAsia="en-US"/>
            </w:rPr>
            <w:tab/>
          </w:r>
          <w:r w:rsidRPr="004269E9">
            <w:rPr>
              <w:noProof/>
              <w:color w:val="002060"/>
            </w:rPr>
            <w:t>Staff Notifications &amp; Acknowledgement</w:t>
          </w:r>
          <w:r>
            <w:rPr>
              <w:noProof/>
            </w:rPr>
            <w:tab/>
          </w:r>
          <w:r>
            <w:rPr>
              <w:noProof/>
            </w:rPr>
            <w:fldChar w:fldCharType="begin"/>
          </w:r>
          <w:r>
            <w:rPr>
              <w:noProof/>
            </w:rPr>
            <w:instrText xml:space="preserve"> PAGEREF _Toc11832751 \h </w:instrText>
          </w:r>
          <w:r>
            <w:rPr>
              <w:noProof/>
            </w:rPr>
          </w:r>
          <w:r>
            <w:rPr>
              <w:noProof/>
            </w:rPr>
            <w:fldChar w:fldCharType="separate"/>
          </w:r>
          <w:r>
            <w:rPr>
              <w:noProof/>
            </w:rPr>
            <w:t>35</w:t>
          </w:r>
          <w:r>
            <w:rPr>
              <w:noProof/>
            </w:rPr>
            <w:fldChar w:fldCharType="end"/>
          </w:r>
        </w:p>
        <w:p w14:paraId="0B5E74CA" w14:textId="4EE71EB4" w:rsidR="006657D6" w:rsidRDefault="006657D6">
          <w:pPr>
            <w:pStyle w:val="TOC3"/>
            <w:tabs>
              <w:tab w:val="left" w:pos="880"/>
              <w:tab w:val="right" w:leader="dot" w:pos="9710"/>
            </w:tabs>
            <w:rPr>
              <w:noProof/>
              <w:sz w:val="22"/>
              <w:szCs w:val="22"/>
              <w:lang w:eastAsia="en-US"/>
            </w:rPr>
          </w:pPr>
          <w:r w:rsidRPr="004269E9">
            <w:rPr>
              <w:noProof/>
              <w:color w:val="002060"/>
            </w:rPr>
            <w:t>3.2.4</w:t>
          </w:r>
          <w:r>
            <w:rPr>
              <w:noProof/>
              <w:sz w:val="22"/>
              <w:szCs w:val="22"/>
              <w:lang w:eastAsia="en-US"/>
            </w:rPr>
            <w:tab/>
          </w:r>
          <w:r w:rsidRPr="004269E9">
            <w:rPr>
              <w:noProof/>
              <w:color w:val="002060"/>
            </w:rPr>
            <w:t>Staff Registration, Rosters, Credentialing, Assignments &amp; Confirmation</w:t>
          </w:r>
          <w:r>
            <w:rPr>
              <w:noProof/>
            </w:rPr>
            <w:tab/>
          </w:r>
          <w:r>
            <w:rPr>
              <w:noProof/>
            </w:rPr>
            <w:fldChar w:fldCharType="begin"/>
          </w:r>
          <w:r>
            <w:rPr>
              <w:noProof/>
            </w:rPr>
            <w:instrText xml:space="preserve"> PAGEREF _Toc11832752 \h </w:instrText>
          </w:r>
          <w:r>
            <w:rPr>
              <w:noProof/>
            </w:rPr>
          </w:r>
          <w:r>
            <w:rPr>
              <w:noProof/>
            </w:rPr>
            <w:fldChar w:fldCharType="separate"/>
          </w:r>
          <w:r>
            <w:rPr>
              <w:noProof/>
            </w:rPr>
            <w:t>36</w:t>
          </w:r>
          <w:r>
            <w:rPr>
              <w:noProof/>
            </w:rPr>
            <w:fldChar w:fldCharType="end"/>
          </w:r>
        </w:p>
        <w:p w14:paraId="41B32FAA" w14:textId="5057830E" w:rsidR="006657D6" w:rsidRDefault="006657D6">
          <w:pPr>
            <w:pStyle w:val="TOC3"/>
            <w:tabs>
              <w:tab w:val="left" w:pos="880"/>
              <w:tab w:val="right" w:leader="dot" w:pos="9710"/>
            </w:tabs>
            <w:rPr>
              <w:noProof/>
              <w:sz w:val="22"/>
              <w:szCs w:val="22"/>
              <w:lang w:eastAsia="en-US"/>
            </w:rPr>
          </w:pPr>
          <w:r w:rsidRPr="004269E9">
            <w:rPr>
              <w:noProof/>
              <w:color w:val="002060"/>
            </w:rPr>
            <w:t>3.2.5</w:t>
          </w:r>
          <w:r>
            <w:rPr>
              <w:noProof/>
              <w:sz w:val="22"/>
              <w:szCs w:val="22"/>
              <w:lang w:eastAsia="en-US"/>
            </w:rPr>
            <w:tab/>
          </w:r>
          <w:r w:rsidRPr="004269E9">
            <w:rPr>
              <w:noProof/>
              <w:color w:val="002060"/>
            </w:rPr>
            <w:t>Additional Staff Requests</w:t>
          </w:r>
          <w:r>
            <w:rPr>
              <w:noProof/>
            </w:rPr>
            <w:tab/>
          </w:r>
          <w:r>
            <w:rPr>
              <w:noProof/>
            </w:rPr>
            <w:fldChar w:fldCharType="begin"/>
          </w:r>
          <w:r>
            <w:rPr>
              <w:noProof/>
            </w:rPr>
            <w:instrText xml:space="preserve"> PAGEREF _Toc11832753 \h </w:instrText>
          </w:r>
          <w:r>
            <w:rPr>
              <w:noProof/>
            </w:rPr>
          </w:r>
          <w:r>
            <w:rPr>
              <w:noProof/>
            </w:rPr>
            <w:fldChar w:fldCharType="separate"/>
          </w:r>
          <w:r>
            <w:rPr>
              <w:noProof/>
            </w:rPr>
            <w:t>36</w:t>
          </w:r>
          <w:r>
            <w:rPr>
              <w:noProof/>
            </w:rPr>
            <w:fldChar w:fldCharType="end"/>
          </w:r>
        </w:p>
        <w:p w14:paraId="12387523" w14:textId="119B5338" w:rsidR="006657D6" w:rsidRDefault="006657D6">
          <w:pPr>
            <w:pStyle w:val="TOC3"/>
            <w:tabs>
              <w:tab w:val="left" w:pos="880"/>
              <w:tab w:val="right" w:leader="dot" w:pos="9710"/>
            </w:tabs>
            <w:rPr>
              <w:noProof/>
              <w:sz w:val="22"/>
              <w:szCs w:val="22"/>
              <w:lang w:eastAsia="en-US"/>
            </w:rPr>
          </w:pPr>
          <w:r w:rsidRPr="004269E9">
            <w:rPr>
              <w:noProof/>
              <w:color w:val="002060"/>
            </w:rPr>
            <w:t>3.2.6</w:t>
          </w:r>
          <w:r>
            <w:rPr>
              <w:noProof/>
              <w:sz w:val="22"/>
              <w:szCs w:val="22"/>
              <w:lang w:eastAsia="en-US"/>
            </w:rPr>
            <w:tab/>
          </w:r>
          <w:r w:rsidRPr="004269E9">
            <w:rPr>
              <w:noProof/>
              <w:color w:val="002060"/>
            </w:rPr>
            <w:t>Staff Assembly &amp; Identification</w:t>
          </w:r>
          <w:r>
            <w:rPr>
              <w:noProof/>
            </w:rPr>
            <w:tab/>
          </w:r>
          <w:r>
            <w:rPr>
              <w:noProof/>
            </w:rPr>
            <w:fldChar w:fldCharType="begin"/>
          </w:r>
          <w:r>
            <w:rPr>
              <w:noProof/>
            </w:rPr>
            <w:instrText xml:space="preserve"> PAGEREF _Toc11832754 \h </w:instrText>
          </w:r>
          <w:r>
            <w:rPr>
              <w:noProof/>
            </w:rPr>
          </w:r>
          <w:r>
            <w:rPr>
              <w:noProof/>
            </w:rPr>
            <w:fldChar w:fldCharType="separate"/>
          </w:r>
          <w:r>
            <w:rPr>
              <w:noProof/>
            </w:rPr>
            <w:t>37</w:t>
          </w:r>
          <w:r>
            <w:rPr>
              <w:noProof/>
            </w:rPr>
            <w:fldChar w:fldCharType="end"/>
          </w:r>
        </w:p>
        <w:p w14:paraId="1AF2742B" w14:textId="1D51C7F8" w:rsidR="006657D6" w:rsidRDefault="006657D6">
          <w:pPr>
            <w:pStyle w:val="TOC3"/>
            <w:tabs>
              <w:tab w:val="left" w:pos="880"/>
              <w:tab w:val="right" w:leader="dot" w:pos="9710"/>
            </w:tabs>
            <w:rPr>
              <w:noProof/>
              <w:sz w:val="22"/>
              <w:szCs w:val="22"/>
              <w:lang w:eastAsia="en-US"/>
            </w:rPr>
          </w:pPr>
          <w:r w:rsidRPr="004269E9">
            <w:rPr>
              <w:noProof/>
              <w:color w:val="002060"/>
            </w:rPr>
            <w:t>3.2.7</w:t>
          </w:r>
          <w:r>
            <w:rPr>
              <w:noProof/>
              <w:sz w:val="22"/>
              <w:szCs w:val="22"/>
              <w:lang w:eastAsia="en-US"/>
            </w:rPr>
            <w:tab/>
          </w:r>
          <w:r w:rsidRPr="004269E9">
            <w:rPr>
              <w:noProof/>
              <w:color w:val="002060"/>
            </w:rPr>
            <w:t>Spontaneous Volunteers</w:t>
          </w:r>
          <w:r>
            <w:rPr>
              <w:noProof/>
            </w:rPr>
            <w:tab/>
          </w:r>
          <w:r>
            <w:rPr>
              <w:noProof/>
            </w:rPr>
            <w:fldChar w:fldCharType="begin"/>
          </w:r>
          <w:r>
            <w:rPr>
              <w:noProof/>
            </w:rPr>
            <w:instrText xml:space="preserve"> PAGEREF _Toc11832755 \h </w:instrText>
          </w:r>
          <w:r>
            <w:rPr>
              <w:noProof/>
            </w:rPr>
          </w:r>
          <w:r>
            <w:rPr>
              <w:noProof/>
            </w:rPr>
            <w:fldChar w:fldCharType="separate"/>
          </w:r>
          <w:r>
            <w:rPr>
              <w:noProof/>
            </w:rPr>
            <w:t>37</w:t>
          </w:r>
          <w:r>
            <w:rPr>
              <w:noProof/>
            </w:rPr>
            <w:fldChar w:fldCharType="end"/>
          </w:r>
        </w:p>
        <w:p w14:paraId="625F4ECA" w14:textId="2CBEDF99" w:rsidR="006657D6" w:rsidRDefault="006657D6">
          <w:pPr>
            <w:pStyle w:val="TOC3"/>
            <w:tabs>
              <w:tab w:val="left" w:pos="880"/>
              <w:tab w:val="right" w:leader="dot" w:pos="9710"/>
            </w:tabs>
            <w:rPr>
              <w:noProof/>
              <w:sz w:val="22"/>
              <w:szCs w:val="22"/>
              <w:lang w:eastAsia="en-US"/>
            </w:rPr>
          </w:pPr>
          <w:r w:rsidRPr="004269E9">
            <w:rPr>
              <w:noProof/>
              <w:color w:val="002060"/>
            </w:rPr>
            <w:t>3.2.8</w:t>
          </w:r>
          <w:r>
            <w:rPr>
              <w:noProof/>
              <w:sz w:val="22"/>
              <w:szCs w:val="22"/>
              <w:lang w:eastAsia="en-US"/>
            </w:rPr>
            <w:tab/>
          </w:r>
          <w:r w:rsidRPr="004269E9">
            <w:rPr>
              <w:noProof/>
              <w:color w:val="002060"/>
            </w:rPr>
            <w:t>Operations Briefing &amp; Training</w:t>
          </w:r>
          <w:r>
            <w:rPr>
              <w:noProof/>
            </w:rPr>
            <w:tab/>
          </w:r>
          <w:r>
            <w:rPr>
              <w:noProof/>
            </w:rPr>
            <w:fldChar w:fldCharType="begin"/>
          </w:r>
          <w:r>
            <w:rPr>
              <w:noProof/>
            </w:rPr>
            <w:instrText xml:space="preserve"> PAGEREF _Toc11832756 \h </w:instrText>
          </w:r>
          <w:r>
            <w:rPr>
              <w:noProof/>
            </w:rPr>
          </w:r>
          <w:r>
            <w:rPr>
              <w:noProof/>
            </w:rPr>
            <w:fldChar w:fldCharType="separate"/>
          </w:r>
          <w:r>
            <w:rPr>
              <w:noProof/>
            </w:rPr>
            <w:t>37</w:t>
          </w:r>
          <w:r>
            <w:rPr>
              <w:noProof/>
            </w:rPr>
            <w:fldChar w:fldCharType="end"/>
          </w:r>
        </w:p>
        <w:p w14:paraId="7D5E8BEC" w14:textId="0D02EAF2" w:rsidR="006657D6" w:rsidRDefault="006657D6">
          <w:pPr>
            <w:pStyle w:val="TOC2"/>
            <w:tabs>
              <w:tab w:val="left" w:pos="660"/>
              <w:tab w:val="right" w:leader="dot" w:pos="9710"/>
            </w:tabs>
            <w:rPr>
              <w:b w:val="0"/>
              <w:bCs w:val="0"/>
              <w:noProof/>
              <w:sz w:val="22"/>
              <w:szCs w:val="22"/>
              <w:lang w:eastAsia="en-US"/>
            </w:rPr>
          </w:pPr>
          <w:r w:rsidRPr="004269E9">
            <w:rPr>
              <w:noProof/>
              <w:color w:val="002060"/>
            </w:rPr>
            <w:t>3.3</w:t>
          </w:r>
          <w:r>
            <w:rPr>
              <w:b w:val="0"/>
              <w:bCs w:val="0"/>
              <w:noProof/>
              <w:sz w:val="22"/>
              <w:szCs w:val="22"/>
              <w:lang w:eastAsia="en-US"/>
            </w:rPr>
            <w:tab/>
          </w:r>
          <w:r w:rsidRPr="004269E9">
            <w:rPr>
              <w:noProof/>
              <w:color w:val="002060"/>
            </w:rPr>
            <w:t>EDS RESOURCE MOBILIZATION &amp; OPERATIONS</w:t>
          </w:r>
          <w:r>
            <w:rPr>
              <w:noProof/>
            </w:rPr>
            <w:tab/>
          </w:r>
          <w:r>
            <w:rPr>
              <w:noProof/>
            </w:rPr>
            <w:fldChar w:fldCharType="begin"/>
          </w:r>
          <w:r>
            <w:rPr>
              <w:noProof/>
            </w:rPr>
            <w:instrText xml:space="preserve"> PAGEREF _Toc11832757 \h </w:instrText>
          </w:r>
          <w:r>
            <w:rPr>
              <w:noProof/>
            </w:rPr>
          </w:r>
          <w:r>
            <w:rPr>
              <w:noProof/>
            </w:rPr>
            <w:fldChar w:fldCharType="separate"/>
          </w:r>
          <w:r>
            <w:rPr>
              <w:noProof/>
            </w:rPr>
            <w:t>38</w:t>
          </w:r>
          <w:r>
            <w:rPr>
              <w:noProof/>
            </w:rPr>
            <w:fldChar w:fldCharType="end"/>
          </w:r>
        </w:p>
        <w:p w14:paraId="2F2AD632" w14:textId="27EBEBC0" w:rsidR="006657D6" w:rsidRDefault="006657D6">
          <w:pPr>
            <w:pStyle w:val="TOC3"/>
            <w:tabs>
              <w:tab w:val="left" w:pos="880"/>
              <w:tab w:val="right" w:leader="dot" w:pos="9710"/>
            </w:tabs>
            <w:rPr>
              <w:noProof/>
              <w:sz w:val="22"/>
              <w:szCs w:val="22"/>
              <w:lang w:eastAsia="en-US"/>
            </w:rPr>
          </w:pPr>
          <w:r w:rsidRPr="004269E9">
            <w:rPr>
              <w:noProof/>
              <w:color w:val="002060"/>
            </w:rPr>
            <w:t>3.3.1</w:t>
          </w:r>
          <w:r>
            <w:rPr>
              <w:noProof/>
              <w:sz w:val="22"/>
              <w:szCs w:val="22"/>
              <w:lang w:eastAsia="en-US"/>
            </w:rPr>
            <w:tab/>
          </w:r>
          <w:r w:rsidRPr="004269E9">
            <w:rPr>
              <w:noProof/>
              <w:color w:val="002060"/>
            </w:rPr>
            <w:t>Inventory Management Systems &amp; Staff</w:t>
          </w:r>
          <w:r>
            <w:rPr>
              <w:noProof/>
            </w:rPr>
            <w:tab/>
          </w:r>
          <w:r>
            <w:rPr>
              <w:noProof/>
            </w:rPr>
            <w:fldChar w:fldCharType="begin"/>
          </w:r>
          <w:r>
            <w:rPr>
              <w:noProof/>
            </w:rPr>
            <w:instrText xml:space="preserve"> PAGEREF _Toc11832758 \h </w:instrText>
          </w:r>
          <w:r>
            <w:rPr>
              <w:noProof/>
            </w:rPr>
          </w:r>
          <w:r>
            <w:rPr>
              <w:noProof/>
            </w:rPr>
            <w:fldChar w:fldCharType="separate"/>
          </w:r>
          <w:r>
            <w:rPr>
              <w:noProof/>
            </w:rPr>
            <w:t>38</w:t>
          </w:r>
          <w:r>
            <w:rPr>
              <w:noProof/>
            </w:rPr>
            <w:fldChar w:fldCharType="end"/>
          </w:r>
        </w:p>
        <w:p w14:paraId="19680094" w14:textId="632C782A" w:rsidR="006657D6" w:rsidRDefault="006657D6">
          <w:pPr>
            <w:pStyle w:val="TOC3"/>
            <w:tabs>
              <w:tab w:val="left" w:pos="880"/>
              <w:tab w:val="right" w:leader="dot" w:pos="9710"/>
            </w:tabs>
            <w:rPr>
              <w:noProof/>
              <w:sz w:val="22"/>
              <w:szCs w:val="22"/>
              <w:lang w:eastAsia="en-US"/>
            </w:rPr>
          </w:pPr>
          <w:r w:rsidRPr="004269E9">
            <w:rPr>
              <w:noProof/>
              <w:color w:val="002060"/>
            </w:rPr>
            <w:t>3.3.2</w:t>
          </w:r>
          <w:r>
            <w:rPr>
              <w:noProof/>
              <w:sz w:val="22"/>
              <w:szCs w:val="22"/>
              <w:lang w:eastAsia="en-US"/>
            </w:rPr>
            <w:tab/>
          </w:r>
          <w:r w:rsidRPr="004269E9">
            <w:rPr>
              <w:noProof/>
              <w:color w:val="002060"/>
            </w:rPr>
            <w:t>Resource Requirements, Identification &amp; Transportation</w:t>
          </w:r>
          <w:r>
            <w:rPr>
              <w:noProof/>
            </w:rPr>
            <w:tab/>
          </w:r>
          <w:r>
            <w:rPr>
              <w:noProof/>
            </w:rPr>
            <w:fldChar w:fldCharType="begin"/>
          </w:r>
          <w:r>
            <w:rPr>
              <w:noProof/>
            </w:rPr>
            <w:instrText xml:space="preserve"> PAGEREF _Toc11832759 \h </w:instrText>
          </w:r>
          <w:r>
            <w:rPr>
              <w:noProof/>
            </w:rPr>
          </w:r>
          <w:r>
            <w:rPr>
              <w:noProof/>
            </w:rPr>
            <w:fldChar w:fldCharType="separate"/>
          </w:r>
          <w:r>
            <w:rPr>
              <w:noProof/>
            </w:rPr>
            <w:t>39</w:t>
          </w:r>
          <w:r>
            <w:rPr>
              <w:noProof/>
            </w:rPr>
            <w:fldChar w:fldCharType="end"/>
          </w:r>
        </w:p>
        <w:p w14:paraId="45EADB06" w14:textId="5E316A1C" w:rsidR="006657D6" w:rsidRDefault="006657D6">
          <w:pPr>
            <w:pStyle w:val="TOC3"/>
            <w:tabs>
              <w:tab w:val="left" w:pos="880"/>
              <w:tab w:val="right" w:leader="dot" w:pos="9710"/>
            </w:tabs>
            <w:rPr>
              <w:noProof/>
              <w:sz w:val="22"/>
              <w:szCs w:val="22"/>
              <w:lang w:eastAsia="en-US"/>
            </w:rPr>
          </w:pPr>
          <w:r w:rsidRPr="004269E9">
            <w:rPr>
              <w:noProof/>
              <w:color w:val="002060"/>
            </w:rPr>
            <w:t>3.3.3</w:t>
          </w:r>
          <w:r>
            <w:rPr>
              <w:noProof/>
              <w:sz w:val="22"/>
              <w:szCs w:val="22"/>
              <w:lang w:eastAsia="en-US"/>
            </w:rPr>
            <w:tab/>
          </w:r>
          <w:r w:rsidRPr="004269E9">
            <w:rPr>
              <w:noProof/>
              <w:color w:val="002060"/>
            </w:rPr>
            <w:t>Resource Requests &amp; Purchasing</w:t>
          </w:r>
          <w:r>
            <w:rPr>
              <w:noProof/>
            </w:rPr>
            <w:tab/>
          </w:r>
          <w:r>
            <w:rPr>
              <w:noProof/>
            </w:rPr>
            <w:fldChar w:fldCharType="begin"/>
          </w:r>
          <w:r>
            <w:rPr>
              <w:noProof/>
            </w:rPr>
            <w:instrText xml:space="preserve"> PAGEREF _Toc11832760 \h </w:instrText>
          </w:r>
          <w:r>
            <w:rPr>
              <w:noProof/>
            </w:rPr>
          </w:r>
          <w:r>
            <w:rPr>
              <w:noProof/>
            </w:rPr>
            <w:fldChar w:fldCharType="separate"/>
          </w:r>
          <w:r>
            <w:rPr>
              <w:noProof/>
            </w:rPr>
            <w:t>39</w:t>
          </w:r>
          <w:r>
            <w:rPr>
              <w:noProof/>
            </w:rPr>
            <w:fldChar w:fldCharType="end"/>
          </w:r>
        </w:p>
        <w:p w14:paraId="5DE143EE" w14:textId="08577D2B" w:rsidR="006657D6" w:rsidRDefault="006657D6">
          <w:pPr>
            <w:pStyle w:val="TOC3"/>
            <w:tabs>
              <w:tab w:val="left" w:pos="880"/>
              <w:tab w:val="right" w:leader="dot" w:pos="9710"/>
            </w:tabs>
            <w:rPr>
              <w:noProof/>
              <w:sz w:val="22"/>
              <w:szCs w:val="22"/>
              <w:lang w:eastAsia="en-US"/>
            </w:rPr>
          </w:pPr>
          <w:r w:rsidRPr="004269E9">
            <w:rPr>
              <w:noProof/>
              <w:color w:val="002060"/>
            </w:rPr>
            <w:t>3.3.4</w:t>
          </w:r>
          <w:r>
            <w:rPr>
              <w:noProof/>
              <w:sz w:val="22"/>
              <w:szCs w:val="22"/>
              <w:lang w:eastAsia="en-US"/>
            </w:rPr>
            <w:tab/>
          </w:r>
          <w:r w:rsidRPr="004269E9">
            <w:rPr>
              <w:noProof/>
              <w:color w:val="002060"/>
            </w:rPr>
            <w:t>Resource Distribution</w:t>
          </w:r>
          <w:r>
            <w:rPr>
              <w:noProof/>
            </w:rPr>
            <w:tab/>
          </w:r>
          <w:r>
            <w:rPr>
              <w:noProof/>
            </w:rPr>
            <w:fldChar w:fldCharType="begin"/>
          </w:r>
          <w:r>
            <w:rPr>
              <w:noProof/>
            </w:rPr>
            <w:instrText xml:space="preserve"> PAGEREF _Toc11832761 \h </w:instrText>
          </w:r>
          <w:r>
            <w:rPr>
              <w:noProof/>
            </w:rPr>
          </w:r>
          <w:r>
            <w:rPr>
              <w:noProof/>
            </w:rPr>
            <w:fldChar w:fldCharType="separate"/>
          </w:r>
          <w:r>
            <w:rPr>
              <w:noProof/>
            </w:rPr>
            <w:t>40</w:t>
          </w:r>
          <w:r>
            <w:rPr>
              <w:noProof/>
            </w:rPr>
            <w:fldChar w:fldCharType="end"/>
          </w:r>
        </w:p>
        <w:p w14:paraId="25F7D7A1" w14:textId="2BD05764" w:rsidR="006657D6" w:rsidRDefault="006657D6">
          <w:pPr>
            <w:pStyle w:val="TOC2"/>
            <w:tabs>
              <w:tab w:val="left" w:pos="660"/>
              <w:tab w:val="right" w:leader="dot" w:pos="9710"/>
            </w:tabs>
            <w:rPr>
              <w:b w:val="0"/>
              <w:bCs w:val="0"/>
              <w:noProof/>
              <w:sz w:val="22"/>
              <w:szCs w:val="22"/>
              <w:lang w:eastAsia="en-US"/>
            </w:rPr>
          </w:pPr>
          <w:r w:rsidRPr="004269E9">
            <w:rPr>
              <w:noProof/>
              <w:color w:val="002060"/>
            </w:rPr>
            <w:t>3.4</w:t>
          </w:r>
          <w:r>
            <w:rPr>
              <w:b w:val="0"/>
              <w:bCs w:val="0"/>
              <w:noProof/>
              <w:sz w:val="22"/>
              <w:szCs w:val="22"/>
              <w:lang w:eastAsia="en-US"/>
            </w:rPr>
            <w:tab/>
          </w:r>
          <w:r w:rsidRPr="004269E9">
            <w:rPr>
              <w:noProof/>
              <w:color w:val="002060"/>
            </w:rPr>
            <w:t>EDS SET-UP &amp; OPENING</w:t>
          </w:r>
          <w:r>
            <w:rPr>
              <w:noProof/>
            </w:rPr>
            <w:tab/>
          </w:r>
          <w:r>
            <w:rPr>
              <w:noProof/>
            </w:rPr>
            <w:fldChar w:fldCharType="begin"/>
          </w:r>
          <w:r>
            <w:rPr>
              <w:noProof/>
            </w:rPr>
            <w:instrText xml:space="preserve"> PAGEREF _Toc11832762 \h </w:instrText>
          </w:r>
          <w:r>
            <w:rPr>
              <w:noProof/>
            </w:rPr>
          </w:r>
          <w:r>
            <w:rPr>
              <w:noProof/>
            </w:rPr>
            <w:fldChar w:fldCharType="separate"/>
          </w:r>
          <w:r>
            <w:rPr>
              <w:noProof/>
            </w:rPr>
            <w:t>40</w:t>
          </w:r>
          <w:r>
            <w:rPr>
              <w:noProof/>
            </w:rPr>
            <w:fldChar w:fldCharType="end"/>
          </w:r>
        </w:p>
        <w:p w14:paraId="301810FC" w14:textId="687D9F45" w:rsidR="006657D6" w:rsidRDefault="006657D6">
          <w:pPr>
            <w:pStyle w:val="TOC3"/>
            <w:tabs>
              <w:tab w:val="left" w:pos="880"/>
              <w:tab w:val="right" w:leader="dot" w:pos="9710"/>
            </w:tabs>
            <w:rPr>
              <w:noProof/>
              <w:sz w:val="22"/>
              <w:szCs w:val="22"/>
              <w:lang w:eastAsia="en-US"/>
            </w:rPr>
          </w:pPr>
          <w:r w:rsidRPr="004269E9">
            <w:rPr>
              <w:noProof/>
              <w:color w:val="002060"/>
            </w:rPr>
            <w:t>3.4.1</w:t>
          </w:r>
          <w:r>
            <w:rPr>
              <w:noProof/>
              <w:sz w:val="22"/>
              <w:szCs w:val="22"/>
              <w:lang w:eastAsia="en-US"/>
            </w:rPr>
            <w:tab/>
          </w:r>
          <w:r w:rsidRPr="004269E9">
            <w:rPr>
              <w:noProof/>
              <w:color w:val="002060"/>
            </w:rPr>
            <w:t>Site Layout &amp; Set-Up</w:t>
          </w:r>
          <w:r>
            <w:rPr>
              <w:noProof/>
            </w:rPr>
            <w:tab/>
          </w:r>
          <w:r>
            <w:rPr>
              <w:noProof/>
            </w:rPr>
            <w:fldChar w:fldCharType="begin"/>
          </w:r>
          <w:r>
            <w:rPr>
              <w:noProof/>
            </w:rPr>
            <w:instrText xml:space="preserve"> PAGEREF _Toc11832763 \h </w:instrText>
          </w:r>
          <w:r>
            <w:rPr>
              <w:noProof/>
            </w:rPr>
          </w:r>
          <w:r>
            <w:rPr>
              <w:noProof/>
            </w:rPr>
            <w:fldChar w:fldCharType="separate"/>
          </w:r>
          <w:r>
            <w:rPr>
              <w:noProof/>
            </w:rPr>
            <w:t>40</w:t>
          </w:r>
          <w:r>
            <w:rPr>
              <w:noProof/>
            </w:rPr>
            <w:fldChar w:fldCharType="end"/>
          </w:r>
        </w:p>
        <w:p w14:paraId="265050B1" w14:textId="2D364B71" w:rsidR="006657D6" w:rsidRDefault="006657D6">
          <w:pPr>
            <w:pStyle w:val="TOC3"/>
            <w:tabs>
              <w:tab w:val="left" w:pos="880"/>
              <w:tab w:val="right" w:leader="dot" w:pos="9710"/>
            </w:tabs>
            <w:rPr>
              <w:noProof/>
              <w:sz w:val="22"/>
              <w:szCs w:val="22"/>
              <w:lang w:eastAsia="en-US"/>
            </w:rPr>
          </w:pPr>
          <w:r w:rsidRPr="004269E9">
            <w:rPr>
              <w:noProof/>
              <w:color w:val="002060"/>
            </w:rPr>
            <w:t>3.4.2</w:t>
          </w:r>
          <w:r>
            <w:rPr>
              <w:noProof/>
              <w:sz w:val="22"/>
              <w:szCs w:val="22"/>
              <w:lang w:eastAsia="en-US"/>
            </w:rPr>
            <w:tab/>
          </w:r>
          <w:r w:rsidRPr="004269E9">
            <w:rPr>
              <w:noProof/>
              <w:color w:val="002060"/>
            </w:rPr>
            <w:t>Internal Site Communications</w:t>
          </w:r>
          <w:r>
            <w:rPr>
              <w:noProof/>
            </w:rPr>
            <w:tab/>
          </w:r>
          <w:r>
            <w:rPr>
              <w:noProof/>
            </w:rPr>
            <w:fldChar w:fldCharType="begin"/>
          </w:r>
          <w:r>
            <w:rPr>
              <w:noProof/>
            </w:rPr>
            <w:instrText xml:space="preserve"> PAGEREF _Toc11832764 \h </w:instrText>
          </w:r>
          <w:r>
            <w:rPr>
              <w:noProof/>
            </w:rPr>
          </w:r>
          <w:r>
            <w:rPr>
              <w:noProof/>
            </w:rPr>
            <w:fldChar w:fldCharType="separate"/>
          </w:r>
          <w:r>
            <w:rPr>
              <w:noProof/>
            </w:rPr>
            <w:t>41</w:t>
          </w:r>
          <w:r>
            <w:rPr>
              <w:noProof/>
            </w:rPr>
            <w:fldChar w:fldCharType="end"/>
          </w:r>
        </w:p>
        <w:p w14:paraId="7234522A" w14:textId="0806D8CA" w:rsidR="006657D6" w:rsidRDefault="006657D6">
          <w:pPr>
            <w:pStyle w:val="TOC3"/>
            <w:tabs>
              <w:tab w:val="left" w:pos="880"/>
              <w:tab w:val="right" w:leader="dot" w:pos="9710"/>
            </w:tabs>
            <w:rPr>
              <w:noProof/>
              <w:sz w:val="22"/>
              <w:szCs w:val="22"/>
              <w:lang w:eastAsia="en-US"/>
            </w:rPr>
          </w:pPr>
          <w:r w:rsidRPr="004269E9">
            <w:rPr>
              <w:noProof/>
              <w:color w:val="002060"/>
            </w:rPr>
            <w:t>3.4.3</w:t>
          </w:r>
          <w:r>
            <w:rPr>
              <w:noProof/>
              <w:sz w:val="22"/>
              <w:szCs w:val="22"/>
              <w:lang w:eastAsia="en-US"/>
            </w:rPr>
            <w:tab/>
          </w:r>
          <w:r w:rsidRPr="004269E9">
            <w:rPr>
              <w:noProof/>
              <w:color w:val="002060"/>
            </w:rPr>
            <w:t>Site Walk Through</w:t>
          </w:r>
          <w:r>
            <w:rPr>
              <w:noProof/>
            </w:rPr>
            <w:tab/>
          </w:r>
          <w:r>
            <w:rPr>
              <w:noProof/>
            </w:rPr>
            <w:fldChar w:fldCharType="begin"/>
          </w:r>
          <w:r>
            <w:rPr>
              <w:noProof/>
            </w:rPr>
            <w:instrText xml:space="preserve"> PAGEREF _Toc11832765 \h </w:instrText>
          </w:r>
          <w:r>
            <w:rPr>
              <w:noProof/>
            </w:rPr>
          </w:r>
          <w:r>
            <w:rPr>
              <w:noProof/>
            </w:rPr>
            <w:fldChar w:fldCharType="separate"/>
          </w:r>
          <w:r>
            <w:rPr>
              <w:noProof/>
            </w:rPr>
            <w:t>41</w:t>
          </w:r>
          <w:r>
            <w:rPr>
              <w:noProof/>
            </w:rPr>
            <w:fldChar w:fldCharType="end"/>
          </w:r>
        </w:p>
        <w:p w14:paraId="5C411A7B" w14:textId="18D6AE17" w:rsidR="006657D6" w:rsidRDefault="006657D6">
          <w:pPr>
            <w:pStyle w:val="TOC3"/>
            <w:tabs>
              <w:tab w:val="left" w:pos="880"/>
              <w:tab w:val="right" w:leader="dot" w:pos="9710"/>
            </w:tabs>
            <w:rPr>
              <w:noProof/>
              <w:sz w:val="22"/>
              <w:szCs w:val="22"/>
              <w:lang w:eastAsia="en-US"/>
            </w:rPr>
          </w:pPr>
          <w:r w:rsidRPr="004269E9">
            <w:rPr>
              <w:noProof/>
              <w:color w:val="002060"/>
            </w:rPr>
            <w:t>3.4.4</w:t>
          </w:r>
          <w:r>
            <w:rPr>
              <w:noProof/>
              <w:sz w:val="22"/>
              <w:szCs w:val="22"/>
              <w:lang w:eastAsia="en-US"/>
            </w:rPr>
            <w:tab/>
          </w:r>
          <w:r w:rsidRPr="004269E9">
            <w:rPr>
              <w:noProof/>
              <w:color w:val="002060"/>
            </w:rPr>
            <w:t>Target Prophylaxis Groups</w:t>
          </w:r>
          <w:r>
            <w:rPr>
              <w:noProof/>
            </w:rPr>
            <w:tab/>
          </w:r>
          <w:r>
            <w:rPr>
              <w:noProof/>
            </w:rPr>
            <w:fldChar w:fldCharType="begin"/>
          </w:r>
          <w:r>
            <w:rPr>
              <w:noProof/>
            </w:rPr>
            <w:instrText xml:space="preserve"> PAGEREF _Toc11832766 \h </w:instrText>
          </w:r>
          <w:r>
            <w:rPr>
              <w:noProof/>
            </w:rPr>
          </w:r>
          <w:r>
            <w:rPr>
              <w:noProof/>
            </w:rPr>
            <w:fldChar w:fldCharType="separate"/>
          </w:r>
          <w:r>
            <w:rPr>
              <w:noProof/>
            </w:rPr>
            <w:t>41</w:t>
          </w:r>
          <w:r>
            <w:rPr>
              <w:noProof/>
            </w:rPr>
            <w:fldChar w:fldCharType="end"/>
          </w:r>
        </w:p>
        <w:p w14:paraId="48A1B906" w14:textId="5916D5A3" w:rsidR="006657D6" w:rsidRDefault="006657D6">
          <w:pPr>
            <w:pStyle w:val="TOC3"/>
            <w:tabs>
              <w:tab w:val="left" w:pos="880"/>
              <w:tab w:val="right" w:leader="dot" w:pos="9710"/>
            </w:tabs>
            <w:rPr>
              <w:noProof/>
              <w:sz w:val="22"/>
              <w:szCs w:val="22"/>
              <w:lang w:eastAsia="en-US"/>
            </w:rPr>
          </w:pPr>
          <w:r w:rsidRPr="004269E9">
            <w:rPr>
              <w:noProof/>
              <w:color w:val="002060"/>
            </w:rPr>
            <w:t>3.4.5</w:t>
          </w:r>
          <w:r>
            <w:rPr>
              <w:noProof/>
              <w:sz w:val="22"/>
              <w:szCs w:val="22"/>
              <w:lang w:eastAsia="en-US"/>
            </w:rPr>
            <w:tab/>
          </w:r>
          <w:r w:rsidRPr="004269E9">
            <w:rPr>
              <w:noProof/>
              <w:color w:val="002060"/>
            </w:rPr>
            <w:t>Coordinated Opening</w:t>
          </w:r>
          <w:r>
            <w:rPr>
              <w:noProof/>
            </w:rPr>
            <w:tab/>
          </w:r>
          <w:r>
            <w:rPr>
              <w:noProof/>
            </w:rPr>
            <w:fldChar w:fldCharType="begin"/>
          </w:r>
          <w:r>
            <w:rPr>
              <w:noProof/>
            </w:rPr>
            <w:instrText xml:space="preserve"> PAGEREF _Toc11832767 \h </w:instrText>
          </w:r>
          <w:r>
            <w:rPr>
              <w:noProof/>
            </w:rPr>
          </w:r>
          <w:r>
            <w:rPr>
              <w:noProof/>
            </w:rPr>
            <w:fldChar w:fldCharType="separate"/>
          </w:r>
          <w:r>
            <w:rPr>
              <w:noProof/>
            </w:rPr>
            <w:t>41</w:t>
          </w:r>
          <w:r>
            <w:rPr>
              <w:noProof/>
            </w:rPr>
            <w:fldChar w:fldCharType="end"/>
          </w:r>
        </w:p>
        <w:p w14:paraId="7F43FAEF" w14:textId="23634B5C" w:rsidR="006657D6" w:rsidRDefault="006657D6">
          <w:pPr>
            <w:pStyle w:val="TOC2"/>
            <w:tabs>
              <w:tab w:val="left" w:pos="660"/>
              <w:tab w:val="right" w:leader="dot" w:pos="9710"/>
            </w:tabs>
            <w:rPr>
              <w:b w:val="0"/>
              <w:bCs w:val="0"/>
              <w:noProof/>
              <w:sz w:val="22"/>
              <w:szCs w:val="22"/>
              <w:lang w:eastAsia="en-US"/>
            </w:rPr>
          </w:pPr>
          <w:r w:rsidRPr="004269E9">
            <w:rPr>
              <w:noProof/>
              <w:color w:val="002060"/>
            </w:rPr>
            <w:t>3.5</w:t>
          </w:r>
          <w:r>
            <w:rPr>
              <w:b w:val="0"/>
              <w:bCs w:val="0"/>
              <w:noProof/>
              <w:sz w:val="22"/>
              <w:szCs w:val="22"/>
              <w:lang w:eastAsia="en-US"/>
            </w:rPr>
            <w:tab/>
          </w:r>
          <w:r w:rsidRPr="004269E9">
            <w:rPr>
              <w:noProof/>
              <w:color w:val="002060"/>
            </w:rPr>
            <w:t>EDS OPERATIONS MONITORING</w:t>
          </w:r>
          <w:r>
            <w:rPr>
              <w:noProof/>
            </w:rPr>
            <w:tab/>
          </w:r>
          <w:r>
            <w:rPr>
              <w:noProof/>
            </w:rPr>
            <w:fldChar w:fldCharType="begin"/>
          </w:r>
          <w:r>
            <w:rPr>
              <w:noProof/>
            </w:rPr>
            <w:instrText xml:space="preserve"> PAGEREF _Toc11832768 \h </w:instrText>
          </w:r>
          <w:r>
            <w:rPr>
              <w:noProof/>
            </w:rPr>
          </w:r>
          <w:r>
            <w:rPr>
              <w:noProof/>
            </w:rPr>
            <w:fldChar w:fldCharType="separate"/>
          </w:r>
          <w:r>
            <w:rPr>
              <w:noProof/>
            </w:rPr>
            <w:t>42</w:t>
          </w:r>
          <w:r>
            <w:rPr>
              <w:noProof/>
            </w:rPr>
            <w:fldChar w:fldCharType="end"/>
          </w:r>
        </w:p>
        <w:p w14:paraId="6DFEA845" w14:textId="562D48D6" w:rsidR="006657D6" w:rsidRDefault="006657D6">
          <w:pPr>
            <w:pStyle w:val="TOC3"/>
            <w:tabs>
              <w:tab w:val="left" w:pos="880"/>
              <w:tab w:val="right" w:leader="dot" w:pos="9710"/>
            </w:tabs>
            <w:rPr>
              <w:noProof/>
              <w:sz w:val="22"/>
              <w:szCs w:val="22"/>
              <w:lang w:eastAsia="en-US"/>
            </w:rPr>
          </w:pPr>
          <w:r w:rsidRPr="004269E9">
            <w:rPr>
              <w:noProof/>
              <w:color w:val="002060"/>
            </w:rPr>
            <w:t>3.5.1</w:t>
          </w:r>
          <w:r>
            <w:rPr>
              <w:noProof/>
              <w:sz w:val="22"/>
              <w:szCs w:val="22"/>
              <w:lang w:eastAsia="en-US"/>
            </w:rPr>
            <w:tab/>
          </w:r>
          <w:r w:rsidRPr="004269E9">
            <w:rPr>
              <w:noProof/>
              <w:color w:val="002060"/>
            </w:rPr>
            <w:t>Public Information Monitoring</w:t>
          </w:r>
          <w:r>
            <w:rPr>
              <w:noProof/>
            </w:rPr>
            <w:tab/>
          </w:r>
          <w:r>
            <w:rPr>
              <w:noProof/>
            </w:rPr>
            <w:fldChar w:fldCharType="begin"/>
          </w:r>
          <w:r>
            <w:rPr>
              <w:noProof/>
            </w:rPr>
            <w:instrText xml:space="preserve"> PAGEREF _Toc11832769 \h </w:instrText>
          </w:r>
          <w:r>
            <w:rPr>
              <w:noProof/>
            </w:rPr>
          </w:r>
          <w:r>
            <w:rPr>
              <w:noProof/>
            </w:rPr>
            <w:fldChar w:fldCharType="separate"/>
          </w:r>
          <w:r>
            <w:rPr>
              <w:noProof/>
            </w:rPr>
            <w:t>42</w:t>
          </w:r>
          <w:r>
            <w:rPr>
              <w:noProof/>
            </w:rPr>
            <w:fldChar w:fldCharType="end"/>
          </w:r>
        </w:p>
        <w:p w14:paraId="5D8A4C3C" w14:textId="1CFE3A98" w:rsidR="006657D6" w:rsidRDefault="006657D6">
          <w:pPr>
            <w:pStyle w:val="TOC3"/>
            <w:tabs>
              <w:tab w:val="left" w:pos="880"/>
              <w:tab w:val="right" w:leader="dot" w:pos="9710"/>
            </w:tabs>
            <w:rPr>
              <w:noProof/>
              <w:sz w:val="22"/>
              <w:szCs w:val="22"/>
              <w:lang w:eastAsia="en-US"/>
            </w:rPr>
          </w:pPr>
          <w:r w:rsidRPr="004269E9">
            <w:rPr>
              <w:noProof/>
              <w:color w:val="002060"/>
            </w:rPr>
            <w:t>3.5.2</w:t>
          </w:r>
          <w:r>
            <w:rPr>
              <w:noProof/>
              <w:sz w:val="22"/>
              <w:szCs w:val="22"/>
              <w:lang w:eastAsia="en-US"/>
            </w:rPr>
            <w:tab/>
          </w:r>
          <w:r w:rsidRPr="004269E9">
            <w:rPr>
              <w:noProof/>
              <w:color w:val="002060"/>
            </w:rPr>
            <w:t>Clinic Flow &amp; Throughput Monitoring</w:t>
          </w:r>
          <w:r>
            <w:rPr>
              <w:noProof/>
            </w:rPr>
            <w:tab/>
          </w:r>
          <w:r>
            <w:rPr>
              <w:noProof/>
            </w:rPr>
            <w:fldChar w:fldCharType="begin"/>
          </w:r>
          <w:r>
            <w:rPr>
              <w:noProof/>
            </w:rPr>
            <w:instrText xml:space="preserve"> PAGEREF _Toc11832770 \h </w:instrText>
          </w:r>
          <w:r>
            <w:rPr>
              <w:noProof/>
            </w:rPr>
          </w:r>
          <w:r>
            <w:rPr>
              <w:noProof/>
            </w:rPr>
            <w:fldChar w:fldCharType="separate"/>
          </w:r>
          <w:r>
            <w:rPr>
              <w:noProof/>
            </w:rPr>
            <w:t>42</w:t>
          </w:r>
          <w:r>
            <w:rPr>
              <w:noProof/>
            </w:rPr>
            <w:fldChar w:fldCharType="end"/>
          </w:r>
        </w:p>
        <w:p w14:paraId="1D9B8CAA" w14:textId="64AAAB14" w:rsidR="006657D6" w:rsidRDefault="006657D6">
          <w:pPr>
            <w:pStyle w:val="TOC3"/>
            <w:tabs>
              <w:tab w:val="left" w:pos="880"/>
              <w:tab w:val="right" w:leader="dot" w:pos="9710"/>
            </w:tabs>
            <w:rPr>
              <w:noProof/>
              <w:sz w:val="22"/>
              <w:szCs w:val="22"/>
              <w:lang w:eastAsia="en-US"/>
            </w:rPr>
          </w:pPr>
          <w:r w:rsidRPr="004269E9">
            <w:rPr>
              <w:noProof/>
              <w:color w:val="002060"/>
            </w:rPr>
            <w:t>3.5.3</w:t>
          </w:r>
          <w:r>
            <w:rPr>
              <w:noProof/>
              <w:sz w:val="22"/>
              <w:szCs w:val="22"/>
              <w:lang w:eastAsia="en-US"/>
            </w:rPr>
            <w:tab/>
          </w:r>
          <w:r w:rsidRPr="004269E9">
            <w:rPr>
              <w:noProof/>
              <w:color w:val="002060"/>
            </w:rPr>
            <w:t>Health, Safety &amp; Security Monitoring</w:t>
          </w:r>
          <w:r>
            <w:rPr>
              <w:noProof/>
            </w:rPr>
            <w:tab/>
          </w:r>
          <w:r>
            <w:rPr>
              <w:noProof/>
            </w:rPr>
            <w:fldChar w:fldCharType="begin"/>
          </w:r>
          <w:r>
            <w:rPr>
              <w:noProof/>
            </w:rPr>
            <w:instrText xml:space="preserve"> PAGEREF _Toc11832771 \h </w:instrText>
          </w:r>
          <w:r>
            <w:rPr>
              <w:noProof/>
            </w:rPr>
          </w:r>
          <w:r>
            <w:rPr>
              <w:noProof/>
            </w:rPr>
            <w:fldChar w:fldCharType="separate"/>
          </w:r>
          <w:r>
            <w:rPr>
              <w:noProof/>
            </w:rPr>
            <w:t>43</w:t>
          </w:r>
          <w:r>
            <w:rPr>
              <w:noProof/>
            </w:rPr>
            <w:fldChar w:fldCharType="end"/>
          </w:r>
        </w:p>
        <w:p w14:paraId="73701AB0" w14:textId="5B2F341C" w:rsidR="006657D6" w:rsidRDefault="006657D6">
          <w:pPr>
            <w:pStyle w:val="TOC3"/>
            <w:tabs>
              <w:tab w:val="left" w:pos="880"/>
              <w:tab w:val="right" w:leader="dot" w:pos="9710"/>
            </w:tabs>
            <w:rPr>
              <w:noProof/>
              <w:sz w:val="22"/>
              <w:szCs w:val="22"/>
              <w:lang w:eastAsia="en-US"/>
            </w:rPr>
          </w:pPr>
          <w:r w:rsidRPr="004269E9">
            <w:rPr>
              <w:noProof/>
              <w:color w:val="002060"/>
            </w:rPr>
            <w:t>3.5.4</w:t>
          </w:r>
          <w:r>
            <w:rPr>
              <w:noProof/>
              <w:sz w:val="22"/>
              <w:szCs w:val="22"/>
              <w:lang w:eastAsia="en-US"/>
            </w:rPr>
            <w:tab/>
          </w:r>
          <w:r w:rsidRPr="004269E9">
            <w:rPr>
              <w:noProof/>
              <w:color w:val="002060"/>
            </w:rPr>
            <w:t>Staff Monitoring</w:t>
          </w:r>
          <w:r>
            <w:rPr>
              <w:noProof/>
            </w:rPr>
            <w:tab/>
          </w:r>
          <w:r>
            <w:rPr>
              <w:noProof/>
            </w:rPr>
            <w:fldChar w:fldCharType="begin"/>
          </w:r>
          <w:r>
            <w:rPr>
              <w:noProof/>
            </w:rPr>
            <w:instrText xml:space="preserve"> PAGEREF _Toc11832772 \h </w:instrText>
          </w:r>
          <w:r>
            <w:rPr>
              <w:noProof/>
            </w:rPr>
          </w:r>
          <w:r>
            <w:rPr>
              <w:noProof/>
            </w:rPr>
            <w:fldChar w:fldCharType="separate"/>
          </w:r>
          <w:r>
            <w:rPr>
              <w:noProof/>
            </w:rPr>
            <w:t>43</w:t>
          </w:r>
          <w:r>
            <w:rPr>
              <w:noProof/>
            </w:rPr>
            <w:fldChar w:fldCharType="end"/>
          </w:r>
        </w:p>
        <w:p w14:paraId="2EBCD656" w14:textId="3F9EE4C3" w:rsidR="006657D6" w:rsidRDefault="006657D6">
          <w:pPr>
            <w:pStyle w:val="TOC3"/>
            <w:tabs>
              <w:tab w:val="left" w:pos="880"/>
              <w:tab w:val="right" w:leader="dot" w:pos="9710"/>
            </w:tabs>
            <w:rPr>
              <w:noProof/>
              <w:sz w:val="22"/>
              <w:szCs w:val="22"/>
              <w:lang w:eastAsia="en-US"/>
            </w:rPr>
          </w:pPr>
          <w:r w:rsidRPr="004269E9">
            <w:rPr>
              <w:noProof/>
              <w:color w:val="002060"/>
            </w:rPr>
            <w:t>3.5.5</w:t>
          </w:r>
          <w:r>
            <w:rPr>
              <w:noProof/>
              <w:sz w:val="22"/>
              <w:szCs w:val="22"/>
              <w:lang w:eastAsia="en-US"/>
            </w:rPr>
            <w:tab/>
          </w:r>
          <w:r w:rsidRPr="004269E9">
            <w:rPr>
              <w:noProof/>
              <w:color w:val="002060"/>
            </w:rPr>
            <w:t>Resource Monitoring</w:t>
          </w:r>
          <w:r>
            <w:rPr>
              <w:noProof/>
            </w:rPr>
            <w:tab/>
          </w:r>
          <w:r>
            <w:rPr>
              <w:noProof/>
            </w:rPr>
            <w:fldChar w:fldCharType="begin"/>
          </w:r>
          <w:r>
            <w:rPr>
              <w:noProof/>
            </w:rPr>
            <w:instrText xml:space="preserve"> PAGEREF _Toc11832773 \h </w:instrText>
          </w:r>
          <w:r>
            <w:rPr>
              <w:noProof/>
            </w:rPr>
          </w:r>
          <w:r>
            <w:rPr>
              <w:noProof/>
            </w:rPr>
            <w:fldChar w:fldCharType="separate"/>
          </w:r>
          <w:r>
            <w:rPr>
              <w:noProof/>
            </w:rPr>
            <w:t>43</w:t>
          </w:r>
          <w:r>
            <w:rPr>
              <w:noProof/>
            </w:rPr>
            <w:fldChar w:fldCharType="end"/>
          </w:r>
        </w:p>
        <w:p w14:paraId="1D777996" w14:textId="47D56D1B" w:rsidR="006657D6" w:rsidRDefault="006657D6">
          <w:pPr>
            <w:pStyle w:val="TOC3"/>
            <w:tabs>
              <w:tab w:val="left" w:pos="880"/>
              <w:tab w:val="right" w:leader="dot" w:pos="9710"/>
            </w:tabs>
            <w:rPr>
              <w:noProof/>
              <w:sz w:val="22"/>
              <w:szCs w:val="22"/>
              <w:lang w:eastAsia="en-US"/>
            </w:rPr>
          </w:pPr>
          <w:r w:rsidRPr="004269E9">
            <w:rPr>
              <w:noProof/>
              <w:color w:val="002060"/>
            </w:rPr>
            <w:t>3.5.6</w:t>
          </w:r>
          <w:r>
            <w:rPr>
              <w:noProof/>
              <w:sz w:val="22"/>
              <w:szCs w:val="22"/>
              <w:lang w:eastAsia="en-US"/>
            </w:rPr>
            <w:tab/>
          </w:r>
          <w:r w:rsidRPr="004269E9">
            <w:rPr>
              <w:noProof/>
              <w:color w:val="002060"/>
            </w:rPr>
            <w:t>Massachusetts Immunization Information System (MIIS)</w:t>
          </w:r>
          <w:r>
            <w:rPr>
              <w:noProof/>
            </w:rPr>
            <w:tab/>
          </w:r>
          <w:r>
            <w:rPr>
              <w:noProof/>
            </w:rPr>
            <w:fldChar w:fldCharType="begin"/>
          </w:r>
          <w:r>
            <w:rPr>
              <w:noProof/>
            </w:rPr>
            <w:instrText xml:space="preserve"> PAGEREF _Toc11832774 \h </w:instrText>
          </w:r>
          <w:r>
            <w:rPr>
              <w:noProof/>
            </w:rPr>
          </w:r>
          <w:r>
            <w:rPr>
              <w:noProof/>
            </w:rPr>
            <w:fldChar w:fldCharType="separate"/>
          </w:r>
          <w:r>
            <w:rPr>
              <w:noProof/>
            </w:rPr>
            <w:t>44</w:t>
          </w:r>
          <w:r>
            <w:rPr>
              <w:noProof/>
            </w:rPr>
            <w:fldChar w:fldCharType="end"/>
          </w:r>
        </w:p>
        <w:p w14:paraId="0B8028E4" w14:textId="6B022033" w:rsidR="006657D6" w:rsidRDefault="006657D6">
          <w:pPr>
            <w:pStyle w:val="TOC3"/>
            <w:tabs>
              <w:tab w:val="left" w:pos="880"/>
              <w:tab w:val="right" w:leader="dot" w:pos="9710"/>
            </w:tabs>
            <w:rPr>
              <w:noProof/>
              <w:sz w:val="22"/>
              <w:szCs w:val="22"/>
              <w:lang w:eastAsia="en-US"/>
            </w:rPr>
          </w:pPr>
          <w:r w:rsidRPr="004269E9">
            <w:rPr>
              <w:noProof/>
              <w:color w:val="002060"/>
            </w:rPr>
            <w:t>3.5.7</w:t>
          </w:r>
          <w:r>
            <w:rPr>
              <w:noProof/>
              <w:sz w:val="22"/>
              <w:szCs w:val="22"/>
              <w:lang w:eastAsia="en-US"/>
            </w:rPr>
            <w:tab/>
          </w:r>
          <w:r w:rsidRPr="004269E9">
            <w:rPr>
              <w:noProof/>
              <w:color w:val="002060"/>
            </w:rPr>
            <w:t>Vaccine Adverse Event Reporting System (VAERS)</w:t>
          </w:r>
          <w:r>
            <w:rPr>
              <w:noProof/>
            </w:rPr>
            <w:tab/>
          </w:r>
          <w:r>
            <w:rPr>
              <w:noProof/>
            </w:rPr>
            <w:fldChar w:fldCharType="begin"/>
          </w:r>
          <w:r>
            <w:rPr>
              <w:noProof/>
            </w:rPr>
            <w:instrText xml:space="preserve"> PAGEREF _Toc11832775 \h </w:instrText>
          </w:r>
          <w:r>
            <w:rPr>
              <w:noProof/>
            </w:rPr>
          </w:r>
          <w:r>
            <w:rPr>
              <w:noProof/>
            </w:rPr>
            <w:fldChar w:fldCharType="separate"/>
          </w:r>
          <w:r>
            <w:rPr>
              <w:noProof/>
            </w:rPr>
            <w:t>44</w:t>
          </w:r>
          <w:r>
            <w:rPr>
              <w:noProof/>
            </w:rPr>
            <w:fldChar w:fldCharType="end"/>
          </w:r>
        </w:p>
        <w:p w14:paraId="4EAD6B8C" w14:textId="522FEEA6" w:rsidR="006657D6" w:rsidRDefault="006657D6">
          <w:pPr>
            <w:pStyle w:val="TOC1"/>
            <w:tabs>
              <w:tab w:val="left" w:pos="440"/>
              <w:tab w:val="right" w:leader="dot" w:pos="9710"/>
            </w:tabs>
            <w:rPr>
              <w:rFonts w:asciiTheme="minorHAnsi" w:hAnsiTheme="minorHAnsi"/>
              <w:b w:val="0"/>
              <w:bCs w:val="0"/>
              <w:caps w:val="0"/>
              <w:noProof/>
              <w:sz w:val="22"/>
              <w:szCs w:val="22"/>
              <w:lang w:eastAsia="en-US"/>
            </w:rPr>
          </w:pPr>
          <w:r w:rsidRPr="004269E9">
            <w:rPr>
              <w:noProof/>
              <w:color w:val="ED7D31" w:themeColor="accent2"/>
            </w:rPr>
            <w:lastRenderedPageBreak/>
            <w:t>4</w:t>
          </w:r>
          <w:r>
            <w:rPr>
              <w:rFonts w:asciiTheme="minorHAnsi" w:hAnsiTheme="minorHAnsi"/>
              <w:b w:val="0"/>
              <w:bCs w:val="0"/>
              <w:caps w:val="0"/>
              <w:noProof/>
              <w:sz w:val="22"/>
              <w:szCs w:val="22"/>
              <w:lang w:eastAsia="en-US"/>
            </w:rPr>
            <w:tab/>
          </w:r>
          <w:r w:rsidRPr="004269E9">
            <w:rPr>
              <w:noProof/>
              <w:color w:val="ED7D31" w:themeColor="accent2"/>
            </w:rPr>
            <w:t>DEMOBILIZATION &amp; RECOVERY</w:t>
          </w:r>
          <w:r>
            <w:rPr>
              <w:noProof/>
            </w:rPr>
            <w:tab/>
          </w:r>
          <w:r>
            <w:rPr>
              <w:noProof/>
            </w:rPr>
            <w:fldChar w:fldCharType="begin"/>
          </w:r>
          <w:r>
            <w:rPr>
              <w:noProof/>
            </w:rPr>
            <w:instrText xml:space="preserve"> PAGEREF _Toc11832776 \h </w:instrText>
          </w:r>
          <w:r>
            <w:rPr>
              <w:noProof/>
            </w:rPr>
          </w:r>
          <w:r>
            <w:rPr>
              <w:noProof/>
            </w:rPr>
            <w:fldChar w:fldCharType="separate"/>
          </w:r>
          <w:r>
            <w:rPr>
              <w:noProof/>
            </w:rPr>
            <w:t>45</w:t>
          </w:r>
          <w:r>
            <w:rPr>
              <w:noProof/>
            </w:rPr>
            <w:fldChar w:fldCharType="end"/>
          </w:r>
        </w:p>
        <w:p w14:paraId="6E03C6F4" w14:textId="77F3F56B" w:rsidR="006657D6" w:rsidRDefault="006657D6">
          <w:pPr>
            <w:pStyle w:val="TOC2"/>
            <w:tabs>
              <w:tab w:val="left" w:pos="660"/>
              <w:tab w:val="right" w:leader="dot" w:pos="9710"/>
            </w:tabs>
            <w:rPr>
              <w:b w:val="0"/>
              <w:bCs w:val="0"/>
              <w:noProof/>
              <w:sz w:val="22"/>
              <w:szCs w:val="22"/>
              <w:lang w:eastAsia="en-US"/>
            </w:rPr>
          </w:pPr>
          <w:r w:rsidRPr="004269E9">
            <w:rPr>
              <w:noProof/>
              <w:color w:val="002060"/>
            </w:rPr>
            <w:t>4.1</w:t>
          </w:r>
          <w:r>
            <w:rPr>
              <w:b w:val="0"/>
              <w:bCs w:val="0"/>
              <w:noProof/>
              <w:sz w:val="22"/>
              <w:szCs w:val="22"/>
              <w:lang w:eastAsia="en-US"/>
            </w:rPr>
            <w:tab/>
          </w:r>
          <w:r w:rsidRPr="004269E9">
            <w:rPr>
              <w:noProof/>
              <w:color w:val="002060"/>
            </w:rPr>
            <w:t>EDS DEMOBILIZATION PLANNING</w:t>
          </w:r>
          <w:r>
            <w:rPr>
              <w:noProof/>
            </w:rPr>
            <w:tab/>
          </w:r>
          <w:r>
            <w:rPr>
              <w:noProof/>
            </w:rPr>
            <w:fldChar w:fldCharType="begin"/>
          </w:r>
          <w:r>
            <w:rPr>
              <w:noProof/>
            </w:rPr>
            <w:instrText xml:space="preserve"> PAGEREF _Toc11832777 \h </w:instrText>
          </w:r>
          <w:r>
            <w:rPr>
              <w:noProof/>
            </w:rPr>
          </w:r>
          <w:r>
            <w:rPr>
              <w:noProof/>
            </w:rPr>
            <w:fldChar w:fldCharType="separate"/>
          </w:r>
          <w:r>
            <w:rPr>
              <w:noProof/>
            </w:rPr>
            <w:t>45</w:t>
          </w:r>
          <w:r>
            <w:rPr>
              <w:noProof/>
            </w:rPr>
            <w:fldChar w:fldCharType="end"/>
          </w:r>
        </w:p>
        <w:p w14:paraId="21F46A77" w14:textId="15D79C3E" w:rsidR="006657D6" w:rsidRDefault="006657D6">
          <w:pPr>
            <w:pStyle w:val="TOC3"/>
            <w:tabs>
              <w:tab w:val="left" w:pos="880"/>
              <w:tab w:val="right" w:leader="dot" w:pos="9710"/>
            </w:tabs>
            <w:rPr>
              <w:noProof/>
              <w:sz w:val="22"/>
              <w:szCs w:val="22"/>
              <w:lang w:eastAsia="en-US"/>
            </w:rPr>
          </w:pPr>
          <w:r w:rsidRPr="004269E9">
            <w:rPr>
              <w:noProof/>
              <w:color w:val="002060"/>
            </w:rPr>
            <w:t>4.1.1</w:t>
          </w:r>
          <w:r>
            <w:rPr>
              <w:noProof/>
              <w:sz w:val="22"/>
              <w:szCs w:val="22"/>
              <w:lang w:eastAsia="en-US"/>
            </w:rPr>
            <w:tab/>
          </w:r>
          <w:r w:rsidRPr="004269E9">
            <w:rPr>
              <w:noProof/>
              <w:color w:val="002060"/>
            </w:rPr>
            <w:t>Demobilization Criteria</w:t>
          </w:r>
          <w:r>
            <w:rPr>
              <w:noProof/>
            </w:rPr>
            <w:tab/>
          </w:r>
          <w:r>
            <w:rPr>
              <w:noProof/>
            </w:rPr>
            <w:fldChar w:fldCharType="begin"/>
          </w:r>
          <w:r>
            <w:rPr>
              <w:noProof/>
            </w:rPr>
            <w:instrText xml:space="preserve"> PAGEREF _Toc11832778 \h </w:instrText>
          </w:r>
          <w:r>
            <w:rPr>
              <w:noProof/>
            </w:rPr>
          </w:r>
          <w:r>
            <w:rPr>
              <w:noProof/>
            </w:rPr>
            <w:fldChar w:fldCharType="separate"/>
          </w:r>
          <w:r>
            <w:rPr>
              <w:noProof/>
            </w:rPr>
            <w:t>45</w:t>
          </w:r>
          <w:r>
            <w:rPr>
              <w:noProof/>
            </w:rPr>
            <w:fldChar w:fldCharType="end"/>
          </w:r>
        </w:p>
        <w:p w14:paraId="38A51965" w14:textId="3592171A" w:rsidR="006657D6" w:rsidRDefault="006657D6">
          <w:pPr>
            <w:pStyle w:val="TOC3"/>
            <w:tabs>
              <w:tab w:val="left" w:pos="880"/>
              <w:tab w:val="right" w:leader="dot" w:pos="9710"/>
            </w:tabs>
            <w:rPr>
              <w:noProof/>
              <w:sz w:val="22"/>
              <w:szCs w:val="22"/>
              <w:lang w:eastAsia="en-US"/>
            </w:rPr>
          </w:pPr>
          <w:r w:rsidRPr="004269E9">
            <w:rPr>
              <w:noProof/>
              <w:color w:val="002060"/>
            </w:rPr>
            <w:t>4.1.2</w:t>
          </w:r>
          <w:r>
            <w:rPr>
              <w:noProof/>
              <w:sz w:val="22"/>
              <w:szCs w:val="22"/>
              <w:lang w:eastAsia="en-US"/>
            </w:rPr>
            <w:tab/>
          </w:r>
          <w:r w:rsidRPr="004269E9">
            <w:rPr>
              <w:noProof/>
              <w:color w:val="002060"/>
            </w:rPr>
            <w:t>Demobilization Plan (site-specific)</w:t>
          </w:r>
          <w:r>
            <w:rPr>
              <w:noProof/>
            </w:rPr>
            <w:tab/>
          </w:r>
          <w:r>
            <w:rPr>
              <w:noProof/>
            </w:rPr>
            <w:fldChar w:fldCharType="begin"/>
          </w:r>
          <w:r>
            <w:rPr>
              <w:noProof/>
            </w:rPr>
            <w:instrText xml:space="preserve"> PAGEREF _Toc11832779 \h </w:instrText>
          </w:r>
          <w:r>
            <w:rPr>
              <w:noProof/>
            </w:rPr>
          </w:r>
          <w:r>
            <w:rPr>
              <w:noProof/>
            </w:rPr>
            <w:fldChar w:fldCharType="separate"/>
          </w:r>
          <w:r>
            <w:rPr>
              <w:noProof/>
            </w:rPr>
            <w:t>46</w:t>
          </w:r>
          <w:r>
            <w:rPr>
              <w:noProof/>
            </w:rPr>
            <w:fldChar w:fldCharType="end"/>
          </w:r>
        </w:p>
        <w:p w14:paraId="30CBFA14" w14:textId="5BCB2321" w:rsidR="006657D6" w:rsidRDefault="006657D6">
          <w:pPr>
            <w:pStyle w:val="TOC3"/>
            <w:tabs>
              <w:tab w:val="left" w:pos="880"/>
              <w:tab w:val="right" w:leader="dot" w:pos="9710"/>
            </w:tabs>
            <w:rPr>
              <w:noProof/>
              <w:sz w:val="22"/>
              <w:szCs w:val="22"/>
              <w:lang w:eastAsia="en-US"/>
            </w:rPr>
          </w:pPr>
          <w:r w:rsidRPr="004269E9">
            <w:rPr>
              <w:noProof/>
              <w:color w:val="002060"/>
            </w:rPr>
            <w:t>4.1.3</w:t>
          </w:r>
          <w:r>
            <w:rPr>
              <w:noProof/>
              <w:sz w:val="22"/>
              <w:szCs w:val="22"/>
              <w:lang w:eastAsia="en-US"/>
            </w:rPr>
            <w:tab/>
          </w:r>
          <w:r w:rsidRPr="004269E9">
            <w:rPr>
              <w:noProof/>
              <w:color w:val="002060"/>
            </w:rPr>
            <w:t>Stand-down Notification</w:t>
          </w:r>
          <w:r>
            <w:rPr>
              <w:noProof/>
            </w:rPr>
            <w:tab/>
          </w:r>
          <w:r>
            <w:rPr>
              <w:noProof/>
            </w:rPr>
            <w:fldChar w:fldCharType="begin"/>
          </w:r>
          <w:r>
            <w:rPr>
              <w:noProof/>
            </w:rPr>
            <w:instrText xml:space="preserve"> PAGEREF _Toc11832780 \h </w:instrText>
          </w:r>
          <w:r>
            <w:rPr>
              <w:noProof/>
            </w:rPr>
          </w:r>
          <w:r>
            <w:rPr>
              <w:noProof/>
            </w:rPr>
            <w:fldChar w:fldCharType="separate"/>
          </w:r>
          <w:r>
            <w:rPr>
              <w:noProof/>
            </w:rPr>
            <w:t>46</w:t>
          </w:r>
          <w:r>
            <w:rPr>
              <w:noProof/>
            </w:rPr>
            <w:fldChar w:fldCharType="end"/>
          </w:r>
        </w:p>
        <w:p w14:paraId="1C45A88F" w14:textId="2C60BE32" w:rsidR="006657D6" w:rsidRDefault="006657D6">
          <w:pPr>
            <w:pStyle w:val="TOC2"/>
            <w:tabs>
              <w:tab w:val="left" w:pos="660"/>
              <w:tab w:val="right" w:leader="dot" w:pos="9710"/>
            </w:tabs>
            <w:rPr>
              <w:b w:val="0"/>
              <w:bCs w:val="0"/>
              <w:noProof/>
              <w:sz w:val="22"/>
              <w:szCs w:val="22"/>
              <w:lang w:eastAsia="en-US"/>
            </w:rPr>
          </w:pPr>
          <w:r w:rsidRPr="004269E9">
            <w:rPr>
              <w:noProof/>
              <w:color w:val="002060"/>
            </w:rPr>
            <w:t>4.2</w:t>
          </w:r>
          <w:r>
            <w:rPr>
              <w:b w:val="0"/>
              <w:bCs w:val="0"/>
              <w:noProof/>
              <w:sz w:val="22"/>
              <w:szCs w:val="22"/>
              <w:lang w:eastAsia="en-US"/>
            </w:rPr>
            <w:tab/>
          </w:r>
          <w:r w:rsidRPr="004269E9">
            <w:rPr>
              <w:noProof/>
              <w:color w:val="002060"/>
            </w:rPr>
            <w:t>EDS RESOURCE DEMOBILIZATION</w:t>
          </w:r>
          <w:r>
            <w:rPr>
              <w:noProof/>
            </w:rPr>
            <w:tab/>
          </w:r>
          <w:r>
            <w:rPr>
              <w:noProof/>
            </w:rPr>
            <w:fldChar w:fldCharType="begin"/>
          </w:r>
          <w:r>
            <w:rPr>
              <w:noProof/>
            </w:rPr>
            <w:instrText xml:space="preserve"> PAGEREF _Toc11832781 \h </w:instrText>
          </w:r>
          <w:r>
            <w:rPr>
              <w:noProof/>
            </w:rPr>
          </w:r>
          <w:r>
            <w:rPr>
              <w:noProof/>
            </w:rPr>
            <w:fldChar w:fldCharType="separate"/>
          </w:r>
          <w:r>
            <w:rPr>
              <w:noProof/>
            </w:rPr>
            <w:t>46</w:t>
          </w:r>
          <w:r>
            <w:rPr>
              <w:noProof/>
            </w:rPr>
            <w:fldChar w:fldCharType="end"/>
          </w:r>
        </w:p>
        <w:p w14:paraId="376040E1" w14:textId="46DA3131" w:rsidR="006657D6" w:rsidRDefault="006657D6">
          <w:pPr>
            <w:pStyle w:val="TOC3"/>
            <w:tabs>
              <w:tab w:val="left" w:pos="880"/>
              <w:tab w:val="right" w:leader="dot" w:pos="9710"/>
            </w:tabs>
            <w:rPr>
              <w:noProof/>
              <w:sz w:val="22"/>
              <w:szCs w:val="22"/>
              <w:lang w:eastAsia="en-US"/>
            </w:rPr>
          </w:pPr>
          <w:r w:rsidRPr="004269E9">
            <w:rPr>
              <w:noProof/>
              <w:color w:val="002060"/>
            </w:rPr>
            <w:t>4.2.1</w:t>
          </w:r>
          <w:r>
            <w:rPr>
              <w:noProof/>
              <w:sz w:val="22"/>
              <w:szCs w:val="22"/>
              <w:lang w:eastAsia="en-US"/>
            </w:rPr>
            <w:tab/>
          </w:r>
          <w:r w:rsidRPr="004269E9">
            <w:rPr>
              <w:noProof/>
              <w:color w:val="002060"/>
            </w:rPr>
            <w:t>Inventory, Repackaging &amp; Loss and Damage</w:t>
          </w:r>
          <w:r>
            <w:rPr>
              <w:noProof/>
            </w:rPr>
            <w:tab/>
          </w:r>
          <w:r>
            <w:rPr>
              <w:noProof/>
            </w:rPr>
            <w:fldChar w:fldCharType="begin"/>
          </w:r>
          <w:r>
            <w:rPr>
              <w:noProof/>
            </w:rPr>
            <w:instrText xml:space="preserve"> PAGEREF _Toc11832782 \h </w:instrText>
          </w:r>
          <w:r>
            <w:rPr>
              <w:noProof/>
            </w:rPr>
          </w:r>
          <w:r>
            <w:rPr>
              <w:noProof/>
            </w:rPr>
            <w:fldChar w:fldCharType="separate"/>
          </w:r>
          <w:r>
            <w:rPr>
              <w:noProof/>
            </w:rPr>
            <w:t>46</w:t>
          </w:r>
          <w:r>
            <w:rPr>
              <w:noProof/>
            </w:rPr>
            <w:fldChar w:fldCharType="end"/>
          </w:r>
        </w:p>
        <w:p w14:paraId="02A5C3CB" w14:textId="13EF0D54" w:rsidR="006657D6" w:rsidRDefault="006657D6">
          <w:pPr>
            <w:pStyle w:val="TOC3"/>
            <w:tabs>
              <w:tab w:val="left" w:pos="880"/>
              <w:tab w:val="right" w:leader="dot" w:pos="9710"/>
            </w:tabs>
            <w:rPr>
              <w:noProof/>
              <w:sz w:val="22"/>
              <w:szCs w:val="22"/>
              <w:lang w:eastAsia="en-US"/>
            </w:rPr>
          </w:pPr>
          <w:r w:rsidRPr="004269E9">
            <w:rPr>
              <w:noProof/>
              <w:color w:val="002060"/>
            </w:rPr>
            <w:t>4.2.2</w:t>
          </w:r>
          <w:r>
            <w:rPr>
              <w:noProof/>
              <w:sz w:val="22"/>
              <w:szCs w:val="22"/>
              <w:lang w:eastAsia="en-US"/>
            </w:rPr>
            <w:tab/>
          </w:r>
          <w:r w:rsidRPr="004269E9">
            <w:rPr>
              <w:noProof/>
              <w:color w:val="002060"/>
            </w:rPr>
            <w:t>Collection, Storage &amp; Transportation</w:t>
          </w:r>
          <w:r>
            <w:rPr>
              <w:noProof/>
            </w:rPr>
            <w:tab/>
          </w:r>
          <w:r>
            <w:rPr>
              <w:noProof/>
            </w:rPr>
            <w:fldChar w:fldCharType="begin"/>
          </w:r>
          <w:r>
            <w:rPr>
              <w:noProof/>
            </w:rPr>
            <w:instrText xml:space="preserve"> PAGEREF _Toc11832783 \h </w:instrText>
          </w:r>
          <w:r>
            <w:rPr>
              <w:noProof/>
            </w:rPr>
          </w:r>
          <w:r>
            <w:rPr>
              <w:noProof/>
            </w:rPr>
            <w:fldChar w:fldCharType="separate"/>
          </w:r>
          <w:r>
            <w:rPr>
              <w:noProof/>
            </w:rPr>
            <w:t>47</w:t>
          </w:r>
          <w:r>
            <w:rPr>
              <w:noProof/>
            </w:rPr>
            <w:fldChar w:fldCharType="end"/>
          </w:r>
        </w:p>
        <w:p w14:paraId="2C55043C" w14:textId="18538BB3" w:rsidR="006657D6" w:rsidRDefault="006657D6">
          <w:pPr>
            <w:pStyle w:val="TOC3"/>
            <w:tabs>
              <w:tab w:val="left" w:pos="880"/>
              <w:tab w:val="right" w:leader="dot" w:pos="9710"/>
            </w:tabs>
            <w:rPr>
              <w:noProof/>
              <w:sz w:val="22"/>
              <w:szCs w:val="22"/>
              <w:lang w:eastAsia="en-US"/>
            </w:rPr>
          </w:pPr>
          <w:r w:rsidRPr="004269E9">
            <w:rPr>
              <w:noProof/>
              <w:color w:val="002060"/>
            </w:rPr>
            <w:t>4.2.3</w:t>
          </w:r>
          <w:r>
            <w:rPr>
              <w:noProof/>
              <w:sz w:val="22"/>
              <w:szCs w:val="22"/>
              <w:lang w:eastAsia="en-US"/>
            </w:rPr>
            <w:tab/>
          </w:r>
          <w:r w:rsidRPr="004269E9">
            <w:rPr>
              <w:noProof/>
              <w:color w:val="002060"/>
            </w:rPr>
            <w:t>Site-Owned Resources</w:t>
          </w:r>
          <w:r>
            <w:rPr>
              <w:noProof/>
            </w:rPr>
            <w:tab/>
          </w:r>
          <w:r>
            <w:rPr>
              <w:noProof/>
            </w:rPr>
            <w:fldChar w:fldCharType="begin"/>
          </w:r>
          <w:r>
            <w:rPr>
              <w:noProof/>
            </w:rPr>
            <w:instrText xml:space="preserve"> PAGEREF _Toc11832784 \h </w:instrText>
          </w:r>
          <w:r>
            <w:rPr>
              <w:noProof/>
            </w:rPr>
          </w:r>
          <w:r>
            <w:rPr>
              <w:noProof/>
            </w:rPr>
            <w:fldChar w:fldCharType="separate"/>
          </w:r>
          <w:r>
            <w:rPr>
              <w:noProof/>
            </w:rPr>
            <w:t>47</w:t>
          </w:r>
          <w:r>
            <w:rPr>
              <w:noProof/>
            </w:rPr>
            <w:fldChar w:fldCharType="end"/>
          </w:r>
        </w:p>
        <w:p w14:paraId="54904232" w14:textId="2B679C14" w:rsidR="006657D6" w:rsidRDefault="006657D6">
          <w:pPr>
            <w:pStyle w:val="TOC2"/>
            <w:tabs>
              <w:tab w:val="left" w:pos="660"/>
              <w:tab w:val="right" w:leader="dot" w:pos="9710"/>
            </w:tabs>
            <w:rPr>
              <w:b w:val="0"/>
              <w:bCs w:val="0"/>
              <w:noProof/>
              <w:sz w:val="22"/>
              <w:szCs w:val="22"/>
              <w:lang w:eastAsia="en-US"/>
            </w:rPr>
          </w:pPr>
          <w:r w:rsidRPr="004269E9">
            <w:rPr>
              <w:noProof/>
              <w:color w:val="002060"/>
            </w:rPr>
            <w:t>4.3</w:t>
          </w:r>
          <w:r>
            <w:rPr>
              <w:b w:val="0"/>
              <w:bCs w:val="0"/>
              <w:noProof/>
              <w:sz w:val="22"/>
              <w:szCs w:val="22"/>
              <w:lang w:eastAsia="en-US"/>
            </w:rPr>
            <w:tab/>
          </w:r>
          <w:r w:rsidRPr="004269E9">
            <w:rPr>
              <w:noProof/>
              <w:color w:val="002060"/>
            </w:rPr>
            <w:t>EDS STAFF DEMOBILIZATION</w:t>
          </w:r>
          <w:r>
            <w:rPr>
              <w:noProof/>
            </w:rPr>
            <w:tab/>
          </w:r>
          <w:r>
            <w:rPr>
              <w:noProof/>
            </w:rPr>
            <w:fldChar w:fldCharType="begin"/>
          </w:r>
          <w:r>
            <w:rPr>
              <w:noProof/>
            </w:rPr>
            <w:instrText xml:space="preserve"> PAGEREF _Toc11832785 \h </w:instrText>
          </w:r>
          <w:r>
            <w:rPr>
              <w:noProof/>
            </w:rPr>
          </w:r>
          <w:r>
            <w:rPr>
              <w:noProof/>
            </w:rPr>
            <w:fldChar w:fldCharType="separate"/>
          </w:r>
          <w:r>
            <w:rPr>
              <w:noProof/>
            </w:rPr>
            <w:t>47</w:t>
          </w:r>
          <w:r>
            <w:rPr>
              <w:noProof/>
            </w:rPr>
            <w:fldChar w:fldCharType="end"/>
          </w:r>
        </w:p>
        <w:p w14:paraId="3D48652F" w14:textId="0053088F" w:rsidR="006657D6" w:rsidRDefault="006657D6">
          <w:pPr>
            <w:pStyle w:val="TOC3"/>
            <w:tabs>
              <w:tab w:val="left" w:pos="880"/>
              <w:tab w:val="right" w:leader="dot" w:pos="9710"/>
            </w:tabs>
            <w:rPr>
              <w:noProof/>
              <w:sz w:val="22"/>
              <w:szCs w:val="22"/>
              <w:lang w:eastAsia="en-US"/>
            </w:rPr>
          </w:pPr>
          <w:r w:rsidRPr="004269E9">
            <w:rPr>
              <w:noProof/>
              <w:color w:val="002060"/>
            </w:rPr>
            <w:t>4.3.1</w:t>
          </w:r>
          <w:r>
            <w:rPr>
              <w:noProof/>
              <w:sz w:val="22"/>
              <w:szCs w:val="22"/>
              <w:lang w:eastAsia="en-US"/>
            </w:rPr>
            <w:tab/>
          </w:r>
          <w:r w:rsidRPr="004269E9">
            <w:rPr>
              <w:noProof/>
              <w:color w:val="002060"/>
            </w:rPr>
            <w:t>Staff Release, Debrief &amp; Hot Wash</w:t>
          </w:r>
          <w:r>
            <w:rPr>
              <w:noProof/>
            </w:rPr>
            <w:tab/>
          </w:r>
          <w:r>
            <w:rPr>
              <w:noProof/>
            </w:rPr>
            <w:fldChar w:fldCharType="begin"/>
          </w:r>
          <w:r>
            <w:rPr>
              <w:noProof/>
            </w:rPr>
            <w:instrText xml:space="preserve"> PAGEREF _Toc11832786 \h </w:instrText>
          </w:r>
          <w:r>
            <w:rPr>
              <w:noProof/>
            </w:rPr>
          </w:r>
          <w:r>
            <w:rPr>
              <w:noProof/>
            </w:rPr>
            <w:fldChar w:fldCharType="separate"/>
          </w:r>
          <w:r>
            <w:rPr>
              <w:noProof/>
            </w:rPr>
            <w:t>47</w:t>
          </w:r>
          <w:r>
            <w:rPr>
              <w:noProof/>
            </w:rPr>
            <w:fldChar w:fldCharType="end"/>
          </w:r>
        </w:p>
        <w:p w14:paraId="1D5EA0EE" w14:textId="594F5A36" w:rsidR="006657D6" w:rsidRDefault="006657D6">
          <w:pPr>
            <w:pStyle w:val="TOC3"/>
            <w:tabs>
              <w:tab w:val="left" w:pos="880"/>
              <w:tab w:val="right" w:leader="dot" w:pos="9710"/>
            </w:tabs>
            <w:rPr>
              <w:noProof/>
              <w:sz w:val="22"/>
              <w:szCs w:val="22"/>
              <w:lang w:eastAsia="en-US"/>
            </w:rPr>
          </w:pPr>
          <w:r w:rsidRPr="004269E9">
            <w:rPr>
              <w:noProof/>
              <w:color w:val="002060"/>
            </w:rPr>
            <w:t>4.3.2</w:t>
          </w:r>
          <w:r>
            <w:rPr>
              <w:noProof/>
              <w:sz w:val="22"/>
              <w:szCs w:val="22"/>
              <w:lang w:eastAsia="en-US"/>
            </w:rPr>
            <w:tab/>
          </w:r>
          <w:r w:rsidRPr="004269E9">
            <w:rPr>
              <w:noProof/>
              <w:color w:val="002060"/>
            </w:rPr>
            <w:t>Post-Deployment Staff Services</w:t>
          </w:r>
          <w:r>
            <w:rPr>
              <w:noProof/>
            </w:rPr>
            <w:tab/>
          </w:r>
          <w:r>
            <w:rPr>
              <w:noProof/>
            </w:rPr>
            <w:fldChar w:fldCharType="begin"/>
          </w:r>
          <w:r>
            <w:rPr>
              <w:noProof/>
            </w:rPr>
            <w:instrText xml:space="preserve"> PAGEREF _Toc11832787 \h </w:instrText>
          </w:r>
          <w:r>
            <w:rPr>
              <w:noProof/>
            </w:rPr>
          </w:r>
          <w:r>
            <w:rPr>
              <w:noProof/>
            </w:rPr>
            <w:fldChar w:fldCharType="separate"/>
          </w:r>
          <w:r>
            <w:rPr>
              <w:noProof/>
            </w:rPr>
            <w:t>48</w:t>
          </w:r>
          <w:r>
            <w:rPr>
              <w:noProof/>
            </w:rPr>
            <w:fldChar w:fldCharType="end"/>
          </w:r>
        </w:p>
        <w:p w14:paraId="525090AB" w14:textId="4B874EC5" w:rsidR="006657D6" w:rsidRDefault="006657D6">
          <w:pPr>
            <w:pStyle w:val="TOC3"/>
            <w:tabs>
              <w:tab w:val="left" w:pos="880"/>
              <w:tab w:val="right" w:leader="dot" w:pos="9710"/>
            </w:tabs>
            <w:rPr>
              <w:noProof/>
              <w:sz w:val="22"/>
              <w:szCs w:val="22"/>
              <w:lang w:eastAsia="en-US"/>
            </w:rPr>
          </w:pPr>
          <w:r w:rsidRPr="004269E9">
            <w:rPr>
              <w:noProof/>
              <w:color w:val="002060"/>
            </w:rPr>
            <w:t>4.3.3</w:t>
          </w:r>
          <w:r>
            <w:rPr>
              <w:noProof/>
              <w:sz w:val="22"/>
              <w:szCs w:val="22"/>
              <w:lang w:eastAsia="en-US"/>
            </w:rPr>
            <w:tab/>
          </w:r>
          <w:r w:rsidRPr="004269E9">
            <w:rPr>
              <w:noProof/>
              <w:color w:val="002060"/>
            </w:rPr>
            <w:t>Staff Acknowledgement</w:t>
          </w:r>
          <w:r>
            <w:rPr>
              <w:noProof/>
            </w:rPr>
            <w:tab/>
          </w:r>
          <w:r>
            <w:rPr>
              <w:noProof/>
            </w:rPr>
            <w:fldChar w:fldCharType="begin"/>
          </w:r>
          <w:r>
            <w:rPr>
              <w:noProof/>
            </w:rPr>
            <w:instrText xml:space="preserve"> PAGEREF _Toc11832788 \h </w:instrText>
          </w:r>
          <w:r>
            <w:rPr>
              <w:noProof/>
            </w:rPr>
          </w:r>
          <w:r>
            <w:rPr>
              <w:noProof/>
            </w:rPr>
            <w:fldChar w:fldCharType="separate"/>
          </w:r>
          <w:r>
            <w:rPr>
              <w:noProof/>
            </w:rPr>
            <w:t>48</w:t>
          </w:r>
          <w:r>
            <w:rPr>
              <w:noProof/>
            </w:rPr>
            <w:fldChar w:fldCharType="end"/>
          </w:r>
        </w:p>
        <w:p w14:paraId="77CAD186" w14:textId="7BDF3ED1" w:rsidR="006657D6" w:rsidRDefault="006657D6">
          <w:pPr>
            <w:pStyle w:val="TOC2"/>
            <w:tabs>
              <w:tab w:val="left" w:pos="660"/>
              <w:tab w:val="right" w:leader="dot" w:pos="9710"/>
            </w:tabs>
            <w:rPr>
              <w:b w:val="0"/>
              <w:bCs w:val="0"/>
              <w:noProof/>
              <w:sz w:val="22"/>
              <w:szCs w:val="22"/>
              <w:lang w:eastAsia="en-US"/>
            </w:rPr>
          </w:pPr>
          <w:r w:rsidRPr="004269E9">
            <w:rPr>
              <w:noProof/>
              <w:color w:val="002060"/>
            </w:rPr>
            <w:t>4.4</w:t>
          </w:r>
          <w:r>
            <w:rPr>
              <w:b w:val="0"/>
              <w:bCs w:val="0"/>
              <w:noProof/>
              <w:sz w:val="22"/>
              <w:szCs w:val="22"/>
              <w:lang w:eastAsia="en-US"/>
            </w:rPr>
            <w:tab/>
          </w:r>
          <w:r w:rsidRPr="004269E9">
            <w:rPr>
              <w:noProof/>
              <w:color w:val="002060"/>
            </w:rPr>
            <w:t>EDS SITE DEACTIVATION</w:t>
          </w:r>
          <w:r>
            <w:rPr>
              <w:noProof/>
            </w:rPr>
            <w:tab/>
          </w:r>
          <w:r>
            <w:rPr>
              <w:noProof/>
            </w:rPr>
            <w:fldChar w:fldCharType="begin"/>
          </w:r>
          <w:r>
            <w:rPr>
              <w:noProof/>
            </w:rPr>
            <w:instrText xml:space="preserve"> PAGEREF _Toc11832789 \h </w:instrText>
          </w:r>
          <w:r>
            <w:rPr>
              <w:noProof/>
            </w:rPr>
          </w:r>
          <w:r>
            <w:rPr>
              <w:noProof/>
            </w:rPr>
            <w:fldChar w:fldCharType="separate"/>
          </w:r>
          <w:r>
            <w:rPr>
              <w:noProof/>
            </w:rPr>
            <w:t>48</w:t>
          </w:r>
          <w:r>
            <w:rPr>
              <w:noProof/>
            </w:rPr>
            <w:fldChar w:fldCharType="end"/>
          </w:r>
        </w:p>
        <w:p w14:paraId="3AD506FA" w14:textId="223A16E3" w:rsidR="006657D6" w:rsidRDefault="006657D6">
          <w:pPr>
            <w:pStyle w:val="TOC3"/>
            <w:tabs>
              <w:tab w:val="left" w:pos="880"/>
              <w:tab w:val="right" w:leader="dot" w:pos="9710"/>
            </w:tabs>
            <w:rPr>
              <w:noProof/>
              <w:sz w:val="22"/>
              <w:szCs w:val="22"/>
              <w:lang w:eastAsia="en-US"/>
            </w:rPr>
          </w:pPr>
          <w:r w:rsidRPr="004269E9">
            <w:rPr>
              <w:noProof/>
              <w:color w:val="002060"/>
            </w:rPr>
            <w:t>4.4.1</w:t>
          </w:r>
          <w:r>
            <w:rPr>
              <w:noProof/>
              <w:sz w:val="22"/>
              <w:szCs w:val="22"/>
              <w:lang w:eastAsia="en-US"/>
            </w:rPr>
            <w:tab/>
          </w:r>
          <w:r w:rsidRPr="004269E9">
            <w:rPr>
              <w:noProof/>
              <w:color w:val="002060"/>
            </w:rPr>
            <w:t>Waste Disposal</w:t>
          </w:r>
          <w:r>
            <w:rPr>
              <w:noProof/>
            </w:rPr>
            <w:tab/>
          </w:r>
          <w:r>
            <w:rPr>
              <w:noProof/>
            </w:rPr>
            <w:fldChar w:fldCharType="begin"/>
          </w:r>
          <w:r>
            <w:rPr>
              <w:noProof/>
            </w:rPr>
            <w:instrText xml:space="preserve"> PAGEREF _Toc11832790 \h </w:instrText>
          </w:r>
          <w:r>
            <w:rPr>
              <w:noProof/>
            </w:rPr>
          </w:r>
          <w:r>
            <w:rPr>
              <w:noProof/>
            </w:rPr>
            <w:fldChar w:fldCharType="separate"/>
          </w:r>
          <w:r>
            <w:rPr>
              <w:noProof/>
            </w:rPr>
            <w:t>49</w:t>
          </w:r>
          <w:r>
            <w:rPr>
              <w:noProof/>
            </w:rPr>
            <w:fldChar w:fldCharType="end"/>
          </w:r>
        </w:p>
        <w:p w14:paraId="1979840F" w14:textId="27FE27E1" w:rsidR="006657D6" w:rsidRDefault="006657D6">
          <w:pPr>
            <w:pStyle w:val="TOC3"/>
            <w:tabs>
              <w:tab w:val="left" w:pos="880"/>
              <w:tab w:val="right" w:leader="dot" w:pos="9710"/>
            </w:tabs>
            <w:rPr>
              <w:noProof/>
              <w:sz w:val="22"/>
              <w:szCs w:val="22"/>
              <w:lang w:eastAsia="en-US"/>
            </w:rPr>
          </w:pPr>
          <w:r w:rsidRPr="004269E9">
            <w:rPr>
              <w:noProof/>
              <w:color w:val="002060"/>
            </w:rPr>
            <w:t>4.4.2</w:t>
          </w:r>
          <w:r>
            <w:rPr>
              <w:noProof/>
              <w:sz w:val="22"/>
              <w:szCs w:val="22"/>
              <w:lang w:eastAsia="en-US"/>
            </w:rPr>
            <w:tab/>
          </w:r>
          <w:r w:rsidRPr="004269E9">
            <w:rPr>
              <w:noProof/>
              <w:color w:val="002060"/>
            </w:rPr>
            <w:t>Cleaning &amp; Disinfecting</w:t>
          </w:r>
          <w:r>
            <w:rPr>
              <w:noProof/>
            </w:rPr>
            <w:tab/>
          </w:r>
          <w:r>
            <w:rPr>
              <w:noProof/>
            </w:rPr>
            <w:fldChar w:fldCharType="begin"/>
          </w:r>
          <w:r>
            <w:rPr>
              <w:noProof/>
            </w:rPr>
            <w:instrText xml:space="preserve"> PAGEREF _Toc11832791 \h </w:instrText>
          </w:r>
          <w:r>
            <w:rPr>
              <w:noProof/>
            </w:rPr>
          </w:r>
          <w:r>
            <w:rPr>
              <w:noProof/>
            </w:rPr>
            <w:fldChar w:fldCharType="separate"/>
          </w:r>
          <w:r>
            <w:rPr>
              <w:noProof/>
            </w:rPr>
            <w:t>49</w:t>
          </w:r>
          <w:r>
            <w:rPr>
              <w:noProof/>
            </w:rPr>
            <w:fldChar w:fldCharType="end"/>
          </w:r>
        </w:p>
        <w:p w14:paraId="65CBE1C1" w14:textId="15D7E6EF" w:rsidR="006657D6" w:rsidRDefault="006657D6">
          <w:pPr>
            <w:pStyle w:val="TOC3"/>
            <w:tabs>
              <w:tab w:val="left" w:pos="880"/>
              <w:tab w:val="right" w:leader="dot" w:pos="9710"/>
            </w:tabs>
            <w:rPr>
              <w:noProof/>
              <w:sz w:val="22"/>
              <w:szCs w:val="22"/>
              <w:lang w:eastAsia="en-US"/>
            </w:rPr>
          </w:pPr>
          <w:r w:rsidRPr="004269E9">
            <w:rPr>
              <w:noProof/>
              <w:color w:val="002060"/>
            </w:rPr>
            <w:t>4.4.3</w:t>
          </w:r>
          <w:r>
            <w:rPr>
              <w:noProof/>
              <w:sz w:val="22"/>
              <w:szCs w:val="22"/>
              <w:lang w:eastAsia="en-US"/>
            </w:rPr>
            <w:tab/>
          </w:r>
          <w:r w:rsidRPr="004269E9">
            <w:rPr>
              <w:noProof/>
              <w:color w:val="002060"/>
            </w:rPr>
            <w:t>Site Damage Assessment</w:t>
          </w:r>
          <w:r>
            <w:rPr>
              <w:noProof/>
            </w:rPr>
            <w:tab/>
          </w:r>
          <w:r>
            <w:rPr>
              <w:noProof/>
            </w:rPr>
            <w:fldChar w:fldCharType="begin"/>
          </w:r>
          <w:r>
            <w:rPr>
              <w:noProof/>
            </w:rPr>
            <w:instrText xml:space="preserve"> PAGEREF _Toc11832792 \h </w:instrText>
          </w:r>
          <w:r>
            <w:rPr>
              <w:noProof/>
            </w:rPr>
          </w:r>
          <w:r>
            <w:rPr>
              <w:noProof/>
            </w:rPr>
            <w:fldChar w:fldCharType="separate"/>
          </w:r>
          <w:r>
            <w:rPr>
              <w:noProof/>
            </w:rPr>
            <w:t>49</w:t>
          </w:r>
          <w:r>
            <w:rPr>
              <w:noProof/>
            </w:rPr>
            <w:fldChar w:fldCharType="end"/>
          </w:r>
        </w:p>
        <w:p w14:paraId="59A08CB1" w14:textId="698F5496" w:rsidR="006657D6" w:rsidRDefault="006657D6">
          <w:pPr>
            <w:pStyle w:val="TOC2"/>
            <w:tabs>
              <w:tab w:val="left" w:pos="660"/>
              <w:tab w:val="right" w:leader="dot" w:pos="9710"/>
            </w:tabs>
            <w:rPr>
              <w:b w:val="0"/>
              <w:bCs w:val="0"/>
              <w:noProof/>
              <w:sz w:val="22"/>
              <w:szCs w:val="22"/>
              <w:lang w:eastAsia="en-US"/>
            </w:rPr>
          </w:pPr>
          <w:r w:rsidRPr="004269E9">
            <w:rPr>
              <w:noProof/>
              <w:color w:val="002060"/>
            </w:rPr>
            <w:t>4.5</w:t>
          </w:r>
          <w:r>
            <w:rPr>
              <w:b w:val="0"/>
              <w:bCs w:val="0"/>
              <w:noProof/>
              <w:sz w:val="22"/>
              <w:szCs w:val="22"/>
              <w:lang w:eastAsia="en-US"/>
            </w:rPr>
            <w:tab/>
          </w:r>
          <w:r w:rsidRPr="004269E9">
            <w:rPr>
              <w:noProof/>
              <w:color w:val="002060"/>
            </w:rPr>
            <w:t>AFTER-ACTION REVIEW &amp; EVALUATION</w:t>
          </w:r>
          <w:r>
            <w:rPr>
              <w:noProof/>
            </w:rPr>
            <w:tab/>
          </w:r>
          <w:r>
            <w:rPr>
              <w:noProof/>
            </w:rPr>
            <w:fldChar w:fldCharType="begin"/>
          </w:r>
          <w:r>
            <w:rPr>
              <w:noProof/>
            </w:rPr>
            <w:instrText xml:space="preserve"> PAGEREF _Toc11832793 \h </w:instrText>
          </w:r>
          <w:r>
            <w:rPr>
              <w:noProof/>
            </w:rPr>
          </w:r>
          <w:r>
            <w:rPr>
              <w:noProof/>
            </w:rPr>
            <w:fldChar w:fldCharType="separate"/>
          </w:r>
          <w:r>
            <w:rPr>
              <w:noProof/>
            </w:rPr>
            <w:t>49</w:t>
          </w:r>
          <w:r>
            <w:rPr>
              <w:noProof/>
            </w:rPr>
            <w:fldChar w:fldCharType="end"/>
          </w:r>
        </w:p>
        <w:p w14:paraId="7F424B7F" w14:textId="684014D1" w:rsidR="006657D6" w:rsidRDefault="006657D6">
          <w:pPr>
            <w:pStyle w:val="TOC2"/>
            <w:tabs>
              <w:tab w:val="left" w:pos="660"/>
              <w:tab w:val="right" w:leader="dot" w:pos="9710"/>
            </w:tabs>
            <w:rPr>
              <w:b w:val="0"/>
              <w:bCs w:val="0"/>
              <w:noProof/>
              <w:sz w:val="22"/>
              <w:szCs w:val="22"/>
              <w:lang w:eastAsia="en-US"/>
            </w:rPr>
          </w:pPr>
          <w:r w:rsidRPr="004269E9">
            <w:rPr>
              <w:noProof/>
              <w:color w:val="002060"/>
            </w:rPr>
            <w:t>4.6</w:t>
          </w:r>
          <w:r>
            <w:rPr>
              <w:b w:val="0"/>
              <w:bCs w:val="0"/>
              <w:noProof/>
              <w:sz w:val="22"/>
              <w:szCs w:val="22"/>
              <w:lang w:eastAsia="en-US"/>
            </w:rPr>
            <w:tab/>
          </w:r>
          <w:r w:rsidRPr="004269E9">
            <w:rPr>
              <w:noProof/>
              <w:color w:val="002060"/>
            </w:rPr>
            <w:t>RECOVERY</w:t>
          </w:r>
          <w:r>
            <w:rPr>
              <w:noProof/>
            </w:rPr>
            <w:tab/>
          </w:r>
          <w:r>
            <w:rPr>
              <w:noProof/>
            </w:rPr>
            <w:fldChar w:fldCharType="begin"/>
          </w:r>
          <w:r>
            <w:rPr>
              <w:noProof/>
            </w:rPr>
            <w:instrText xml:space="preserve"> PAGEREF _Toc11832794 \h </w:instrText>
          </w:r>
          <w:r>
            <w:rPr>
              <w:noProof/>
            </w:rPr>
          </w:r>
          <w:r>
            <w:rPr>
              <w:noProof/>
            </w:rPr>
            <w:fldChar w:fldCharType="separate"/>
          </w:r>
          <w:r>
            <w:rPr>
              <w:noProof/>
            </w:rPr>
            <w:t>49</w:t>
          </w:r>
          <w:r>
            <w:rPr>
              <w:noProof/>
            </w:rPr>
            <w:fldChar w:fldCharType="end"/>
          </w:r>
        </w:p>
        <w:p w14:paraId="2D57483D" w14:textId="3A3081BD" w:rsidR="006657D6" w:rsidRDefault="006657D6">
          <w:pPr>
            <w:pStyle w:val="TOC1"/>
            <w:tabs>
              <w:tab w:val="left" w:pos="440"/>
              <w:tab w:val="right" w:leader="dot" w:pos="9710"/>
            </w:tabs>
            <w:rPr>
              <w:rFonts w:asciiTheme="minorHAnsi" w:hAnsiTheme="minorHAnsi"/>
              <w:b w:val="0"/>
              <w:bCs w:val="0"/>
              <w:caps w:val="0"/>
              <w:noProof/>
              <w:sz w:val="22"/>
              <w:szCs w:val="22"/>
              <w:lang w:eastAsia="en-US"/>
            </w:rPr>
          </w:pPr>
          <w:r w:rsidRPr="004269E9">
            <w:rPr>
              <w:noProof/>
              <w:color w:val="ED7D31" w:themeColor="accent2"/>
            </w:rPr>
            <w:t>5</w:t>
          </w:r>
          <w:r>
            <w:rPr>
              <w:rFonts w:asciiTheme="minorHAnsi" w:hAnsiTheme="minorHAnsi"/>
              <w:b w:val="0"/>
              <w:bCs w:val="0"/>
              <w:caps w:val="0"/>
              <w:noProof/>
              <w:sz w:val="22"/>
              <w:szCs w:val="22"/>
              <w:lang w:eastAsia="en-US"/>
            </w:rPr>
            <w:tab/>
          </w:r>
          <w:r w:rsidRPr="004269E9">
            <w:rPr>
              <w:noProof/>
              <w:color w:val="ED7D31" w:themeColor="accent2"/>
            </w:rPr>
            <w:t>PLAN DEVELOPMENT &amp; MAINTENANCE</w:t>
          </w:r>
          <w:r>
            <w:rPr>
              <w:noProof/>
            </w:rPr>
            <w:tab/>
          </w:r>
          <w:r>
            <w:rPr>
              <w:noProof/>
            </w:rPr>
            <w:fldChar w:fldCharType="begin"/>
          </w:r>
          <w:r>
            <w:rPr>
              <w:noProof/>
            </w:rPr>
            <w:instrText xml:space="preserve"> PAGEREF _Toc11832795 \h </w:instrText>
          </w:r>
          <w:r>
            <w:rPr>
              <w:noProof/>
            </w:rPr>
          </w:r>
          <w:r>
            <w:rPr>
              <w:noProof/>
            </w:rPr>
            <w:fldChar w:fldCharType="separate"/>
          </w:r>
          <w:r>
            <w:rPr>
              <w:noProof/>
            </w:rPr>
            <w:t>51</w:t>
          </w:r>
          <w:r>
            <w:rPr>
              <w:noProof/>
            </w:rPr>
            <w:fldChar w:fldCharType="end"/>
          </w:r>
        </w:p>
        <w:p w14:paraId="087B24CE" w14:textId="370F1D3E" w:rsidR="006657D6" w:rsidRDefault="006657D6">
          <w:pPr>
            <w:pStyle w:val="TOC2"/>
            <w:tabs>
              <w:tab w:val="left" w:pos="660"/>
              <w:tab w:val="right" w:leader="dot" w:pos="9710"/>
            </w:tabs>
            <w:rPr>
              <w:b w:val="0"/>
              <w:bCs w:val="0"/>
              <w:noProof/>
              <w:sz w:val="22"/>
              <w:szCs w:val="22"/>
              <w:lang w:eastAsia="en-US"/>
            </w:rPr>
          </w:pPr>
          <w:r w:rsidRPr="004269E9">
            <w:rPr>
              <w:noProof/>
              <w:color w:val="002060"/>
            </w:rPr>
            <w:t>5.1</w:t>
          </w:r>
          <w:r>
            <w:rPr>
              <w:b w:val="0"/>
              <w:bCs w:val="0"/>
              <w:noProof/>
              <w:sz w:val="22"/>
              <w:szCs w:val="22"/>
              <w:lang w:eastAsia="en-US"/>
            </w:rPr>
            <w:tab/>
          </w:r>
          <w:r w:rsidRPr="004269E9">
            <w:rPr>
              <w:noProof/>
              <w:color w:val="002060"/>
            </w:rPr>
            <w:t>PLAN DEVELOPMENT</w:t>
          </w:r>
          <w:r>
            <w:rPr>
              <w:noProof/>
            </w:rPr>
            <w:tab/>
          </w:r>
          <w:r>
            <w:rPr>
              <w:noProof/>
            </w:rPr>
            <w:fldChar w:fldCharType="begin"/>
          </w:r>
          <w:r>
            <w:rPr>
              <w:noProof/>
            </w:rPr>
            <w:instrText xml:space="preserve"> PAGEREF _Toc11832796 \h </w:instrText>
          </w:r>
          <w:r>
            <w:rPr>
              <w:noProof/>
            </w:rPr>
          </w:r>
          <w:r>
            <w:rPr>
              <w:noProof/>
            </w:rPr>
            <w:fldChar w:fldCharType="separate"/>
          </w:r>
          <w:r>
            <w:rPr>
              <w:noProof/>
            </w:rPr>
            <w:t>51</w:t>
          </w:r>
          <w:r>
            <w:rPr>
              <w:noProof/>
            </w:rPr>
            <w:fldChar w:fldCharType="end"/>
          </w:r>
        </w:p>
        <w:p w14:paraId="773FA1BD" w14:textId="07447CA8" w:rsidR="006657D6" w:rsidRDefault="006657D6">
          <w:pPr>
            <w:pStyle w:val="TOC3"/>
            <w:tabs>
              <w:tab w:val="left" w:pos="880"/>
              <w:tab w:val="right" w:leader="dot" w:pos="9710"/>
            </w:tabs>
            <w:rPr>
              <w:noProof/>
              <w:sz w:val="22"/>
              <w:szCs w:val="22"/>
              <w:lang w:eastAsia="en-US"/>
            </w:rPr>
          </w:pPr>
          <w:r w:rsidRPr="004269E9">
            <w:rPr>
              <w:noProof/>
              <w:color w:val="002060"/>
            </w:rPr>
            <w:t>5.1.1</w:t>
          </w:r>
          <w:r>
            <w:rPr>
              <w:noProof/>
              <w:sz w:val="22"/>
              <w:szCs w:val="22"/>
              <w:lang w:eastAsia="en-US"/>
            </w:rPr>
            <w:tab/>
          </w:r>
          <w:r w:rsidRPr="004269E9">
            <w:rPr>
              <w:noProof/>
              <w:color w:val="002060"/>
            </w:rPr>
            <w:t>Planning Team</w:t>
          </w:r>
          <w:r>
            <w:rPr>
              <w:noProof/>
            </w:rPr>
            <w:tab/>
          </w:r>
          <w:r>
            <w:rPr>
              <w:noProof/>
            </w:rPr>
            <w:fldChar w:fldCharType="begin"/>
          </w:r>
          <w:r>
            <w:rPr>
              <w:noProof/>
            </w:rPr>
            <w:instrText xml:space="preserve"> PAGEREF _Toc11832797 \h </w:instrText>
          </w:r>
          <w:r>
            <w:rPr>
              <w:noProof/>
            </w:rPr>
          </w:r>
          <w:r>
            <w:rPr>
              <w:noProof/>
            </w:rPr>
            <w:fldChar w:fldCharType="separate"/>
          </w:r>
          <w:r>
            <w:rPr>
              <w:noProof/>
            </w:rPr>
            <w:t>51</w:t>
          </w:r>
          <w:r>
            <w:rPr>
              <w:noProof/>
            </w:rPr>
            <w:fldChar w:fldCharType="end"/>
          </w:r>
        </w:p>
        <w:p w14:paraId="5F2CC49F" w14:textId="12E277BC" w:rsidR="006657D6" w:rsidRDefault="006657D6">
          <w:pPr>
            <w:pStyle w:val="TOC3"/>
            <w:tabs>
              <w:tab w:val="left" w:pos="880"/>
              <w:tab w:val="right" w:leader="dot" w:pos="9710"/>
            </w:tabs>
            <w:rPr>
              <w:noProof/>
              <w:sz w:val="22"/>
              <w:szCs w:val="22"/>
              <w:lang w:eastAsia="en-US"/>
            </w:rPr>
          </w:pPr>
          <w:r w:rsidRPr="004269E9">
            <w:rPr>
              <w:noProof/>
              <w:color w:val="002060"/>
            </w:rPr>
            <w:t>5.1.2</w:t>
          </w:r>
          <w:r>
            <w:rPr>
              <w:noProof/>
              <w:sz w:val="22"/>
              <w:szCs w:val="22"/>
              <w:lang w:eastAsia="en-US"/>
            </w:rPr>
            <w:tab/>
          </w:r>
          <w:r w:rsidRPr="004269E9">
            <w:rPr>
              <w:noProof/>
              <w:color w:val="002060"/>
            </w:rPr>
            <w:t>Planning Objectives</w:t>
          </w:r>
          <w:r>
            <w:rPr>
              <w:noProof/>
            </w:rPr>
            <w:tab/>
          </w:r>
          <w:r>
            <w:rPr>
              <w:noProof/>
            </w:rPr>
            <w:fldChar w:fldCharType="begin"/>
          </w:r>
          <w:r>
            <w:rPr>
              <w:noProof/>
            </w:rPr>
            <w:instrText xml:space="preserve"> PAGEREF _Toc11832798 \h </w:instrText>
          </w:r>
          <w:r>
            <w:rPr>
              <w:noProof/>
            </w:rPr>
          </w:r>
          <w:r>
            <w:rPr>
              <w:noProof/>
            </w:rPr>
            <w:fldChar w:fldCharType="separate"/>
          </w:r>
          <w:r>
            <w:rPr>
              <w:noProof/>
            </w:rPr>
            <w:t>52</w:t>
          </w:r>
          <w:r>
            <w:rPr>
              <w:noProof/>
            </w:rPr>
            <w:fldChar w:fldCharType="end"/>
          </w:r>
        </w:p>
        <w:p w14:paraId="537FF66E" w14:textId="0E971536" w:rsidR="006657D6" w:rsidRDefault="006657D6">
          <w:pPr>
            <w:pStyle w:val="TOC3"/>
            <w:tabs>
              <w:tab w:val="left" w:pos="880"/>
              <w:tab w:val="right" w:leader="dot" w:pos="9710"/>
            </w:tabs>
            <w:rPr>
              <w:noProof/>
              <w:sz w:val="22"/>
              <w:szCs w:val="22"/>
              <w:lang w:eastAsia="en-US"/>
            </w:rPr>
          </w:pPr>
          <w:r w:rsidRPr="004269E9">
            <w:rPr>
              <w:noProof/>
              <w:color w:val="002060"/>
            </w:rPr>
            <w:t>5.1.3</w:t>
          </w:r>
          <w:r>
            <w:rPr>
              <w:noProof/>
              <w:sz w:val="22"/>
              <w:szCs w:val="22"/>
              <w:lang w:eastAsia="en-US"/>
            </w:rPr>
            <w:tab/>
          </w:r>
          <w:r w:rsidRPr="004269E9">
            <w:rPr>
              <w:noProof/>
              <w:color w:val="002060"/>
            </w:rPr>
            <w:t>Plan Format &amp; Structure</w:t>
          </w:r>
          <w:r>
            <w:rPr>
              <w:noProof/>
            </w:rPr>
            <w:tab/>
          </w:r>
          <w:r>
            <w:rPr>
              <w:noProof/>
            </w:rPr>
            <w:fldChar w:fldCharType="begin"/>
          </w:r>
          <w:r>
            <w:rPr>
              <w:noProof/>
            </w:rPr>
            <w:instrText xml:space="preserve"> PAGEREF _Toc11832799 \h </w:instrText>
          </w:r>
          <w:r>
            <w:rPr>
              <w:noProof/>
            </w:rPr>
          </w:r>
          <w:r>
            <w:rPr>
              <w:noProof/>
            </w:rPr>
            <w:fldChar w:fldCharType="separate"/>
          </w:r>
          <w:r>
            <w:rPr>
              <w:noProof/>
            </w:rPr>
            <w:t>52</w:t>
          </w:r>
          <w:r>
            <w:rPr>
              <w:noProof/>
            </w:rPr>
            <w:fldChar w:fldCharType="end"/>
          </w:r>
        </w:p>
        <w:p w14:paraId="6F1DBEA9" w14:textId="41F356F6" w:rsidR="006657D6" w:rsidRDefault="006657D6">
          <w:pPr>
            <w:pStyle w:val="TOC3"/>
            <w:tabs>
              <w:tab w:val="left" w:pos="880"/>
              <w:tab w:val="right" w:leader="dot" w:pos="9710"/>
            </w:tabs>
            <w:rPr>
              <w:noProof/>
              <w:sz w:val="22"/>
              <w:szCs w:val="22"/>
              <w:lang w:eastAsia="en-US"/>
            </w:rPr>
          </w:pPr>
          <w:r w:rsidRPr="004269E9">
            <w:rPr>
              <w:noProof/>
              <w:color w:val="002060"/>
            </w:rPr>
            <w:t>5.1.4</w:t>
          </w:r>
          <w:r>
            <w:rPr>
              <w:noProof/>
              <w:sz w:val="22"/>
              <w:szCs w:val="22"/>
              <w:lang w:eastAsia="en-US"/>
            </w:rPr>
            <w:tab/>
          </w:r>
          <w:r w:rsidRPr="004269E9">
            <w:rPr>
              <w:noProof/>
              <w:color w:val="002060"/>
            </w:rPr>
            <w:t>Risk Assessments</w:t>
          </w:r>
          <w:r>
            <w:rPr>
              <w:noProof/>
            </w:rPr>
            <w:tab/>
          </w:r>
          <w:r>
            <w:rPr>
              <w:noProof/>
            </w:rPr>
            <w:fldChar w:fldCharType="begin"/>
          </w:r>
          <w:r>
            <w:rPr>
              <w:noProof/>
            </w:rPr>
            <w:instrText xml:space="preserve"> PAGEREF _Toc11832800 \h </w:instrText>
          </w:r>
          <w:r>
            <w:rPr>
              <w:noProof/>
            </w:rPr>
          </w:r>
          <w:r>
            <w:rPr>
              <w:noProof/>
            </w:rPr>
            <w:fldChar w:fldCharType="separate"/>
          </w:r>
          <w:r>
            <w:rPr>
              <w:noProof/>
            </w:rPr>
            <w:t>52</w:t>
          </w:r>
          <w:r>
            <w:rPr>
              <w:noProof/>
            </w:rPr>
            <w:fldChar w:fldCharType="end"/>
          </w:r>
        </w:p>
        <w:p w14:paraId="63285E64" w14:textId="2794A7B1" w:rsidR="006657D6" w:rsidRDefault="006657D6">
          <w:pPr>
            <w:pStyle w:val="TOC3"/>
            <w:tabs>
              <w:tab w:val="left" w:pos="880"/>
              <w:tab w:val="right" w:leader="dot" w:pos="9710"/>
            </w:tabs>
            <w:rPr>
              <w:noProof/>
              <w:sz w:val="22"/>
              <w:szCs w:val="22"/>
              <w:lang w:eastAsia="en-US"/>
            </w:rPr>
          </w:pPr>
          <w:r w:rsidRPr="004269E9">
            <w:rPr>
              <w:noProof/>
              <w:color w:val="002060"/>
            </w:rPr>
            <w:t>5.1.5</w:t>
          </w:r>
          <w:r>
            <w:rPr>
              <w:noProof/>
              <w:sz w:val="22"/>
              <w:szCs w:val="22"/>
              <w:lang w:eastAsia="en-US"/>
            </w:rPr>
            <w:tab/>
          </w:r>
          <w:r w:rsidRPr="004269E9">
            <w:rPr>
              <w:noProof/>
              <w:color w:val="002060"/>
            </w:rPr>
            <w:t>Jurisdictional Characteristics</w:t>
          </w:r>
          <w:r>
            <w:rPr>
              <w:noProof/>
            </w:rPr>
            <w:tab/>
          </w:r>
          <w:r>
            <w:rPr>
              <w:noProof/>
            </w:rPr>
            <w:fldChar w:fldCharType="begin"/>
          </w:r>
          <w:r>
            <w:rPr>
              <w:noProof/>
            </w:rPr>
            <w:instrText xml:space="preserve"> PAGEREF _Toc11832801 \h </w:instrText>
          </w:r>
          <w:r>
            <w:rPr>
              <w:noProof/>
            </w:rPr>
          </w:r>
          <w:r>
            <w:rPr>
              <w:noProof/>
            </w:rPr>
            <w:fldChar w:fldCharType="separate"/>
          </w:r>
          <w:r>
            <w:rPr>
              <w:noProof/>
            </w:rPr>
            <w:t>52</w:t>
          </w:r>
          <w:r>
            <w:rPr>
              <w:noProof/>
            </w:rPr>
            <w:fldChar w:fldCharType="end"/>
          </w:r>
        </w:p>
        <w:p w14:paraId="1EBA0C0E" w14:textId="1CBED6E2" w:rsidR="006657D6" w:rsidRDefault="006657D6">
          <w:pPr>
            <w:pStyle w:val="TOC3"/>
            <w:tabs>
              <w:tab w:val="left" w:pos="880"/>
              <w:tab w:val="right" w:leader="dot" w:pos="9710"/>
            </w:tabs>
            <w:rPr>
              <w:noProof/>
              <w:sz w:val="22"/>
              <w:szCs w:val="22"/>
              <w:lang w:eastAsia="en-US"/>
            </w:rPr>
          </w:pPr>
          <w:r w:rsidRPr="004269E9">
            <w:rPr>
              <w:noProof/>
              <w:color w:val="002060"/>
            </w:rPr>
            <w:t>5.1.6</w:t>
          </w:r>
          <w:r>
            <w:rPr>
              <w:noProof/>
              <w:sz w:val="22"/>
              <w:szCs w:val="22"/>
              <w:lang w:eastAsia="en-US"/>
            </w:rPr>
            <w:tab/>
          </w:r>
          <w:r w:rsidRPr="004269E9">
            <w:rPr>
              <w:noProof/>
              <w:color w:val="002060"/>
            </w:rPr>
            <w:t>Demographics</w:t>
          </w:r>
          <w:r>
            <w:rPr>
              <w:noProof/>
            </w:rPr>
            <w:tab/>
          </w:r>
          <w:r>
            <w:rPr>
              <w:noProof/>
            </w:rPr>
            <w:fldChar w:fldCharType="begin"/>
          </w:r>
          <w:r>
            <w:rPr>
              <w:noProof/>
            </w:rPr>
            <w:instrText xml:space="preserve"> PAGEREF _Toc11832802 \h </w:instrText>
          </w:r>
          <w:r>
            <w:rPr>
              <w:noProof/>
            </w:rPr>
          </w:r>
          <w:r>
            <w:rPr>
              <w:noProof/>
            </w:rPr>
            <w:fldChar w:fldCharType="separate"/>
          </w:r>
          <w:r>
            <w:rPr>
              <w:noProof/>
            </w:rPr>
            <w:t>53</w:t>
          </w:r>
          <w:r>
            <w:rPr>
              <w:noProof/>
            </w:rPr>
            <w:fldChar w:fldCharType="end"/>
          </w:r>
        </w:p>
        <w:p w14:paraId="626D33E0" w14:textId="7D0058CA" w:rsidR="006657D6" w:rsidRDefault="006657D6">
          <w:pPr>
            <w:pStyle w:val="TOC3"/>
            <w:tabs>
              <w:tab w:val="left" w:pos="880"/>
              <w:tab w:val="right" w:leader="dot" w:pos="9710"/>
            </w:tabs>
            <w:rPr>
              <w:noProof/>
              <w:sz w:val="22"/>
              <w:szCs w:val="22"/>
              <w:lang w:eastAsia="en-US"/>
            </w:rPr>
          </w:pPr>
          <w:r w:rsidRPr="004269E9">
            <w:rPr>
              <w:noProof/>
              <w:color w:val="002060"/>
            </w:rPr>
            <w:t>5.1.7</w:t>
          </w:r>
          <w:r>
            <w:rPr>
              <w:noProof/>
              <w:sz w:val="22"/>
              <w:szCs w:val="22"/>
              <w:lang w:eastAsia="en-US"/>
            </w:rPr>
            <w:tab/>
          </w:r>
          <w:r w:rsidRPr="004269E9">
            <w:rPr>
              <w:noProof/>
              <w:color w:val="002060"/>
            </w:rPr>
            <w:t>Site Selection</w:t>
          </w:r>
          <w:r>
            <w:rPr>
              <w:noProof/>
            </w:rPr>
            <w:tab/>
          </w:r>
          <w:r>
            <w:rPr>
              <w:noProof/>
            </w:rPr>
            <w:fldChar w:fldCharType="begin"/>
          </w:r>
          <w:r>
            <w:rPr>
              <w:noProof/>
            </w:rPr>
            <w:instrText xml:space="preserve"> PAGEREF _Toc11832803 \h </w:instrText>
          </w:r>
          <w:r>
            <w:rPr>
              <w:noProof/>
            </w:rPr>
          </w:r>
          <w:r>
            <w:rPr>
              <w:noProof/>
            </w:rPr>
            <w:fldChar w:fldCharType="separate"/>
          </w:r>
          <w:r>
            <w:rPr>
              <w:noProof/>
            </w:rPr>
            <w:t>54</w:t>
          </w:r>
          <w:r>
            <w:rPr>
              <w:noProof/>
            </w:rPr>
            <w:fldChar w:fldCharType="end"/>
          </w:r>
        </w:p>
        <w:p w14:paraId="126BFA76" w14:textId="3BB64FFD" w:rsidR="006657D6" w:rsidRDefault="006657D6">
          <w:pPr>
            <w:pStyle w:val="TOC3"/>
            <w:tabs>
              <w:tab w:val="left" w:pos="880"/>
              <w:tab w:val="right" w:leader="dot" w:pos="9710"/>
            </w:tabs>
            <w:rPr>
              <w:noProof/>
              <w:sz w:val="22"/>
              <w:szCs w:val="22"/>
              <w:lang w:eastAsia="en-US"/>
            </w:rPr>
          </w:pPr>
          <w:r w:rsidRPr="004269E9">
            <w:rPr>
              <w:noProof/>
              <w:color w:val="002060"/>
            </w:rPr>
            <w:t>5.1.8</w:t>
          </w:r>
          <w:r>
            <w:rPr>
              <w:noProof/>
              <w:sz w:val="22"/>
              <w:szCs w:val="22"/>
              <w:lang w:eastAsia="en-US"/>
            </w:rPr>
            <w:tab/>
          </w:r>
          <w:r w:rsidRPr="004269E9">
            <w:rPr>
              <w:noProof/>
              <w:color w:val="002060"/>
            </w:rPr>
            <w:t>Security Planning</w:t>
          </w:r>
          <w:r>
            <w:rPr>
              <w:noProof/>
            </w:rPr>
            <w:tab/>
          </w:r>
          <w:r>
            <w:rPr>
              <w:noProof/>
            </w:rPr>
            <w:fldChar w:fldCharType="begin"/>
          </w:r>
          <w:r>
            <w:rPr>
              <w:noProof/>
            </w:rPr>
            <w:instrText xml:space="preserve"> PAGEREF _Toc11832804 \h </w:instrText>
          </w:r>
          <w:r>
            <w:rPr>
              <w:noProof/>
            </w:rPr>
          </w:r>
          <w:r>
            <w:rPr>
              <w:noProof/>
            </w:rPr>
            <w:fldChar w:fldCharType="separate"/>
          </w:r>
          <w:r>
            <w:rPr>
              <w:noProof/>
            </w:rPr>
            <w:t>54</w:t>
          </w:r>
          <w:r>
            <w:rPr>
              <w:noProof/>
            </w:rPr>
            <w:fldChar w:fldCharType="end"/>
          </w:r>
        </w:p>
        <w:p w14:paraId="53742B6D" w14:textId="5E3AA0EE" w:rsidR="006657D6" w:rsidRDefault="006657D6">
          <w:pPr>
            <w:pStyle w:val="TOC3"/>
            <w:tabs>
              <w:tab w:val="left" w:pos="880"/>
              <w:tab w:val="right" w:leader="dot" w:pos="9710"/>
            </w:tabs>
            <w:rPr>
              <w:noProof/>
              <w:sz w:val="22"/>
              <w:szCs w:val="22"/>
              <w:lang w:eastAsia="en-US"/>
            </w:rPr>
          </w:pPr>
          <w:r w:rsidRPr="004269E9">
            <w:rPr>
              <w:noProof/>
              <w:color w:val="002060"/>
            </w:rPr>
            <w:t>5.1.9</w:t>
          </w:r>
          <w:r>
            <w:rPr>
              <w:noProof/>
              <w:sz w:val="22"/>
              <w:szCs w:val="22"/>
              <w:lang w:eastAsia="en-US"/>
            </w:rPr>
            <w:tab/>
          </w:r>
          <w:r w:rsidRPr="004269E9">
            <w:rPr>
              <w:noProof/>
              <w:color w:val="002060"/>
            </w:rPr>
            <w:t>Transportation Assets Planning</w:t>
          </w:r>
          <w:r>
            <w:rPr>
              <w:noProof/>
            </w:rPr>
            <w:tab/>
          </w:r>
          <w:r>
            <w:rPr>
              <w:noProof/>
            </w:rPr>
            <w:fldChar w:fldCharType="begin"/>
          </w:r>
          <w:r>
            <w:rPr>
              <w:noProof/>
            </w:rPr>
            <w:instrText xml:space="preserve"> PAGEREF _Toc11832805 \h </w:instrText>
          </w:r>
          <w:r>
            <w:rPr>
              <w:noProof/>
            </w:rPr>
          </w:r>
          <w:r>
            <w:rPr>
              <w:noProof/>
            </w:rPr>
            <w:fldChar w:fldCharType="separate"/>
          </w:r>
          <w:r>
            <w:rPr>
              <w:noProof/>
            </w:rPr>
            <w:t>55</w:t>
          </w:r>
          <w:r>
            <w:rPr>
              <w:noProof/>
            </w:rPr>
            <w:fldChar w:fldCharType="end"/>
          </w:r>
        </w:p>
        <w:p w14:paraId="2AB2D508" w14:textId="75F3B7BE" w:rsidR="006657D6" w:rsidRDefault="006657D6">
          <w:pPr>
            <w:pStyle w:val="TOC3"/>
            <w:tabs>
              <w:tab w:val="left" w:pos="1100"/>
              <w:tab w:val="right" w:leader="dot" w:pos="9710"/>
            </w:tabs>
            <w:rPr>
              <w:noProof/>
              <w:sz w:val="22"/>
              <w:szCs w:val="22"/>
              <w:lang w:eastAsia="en-US"/>
            </w:rPr>
          </w:pPr>
          <w:r w:rsidRPr="004269E9">
            <w:rPr>
              <w:noProof/>
              <w:color w:val="002060"/>
            </w:rPr>
            <w:t>5.1.10</w:t>
          </w:r>
          <w:r>
            <w:rPr>
              <w:noProof/>
              <w:sz w:val="22"/>
              <w:szCs w:val="22"/>
              <w:lang w:eastAsia="en-US"/>
            </w:rPr>
            <w:tab/>
          </w:r>
          <w:r w:rsidRPr="004269E9">
            <w:rPr>
              <w:noProof/>
              <w:color w:val="002060"/>
            </w:rPr>
            <w:t>Volunteer Recruitment</w:t>
          </w:r>
          <w:r>
            <w:rPr>
              <w:noProof/>
            </w:rPr>
            <w:tab/>
          </w:r>
          <w:r>
            <w:rPr>
              <w:noProof/>
            </w:rPr>
            <w:fldChar w:fldCharType="begin"/>
          </w:r>
          <w:r>
            <w:rPr>
              <w:noProof/>
            </w:rPr>
            <w:instrText xml:space="preserve"> PAGEREF _Toc11832806 \h </w:instrText>
          </w:r>
          <w:r>
            <w:rPr>
              <w:noProof/>
            </w:rPr>
          </w:r>
          <w:r>
            <w:rPr>
              <w:noProof/>
            </w:rPr>
            <w:fldChar w:fldCharType="separate"/>
          </w:r>
          <w:r>
            <w:rPr>
              <w:noProof/>
            </w:rPr>
            <w:t>55</w:t>
          </w:r>
          <w:r>
            <w:rPr>
              <w:noProof/>
            </w:rPr>
            <w:fldChar w:fldCharType="end"/>
          </w:r>
        </w:p>
        <w:p w14:paraId="29A364FB" w14:textId="2D6CCA21" w:rsidR="006657D6" w:rsidRDefault="006657D6">
          <w:pPr>
            <w:pStyle w:val="TOC3"/>
            <w:tabs>
              <w:tab w:val="left" w:pos="1100"/>
              <w:tab w:val="right" w:leader="dot" w:pos="9710"/>
            </w:tabs>
            <w:rPr>
              <w:noProof/>
              <w:sz w:val="22"/>
              <w:szCs w:val="22"/>
              <w:lang w:eastAsia="en-US"/>
            </w:rPr>
          </w:pPr>
          <w:r w:rsidRPr="004269E9">
            <w:rPr>
              <w:noProof/>
              <w:color w:val="002060"/>
            </w:rPr>
            <w:t>5.1.11</w:t>
          </w:r>
          <w:r>
            <w:rPr>
              <w:noProof/>
              <w:sz w:val="22"/>
              <w:szCs w:val="22"/>
              <w:lang w:eastAsia="en-US"/>
            </w:rPr>
            <w:tab/>
          </w:r>
          <w:r w:rsidRPr="004269E9">
            <w:rPr>
              <w:noProof/>
              <w:color w:val="002060"/>
            </w:rPr>
            <w:t>Role Assignments &amp; Agreement</w:t>
          </w:r>
          <w:r>
            <w:rPr>
              <w:noProof/>
            </w:rPr>
            <w:tab/>
          </w:r>
          <w:r>
            <w:rPr>
              <w:noProof/>
            </w:rPr>
            <w:fldChar w:fldCharType="begin"/>
          </w:r>
          <w:r>
            <w:rPr>
              <w:noProof/>
            </w:rPr>
            <w:instrText xml:space="preserve"> PAGEREF _Toc11832807 \h </w:instrText>
          </w:r>
          <w:r>
            <w:rPr>
              <w:noProof/>
            </w:rPr>
          </w:r>
          <w:r>
            <w:rPr>
              <w:noProof/>
            </w:rPr>
            <w:fldChar w:fldCharType="separate"/>
          </w:r>
          <w:r>
            <w:rPr>
              <w:noProof/>
            </w:rPr>
            <w:t>55</w:t>
          </w:r>
          <w:r>
            <w:rPr>
              <w:noProof/>
            </w:rPr>
            <w:fldChar w:fldCharType="end"/>
          </w:r>
        </w:p>
        <w:p w14:paraId="7C65B930" w14:textId="35865938" w:rsidR="006657D6" w:rsidRDefault="006657D6">
          <w:pPr>
            <w:pStyle w:val="TOC2"/>
            <w:tabs>
              <w:tab w:val="left" w:pos="660"/>
              <w:tab w:val="right" w:leader="dot" w:pos="9710"/>
            </w:tabs>
            <w:rPr>
              <w:b w:val="0"/>
              <w:bCs w:val="0"/>
              <w:noProof/>
              <w:sz w:val="22"/>
              <w:szCs w:val="22"/>
              <w:lang w:eastAsia="en-US"/>
            </w:rPr>
          </w:pPr>
          <w:r w:rsidRPr="004269E9">
            <w:rPr>
              <w:noProof/>
              <w:color w:val="002060"/>
            </w:rPr>
            <w:t>5.2</w:t>
          </w:r>
          <w:r>
            <w:rPr>
              <w:b w:val="0"/>
              <w:bCs w:val="0"/>
              <w:noProof/>
              <w:sz w:val="22"/>
              <w:szCs w:val="22"/>
              <w:lang w:eastAsia="en-US"/>
            </w:rPr>
            <w:tab/>
          </w:r>
          <w:r w:rsidRPr="004269E9">
            <w:rPr>
              <w:noProof/>
              <w:color w:val="002060"/>
            </w:rPr>
            <w:t>PLAN MAINTENANCE &amp; DISTRIBUTION</w:t>
          </w:r>
          <w:r>
            <w:rPr>
              <w:noProof/>
            </w:rPr>
            <w:tab/>
          </w:r>
          <w:r>
            <w:rPr>
              <w:noProof/>
            </w:rPr>
            <w:fldChar w:fldCharType="begin"/>
          </w:r>
          <w:r>
            <w:rPr>
              <w:noProof/>
            </w:rPr>
            <w:instrText xml:space="preserve"> PAGEREF _Toc11832808 \h </w:instrText>
          </w:r>
          <w:r>
            <w:rPr>
              <w:noProof/>
            </w:rPr>
          </w:r>
          <w:r>
            <w:rPr>
              <w:noProof/>
            </w:rPr>
            <w:fldChar w:fldCharType="separate"/>
          </w:r>
          <w:r>
            <w:rPr>
              <w:noProof/>
            </w:rPr>
            <w:t>55</w:t>
          </w:r>
          <w:r>
            <w:rPr>
              <w:noProof/>
            </w:rPr>
            <w:fldChar w:fldCharType="end"/>
          </w:r>
        </w:p>
        <w:p w14:paraId="657E55A1" w14:textId="5CF75356" w:rsidR="006657D6" w:rsidRDefault="006657D6">
          <w:pPr>
            <w:pStyle w:val="TOC3"/>
            <w:tabs>
              <w:tab w:val="left" w:pos="880"/>
              <w:tab w:val="right" w:leader="dot" w:pos="9710"/>
            </w:tabs>
            <w:rPr>
              <w:noProof/>
              <w:sz w:val="22"/>
              <w:szCs w:val="22"/>
              <w:lang w:eastAsia="en-US"/>
            </w:rPr>
          </w:pPr>
          <w:r w:rsidRPr="004269E9">
            <w:rPr>
              <w:noProof/>
              <w:color w:val="002060"/>
            </w:rPr>
            <w:t>5.2.1</w:t>
          </w:r>
          <w:r>
            <w:rPr>
              <w:noProof/>
              <w:sz w:val="22"/>
              <w:szCs w:val="22"/>
              <w:lang w:eastAsia="en-US"/>
            </w:rPr>
            <w:tab/>
          </w:r>
          <w:r w:rsidRPr="004269E9">
            <w:rPr>
              <w:noProof/>
              <w:color w:val="002060"/>
            </w:rPr>
            <w:t>Plan Review Process &amp; Timeline</w:t>
          </w:r>
          <w:r>
            <w:rPr>
              <w:noProof/>
            </w:rPr>
            <w:tab/>
          </w:r>
          <w:r>
            <w:rPr>
              <w:noProof/>
            </w:rPr>
            <w:fldChar w:fldCharType="begin"/>
          </w:r>
          <w:r>
            <w:rPr>
              <w:noProof/>
            </w:rPr>
            <w:instrText xml:space="preserve"> PAGEREF _Toc11832809 \h </w:instrText>
          </w:r>
          <w:r>
            <w:rPr>
              <w:noProof/>
            </w:rPr>
          </w:r>
          <w:r>
            <w:rPr>
              <w:noProof/>
            </w:rPr>
            <w:fldChar w:fldCharType="separate"/>
          </w:r>
          <w:r>
            <w:rPr>
              <w:noProof/>
            </w:rPr>
            <w:t>56</w:t>
          </w:r>
          <w:r>
            <w:rPr>
              <w:noProof/>
            </w:rPr>
            <w:fldChar w:fldCharType="end"/>
          </w:r>
        </w:p>
        <w:p w14:paraId="3AA7F09C" w14:textId="608E0E91" w:rsidR="006657D6" w:rsidRDefault="006657D6">
          <w:pPr>
            <w:pStyle w:val="TOC3"/>
            <w:tabs>
              <w:tab w:val="left" w:pos="880"/>
              <w:tab w:val="right" w:leader="dot" w:pos="9710"/>
            </w:tabs>
            <w:rPr>
              <w:noProof/>
              <w:sz w:val="22"/>
              <w:szCs w:val="22"/>
              <w:lang w:eastAsia="en-US"/>
            </w:rPr>
          </w:pPr>
          <w:r w:rsidRPr="004269E9">
            <w:rPr>
              <w:noProof/>
              <w:color w:val="002060"/>
            </w:rPr>
            <w:t>5.2.2</w:t>
          </w:r>
          <w:r>
            <w:rPr>
              <w:noProof/>
              <w:sz w:val="22"/>
              <w:szCs w:val="22"/>
              <w:lang w:eastAsia="en-US"/>
            </w:rPr>
            <w:tab/>
          </w:r>
          <w:r w:rsidRPr="004269E9">
            <w:rPr>
              <w:noProof/>
              <w:color w:val="002060"/>
            </w:rPr>
            <w:t>Plan Distribution</w:t>
          </w:r>
          <w:r>
            <w:rPr>
              <w:noProof/>
            </w:rPr>
            <w:tab/>
          </w:r>
          <w:r>
            <w:rPr>
              <w:noProof/>
            </w:rPr>
            <w:fldChar w:fldCharType="begin"/>
          </w:r>
          <w:r>
            <w:rPr>
              <w:noProof/>
            </w:rPr>
            <w:instrText xml:space="preserve"> PAGEREF _Toc11832810 \h </w:instrText>
          </w:r>
          <w:r>
            <w:rPr>
              <w:noProof/>
            </w:rPr>
          </w:r>
          <w:r>
            <w:rPr>
              <w:noProof/>
            </w:rPr>
            <w:fldChar w:fldCharType="separate"/>
          </w:r>
          <w:r>
            <w:rPr>
              <w:noProof/>
            </w:rPr>
            <w:t>56</w:t>
          </w:r>
          <w:r>
            <w:rPr>
              <w:noProof/>
            </w:rPr>
            <w:fldChar w:fldCharType="end"/>
          </w:r>
        </w:p>
        <w:p w14:paraId="57C65275" w14:textId="5814627C" w:rsidR="006657D6" w:rsidRDefault="006657D6">
          <w:pPr>
            <w:pStyle w:val="TOC3"/>
            <w:tabs>
              <w:tab w:val="left" w:pos="880"/>
              <w:tab w:val="right" w:leader="dot" w:pos="9710"/>
            </w:tabs>
            <w:rPr>
              <w:noProof/>
              <w:sz w:val="22"/>
              <w:szCs w:val="22"/>
              <w:lang w:eastAsia="en-US"/>
            </w:rPr>
          </w:pPr>
          <w:r w:rsidRPr="004269E9">
            <w:rPr>
              <w:noProof/>
              <w:color w:val="002060"/>
            </w:rPr>
            <w:t>5.2.3</w:t>
          </w:r>
          <w:r>
            <w:rPr>
              <w:noProof/>
              <w:sz w:val="22"/>
              <w:szCs w:val="22"/>
              <w:lang w:eastAsia="en-US"/>
            </w:rPr>
            <w:tab/>
          </w:r>
          <w:r w:rsidRPr="004269E9">
            <w:rPr>
              <w:noProof/>
              <w:color w:val="002060"/>
            </w:rPr>
            <w:t>ICS Training</w:t>
          </w:r>
          <w:r>
            <w:rPr>
              <w:noProof/>
            </w:rPr>
            <w:tab/>
          </w:r>
          <w:r>
            <w:rPr>
              <w:noProof/>
            </w:rPr>
            <w:fldChar w:fldCharType="begin"/>
          </w:r>
          <w:r>
            <w:rPr>
              <w:noProof/>
            </w:rPr>
            <w:instrText xml:space="preserve"> PAGEREF _Toc11832811 \h </w:instrText>
          </w:r>
          <w:r>
            <w:rPr>
              <w:noProof/>
            </w:rPr>
          </w:r>
          <w:r>
            <w:rPr>
              <w:noProof/>
            </w:rPr>
            <w:fldChar w:fldCharType="separate"/>
          </w:r>
          <w:r>
            <w:rPr>
              <w:noProof/>
            </w:rPr>
            <w:t>56</w:t>
          </w:r>
          <w:r>
            <w:rPr>
              <w:noProof/>
            </w:rPr>
            <w:fldChar w:fldCharType="end"/>
          </w:r>
        </w:p>
        <w:p w14:paraId="6E563EC6" w14:textId="125880EB" w:rsidR="006657D6" w:rsidRDefault="006657D6">
          <w:pPr>
            <w:pStyle w:val="TOC3"/>
            <w:tabs>
              <w:tab w:val="left" w:pos="880"/>
              <w:tab w:val="right" w:leader="dot" w:pos="9710"/>
            </w:tabs>
            <w:rPr>
              <w:noProof/>
              <w:sz w:val="22"/>
              <w:szCs w:val="22"/>
              <w:lang w:eastAsia="en-US"/>
            </w:rPr>
          </w:pPr>
          <w:r w:rsidRPr="004269E9">
            <w:rPr>
              <w:noProof/>
              <w:color w:val="002060"/>
            </w:rPr>
            <w:t>5.2.4</w:t>
          </w:r>
          <w:r>
            <w:rPr>
              <w:noProof/>
              <w:sz w:val="22"/>
              <w:szCs w:val="22"/>
              <w:lang w:eastAsia="en-US"/>
            </w:rPr>
            <w:tab/>
          </w:r>
          <w:r w:rsidRPr="004269E9">
            <w:rPr>
              <w:noProof/>
              <w:color w:val="002060"/>
            </w:rPr>
            <w:t>EDS Training</w:t>
          </w:r>
          <w:r>
            <w:rPr>
              <w:noProof/>
            </w:rPr>
            <w:tab/>
          </w:r>
          <w:r>
            <w:rPr>
              <w:noProof/>
            </w:rPr>
            <w:fldChar w:fldCharType="begin"/>
          </w:r>
          <w:r>
            <w:rPr>
              <w:noProof/>
            </w:rPr>
            <w:instrText xml:space="preserve"> PAGEREF _Toc11832812 \h </w:instrText>
          </w:r>
          <w:r>
            <w:rPr>
              <w:noProof/>
            </w:rPr>
          </w:r>
          <w:r>
            <w:rPr>
              <w:noProof/>
            </w:rPr>
            <w:fldChar w:fldCharType="separate"/>
          </w:r>
          <w:r>
            <w:rPr>
              <w:noProof/>
            </w:rPr>
            <w:t>57</w:t>
          </w:r>
          <w:r>
            <w:rPr>
              <w:noProof/>
            </w:rPr>
            <w:fldChar w:fldCharType="end"/>
          </w:r>
        </w:p>
        <w:p w14:paraId="7DB31DD3" w14:textId="59951F33" w:rsidR="006657D6" w:rsidRDefault="006657D6">
          <w:pPr>
            <w:pStyle w:val="TOC3"/>
            <w:tabs>
              <w:tab w:val="left" w:pos="880"/>
              <w:tab w:val="right" w:leader="dot" w:pos="9710"/>
            </w:tabs>
            <w:rPr>
              <w:noProof/>
              <w:sz w:val="22"/>
              <w:szCs w:val="22"/>
              <w:lang w:eastAsia="en-US"/>
            </w:rPr>
          </w:pPr>
          <w:r w:rsidRPr="004269E9">
            <w:rPr>
              <w:noProof/>
              <w:color w:val="002060"/>
            </w:rPr>
            <w:t>5.2.5</w:t>
          </w:r>
          <w:r>
            <w:rPr>
              <w:noProof/>
              <w:sz w:val="22"/>
              <w:szCs w:val="22"/>
              <w:lang w:eastAsia="en-US"/>
            </w:rPr>
            <w:tab/>
          </w:r>
          <w:r w:rsidRPr="004269E9">
            <w:rPr>
              <w:noProof/>
              <w:color w:val="002060"/>
            </w:rPr>
            <w:t>Public Information &amp; Communications Training</w:t>
          </w:r>
          <w:r>
            <w:rPr>
              <w:noProof/>
            </w:rPr>
            <w:tab/>
          </w:r>
          <w:r>
            <w:rPr>
              <w:noProof/>
            </w:rPr>
            <w:fldChar w:fldCharType="begin"/>
          </w:r>
          <w:r>
            <w:rPr>
              <w:noProof/>
            </w:rPr>
            <w:instrText xml:space="preserve"> PAGEREF _Toc11832813 \h </w:instrText>
          </w:r>
          <w:r>
            <w:rPr>
              <w:noProof/>
            </w:rPr>
          </w:r>
          <w:r>
            <w:rPr>
              <w:noProof/>
            </w:rPr>
            <w:fldChar w:fldCharType="separate"/>
          </w:r>
          <w:r>
            <w:rPr>
              <w:noProof/>
            </w:rPr>
            <w:t>57</w:t>
          </w:r>
          <w:r>
            <w:rPr>
              <w:noProof/>
            </w:rPr>
            <w:fldChar w:fldCharType="end"/>
          </w:r>
        </w:p>
        <w:p w14:paraId="5B8C1712" w14:textId="75C47553" w:rsidR="006657D6" w:rsidRDefault="006657D6">
          <w:pPr>
            <w:pStyle w:val="TOC3"/>
            <w:tabs>
              <w:tab w:val="left" w:pos="880"/>
              <w:tab w:val="right" w:leader="dot" w:pos="9710"/>
            </w:tabs>
            <w:rPr>
              <w:noProof/>
              <w:sz w:val="22"/>
              <w:szCs w:val="22"/>
              <w:lang w:eastAsia="en-US"/>
            </w:rPr>
          </w:pPr>
          <w:r w:rsidRPr="004269E9">
            <w:rPr>
              <w:noProof/>
              <w:color w:val="002060"/>
            </w:rPr>
            <w:t>5.2.6</w:t>
          </w:r>
          <w:r>
            <w:rPr>
              <w:noProof/>
              <w:sz w:val="22"/>
              <w:szCs w:val="22"/>
              <w:lang w:eastAsia="en-US"/>
            </w:rPr>
            <w:tab/>
          </w:r>
          <w:r w:rsidRPr="004269E9">
            <w:rPr>
              <w:noProof/>
              <w:color w:val="002060"/>
            </w:rPr>
            <w:t>Drills &amp; Exercises</w:t>
          </w:r>
          <w:r>
            <w:rPr>
              <w:noProof/>
            </w:rPr>
            <w:tab/>
          </w:r>
          <w:r>
            <w:rPr>
              <w:noProof/>
            </w:rPr>
            <w:fldChar w:fldCharType="begin"/>
          </w:r>
          <w:r>
            <w:rPr>
              <w:noProof/>
            </w:rPr>
            <w:instrText xml:space="preserve"> PAGEREF _Toc11832814 \h </w:instrText>
          </w:r>
          <w:r>
            <w:rPr>
              <w:noProof/>
            </w:rPr>
          </w:r>
          <w:r>
            <w:rPr>
              <w:noProof/>
            </w:rPr>
            <w:fldChar w:fldCharType="separate"/>
          </w:r>
          <w:r>
            <w:rPr>
              <w:noProof/>
            </w:rPr>
            <w:t>58</w:t>
          </w:r>
          <w:r>
            <w:rPr>
              <w:noProof/>
            </w:rPr>
            <w:fldChar w:fldCharType="end"/>
          </w:r>
        </w:p>
        <w:p w14:paraId="285DEB47" w14:textId="6A0DDD59" w:rsidR="006657D6" w:rsidRDefault="006657D6">
          <w:pPr>
            <w:pStyle w:val="TOC3"/>
            <w:tabs>
              <w:tab w:val="left" w:pos="880"/>
              <w:tab w:val="right" w:leader="dot" w:pos="9710"/>
            </w:tabs>
            <w:rPr>
              <w:noProof/>
              <w:sz w:val="22"/>
              <w:szCs w:val="22"/>
              <w:lang w:eastAsia="en-US"/>
            </w:rPr>
          </w:pPr>
          <w:r w:rsidRPr="004269E9">
            <w:rPr>
              <w:noProof/>
              <w:color w:val="002060"/>
            </w:rPr>
            <w:lastRenderedPageBreak/>
            <w:t>5.2.7</w:t>
          </w:r>
          <w:r>
            <w:rPr>
              <w:noProof/>
              <w:sz w:val="22"/>
              <w:szCs w:val="22"/>
              <w:lang w:eastAsia="en-US"/>
            </w:rPr>
            <w:tab/>
          </w:r>
          <w:r w:rsidRPr="004269E9">
            <w:rPr>
              <w:noProof/>
              <w:color w:val="002060"/>
            </w:rPr>
            <w:t>Evaluations</w:t>
          </w:r>
          <w:r>
            <w:rPr>
              <w:noProof/>
            </w:rPr>
            <w:tab/>
          </w:r>
          <w:r>
            <w:rPr>
              <w:noProof/>
            </w:rPr>
            <w:fldChar w:fldCharType="begin"/>
          </w:r>
          <w:r>
            <w:rPr>
              <w:noProof/>
            </w:rPr>
            <w:instrText xml:space="preserve"> PAGEREF _Toc11832815 \h </w:instrText>
          </w:r>
          <w:r>
            <w:rPr>
              <w:noProof/>
            </w:rPr>
          </w:r>
          <w:r>
            <w:rPr>
              <w:noProof/>
            </w:rPr>
            <w:fldChar w:fldCharType="separate"/>
          </w:r>
          <w:r>
            <w:rPr>
              <w:noProof/>
            </w:rPr>
            <w:t>58</w:t>
          </w:r>
          <w:r>
            <w:rPr>
              <w:noProof/>
            </w:rPr>
            <w:fldChar w:fldCharType="end"/>
          </w:r>
        </w:p>
        <w:p w14:paraId="3617BF30" w14:textId="6488DD2F" w:rsidR="006657D6" w:rsidRDefault="006657D6">
          <w:pPr>
            <w:pStyle w:val="TOC2"/>
            <w:tabs>
              <w:tab w:val="left" w:pos="660"/>
              <w:tab w:val="right" w:leader="dot" w:pos="9710"/>
            </w:tabs>
            <w:rPr>
              <w:b w:val="0"/>
              <w:bCs w:val="0"/>
              <w:noProof/>
              <w:sz w:val="22"/>
              <w:szCs w:val="22"/>
              <w:lang w:eastAsia="en-US"/>
            </w:rPr>
          </w:pPr>
          <w:r w:rsidRPr="004269E9">
            <w:rPr>
              <w:noProof/>
              <w:color w:val="002060"/>
            </w:rPr>
            <w:t>5.3</w:t>
          </w:r>
          <w:r>
            <w:rPr>
              <w:b w:val="0"/>
              <w:bCs w:val="0"/>
              <w:noProof/>
              <w:sz w:val="22"/>
              <w:szCs w:val="22"/>
              <w:lang w:eastAsia="en-US"/>
            </w:rPr>
            <w:tab/>
          </w:r>
          <w:r w:rsidRPr="004269E9">
            <w:rPr>
              <w:noProof/>
              <w:color w:val="002060"/>
            </w:rPr>
            <w:t>AUTHORITIES &amp; REFERENCES</w:t>
          </w:r>
          <w:r>
            <w:rPr>
              <w:noProof/>
            </w:rPr>
            <w:tab/>
          </w:r>
          <w:r>
            <w:rPr>
              <w:noProof/>
            </w:rPr>
            <w:fldChar w:fldCharType="begin"/>
          </w:r>
          <w:r>
            <w:rPr>
              <w:noProof/>
            </w:rPr>
            <w:instrText xml:space="preserve"> PAGEREF _Toc11832816 \h </w:instrText>
          </w:r>
          <w:r>
            <w:rPr>
              <w:noProof/>
            </w:rPr>
          </w:r>
          <w:r>
            <w:rPr>
              <w:noProof/>
            </w:rPr>
            <w:fldChar w:fldCharType="separate"/>
          </w:r>
          <w:r>
            <w:rPr>
              <w:noProof/>
            </w:rPr>
            <w:t>58</w:t>
          </w:r>
          <w:r>
            <w:rPr>
              <w:noProof/>
            </w:rPr>
            <w:fldChar w:fldCharType="end"/>
          </w:r>
        </w:p>
        <w:p w14:paraId="480E5759" w14:textId="365E5A66" w:rsidR="006657D6" w:rsidRDefault="006657D6">
          <w:pPr>
            <w:pStyle w:val="TOC3"/>
            <w:tabs>
              <w:tab w:val="left" w:pos="880"/>
              <w:tab w:val="right" w:leader="dot" w:pos="9710"/>
            </w:tabs>
            <w:rPr>
              <w:noProof/>
              <w:sz w:val="22"/>
              <w:szCs w:val="22"/>
              <w:lang w:eastAsia="en-US"/>
            </w:rPr>
          </w:pPr>
          <w:r w:rsidRPr="004269E9">
            <w:rPr>
              <w:noProof/>
              <w:color w:val="002060"/>
            </w:rPr>
            <w:t>5.3.1</w:t>
          </w:r>
          <w:r>
            <w:rPr>
              <w:noProof/>
              <w:sz w:val="22"/>
              <w:szCs w:val="22"/>
              <w:lang w:eastAsia="en-US"/>
            </w:rPr>
            <w:tab/>
          </w:r>
          <w:r w:rsidRPr="004269E9">
            <w:rPr>
              <w:noProof/>
              <w:color w:val="002060"/>
            </w:rPr>
            <w:t>Liability &amp; Workers Compensation</w:t>
          </w:r>
          <w:r>
            <w:rPr>
              <w:noProof/>
            </w:rPr>
            <w:tab/>
          </w:r>
          <w:r>
            <w:rPr>
              <w:noProof/>
            </w:rPr>
            <w:fldChar w:fldCharType="begin"/>
          </w:r>
          <w:r>
            <w:rPr>
              <w:noProof/>
            </w:rPr>
            <w:instrText xml:space="preserve"> PAGEREF _Toc11832817 \h </w:instrText>
          </w:r>
          <w:r>
            <w:rPr>
              <w:noProof/>
            </w:rPr>
          </w:r>
          <w:r>
            <w:rPr>
              <w:noProof/>
            </w:rPr>
            <w:fldChar w:fldCharType="separate"/>
          </w:r>
          <w:r>
            <w:rPr>
              <w:noProof/>
            </w:rPr>
            <w:t>58</w:t>
          </w:r>
          <w:r>
            <w:rPr>
              <w:noProof/>
            </w:rPr>
            <w:fldChar w:fldCharType="end"/>
          </w:r>
        </w:p>
        <w:p w14:paraId="6939D309" w14:textId="088131F7" w:rsidR="006657D6" w:rsidRDefault="006657D6">
          <w:pPr>
            <w:pStyle w:val="TOC3"/>
            <w:tabs>
              <w:tab w:val="left" w:pos="880"/>
              <w:tab w:val="right" w:leader="dot" w:pos="9710"/>
            </w:tabs>
            <w:rPr>
              <w:noProof/>
              <w:sz w:val="22"/>
              <w:szCs w:val="22"/>
              <w:lang w:eastAsia="en-US"/>
            </w:rPr>
          </w:pPr>
          <w:r w:rsidRPr="004269E9">
            <w:rPr>
              <w:noProof/>
              <w:color w:val="002060"/>
            </w:rPr>
            <w:t>5.3.2</w:t>
          </w:r>
          <w:r>
            <w:rPr>
              <w:noProof/>
              <w:sz w:val="22"/>
              <w:szCs w:val="22"/>
              <w:lang w:eastAsia="en-US"/>
            </w:rPr>
            <w:tab/>
          </w:r>
          <w:r w:rsidRPr="004269E9">
            <w:rPr>
              <w:noProof/>
              <w:color w:val="002060"/>
            </w:rPr>
            <w:t>Staff Compensation</w:t>
          </w:r>
          <w:r>
            <w:rPr>
              <w:noProof/>
            </w:rPr>
            <w:tab/>
          </w:r>
          <w:r>
            <w:rPr>
              <w:noProof/>
            </w:rPr>
            <w:fldChar w:fldCharType="begin"/>
          </w:r>
          <w:r>
            <w:rPr>
              <w:noProof/>
            </w:rPr>
            <w:instrText xml:space="preserve"> PAGEREF _Toc11832818 \h </w:instrText>
          </w:r>
          <w:r>
            <w:rPr>
              <w:noProof/>
            </w:rPr>
          </w:r>
          <w:r>
            <w:rPr>
              <w:noProof/>
            </w:rPr>
            <w:fldChar w:fldCharType="separate"/>
          </w:r>
          <w:r>
            <w:rPr>
              <w:noProof/>
            </w:rPr>
            <w:t>58</w:t>
          </w:r>
          <w:r>
            <w:rPr>
              <w:noProof/>
            </w:rPr>
            <w:fldChar w:fldCharType="end"/>
          </w:r>
        </w:p>
        <w:p w14:paraId="6A61FB13" w14:textId="605ED3EC" w:rsidR="006657D6" w:rsidRDefault="006657D6">
          <w:pPr>
            <w:pStyle w:val="TOC3"/>
            <w:tabs>
              <w:tab w:val="left" w:pos="880"/>
              <w:tab w:val="right" w:leader="dot" w:pos="9710"/>
            </w:tabs>
            <w:rPr>
              <w:noProof/>
              <w:sz w:val="22"/>
              <w:szCs w:val="22"/>
              <w:lang w:eastAsia="en-US"/>
            </w:rPr>
          </w:pPr>
          <w:r w:rsidRPr="004269E9">
            <w:rPr>
              <w:noProof/>
              <w:color w:val="002060"/>
            </w:rPr>
            <w:t>5.3.3</w:t>
          </w:r>
          <w:r>
            <w:rPr>
              <w:noProof/>
              <w:sz w:val="22"/>
              <w:szCs w:val="22"/>
              <w:lang w:eastAsia="en-US"/>
            </w:rPr>
            <w:tab/>
          </w:r>
          <w:r w:rsidRPr="004269E9">
            <w:rPr>
              <w:noProof/>
              <w:color w:val="002060"/>
            </w:rPr>
            <w:t>Civil Defense Act</w:t>
          </w:r>
          <w:r>
            <w:rPr>
              <w:noProof/>
            </w:rPr>
            <w:tab/>
          </w:r>
          <w:r>
            <w:rPr>
              <w:noProof/>
            </w:rPr>
            <w:fldChar w:fldCharType="begin"/>
          </w:r>
          <w:r>
            <w:rPr>
              <w:noProof/>
            </w:rPr>
            <w:instrText xml:space="preserve"> PAGEREF _Toc11832819 \h </w:instrText>
          </w:r>
          <w:r>
            <w:rPr>
              <w:noProof/>
            </w:rPr>
          </w:r>
          <w:r>
            <w:rPr>
              <w:noProof/>
            </w:rPr>
            <w:fldChar w:fldCharType="separate"/>
          </w:r>
          <w:r>
            <w:rPr>
              <w:noProof/>
            </w:rPr>
            <w:t>59</w:t>
          </w:r>
          <w:r>
            <w:rPr>
              <w:noProof/>
            </w:rPr>
            <w:fldChar w:fldCharType="end"/>
          </w:r>
        </w:p>
        <w:p w14:paraId="4BE9FCF1" w14:textId="160EA457" w:rsidR="006657D6" w:rsidRDefault="006657D6">
          <w:pPr>
            <w:pStyle w:val="TOC3"/>
            <w:tabs>
              <w:tab w:val="left" w:pos="880"/>
              <w:tab w:val="right" w:leader="dot" w:pos="9710"/>
            </w:tabs>
            <w:rPr>
              <w:noProof/>
              <w:sz w:val="22"/>
              <w:szCs w:val="22"/>
              <w:lang w:eastAsia="en-US"/>
            </w:rPr>
          </w:pPr>
          <w:r w:rsidRPr="004269E9">
            <w:rPr>
              <w:noProof/>
              <w:color w:val="002060"/>
            </w:rPr>
            <w:t>5.3.4</w:t>
          </w:r>
          <w:r>
            <w:rPr>
              <w:noProof/>
              <w:sz w:val="22"/>
              <w:szCs w:val="22"/>
              <w:lang w:eastAsia="en-US"/>
            </w:rPr>
            <w:tab/>
          </w:r>
          <w:r w:rsidRPr="004269E9">
            <w:rPr>
              <w:noProof/>
              <w:color w:val="002060"/>
            </w:rPr>
            <w:t>Special Town Employees (Tort Claims Act)</w:t>
          </w:r>
          <w:r>
            <w:rPr>
              <w:noProof/>
            </w:rPr>
            <w:tab/>
          </w:r>
          <w:r>
            <w:rPr>
              <w:noProof/>
            </w:rPr>
            <w:fldChar w:fldCharType="begin"/>
          </w:r>
          <w:r>
            <w:rPr>
              <w:noProof/>
            </w:rPr>
            <w:instrText xml:space="preserve"> PAGEREF _Toc11832820 \h </w:instrText>
          </w:r>
          <w:r>
            <w:rPr>
              <w:noProof/>
            </w:rPr>
          </w:r>
          <w:r>
            <w:rPr>
              <w:noProof/>
            </w:rPr>
            <w:fldChar w:fldCharType="separate"/>
          </w:r>
          <w:r>
            <w:rPr>
              <w:noProof/>
            </w:rPr>
            <w:t>59</w:t>
          </w:r>
          <w:r>
            <w:rPr>
              <w:noProof/>
            </w:rPr>
            <w:fldChar w:fldCharType="end"/>
          </w:r>
        </w:p>
        <w:p w14:paraId="6A9978BF" w14:textId="35704D79" w:rsidR="006657D6" w:rsidRDefault="006657D6">
          <w:pPr>
            <w:pStyle w:val="TOC3"/>
            <w:tabs>
              <w:tab w:val="left" w:pos="880"/>
              <w:tab w:val="right" w:leader="dot" w:pos="9710"/>
            </w:tabs>
            <w:rPr>
              <w:noProof/>
              <w:sz w:val="22"/>
              <w:szCs w:val="22"/>
              <w:lang w:eastAsia="en-US"/>
            </w:rPr>
          </w:pPr>
          <w:r w:rsidRPr="004269E9">
            <w:rPr>
              <w:noProof/>
              <w:color w:val="002060"/>
            </w:rPr>
            <w:t>5.3.5</w:t>
          </w:r>
          <w:r>
            <w:rPr>
              <w:noProof/>
              <w:sz w:val="22"/>
              <w:szCs w:val="22"/>
              <w:lang w:eastAsia="en-US"/>
            </w:rPr>
            <w:tab/>
          </w:r>
          <w:r w:rsidRPr="004269E9">
            <w:rPr>
              <w:noProof/>
              <w:color w:val="002060"/>
            </w:rPr>
            <w:t>Public Health Preparedness Capabilities</w:t>
          </w:r>
          <w:r>
            <w:rPr>
              <w:noProof/>
            </w:rPr>
            <w:tab/>
          </w:r>
          <w:r>
            <w:rPr>
              <w:noProof/>
            </w:rPr>
            <w:fldChar w:fldCharType="begin"/>
          </w:r>
          <w:r>
            <w:rPr>
              <w:noProof/>
            </w:rPr>
            <w:instrText xml:space="preserve"> PAGEREF _Toc11832821 \h </w:instrText>
          </w:r>
          <w:r>
            <w:rPr>
              <w:noProof/>
            </w:rPr>
          </w:r>
          <w:r>
            <w:rPr>
              <w:noProof/>
            </w:rPr>
            <w:fldChar w:fldCharType="separate"/>
          </w:r>
          <w:r>
            <w:rPr>
              <w:noProof/>
            </w:rPr>
            <w:t>59</w:t>
          </w:r>
          <w:r>
            <w:rPr>
              <w:noProof/>
            </w:rPr>
            <w:fldChar w:fldCharType="end"/>
          </w:r>
        </w:p>
        <w:p w14:paraId="1CBA375E" w14:textId="2C992E8B" w:rsidR="006657D6" w:rsidRDefault="006657D6">
          <w:pPr>
            <w:pStyle w:val="TOC1"/>
            <w:tabs>
              <w:tab w:val="left" w:pos="440"/>
              <w:tab w:val="right" w:leader="dot" w:pos="9710"/>
            </w:tabs>
            <w:rPr>
              <w:rFonts w:asciiTheme="minorHAnsi" w:hAnsiTheme="minorHAnsi"/>
              <w:b w:val="0"/>
              <w:bCs w:val="0"/>
              <w:caps w:val="0"/>
              <w:noProof/>
              <w:sz w:val="22"/>
              <w:szCs w:val="22"/>
              <w:lang w:eastAsia="en-US"/>
            </w:rPr>
          </w:pPr>
          <w:r w:rsidRPr="004269E9">
            <w:rPr>
              <w:noProof/>
              <w:color w:val="ED7D31" w:themeColor="accent2"/>
            </w:rPr>
            <w:t>6</w:t>
          </w:r>
          <w:r>
            <w:rPr>
              <w:rFonts w:asciiTheme="minorHAnsi" w:hAnsiTheme="minorHAnsi"/>
              <w:b w:val="0"/>
              <w:bCs w:val="0"/>
              <w:caps w:val="0"/>
              <w:noProof/>
              <w:sz w:val="22"/>
              <w:szCs w:val="22"/>
              <w:lang w:eastAsia="en-US"/>
            </w:rPr>
            <w:tab/>
          </w:r>
          <w:r w:rsidRPr="004269E9">
            <w:rPr>
              <w:noProof/>
              <w:color w:val="ED7D31" w:themeColor="accent2"/>
            </w:rPr>
            <w:t>ACRONYMS</w:t>
          </w:r>
          <w:r>
            <w:rPr>
              <w:noProof/>
            </w:rPr>
            <w:tab/>
          </w:r>
          <w:r>
            <w:rPr>
              <w:noProof/>
            </w:rPr>
            <w:fldChar w:fldCharType="begin"/>
          </w:r>
          <w:r>
            <w:rPr>
              <w:noProof/>
            </w:rPr>
            <w:instrText xml:space="preserve"> PAGEREF _Toc11832822 \h </w:instrText>
          </w:r>
          <w:r>
            <w:rPr>
              <w:noProof/>
            </w:rPr>
          </w:r>
          <w:r>
            <w:rPr>
              <w:noProof/>
            </w:rPr>
            <w:fldChar w:fldCharType="separate"/>
          </w:r>
          <w:r>
            <w:rPr>
              <w:noProof/>
            </w:rPr>
            <w:t>60</w:t>
          </w:r>
          <w:r>
            <w:rPr>
              <w:noProof/>
            </w:rPr>
            <w:fldChar w:fldCharType="end"/>
          </w:r>
        </w:p>
        <w:p w14:paraId="2EEACDEB" w14:textId="623A94D5" w:rsidR="006657D6" w:rsidRDefault="006657D6">
          <w:pPr>
            <w:pStyle w:val="TOC1"/>
            <w:tabs>
              <w:tab w:val="left" w:pos="440"/>
              <w:tab w:val="right" w:leader="dot" w:pos="9710"/>
            </w:tabs>
            <w:rPr>
              <w:rFonts w:asciiTheme="minorHAnsi" w:hAnsiTheme="minorHAnsi"/>
              <w:b w:val="0"/>
              <w:bCs w:val="0"/>
              <w:caps w:val="0"/>
              <w:noProof/>
              <w:sz w:val="22"/>
              <w:szCs w:val="22"/>
              <w:lang w:eastAsia="en-US"/>
            </w:rPr>
          </w:pPr>
          <w:r w:rsidRPr="004269E9">
            <w:rPr>
              <w:noProof/>
              <w:color w:val="ED7D31" w:themeColor="accent2"/>
            </w:rPr>
            <w:t>7</w:t>
          </w:r>
          <w:r>
            <w:rPr>
              <w:rFonts w:asciiTheme="minorHAnsi" w:hAnsiTheme="minorHAnsi"/>
              <w:b w:val="0"/>
              <w:bCs w:val="0"/>
              <w:caps w:val="0"/>
              <w:noProof/>
              <w:sz w:val="22"/>
              <w:szCs w:val="22"/>
              <w:lang w:eastAsia="en-US"/>
            </w:rPr>
            <w:tab/>
          </w:r>
          <w:r w:rsidRPr="004269E9">
            <w:rPr>
              <w:noProof/>
              <w:color w:val="ED7D31" w:themeColor="accent2"/>
            </w:rPr>
            <w:t>RESOURCES</w:t>
          </w:r>
          <w:r>
            <w:rPr>
              <w:noProof/>
            </w:rPr>
            <w:tab/>
          </w:r>
          <w:r>
            <w:rPr>
              <w:noProof/>
            </w:rPr>
            <w:fldChar w:fldCharType="begin"/>
          </w:r>
          <w:r>
            <w:rPr>
              <w:noProof/>
            </w:rPr>
            <w:instrText xml:space="preserve"> PAGEREF _Toc11832823 \h </w:instrText>
          </w:r>
          <w:r>
            <w:rPr>
              <w:noProof/>
            </w:rPr>
          </w:r>
          <w:r>
            <w:rPr>
              <w:noProof/>
            </w:rPr>
            <w:fldChar w:fldCharType="separate"/>
          </w:r>
          <w:r>
            <w:rPr>
              <w:noProof/>
            </w:rPr>
            <w:t>62</w:t>
          </w:r>
          <w:r>
            <w:rPr>
              <w:noProof/>
            </w:rPr>
            <w:fldChar w:fldCharType="end"/>
          </w:r>
        </w:p>
        <w:p w14:paraId="00EA6FC4" w14:textId="79653911" w:rsidR="006657D6" w:rsidRPr="00600A92" w:rsidRDefault="006657D6">
          <w:pPr>
            <w:pStyle w:val="TOC2"/>
            <w:tabs>
              <w:tab w:val="left" w:pos="660"/>
              <w:tab w:val="right" w:leader="dot" w:pos="9710"/>
            </w:tabs>
            <w:rPr>
              <w:caps/>
              <w:noProof/>
              <w:color w:val="002060"/>
            </w:rPr>
          </w:pPr>
          <w:r w:rsidRPr="00600A92">
            <w:rPr>
              <w:noProof/>
              <w:color w:val="002060"/>
            </w:rPr>
            <w:t>7.1</w:t>
          </w:r>
          <w:r w:rsidRPr="00600A92">
            <w:rPr>
              <w:caps/>
              <w:noProof/>
              <w:color w:val="002060"/>
            </w:rPr>
            <w:tab/>
            <w:t>Planning Considerations for Local Public Health Relative to Priority Prophylaxis for Responders and Critical Infrastructure Staff</w:t>
          </w:r>
          <w:r w:rsidRPr="00600A92">
            <w:rPr>
              <w:caps/>
              <w:noProof/>
              <w:color w:val="002060"/>
            </w:rPr>
            <w:tab/>
          </w:r>
          <w:r w:rsidRPr="00600A92">
            <w:rPr>
              <w:caps/>
              <w:noProof/>
              <w:color w:val="002060"/>
            </w:rPr>
            <w:fldChar w:fldCharType="begin"/>
          </w:r>
          <w:r w:rsidRPr="00600A92">
            <w:rPr>
              <w:caps/>
              <w:noProof/>
              <w:color w:val="002060"/>
            </w:rPr>
            <w:instrText xml:space="preserve"> PAGEREF _Toc11832824 \h </w:instrText>
          </w:r>
          <w:r w:rsidRPr="00600A92">
            <w:rPr>
              <w:caps/>
              <w:noProof/>
              <w:color w:val="002060"/>
            </w:rPr>
          </w:r>
          <w:r w:rsidRPr="00600A92">
            <w:rPr>
              <w:caps/>
              <w:noProof/>
              <w:color w:val="002060"/>
            </w:rPr>
            <w:fldChar w:fldCharType="separate"/>
          </w:r>
          <w:r w:rsidRPr="00600A92">
            <w:rPr>
              <w:caps/>
              <w:noProof/>
              <w:color w:val="002060"/>
            </w:rPr>
            <w:t>62</w:t>
          </w:r>
          <w:r w:rsidRPr="00600A92">
            <w:rPr>
              <w:caps/>
              <w:noProof/>
              <w:color w:val="002060"/>
            </w:rPr>
            <w:fldChar w:fldCharType="end"/>
          </w:r>
        </w:p>
        <w:p w14:paraId="3CCE58F1" w14:textId="68DB0FD5" w:rsidR="006657D6" w:rsidRPr="00600A92" w:rsidRDefault="006657D6">
          <w:pPr>
            <w:pStyle w:val="TOC2"/>
            <w:tabs>
              <w:tab w:val="left" w:pos="660"/>
              <w:tab w:val="right" w:leader="dot" w:pos="9710"/>
            </w:tabs>
            <w:rPr>
              <w:caps/>
              <w:noProof/>
              <w:color w:val="002060"/>
            </w:rPr>
          </w:pPr>
          <w:r w:rsidRPr="00600A92">
            <w:rPr>
              <w:caps/>
              <w:noProof/>
              <w:color w:val="002060"/>
            </w:rPr>
            <w:t>7.2</w:t>
          </w:r>
          <w:r w:rsidRPr="00600A92">
            <w:rPr>
              <w:caps/>
              <w:noProof/>
              <w:color w:val="002060"/>
            </w:rPr>
            <w:tab/>
            <w:t>Planning for and Establishing a Closed Emergency Dispensing Site (EDS)</w:t>
          </w:r>
          <w:r w:rsidRPr="00600A92">
            <w:rPr>
              <w:caps/>
              <w:noProof/>
              <w:color w:val="002060"/>
            </w:rPr>
            <w:tab/>
          </w:r>
          <w:r w:rsidRPr="00600A92">
            <w:rPr>
              <w:caps/>
              <w:noProof/>
              <w:color w:val="002060"/>
            </w:rPr>
            <w:fldChar w:fldCharType="begin"/>
          </w:r>
          <w:r w:rsidRPr="00600A92">
            <w:rPr>
              <w:caps/>
              <w:noProof/>
              <w:color w:val="002060"/>
            </w:rPr>
            <w:instrText xml:space="preserve"> PAGEREF _Toc11832825 \h </w:instrText>
          </w:r>
          <w:r w:rsidRPr="00600A92">
            <w:rPr>
              <w:caps/>
              <w:noProof/>
              <w:color w:val="002060"/>
            </w:rPr>
          </w:r>
          <w:r w:rsidRPr="00600A92">
            <w:rPr>
              <w:caps/>
              <w:noProof/>
              <w:color w:val="002060"/>
            </w:rPr>
            <w:fldChar w:fldCharType="separate"/>
          </w:r>
          <w:r w:rsidRPr="00600A92">
            <w:rPr>
              <w:caps/>
              <w:noProof/>
              <w:color w:val="002060"/>
            </w:rPr>
            <w:t>63</w:t>
          </w:r>
          <w:r w:rsidRPr="00600A92">
            <w:rPr>
              <w:caps/>
              <w:noProof/>
              <w:color w:val="002060"/>
            </w:rPr>
            <w:fldChar w:fldCharType="end"/>
          </w:r>
        </w:p>
        <w:p w14:paraId="5336EBDE" w14:textId="2285F882" w:rsidR="006657D6" w:rsidRPr="00600A92" w:rsidRDefault="006657D6">
          <w:pPr>
            <w:pStyle w:val="TOC2"/>
            <w:tabs>
              <w:tab w:val="left" w:pos="660"/>
              <w:tab w:val="right" w:leader="dot" w:pos="9710"/>
            </w:tabs>
            <w:rPr>
              <w:caps/>
              <w:noProof/>
              <w:color w:val="002060"/>
            </w:rPr>
          </w:pPr>
          <w:r w:rsidRPr="00600A92">
            <w:rPr>
              <w:caps/>
              <w:noProof/>
              <w:color w:val="002060"/>
            </w:rPr>
            <w:t>7.3</w:t>
          </w:r>
          <w:r w:rsidRPr="00600A92">
            <w:rPr>
              <w:caps/>
              <w:noProof/>
              <w:color w:val="002060"/>
            </w:rPr>
            <w:tab/>
            <w:t>Generic Antibiotic Emergency Dispensing Site Flowchart Template</w:t>
          </w:r>
          <w:r w:rsidRPr="00600A92">
            <w:rPr>
              <w:caps/>
              <w:noProof/>
              <w:color w:val="002060"/>
            </w:rPr>
            <w:tab/>
          </w:r>
          <w:r w:rsidRPr="00600A92">
            <w:rPr>
              <w:caps/>
              <w:noProof/>
              <w:color w:val="002060"/>
            </w:rPr>
            <w:fldChar w:fldCharType="begin"/>
          </w:r>
          <w:r w:rsidRPr="00600A92">
            <w:rPr>
              <w:caps/>
              <w:noProof/>
              <w:color w:val="002060"/>
            </w:rPr>
            <w:instrText xml:space="preserve"> PAGEREF _Toc11832826 \h </w:instrText>
          </w:r>
          <w:r w:rsidRPr="00600A92">
            <w:rPr>
              <w:caps/>
              <w:noProof/>
              <w:color w:val="002060"/>
            </w:rPr>
          </w:r>
          <w:r w:rsidRPr="00600A92">
            <w:rPr>
              <w:caps/>
              <w:noProof/>
              <w:color w:val="002060"/>
            </w:rPr>
            <w:fldChar w:fldCharType="separate"/>
          </w:r>
          <w:r w:rsidRPr="00600A92">
            <w:rPr>
              <w:caps/>
              <w:noProof/>
              <w:color w:val="002060"/>
            </w:rPr>
            <w:t>67</w:t>
          </w:r>
          <w:r w:rsidRPr="00600A92">
            <w:rPr>
              <w:caps/>
              <w:noProof/>
              <w:color w:val="002060"/>
            </w:rPr>
            <w:fldChar w:fldCharType="end"/>
          </w:r>
        </w:p>
        <w:p w14:paraId="7D03928A" w14:textId="4994BD72" w:rsidR="006657D6" w:rsidRPr="00600A92" w:rsidRDefault="006657D6">
          <w:pPr>
            <w:pStyle w:val="TOC2"/>
            <w:tabs>
              <w:tab w:val="left" w:pos="660"/>
              <w:tab w:val="right" w:leader="dot" w:pos="9710"/>
            </w:tabs>
            <w:rPr>
              <w:caps/>
              <w:noProof/>
              <w:color w:val="002060"/>
            </w:rPr>
          </w:pPr>
          <w:r w:rsidRPr="00600A92">
            <w:rPr>
              <w:caps/>
              <w:noProof/>
              <w:color w:val="002060"/>
            </w:rPr>
            <w:t>7.4</w:t>
          </w:r>
          <w:r w:rsidRPr="00600A92">
            <w:rPr>
              <w:caps/>
              <w:noProof/>
              <w:color w:val="002060"/>
            </w:rPr>
            <w:tab/>
            <w:t>Generic Vaccine Emergency Dispensing Site Flowchart Template</w:t>
          </w:r>
          <w:r w:rsidRPr="00600A92">
            <w:rPr>
              <w:caps/>
              <w:noProof/>
              <w:color w:val="002060"/>
            </w:rPr>
            <w:tab/>
          </w:r>
          <w:r w:rsidRPr="00600A92">
            <w:rPr>
              <w:caps/>
              <w:noProof/>
              <w:color w:val="002060"/>
            </w:rPr>
            <w:fldChar w:fldCharType="begin"/>
          </w:r>
          <w:r w:rsidRPr="00600A92">
            <w:rPr>
              <w:caps/>
              <w:noProof/>
              <w:color w:val="002060"/>
            </w:rPr>
            <w:instrText xml:space="preserve"> PAGEREF _Toc11832827 \h </w:instrText>
          </w:r>
          <w:r w:rsidRPr="00600A92">
            <w:rPr>
              <w:caps/>
              <w:noProof/>
              <w:color w:val="002060"/>
            </w:rPr>
          </w:r>
          <w:r w:rsidRPr="00600A92">
            <w:rPr>
              <w:caps/>
              <w:noProof/>
              <w:color w:val="002060"/>
            </w:rPr>
            <w:fldChar w:fldCharType="separate"/>
          </w:r>
          <w:r w:rsidRPr="00600A92">
            <w:rPr>
              <w:caps/>
              <w:noProof/>
              <w:color w:val="002060"/>
            </w:rPr>
            <w:t>68</w:t>
          </w:r>
          <w:r w:rsidRPr="00600A92">
            <w:rPr>
              <w:caps/>
              <w:noProof/>
              <w:color w:val="002060"/>
            </w:rPr>
            <w:fldChar w:fldCharType="end"/>
          </w:r>
        </w:p>
        <w:p w14:paraId="0D19B1BF" w14:textId="006F560B" w:rsidR="006657D6" w:rsidRPr="00600A92" w:rsidRDefault="006657D6">
          <w:pPr>
            <w:pStyle w:val="TOC2"/>
            <w:tabs>
              <w:tab w:val="left" w:pos="660"/>
              <w:tab w:val="right" w:leader="dot" w:pos="9710"/>
            </w:tabs>
            <w:rPr>
              <w:caps/>
              <w:noProof/>
              <w:color w:val="002060"/>
            </w:rPr>
          </w:pPr>
          <w:r w:rsidRPr="00600A92">
            <w:rPr>
              <w:caps/>
              <w:noProof/>
              <w:color w:val="002060"/>
            </w:rPr>
            <w:t>7.5</w:t>
          </w:r>
          <w:r w:rsidRPr="00600A92">
            <w:rPr>
              <w:caps/>
              <w:noProof/>
              <w:color w:val="002060"/>
            </w:rPr>
            <w:tab/>
            <w:t>Name Address Personal History (NAPH) Forms and Instructions</w:t>
          </w:r>
          <w:r w:rsidRPr="00600A92">
            <w:rPr>
              <w:caps/>
              <w:noProof/>
              <w:color w:val="002060"/>
            </w:rPr>
            <w:tab/>
          </w:r>
          <w:r w:rsidRPr="00600A92">
            <w:rPr>
              <w:caps/>
              <w:noProof/>
              <w:color w:val="002060"/>
            </w:rPr>
            <w:fldChar w:fldCharType="begin"/>
          </w:r>
          <w:r w:rsidRPr="00600A92">
            <w:rPr>
              <w:caps/>
              <w:noProof/>
              <w:color w:val="002060"/>
            </w:rPr>
            <w:instrText xml:space="preserve"> PAGEREF _Toc11832828 \h </w:instrText>
          </w:r>
          <w:r w:rsidRPr="00600A92">
            <w:rPr>
              <w:caps/>
              <w:noProof/>
              <w:color w:val="002060"/>
            </w:rPr>
          </w:r>
          <w:r w:rsidRPr="00600A92">
            <w:rPr>
              <w:caps/>
              <w:noProof/>
              <w:color w:val="002060"/>
            </w:rPr>
            <w:fldChar w:fldCharType="separate"/>
          </w:r>
          <w:r w:rsidRPr="00600A92">
            <w:rPr>
              <w:caps/>
              <w:noProof/>
              <w:color w:val="002060"/>
            </w:rPr>
            <w:t>69</w:t>
          </w:r>
          <w:r w:rsidRPr="00600A92">
            <w:rPr>
              <w:caps/>
              <w:noProof/>
              <w:color w:val="002060"/>
            </w:rPr>
            <w:fldChar w:fldCharType="end"/>
          </w:r>
        </w:p>
        <w:p w14:paraId="2DC4985F" w14:textId="45859926" w:rsidR="006657D6" w:rsidRPr="00600A92" w:rsidRDefault="006657D6">
          <w:pPr>
            <w:pStyle w:val="TOC2"/>
            <w:tabs>
              <w:tab w:val="left" w:pos="660"/>
              <w:tab w:val="right" w:leader="dot" w:pos="9710"/>
            </w:tabs>
            <w:rPr>
              <w:caps/>
              <w:noProof/>
              <w:color w:val="002060"/>
            </w:rPr>
          </w:pPr>
          <w:r w:rsidRPr="00600A92">
            <w:rPr>
              <w:caps/>
              <w:noProof/>
              <w:color w:val="002060"/>
            </w:rPr>
            <w:t>7.6</w:t>
          </w:r>
          <w:r w:rsidRPr="00600A92">
            <w:rPr>
              <w:caps/>
              <w:noProof/>
              <w:color w:val="002060"/>
            </w:rPr>
            <w:tab/>
            <w:t>Emergency Dispensing Site Inventory Tracking Form and Instructions</w:t>
          </w:r>
          <w:r w:rsidRPr="00600A92">
            <w:rPr>
              <w:caps/>
              <w:noProof/>
              <w:color w:val="002060"/>
            </w:rPr>
            <w:tab/>
          </w:r>
          <w:r w:rsidRPr="00600A92">
            <w:rPr>
              <w:caps/>
              <w:noProof/>
              <w:color w:val="002060"/>
            </w:rPr>
            <w:fldChar w:fldCharType="begin"/>
          </w:r>
          <w:r w:rsidRPr="00600A92">
            <w:rPr>
              <w:caps/>
              <w:noProof/>
              <w:color w:val="002060"/>
            </w:rPr>
            <w:instrText xml:space="preserve"> PAGEREF _Toc11832829 \h </w:instrText>
          </w:r>
          <w:r w:rsidRPr="00600A92">
            <w:rPr>
              <w:caps/>
              <w:noProof/>
              <w:color w:val="002060"/>
            </w:rPr>
          </w:r>
          <w:r w:rsidRPr="00600A92">
            <w:rPr>
              <w:caps/>
              <w:noProof/>
              <w:color w:val="002060"/>
            </w:rPr>
            <w:fldChar w:fldCharType="separate"/>
          </w:r>
          <w:r w:rsidRPr="00600A92">
            <w:rPr>
              <w:caps/>
              <w:noProof/>
              <w:color w:val="002060"/>
            </w:rPr>
            <w:t>74</w:t>
          </w:r>
          <w:r w:rsidRPr="00600A92">
            <w:rPr>
              <w:caps/>
              <w:noProof/>
              <w:color w:val="002060"/>
            </w:rPr>
            <w:fldChar w:fldCharType="end"/>
          </w:r>
        </w:p>
        <w:p w14:paraId="6A163FE3" w14:textId="11F92263" w:rsidR="006657D6" w:rsidRPr="00600A92" w:rsidRDefault="006657D6">
          <w:pPr>
            <w:pStyle w:val="TOC2"/>
            <w:tabs>
              <w:tab w:val="left" w:pos="660"/>
              <w:tab w:val="right" w:leader="dot" w:pos="9710"/>
            </w:tabs>
            <w:rPr>
              <w:noProof/>
              <w:color w:val="002060"/>
            </w:rPr>
          </w:pPr>
          <w:r w:rsidRPr="00600A92">
            <w:rPr>
              <w:caps/>
              <w:noProof/>
              <w:color w:val="002060"/>
            </w:rPr>
            <w:t>7.7</w:t>
          </w:r>
          <w:r w:rsidRPr="00600A92">
            <w:rPr>
              <w:caps/>
              <w:noProof/>
              <w:color w:val="002060"/>
            </w:rPr>
            <w:tab/>
            <w:t>Process for Volunteer Requests During a Cross-Jurisdictional Event</w:t>
          </w:r>
          <w:r w:rsidRPr="00600A92">
            <w:rPr>
              <w:noProof/>
              <w:color w:val="002060"/>
            </w:rPr>
            <w:tab/>
          </w:r>
          <w:r w:rsidRPr="00600A92">
            <w:rPr>
              <w:noProof/>
              <w:color w:val="002060"/>
            </w:rPr>
            <w:fldChar w:fldCharType="begin"/>
          </w:r>
          <w:r w:rsidRPr="00600A92">
            <w:rPr>
              <w:noProof/>
              <w:color w:val="002060"/>
            </w:rPr>
            <w:instrText xml:space="preserve"> PAGEREF _Toc11832830 \h </w:instrText>
          </w:r>
          <w:r w:rsidRPr="00600A92">
            <w:rPr>
              <w:noProof/>
              <w:color w:val="002060"/>
            </w:rPr>
          </w:r>
          <w:r w:rsidRPr="00600A92">
            <w:rPr>
              <w:noProof/>
              <w:color w:val="002060"/>
            </w:rPr>
            <w:fldChar w:fldCharType="separate"/>
          </w:r>
          <w:r w:rsidRPr="00600A92">
            <w:rPr>
              <w:noProof/>
              <w:color w:val="002060"/>
            </w:rPr>
            <w:t>80</w:t>
          </w:r>
          <w:r w:rsidRPr="00600A92">
            <w:rPr>
              <w:noProof/>
              <w:color w:val="002060"/>
            </w:rPr>
            <w:fldChar w:fldCharType="end"/>
          </w:r>
        </w:p>
        <w:p w14:paraId="729DDD53" w14:textId="4AB37768" w:rsidR="006657D6" w:rsidRPr="00600A92" w:rsidRDefault="006657D6">
          <w:pPr>
            <w:pStyle w:val="TOC2"/>
            <w:tabs>
              <w:tab w:val="left" w:pos="660"/>
              <w:tab w:val="right" w:leader="dot" w:pos="9710"/>
            </w:tabs>
            <w:rPr>
              <w:noProof/>
              <w:color w:val="002060"/>
            </w:rPr>
          </w:pPr>
          <w:r w:rsidRPr="00600A92">
            <w:rPr>
              <w:noProof/>
              <w:color w:val="002060"/>
            </w:rPr>
            <w:t>7.8</w:t>
          </w:r>
          <w:r w:rsidRPr="00600A92">
            <w:rPr>
              <w:noProof/>
              <w:color w:val="002060"/>
            </w:rPr>
            <w:tab/>
          </w:r>
          <w:r w:rsidRPr="00600A92">
            <w:rPr>
              <w:caps/>
              <w:noProof/>
              <w:color w:val="002060"/>
            </w:rPr>
            <w:t>Emergency Dispensing Site Facility Survey</w:t>
          </w:r>
          <w:r w:rsidRPr="00600A92">
            <w:rPr>
              <w:noProof/>
              <w:color w:val="002060"/>
            </w:rPr>
            <w:tab/>
          </w:r>
          <w:r w:rsidRPr="00600A92">
            <w:rPr>
              <w:noProof/>
              <w:color w:val="002060"/>
            </w:rPr>
            <w:fldChar w:fldCharType="begin"/>
          </w:r>
          <w:r w:rsidRPr="00600A92">
            <w:rPr>
              <w:noProof/>
              <w:color w:val="002060"/>
            </w:rPr>
            <w:instrText xml:space="preserve"> PAGEREF _Toc11832831 \h </w:instrText>
          </w:r>
          <w:r w:rsidRPr="00600A92">
            <w:rPr>
              <w:noProof/>
              <w:color w:val="002060"/>
            </w:rPr>
          </w:r>
          <w:r w:rsidRPr="00600A92">
            <w:rPr>
              <w:noProof/>
              <w:color w:val="002060"/>
            </w:rPr>
            <w:fldChar w:fldCharType="separate"/>
          </w:r>
          <w:r w:rsidRPr="00600A92">
            <w:rPr>
              <w:noProof/>
              <w:color w:val="002060"/>
            </w:rPr>
            <w:t>87</w:t>
          </w:r>
          <w:r w:rsidRPr="00600A92">
            <w:rPr>
              <w:noProof/>
              <w:color w:val="002060"/>
            </w:rPr>
            <w:fldChar w:fldCharType="end"/>
          </w:r>
        </w:p>
        <w:p w14:paraId="6A3382EE" w14:textId="7B659823" w:rsidR="00450B4F" w:rsidRDefault="002E2EA2" w:rsidP="006657D6">
          <w:pPr>
            <w:pStyle w:val="TOC2"/>
            <w:tabs>
              <w:tab w:val="left" w:pos="660"/>
              <w:tab w:val="right" w:leader="dot" w:pos="9710"/>
            </w:tabs>
          </w:pPr>
          <w:r>
            <w:fldChar w:fldCharType="end"/>
          </w:r>
        </w:p>
      </w:sdtContent>
    </w:sdt>
    <w:p w14:paraId="5532CCD6" w14:textId="77777777" w:rsidR="00450B4F" w:rsidRPr="00450B4F" w:rsidRDefault="00450B4F" w:rsidP="00450B4F"/>
    <w:p w14:paraId="18E9088F" w14:textId="77777777" w:rsidR="00450B4F" w:rsidRPr="00450B4F" w:rsidRDefault="00450B4F" w:rsidP="00450B4F"/>
    <w:p w14:paraId="3EFA0F1F" w14:textId="77777777" w:rsidR="00450B4F" w:rsidRPr="00450B4F" w:rsidRDefault="00450B4F" w:rsidP="00450B4F"/>
    <w:p w14:paraId="1A22E272" w14:textId="77777777" w:rsidR="00450B4F" w:rsidRPr="00450B4F" w:rsidRDefault="00450B4F" w:rsidP="00450B4F"/>
    <w:p w14:paraId="4755DC25" w14:textId="77777777" w:rsidR="00450B4F" w:rsidRPr="00450B4F" w:rsidRDefault="00450B4F" w:rsidP="00450B4F"/>
    <w:p w14:paraId="43EB6224" w14:textId="77777777" w:rsidR="00450B4F" w:rsidRPr="00450B4F" w:rsidRDefault="00450B4F" w:rsidP="00450B4F"/>
    <w:p w14:paraId="3820CBBB" w14:textId="77777777" w:rsidR="00450B4F" w:rsidRPr="00450B4F" w:rsidRDefault="00450B4F" w:rsidP="00450B4F"/>
    <w:p w14:paraId="5D3497CE" w14:textId="77777777" w:rsidR="00450B4F" w:rsidRPr="00450B4F" w:rsidRDefault="00450B4F" w:rsidP="00450B4F"/>
    <w:p w14:paraId="45B08FA1" w14:textId="77777777" w:rsidR="00450B4F" w:rsidRDefault="00450B4F" w:rsidP="00450B4F"/>
    <w:p w14:paraId="2182EC81" w14:textId="77777777" w:rsidR="00632BC6" w:rsidRDefault="00632BC6" w:rsidP="00450B4F">
      <w:pPr>
        <w:tabs>
          <w:tab w:val="left" w:pos="7500"/>
        </w:tabs>
      </w:pPr>
    </w:p>
    <w:p w14:paraId="36B7E29C" w14:textId="77777777" w:rsidR="001335D3" w:rsidRPr="001335D3" w:rsidRDefault="00632BC6" w:rsidP="001335D3">
      <w:pPr>
        <w:pStyle w:val="Heading2"/>
        <w:numPr>
          <w:ilvl w:val="0"/>
          <w:numId w:val="0"/>
        </w:numPr>
        <w:spacing w:before="0"/>
        <w:ind w:left="576" w:hanging="576"/>
      </w:pPr>
      <w:r>
        <w:br w:type="page"/>
      </w:r>
      <w:bookmarkStart w:id="2" w:name="_Toc525544570"/>
      <w:bookmarkStart w:id="3" w:name="_Toc11832703"/>
      <w:r w:rsidR="001335D3" w:rsidRPr="001335D3">
        <w:rPr>
          <w:color w:val="ED7D31" w:themeColor="accent2"/>
          <w:sz w:val="36"/>
        </w:rPr>
        <w:lastRenderedPageBreak/>
        <w:t>Record of Change</w:t>
      </w:r>
      <w:bookmarkEnd w:id="2"/>
      <w:bookmarkEnd w:id="3"/>
    </w:p>
    <w:p w14:paraId="477D5B08" w14:textId="77777777" w:rsidR="001335D3" w:rsidRDefault="001335D3" w:rsidP="0001035C">
      <w:pPr>
        <w:rPr>
          <w:sz w:val="22"/>
          <w:szCs w:val="22"/>
        </w:rPr>
      </w:pPr>
      <w:r>
        <w:rPr>
          <w:sz w:val="22"/>
          <w:szCs w:val="22"/>
        </w:rPr>
        <w:t>The R</w:t>
      </w:r>
      <w:r w:rsidRPr="00B64A55">
        <w:rPr>
          <w:sz w:val="22"/>
          <w:szCs w:val="22"/>
        </w:rPr>
        <w:t xml:space="preserve">ecord </w:t>
      </w:r>
      <w:r>
        <w:rPr>
          <w:sz w:val="22"/>
          <w:szCs w:val="22"/>
        </w:rPr>
        <w:t xml:space="preserve">of Change </w:t>
      </w:r>
      <w:r w:rsidRPr="00B64A55">
        <w:rPr>
          <w:sz w:val="22"/>
          <w:szCs w:val="22"/>
        </w:rPr>
        <w:t>reflects any change</w:t>
      </w:r>
      <w:r>
        <w:rPr>
          <w:sz w:val="22"/>
          <w:szCs w:val="22"/>
        </w:rPr>
        <w:t>s</w:t>
      </w:r>
      <w:r w:rsidRPr="00B64A55">
        <w:rPr>
          <w:sz w:val="22"/>
          <w:szCs w:val="22"/>
        </w:rPr>
        <w:t xml:space="preserve"> made to the </w:t>
      </w:r>
      <w:r w:rsidR="005F7883">
        <w:rPr>
          <w:sz w:val="22"/>
          <w:szCs w:val="22"/>
        </w:rPr>
        <w:t>Guidance since it</w:t>
      </w:r>
      <w:r>
        <w:rPr>
          <w:sz w:val="22"/>
          <w:szCs w:val="22"/>
        </w:rPr>
        <w:t>s last revision,</w:t>
      </w:r>
      <w:r w:rsidRPr="00B64A55">
        <w:rPr>
          <w:sz w:val="22"/>
          <w:szCs w:val="22"/>
        </w:rPr>
        <w:t xml:space="preserve"> with the most recent change documented at the top of the record. The revision date (cover</w:t>
      </w:r>
      <w:r>
        <w:rPr>
          <w:sz w:val="22"/>
          <w:szCs w:val="22"/>
        </w:rPr>
        <w:t xml:space="preserve"> page</w:t>
      </w:r>
      <w:r w:rsidRPr="00B64A55">
        <w:rPr>
          <w:sz w:val="22"/>
          <w:szCs w:val="22"/>
        </w:rPr>
        <w:t xml:space="preserve"> and footer) </w:t>
      </w:r>
      <w:r>
        <w:rPr>
          <w:sz w:val="22"/>
          <w:szCs w:val="22"/>
        </w:rPr>
        <w:t>is</w:t>
      </w:r>
      <w:r w:rsidRPr="00B64A55">
        <w:rPr>
          <w:sz w:val="22"/>
          <w:szCs w:val="22"/>
        </w:rPr>
        <w:t xml:space="preserve"> updated following any change to this document. </w:t>
      </w:r>
      <w:bookmarkStart w:id="4" w:name="page3"/>
      <w:bookmarkEnd w:id="4"/>
    </w:p>
    <w:p w14:paraId="2F1A0C03" w14:textId="77777777" w:rsidR="001335D3" w:rsidRDefault="001335D3" w:rsidP="0001035C">
      <w:pPr>
        <w:rPr>
          <w:sz w:val="22"/>
          <w:szCs w:val="22"/>
        </w:rPr>
      </w:pPr>
    </w:p>
    <w:tbl>
      <w:tblPr>
        <w:tblStyle w:val="TableGrid"/>
        <w:tblW w:w="0" w:type="auto"/>
        <w:tblLook w:val="04A0" w:firstRow="1" w:lastRow="0" w:firstColumn="1" w:lastColumn="0" w:noHBand="0" w:noVBand="1"/>
      </w:tblPr>
      <w:tblGrid>
        <w:gridCol w:w="1114"/>
        <w:gridCol w:w="1334"/>
        <w:gridCol w:w="5310"/>
        <w:gridCol w:w="2070"/>
      </w:tblGrid>
      <w:tr w:rsidR="0070226E" w:rsidRPr="003C2621" w14:paraId="1BD7067B" w14:textId="77777777" w:rsidTr="0070226E">
        <w:tc>
          <w:tcPr>
            <w:tcW w:w="1114" w:type="dxa"/>
            <w:shd w:val="clear" w:color="auto" w:fill="162E52"/>
            <w:vAlign w:val="center"/>
          </w:tcPr>
          <w:p w14:paraId="154B9B38" w14:textId="77777777" w:rsidR="0070226E" w:rsidRPr="003C2621" w:rsidRDefault="0070226E" w:rsidP="0001035C">
            <w:pPr>
              <w:jc w:val="center"/>
              <w:rPr>
                <w:rFonts w:cstheme="minorHAnsi"/>
              </w:rPr>
            </w:pPr>
            <w:r>
              <w:rPr>
                <w:rFonts w:cstheme="minorHAnsi"/>
              </w:rPr>
              <w:t>Change Number</w:t>
            </w:r>
          </w:p>
        </w:tc>
        <w:tc>
          <w:tcPr>
            <w:tcW w:w="1334" w:type="dxa"/>
            <w:shd w:val="clear" w:color="auto" w:fill="162E52"/>
            <w:vAlign w:val="center"/>
          </w:tcPr>
          <w:p w14:paraId="108E7BCD" w14:textId="77777777" w:rsidR="0070226E" w:rsidRPr="003C2621" w:rsidRDefault="0070226E" w:rsidP="0001035C">
            <w:pPr>
              <w:jc w:val="center"/>
              <w:rPr>
                <w:rFonts w:cstheme="minorHAnsi"/>
              </w:rPr>
            </w:pPr>
            <w:r>
              <w:rPr>
                <w:rFonts w:cstheme="minorHAnsi"/>
              </w:rPr>
              <w:t>Date of Revisions</w:t>
            </w:r>
          </w:p>
        </w:tc>
        <w:tc>
          <w:tcPr>
            <w:tcW w:w="5310" w:type="dxa"/>
            <w:shd w:val="clear" w:color="auto" w:fill="162E52"/>
            <w:vAlign w:val="center"/>
          </w:tcPr>
          <w:p w14:paraId="453033C0" w14:textId="77777777" w:rsidR="0070226E" w:rsidRPr="003C2621" w:rsidRDefault="0070226E" w:rsidP="0001035C">
            <w:pPr>
              <w:jc w:val="center"/>
              <w:rPr>
                <w:rFonts w:cstheme="minorHAnsi"/>
              </w:rPr>
            </w:pPr>
            <w:r>
              <w:rPr>
                <w:rFonts w:cstheme="minorHAnsi"/>
              </w:rPr>
              <w:t>Subject Area and Summary of Change</w:t>
            </w:r>
          </w:p>
        </w:tc>
        <w:tc>
          <w:tcPr>
            <w:tcW w:w="2070" w:type="dxa"/>
            <w:shd w:val="clear" w:color="auto" w:fill="162E52"/>
            <w:vAlign w:val="center"/>
          </w:tcPr>
          <w:p w14:paraId="653E2324" w14:textId="77777777" w:rsidR="0070226E" w:rsidRPr="003C2621" w:rsidRDefault="0070226E" w:rsidP="0001035C">
            <w:pPr>
              <w:jc w:val="center"/>
              <w:rPr>
                <w:rFonts w:cstheme="minorHAnsi"/>
              </w:rPr>
            </w:pPr>
            <w:r>
              <w:rPr>
                <w:rFonts w:cstheme="minorHAnsi"/>
              </w:rPr>
              <w:t>Name</w:t>
            </w:r>
          </w:p>
        </w:tc>
      </w:tr>
      <w:tr w:rsidR="0070226E" w:rsidRPr="003C2621" w14:paraId="50F7F5E3" w14:textId="77777777" w:rsidTr="0070226E">
        <w:tc>
          <w:tcPr>
            <w:tcW w:w="1114" w:type="dxa"/>
          </w:tcPr>
          <w:p w14:paraId="23204D77" w14:textId="77777777" w:rsidR="0070226E" w:rsidRPr="003C2621" w:rsidRDefault="0070226E" w:rsidP="0001035C">
            <w:pPr>
              <w:rPr>
                <w:rFonts w:cstheme="minorHAnsi"/>
              </w:rPr>
            </w:pPr>
            <w:r>
              <w:rPr>
                <w:rFonts w:cstheme="minorHAnsi"/>
              </w:rPr>
              <w:t>1</w:t>
            </w:r>
          </w:p>
        </w:tc>
        <w:tc>
          <w:tcPr>
            <w:tcW w:w="1334" w:type="dxa"/>
          </w:tcPr>
          <w:p w14:paraId="29488B39" w14:textId="77777777" w:rsidR="0070226E" w:rsidRPr="003C2621" w:rsidRDefault="0070226E" w:rsidP="0001035C">
            <w:pPr>
              <w:rPr>
                <w:rFonts w:cstheme="minorHAnsi"/>
              </w:rPr>
            </w:pPr>
            <w:r>
              <w:rPr>
                <w:rFonts w:cstheme="minorHAnsi"/>
              </w:rPr>
              <w:t>06.14.19</w:t>
            </w:r>
          </w:p>
        </w:tc>
        <w:tc>
          <w:tcPr>
            <w:tcW w:w="5310" w:type="dxa"/>
          </w:tcPr>
          <w:p w14:paraId="5F11DE00" w14:textId="77777777" w:rsidR="0070226E" w:rsidRPr="003C2621" w:rsidRDefault="0070226E" w:rsidP="0001035C">
            <w:pPr>
              <w:rPr>
                <w:rFonts w:cstheme="minorHAnsi"/>
              </w:rPr>
            </w:pPr>
            <w:r>
              <w:rPr>
                <w:rFonts w:cstheme="minorHAnsi"/>
              </w:rPr>
              <w:t>Insert Record of Change page</w:t>
            </w:r>
          </w:p>
        </w:tc>
        <w:tc>
          <w:tcPr>
            <w:tcW w:w="2070" w:type="dxa"/>
          </w:tcPr>
          <w:p w14:paraId="4B7E8D1A" w14:textId="77777777" w:rsidR="0070226E" w:rsidRPr="003C2621" w:rsidRDefault="0070226E" w:rsidP="0001035C">
            <w:pPr>
              <w:rPr>
                <w:rFonts w:cstheme="minorHAnsi"/>
              </w:rPr>
            </w:pPr>
            <w:r>
              <w:rPr>
                <w:rFonts w:cstheme="minorHAnsi"/>
              </w:rPr>
              <w:t>C. Hunter</w:t>
            </w:r>
          </w:p>
        </w:tc>
      </w:tr>
      <w:tr w:rsidR="0070226E" w:rsidRPr="003C2621" w14:paraId="2B180F95" w14:textId="77777777" w:rsidTr="0070226E">
        <w:tc>
          <w:tcPr>
            <w:tcW w:w="1114" w:type="dxa"/>
          </w:tcPr>
          <w:p w14:paraId="53A0DE54" w14:textId="77777777" w:rsidR="0070226E" w:rsidRPr="003C2621" w:rsidRDefault="0070226E" w:rsidP="0001035C">
            <w:pPr>
              <w:rPr>
                <w:rFonts w:cstheme="minorHAnsi"/>
              </w:rPr>
            </w:pPr>
            <w:r>
              <w:rPr>
                <w:rFonts w:cstheme="minorHAnsi"/>
              </w:rPr>
              <w:t>2</w:t>
            </w:r>
          </w:p>
        </w:tc>
        <w:tc>
          <w:tcPr>
            <w:tcW w:w="1334" w:type="dxa"/>
          </w:tcPr>
          <w:p w14:paraId="5D7E26B0" w14:textId="77777777" w:rsidR="0070226E" w:rsidRPr="003C2621" w:rsidRDefault="0070226E" w:rsidP="0001035C">
            <w:pPr>
              <w:rPr>
                <w:rFonts w:cstheme="minorHAnsi"/>
              </w:rPr>
            </w:pPr>
            <w:r>
              <w:rPr>
                <w:rFonts w:cstheme="minorHAnsi"/>
              </w:rPr>
              <w:t>06.14.19</w:t>
            </w:r>
          </w:p>
        </w:tc>
        <w:tc>
          <w:tcPr>
            <w:tcW w:w="5310" w:type="dxa"/>
          </w:tcPr>
          <w:p w14:paraId="4B9F1689" w14:textId="77777777" w:rsidR="0070226E" w:rsidRPr="003C2621" w:rsidRDefault="009B6DBA" w:rsidP="0001035C">
            <w:pPr>
              <w:rPr>
                <w:rFonts w:cstheme="minorHAnsi"/>
              </w:rPr>
            </w:pPr>
            <w:r>
              <w:rPr>
                <w:rFonts w:cstheme="minorHAnsi"/>
              </w:rPr>
              <w:t>1.2.1 Change distribution time for Managed Inventory to 12 hours</w:t>
            </w:r>
          </w:p>
        </w:tc>
        <w:tc>
          <w:tcPr>
            <w:tcW w:w="2070" w:type="dxa"/>
          </w:tcPr>
          <w:p w14:paraId="3130757D" w14:textId="77777777" w:rsidR="0070226E" w:rsidRPr="003C2621" w:rsidRDefault="0070226E" w:rsidP="0001035C">
            <w:pPr>
              <w:rPr>
                <w:rFonts w:cstheme="minorHAnsi"/>
              </w:rPr>
            </w:pPr>
            <w:r>
              <w:rPr>
                <w:rFonts w:cstheme="minorHAnsi"/>
              </w:rPr>
              <w:t>C. Hunter</w:t>
            </w:r>
          </w:p>
        </w:tc>
      </w:tr>
      <w:tr w:rsidR="0070226E" w:rsidRPr="003C2621" w14:paraId="26F52B74" w14:textId="77777777" w:rsidTr="0070226E">
        <w:tc>
          <w:tcPr>
            <w:tcW w:w="1114" w:type="dxa"/>
          </w:tcPr>
          <w:p w14:paraId="551A926E" w14:textId="77777777" w:rsidR="0070226E" w:rsidRPr="003C2621" w:rsidRDefault="0070226E" w:rsidP="0001035C">
            <w:pPr>
              <w:rPr>
                <w:rFonts w:cstheme="minorHAnsi"/>
              </w:rPr>
            </w:pPr>
            <w:r>
              <w:rPr>
                <w:rFonts w:cstheme="minorHAnsi"/>
              </w:rPr>
              <w:t>3</w:t>
            </w:r>
          </w:p>
        </w:tc>
        <w:tc>
          <w:tcPr>
            <w:tcW w:w="1334" w:type="dxa"/>
          </w:tcPr>
          <w:p w14:paraId="777074DA" w14:textId="77777777" w:rsidR="0070226E" w:rsidRPr="003C2621" w:rsidRDefault="0070226E" w:rsidP="0001035C">
            <w:pPr>
              <w:rPr>
                <w:rFonts w:cstheme="minorHAnsi"/>
              </w:rPr>
            </w:pPr>
            <w:r>
              <w:rPr>
                <w:rFonts w:cstheme="minorHAnsi"/>
              </w:rPr>
              <w:t>06.14.19</w:t>
            </w:r>
          </w:p>
        </w:tc>
        <w:tc>
          <w:tcPr>
            <w:tcW w:w="5310" w:type="dxa"/>
          </w:tcPr>
          <w:p w14:paraId="303FC8CE" w14:textId="77777777" w:rsidR="0070226E" w:rsidRPr="003C2621" w:rsidRDefault="00F86F01" w:rsidP="0001035C">
            <w:pPr>
              <w:rPr>
                <w:rFonts w:cstheme="minorHAnsi"/>
              </w:rPr>
            </w:pPr>
            <w:r>
              <w:rPr>
                <w:rFonts w:cstheme="minorHAnsi"/>
              </w:rPr>
              <w:t>1.3.1 Insert Resource</w:t>
            </w:r>
          </w:p>
        </w:tc>
        <w:tc>
          <w:tcPr>
            <w:tcW w:w="2070" w:type="dxa"/>
          </w:tcPr>
          <w:p w14:paraId="1A07592F" w14:textId="77777777" w:rsidR="0070226E" w:rsidRPr="003C2621" w:rsidRDefault="0070226E" w:rsidP="0001035C">
            <w:pPr>
              <w:rPr>
                <w:rFonts w:cstheme="minorHAnsi"/>
              </w:rPr>
            </w:pPr>
            <w:r>
              <w:rPr>
                <w:rFonts w:cstheme="minorHAnsi"/>
              </w:rPr>
              <w:t>C. Hunter</w:t>
            </w:r>
          </w:p>
        </w:tc>
      </w:tr>
      <w:tr w:rsidR="009B6DBA" w:rsidRPr="003C2621" w14:paraId="36DDF9B2" w14:textId="77777777" w:rsidTr="0070226E">
        <w:tc>
          <w:tcPr>
            <w:tcW w:w="1114" w:type="dxa"/>
          </w:tcPr>
          <w:p w14:paraId="2690D0A4" w14:textId="77777777" w:rsidR="009B6DBA" w:rsidRPr="003C2621" w:rsidRDefault="009B6DBA" w:rsidP="0001035C">
            <w:pPr>
              <w:rPr>
                <w:rFonts w:cstheme="minorHAnsi"/>
              </w:rPr>
            </w:pPr>
            <w:r>
              <w:rPr>
                <w:rFonts w:cstheme="minorHAnsi"/>
              </w:rPr>
              <w:t>4</w:t>
            </w:r>
          </w:p>
        </w:tc>
        <w:tc>
          <w:tcPr>
            <w:tcW w:w="1334" w:type="dxa"/>
          </w:tcPr>
          <w:p w14:paraId="1CA0F2B4" w14:textId="77777777" w:rsidR="009B6DBA" w:rsidRPr="003C2621" w:rsidRDefault="009B6DBA" w:rsidP="0001035C">
            <w:pPr>
              <w:rPr>
                <w:rFonts w:cstheme="minorHAnsi"/>
              </w:rPr>
            </w:pPr>
            <w:r>
              <w:rPr>
                <w:rFonts w:cstheme="minorHAnsi"/>
              </w:rPr>
              <w:t>06.14.19</w:t>
            </w:r>
          </w:p>
        </w:tc>
        <w:tc>
          <w:tcPr>
            <w:tcW w:w="5310" w:type="dxa"/>
          </w:tcPr>
          <w:p w14:paraId="658BB609" w14:textId="77777777" w:rsidR="009B6DBA" w:rsidRPr="003C2621" w:rsidRDefault="009B6DBA" w:rsidP="00750917">
            <w:pPr>
              <w:rPr>
                <w:rFonts w:cstheme="minorHAnsi"/>
              </w:rPr>
            </w:pPr>
            <w:r>
              <w:rPr>
                <w:rFonts w:cstheme="minorHAnsi"/>
              </w:rPr>
              <w:t>1.4.1.4 Resources: added paragraph pertaining to Emergency Preparedness Portal</w:t>
            </w:r>
          </w:p>
        </w:tc>
        <w:tc>
          <w:tcPr>
            <w:tcW w:w="2070" w:type="dxa"/>
          </w:tcPr>
          <w:p w14:paraId="3BD35E85" w14:textId="77777777" w:rsidR="009B6DBA" w:rsidRPr="003C2621" w:rsidRDefault="009B6DBA" w:rsidP="0001035C">
            <w:pPr>
              <w:rPr>
                <w:rFonts w:cstheme="minorHAnsi"/>
              </w:rPr>
            </w:pPr>
            <w:r>
              <w:rPr>
                <w:rFonts w:cstheme="minorHAnsi"/>
              </w:rPr>
              <w:t>C. Hunter</w:t>
            </w:r>
          </w:p>
        </w:tc>
      </w:tr>
      <w:tr w:rsidR="009B6DBA" w:rsidRPr="003C2621" w14:paraId="26B179AC" w14:textId="77777777" w:rsidTr="0070226E">
        <w:tc>
          <w:tcPr>
            <w:tcW w:w="1114" w:type="dxa"/>
          </w:tcPr>
          <w:p w14:paraId="7CC0F249" w14:textId="77777777" w:rsidR="009B6DBA" w:rsidRPr="003C2621" w:rsidRDefault="009B6DBA" w:rsidP="0001035C">
            <w:pPr>
              <w:rPr>
                <w:rFonts w:cstheme="minorHAnsi"/>
              </w:rPr>
            </w:pPr>
            <w:r>
              <w:rPr>
                <w:rFonts w:cstheme="minorHAnsi"/>
              </w:rPr>
              <w:t>5</w:t>
            </w:r>
          </w:p>
        </w:tc>
        <w:tc>
          <w:tcPr>
            <w:tcW w:w="1334" w:type="dxa"/>
          </w:tcPr>
          <w:p w14:paraId="111BC572" w14:textId="77777777" w:rsidR="009B6DBA" w:rsidRPr="003C2621" w:rsidRDefault="009B6DBA" w:rsidP="0001035C">
            <w:pPr>
              <w:rPr>
                <w:rFonts w:cstheme="minorHAnsi"/>
              </w:rPr>
            </w:pPr>
            <w:r>
              <w:rPr>
                <w:rFonts w:cstheme="minorHAnsi"/>
              </w:rPr>
              <w:t>06.14.19</w:t>
            </w:r>
          </w:p>
        </w:tc>
        <w:tc>
          <w:tcPr>
            <w:tcW w:w="5310" w:type="dxa"/>
          </w:tcPr>
          <w:p w14:paraId="717261AE" w14:textId="77777777" w:rsidR="009B6DBA" w:rsidRPr="003C2621" w:rsidRDefault="009B6DBA" w:rsidP="00750917">
            <w:pPr>
              <w:rPr>
                <w:rFonts w:cstheme="minorHAnsi"/>
              </w:rPr>
            </w:pPr>
            <w:r>
              <w:rPr>
                <w:rFonts w:cstheme="minorHAnsi"/>
              </w:rPr>
              <w:t>1.4.2.1 Remove “signature for consent”</w:t>
            </w:r>
          </w:p>
        </w:tc>
        <w:tc>
          <w:tcPr>
            <w:tcW w:w="2070" w:type="dxa"/>
          </w:tcPr>
          <w:p w14:paraId="4C1A440D" w14:textId="77777777" w:rsidR="009B6DBA" w:rsidRPr="003C2621" w:rsidRDefault="009B6DBA" w:rsidP="0001035C">
            <w:pPr>
              <w:rPr>
                <w:rFonts w:cstheme="minorHAnsi"/>
              </w:rPr>
            </w:pPr>
            <w:r>
              <w:rPr>
                <w:rFonts w:cstheme="minorHAnsi"/>
              </w:rPr>
              <w:t>C. Hunter</w:t>
            </w:r>
          </w:p>
        </w:tc>
      </w:tr>
      <w:tr w:rsidR="009B6DBA" w:rsidRPr="003C2621" w14:paraId="78F17B22" w14:textId="77777777" w:rsidTr="0070226E">
        <w:tc>
          <w:tcPr>
            <w:tcW w:w="1114" w:type="dxa"/>
          </w:tcPr>
          <w:p w14:paraId="019571E3" w14:textId="77777777" w:rsidR="009B6DBA" w:rsidRPr="003C2621" w:rsidRDefault="009B6DBA" w:rsidP="0001035C">
            <w:pPr>
              <w:rPr>
                <w:rFonts w:cstheme="minorHAnsi"/>
              </w:rPr>
            </w:pPr>
            <w:r>
              <w:rPr>
                <w:rFonts w:cstheme="minorHAnsi"/>
              </w:rPr>
              <w:t>6</w:t>
            </w:r>
          </w:p>
        </w:tc>
        <w:tc>
          <w:tcPr>
            <w:tcW w:w="1334" w:type="dxa"/>
          </w:tcPr>
          <w:p w14:paraId="5D3EBFFE" w14:textId="77777777" w:rsidR="009B6DBA" w:rsidRPr="003C2621" w:rsidRDefault="009B6DBA" w:rsidP="0001035C">
            <w:pPr>
              <w:rPr>
                <w:rFonts w:cstheme="minorHAnsi"/>
              </w:rPr>
            </w:pPr>
            <w:r>
              <w:rPr>
                <w:rFonts w:cstheme="minorHAnsi"/>
              </w:rPr>
              <w:t>06.14.19</w:t>
            </w:r>
          </w:p>
        </w:tc>
        <w:tc>
          <w:tcPr>
            <w:tcW w:w="5310" w:type="dxa"/>
          </w:tcPr>
          <w:p w14:paraId="4B586BC2" w14:textId="77777777" w:rsidR="009B6DBA" w:rsidRPr="003C2621" w:rsidRDefault="009B6DBA" w:rsidP="00750917">
            <w:pPr>
              <w:rPr>
                <w:rFonts w:cstheme="minorHAnsi"/>
              </w:rPr>
            </w:pPr>
            <w:r>
              <w:rPr>
                <w:rFonts w:cstheme="minorHAnsi"/>
              </w:rPr>
              <w:t>3.3.1 Include reference to Inventory Tracking documents</w:t>
            </w:r>
          </w:p>
        </w:tc>
        <w:tc>
          <w:tcPr>
            <w:tcW w:w="2070" w:type="dxa"/>
          </w:tcPr>
          <w:p w14:paraId="1A2AD9C8" w14:textId="77777777" w:rsidR="009B6DBA" w:rsidRPr="003C2621" w:rsidRDefault="009B6DBA" w:rsidP="0001035C">
            <w:pPr>
              <w:rPr>
                <w:rFonts w:cstheme="minorHAnsi"/>
              </w:rPr>
            </w:pPr>
            <w:r>
              <w:rPr>
                <w:rFonts w:cstheme="minorHAnsi"/>
              </w:rPr>
              <w:t>C. Hunter</w:t>
            </w:r>
          </w:p>
        </w:tc>
      </w:tr>
      <w:tr w:rsidR="009B6DBA" w:rsidRPr="003C2621" w14:paraId="7D85315E" w14:textId="77777777" w:rsidTr="0070226E">
        <w:tc>
          <w:tcPr>
            <w:tcW w:w="1114" w:type="dxa"/>
          </w:tcPr>
          <w:p w14:paraId="630DD15E" w14:textId="77777777" w:rsidR="009B6DBA" w:rsidRPr="003C2621" w:rsidRDefault="009B6DBA" w:rsidP="0001035C">
            <w:pPr>
              <w:rPr>
                <w:rFonts w:cstheme="minorHAnsi"/>
              </w:rPr>
            </w:pPr>
            <w:r>
              <w:rPr>
                <w:rFonts w:cstheme="minorHAnsi"/>
              </w:rPr>
              <w:t>7</w:t>
            </w:r>
          </w:p>
        </w:tc>
        <w:tc>
          <w:tcPr>
            <w:tcW w:w="1334" w:type="dxa"/>
          </w:tcPr>
          <w:p w14:paraId="2425F378" w14:textId="77777777" w:rsidR="009B6DBA" w:rsidRPr="003C2621" w:rsidRDefault="009B6DBA" w:rsidP="0001035C">
            <w:pPr>
              <w:rPr>
                <w:rFonts w:cstheme="minorHAnsi"/>
              </w:rPr>
            </w:pPr>
            <w:r>
              <w:rPr>
                <w:rFonts w:cstheme="minorHAnsi"/>
              </w:rPr>
              <w:t>06.14.19</w:t>
            </w:r>
          </w:p>
        </w:tc>
        <w:tc>
          <w:tcPr>
            <w:tcW w:w="5310" w:type="dxa"/>
          </w:tcPr>
          <w:p w14:paraId="5EFA00C8" w14:textId="77777777" w:rsidR="009B6DBA" w:rsidRPr="003C2621" w:rsidRDefault="009B6DBA" w:rsidP="00750917">
            <w:pPr>
              <w:rPr>
                <w:rFonts w:cstheme="minorHAnsi"/>
              </w:rPr>
            </w:pPr>
            <w:r>
              <w:rPr>
                <w:rFonts w:cstheme="minorHAnsi"/>
              </w:rPr>
              <w:t>3.3.3 Include reference to Inventory Tracking documents</w:t>
            </w:r>
          </w:p>
        </w:tc>
        <w:tc>
          <w:tcPr>
            <w:tcW w:w="2070" w:type="dxa"/>
          </w:tcPr>
          <w:p w14:paraId="37FCEFB8" w14:textId="77777777" w:rsidR="009B6DBA" w:rsidRPr="003C2621" w:rsidRDefault="009B6DBA" w:rsidP="0001035C">
            <w:pPr>
              <w:rPr>
                <w:rFonts w:cstheme="minorHAnsi"/>
              </w:rPr>
            </w:pPr>
            <w:r>
              <w:rPr>
                <w:rFonts w:cstheme="minorHAnsi"/>
              </w:rPr>
              <w:t>C. Hunter</w:t>
            </w:r>
          </w:p>
        </w:tc>
      </w:tr>
      <w:tr w:rsidR="009B6DBA" w:rsidRPr="003C2621" w14:paraId="11B81CDA" w14:textId="77777777" w:rsidTr="0070226E">
        <w:tc>
          <w:tcPr>
            <w:tcW w:w="1114" w:type="dxa"/>
          </w:tcPr>
          <w:p w14:paraId="79C3E6F2" w14:textId="77777777" w:rsidR="009B6DBA" w:rsidRPr="003C2621" w:rsidRDefault="009B6DBA" w:rsidP="0001035C">
            <w:pPr>
              <w:rPr>
                <w:rFonts w:cstheme="minorHAnsi"/>
              </w:rPr>
            </w:pPr>
            <w:r>
              <w:rPr>
                <w:rFonts w:cstheme="minorHAnsi"/>
              </w:rPr>
              <w:t>8</w:t>
            </w:r>
          </w:p>
        </w:tc>
        <w:tc>
          <w:tcPr>
            <w:tcW w:w="1334" w:type="dxa"/>
          </w:tcPr>
          <w:p w14:paraId="6B7FBF3B" w14:textId="77777777" w:rsidR="009B6DBA" w:rsidRPr="003C2621" w:rsidRDefault="009B6DBA" w:rsidP="0001035C">
            <w:pPr>
              <w:rPr>
                <w:rFonts w:cstheme="minorHAnsi"/>
              </w:rPr>
            </w:pPr>
            <w:r>
              <w:rPr>
                <w:rFonts w:cstheme="minorHAnsi"/>
              </w:rPr>
              <w:t>06.14.19</w:t>
            </w:r>
          </w:p>
        </w:tc>
        <w:tc>
          <w:tcPr>
            <w:tcW w:w="5310" w:type="dxa"/>
          </w:tcPr>
          <w:p w14:paraId="1ED83B3D" w14:textId="77777777" w:rsidR="009B6DBA" w:rsidRPr="003C2621" w:rsidRDefault="009B6DBA" w:rsidP="00750917">
            <w:pPr>
              <w:rPr>
                <w:rFonts w:cstheme="minorHAnsi"/>
              </w:rPr>
            </w:pPr>
            <w:r>
              <w:rPr>
                <w:rFonts w:cstheme="minorHAnsi"/>
              </w:rPr>
              <w:t>4.2.2 Change wording re: securing and transporting unused resources</w:t>
            </w:r>
          </w:p>
        </w:tc>
        <w:tc>
          <w:tcPr>
            <w:tcW w:w="2070" w:type="dxa"/>
          </w:tcPr>
          <w:p w14:paraId="68654FED" w14:textId="77777777" w:rsidR="009B6DBA" w:rsidRPr="003C2621" w:rsidRDefault="009B6DBA" w:rsidP="0001035C">
            <w:pPr>
              <w:rPr>
                <w:rFonts w:cstheme="minorHAnsi"/>
              </w:rPr>
            </w:pPr>
          </w:p>
        </w:tc>
      </w:tr>
      <w:tr w:rsidR="009B6DBA" w:rsidRPr="003C2621" w14:paraId="5BDA512F" w14:textId="77777777" w:rsidTr="0070226E">
        <w:tc>
          <w:tcPr>
            <w:tcW w:w="1114" w:type="dxa"/>
          </w:tcPr>
          <w:p w14:paraId="5F37A44C" w14:textId="77777777" w:rsidR="009B6DBA" w:rsidRPr="003C2621" w:rsidRDefault="009B6DBA" w:rsidP="0001035C">
            <w:pPr>
              <w:rPr>
                <w:rFonts w:cstheme="minorHAnsi"/>
              </w:rPr>
            </w:pPr>
            <w:r>
              <w:rPr>
                <w:rFonts w:cstheme="minorHAnsi"/>
              </w:rPr>
              <w:t>9</w:t>
            </w:r>
          </w:p>
        </w:tc>
        <w:tc>
          <w:tcPr>
            <w:tcW w:w="1334" w:type="dxa"/>
          </w:tcPr>
          <w:p w14:paraId="74A6CDED" w14:textId="77777777" w:rsidR="009B6DBA" w:rsidRPr="003C2621" w:rsidRDefault="009B6DBA" w:rsidP="0001035C">
            <w:pPr>
              <w:rPr>
                <w:rFonts w:cstheme="minorHAnsi"/>
              </w:rPr>
            </w:pPr>
            <w:r>
              <w:rPr>
                <w:rFonts w:cstheme="minorHAnsi"/>
              </w:rPr>
              <w:t>06.14.19</w:t>
            </w:r>
          </w:p>
        </w:tc>
        <w:tc>
          <w:tcPr>
            <w:tcW w:w="5310" w:type="dxa"/>
          </w:tcPr>
          <w:p w14:paraId="3E36E087" w14:textId="77777777" w:rsidR="009B6DBA" w:rsidRPr="003C2621" w:rsidRDefault="009B6DBA" w:rsidP="00750917">
            <w:pPr>
              <w:rPr>
                <w:rFonts w:cstheme="minorHAnsi"/>
              </w:rPr>
            </w:pPr>
            <w:r>
              <w:rPr>
                <w:rFonts w:cstheme="minorHAnsi"/>
              </w:rPr>
              <w:t>5.3.3 Remove link to Civil Defense Act</w:t>
            </w:r>
          </w:p>
        </w:tc>
        <w:tc>
          <w:tcPr>
            <w:tcW w:w="2070" w:type="dxa"/>
          </w:tcPr>
          <w:p w14:paraId="5A507661" w14:textId="77777777" w:rsidR="009B6DBA" w:rsidRPr="003C2621" w:rsidRDefault="009B6DBA" w:rsidP="0001035C">
            <w:pPr>
              <w:rPr>
                <w:rFonts w:cstheme="minorHAnsi"/>
              </w:rPr>
            </w:pPr>
            <w:r>
              <w:rPr>
                <w:rFonts w:cstheme="minorHAnsi"/>
              </w:rPr>
              <w:t>C. Hunter</w:t>
            </w:r>
          </w:p>
        </w:tc>
      </w:tr>
      <w:tr w:rsidR="009B6DBA" w:rsidRPr="003C2621" w14:paraId="4BAF158E" w14:textId="77777777" w:rsidTr="0070226E">
        <w:tc>
          <w:tcPr>
            <w:tcW w:w="1114" w:type="dxa"/>
          </w:tcPr>
          <w:p w14:paraId="61697221" w14:textId="77777777" w:rsidR="009B6DBA" w:rsidRPr="003C2621" w:rsidRDefault="009B6DBA" w:rsidP="0001035C">
            <w:pPr>
              <w:rPr>
                <w:rFonts w:cstheme="minorHAnsi"/>
              </w:rPr>
            </w:pPr>
            <w:r>
              <w:rPr>
                <w:rFonts w:cstheme="minorHAnsi"/>
              </w:rPr>
              <w:t>10</w:t>
            </w:r>
          </w:p>
        </w:tc>
        <w:tc>
          <w:tcPr>
            <w:tcW w:w="1334" w:type="dxa"/>
          </w:tcPr>
          <w:p w14:paraId="254C5812" w14:textId="77777777" w:rsidR="009B6DBA" w:rsidRPr="003C2621" w:rsidRDefault="009B6DBA" w:rsidP="0001035C">
            <w:pPr>
              <w:rPr>
                <w:rFonts w:cstheme="minorHAnsi"/>
              </w:rPr>
            </w:pPr>
            <w:r>
              <w:rPr>
                <w:rFonts w:cstheme="minorHAnsi"/>
              </w:rPr>
              <w:t>06.14.19</w:t>
            </w:r>
          </w:p>
        </w:tc>
        <w:tc>
          <w:tcPr>
            <w:tcW w:w="5310" w:type="dxa"/>
          </w:tcPr>
          <w:p w14:paraId="7CDB7C95" w14:textId="77777777" w:rsidR="009B6DBA" w:rsidRPr="003C2621" w:rsidRDefault="00F86F01" w:rsidP="00750917">
            <w:pPr>
              <w:rPr>
                <w:rFonts w:cstheme="minorHAnsi"/>
              </w:rPr>
            </w:pPr>
            <w:r>
              <w:rPr>
                <w:rFonts w:cstheme="minorHAnsi"/>
              </w:rPr>
              <w:t>Resources: Closed EDS - remove reference to SNS Extranet (defunct)</w:t>
            </w:r>
          </w:p>
        </w:tc>
        <w:tc>
          <w:tcPr>
            <w:tcW w:w="2070" w:type="dxa"/>
          </w:tcPr>
          <w:p w14:paraId="0B475C5D" w14:textId="77777777" w:rsidR="009B6DBA" w:rsidRPr="003C2621" w:rsidRDefault="009B6DBA" w:rsidP="0001035C">
            <w:pPr>
              <w:rPr>
                <w:rFonts w:cstheme="minorHAnsi"/>
              </w:rPr>
            </w:pPr>
            <w:r>
              <w:rPr>
                <w:rFonts w:cstheme="minorHAnsi"/>
              </w:rPr>
              <w:t>C. Hunter</w:t>
            </w:r>
          </w:p>
        </w:tc>
      </w:tr>
      <w:tr w:rsidR="009B6DBA" w:rsidRPr="003C2621" w14:paraId="21BA3E2D" w14:textId="77777777" w:rsidTr="0070226E">
        <w:tc>
          <w:tcPr>
            <w:tcW w:w="1114" w:type="dxa"/>
          </w:tcPr>
          <w:p w14:paraId="16DAC427" w14:textId="77777777" w:rsidR="009B6DBA" w:rsidRPr="003C2621" w:rsidRDefault="009B6DBA" w:rsidP="0001035C">
            <w:pPr>
              <w:rPr>
                <w:rFonts w:cstheme="minorHAnsi"/>
              </w:rPr>
            </w:pPr>
            <w:r>
              <w:rPr>
                <w:rFonts w:cstheme="minorHAnsi"/>
              </w:rPr>
              <w:t>11</w:t>
            </w:r>
          </w:p>
        </w:tc>
        <w:tc>
          <w:tcPr>
            <w:tcW w:w="1334" w:type="dxa"/>
          </w:tcPr>
          <w:p w14:paraId="61A3BE4B" w14:textId="77777777" w:rsidR="009B6DBA" w:rsidRPr="003C2621" w:rsidRDefault="009B6DBA" w:rsidP="0001035C">
            <w:pPr>
              <w:rPr>
                <w:rFonts w:cstheme="minorHAnsi"/>
              </w:rPr>
            </w:pPr>
            <w:r>
              <w:rPr>
                <w:rFonts w:cstheme="minorHAnsi"/>
              </w:rPr>
              <w:t>06.14.19</w:t>
            </w:r>
          </w:p>
        </w:tc>
        <w:tc>
          <w:tcPr>
            <w:tcW w:w="5310" w:type="dxa"/>
          </w:tcPr>
          <w:p w14:paraId="61C830F0" w14:textId="77777777" w:rsidR="009B6DBA" w:rsidRPr="003C2621" w:rsidRDefault="00F86F01" w:rsidP="00750917">
            <w:pPr>
              <w:rPr>
                <w:rFonts w:cstheme="minorHAnsi"/>
              </w:rPr>
            </w:pPr>
            <w:r>
              <w:rPr>
                <w:rFonts w:cstheme="minorHAnsi"/>
              </w:rPr>
              <w:t>Resources: Add Planning Considerations for Responder Priority Prophylaxis</w:t>
            </w:r>
          </w:p>
        </w:tc>
        <w:tc>
          <w:tcPr>
            <w:tcW w:w="2070" w:type="dxa"/>
          </w:tcPr>
          <w:p w14:paraId="580A6464" w14:textId="77777777" w:rsidR="009B6DBA" w:rsidRPr="003C2621" w:rsidRDefault="009B6DBA" w:rsidP="0001035C">
            <w:pPr>
              <w:rPr>
                <w:rFonts w:cstheme="minorHAnsi"/>
              </w:rPr>
            </w:pPr>
            <w:r>
              <w:rPr>
                <w:rFonts w:cstheme="minorHAnsi"/>
              </w:rPr>
              <w:t>C. Hunter</w:t>
            </w:r>
          </w:p>
        </w:tc>
      </w:tr>
      <w:tr w:rsidR="00F86F01" w:rsidRPr="003C2621" w14:paraId="664796FB" w14:textId="77777777" w:rsidTr="0070226E">
        <w:tc>
          <w:tcPr>
            <w:tcW w:w="1114" w:type="dxa"/>
          </w:tcPr>
          <w:p w14:paraId="00F002C4" w14:textId="77777777" w:rsidR="00F86F01" w:rsidRPr="003C2621" w:rsidRDefault="00F86F01" w:rsidP="0001035C">
            <w:pPr>
              <w:rPr>
                <w:rFonts w:cstheme="minorHAnsi"/>
              </w:rPr>
            </w:pPr>
            <w:r>
              <w:rPr>
                <w:rFonts w:cstheme="minorHAnsi"/>
              </w:rPr>
              <w:t>12</w:t>
            </w:r>
          </w:p>
        </w:tc>
        <w:tc>
          <w:tcPr>
            <w:tcW w:w="1334" w:type="dxa"/>
          </w:tcPr>
          <w:p w14:paraId="12A6D872" w14:textId="77777777" w:rsidR="00F86F01" w:rsidRPr="003C2621" w:rsidRDefault="00F86F01" w:rsidP="0001035C">
            <w:pPr>
              <w:rPr>
                <w:rFonts w:cstheme="minorHAnsi"/>
              </w:rPr>
            </w:pPr>
            <w:r>
              <w:rPr>
                <w:rFonts w:cstheme="minorHAnsi"/>
              </w:rPr>
              <w:t>06.14.19</w:t>
            </w:r>
          </w:p>
        </w:tc>
        <w:tc>
          <w:tcPr>
            <w:tcW w:w="5310" w:type="dxa"/>
          </w:tcPr>
          <w:p w14:paraId="25CA4C95" w14:textId="77777777" w:rsidR="00F86F01" w:rsidRPr="003C2621" w:rsidRDefault="00F86F01" w:rsidP="00750917">
            <w:pPr>
              <w:rPr>
                <w:rFonts w:cstheme="minorHAnsi"/>
              </w:rPr>
            </w:pPr>
            <w:r>
              <w:rPr>
                <w:rFonts w:cstheme="minorHAnsi"/>
              </w:rPr>
              <w:t>Resources: Updated NAPH Form and Directions page</w:t>
            </w:r>
          </w:p>
        </w:tc>
        <w:tc>
          <w:tcPr>
            <w:tcW w:w="2070" w:type="dxa"/>
          </w:tcPr>
          <w:p w14:paraId="5CE8B3D3" w14:textId="77777777" w:rsidR="00F86F01" w:rsidRPr="003C2621" w:rsidRDefault="00F86F01" w:rsidP="0001035C">
            <w:pPr>
              <w:rPr>
                <w:rFonts w:cstheme="minorHAnsi"/>
              </w:rPr>
            </w:pPr>
            <w:r>
              <w:rPr>
                <w:rFonts w:cstheme="minorHAnsi"/>
              </w:rPr>
              <w:t>C. Hunter</w:t>
            </w:r>
          </w:p>
        </w:tc>
      </w:tr>
      <w:tr w:rsidR="00F86F01" w:rsidRPr="003C2621" w14:paraId="615CDF81" w14:textId="77777777" w:rsidTr="0070226E">
        <w:tc>
          <w:tcPr>
            <w:tcW w:w="1114" w:type="dxa"/>
          </w:tcPr>
          <w:p w14:paraId="6377FDF0" w14:textId="77777777" w:rsidR="00F86F01" w:rsidRPr="003C2621" w:rsidRDefault="00F86F01" w:rsidP="0001035C">
            <w:pPr>
              <w:rPr>
                <w:rFonts w:cstheme="minorHAnsi"/>
              </w:rPr>
            </w:pPr>
            <w:r>
              <w:rPr>
                <w:rFonts w:cstheme="minorHAnsi"/>
              </w:rPr>
              <w:t>13</w:t>
            </w:r>
          </w:p>
        </w:tc>
        <w:tc>
          <w:tcPr>
            <w:tcW w:w="1334" w:type="dxa"/>
          </w:tcPr>
          <w:p w14:paraId="0D55C977" w14:textId="77777777" w:rsidR="00F86F01" w:rsidRPr="003C2621" w:rsidRDefault="00F86F01" w:rsidP="0001035C">
            <w:pPr>
              <w:rPr>
                <w:rFonts w:cstheme="minorHAnsi"/>
              </w:rPr>
            </w:pPr>
            <w:r>
              <w:rPr>
                <w:rFonts w:cstheme="minorHAnsi"/>
              </w:rPr>
              <w:t>06.14.19</w:t>
            </w:r>
          </w:p>
        </w:tc>
        <w:tc>
          <w:tcPr>
            <w:tcW w:w="5310" w:type="dxa"/>
          </w:tcPr>
          <w:p w14:paraId="2F1E9593" w14:textId="77777777" w:rsidR="00F86F01" w:rsidRPr="003C2621" w:rsidRDefault="00F86F01" w:rsidP="00750917">
            <w:pPr>
              <w:rPr>
                <w:rFonts w:cstheme="minorHAnsi"/>
              </w:rPr>
            </w:pPr>
            <w:r>
              <w:rPr>
                <w:rFonts w:cstheme="minorHAnsi"/>
              </w:rPr>
              <w:t>Resources: Updated NAPH Algorithm and Directions</w:t>
            </w:r>
          </w:p>
        </w:tc>
        <w:tc>
          <w:tcPr>
            <w:tcW w:w="2070" w:type="dxa"/>
          </w:tcPr>
          <w:p w14:paraId="435CFCD9" w14:textId="77777777" w:rsidR="00F86F01" w:rsidRPr="003C2621" w:rsidRDefault="00A630CB" w:rsidP="0001035C">
            <w:pPr>
              <w:rPr>
                <w:rFonts w:cstheme="minorHAnsi"/>
              </w:rPr>
            </w:pPr>
            <w:r>
              <w:rPr>
                <w:rFonts w:cstheme="minorHAnsi"/>
              </w:rPr>
              <w:t>C. Hunter</w:t>
            </w:r>
          </w:p>
        </w:tc>
      </w:tr>
      <w:tr w:rsidR="00F86F01" w:rsidRPr="003C2621" w14:paraId="461A952E" w14:textId="77777777" w:rsidTr="0070226E">
        <w:tc>
          <w:tcPr>
            <w:tcW w:w="1114" w:type="dxa"/>
          </w:tcPr>
          <w:p w14:paraId="42F74D6D" w14:textId="77777777" w:rsidR="00F86F01" w:rsidRPr="003C2621" w:rsidRDefault="00F86F01" w:rsidP="0001035C">
            <w:pPr>
              <w:rPr>
                <w:rFonts w:cstheme="minorHAnsi"/>
              </w:rPr>
            </w:pPr>
            <w:r>
              <w:rPr>
                <w:rFonts w:cstheme="minorHAnsi"/>
              </w:rPr>
              <w:t>14</w:t>
            </w:r>
          </w:p>
        </w:tc>
        <w:tc>
          <w:tcPr>
            <w:tcW w:w="1334" w:type="dxa"/>
          </w:tcPr>
          <w:p w14:paraId="24622837" w14:textId="77777777" w:rsidR="00F86F01" w:rsidRPr="003C2621" w:rsidRDefault="00A630CB" w:rsidP="0001035C">
            <w:pPr>
              <w:rPr>
                <w:rFonts w:cstheme="minorHAnsi"/>
              </w:rPr>
            </w:pPr>
            <w:r>
              <w:rPr>
                <w:rFonts w:cstheme="minorHAnsi"/>
              </w:rPr>
              <w:t>06.14.19</w:t>
            </w:r>
          </w:p>
        </w:tc>
        <w:tc>
          <w:tcPr>
            <w:tcW w:w="5310" w:type="dxa"/>
          </w:tcPr>
          <w:p w14:paraId="64AD82BF" w14:textId="77777777" w:rsidR="00F86F01" w:rsidRPr="003C2621" w:rsidRDefault="00F86F01" w:rsidP="0070226E">
            <w:pPr>
              <w:rPr>
                <w:rFonts w:cstheme="minorHAnsi"/>
              </w:rPr>
            </w:pPr>
            <w:r>
              <w:rPr>
                <w:rFonts w:cstheme="minorHAnsi"/>
              </w:rPr>
              <w:t>Resources: New Inventory Tracking Form and Directions</w:t>
            </w:r>
          </w:p>
        </w:tc>
        <w:tc>
          <w:tcPr>
            <w:tcW w:w="2070" w:type="dxa"/>
          </w:tcPr>
          <w:p w14:paraId="6F7DBF23" w14:textId="77777777" w:rsidR="00F86F01" w:rsidRPr="003C2621" w:rsidRDefault="00A630CB" w:rsidP="0001035C">
            <w:pPr>
              <w:rPr>
                <w:rFonts w:cstheme="minorHAnsi"/>
              </w:rPr>
            </w:pPr>
            <w:r>
              <w:rPr>
                <w:rFonts w:cstheme="minorHAnsi"/>
              </w:rPr>
              <w:t>C. Hunter</w:t>
            </w:r>
          </w:p>
        </w:tc>
      </w:tr>
      <w:tr w:rsidR="00F86F01" w:rsidRPr="003C2621" w14:paraId="7E5ED8D5" w14:textId="77777777" w:rsidTr="0070226E">
        <w:tc>
          <w:tcPr>
            <w:tcW w:w="1114" w:type="dxa"/>
          </w:tcPr>
          <w:p w14:paraId="04D9DC1B" w14:textId="77777777" w:rsidR="00F86F01" w:rsidRPr="003C2621" w:rsidRDefault="00F86F01" w:rsidP="0001035C">
            <w:pPr>
              <w:rPr>
                <w:rFonts w:cstheme="minorHAnsi"/>
              </w:rPr>
            </w:pPr>
            <w:r>
              <w:rPr>
                <w:rFonts w:cstheme="minorHAnsi"/>
              </w:rPr>
              <w:t>15</w:t>
            </w:r>
          </w:p>
        </w:tc>
        <w:tc>
          <w:tcPr>
            <w:tcW w:w="1334" w:type="dxa"/>
          </w:tcPr>
          <w:p w14:paraId="34DDBBD8" w14:textId="77777777" w:rsidR="00F86F01" w:rsidRPr="003C2621" w:rsidRDefault="00A630CB" w:rsidP="0001035C">
            <w:pPr>
              <w:rPr>
                <w:rFonts w:cstheme="minorHAnsi"/>
              </w:rPr>
            </w:pPr>
            <w:r>
              <w:rPr>
                <w:rFonts w:cstheme="minorHAnsi"/>
              </w:rPr>
              <w:t>06.14.19</w:t>
            </w:r>
          </w:p>
        </w:tc>
        <w:tc>
          <w:tcPr>
            <w:tcW w:w="5310" w:type="dxa"/>
          </w:tcPr>
          <w:p w14:paraId="397C249C" w14:textId="77777777" w:rsidR="00F86F01" w:rsidRPr="003C2621" w:rsidRDefault="00A630CB" w:rsidP="00A630CB">
            <w:pPr>
              <w:rPr>
                <w:rFonts w:cstheme="minorHAnsi"/>
              </w:rPr>
            </w:pPr>
            <w:r>
              <w:rPr>
                <w:rFonts w:cstheme="minorHAnsi"/>
              </w:rPr>
              <w:t>Resources: Update Process for Volunteer Requests and new Volunteer Deployment Roster</w:t>
            </w:r>
          </w:p>
        </w:tc>
        <w:tc>
          <w:tcPr>
            <w:tcW w:w="2070" w:type="dxa"/>
          </w:tcPr>
          <w:p w14:paraId="6A955806" w14:textId="77777777" w:rsidR="00F86F01" w:rsidRPr="003C2621" w:rsidRDefault="00A630CB" w:rsidP="0001035C">
            <w:pPr>
              <w:rPr>
                <w:rFonts w:cstheme="minorHAnsi"/>
              </w:rPr>
            </w:pPr>
            <w:r>
              <w:rPr>
                <w:rFonts w:cstheme="minorHAnsi"/>
              </w:rPr>
              <w:t>C. Hunter</w:t>
            </w:r>
          </w:p>
        </w:tc>
      </w:tr>
      <w:tr w:rsidR="00A630CB" w:rsidRPr="003C2621" w14:paraId="218C76A8" w14:textId="77777777" w:rsidTr="0070226E">
        <w:tc>
          <w:tcPr>
            <w:tcW w:w="1114" w:type="dxa"/>
          </w:tcPr>
          <w:p w14:paraId="17B170D9" w14:textId="77777777" w:rsidR="00A630CB" w:rsidRPr="003C2621" w:rsidRDefault="00A630CB" w:rsidP="0001035C">
            <w:pPr>
              <w:rPr>
                <w:rFonts w:cstheme="minorHAnsi"/>
              </w:rPr>
            </w:pPr>
            <w:r>
              <w:rPr>
                <w:rFonts w:cstheme="minorHAnsi"/>
              </w:rPr>
              <w:t>16</w:t>
            </w:r>
          </w:p>
        </w:tc>
        <w:tc>
          <w:tcPr>
            <w:tcW w:w="1334" w:type="dxa"/>
          </w:tcPr>
          <w:p w14:paraId="0D42E5EA" w14:textId="77777777" w:rsidR="00A630CB" w:rsidRPr="003C2621" w:rsidRDefault="00A630CB" w:rsidP="0001035C">
            <w:pPr>
              <w:rPr>
                <w:rFonts w:cstheme="minorHAnsi"/>
              </w:rPr>
            </w:pPr>
            <w:r>
              <w:rPr>
                <w:rFonts w:cstheme="minorHAnsi"/>
              </w:rPr>
              <w:t>06.14.19</w:t>
            </w:r>
          </w:p>
        </w:tc>
        <w:tc>
          <w:tcPr>
            <w:tcW w:w="5310" w:type="dxa"/>
          </w:tcPr>
          <w:p w14:paraId="5A7AF482" w14:textId="77777777" w:rsidR="00A630CB" w:rsidRPr="003C2621" w:rsidRDefault="00A630CB" w:rsidP="00750917">
            <w:pPr>
              <w:rPr>
                <w:rFonts w:cstheme="minorHAnsi"/>
              </w:rPr>
            </w:pPr>
            <w:r>
              <w:rPr>
                <w:rFonts w:cstheme="minorHAnsi"/>
              </w:rPr>
              <w:t>Resources: Remove “Volunteers &amp; Liability Overview”</w:t>
            </w:r>
          </w:p>
        </w:tc>
        <w:tc>
          <w:tcPr>
            <w:tcW w:w="2070" w:type="dxa"/>
          </w:tcPr>
          <w:p w14:paraId="3A030967" w14:textId="77777777" w:rsidR="00A630CB" w:rsidRPr="003C2621" w:rsidRDefault="00A630CB" w:rsidP="0001035C">
            <w:pPr>
              <w:rPr>
                <w:rFonts w:cstheme="minorHAnsi"/>
              </w:rPr>
            </w:pPr>
            <w:r>
              <w:rPr>
                <w:rFonts w:cstheme="minorHAnsi"/>
              </w:rPr>
              <w:t>C. Hunter</w:t>
            </w:r>
          </w:p>
        </w:tc>
      </w:tr>
      <w:tr w:rsidR="00A630CB" w:rsidRPr="003C2621" w14:paraId="01FBCC95" w14:textId="77777777" w:rsidTr="0070226E">
        <w:tc>
          <w:tcPr>
            <w:tcW w:w="1114" w:type="dxa"/>
          </w:tcPr>
          <w:p w14:paraId="24B0D463" w14:textId="77777777" w:rsidR="00A630CB" w:rsidRPr="003C2621" w:rsidRDefault="00A630CB" w:rsidP="0001035C">
            <w:pPr>
              <w:rPr>
                <w:rFonts w:cstheme="minorHAnsi"/>
              </w:rPr>
            </w:pPr>
            <w:r>
              <w:rPr>
                <w:rFonts w:cstheme="minorHAnsi"/>
              </w:rPr>
              <w:t>17</w:t>
            </w:r>
          </w:p>
        </w:tc>
        <w:tc>
          <w:tcPr>
            <w:tcW w:w="1334" w:type="dxa"/>
          </w:tcPr>
          <w:p w14:paraId="2ED0AD23" w14:textId="77777777" w:rsidR="00A630CB" w:rsidRPr="003C2621" w:rsidRDefault="00A630CB" w:rsidP="0001035C">
            <w:pPr>
              <w:rPr>
                <w:rFonts w:cstheme="minorHAnsi"/>
              </w:rPr>
            </w:pPr>
            <w:r>
              <w:rPr>
                <w:rFonts w:cstheme="minorHAnsi"/>
              </w:rPr>
              <w:t>06.14.19</w:t>
            </w:r>
          </w:p>
        </w:tc>
        <w:tc>
          <w:tcPr>
            <w:tcW w:w="5310" w:type="dxa"/>
          </w:tcPr>
          <w:p w14:paraId="168EE305" w14:textId="77777777" w:rsidR="00A630CB" w:rsidRPr="003C2621" w:rsidRDefault="00A630CB" w:rsidP="00750917">
            <w:pPr>
              <w:rPr>
                <w:rFonts w:cstheme="minorHAnsi"/>
              </w:rPr>
            </w:pPr>
            <w:r>
              <w:rPr>
                <w:rFonts w:cstheme="minorHAnsi"/>
              </w:rPr>
              <w:t>Resources: Remove Civil Defense Act</w:t>
            </w:r>
          </w:p>
        </w:tc>
        <w:tc>
          <w:tcPr>
            <w:tcW w:w="2070" w:type="dxa"/>
          </w:tcPr>
          <w:p w14:paraId="02A7FF5A" w14:textId="77777777" w:rsidR="00A630CB" w:rsidRPr="003C2621" w:rsidRDefault="00A630CB" w:rsidP="0001035C">
            <w:pPr>
              <w:rPr>
                <w:rFonts w:cstheme="minorHAnsi"/>
              </w:rPr>
            </w:pPr>
            <w:r>
              <w:rPr>
                <w:rFonts w:cstheme="minorHAnsi"/>
              </w:rPr>
              <w:t>C. Hunter</w:t>
            </w:r>
          </w:p>
        </w:tc>
      </w:tr>
      <w:tr w:rsidR="00A630CB" w:rsidRPr="003C2621" w14:paraId="6AF5FA5A" w14:textId="77777777" w:rsidTr="0070226E">
        <w:tc>
          <w:tcPr>
            <w:tcW w:w="1114" w:type="dxa"/>
          </w:tcPr>
          <w:p w14:paraId="33E41C0A" w14:textId="77777777" w:rsidR="00A630CB" w:rsidRPr="003C2621" w:rsidRDefault="00A630CB" w:rsidP="0001035C">
            <w:pPr>
              <w:rPr>
                <w:rFonts w:cstheme="minorHAnsi"/>
              </w:rPr>
            </w:pPr>
          </w:p>
        </w:tc>
        <w:tc>
          <w:tcPr>
            <w:tcW w:w="1334" w:type="dxa"/>
          </w:tcPr>
          <w:p w14:paraId="5114870A" w14:textId="77777777" w:rsidR="00A630CB" w:rsidRPr="003C2621" w:rsidRDefault="00A630CB" w:rsidP="0001035C">
            <w:pPr>
              <w:rPr>
                <w:rFonts w:cstheme="minorHAnsi"/>
              </w:rPr>
            </w:pPr>
          </w:p>
        </w:tc>
        <w:tc>
          <w:tcPr>
            <w:tcW w:w="5310" w:type="dxa"/>
          </w:tcPr>
          <w:p w14:paraId="1B8D73E9" w14:textId="77777777" w:rsidR="00A630CB" w:rsidRPr="003C2621" w:rsidRDefault="00A630CB" w:rsidP="00750917">
            <w:pPr>
              <w:rPr>
                <w:rFonts w:cstheme="minorHAnsi"/>
              </w:rPr>
            </w:pPr>
          </w:p>
        </w:tc>
        <w:tc>
          <w:tcPr>
            <w:tcW w:w="2070" w:type="dxa"/>
          </w:tcPr>
          <w:p w14:paraId="1CA46CFD" w14:textId="77777777" w:rsidR="00A630CB" w:rsidRPr="003C2621" w:rsidRDefault="00A630CB" w:rsidP="0001035C">
            <w:pPr>
              <w:rPr>
                <w:rFonts w:cstheme="minorHAnsi"/>
              </w:rPr>
            </w:pPr>
          </w:p>
        </w:tc>
      </w:tr>
      <w:tr w:rsidR="00A630CB" w:rsidRPr="003C2621" w14:paraId="3789D2BC" w14:textId="77777777" w:rsidTr="0070226E">
        <w:tc>
          <w:tcPr>
            <w:tcW w:w="1114" w:type="dxa"/>
          </w:tcPr>
          <w:p w14:paraId="799243BB" w14:textId="77777777" w:rsidR="00A630CB" w:rsidRPr="003C2621" w:rsidRDefault="00A630CB" w:rsidP="0001035C">
            <w:pPr>
              <w:rPr>
                <w:rFonts w:cstheme="minorHAnsi"/>
              </w:rPr>
            </w:pPr>
          </w:p>
        </w:tc>
        <w:tc>
          <w:tcPr>
            <w:tcW w:w="1334" w:type="dxa"/>
          </w:tcPr>
          <w:p w14:paraId="7B3D52A5" w14:textId="77777777" w:rsidR="00A630CB" w:rsidRPr="003C2621" w:rsidRDefault="00A630CB" w:rsidP="0001035C">
            <w:pPr>
              <w:rPr>
                <w:rFonts w:cstheme="minorHAnsi"/>
              </w:rPr>
            </w:pPr>
          </w:p>
        </w:tc>
        <w:tc>
          <w:tcPr>
            <w:tcW w:w="5310" w:type="dxa"/>
          </w:tcPr>
          <w:p w14:paraId="7A986B90" w14:textId="77777777" w:rsidR="00A630CB" w:rsidRPr="003C2621" w:rsidRDefault="00A630CB" w:rsidP="00750917">
            <w:pPr>
              <w:rPr>
                <w:rFonts w:cstheme="minorHAnsi"/>
              </w:rPr>
            </w:pPr>
          </w:p>
        </w:tc>
        <w:tc>
          <w:tcPr>
            <w:tcW w:w="2070" w:type="dxa"/>
          </w:tcPr>
          <w:p w14:paraId="44637B9B" w14:textId="77777777" w:rsidR="00A630CB" w:rsidRPr="003C2621" w:rsidRDefault="00A630CB" w:rsidP="0001035C">
            <w:pPr>
              <w:rPr>
                <w:rFonts w:cstheme="minorHAnsi"/>
              </w:rPr>
            </w:pPr>
          </w:p>
        </w:tc>
      </w:tr>
      <w:tr w:rsidR="00A630CB" w:rsidRPr="003C2621" w14:paraId="101FE3BA" w14:textId="77777777" w:rsidTr="0070226E">
        <w:tc>
          <w:tcPr>
            <w:tcW w:w="1114" w:type="dxa"/>
          </w:tcPr>
          <w:p w14:paraId="3D663F94" w14:textId="77777777" w:rsidR="00A630CB" w:rsidRPr="003C2621" w:rsidRDefault="00A630CB" w:rsidP="0001035C">
            <w:pPr>
              <w:rPr>
                <w:rFonts w:cstheme="minorHAnsi"/>
              </w:rPr>
            </w:pPr>
          </w:p>
        </w:tc>
        <w:tc>
          <w:tcPr>
            <w:tcW w:w="1334" w:type="dxa"/>
          </w:tcPr>
          <w:p w14:paraId="16A1DCF8" w14:textId="77777777" w:rsidR="00A630CB" w:rsidRPr="003C2621" w:rsidRDefault="00A630CB" w:rsidP="0001035C">
            <w:pPr>
              <w:rPr>
                <w:rFonts w:cstheme="minorHAnsi"/>
              </w:rPr>
            </w:pPr>
          </w:p>
        </w:tc>
        <w:tc>
          <w:tcPr>
            <w:tcW w:w="5310" w:type="dxa"/>
          </w:tcPr>
          <w:p w14:paraId="5AA6E584" w14:textId="77777777" w:rsidR="00A630CB" w:rsidRPr="003C2621" w:rsidRDefault="00A630CB" w:rsidP="00750917">
            <w:pPr>
              <w:rPr>
                <w:rFonts w:cstheme="minorHAnsi"/>
              </w:rPr>
            </w:pPr>
          </w:p>
        </w:tc>
        <w:tc>
          <w:tcPr>
            <w:tcW w:w="2070" w:type="dxa"/>
          </w:tcPr>
          <w:p w14:paraId="4FBFE779" w14:textId="77777777" w:rsidR="00A630CB" w:rsidRPr="003C2621" w:rsidRDefault="00A630CB" w:rsidP="0001035C">
            <w:pPr>
              <w:rPr>
                <w:rFonts w:cstheme="minorHAnsi"/>
              </w:rPr>
            </w:pPr>
          </w:p>
        </w:tc>
      </w:tr>
      <w:tr w:rsidR="00A630CB" w:rsidRPr="003C2621" w14:paraId="4AA9B8B3" w14:textId="77777777" w:rsidTr="0070226E">
        <w:tc>
          <w:tcPr>
            <w:tcW w:w="1114" w:type="dxa"/>
          </w:tcPr>
          <w:p w14:paraId="32701716" w14:textId="77777777" w:rsidR="00A630CB" w:rsidRPr="003C2621" w:rsidRDefault="00A630CB" w:rsidP="0001035C">
            <w:pPr>
              <w:rPr>
                <w:rFonts w:cstheme="minorHAnsi"/>
              </w:rPr>
            </w:pPr>
          </w:p>
        </w:tc>
        <w:tc>
          <w:tcPr>
            <w:tcW w:w="1334" w:type="dxa"/>
          </w:tcPr>
          <w:p w14:paraId="11326988" w14:textId="77777777" w:rsidR="00A630CB" w:rsidRPr="003C2621" w:rsidRDefault="00A630CB" w:rsidP="0001035C">
            <w:pPr>
              <w:rPr>
                <w:rFonts w:cstheme="minorHAnsi"/>
              </w:rPr>
            </w:pPr>
          </w:p>
        </w:tc>
        <w:tc>
          <w:tcPr>
            <w:tcW w:w="5310" w:type="dxa"/>
          </w:tcPr>
          <w:p w14:paraId="56074545" w14:textId="77777777" w:rsidR="00A630CB" w:rsidRPr="003C2621" w:rsidRDefault="00A630CB" w:rsidP="00750917">
            <w:pPr>
              <w:rPr>
                <w:rFonts w:cstheme="minorHAnsi"/>
              </w:rPr>
            </w:pPr>
          </w:p>
        </w:tc>
        <w:tc>
          <w:tcPr>
            <w:tcW w:w="2070" w:type="dxa"/>
          </w:tcPr>
          <w:p w14:paraId="6FF9511D" w14:textId="77777777" w:rsidR="00A630CB" w:rsidRPr="003C2621" w:rsidRDefault="00A630CB" w:rsidP="0001035C">
            <w:pPr>
              <w:rPr>
                <w:rFonts w:cstheme="minorHAnsi"/>
              </w:rPr>
            </w:pPr>
          </w:p>
        </w:tc>
      </w:tr>
      <w:tr w:rsidR="00A630CB" w:rsidRPr="003C2621" w14:paraId="5E542EC6" w14:textId="77777777" w:rsidTr="0070226E">
        <w:tc>
          <w:tcPr>
            <w:tcW w:w="1114" w:type="dxa"/>
          </w:tcPr>
          <w:p w14:paraId="6C1F8BE8" w14:textId="77777777" w:rsidR="00A630CB" w:rsidRPr="003C2621" w:rsidRDefault="00A630CB" w:rsidP="0001035C">
            <w:pPr>
              <w:rPr>
                <w:rFonts w:cstheme="minorHAnsi"/>
              </w:rPr>
            </w:pPr>
          </w:p>
        </w:tc>
        <w:tc>
          <w:tcPr>
            <w:tcW w:w="1334" w:type="dxa"/>
          </w:tcPr>
          <w:p w14:paraId="11473E2B" w14:textId="77777777" w:rsidR="00A630CB" w:rsidRPr="003C2621" w:rsidRDefault="00A630CB" w:rsidP="0001035C">
            <w:pPr>
              <w:rPr>
                <w:rFonts w:cstheme="minorHAnsi"/>
              </w:rPr>
            </w:pPr>
          </w:p>
        </w:tc>
        <w:tc>
          <w:tcPr>
            <w:tcW w:w="5310" w:type="dxa"/>
          </w:tcPr>
          <w:p w14:paraId="7528A6E6" w14:textId="77777777" w:rsidR="00A630CB" w:rsidRPr="003C2621" w:rsidRDefault="00A630CB" w:rsidP="00750917">
            <w:pPr>
              <w:rPr>
                <w:rFonts w:cstheme="minorHAnsi"/>
              </w:rPr>
            </w:pPr>
          </w:p>
        </w:tc>
        <w:tc>
          <w:tcPr>
            <w:tcW w:w="2070" w:type="dxa"/>
          </w:tcPr>
          <w:p w14:paraId="3397B6FF" w14:textId="77777777" w:rsidR="00A630CB" w:rsidRPr="003C2621" w:rsidRDefault="00A630CB" w:rsidP="0001035C">
            <w:pPr>
              <w:rPr>
                <w:rFonts w:cstheme="minorHAnsi"/>
              </w:rPr>
            </w:pPr>
          </w:p>
        </w:tc>
      </w:tr>
      <w:tr w:rsidR="00A630CB" w:rsidRPr="003C2621" w14:paraId="35F19F94" w14:textId="77777777" w:rsidTr="0070226E">
        <w:tc>
          <w:tcPr>
            <w:tcW w:w="1114" w:type="dxa"/>
          </w:tcPr>
          <w:p w14:paraId="5E934F79" w14:textId="77777777" w:rsidR="00A630CB" w:rsidRPr="003C2621" w:rsidRDefault="00A630CB" w:rsidP="0001035C">
            <w:pPr>
              <w:rPr>
                <w:rFonts w:cstheme="minorHAnsi"/>
              </w:rPr>
            </w:pPr>
          </w:p>
        </w:tc>
        <w:tc>
          <w:tcPr>
            <w:tcW w:w="1334" w:type="dxa"/>
          </w:tcPr>
          <w:p w14:paraId="545CC43A" w14:textId="77777777" w:rsidR="00A630CB" w:rsidRPr="003C2621" w:rsidRDefault="00A630CB" w:rsidP="0001035C">
            <w:pPr>
              <w:rPr>
                <w:rFonts w:cstheme="minorHAnsi"/>
              </w:rPr>
            </w:pPr>
          </w:p>
        </w:tc>
        <w:tc>
          <w:tcPr>
            <w:tcW w:w="5310" w:type="dxa"/>
          </w:tcPr>
          <w:p w14:paraId="05E0B4CC" w14:textId="77777777" w:rsidR="00A630CB" w:rsidRPr="003C2621" w:rsidRDefault="00A630CB" w:rsidP="00750917">
            <w:pPr>
              <w:rPr>
                <w:rFonts w:cstheme="minorHAnsi"/>
              </w:rPr>
            </w:pPr>
          </w:p>
        </w:tc>
        <w:tc>
          <w:tcPr>
            <w:tcW w:w="2070" w:type="dxa"/>
          </w:tcPr>
          <w:p w14:paraId="1884B3C7" w14:textId="77777777" w:rsidR="00A630CB" w:rsidRPr="003C2621" w:rsidRDefault="00A630CB" w:rsidP="0001035C">
            <w:pPr>
              <w:rPr>
                <w:rFonts w:cstheme="minorHAnsi"/>
              </w:rPr>
            </w:pPr>
          </w:p>
        </w:tc>
      </w:tr>
      <w:tr w:rsidR="00A630CB" w:rsidRPr="003C2621" w14:paraId="60858CE6" w14:textId="77777777" w:rsidTr="0070226E">
        <w:tc>
          <w:tcPr>
            <w:tcW w:w="1114" w:type="dxa"/>
          </w:tcPr>
          <w:p w14:paraId="1183B2C8" w14:textId="77777777" w:rsidR="00A630CB" w:rsidRPr="003C2621" w:rsidRDefault="00A630CB" w:rsidP="0001035C">
            <w:pPr>
              <w:rPr>
                <w:rFonts w:cstheme="minorHAnsi"/>
              </w:rPr>
            </w:pPr>
          </w:p>
        </w:tc>
        <w:tc>
          <w:tcPr>
            <w:tcW w:w="1334" w:type="dxa"/>
          </w:tcPr>
          <w:p w14:paraId="046E571C" w14:textId="77777777" w:rsidR="00A630CB" w:rsidRPr="003C2621" w:rsidRDefault="00A630CB" w:rsidP="0001035C">
            <w:pPr>
              <w:rPr>
                <w:rFonts w:cstheme="minorHAnsi"/>
              </w:rPr>
            </w:pPr>
          </w:p>
        </w:tc>
        <w:tc>
          <w:tcPr>
            <w:tcW w:w="5310" w:type="dxa"/>
          </w:tcPr>
          <w:p w14:paraId="18108658" w14:textId="77777777" w:rsidR="00A630CB" w:rsidRPr="003C2621" w:rsidRDefault="00A630CB" w:rsidP="00750917">
            <w:pPr>
              <w:rPr>
                <w:rFonts w:cstheme="minorHAnsi"/>
              </w:rPr>
            </w:pPr>
          </w:p>
        </w:tc>
        <w:tc>
          <w:tcPr>
            <w:tcW w:w="2070" w:type="dxa"/>
          </w:tcPr>
          <w:p w14:paraId="4CFEA826" w14:textId="77777777" w:rsidR="00A630CB" w:rsidRPr="003C2621" w:rsidRDefault="00A630CB" w:rsidP="0001035C">
            <w:pPr>
              <w:rPr>
                <w:rFonts w:cstheme="minorHAnsi"/>
              </w:rPr>
            </w:pPr>
          </w:p>
        </w:tc>
      </w:tr>
      <w:tr w:rsidR="00A630CB" w:rsidRPr="003C2621" w14:paraId="0AEBB513" w14:textId="77777777" w:rsidTr="0070226E">
        <w:tc>
          <w:tcPr>
            <w:tcW w:w="1114" w:type="dxa"/>
          </w:tcPr>
          <w:p w14:paraId="7E7B3E40" w14:textId="77777777" w:rsidR="00A630CB" w:rsidRPr="003C2621" w:rsidRDefault="00A630CB" w:rsidP="0001035C">
            <w:pPr>
              <w:rPr>
                <w:rFonts w:cstheme="minorHAnsi"/>
              </w:rPr>
            </w:pPr>
          </w:p>
        </w:tc>
        <w:tc>
          <w:tcPr>
            <w:tcW w:w="1334" w:type="dxa"/>
          </w:tcPr>
          <w:p w14:paraId="59101044" w14:textId="77777777" w:rsidR="00A630CB" w:rsidRPr="003C2621" w:rsidRDefault="00A630CB" w:rsidP="0001035C">
            <w:pPr>
              <w:rPr>
                <w:rFonts w:cstheme="minorHAnsi"/>
              </w:rPr>
            </w:pPr>
          </w:p>
        </w:tc>
        <w:tc>
          <w:tcPr>
            <w:tcW w:w="5310" w:type="dxa"/>
          </w:tcPr>
          <w:p w14:paraId="584CD3A6" w14:textId="77777777" w:rsidR="00A630CB" w:rsidRPr="003C2621" w:rsidRDefault="00A630CB" w:rsidP="00750917">
            <w:pPr>
              <w:rPr>
                <w:rFonts w:cstheme="minorHAnsi"/>
              </w:rPr>
            </w:pPr>
          </w:p>
        </w:tc>
        <w:tc>
          <w:tcPr>
            <w:tcW w:w="2070" w:type="dxa"/>
          </w:tcPr>
          <w:p w14:paraId="16606412" w14:textId="77777777" w:rsidR="00A630CB" w:rsidRPr="003C2621" w:rsidRDefault="00A630CB" w:rsidP="0001035C">
            <w:pPr>
              <w:rPr>
                <w:rFonts w:cstheme="minorHAnsi"/>
              </w:rPr>
            </w:pPr>
          </w:p>
        </w:tc>
      </w:tr>
    </w:tbl>
    <w:p w14:paraId="0F8E45AA" w14:textId="77777777" w:rsidR="001335D3" w:rsidRPr="002D3356" w:rsidRDefault="001335D3">
      <w:pPr>
        <w:rPr>
          <w:rFonts w:ascii="Franklin Gothic Medium" w:hAnsi="Franklin Gothic Medium" w:cs="Times New Roman"/>
          <w:b/>
          <w:color w:val="17365D"/>
          <w:sz w:val="32"/>
          <w:szCs w:val="22"/>
        </w:rPr>
      </w:pPr>
      <w:bookmarkStart w:id="5" w:name="page4"/>
      <w:bookmarkEnd w:id="5"/>
    </w:p>
    <w:p w14:paraId="6013413B" w14:textId="77777777" w:rsidR="001335D3" w:rsidRDefault="001335D3">
      <w:r>
        <w:br w:type="page"/>
      </w:r>
    </w:p>
    <w:p w14:paraId="5DBA504B" w14:textId="77777777" w:rsidR="006D0D34" w:rsidRPr="006D0D34" w:rsidRDefault="001335D3" w:rsidP="000616C8">
      <w:pPr>
        <w:pStyle w:val="Heading1"/>
        <w:numPr>
          <w:ilvl w:val="0"/>
          <w:numId w:val="94"/>
        </w:numPr>
        <w:rPr>
          <w:color w:val="ED7D31" w:themeColor="accent2"/>
        </w:rPr>
      </w:pPr>
      <w:bookmarkStart w:id="6" w:name="_Toc11832704"/>
      <w:r>
        <w:rPr>
          <w:color w:val="ED7D31" w:themeColor="accent2"/>
        </w:rPr>
        <w:lastRenderedPageBreak/>
        <w:t>I</w:t>
      </w:r>
      <w:r w:rsidR="006D0D34" w:rsidRPr="006D0D34">
        <w:rPr>
          <w:color w:val="ED7D31" w:themeColor="accent2"/>
        </w:rPr>
        <w:t>NTRODUCTION</w:t>
      </w:r>
      <w:bookmarkEnd w:id="6"/>
    </w:p>
    <w:p w14:paraId="4FA7419C" w14:textId="77777777" w:rsidR="006D0D34" w:rsidRDefault="006D0D34" w:rsidP="006D0D34">
      <w:r>
        <w:t xml:space="preserve">Distribution and dispensing of </w:t>
      </w:r>
      <w:hyperlink r:id="rId9" w:history="1">
        <w:r w:rsidRPr="00AC72DF">
          <w:rPr>
            <w:rStyle w:val="Hyperlink"/>
          </w:rPr>
          <w:t>medical countermeasures</w:t>
        </w:r>
      </w:hyperlink>
      <w:r w:rsidR="00A8225F">
        <w:rPr>
          <w:rStyle w:val="FootnoteReference"/>
          <w:color w:val="0563C1" w:themeColor="hyperlink"/>
          <w:u w:val="single"/>
        </w:rPr>
        <w:footnoteReference w:id="1"/>
      </w:r>
      <w:r>
        <w:t xml:space="preserve"> </w:t>
      </w:r>
      <w:r w:rsidRPr="00054768">
        <w:t>(MCM)</w:t>
      </w:r>
      <w:r>
        <w:t xml:space="preserve"> is a critical response capability for public health and emergency management officials. MCM, such as antibiotics and vaccines, are used to prevent against, protect from, and as treatment for public health threats. Pre-event planning, training, and exercises improve the ability of federal, state, and local officials to rapidly distribute MCM to healthcare providers, pharmacies, and local Emergency Dispensing Sites.</w:t>
      </w:r>
    </w:p>
    <w:p w14:paraId="5E8CDAE2" w14:textId="77777777" w:rsidR="006D0D34" w:rsidRDefault="006D0D34" w:rsidP="006D0D34">
      <w:r>
        <w:t xml:space="preserve">An Emergency Dispensing </w:t>
      </w:r>
      <w:r w:rsidRPr="00054768">
        <w:t>Site (EDS)</w:t>
      </w:r>
      <w:r>
        <w:t xml:space="preserve"> is a planned space where MCM are dispensed to individuals who may have been exposed to a health threat. An EDS may be used to respond to a range of health threats, including:</w:t>
      </w:r>
    </w:p>
    <w:p w14:paraId="5CB5E871" w14:textId="77777777" w:rsidR="006D0D34" w:rsidRDefault="006D0D34" w:rsidP="006D0D34">
      <w:pPr>
        <w:pStyle w:val="ListParagraph"/>
        <w:numPr>
          <w:ilvl w:val="0"/>
          <w:numId w:val="3"/>
        </w:numPr>
        <w:spacing w:after="240" w:line="312" w:lineRule="auto"/>
      </w:pPr>
      <w:r>
        <w:t>Exposure to infectious diseases (Hepatitis A in a food handler)</w:t>
      </w:r>
    </w:p>
    <w:p w14:paraId="49A316CF" w14:textId="77777777" w:rsidR="006D0D34" w:rsidRDefault="006D0D34" w:rsidP="006D0D34">
      <w:pPr>
        <w:pStyle w:val="ListParagraph"/>
        <w:numPr>
          <w:ilvl w:val="0"/>
          <w:numId w:val="3"/>
        </w:numPr>
        <w:spacing w:after="240" w:line="312" w:lineRule="auto"/>
      </w:pPr>
      <w:r>
        <w:t>Infectious disease outbreaks (pandemic Influenza)</w:t>
      </w:r>
    </w:p>
    <w:p w14:paraId="10AEE249" w14:textId="77777777" w:rsidR="006D0D34" w:rsidRDefault="006D0D34" w:rsidP="006D0D34">
      <w:pPr>
        <w:pStyle w:val="ListParagraph"/>
        <w:numPr>
          <w:ilvl w:val="0"/>
          <w:numId w:val="3"/>
        </w:numPr>
        <w:spacing w:after="240" w:line="312" w:lineRule="auto"/>
      </w:pPr>
      <w:r>
        <w:t>Acts of terrorism (biological, chemical, radiological, nuclear)</w:t>
      </w:r>
    </w:p>
    <w:p w14:paraId="202BD141" w14:textId="77777777" w:rsidR="006D0D34" w:rsidRDefault="006D0D34" w:rsidP="006D0D34">
      <w:pPr>
        <w:pStyle w:val="ListParagraph"/>
        <w:numPr>
          <w:ilvl w:val="0"/>
          <w:numId w:val="3"/>
        </w:numPr>
        <w:spacing w:after="240" w:line="312" w:lineRule="auto"/>
      </w:pPr>
      <w:r>
        <w:t>Disease outbreaks resulting from natural disasters</w:t>
      </w:r>
    </w:p>
    <w:p w14:paraId="4C077012" w14:textId="77777777" w:rsidR="00EE73D1" w:rsidRDefault="006D0D34" w:rsidP="00EE73D1">
      <w:r>
        <w:t xml:space="preserve">In Massachusetts, Local </w:t>
      </w:r>
      <w:r w:rsidR="00181454">
        <w:t xml:space="preserve">Boards of </w:t>
      </w:r>
      <w:r>
        <w:t>Health</w:t>
      </w:r>
      <w:r w:rsidR="00852FEC">
        <w:t>/</w:t>
      </w:r>
      <w:r w:rsidR="00181454">
        <w:t xml:space="preserve">Health </w:t>
      </w:r>
      <w:r w:rsidRPr="00054768">
        <w:t>Departments (L</w:t>
      </w:r>
      <w:r w:rsidR="00181454">
        <w:t>BOH</w:t>
      </w:r>
      <w:r w:rsidRPr="00054768">
        <w:t>) and</w:t>
      </w:r>
      <w:r>
        <w:t xml:space="preserve"> their community partners have made significant progress in planning for EDS management and operations. Since the 2001 anthrax attacks, local communities have identified 603 primary and back-up EDS, formed 45</w:t>
      </w:r>
      <w:r w:rsidRPr="006A14BC">
        <w:t xml:space="preserve"> Medical Reserve </w:t>
      </w:r>
      <w:r w:rsidRPr="00054768">
        <w:t>Corps (MRC)</w:t>
      </w:r>
      <w:r>
        <w:t xml:space="preserve"> units, and recruited thousands of clinical and non-clinical</w:t>
      </w:r>
      <w:r w:rsidRPr="006A14BC">
        <w:t xml:space="preserve"> volunteers</w:t>
      </w:r>
      <w:r>
        <w:t xml:space="preserve"> statewide. </w:t>
      </w:r>
      <w:r w:rsidR="00EE73D1">
        <w:t>L</w:t>
      </w:r>
      <w:r w:rsidR="00181454">
        <w:t>BOH</w:t>
      </w:r>
      <w:r>
        <w:t xml:space="preserve"> routinely demonstrate the ability to dispense vaccines through annual Influenza (flu) clinics, which are often used to exercise EDS plans and evaluate staff and volunteer training. The 2009-2010 H1N1 flu pandemic further tested these plans and demonstrated their scalability to larger, more complex dispensing campaigns.</w:t>
      </w:r>
      <w:r w:rsidR="00EE73D1" w:rsidRPr="00EE73D1">
        <w:t xml:space="preserve"> </w:t>
      </w:r>
    </w:p>
    <w:p w14:paraId="54634AFD" w14:textId="77777777" w:rsidR="006D0D34" w:rsidRDefault="006D0D34" w:rsidP="006D0D34"/>
    <w:p w14:paraId="0040ADB2" w14:textId="77777777" w:rsidR="006D0D34" w:rsidRDefault="006D0D34" w:rsidP="006D0D34">
      <w:r>
        <w:t xml:space="preserve">The Massachusetts Department of </w:t>
      </w:r>
      <w:r w:rsidRPr="00054768">
        <w:t>Public Health (MDPH) has</w:t>
      </w:r>
      <w:r>
        <w:t xml:space="preserve"> also made significant progress in planning for MCM distribution to hospitals and local EDS during a public health emergency. The MDPH has developed plans and agreements for two Receive, Stage, and </w:t>
      </w:r>
      <w:r w:rsidRPr="00054768">
        <w:t>Store (RSS) facilities</w:t>
      </w:r>
      <w:r>
        <w:t xml:space="preserve"> with the capability to receive, store, reapportion, and distribute large quantities of MCM. Exercises have been conducted at both RSS facilities to evaluate these plans.</w:t>
      </w:r>
    </w:p>
    <w:p w14:paraId="4C543AB6" w14:textId="77777777" w:rsidR="006D0D34" w:rsidRPr="006D0D34" w:rsidRDefault="006D0D34" w:rsidP="006D0D34">
      <w:pPr>
        <w:pStyle w:val="Heading2"/>
        <w:rPr>
          <w:color w:val="002060"/>
        </w:rPr>
      </w:pPr>
      <w:bookmarkStart w:id="7" w:name="_Toc11832705"/>
      <w:r w:rsidRPr="006D0D34">
        <w:rPr>
          <w:color w:val="002060"/>
        </w:rPr>
        <w:t>PURPOSE &amp; SCOPE</w:t>
      </w:r>
      <w:bookmarkEnd w:id="7"/>
    </w:p>
    <w:p w14:paraId="565D4909" w14:textId="77777777" w:rsidR="006D0D34" w:rsidRDefault="006D0D34" w:rsidP="006D0D34">
      <w:r>
        <w:t>Each city and town should be covered by a written plan to dispense emergency MCM to its residents, workers, and visitors. Th</w:t>
      </w:r>
      <w:r w:rsidR="00892D2F">
        <w:t>is</w:t>
      </w:r>
      <w:r>
        <w:t xml:space="preserve"> EDS Planning Guide provides local communities with technical assistance to develop and maintain an EDS plan in conjunction with partner agencies. The EDS plan is intended to be an annex to the local Comprehensive Emergency Management </w:t>
      </w:r>
      <w:r w:rsidRPr="00CE2078">
        <w:t>Plan (CEMP).</w:t>
      </w:r>
    </w:p>
    <w:p w14:paraId="53C7BC3B" w14:textId="77777777" w:rsidR="006D0D34" w:rsidRDefault="006D0D34" w:rsidP="006D0D34">
      <w:r>
        <w:t xml:space="preserve">The EDS Planning Guide organizes planning recommendations and requirements by the corresponding response phase. Activation describes the actions necessary to activate the </w:t>
      </w:r>
      <w:r w:rsidR="00892D2F">
        <w:t>plan</w:t>
      </w:r>
      <w:r w:rsidRPr="00CE2078">
        <w:t xml:space="preserve">, </w:t>
      </w:r>
      <w:r w:rsidR="00892D2F">
        <w:t xml:space="preserve">notify </w:t>
      </w:r>
      <w:r>
        <w:t xml:space="preserve">key response personnel, develop situational awareness and an initial Incident Action </w:t>
      </w:r>
      <w:r w:rsidRPr="00CE2078">
        <w:t>Plan (IAP), and</w:t>
      </w:r>
      <w:r>
        <w:t xml:space="preserve"> activate the EDS. Operations describes the actions necessary to mobilize staff, volunteers, resources, and public information, set up the EDS and open it, and monitor and adjust </w:t>
      </w:r>
      <w:r>
        <w:lastRenderedPageBreak/>
        <w:t xml:space="preserve">operations over time. Demobilization describes the actions necessary to determine when to close the EDS, demobilize resources, staff, and volunteers, deactivate the EDS, evaluate the response, and support recovery efforts. </w:t>
      </w:r>
    </w:p>
    <w:p w14:paraId="308CF4BB" w14:textId="77777777" w:rsidR="006D0D34" w:rsidRDefault="006D0D34" w:rsidP="006D0D34">
      <w:r>
        <w:t>There are several new features to this version of the EDS Planning Guide:</w:t>
      </w:r>
    </w:p>
    <w:p w14:paraId="2A9586D9" w14:textId="77777777" w:rsidR="006D0D34" w:rsidRDefault="006D0D34" w:rsidP="00DD5155">
      <w:pPr>
        <w:pStyle w:val="ListParagraph"/>
        <w:numPr>
          <w:ilvl w:val="0"/>
          <w:numId w:val="14"/>
        </w:numPr>
      </w:pPr>
      <w:r>
        <w:t xml:space="preserve">Improved integration of the </w:t>
      </w:r>
      <w:hyperlink r:id="rId10" w:history="1">
        <w:r w:rsidRPr="004D72BE">
          <w:rPr>
            <w:rStyle w:val="Hyperlink"/>
          </w:rPr>
          <w:t>Public Health Emergency Preparedness Capabilities</w:t>
        </w:r>
      </w:hyperlink>
      <w:r w:rsidR="00A8225F">
        <w:rPr>
          <w:rStyle w:val="FootnoteReference"/>
          <w:color w:val="0563C1" w:themeColor="hyperlink"/>
          <w:u w:val="single"/>
        </w:rPr>
        <w:footnoteReference w:id="2"/>
      </w:r>
      <w:r>
        <w:rPr>
          <w:rStyle w:val="Hyperlink"/>
        </w:rPr>
        <w:t xml:space="preserve"> </w:t>
      </w:r>
      <w:r w:rsidRPr="00FF2074">
        <w:rPr>
          <w:rStyle w:val="Hyperlink"/>
          <w:color w:val="auto"/>
          <w:u w:val="none"/>
        </w:rPr>
        <w:t>and the</w:t>
      </w:r>
      <w:r>
        <w:rPr>
          <w:rStyle w:val="Hyperlink"/>
          <w:color w:val="auto"/>
        </w:rPr>
        <w:t xml:space="preserve"> </w:t>
      </w:r>
      <w:hyperlink r:id="rId11" w:history="1">
        <w:r w:rsidRPr="00C45870">
          <w:rPr>
            <w:rStyle w:val="Hyperlink"/>
          </w:rPr>
          <w:t>Health Care Preparedness and Response Capabilities</w:t>
        </w:r>
      </w:hyperlink>
      <w:r w:rsidR="00A8225F">
        <w:rPr>
          <w:rStyle w:val="FootnoteReference"/>
          <w:color w:val="0563C1" w:themeColor="hyperlink"/>
          <w:u w:val="single"/>
        </w:rPr>
        <w:footnoteReference w:id="3"/>
      </w:r>
    </w:p>
    <w:p w14:paraId="4562EF4D" w14:textId="77777777" w:rsidR="006D0D34" w:rsidRDefault="006D0D34" w:rsidP="00DD5155">
      <w:pPr>
        <w:pStyle w:val="ListParagraph"/>
        <w:numPr>
          <w:ilvl w:val="0"/>
          <w:numId w:val="14"/>
        </w:numPr>
      </w:pPr>
      <w:r>
        <w:t>Emphasis on all-hazards MCM planning that engages diverse community stakeholders</w:t>
      </w:r>
    </w:p>
    <w:p w14:paraId="7F8326D9" w14:textId="77777777" w:rsidR="006D0D34" w:rsidRDefault="006D0D34" w:rsidP="00DD5155">
      <w:pPr>
        <w:pStyle w:val="ListParagraph"/>
        <w:numPr>
          <w:ilvl w:val="0"/>
          <w:numId w:val="14"/>
        </w:numPr>
      </w:pPr>
      <w:r>
        <w:t>Improved descriptions of MCM inventory management requirements that consider worst case scenarios</w:t>
      </w:r>
    </w:p>
    <w:p w14:paraId="657656C7" w14:textId="77777777" w:rsidR="006D0D34" w:rsidRDefault="006D0D34" w:rsidP="00DD5155">
      <w:pPr>
        <w:pStyle w:val="ListParagraph"/>
        <w:numPr>
          <w:ilvl w:val="0"/>
          <w:numId w:val="14"/>
        </w:numPr>
      </w:pPr>
      <w:r>
        <w:t>Highlighted pre-event planning recommendations, resources, and model practices</w:t>
      </w:r>
    </w:p>
    <w:p w14:paraId="07EC0B8E" w14:textId="77777777" w:rsidR="006D0D34" w:rsidRDefault="006D0D34" w:rsidP="00DD5155">
      <w:pPr>
        <w:pStyle w:val="ListParagraph"/>
        <w:numPr>
          <w:ilvl w:val="0"/>
          <w:numId w:val="14"/>
        </w:numPr>
      </w:pPr>
      <w:r>
        <w:t>Transition to the federal Medical Countermeasure Operational Readiness Review (MCM-ORR) for evaluation of state and local readiness</w:t>
      </w:r>
    </w:p>
    <w:p w14:paraId="0583F259" w14:textId="77777777" w:rsidR="006D0D34" w:rsidRDefault="006D0D34" w:rsidP="00DD5155">
      <w:pPr>
        <w:pStyle w:val="ListParagraph"/>
        <w:numPr>
          <w:ilvl w:val="0"/>
          <w:numId w:val="14"/>
        </w:numPr>
      </w:pPr>
      <w:r>
        <w:t xml:space="preserve">Introduction of the </w:t>
      </w:r>
      <w:hyperlink r:id="rId12" w:history="1">
        <w:r w:rsidRPr="000E7606">
          <w:rPr>
            <w:rStyle w:val="Hyperlink"/>
          </w:rPr>
          <w:t>Health and Medical Coordinating Coalitions</w:t>
        </w:r>
      </w:hyperlink>
      <w:r w:rsidR="00A8225F">
        <w:rPr>
          <w:rStyle w:val="FootnoteReference"/>
          <w:color w:val="0563C1" w:themeColor="hyperlink"/>
          <w:u w:val="single"/>
        </w:rPr>
        <w:footnoteReference w:id="4"/>
      </w:r>
      <w:r>
        <w:t xml:space="preserve"> (HMCC) and their future anticipated planning and response roles</w:t>
      </w:r>
    </w:p>
    <w:p w14:paraId="31F4F6CE" w14:textId="77777777" w:rsidR="006D0D34" w:rsidRPr="006D0D34" w:rsidRDefault="006D0D34" w:rsidP="006D0D34">
      <w:pPr>
        <w:pStyle w:val="Heading2"/>
        <w:rPr>
          <w:color w:val="002060"/>
        </w:rPr>
      </w:pPr>
      <w:bookmarkStart w:id="8" w:name="_Toc11832706"/>
      <w:r w:rsidRPr="006D0D34">
        <w:rPr>
          <w:color w:val="002060"/>
        </w:rPr>
        <w:t>MEDICAL COUNTERMEASURE DISTRIBUTION</w:t>
      </w:r>
      <w:bookmarkEnd w:id="8"/>
    </w:p>
    <w:p w14:paraId="1DAD18B3" w14:textId="77777777" w:rsidR="006D0D34" w:rsidRDefault="006D0D34" w:rsidP="006D0D34">
      <w:r>
        <w:t xml:space="preserve">Medical countermeasures are life-saving medicines and medical supplies regulated by the U.S. Food and Drug Administration (FDA) that can be used to diagnose, prevent, protect from, or treat conditions associated with chemical biological, radiological, or nuclear (CBRN) threats, emerging infectious diseases, or a natural disaster. </w:t>
      </w:r>
      <w:r w:rsidRPr="00ED157C">
        <w:t>Distribution of emergency MCM</w:t>
      </w:r>
      <w:r>
        <w:t xml:space="preserve"> to local EDS is largely performed by federal and state officials. While the primary function of an EDS is MCM dispensing, the EDS staff must also perform on-site inventory management function that include several distribution functions, including the ability to receive, securely store, and possibly redistribute MCM to another EDS. The focus of this section of the Planning Guide is on federal and state MCM distribution roles. </w:t>
      </w:r>
    </w:p>
    <w:p w14:paraId="14995908" w14:textId="77777777" w:rsidR="006D0D34" w:rsidRPr="005D6129" w:rsidRDefault="006D0D34" w:rsidP="006D0D34">
      <w:pPr>
        <w:pStyle w:val="Heading3"/>
        <w:rPr>
          <w:color w:val="002060"/>
        </w:rPr>
      </w:pPr>
      <w:bookmarkStart w:id="9" w:name="_Toc11832707"/>
      <w:r w:rsidRPr="005D6129">
        <w:rPr>
          <w:color w:val="002060"/>
        </w:rPr>
        <w:t>Strategic National Stockpile (SNS)</w:t>
      </w:r>
      <w:bookmarkEnd w:id="9"/>
    </w:p>
    <w:p w14:paraId="59F93EC1" w14:textId="6A260DC1" w:rsidR="006D0D34" w:rsidRDefault="006D0D34" w:rsidP="006D0D34">
      <w:r>
        <w:t xml:space="preserve">The </w:t>
      </w:r>
      <w:hyperlink r:id="rId13" w:history="1">
        <w:r w:rsidRPr="008906C8">
          <w:rPr>
            <w:rStyle w:val="Hyperlink"/>
            <w:color w:val="0070C0"/>
          </w:rPr>
          <w:t>Strategic National Stockpile</w:t>
        </w:r>
      </w:hyperlink>
      <w:r w:rsidR="00B13B9C">
        <w:rPr>
          <w:rStyle w:val="FootnoteReference"/>
          <w:color w:val="0070C0"/>
          <w:u w:val="single"/>
        </w:rPr>
        <w:footnoteReference w:id="5"/>
      </w:r>
      <w:r>
        <w:t xml:space="preserve"> </w:t>
      </w:r>
      <w:r w:rsidRPr="00697E09">
        <w:t>(SNS)</w:t>
      </w:r>
      <w:r>
        <w:t xml:space="preserve"> </w:t>
      </w:r>
      <w:r w:rsidR="00760D1D">
        <w:t xml:space="preserve">was </w:t>
      </w:r>
      <w:r>
        <w:t xml:space="preserve">maintained by the Centers for Disease Control and Prevention </w:t>
      </w:r>
      <w:r w:rsidRPr="00697E09">
        <w:t>(CDC)</w:t>
      </w:r>
      <w:r w:rsidR="00760D1D">
        <w:t xml:space="preserve"> for many years, but was moved under the Assistant Secretary for Preparedness and Response (ASPR)</w:t>
      </w:r>
      <w:r>
        <w:t xml:space="preserve"> </w:t>
      </w:r>
      <w:r w:rsidR="00760D1D">
        <w:t xml:space="preserve">in 2018. The SNS </w:t>
      </w:r>
      <w:r>
        <w:t xml:space="preserve">is the nation’s largest supply of potentially life-saving MCM for use in a public health emergency severe enough to deplete local supplies. </w:t>
      </w:r>
      <w:r w:rsidR="00760D1D">
        <w:t>ASPR</w:t>
      </w:r>
      <w:r>
        <w:t xml:space="preserve"> can rapidly deploy the SNS assets to the site of an emergency when state and local resources are deemed insufficient. The Governor of the Commonwealth (or a designee) may request the SNS if advised of the need for assets by the MDPH and the Massachusetts Emergency Management </w:t>
      </w:r>
      <w:r w:rsidRPr="00A0508B">
        <w:t>Agency (MEMA).</w:t>
      </w:r>
      <w:r>
        <w:t xml:space="preserve"> The Governor may declare a general state of emergency to facilitate the SNS request and coordinate its arrival and further distribution.</w:t>
      </w:r>
    </w:p>
    <w:p w14:paraId="49E94A74" w14:textId="1D8C3A4E" w:rsidR="006D0D34" w:rsidRDefault="006D0D34" w:rsidP="006D0D34">
      <w:r>
        <w:t xml:space="preserve">MCM contained in the SNS are organized and distributed in either the </w:t>
      </w:r>
      <w:r w:rsidR="00CD1770" w:rsidRPr="00225FAB">
        <w:t>12-hour Push Package</w:t>
      </w:r>
      <w:r>
        <w:t xml:space="preserve"> (Push Package) or </w:t>
      </w:r>
      <w:r w:rsidR="00CD1770" w:rsidRPr="00225FAB">
        <w:t>Managed Inventory</w:t>
      </w:r>
      <w:r>
        <w:t xml:space="preserve"> (MI). The following table provides resource descriptions and characteristics for each.</w:t>
      </w:r>
    </w:p>
    <w:p w14:paraId="15DA23E7" w14:textId="77777777" w:rsidR="006D0D34" w:rsidRDefault="006D0D34" w:rsidP="006D0D34">
      <w:pPr>
        <w:pStyle w:val="Caption"/>
        <w:keepNext/>
      </w:pPr>
      <w:r>
        <w:lastRenderedPageBreak/>
        <w:t xml:space="preserve">Table </w:t>
      </w:r>
      <w:r w:rsidR="00B31247">
        <w:rPr>
          <w:noProof/>
        </w:rPr>
        <w:fldChar w:fldCharType="begin"/>
      </w:r>
      <w:r w:rsidR="00B31247">
        <w:rPr>
          <w:noProof/>
        </w:rPr>
        <w:instrText xml:space="preserve"> SEQ Table \* ARABIC </w:instrText>
      </w:r>
      <w:r w:rsidR="00B31247">
        <w:rPr>
          <w:noProof/>
        </w:rPr>
        <w:fldChar w:fldCharType="separate"/>
      </w:r>
      <w:r w:rsidR="00075F4E">
        <w:rPr>
          <w:noProof/>
        </w:rPr>
        <w:t>1</w:t>
      </w:r>
      <w:r w:rsidR="00B31247">
        <w:rPr>
          <w:noProof/>
        </w:rPr>
        <w:fldChar w:fldCharType="end"/>
      </w:r>
      <w:r>
        <w:t>: Descriptions &amp; Characteristics of the MCM contained in the SNS</w:t>
      </w:r>
    </w:p>
    <w:tbl>
      <w:tblPr>
        <w:tblStyle w:val="TableGrid"/>
        <w:tblW w:w="0" w:type="auto"/>
        <w:tblLook w:val="04A0" w:firstRow="1" w:lastRow="0" w:firstColumn="1" w:lastColumn="0" w:noHBand="0" w:noVBand="1"/>
      </w:tblPr>
      <w:tblGrid>
        <w:gridCol w:w="4675"/>
        <w:gridCol w:w="4675"/>
      </w:tblGrid>
      <w:tr w:rsidR="006D0D34" w14:paraId="0B715150" w14:textId="77777777" w:rsidTr="0090186A">
        <w:tc>
          <w:tcPr>
            <w:tcW w:w="4675" w:type="dxa"/>
          </w:tcPr>
          <w:p w14:paraId="6CA00DA3" w14:textId="77777777" w:rsidR="006D0D34" w:rsidRPr="003F439A" w:rsidRDefault="006D0D34" w:rsidP="0090186A">
            <w:pPr>
              <w:rPr>
                <w:b/>
              </w:rPr>
            </w:pPr>
            <w:r w:rsidRPr="003F439A">
              <w:rPr>
                <w:b/>
              </w:rPr>
              <w:t>Push Package</w:t>
            </w:r>
          </w:p>
          <w:p w14:paraId="5338134F" w14:textId="77777777" w:rsidR="006D0D34" w:rsidRDefault="006D0D34" w:rsidP="0090186A">
            <w:r>
              <w:t>Health threat is ill-defined (unknown disease or agent, geographic area, exposed population, etc.)</w:t>
            </w:r>
          </w:p>
          <w:p w14:paraId="2949A986" w14:textId="77777777" w:rsidR="006D0D34" w:rsidRDefault="006D0D34" w:rsidP="0090186A">
            <w:pPr>
              <w:rPr>
                <w:i/>
              </w:rPr>
            </w:pPr>
          </w:p>
          <w:p w14:paraId="09F93BC5" w14:textId="77777777" w:rsidR="006D0D34" w:rsidRPr="00810BD9" w:rsidRDefault="006D0D34" w:rsidP="0090186A">
            <w:pPr>
              <w:rPr>
                <w:i/>
              </w:rPr>
            </w:pPr>
            <w:r>
              <w:rPr>
                <w:i/>
              </w:rPr>
              <w:t>Examples: widespread illness from unknown agent; detection of possible aerosolized anthrax</w:t>
            </w:r>
          </w:p>
        </w:tc>
        <w:tc>
          <w:tcPr>
            <w:tcW w:w="4675" w:type="dxa"/>
          </w:tcPr>
          <w:p w14:paraId="3976AFFC" w14:textId="77777777" w:rsidR="006D0D34" w:rsidRDefault="006D0D34" w:rsidP="006D0D34">
            <w:pPr>
              <w:pStyle w:val="ListParagraph"/>
              <w:numPr>
                <w:ilvl w:val="0"/>
                <w:numId w:val="6"/>
              </w:numPr>
              <w:spacing w:after="0" w:line="240" w:lineRule="auto"/>
            </w:pPr>
            <w:r>
              <w:t>Pre-packaged, transport ready containers</w:t>
            </w:r>
          </w:p>
          <w:p w14:paraId="194A31F6" w14:textId="77777777" w:rsidR="006D0D34" w:rsidRDefault="006D0D34" w:rsidP="006D0D34">
            <w:pPr>
              <w:pStyle w:val="ListParagraph"/>
              <w:numPr>
                <w:ilvl w:val="0"/>
                <w:numId w:val="6"/>
              </w:numPr>
              <w:spacing w:after="0" w:line="240" w:lineRule="auto"/>
            </w:pPr>
            <w:r>
              <w:t>Distributed within 12 hours of federal decision to deploy</w:t>
            </w:r>
          </w:p>
          <w:p w14:paraId="4E6B74EC" w14:textId="77777777" w:rsidR="006D0D34" w:rsidRDefault="006D0D34" w:rsidP="006D0D34">
            <w:pPr>
              <w:pStyle w:val="ListParagraph"/>
              <w:numPr>
                <w:ilvl w:val="0"/>
                <w:numId w:val="5"/>
              </w:numPr>
              <w:spacing w:after="0" w:line="240" w:lineRule="auto"/>
            </w:pPr>
            <w:r>
              <w:t>Contains 50 tons of medical resources (including antibiotics, vaccines, antitoxins &amp; supplies used to dispense them)</w:t>
            </w:r>
          </w:p>
        </w:tc>
      </w:tr>
      <w:tr w:rsidR="006D0D34" w14:paraId="3AC7E679" w14:textId="77777777" w:rsidTr="0090186A">
        <w:tc>
          <w:tcPr>
            <w:tcW w:w="4675" w:type="dxa"/>
          </w:tcPr>
          <w:p w14:paraId="154919CB" w14:textId="77777777" w:rsidR="006D0D34" w:rsidRPr="00810BD9" w:rsidRDefault="006D0D34" w:rsidP="0090186A">
            <w:pPr>
              <w:rPr>
                <w:b/>
              </w:rPr>
            </w:pPr>
            <w:r w:rsidRPr="00810BD9">
              <w:rPr>
                <w:b/>
              </w:rPr>
              <w:t>Managed Inventory</w:t>
            </w:r>
          </w:p>
          <w:p w14:paraId="306F4F46" w14:textId="77777777" w:rsidR="006D0D34" w:rsidRDefault="006D0D34" w:rsidP="0090186A">
            <w:r>
              <w:t>Health threat is specific (known disease or agent, geographic area, exposed population, etc.)</w:t>
            </w:r>
          </w:p>
          <w:p w14:paraId="3940F1B1" w14:textId="77777777" w:rsidR="006D0D34" w:rsidRDefault="006D0D34" w:rsidP="0090186A">
            <w:pPr>
              <w:rPr>
                <w:i/>
              </w:rPr>
            </w:pPr>
          </w:p>
          <w:p w14:paraId="0B84F529" w14:textId="77777777" w:rsidR="006D0D34" w:rsidRPr="00A2594E" w:rsidRDefault="006D0D34" w:rsidP="0090186A">
            <w:pPr>
              <w:rPr>
                <w:i/>
              </w:rPr>
            </w:pPr>
            <w:r>
              <w:rPr>
                <w:i/>
              </w:rPr>
              <w:t>Examples: pandemic Influenza</w:t>
            </w:r>
          </w:p>
        </w:tc>
        <w:tc>
          <w:tcPr>
            <w:tcW w:w="4675" w:type="dxa"/>
          </w:tcPr>
          <w:p w14:paraId="06BDE1EA" w14:textId="77777777" w:rsidR="006D0D34" w:rsidRDefault="006D0D34" w:rsidP="006D0D34">
            <w:pPr>
              <w:pStyle w:val="ListParagraph"/>
              <w:numPr>
                <w:ilvl w:val="0"/>
                <w:numId w:val="7"/>
              </w:numPr>
              <w:spacing w:after="0" w:line="240" w:lineRule="auto"/>
            </w:pPr>
            <w:r>
              <w:t>Palletized individual resources</w:t>
            </w:r>
          </w:p>
          <w:p w14:paraId="3D909471" w14:textId="77777777" w:rsidR="006D0D34" w:rsidRDefault="006D0D34" w:rsidP="006D0D34">
            <w:pPr>
              <w:pStyle w:val="ListParagraph"/>
              <w:numPr>
                <w:ilvl w:val="0"/>
                <w:numId w:val="7"/>
              </w:numPr>
              <w:spacing w:after="0" w:line="240" w:lineRule="auto"/>
            </w:pPr>
            <w:r>
              <w:t xml:space="preserve">Distributed within </w:t>
            </w:r>
            <w:r w:rsidR="0070226E">
              <w:t>12</w:t>
            </w:r>
            <w:r>
              <w:t xml:space="preserve"> hours of federal decision to deploy</w:t>
            </w:r>
          </w:p>
          <w:p w14:paraId="6E9B82FF" w14:textId="77777777" w:rsidR="006D0D34" w:rsidRDefault="006D0D34" w:rsidP="006D0D34">
            <w:pPr>
              <w:pStyle w:val="ListParagraph"/>
              <w:numPr>
                <w:ilvl w:val="0"/>
                <w:numId w:val="7"/>
              </w:numPr>
              <w:spacing w:after="0" w:line="240" w:lineRule="auto"/>
            </w:pPr>
            <w:r>
              <w:t>Contains life-support medications, IV administration, respiratory care supplies, medical and surgical supplies</w:t>
            </w:r>
          </w:p>
          <w:p w14:paraId="5EFD6992" w14:textId="77777777" w:rsidR="006D0D34" w:rsidRDefault="006D0D34" w:rsidP="006D0D34">
            <w:pPr>
              <w:pStyle w:val="ListParagraph"/>
              <w:numPr>
                <w:ilvl w:val="0"/>
                <w:numId w:val="7"/>
              </w:numPr>
              <w:spacing w:after="0" w:line="240" w:lineRule="auto"/>
            </w:pPr>
            <w:r>
              <w:t>Used to supplement the Push Package with additional specific items (e.g. medication)</w:t>
            </w:r>
          </w:p>
        </w:tc>
      </w:tr>
    </w:tbl>
    <w:p w14:paraId="21E18108" w14:textId="77777777" w:rsidR="006D0D34" w:rsidRPr="004F79EE" w:rsidRDefault="006D0D34" w:rsidP="006D0D34">
      <w:pPr>
        <w:rPr>
          <w:highlight w:val="cyan"/>
        </w:rPr>
      </w:pPr>
      <w:r w:rsidRPr="00E6709B">
        <w:rPr>
          <w:highlight w:val="cyan"/>
        </w:rPr>
        <w:t xml:space="preserve"> </w:t>
      </w:r>
    </w:p>
    <w:p w14:paraId="631FD7E9" w14:textId="77777777" w:rsidR="006D0D34" w:rsidRPr="005D6129" w:rsidRDefault="006D0D34" w:rsidP="006D0D34">
      <w:pPr>
        <w:pStyle w:val="Heading3"/>
        <w:rPr>
          <w:color w:val="002060"/>
        </w:rPr>
      </w:pPr>
      <w:bookmarkStart w:id="10" w:name="_Toc11832708"/>
      <w:r w:rsidRPr="005D6129">
        <w:rPr>
          <w:color w:val="002060"/>
        </w:rPr>
        <w:t>Receive, Stage &amp; Store (RSS)</w:t>
      </w:r>
      <w:bookmarkEnd w:id="10"/>
    </w:p>
    <w:p w14:paraId="57AAF4D6" w14:textId="77777777" w:rsidR="006D0D34" w:rsidRDefault="006D0D34" w:rsidP="006D0D34">
      <w:r>
        <w:t xml:space="preserve">Massachusetts supports two (2) RSS facilities that serve as </w:t>
      </w:r>
      <w:r w:rsidRPr="00D32D9B">
        <w:t>war</w:t>
      </w:r>
      <w:r>
        <w:t>ehouse and distribution facilities. When the SNS is deployed to the state, the MDPH opens the RSS to receive, temporarily store, reapportion, and distribute MCM to activated EDS</w:t>
      </w:r>
      <w:r w:rsidR="0070226E">
        <w:t>s</w:t>
      </w:r>
      <w:r>
        <w:t xml:space="preserve"> and hospitals. The RSS apportions MCM based on demographics provided by the local community and posted to the EDS board on the MDPH WebEOC. Working through the State Emergency Operations Center </w:t>
      </w:r>
      <w:r w:rsidRPr="004B761B">
        <w:t>(SEOC)</w:t>
      </w:r>
      <w:r>
        <w:t xml:space="preserve">, if activated, or the Department Operations Center (DOC), MDPH will work with the RSS to coordinate transportation assets to distribute the MCM from the RSS to the EDS or local health department with a security escort coordinated by the Massachusetts State Police. The MDPH MCM Coordinator and Assistant MCM Coordinator develop and maintain plans for the state RSS facilities. </w:t>
      </w:r>
    </w:p>
    <w:p w14:paraId="547FA4DC" w14:textId="77777777" w:rsidR="006D0D34" w:rsidRPr="005D6129" w:rsidRDefault="005D6129" w:rsidP="006D0D34">
      <w:pPr>
        <w:pStyle w:val="Heading2"/>
        <w:rPr>
          <w:color w:val="002060"/>
        </w:rPr>
      </w:pPr>
      <w:bookmarkStart w:id="11" w:name="_Toc11832709"/>
      <w:r w:rsidRPr="005D6129">
        <w:rPr>
          <w:color w:val="002060"/>
        </w:rPr>
        <w:t>MEDICAL COUNTERMEASURE DISPENSING MODELS</w:t>
      </w:r>
      <w:bookmarkEnd w:id="11"/>
    </w:p>
    <w:p w14:paraId="3FE47413" w14:textId="77777777" w:rsidR="006D0D34" w:rsidRDefault="006D0D34" w:rsidP="006D0D34">
      <w:r>
        <w:t>There are three methods that can be used for dispensing emergency medical countermeasures: 1) pre-positioned method, 2) pull-method, and 3) push-method. Each of these methods can be achieved using one or more dispensing models depending on the type of incident, required MCM, and available staff and resources.</w:t>
      </w:r>
    </w:p>
    <w:p w14:paraId="3A45C2D0" w14:textId="77777777" w:rsidR="006D0D34" w:rsidRPr="005D6129" w:rsidRDefault="006D0D34" w:rsidP="006D0D34">
      <w:pPr>
        <w:pStyle w:val="Heading3"/>
        <w:rPr>
          <w:color w:val="002060"/>
        </w:rPr>
      </w:pPr>
      <w:bookmarkStart w:id="12" w:name="_Toc11832710"/>
      <w:r w:rsidRPr="005D6129">
        <w:rPr>
          <w:color w:val="002060"/>
        </w:rPr>
        <w:t>Pre-Positioned Medical Countermeasures</w:t>
      </w:r>
      <w:bookmarkEnd w:id="12"/>
    </w:p>
    <w:p w14:paraId="214F6B19" w14:textId="27A5889F" w:rsidR="006D0D34" w:rsidRDefault="006D0D34" w:rsidP="006D0D34">
      <w:r>
        <w:t>Wh</w:t>
      </w:r>
      <w:r w:rsidR="00892D2F">
        <w:t>ile</w:t>
      </w:r>
      <w:r>
        <w:t xml:space="preserve"> most communities do not rely on pre-positioned MCM, the earliest available MCM should be dispensed to first responders, Critical Infrastructure Staff (CIS), and their household members as indicated based on guidance from the </w:t>
      </w:r>
      <w:r w:rsidR="008127B1">
        <w:t>ASPR</w:t>
      </w:r>
      <w:r>
        <w:t xml:space="preserve">. </w:t>
      </w:r>
      <w:r w:rsidRPr="003C6A78">
        <w:t>First responders include police, fire</w:t>
      </w:r>
      <w:r>
        <w:t>,</w:t>
      </w:r>
      <w:r w:rsidRPr="003C6A78">
        <w:t xml:space="preserve"> </w:t>
      </w:r>
      <w:r>
        <w:t>and e</w:t>
      </w:r>
      <w:r w:rsidRPr="003C6A78">
        <w:t xml:space="preserve">mergency </w:t>
      </w:r>
      <w:r>
        <w:t>m</w:t>
      </w:r>
      <w:r w:rsidRPr="003C6A78">
        <w:t xml:space="preserve">edical </w:t>
      </w:r>
      <w:r>
        <w:t>s</w:t>
      </w:r>
      <w:r w:rsidRPr="003C6A78">
        <w:t>ervice</w:t>
      </w:r>
      <w:r>
        <w:t>s (EMS)</w:t>
      </w:r>
      <w:r w:rsidRPr="003C6A78">
        <w:t>.</w:t>
      </w:r>
      <w:r>
        <w:t xml:space="preserve"> CIS describes the personnel required to perform the MCM mission, as well as those needed to maintain critical services and systems. Examples of CIS may include, but are not limited to: health department staff, public w</w:t>
      </w:r>
      <w:r w:rsidRPr="003C6A78">
        <w:t>orks</w:t>
      </w:r>
      <w:r>
        <w:t xml:space="preserve"> staff</w:t>
      </w:r>
      <w:r w:rsidRPr="003C6A78">
        <w:t xml:space="preserve">, </w:t>
      </w:r>
      <w:r>
        <w:t>staff of local u</w:t>
      </w:r>
      <w:r w:rsidRPr="003C6A78">
        <w:t xml:space="preserve">tilities, </w:t>
      </w:r>
      <w:r>
        <w:t>hospital personnel, volunteers (</w:t>
      </w:r>
      <w:r w:rsidRPr="003C6A78">
        <w:t>MRC, CERT</w:t>
      </w:r>
      <w:r>
        <w:t>, etc.)</w:t>
      </w:r>
      <w:r w:rsidRPr="003C6A78">
        <w:t xml:space="preserve">, </w:t>
      </w:r>
      <w:r>
        <w:t xml:space="preserve">and </w:t>
      </w:r>
      <w:r w:rsidRPr="003C6A78">
        <w:t>bus drivers</w:t>
      </w:r>
      <w:r>
        <w:t>.</w:t>
      </w:r>
    </w:p>
    <w:p w14:paraId="7ECC6722" w14:textId="77777777" w:rsidR="00F86F01" w:rsidRDefault="00F86F01">
      <w:pPr>
        <w:rPr>
          <w:b/>
          <w:u w:val="single"/>
        </w:rPr>
      </w:pPr>
      <w:r>
        <w:rPr>
          <w:b/>
          <w:u w:val="single"/>
        </w:rPr>
        <w:br w:type="page"/>
      </w:r>
    </w:p>
    <w:p w14:paraId="029D8761" w14:textId="77777777" w:rsidR="006D0D34" w:rsidRPr="00995EA0" w:rsidRDefault="006D0D34" w:rsidP="006D0D34">
      <w:pPr>
        <w:rPr>
          <w:b/>
          <w:u w:val="single"/>
        </w:rPr>
      </w:pPr>
      <w:r>
        <w:rPr>
          <w:b/>
          <w:u w:val="single"/>
        </w:rPr>
        <w:lastRenderedPageBreak/>
        <w:t>Pre-Event Planning</w:t>
      </w:r>
    </w:p>
    <w:p w14:paraId="705F49CF" w14:textId="77777777" w:rsidR="006D0D34" w:rsidRDefault="006D0D34" w:rsidP="006D0D34">
      <w:r>
        <w:t xml:space="preserve">Local plans should outline procedures and assigned roles for MCM dispensing to first responders and CIS. When distributing MCM, the MDPH will allocate an additional 10% over the total local population. This additional allocation can be dispensed to first responders, CIS, and their household members if indicated as a target treatment group. This can be done prior to opening the EDS to affected members of the general population or by utilizing a </w:t>
      </w:r>
      <w:hyperlink w:anchor="_Direct_Distribution_(Postal)" w:history="1">
        <w:r w:rsidRPr="00104A63">
          <w:rPr>
            <w:rStyle w:val="Hyperlink"/>
          </w:rPr>
          <w:t>mobile dispensing team</w:t>
        </w:r>
      </w:hyperlink>
      <w:r>
        <w:t xml:space="preserve">. </w:t>
      </w:r>
      <w:r w:rsidRPr="003C6A78">
        <w:t xml:space="preserve">To estimate the number of </w:t>
      </w:r>
      <w:r>
        <w:t>household members,</w:t>
      </w:r>
      <w:r w:rsidRPr="003C6A78">
        <w:t xml:space="preserve"> </w:t>
      </w:r>
      <w:r>
        <w:t xml:space="preserve">local health can </w:t>
      </w:r>
      <w:r w:rsidRPr="003C6A78">
        <w:t xml:space="preserve">multiply the number of first responders and </w:t>
      </w:r>
      <w:r>
        <w:t>CIS</w:t>
      </w:r>
      <w:r w:rsidRPr="003C6A78">
        <w:t xml:space="preserve"> by a factor of three.</w:t>
      </w:r>
    </w:p>
    <w:p w14:paraId="129F8589" w14:textId="77777777" w:rsidR="005F38F4" w:rsidRDefault="005F38F4" w:rsidP="006D0D34"/>
    <w:p w14:paraId="0CD2A294" w14:textId="77777777" w:rsidR="005F38F4" w:rsidRPr="005F38F4" w:rsidRDefault="005F38F4" w:rsidP="006D0D34">
      <w:pPr>
        <w:rPr>
          <w:rFonts w:eastAsia="Times New Roman"/>
          <w:b/>
          <w:u w:val="single"/>
          <w:shd w:val="clear" w:color="auto" w:fill="FFFFFF"/>
        </w:rPr>
      </w:pPr>
      <w:r w:rsidRPr="005F38F4">
        <w:rPr>
          <w:rFonts w:eastAsia="Times New Roman"/>
          <w:b/>
          <w:u w:val="single"/>
          <w:shd w:val="clear" w:color="auto" w:fill="FFFFFF"/>
        </w:rPr>
        <w:t>Resources</w:t>
      </w:r>
    </w:p>
    <w:p w14:paraId="07B3B806" w14:textId="2C4BC956" w:rsidR="005F38F4" w:rsidRPr="00CD1770" w:rsidRDefault="00CD1770" w:rsidP="005F38F4">
      <w:pPr>
        <w:rPr>
          <w:rStyle w:val="Hyperlink"/>
          <w:rFonts w:eastAsia="Times New Roman"/>
          <w:shd w:val="clear" w:color="auto" w:fill="FFFFFF"/>
        </w:rPr>
      </w:pPr>
      <w:r>
        <w:rPr>
          <w:rFonts w:eastAsia="Times New Roman"/>
          <w:shd w:val="clear" w:color="auto" w:fill="FFFFFF"/>
        </w:rPr>
        <w:fldChar w:fldCharType="begin"/>
      </w:r>
      <w:r w:rsidR="00F60EC2">
        <w:rPr>
          <w:rFonts w:eastAsia="Times New Roman"/>
          <w:shd w:val="clear" w:color="auto" w:fill="FFFFFF"/>
        </w:rPr>
        <w:instrText>HYPERLINK  \l "_Planning_Considerations_for_2"</w:instrText>
      </w:r>
      <w:r>
        <w:rPr>
          <w:rFonts w:eastAsia="Times New Roman"/>
          <w:shd w:val="clear" w:color="auto" w:fill="FFFFFF"/>
        </w:rPr>
        <w:fldChar w:fldCharType="separate"/>
      </w:r>
      <w:r w:rsidR="005F38F4" w:rsidRPr="00CD1770">
        <w:rPr>
          <w:rStyle w:val="Hyperlink"/>
          <w:rFonts w:eastAsia="Times New Roman"/>
          <w:shd w:val="clear" w:color="auto" w:fill="FFFFFF"/>
        </w:rPr>
        <w:t xml:space="preserve">Planning Considerations for Local Public Health Relative to Priority Prophylaxis for Responders and Critical Infrastructure Staff </w:t>
      </w:r>
    </w:p>
    <w:p w14:paraId="14A770C2" w14:textId="377689D0" w:rsidR="006D0D34" w:rsidRPr="005D6129" w:rsidRDefault="00CD1770" w:rsidP="006D0D34">
      <w:pPr>
        <w:pStyle w:val="Heading3"/>
        <w:rPr>
          <w:color w:val="002060"/>
        </w:rPr>
      </w:pPr>
      <w:r>
        <w:rPr>
          <w:rFonts w:asciiTheme="minorHAnsi" w:eastAsia="Times New Roman" w:hAnsiTheme="minorHAnsi" w:cstheme="minorBidi"/>
          <w:b w:val="0"/>
          <w:bCs w:val="0"/>
          <w:color w:val="auto"/>
          <w:sz w:val="24"/>
          <w:szCs w:val="24"/>
          <w:shd w:val="clear" w:color="auto" w:fill="FFFFFF"/>
          <w:lang w:eastAsia="en-US"/>
        </w:rPr>
        <w:fldChar w:fldCharType="end"/>
      </w:r>
      <w:bookmarkStart w:id="13" w:name="_Toc11832711"/>
      <w:r w:rsidR="006D0D34" w:rsidRPr="005D6129">
        <w:rPr>
          <w:color w:val="002060"/>
        </w:rPr>
        <w:t>Medical vs. Non-Medical Dispensing</w:t>
      </w:r>
      <w:bookmarkEnd w:id="13"/>
    </w:p>
    <w:p w14:paraId="769D8D41" w14:textId="77777777" w:rsidR="006D0D34" w:rsidRDefault="006D0D34" w:rsidP="006D0D34">
      <w:pPr>
        <w:rPr>
          <w:rFonts w:eastAsia="Times New Roman"/>
          <w:shd w:val="clear" w:color="auto" w:fill="FFFFFF"/>
        </w:rPr>
      </w:pPr>
      <w:r>
        <w:rPr>
          <w:rFonts w:eastAsia="Times New Roman"/>
          <w:shd w:val="clear" w:color="auto" w:fill="FFFFFF"/>
        </w:rPr>
        <w:t xml:space="preserve">EDS staff should follow a </w:t>
      </w:r>
      <w:r w:rsidRPr="00D53A89">
        <w:rPr>
          <w:rFonts w:eastAsia="Times New Roman"/>
          <w:shd w:val="clear" w:color="auto" w:fill="FFFFFF"/>
        </w:rPr>
        <w:t xml:space="preserve">medical </w:t>
      </w:r>
      <w:r>
        <w:rPr>
          <w:rFonts w:eastAsia="Times New Roman"/>
          <w:shd w:val="clear" w:color="auto" w:fill="FFFFFF"/>
        </w:rPr>
        <w:t>dispensing model where a licensed medical professional dispenses the recommended MCM based on an individual medical assessment (e.g. screening for medical history, allergies, and pre-existing conditions). EDS staff can transition from a medical to a non-medical dispensing model if it is determined that the change will significantly improve dispensing operations. Possible triggers for transition from a medical to non-medical dispensing model include:</w:t>
      </w:r>
    </w:p>
    <w:p w14:paraId="1540DB18" w14:textId="77777777" w:rsidR="006D0D34" w:rsidRPr="0044231A" w:rsidRDefault="006D0D34" w:rsidP="006D0D34">
      <w:pPr>
        <w:pStyle w:val="ListParagraph"/>
        <w:numPr>
          <w:ilvl w:val="0"/>
          <w:numId w:val="8"/>
        </w:numPr>
        <w:rPr>
          <w:rFonts w:eastAsia="Times New Roman"/>
          <w:shd w:val="clear" w:color="auto" w:fill="FFFFFF"/>
          <w:lang w:eastAsia="en-US"/>
        </w:rPr>
      </w:pPr>
      <w:r>
        <w:rPr>
          <w:rFonts w:eastAsia="Times New Roman"/>
          <w:shd w:val="clear" w:color="auto" w:fill="FFFFFF"/>
          <w:lang w:eastAsia="en-US"/>
        </w:rPr>
        <w:t>Estimated number of people who are exposed or at-risk</w:t>
      </w:r>
    </w:p>
    <w:p w14:paraId="7421F185" w14:textId="77777777" w:rsidR="006D0D34" w:rsidRDefault="006D0D34" w:rsidP="006D0D34">
      <w:pPr>
        <w:pStyle w:val="ListParagraph"/>
        <w:numPr>
          <w:ilvl w:val="0"/>
          <w:numId w:val="8"/>
        </w:numPr>
        <w:rPr>
          <w:rFonts w:eastAsia="Times New Roman"/>
          <w:shd w:val="clear" w:color="auto" w:fill="FFFFFF"/>
          <w:lang w:eastAsia="en-US"/>
        </w:rPr>
      </w:pPr>
      <w:r>
        <w:rPr>
          <w:rFonts w:eastAsia="Times New Roman"/>
          <w:shd w:val="clear" w:color="auto" w:fill="FFFFFF"/>
          <w:lang w:eastAsia="en-US"/>
        </w:rPr>
        <w:t>Availability of qualified medical professionals</w:t>
      </w:r>
    </w:p>
    <w:p w14:paraId="553B784C" w14:textId="77777777" w:rsidR="006D0D34" w:rsidRPr="0044231A" w:rsidRDefault="006D0D34" w:rsidP="006D0D34">
      <w:pPr>
        <w:pStyle w:val="ListParagraph"/>
        <w:numPr>
          <w:ilvl w:val="0"/>
          <w:numId w:val="8"/>
        </w:numPr>
        <w:rPr>
          <w:rFonts w:eastAsia="Times New Roman"/>
          <w:shd w:val="clear" w:color="auto" w:fill="FFFFFF"/>
          <w:lang w:eastAsia="en-US"/>
        </w:rPr>
      </w:pPr>
      <w:r>
        <w:rPr>
          <w:rFonts w:eastAsia="Times New Roman"/>
          <w:shd w:val="clear" w:color="auto" w:fill="FFFFFF"/>
          <w:lang w:eastAsia="en-US"/>
        </w:rPr>
        <w:t>Required amount of time to complete the dispensing operation</w:t>
      </w:r>
    </w:p>
    <w:p w14:paraId="6582D48C" w14:textId="77777777" w:rsidR="006D0D34" w:rsidRDefault="006D0D34" w:rsidP="006D0D34">
      <w:pPr>
        <w:pStyle w:val="ListParagraph"/>
        <w:numPr>
          <w:ilvl w:val="0"/>
          <w:numId w:val="8"/>
        </w:numPr>
        <w:rPr>
          <w:rFonts w:eastAsia="Times New Roman"/>
          <w:shd w:val="clear" w:color="auto" w:fill="FFFFFF"/>
          <w:lang w:eastAsia="en-US"/>
        </w:rPr>
      </w:pPr>
      <w:r>
        <w:rPr>
          <w:rFonts w:eastAsia="Times New Roman"/>
          <w:shd w:val="clear" w:color="auto" w:fill="FFFFFF"/>
          <w:lang w:eastAsia="en-US"/>
        </w:rPr>
        <w:t>Severity of the health threat</w:t>
      </w:r>
    </w:p>
    <w:p w14:paraId="6720F000" w14:textId="77777777" w:rsidR="006D0D34" w:rsidRDefault="006D0D34" w:rsidP="006D0D34">
      <w:pPr>
        <w:pStyle w:val="ListParagraph"/>
        <w:numPr>
          <w:ilvl w:val="0"/>
          <w:numId w:val="8"/>
        </w:numPr>
        <w:rPr>
          <w:rFonts w:eastAsia="Times New Roman"/>
          <w:shd w:val="clear" w:color="auto" w:fill="FFFFFF"/>
          <w:lang w:eastAsia="en-US"/>
        </w:rPr>
      </w:pPr>
      <w:r>
        <w:rPr>
          <w:rFonts w:eastAsia="Times New Roman"/>
          <w:shd w:val="clear" w:color="auto" w:fill="FFFFFF"/>
          <w:lang w:eastAsia="en-US"/>
        </w:rPr>
        <w:t>Throughput needs</w:t>
      </w:r>
    </w:p>
    <w:p w14:paraId="75A4147A" w14:textId="77777777" w:rsidR="006D0D34" w:rsidRDefault="006D0D34" w:rsidP="006D0D34">
      <w:pPr>
        <w:pStyle w:val="ListParagraph"/>
        <w:numPr>
          <w:ilvl w:val="0"/>
          <w:numId w:val="8"/>
        </w:numPr>
        <w:rPr>
          <w:rFonts w:eastAsia="Times New Roman"/>
          <w:shd w:val="clear" w:color="auto" w:fill="FFFFFF"/>
          <w:lang w:eastAsia="en-US"/>
        </w:rPr>
      </w:pPr>
      <w:r>
        <w:rPr>
          <w:rFonts w:eastAsia="Times New Roman"/>
          <w:shd w:val="clear" w:color="auto" w:fill="FFFFFF"/>
          <w:lang w:eastAsia="en-US"/>
        </w:rPr>
        <w:t>Changing conditions at the EDS (e.g. long lines, weather, etc.)</w:t>
      </w:r>
    </w:p>
    <w:p w14:paraId="32B27C6A" w14:textId="77777777" w:rsidR="006D0D34" w:rsidRPr="008E7B47" w:rsidRDefault="006D0D34" w:rsidP="006D0D34">
      <w:pPr>
        <w:pStyle w:val="ListParagraph"/>
        <w:numPr>
          <w:ilvl w:val="0"/>
          <w:numId w:val="8"/>
        </w:numPr>
        <w:rPr>
          <w:rFonts w:eastAsia="Times New Roman"/>
          <w:shd w:val="clear" w:color="auto" w:fill="FFFFFF"/>
          <w:lang w:eastAsia="en-US"/>
        </w:rPr>
      </w:pPr>
      <w:r>
        <w:rPr>
          <w:rFonts w:eastAsia="Times New Roman"/>
          <w:shd w:val="clear" w:color="auto" w:fill="FFFFFF"/>
          <w:lang w:eastAsia="en-US"/>
        </w:rPr>
        <w:t>Outside guidance from state or federal authorities</w:t>
      </w:r>
    </w:p>
    <w:p w14:paraId="045BBE29" w14:textId="77777777" w:rsidR="00E266B2" w:rsidRPr="002D5389" w:rsidRDefault="006D0D34" w:rsidP="00E266B2">
      <w:pPr>
        <w:rPr>
          <w:rFonts w:eastAsia="Times New Roman"/>
          <w:shd w:val="clear" w:color="auto" w:fill="FFFFFF"/>
        </w:rPr>
      </w:pPr>
      <w:r>
        <w:rPr>
          <w:rFonts w:eastAsia="Times New Roman"/>
          <w:shd w:val="clear" w:color="auto" w:fill="FFFFFF"/>
        </w:rPr>
        <w:t xml:space="preserve">In a </w:t>
      </w:r>
      <w:r w:rsidRPr="005733C1">
        <w:rPr>
          <w:rFonts w:eastAsia="Times New Roman"/>
          <w:shd w:val="clear" w:color="auto" w:fill="FFFFFF"/>
        </w:rPr>
        <w:t xml:space="preserve">non-medical </w:t>
      </w:r>
      <w:r>
        <w:rPr>
          <w:rFonts w:eastAsia="Times New Roman"/>
          <w:shd w:val="clear" w:color="auto" w:fill="FFFFFF"/>
        </w:rPr>
        <w:t xml:space="preserve">dispensing model, the medical evaluation or screening may rely on triage by non-clinical staff or a self-assessment. Additionally, non-medical staff can be trained to dispense medication under the supervision of a licensed medical professional. While the transition between medical and non-medical models is </w:t>
      </w:r>
      <w:r w:rsidRPr="0017458E">
        <w:rPr>
          <w:rFonts w:eastAsia="Times New Roman"/>
          <w:u w:val="single"/>
          <w:shd w:val="clear" w:color="auto" w:fill="FFFFFF"/>
        </w:rPr>
        <w:t>not</w:t>
      </w:r>
      <w:r>
        <w:rPr>
          <w:rFonts w:eastAsia="Times New Roman"/>
          <w:shd w:val="clear" w:color="auto" w:fill="FFFFFF"/>
        </w:rPr>
        <w:t xml:space="preserve"> used when dispensing vaccines, in an emergency the Commissioner of Public Health has the authority to relax requirements to allow additional categories of licensed healthcare professionals to administer vaccines </w:t>
      </w:r>
      <w:r w:rsidR="00E266B2">
        <w:rPr>
          <w:rFonts w:eastAsia="Times New Roman"/>
          <w:shd w:val="clear" w:color="auto" w:fill="FFFFFF"/>
        </w:rPr>
        <w:t>(</w:t>
      </w:r>
      <w:hyperlink r:id="rId14" w:history="1">
        <w:r w:rsidR="00E266B2" w:rsidRPr="001B01EA">
          <w:rPr>
            <w:rStyle w:val="Hyperlink"/>
            <w:rFonts w:eastAsia="Times New Roman"/>
            <w:shd w:val="clear" w:color="auto" w:fill="FFFFFF"/>
          </w:rPr>
          <w:t>MGL, Chapter 111, Section 5A</w:t>
        </w:r>
      </w:hyperlink>
      <w:r w:rsidR="00E266B2">
        <w:rPr>
          <w:rFonts w:eastAsia="Times New Roman"/>
          <w:shd w:val="clear" w:color="auto" w:fill="FFFFFF"/>
        </w:rPr>
        <w:t>)</w:t>
      </w:r>
      <w:r w:rsidR="00E266B2">
        <w:rPr>
          <w:rStyle w:val="FootnoteReference"/>
          <w:rFonts w:eastAsia="Times New Roman"/>
          <w:shd w:val="clear" w:color="auto" w:fill="FFFFFF"/>
        </w:rPr>
        <w:footnoteReference w:id="6"/>
      </w:r>
      <w:r w:rsidR="00E266B2">
        <w:rPr>
          <w:rFonts w:eastAsia="Times New Roman"/>
          <w:shd w:val="clear" w:color="auto" w:fill="FFFFFF"/>
        </w:rPr>
        <w:t>.</w:t>
      </w:r>
    </w:p>
    <w:p w14:paraId="4E9AE197" w14:textId="77777777" w:rsidR="006D0D34" w:rsidRPr="002D5389" w:rsidRDefault="006D0D34" w:rsidP="006D0D34">
      <w:pPr>
        <w:rPr>
          <w:rFonts w:eastAsia="Times New Roman"/>
          <w:u w:val="single"/>
          <w:shd w:val="clear" w:color="auto" w:fill="FFFFFF"/>
        </w:rPr>
      </w:pPr>
      <w:r>
        <w:rPr>
          <w:rFonts w:eastAsia="Times New Roman"/>
          <w:b/>
          <w:u w:val="single"/>
          <w:shd w:val="clear" w:color="auto" w:fill="FFFFFF"/>
        </w:rPr>
        <w:t>Pre-E</w:t>
      </w:r>
      <w:r w:rsidRPr="002D5389">
        <w:rPr>
          <w:rFonts w:eastAsia="Times New Roman"/>
          <w:b/>
          <w:u w:val="single"/>
          <w:shd w:val="clear" w:color="auto" w:fill="FFFFFF"/>
        </w:rPr>
        <w:t xml:space="preserve">vent </w:t>
      </w:r>
      <w:r>
        <w:rPr>
          <w:rFonts w:eastAsia="Times New Roman"/>
          <w:b/>
          <w:u w:val="single"/>
          <w:shd w:val="clear" w:color="auto" w:fill="FFFFFF"/>
        </w:rPr>
        <w:t>P</w:t>
      </w:r>
      <w:r w:rsidRPr="002D5389">
        <w:rPr>
          <w:rFonts w:eastAsia="Times New Roman"/>
          <w:b/>
          <w:u w:val="single"/>
          <w:shd w:val="clear" w:color="auto" w:fill="FFFFFF"/>
        </w:rPr>
        <w:t>lanning</w:t>
      </w:r>
    </w:p>
    <w:p w14:paraId="26CD4EA0" w14:textId="77777777" w:rsidR="006D0D34" w:rsidRDefault="006D0D34" w:rsidP="006D0D34">
      <w:pPr>
        <w:rPr>
          <w:rFonts w:eastAsia="Times New Roman"/>
          <w:shd w:val="clear" w:color="auto" w:fill="FFFFFF"/>
        </w:rPr>
      </w:pPr>
      <w:r>
        <w:t>When planning for medical and non-medical dispensing operations, local health should develop policies and procedures with assigned roles to address:</w:t>
      </w:r>
    </w:p>
    <w:p w14:paraId="2D4E11C3" w14:textId="77777777" w:rsidR="006D0D34" w:rsidRDefault="006D0D34" w:rsidP="006D0D34">
      <w:pPr>
        <w:pStyle w:val="ListParagraph"/>
        <w:numPr>
          <w:ilvl w:val="0"/>
          <w:numId w:val="9"/>
        </w:numPr>
        <w:rPr>
          <w:rFonts w:eastAsia="Times New Roman"/>
          <w:shd w:val="clear" w:color="auto" w:fill="FFFFFF"/>
          <w:lang w:eastAsia="en-US"/>
        </w:rPr>
      </w:pPr>
      <w:r>
        <w:rPr>
          <w:rFonts w:eastAsia="Times New Roman"/>
          <w:shd w:val="clear" w:color="auto" w:fill="FFFFFF"/>
          <w:lang w:eastAsia="en-US"/>
        </w:rPr>
        <w:t>W</w:t>
      </w:r>
      <w:r w:rsidRPr="00B20D70">
        <w:rPr>
          <w:rFonts w:eastAsia="Times New Roman"/>
          <w:shd w:val="clear" w:color="auto" w:fill="FFFFFF"/>
          <w:lang w:eastAsia="en-US"/>
        </w:rPr>
        <w:t xml:space="preserve">hen to </w:t>
      </w:r>
      <w:r>
        <w:rPr>
          <w:rFonts w:eastAsia="Times New Roman"/>
          <w:shd w:val="clear" w:color="auto" w:fill="FFFFFF"/>
          <w:lang w:eastAsia="en-US"/>
        </w:rPr>
        <w:t>use either model</w:t>
      </w:r>
    </w:p>
    <w:p w14:paraId="270C442D" w14:textId="77777777" w:rsidR="006D0D34" w:rsidRDefault="006D0D34" w:rsidP="006D0D34">
      <w:pPr>
        <w:pStyle w:val="ListParagraph"/>
        <w:numPr>
          <w:ilvl w:val="0"/>
          <w:numId w:val="9"/>
        </w:numPr>
        <w:rPr>
          <w:rFonts w:eastAsia="Times New Roman"/>
          <w:shd w:val="clear" w:color="auto" w:fill="FFFFFF"/>
          <w:lang w:eastAsia="en-US"/>
        </w:rPr>
      </w:pPr>
      <w:r>
        <w:rPr>
          <w:rFonts w:eastAsia="Times New Roman"/>
          <w:shd w:val="clear" w:color="auto" w:fill="FFFFFF"/>
          <w:lang w:eastAsia="en-US"/>
        </w:rPr>
        <w:t xml:space="preserve">When to </w:t>
      </w:r>
      <w:r w:rsidRPr="00B20D70">
        <w:rPr>
          <w:rFonts w:eastAsia="Times New Roman"/>
          <w:shd w:val="clear" w:color="auto" w:fill="FFFFFF"/>
          <w:lang w:eastAsia="en-US"/>
        </w:rPr>
        <w:t>transition from the medical to non-medical model</w:t>
      </w:r>
    </w:p>
    <w:p w14:paraId="1CA04020" w14:textId="77777777" w:rsidR="006D0D34" w:rsidRDefault="006D0D34" w:rsidP="006D0D34">
      <w:pPr>
        <w:pStyle w:val="ListParagraph"/>
        <w:numPr>
          <w:ilvl w:val="0"/>
          <w:numId w:val="9"/>
        </w:numPr>
        <w:rPr>
          <w:rFonts w:eastAsia="Times New Roman"/>
          <w:shd w:val="clear" w:color="auto" w:fill="FFFFFF"/>
          <w:lang w:eastAsia="en-US"/>
        </w:rPr>
      </w:pPr>
      <w:r>
        <w:rPr>
          <w:rFonts w:eastAsia="Times New Roman"/>
          <w:shd w:val="clear" w:color="auto" w:fill="FFFFFF"/>
          <w:lang w:eastAsia="en-US"/>
        </w:rPr>
        <w:t>Triggers</w:t>
      </w:r>
      <w:r w:rsidRPr="00B20D70">
        <w:rPr>
          <w:rFonts w:eastAsia="Times New Roman"/>
          <w:shd w:val="clear" w:color="auto" w:fill="FFFFFF"/>
          <w:lang w:eastAsia="en-US"/>
        </w:rPr>
        <w:t xml:space="preserve"> for </w:t>
      </w:r>
      <w:r>
        <w:rPr>
          <w:rFonts w:eastAsia="Times New Roman"/>
          <w:shd w:val="clear" w:color="auto" w:fill="FFFFFF"/>
          <w:lang w:eastAsia="en-US"/>
        </w:rPr>
        <w:t>transitioning between models</w:t>
      </w:r>
    </w:p>
    <w:p w14:paraId="4AC8D3EE" w14:textId="77777777" w:rsidR="0031695C" w:rsidRPr="00FA72EE" w:rsidRDefault="006D0D34" w:rsidP="006D0D34">
      <w:pPr>
        <w:pStyle w:val="ListParagraph"/>
        <w:numPr>
          <w:ilvl w:val="0"/>
          <w:numId w:val="9"/>
        </w:numPr>
        <w:rPr>
          <w:rFonts w:eastAsia="Times New Roman"/>
          <w:shd w:val="clear" w:color="auto" w:fill="FFFFFF"/>
          <w:lang w:eastAsia="en-US"/>
        </w:rPr>
      </w:pPr>
      <w:r>
        <w:rPr>
          <w:rFonts w:eastAsia="Times New Roman"/>
          <w:shd w:val="clear" w:color="auto" w:fill="FFFFFF"/>
          <w:lang w:eastAsia="en-US"/>
        </w:rPr>
        <w:t>A</w:t>
      </w:r>
      <w:r w:rsidRPr="00B20D70">
        <w:rPr>
          <w:rFonts w:eastAsia="Times New Roman"/>
          <w:shd w:val="clear" w:color="auto" w:fill="FFFFFF"/>
          <w:lang w:eastAsia="en-US"/>
        </w:rPr>
        <w:t>uthoriz</w:t>
      </w:r>
      <w:r>
        <w:rPr>
          <w:rFonts w:eastAsia="Times New Roman"/>
          <w:shd w:val="clear" w:color="auto" w:fill="FFFFFF"/>
          <w:lang w:eastAsia="en-US"/>
        </w:rPr>
        <w:t>ation for making</w:t>
      </w:r>
      <w:r w:rsidRPr="00B20D70">
        <w:rPr>
          <w:rFonts w:eastAsia="Times New Roman"/>
          <w:shd w:val="clear" w:color="auto" w:fill="FFFFFF"/>
          <w:lang w:eastAsia="en-US"/>
        </w:rPr>
        <w:t xml:space="preserve"> the transition</w:t>
      </w:r>
    </w:p>
    <w:p w14:paraId="1577362B" w14:textId="77777777" w:rsidR="006D0D34" w:rsidRDefault="006D0D34" w:rsidP="006D0D34">
      <w:pPr>
        <w:rPr>
          <w:rFonts w:eastAsia="Times New Roman"/>
          <w:b/>
          <w:u w:val="single"/>
          <w:shd w:val="clear" w:color="auto" w:fill="FFFFFF"/>
        </w:rPr>
      </w:pPr>
      <w:r w:rsidRPr="002D5389">
        <w:rPr>
          <w:rFonts w:eastAsia="Times New Roman"/>
          <w:b/>
          <w:u w:val="single"/>
          <w:shd w:val="clear" w:color="auto" w:fill="FFFFFF"/>
        </w:rPr>
        <w:lastRenderedPageBreak/>
        <w:t>Resources</w:t>
      </w:r>
    </w:p>
    <w:p w14:paraId="1965C7E5" w14:textId="77777777" w:rsidR="006D0D34" w:rsidRPr="006E04B4" w:rsidRDefault="00637775" w:rsidP="006D0D34">
      <w:pPr>
        <w:rPr>
          <w:rFonts w:eastAsia="Times New Roman"/>
          <w:highlight w:val="cyan"/>
          <w:shd w:val="clear" w:color="auto" w:fill="FFFFFF"/>
        </w:rPr>
      </w:pPr>
      <w:hyperlink r:id="rId15" w:history="1">
        <w:r w:rsidR="006D0D34" w:rsidRPr="00DA7FD8">
          <w:rPr>
            <w:rStyle w:val="Hyperlink"/>
            <w:rFonts w:eastAsia="Times New Roman"/>
            <w:shd w:val="clear" w:color="auto" w:fill="FFFFFF"/>
          </w:rPr>
          <w:t>Dispense Assist</w:t>
        </w:r>
      </w:hyperlink>
      <w:r w:rsidR="00F17724">
        <w:rPr>
          <w:rStyle w:val="FootnoteReference"/>
          <w:rFonts w:eastAsia="Times New Roman"/>
          <w:color w:val="0563C1" w:themeColor="hyperlink"/>
          <w:u w:val="single"/>
          <w:shd w:val="clear" w:color="auto" w:fill="FFFFFF"/>
        </w:rPr>
        <w:footnoteReference w:id="7"/>
      </w:r>
      <w:r w:rsidR="006D0D34">
        <w:rPr>
          <w:rFonts w:eastAsia="Times New Roman"/>
          <w:shd w:val="clear" w:color="auto" w:fill="FFFFFF"/>
        </w:rPr>
        <w:t xml:space="preserve"> is an online self-screening tool that allows users to generate vouchers for medication or vaccine prior to going to an EDS. This allows the public to complete and pre-print a type of Name, Address, Personal History (NAPH) Form prior to going to the EDS. Additionally, Dispense Assist has online training resources for dispensing staff.</w:t>
      </w:r>
    </w:p>
    <w:p w14:paraId="70B25F79" w14:textId="77777777" w:rsidR="006D0D34" w:rsidRPr="005D6129" w:rsidRDefault="006D0D34" w:rsidP="006D0D34">
      <w:pPr>
        <w:pStyle w:val="Heading3"/>
        <w:rPr>
          <w:color w:val="002060"/>
        </w:rPr>
      </w:pPr>
      <w:bookmarkStart w:id="14" w:name="_Toc11832712"/>
      <w:r w:rsidRPr="005D6129">
        <w:rPr>
          <w:color w:val="002060"/>
        </w:rPr>
        <w:t>Sustained Dispensing</w:t>
      </w:r>
      <w:bookmarkEnd w:id="14"/>
    </w:p>
    <w:p w14:paraId="0605A982" w14:textId="77777777" w:rsidR="006D0D34" w:rsidRDefault="006D0D34" w:rsidP="006D0D34">
      <w:pPr>
        <w:rPr>
          <w:rFonts w:eastAsia="Times New Roman"/>
          <w:shd w:val="clear" w:color="auto" w:fill="FFFFFF"/>
        </w:rPr>
      </w:pPr>
      <w:r>
        <w:rPr>
          <w:rFonts w:eastAsia="Times New Roman"/>
          <w:shd w:val="clear" w:color="auto" w:fill="FFFFFF"/>
        </w:rPr>
        <w:t xml:space="preserve">Certain situations, such as vaccines that require multiple-dose administration and medication dispensing for aerosolized anthrax, may require that the EDS transition from initial operations to </w:t>
      </w:r>
      <w:r w:rsidRPr="00D600F2">
        <w:rPr>
          <w:rFonts w:eastAsia="Times New Roman"/>
          <w:shd w:val="clear" w:color="auto" w:fill="FFFFFF"/>
        </w:rPr>
        <w:t xml:space="preserve">sustained </w:t>
      </w:r>
      <w:r>
        <w:rPr>
          <w:rFonts w:eastAsia="Times New Roman"/>
          <w:shd w:val="clear" w:color="auto" w:fill="FFFFFF"/>
        </w:rPr>
        <w:t xml:space="preserve">operations to provide MCM over an extended period of time, such as the additional 50-day regimen of antibiotics recommended for exposure to anthrax. Additionally, initial operations (e.g. clients receiving their first dose of vaccine) may still be occurring when the EDS transitions to </w:t>
      </w:r>
      <w:r w:rsidRPr="00D600F2">
        <w:rPr>
          <w:rFonts w:eastAsia="Times New Roman"/>
          <w:shd w:val="clear" w:color="auto" w:fill="FFFFFF"/>
        </w:rPr>
        <w:t>sustained (extended)</w:t>
      </w:r>
      <w:r>
        <w:rPr>
          <w:rFonts w:eastAsia="Times New Roman"/>
          <w:shd w:val="clear" w:color="auto" w:fill="FFFFFF"/>
        </w:rPr>
        <w:t xml:space="preserve"> operations (e.g. clients receiving their second dose of vaccine).</w:t>
      </w:r>
    </w:p>
    <w:p w14:paraId="2244A024" w14:textId="77777777" w:rsidR="006D0D34" w:rsidRPr="00770AF1" w:rsidRDefault="006D0D34" w:rsidP="006D0D34">
      <w:pPr>
        <w:rPr>
          <w:b/>
          <w:u w:val="single"/>
        </w:rPr>
      </w:pPr>
      <w:r>
        <w:rPr>
          <w:b/>
          <w:u w:val="single"/>
        </w:rPr>
        <w:t>Pre-Event Planning</w:t>
      </w:r>
    </w:p>
    <w:p w14:paraId="3DC05C98" w14:textId="77777777" w:rsidR="006D0D34" w:rsidRDefault="006D0D34" w:rsidP="006D0D34">
      <w:r>
        <w:t>When planning for sustained EDS operations, local health should develop plans, policies, and procedures with assigned roles to address:</w:t>
      </w:r>
    </w:p>
    <w:p w14:paraId="17AD130E" w14:textId="77777777" w:rsidR="006D0D34" w:rsidRDefault="006D0D34" w:rsidP="00DD5155">
      <w:pPr>
        <w:pStyle w:val="ListParagraph"/>
        <w:numPr>
          <w:ilvl w:val="0"/>
          <w:numId w:val="12"/>
        </w:numPr>
        <w:rPr>
          <w:rFonts w:eastAsia="Times New Roman"/>
          <w:shd w:val="clear" w:color="auto" w:fill="FFFFFF"/>
          <w:lang w:eastAsia="en-US"/>
        </w:rPr>
      </w:pPr>
      <w:r>
        <w:rPr>
          <w:rFonts w:eastAsia="Times New Roman"/>
          <w:shd w:val="clear" w:color="auto" w:fill="FFFFFF"/>
          <w:lang w:eastAsia="en-US"/>
        </w:rPr>
        <w:t>Evaluation of staff availability, efficiency, and utilization at the EDS</w:t>
      </w:r>
    </w:p>
    <w:p w14:paraId="65C0BFC6" w14:textId="77777777" w:rsidR="006D0D34" w:rsidRDefault="006D0D34" w:rsidP="00DD5155">
      <w:pPr>
        <w:pStyle w:val="ListParagraph"/>
        <w:numPr>
          <w:ilvl w:val="0"/>
          <w:numId w:val="12"/>
        </w:numPr>
        <w:rPr>
          <w:rFonts w:eastAsia="Times New Roman"/>
          <w:shd w:val="clear" w:color="auto" w:fill="FFFFFF"/>
          <w:lang w:eastAsia="en-US"/>
        </w:rPr>
      </w:pPr>
      <w:r>
        <w:rPr>
          <w:rFonts w:eastAsia="Times New Roman"/>
          <w:shd w:val="clear" w:color="auto" w:fill="FFFFFF"/>
          <w:lang w:eastAsia="en-US"/>
        </w:rPr>
        <w:t xml:space="preserve">Criteria for additional staff requests, staff reassignment, and releasing staff </w:t>
      </w:r>
    </w:p>
    <w:p w14:paraId="2E89F7E8" w14:textId="77777777" w:rsidR="006D0D34" w:rsidRDefault="006D0D34" w:rsidP="00DD5155">
      <w:pPr>
        <w:pStyle w:val="ListParagraph"/>
        <w:numPr>
          <w:ilvl w:val="0"/>
          <w:numId w:val="12"/>
        </w:numPr>
        <w:rPr>
          <w:rFonts w:eastAsia="Times New Roman"/>
          <w:shd w:val="clear" w:color="auto" w:fill="FFFFFF"/>
          <w:lang w:eastAsia="en-US"/>
        </w:rPr>
      </w:pPr>
      <w:r>
        <w:rPr>
          <w:rFonts w:eastAsia="Times New Roman"/>
          <w:shd w:val="clear" w:color="auto" w:fill="FFFFFF"/>
          <w:lang w:eastAsia="en-US"/>
        </w:rPr>
        <w:t>Evaluation of resource availability, utilization, and security</w:t>
      </w:r>
    </w:p>
    <w:p w14:paraId="7DF8451C" w14:textId="77777777" w:rsidR="006D0D34" w:rsidRDefault="006D0D34" w:rsidP="00DD5155">
      <w:pPr>
        <w:pStyle w:val="ListParagraph"/>
        <w:numPr>
          <w:ilvl w:val="0"/>
          <w:numId w:val="12"/>
        </w:numPr>
        <w:rPr>
          <w:rFonts w:eastAsia="Times New Roman"/>
          <w:shd w:val="clear" w:color="auto" w:fill="FFFFFF"/>
          <w:lang w:eastAsia="en-US"/>
        </w:rPr>
      </w:pPr>
      <w:r>
        <w:rPr>
          <w:rFonts w:eastAsia="Times New Roman"/>
          <w:shd w:val="clear" w:color="auto" w:fill="FFFFFF"/>
          <w:lang w:eastAsia="en-US"/>
        </w:rPr>
        <w:t>Criteria for the resupply requests and resource transfers between EDS</w:t>
      </w:r>
    </w:p>
    <w:p w14:paraId="38804E77" w14:textId="77777777" w:rsidR="006D0D34" w:rsidRDefault="006D0D34" w:rsidP="00DD5155">
      <w:pPr>
        <w:pStyle w:val="ListParagraph"/>
        <w:numPr>
          <w:ilvl w:val="0"/>
          <w:numId w:val="12"/>
        </w:numPr>
        <w:rPr>
          <w:rFonts w:eastAsia="Times New Roman"/>
          <w:shd w:val="clear" w:color="auto" w:fill="FFFFFF"/>
          <w:lang w:eastAsia="en-US"/>
        </w:rPr>
      </w:pPr>
      <w:r>
        <w:rPr>
          <w:rFonts w:eastAsia="Times New Roman"/>
          <w:shd w:val="clear" w:color="auto" w:fill="FFFFFF"/>
          <w:lang w:eastAsia="en-US"/>
        </w:rPr>
        <w:t>Evaluation of service delivery and process at the EDS</w:t>
      </w:r>
    </w:p>
    <w:p w14:paraId="2D4EF87C" w14:textId="77777777" w:rsidR="006D0D34" w:rsidRDefault="006D0D34" w:rsidP="00DD5155">
      <w:pPr>
        <w:pStyle w:val="ListParagraph"/>
        <w:numPr>
          <w:ilvl w:val="0"/>
          <w:numId w:val="12"/>
        </w:numPr>
        <w:rPr>
          <w:rFonts w:eastAsia="Times New Roman"/>
          <w:shd w:val="clear" w:color="auto" w:fill="FFFFFF"/>
          <w:lang w:eastAsia="en-US"/>
        </w:rPr>
      </w:pPr>
      <w:r>
        <w:rPr>
          <w:rFonts w:eastAsia="Times New Roman"/>
          <w:shd w:val="clear" w:color="auto" w:fill="FFFFFF"/>
          <w:lang w:eastAsia="en-US"/>
        </w:rPr>
        <w:t>Criteria for expanding high demand stations within the EDS (e.g. dispensing)</w:t>
      </w:r>
    </w:p>
    <w:p w14:paraId="499F6AF0" w14:textId="77777777" w:rsidR="006D0D34" w:rsidRDefault="006D0D34" w:rsidP="00DD5155">
      <w:pPr>
        <w:pStyle w:val="ListParagraph"/>
        <w:numPr>
          <w:ilvl w:val="0"/>
          <w:numId w:val="12"/>
        </w:numPr>
        <w:rPr>
          <w:rFonts w:eastAsia="Times New Roman"/>
          <w:shd w:val="clear" w:color="auto" w:fill="FFFFFF"/>
          <w:lang w:eastAsia="en-US"/>
        </w:rPr>
      </w:pPr>
      <w:r>
        <w:rPr>
          <w:rFonts w:eastAsia="Times New Roman"/>
          <w:shd w:val="clear" w:color="auto" w:fill="FFFFFF"/>
          <w:lang w:eastAsia="en-US"/>
        </w:rPr>
        <w:t>Criteria for contracting or eliminating low-demand stations within the EDS</w:t>
      </w:r>
    </w:p>
    <w:p w14:paraId="03D65461" w14:textId="77777777" w:rsidR="006D0D34" w:rsidRDefault="006D0D34" w:rsidP="00DD5155">
      <w:pPr>
        <w:pStyle w:val="ListParagraph"/>
        <w:numPr>
          <w:ilvl w:val="0"/>
          <w:numId w:val="12"/>
        </w:numPr>
        <w:rPr>
          <w:rFonts w:eastAsia="Times New Roman"/>
          <w:shd w:val="clear" w:color="auto" w:fill="FFFFFF"/>
          <w:lang w:eastAsia="en-US"/>
        </w:rPr>
      </w:pPr>
      <w:r>
        <w:rPr>
          <w:rFonts w:eastAsia="Times New Roman"/>
          <w:shd w:val="clear" w:color="auto" w:fill="FFFFFF"/>
          <w:lang w:eastAsia="en-US"/>
        </w:rPr>
        <w:t>Criteria for contracting or eliminating stations that are not needed for sustained (extended) operations</w:t>
      </w:r>
    </w:p>
    <w:p w14:paraId="506FC2E3" w14:textId="77777777" w:rsidR="006D0D34" w:rsidRDefault="006D0D34" w:rsidP="00DD5155">
      <w:pPr>
        <w:pStyle w:val="ListParagraph"/>
        <w:numPr>
          <w:ilvl w:val="0"/>
          <w:numId w:val="12"/>
        </w:numPr>
        <w:rPr>
          <w:rFonts w:eastAsia="Times New Roman"/>
          <w:shd w:val="clear" w:color="auto" w:fill="FFFFFF"/>
          <w:lang w:eastAsia="en-US"/>
        </w:rPr>
      </w:pPr>
      <w:r>
        <w:rPr>
          <w:rFonts w:eastAsia="Times New Roman"/>
          <w:shd w:val="clear" w:color="auto" w:fill="FFFFFF"/>
          <w:lang w:eastAsia="en-US"/>
        </w:rPr>
        <w:t>Criteria for closing underutilized EDS and transitioning staff and resources to higher use facilities</w:t>
      </w:r>
    </w:p>
    <w:p w14:paraId="6A945A66" w14:textId="77777777" w:rsidR="006D0D34" w:rsidRPr="00770AF1" w:rsidRDefault="006D0D34" w:rsidP="00DD5155">
      <w:pPr>
        <w:pStyle w:val="ListParagraph"/>
        <w:numPr>
          <w:ilvl w:val="0"/>
          <w:numId w:val="12"/>
        </w:numPr>
        <w:rPr>
          <w:rFonts w:eastAsia="Times New Roman"/>
          <w:shd w:val="clear" w:color="auto" w:fill="FFFFFF"/>
          <w:lang w:eastAsia="en-US"/>
        </w:rPr>
      </w:pPr>
      <w:r>
        <w:rPr>
          <w:rFonts w:eastAsia="Times New Roman"/>
          <w:shd w:val="clear" w:color="auto" w:fill="FFFFFF"/>
          <w:lang w:eastAsia="en-US"/>
        </w:rPr>
        <w:t>Evaluation of public information accuracy and adequacy to ensure continued dissemination</w:t>
      </w:r>
    </w:p>
    <w:p w14:paraId="585CF663" w14:textId="77777777" w:rsidR="006D0D34" w:rsidRPr="005D6129" w:rsidRDefault="006D0D34" w:rsidP="006D0D34">
      <w:pPr>
        <w:pStyle w:val="Heading3"/>
        <w:rPr>
          <w:color w:val="002060"/>
        </w:rPr>
      </w:pPr>
      <w:bookmarkStart w:id="15" w:name="_Toc11832713"/>
      <w:r w:rsidRPr="005D6129">
        <w:rPr>
          <w:color w:val="002060"/>
        </w:rPr>
        <w:t>Pull-Method Dispensing</w:t>
      </w:r>
      <w:bookmarkEnd w:id="15"/>
    </w:p>
    <w:p w14:paraId="01650D0F" w14:textId="77777777" w:rsidR="006D0D34" w:rsidRDefault="006D0D34" w:rsidP="006D0D34">
      <w:r>
        <w:t>Most people will receive emergency medical countermeasures by going to (or being “pulled” to) an EDS. Pull-method dispensing is also referred to as “open” EDS</w:t>
      </w:r>
      <w:r w:rsidR="00892D2F">
        <w:t xml:space="preserve"> that serves the general public</w:t>
      </w:r>
      <w:r>
        <w:t>. Once at the EDS, there are several models that can be used to dispense to clients.</w:t>
      </w:r>
    </w:p>
    <w:p w14:paraId="1CB2AACE" w14:textId="77777777" w:rsidR="006D0D34" w:rsidRPr="005D6129" w:rsidRDefault="006D0D34" w:rsidP="006D0D34">
      <w:pPr>
        <w:pStyle w:val="Heading4"/>
        <w:rPr>
          <w:color w:val="auto"/>
        </w:rPr>
      </w:pPr>
      <w:r w:rsidRPr="005D6129">
        <w:rPr>
          <w:color w:val="auto"/>
        </w:rPr>
        <w:t>Head of Household Model</w:t>
      </w:r>
    </w:p>
    <w:p w14:paraId="0D4F56B7" w14:textId="77777777" w:rsidR="006D0D34" w:rsidRDefault="006D0D34" w:rsidP="006D0D34">
      <w:r w:rsidRPr="00D600F2">
        <w:t xml:space="preserve">Head of </w:t>
      </w:r>
      <w:r w:rsidRPr="006F5297">
        <w:t>Household (HOH) dispensing</w:t>
      </w:r>
      <w:r>
        <w:t xml:space="preserve"> can significantly reduce the number of EDS clients by allowing an individual from each household to pick up medication for all household members. HOH dispensing is </w:t>
      </w:r>
      <w:r w:rsidRPr="00D51D27">
        <w:rPr>
          <w:u w:val="single"/>
        </w:rPr>
        <w:t>not</w:t>
      </w:r>
      <w:r>
        <w:t xml:space="preserve"> used in incidents that require all household members to be seen at the EDS (e.g. vaccine dispensing). When using the HOH model, EDS staff should account for and allow exceptions, including:</w:t>
      </w:r>
    </w:p>
    <w:p w14:paraId="37BE5A19" w14:textId="77777777" w:rsidR="006D0D34" w:rsidRDefault="006D0D34" w:rsidP="006D0D34">
      <w:pPr>
        <w:pStyle w:val="ListParagraph"/>
        <w:numPr>
          <w:ilvl w:val="0"/>
          <w:numId w:val="10"/>
        </w:numPr>
      </w:pPr>
      <w:r>
        <w:t>Unaccompanied minors</w:t>
      </w:r>
    </w:p>
    <w:p w14:paraId="1C934857" w14:textId="77777777" w:rsidR="006D0D34" w:rsidRDefault="006D0D34" w:rsidP="006D0D34">
      <w:pPr>
        <w:pStyle w:val="ListParagraph"/>
        <w:numPr>
          <w:ilvl w:val="0"/>
          <w:numId w:val="10"/>
        </w:numPr>
      </w:pPr>
      <w:r>
        <w:t>Single parents who may need to bring their children</w:t>
      </w:r>
    </w:p>
    <w:p w14:paraId="594AE5E7" w14:textId="77777777" w:rsidR="006D0D34" w:rsidRDefault="006D0D34" w:rsidP="006D0D34">
      <w:pPr>
        <w:pStyle w:val="ListParagraph"/>
        <w:numPr>
          <w:ilvl w:val="0"/>
          <w:numId w:val="10"/>
        </w:numPr>
      </w:pPr>
      <w:r>
        <w:t>In-home caregivers to older adults and persons with access and functional needs</w:t>
      </w:r>
    </w:p>
    <w:p w14:paraId="2962C6E1" w14:textId="77777777" w:rsidR="006D0D34" w:rsidRDefault="006D0D34" w:rsidP="006D0D34">
      <w:r>
        <w:lastRenderedPageBreak/>
        <w:t>Unless it is deemed necessary through incident action planning (e.g. limited resource availability), the MDPH does not limit the number of bottles of medication that an individual can receive. The EDS Dispensing Staff should evaluate each individual request for multiple unit-of-use bottles and make a clinical determination on the number to dispense.</w:t>
      </w:r>
    </w:p>
    <w:p w14:paraId="4D747829" w14:textId="77777777" w:rsidR="00F17724" w:rsidRDefault="00F17724" w:rsidP="006D0D34">
      <w:pPr>
        <w:rPr>
          <w:b/>
          <w:u w:val="single"/>
        </w:rPr>
      </w:pPr>
    </w:p>
    <w:p w14:paraId="08328F3F" w14:textId="77777777" w:rsidR="006D0D34" w:rsidRDefault="006D0D34" w:rsidP="006D0D34">
      <w:r w:rsidRPr="00E56769">
        <w:rPr>
          <w:b/>
          <w:u w:val="single"/>
        </w:rPr>
        <w:t>Pre-Event Planning</w:t>
      </w:r>
    </w:p>
    <w:p w14:paraId="16AE08E7" w14:textId="77777777" w:rsidR="006D0D34" w:rsidRPr="00E56769" w:rsidRDefault="006D0D34" w:rsidP="006D0D34">
      <w:pPr>
        <w:rPr>
          <w:b/>
          <w:u w:val="single"/>
        </w:rPr>
      </w:pPr>
      <w:r>
        <w:t xml:space="preserve">Local health should review community demographics to estimate average family and household size. In situations where resources are limited, these averages can be used to determine the number of bottles of medication dispensed to each household. Household and family </w:t>
      </w:r>
      <w:r w:rsidR="00EE5BB8">
        <w:t>estimates are</w:t>
      </w:r>
      <w:r>
        <w:t xml:space="preserve"> available through the </w:t>
      </w:r>
      <w:hyperlink r:id="rId16" w:history="1">
        <w:r w:rsidRPr="008B6F45">
          <w:rPr>
            <w:rStyle w:val="Hyperlink"/>
          </w:rPr>
          <w:t>American Community Survey</w:t>
        </w:r>
      </w:hyperlink>
      <w:r w:rsidR="00F17724">
        <w:rPr>
          <w:rStyle w:val="FootnoteReference"/>
          <w:color w:val="0563C1" w:themeColor="hyperlink"/>
          <w:u w:val="single"/>
        </w:rPr>
        <w:footnoteReference w:id="8"/>
      </w:r>
      <w:r>
        <w:t xml:space="preserve"> (U.S. Census Bureau).</w:t>
      </w:r>
      <w:r w:rsidR="00750011">
        <w:t xml:space="preserve"> More information about demographic information in the American Community Survey is provided in Section 5: Plan Development and Maintenance.</w:t>
      </w:r>
    </w:p>
    <w:p w14:paraId="2D98556B" w14:textId="77777777" w:rsidR="006D0D34" w:rsidRPr="005D6129" w:rsidRDefault="006D0D34" w:rsidP="006D0D34">
      <w:pPr>
        <w:pStyle w:val="Heading4"/>
        <w:rPr>
          <w:color w:val="auto"/>
        </w:rPr>
      </w:pPr>
      <w:r w:rsidRPr="005D6129">
        <w:rPr>
          <w:color w:val="auto"/>
        </w:rPr>
        <w:t>Drive-Thru Model</w:t>
      </w:r>
    </w:p>
    <w:p w14:paraId="4811B8FF" w14:textId="77777777" w:rsidR="006D0D34" w:rsidRDefault="006D0D34" w:rsidP="006D0D34">
      <w:r>
        <w:t>Drive-thru dispensing pulls clients to an announced location where they receive the medication or vaccine while remaining in their vehicle. When used in combination with a walk-thru EDS, drive-thru dispensing could be used to expedite dispensing for clients who completed their registration forms online or used to improve service for individuals with access and functional needs by allowing them to remain in their vehicle. If used as a stand-alone model, drive-thru dispensing requires additional planning for individuals who lack transportation (i.e. no vehicle households).</w:t>
      </w:r>
    </w:p>
    <w:p w14:paraId="6AF2E148" w14:textId="77777777" w:rsidR="006D0D34" w:rsidRDefault="006D0D34" w:rsidP="006D0D34">
      <w:r>
        <w:rPr>
          <w:b/>
          <w:u w:val="single"/>
        </w:rPr>
        <w:t>Pre-Event Planning</w:t>
      </w:r>
    </w:p>
    <w:p w14:paraId="02B96E69" w14:textId="77777777" w:rsidR="006D0D34" w:rsidRDefault="006D0D34" w:rsidP="006D0D34">
      <w:r>
        <w:t>When planning for a drive-thru EDS, local health should develop plans, policies, and procedures with assigned roles to address:</w:t>
      </w:r>
    </w:p>
    <w:p w14:paraId="1ECD7150" w14:textId="77777777" w:rsidR="006D0D34" w:rsidRDefault="006D0D34" w:rsidP="006D0D34">
      <w:pPr>
        <w:pStyle w:val="ListParagraph"/>
        <w:numPr>
          <w:ilvl w:val="0"/>
          <w:numId w:val="11"/>
        </w:numPr>
      </w:pPr>
      <w:r>
        <w:t>Drive-thru location and its queued vehicle capacity</w:t>
      </w:r>
    </w:p>
    <w:p w14:paraId="4A80C243" w14:textId="77777777" w:rsidR="006D0D34" w:rsidRDefault="006D0D34" w:rsidP="006D0D34">
      <w:pPr>
        <w:pStyle w:val="ListParagraph"/>
        <w:numPr>
          <w:ilvl w:val="0"/>
          <w:numId w:val="11"/>
        </w:numPr>
      </w:pPr>
      <w:r>
        <w:t>Dispensing layout, traffic flow, and waiting areas</w:t>
      </w:r>
    </w:p>
    <w:p w14:paraId="48A957A9" w14:textId="77777777" w:rsidR="006D0D34" w:rsidRDefault="006D0D34" w:rsidP="006D0D34">
      <w:pPr>
        <w:pStyle w:val="ListParagraph"/>
        <w:numPr>
          <w:ilvl w:val="0"/>
          <w:numId w:val="11"/>
        </w:numPr>
      </w:pPr>
      <w:r>
        <w:t>Driver and staff safety (e.g. vehicle and pedestrian accidents, carbon monoxide monitoring)</w:t>
      </w:r>
    </w:p>
    <w:p w14:paraId="2394C7A3" w14:textId="77777777" w:rsidR="006D0D34" w:rsidRDefault="006D0D34" w:rsidP="006D0D34">
      <w:pPr>
        <w:pStyle w:val="ListParagraph"/>
        <w:numPr>
          <w:ilvl w:val="0"/>
          <w:numId w:val="11"/>
        </w:numPr>
      </w:pPr>
      <w:r>
        <w:t>Stalled vehicles (e.g. towing, refueling, etc.)</w:t>
      </w:r>
    </w:p>
    <w:p w14:paraId="1DBB7881" w14:textId="77777777" w:rsidR="006D0D34" w:rsidRDefault="006D0D34" w:rsidP="006D0D34">
      <w:pPr>
        <w:pStyle w:val="ListParagraph"/>
        <w:numPr>
          <w:ilvl w:val="0"/>
          <w:numId w:val="11"/>
        </w:numPr>
      </w:pPr>
      <w:r>
        <w:t>Inclement weather (e.g. limit use to certain weather types, use of covered structures or tents, etc.)</w:t>
      </w:r>
    </w:p>
    <w:p w14:paraId="3C0AC0DC" w14:textId="77777777" w:rsidR="006D0D34" w:rsidRDefault="006D0D34" w:rsidP="006D0D34">
      <w:pPr>
        <w:pStyle w:val="ListParagraph"/>
        <w:numPr>
          <w:ilvl w:val="0"/>
          <w:numId w:val="11"/>
        </w:numPr>
      </w:pPr>
      <w:r>
        <w:t>Resource requirements (e.g. traffic cones, barriers, sign boards, etc.)</w:t>
      </w:r>
    </w:p>
    <w:p w14:paraId="03958327" w14:textId="77777777" w:rsidR="006D0D34" w:rsidRDefault="006D0D34" w:rsidP="006D0D34">
      <w:pPr>
        <w:pStyle w:val="ListParagraph"/>
        <w:numPr>
          <w:ilvl w:val="0"/>
          <w:numId w:val="11"/>
        </w:numPr>
      </w:pPr>
      <w:r>
        <w:t>Transportation resources for individuals who lack vehicle access (e.g. public transportation, school buses, etc.)</w:t>
      </w:r>
    </w:p>
    <w:p w14:paraId="19D530BC" w14:textId="77777777" w:rsidR="006D0D34" w:rsidRPr="00723D54" w:rsidRDefault="006D0D34" w:rsidP="006D0D34">
      <w:pPr>
        <w:rPr>
          <w:b/>
          <w:u w:val="single"/>
        </w:rPr>
      </w:pPr>
      <w:r w:rsidRPr="00723D54">
        <w:rPr>
          <w:b/>
          <w:u w:val="single"/>
        </w:rPr>
        <w:t>Resources</w:t>
      </w:r>
    </w:p>
    <w:p w14:paraId="22BB4D4D" w14:textId="77777777" w:rsidR="006D0D34" w:rsidRPr="00F418E5" w:rsidRDefault="006D0D34" w:rsidP="006D0D34">
      <w:r>
        <w:t xml:space="preserve">No-vehicle household estimates </w:t>
      </w:r>
      <w:r w:rsidR="00750011">
        <w:t xml:space="preserve">can be found in </w:t>
      </w:r>
      <w:r>
        <w:t xml:space="preserve">table </w:t>
      </w:r>
      <w:r w:rsidR="00EE5BB8">
        <w:t>B08201 through</w:t>
      </w:r>
      <w:r>
        <w:t xml:space="preserve"> the </w:t>
      </w:r>
      <w:hyperlink r:id="rId17" w:history="1">
        <w:r w:rsidRPr="008B6F45">
          <w:rPr>
            <w:rStyle w:val="Hyperlink"/>
          </w:rPr>
          <w:t>American Community Survey</w:t>
        </w:r>
      </w:hyperlink>
      <w:r w:rsidR="00F17724">
        <w:rPr>
          <w:rStyle w:val="FootnoteReference"/>
          <w:color w:val="0563C1" w:themeColor="hyperlink"/>
          <w:u w:val="single"/>
        </w:rPr>
        <w:footnoteReference w:id="9"/>
      </w:r>
      <w:r>
        <w:t xml:space="preserve"> (U.S. Census Bureau).</w:t>
      </w:r>
    </w:p>
    <w:p w14:paraId="069154E0" w14:textId="77777777" w:rsidR="006D0D34" w:rsidRPr="005D6129" w:rsidRDefault="006D0D34" w:rsidP="006D0D34">
      <w:pPr>
        <w:pStyle w:val="Heading4"/>
        <w:rPr>
          <w:color w:val="auto"/>
        </w:rPr>
      </w:pPr>
      <w:r w:rsidRPr="005D6129">
        <w:rPr>
          <w:color w:val="auto"/>
        </w:rPr>
        <w:t>Regional Model</w:t>
      </w:r>
    </w:p>
    <w:p w14:paraId="1071B6F2" w14:textId="77777777" w:rsidR="006D0D34" w:rsidRDefault="006D0D34" w:rsidP="006D0D34">
      <w:r w:rsidRPr="00A80001">
        <w:t xml:space="preserve">Neighboring communities may choose to collaborate and develop a regional </w:t>
      </w:r>
      <w:r>
        <w:t xml:space="preserve">EDS plan and </w:t>
      </w:r>
      <w:r w:rsidRPr="00A80001">
        <w:t>designat</w:t>
      </w:r>
      <w:r>
        <w:t>e</w:t>
      </w:r>
      <w:r w:rsidRPr="00A80001">
        <w:t xml:space="preserve"> a regional EDS.</w:t>
      </w:r>
      <w:r>
        <w:t xml:space="preserve"> There are several benefits to this approach, especially for smaller communities or agencies with limited resources. When adopting this model, partnering communities and agencies </w:t>
      </w:r>
      <w:r w:rsidR="00646F75">
        <w:t>should develop</w:t>
      </w:r>
      <w:r>
        <w:t xml:space="preserve"> a written agreement regarding command and control of </w:t>
      </w:r>
      <w:r>
        <w:lastRenderedPageBreak/>
        <w:t>operations and a plan with clearly defined roles and responsibilities. A regional EDS may also require additional planning for client transportation to the EDS location.</w:t>
      </w:r>
    </w:p>
    <w:p w14:paraId="758423C6" w14:textId="77777777" w:rsidR="006D0D34" w:rsidRPr="005D6129" w:rsidRDefault="006D0D34" w:rsidP="006D0D34">
      <w:pPr>
        <w:pStyle w:val="Heading4"/>
        <w:rPr>
          <w:color w:val="auto"/>
        </w:rPr>
      </w:pPr>
      <w:bookmarkStart w:id="16" w:name="_Concurrent_Dispensing_Model"/>
      <w:bookmarkEnd w:id="16"/>
      <w:r w:rsidRPr="005D6129">
        <w:rPr>
          <w:color w:val="auto"/>
        </w:rPr>
        <w:t>Concurrent Dispensing Model</w:t>
      </w:r>
    </w:p>
    <w:p w14:paraId="695D562B" w14:textId="77777777" w:rsidR="006D0D34" w:rsidRPr="00E7501C" w:rsidRDefault="006D0D34" w:rsidP="006D0D34">
      <w:r w:rsidRPr="00CB4CF6">
        <w:t>Concurrent dispensing describes a situation where both medication and vaccine are dispensed from the EDS at the same time.</w:t>
      </w:r>
      <w:r>
        <w:t xml:space="preserve"> </w:t>
      </w:r>
      <w:r w:rsidRPr="00CB4CF6">
        <w:t>This</w:t>
      </w:r>
      <w:r>
        <w:t xml:space="preserve"> model is further explored in the EDS Planning Scenario for anthrax. In that scenario health officials may advise that the initial immediate MCM intervention is for medication dispensing and further advise vaccination in addition to dispensing the second round of medication as the EDS transitions to sustained operations. The concurrent dispensing model has a narrow application and represents a worst-case scenario.</w:t>
      </w:r>
    </w:p>
    <w:p w14:paraId="3CBF978C" w14:textId="77777777" w:rsidR="006D0D34" w:rsidRPr="005D6129" w:rsidRDefault="006D0D34" w:rsidP="006D0D34">
      <w:pPr>
        <w:pStyle w:val="Heading3"/>
        <w:rPr>
          <w:color w:val="002060"/>
        </w:rPr>
      </w:pPr>
      <w:bookmarkStart w:id="17" w:name="_Toc11832714"/>
      <w:r w:rsidRPr="005D6129">
        <w:rPr>
          <w:color w:val="002060"/>
        </w:rPr>
        <w:t>Push-Method Dispensing</w:t>
      </w:r>
      <w:bookmarkEnd w:id="17"/>
    </w:p>
    <w:p w14:paraId="1D25AD3A" w14:textId="77777777" w:rsidR="006D0D34" w:rsidRDefault="006D0D34" w:rsidP="006D0D34">
      <w:r>
        <w:t>Push-method dispensing is used to distribute or “push” the MCM to indiv</w:t>
      </w:r>
      <w:r w:rsidR="0070226E">
        <w:t>iduals in congregate settings (C</w:t>
      </w:r>
      <w:r>
        <w:t>losed EDS) or directly to homes (door-to-door).</w:t>
      </w:r>
    </w:p>
    <w:p w14:paraId="49735BF7" w14:textId="77777777" w:rsidR="006D0D34" w:rsidRPr="005D6129" w:rsidRDefault="006D0D34" w:rsidP="006D0D34">
      <w:pPr>
        <w:pStyle w:val="Heading4"/>
        <w:rPr>
          <w:color w:val="auto"/>
        </w:rPr>
      </w:pPr>
      <w:bookmarkStart w:id="18" w:name="_Closed_EDS_Model"/>
      <w:bookmarkEnd w:id="18"/>
      <w:r w:rsidRPr="005D6129">
        <w:rPr>
          <w:color w:val="auto"/>
        </w:rPr>
        <w:t>Closed EDS Model</w:t>
      </w:r>
    </w:p>
    <w:p w14:paraId="699C0106" w14:textId="77777777" w:rsidR="006D0D34" w:rsidRDefault="006D0D34" w:rsidP="006D0D34">
      <w:r>
        <w:t>A Closed EDS utilizes large businesses and residential settings and their staff to dispense MCM to a defined population. Ideally, a Closed EDS has on-site staff who are authorized to dispense. Absent that, dispensing at the Closed EDS may be performed by staff and volunteers who accompany the MCM (e.g. mobile dispensing team). Pre-dispensing functions, especially registration, can be performed by non-clinical staff at the Closed EDS prior to the arrival of the MCM and dispensing staff. Developing Closed EDS agreements for large businesses and residential settings can:</w:t>
      </w:r>
    </w:p>
    <w:p w14:paraId="20E02B68" w14:textId="77777777" w:rsidR="006D0D34" w:rsidRDefault="006D0D34" w:rsidP="00DD5155">
      <w:pPr>
        <w:pStyle w:val="ListParagraph"/>
        <w:numPr>
          <w:ilvl w:val="0"/>
          <w:numId w:val="13"/>
        </w:numPr>
      </w:pPr>
      <w:r>
        <w:t>Decrease the demand for services at the public EDS</w:t>
      </w:r>
    </w:p>
    <w:p w14:paraId="52EE01A8" w14:textId="77777777" w:rsidR="006D0D34" w:rsidRDefault="006D0D34" w:rsidP="00DD5155">
      <w:pPr>
        <w:pStyle w:val="ListParagraph"/>
        <w:numPr>
          <w:ilvl w:val="0"/>
          <w:numId w:val="13"/>
        </w:numPr>
      </w:pPr>
      <w:r>
        <w:t>Decrease logistics and transportation challenges for congregate populations</w:t>
      </w:r>
    </w:p>
    <w:p w14:paraId="0FC271CF" w14:textId="77777777" w:rsidR="006D0D34" w:rsidRDefault="006D0D34" w:rsidP="00DD5155">
      <w:pPr>
        <w:pStyle w:val="ListParagraph"/>
        <w:numPr>
          <w:ilvl w:val="0"/>
          <w:numId w:val="13"/>
        </w:numPr>
      </w:pPr>
      <w:r>
        <w:t>Provide emergency services in a familiar, comfortable, or required setting</w:t>
      </w:r>
    </w:p>
    <w:p w14:paraId="3194DBA1" w14:textId="77777777" w:rsidR="006D0D34" w:rsidRDefault="006D0D34" w:rsidP="00DD5155">
      <w:pPr>
        <w:pStyle w:val="ListParagraph"/>
        <w:numPr>
          <w:ilvl w:val="0"/>
          <w:numId w:val="13"/>
        </w:numPr>
      </w:pPr>
      <w:r>
        <w:t>Increase available staff to assist with pre-dispensing and dispensing functions</w:t>
      </w:r>
    </w:p>
    <w:p w14:paraId="36BA89A1" w14:textId="77777777" w:rsidR="006D0D34" w:rsidRDefault="006D0D34" w:rsidP="00DD5155">
      <w:pPr>
        <w:pStyle w:val="ListParagraph"/>
        <w:numPr>
          <w:ilvl w:val="0"/>
          <w:numId w:val="13"/>
        </w:numPr>
      </w:pPr>
      <w:r>
        <w:t>Support individuals with access and functional needs</w:t>
      </w:r>
    </w:p>
    <w:p w14:paraId="2D3EACAC" w14:textId="5F5C422D" w:rsidR="006D0D34" w:rsidRDefault="006D0D34" w:rsidP="006D0D34">
      <w:r>
        <w:t xml:space="preserve">Examples of large residential settings include nursing homes, schools and colleges, and prisons and jails. The MDPH is responsible for MCM distribution to </w:t>
      </w:r>
      <w:r w:rsidR="00C27B6A">
        <w:t xml:space="preserve">most military bases and </w:t>
      </w:r>
      <w:r>
        <w:t xml:space="preserve">Massachusetts Department of Correction facilities </w:t>
      </w:r>
      <w:r w:rsidR="00AF45A8">
        <w:t>which will function as state-supported</w:t>
      </w:r>
      <w:r>
        <w:t xml:space="preserve"> Closed EDS operations.</w:t>
      </w:r>
    </w:p>
    <w:p w14:paraId="58730B63" w14:textId="77777777" w:rsidR="00354795" w:rsidRDefault="00354795" w:rsidP="006D0D34"/>
    <w:p w14:paraId="5088CB0D" w14:textId="77777777" w:rsidR="00354795" w:rsidRDefault="00354795" w:rsidP="00354795">
      <w:r w:rsidRPr="00290AEC">
        <w:rPr>
          <w:b/>
          <w:u w:val="single"/>
        </w:rPr>
        <w:t>Resources</w:t>
      </w:r>
    </w:p>
    <w:p w14:paraId="2AE295C1" w14:textId="46E0D1EE" w:rsidR="00354795" w:rsidRPr="00354795" w:rsidRDefault="00637775" w:rsidP="00354795">
      <w:hyperlink w:anchor="_Planning_for_and" w:history="1">
        <w:r w:rsidR="00921334" w:rsidRPr="00921334">
          <w:rPr>
            <w:rStyle w:val="Hyperlink"/>
          </w:rPr>
          <w:t>Planning for and Establishing a Closed Emergency Dispensing Site (EDS)</w:t>
        </w:r>
      </w:hyperlink>
      <w:r w:rsidR="00354795" w:rsidRPr="00354795">
        <w:t xml:space="preserve"> </w:t>
      </w:r>
    </w:p>
    <w:p w14:paraId="5197D365" w14:textId="77777777" w:rsidR="006D0D34" w:rsidRPr="005D6129" w:rsidRDefault="006D0D34" w:rsidP="006D0D34">
      <w:pPr>
        <w:pStyle w:val="Heading4"/>
        <w:rPr>
          <w:color w:val="auto"/>
        </w:rPr>
      </w:pPr>
      <w:bookmarkStart w:id="19" w:name="_Direct_Distribution_(Postal)"/>
      <w:bookmarkEnd w:id="19"/>
      <w:r w:rsidRPr="005D6129">
        <w:rPr>
          <w:color w:val="auto"/>
        </w:rPr>
        <w:t>Door-to-Door Model</w:t>
      </w:r>
    </w:p>
    <w:p w14:paraId="4895B211" w14:textId="77777777" w:rsidR="006D0D34" w:rsidRPr="00916283" w:rsidRDefault="006D0D34" w:rsidP="006D0D34">
      <w:r w:rsidRPr="00916283">
        <w:t xml:space="preserve">Door-to-door or mobile dispensing can be performed </w:t>
      </w:r>
      <w:r>
        <w:t xml:space="preserve">for those who are unable to reach a public EDS </w:t>
      </w:r>
      <w:r w:rsidRPr="00916283">
        <w:t>using either the medical or non-medical approach to dispensing.</w:t>
      </w:r>
      <w:r>
        <w:t xml:space="preserve"> The EDS staff could include m</w:t>
      </w:r>
      <w:r w:rsidRPr="00916283">
        <w:t>obil</w:t>
      </w:r>
      <w:r>
        <w:t>e dispensing t</w:t>
      </w:r>
      <w:r w:rsidRPr="00916283">
        <w:t xml:space="preserve">eams that bring MCM to places </w:t>
      </w:r>
      <w:r>
        <w:t>such as</w:t>
      </w:r>
      <w:r w:rsidRPr="00916283">
        <w:t xml:space="preserve"> </w:t>
      </w:r>
      <w:r>
        <w:t xml:space="preserve">hotels, </w:t>
      </w:r>
      <w:r w:rsidRPr="00916283">
        <w:t>large housing developments</w:t>
      </w:r>
      <w:r>
        <w:t>, or homebound populations</w:t>
      </w:r>
      <w:r w:rsidRPr="00916283">
        <w:t xml:space="preserve"> and dispense them. Alternatively, the local community could collaborate with partner agencies that routinely provide in-home and other clients services to dispense MCM to their clients. Examples include Visiting Nurse </w:t>
      </w:r>
      <w:r w:rsidRPr="00EA4F5B">
        <w:t>Associations (VNA), Meals</w:t>
      </w:r>
      <w:r w:rsidRPr="00916283">
        <w:t xml:space="preserve"> on Wheels, and agencies that serve individuals who are homebound or homeless.</w:t>
      </w:r>
    </w:p>
    <w:p w14:paraId="31DD10FD" w14:textId="77777777" w:rsidR="006D0D34" w:rsidRPr="005D6129" w:rsidRDefault="005D6129" w:rsidP="006D0D34">
      <w:pPr>
        <w:pStyle w:val="Heading2"/>
        <w:rPr>
          <w:color w:val="002060"/>
        </w:rPr>
      </w:pPr>
      <w:bookmarkStart w:id="20" w:name="_Toc11832715"/>
      <w:r w:rsidRPr="005D6129">
        <w:rPr>
          <w:color w:val="002060"/>
        </w:rPr>
        <w:lastRenderedPageBreak/>
        <w:t>MEDICAL COUNTERMEASURE DISPENSING SERVICES &amp; PROCESS</w:t>
      </w:r>
      <w:bookmarkEnd w:id="20"/>
    </w:p>
    <w:p w14:paraId="08E19973" w14:textId="77777777" w:rsidR="006D0D34" w:rsidRDefault="006D0D34" w:rsidP="006D0D34">
      <w:r>
        <w:t xml:space="preserve">In addition to the primary service of MCM dispensing, the EDS may provide secondary client services, including behavioral health, emergency treatment for allergic reactions, and Functional Needs Support </w:t>
      </w:r>
      <w:r w:rsidRPr="00EA4F5B">
        <w:t>Services (FNSS). While</w:t>
      </w:r>
      <w:r>
        <w:t xml:space="preserve"> most clients are not likely to need or request these secondary services, the accessibility, efficiency, and safety of MCM dispensing operations are greatly improved by their availability at the EDS.</w:t>
      </w:r>
    </w:p>
    <w:p w14:paraId="51C87498" w14:textId="77777777" w:rsidR="006D0D34" w:rsidRDefault="006D0D34" w:rsidP="006D0D34">
      <w:r>
        <w:t>Once at the EDS, most clients will follow a simple basic process to receive the recommended MCM. The basic EDS process is described in four steps: 1) Intake; 2) Screening; 3) Dispense/Vaccinate; and 4) Forms Collection/Exit. Some clients and certain scenarios may require additional steps to receive the MCM. The following are descriptions of each step in the dispensing process and stations that can be used and scaled to meet the operational needs. Generally, it is recommended that all stations be used during an MCM response to meet the broadest possible client needs and to improve client flow through the EDS.</w:t>
      </w:r>
    </w:p>
    <w:p w14:paraId="122DBE51" w14:textId="77777777" w:rsidR="00354795" w:rsidRDefault="00354795" w:rsidP="006D0D34">
      <w:pPr>
        <w:rPr>
          <w:b/>
          <w:u w:val="single"/>
        </w:rPr>
      </w:pPr>
    </w:p>
    <w:p w14:paraId="7FEAEDC2" w14:textId="77777777" w:rsidR="006D0D34" w:rsidRDefault="006D0D34" w:rsidP="006D0D34">
      <w:r w:rsidRPr="00290AEC">
        <w:rPr>
          <w:b/>
          <w:u w:val="single"/>
        </w:rPr>
        <w:t>Resources</w:t>
      </w:r>
    </w:p>
    <w:p w14:paraId="72B01E7D" w14:textId="35A5C74C" w:rsidR="006D0D34" w:rsidRPr="00290AEC" w:rsidRDefault="00637775" w:rsidP="006D0D34">
      <w:hyperlink w:anchor="_Generic_Antibiotic_Emergency" w:history="1">
        <w:r w:rsidR="006D0D34" w:rsidRPr="00354795">
          <w:rPr>
            <w:rStyle w:val="Hyperlink"/>
          </w:rPr>
          <w:t>Dispensing Flow Diagrams</w:t>
        </w:r>
      </w:hyperlink>
      <w:r w:rsidR="006D0D34">
        <w:t xml:space="preserve"> </w:t>
      </w:r>
    </w:p>
    <w:p w14:paraId="698E9AB8" w14:textId="77777777" w:rsidR="006D0D34" w:rsidRPr="005D6129" w:rsidRDefault="006D0D34" w:rsidP="006D0D34">
      <w:pPr>
        <w:pStyle w:val="Heading3"/>
        <w:rPr>
          <w:color w:val="002060"/>
        </w:rPr>
      </w:pPr>
      <w:bookmarkStart w:id="21" w:name="_Toc11832716"/>
      <w:r w:rsidRPr="005D6129">
        <w:rPr>
          <w:color w:val="002060"/>
        </w:rPr>
        <w:t>Intake</w:t>
      </w:r>
      <w:bookmarkEnd w:id="21"/>
    </w:p>
    <w:p w14:paraId="1ED261AF" w14:textId="77777777" w:rsidR="006D0D34" w:rsidRPr="00E3241C" w:rsidRDefault="006D0D34" w:rsidP="006D0D34">
      <w:r>
        <w:t>During this step in the process, clients are oriented to the EDS, the MCM that they will receive, and other available services. Staff provides clients with the appropriate forms, explains how to complete them, and where to take them once completed.</w:t>
      </w:r>
    </w:p>
    <w:p w14:paraId="07FA2C14" w14:textId="77777777" w:rsidR="006D0D34" w:rsidRPr="005D6129" w:rsidRDefault="006D0D34" w:rsidP="006D0D34">
      <w:pPr>
        <w:pStyle w:val="Heading4"/>
        <w:rPr>
          <w:color w:val="auto"/>
        </w:rPr>
      </w:pPr>
      <w:r w:rsidRPr="005D6129">
        <w:rPr>
          <w:color w:val="auto"/>
        </w:rPr>
        <w:t>Greeting</w:t>
      </w:r>
    </w:p>
    <w:p w14:paraId="2379A2E8" w14:textId="77777777" w:rsidR="006D0D34" w:rsidRDefault="006D0D34" w:rsidP="006D0D34">
      <w:r>
        <w:t>Greeting Staff (Greeters) welcome clients to the EDS and direct them to where they will receive their forms, orientation, and education. Greeters identify clients with immediate medical needs and refer them to Triage</w:t>
      </w:r>
      <w:r w:rsidR="00646F75">
        <w:t xml:space="preserve">.  </w:t>
      </w:r>
      <w:r w:rsidR="00155BE3">
        <w:t>Unaccompanied minors and c</w:t>
      </w:r>
      <w:r>
        <w:t xml:space="preserve">lients exhibiting signs of stress </w:t>
      </w:r>
      <w:r w:rsidR="00646F75">
        <w:t xml:space="preserve">should be referred </w:t>
      </w:r>
      <w:r>
        <w:t>to Behavioral Health. Additionally, Greeters identify individuals with access and functional needs and connect them with appropriate FNSS (e.g. wheelchair, walker, interpreter, etc.) as early in the dispensing process as possible. To maintain client flow, Greeting Staff should be positioned in the parking area or exterior of the site and throughout the facility leading to where they will receive forms.</w:t>
      </w:r>
    </w:p>
    <w:p w14:paraId="0C6B5522" w14:textId="77777777" w:rsidR="006D0D34" w:rsidRPr="005D6129" w:rsidRDefault="006D0D34" w:rsidP="006D0D34">
      <w:pPr>
        <w:pStyle w:val="Heading4"/>
        <w:rPr>
          <w:color w:val="auto"/>
        </w:rPr>
      </w:pPr>
      <w:r w:rsidRPr="005D6129">
        <w:rPr>
          <w:color w:val="auto"/>
        </w:rPr>
        <w:t>Triage</w:t>
      </w:r>
    </w:p>
    <w:p w14:paraId="0CADAB55" w14:textId="77777777" w:rsidR="006D0D34" w:rsidRDefault="006D0D34" w:rsidP="006D0D34">
      <w:r>
        <w:t>Depending on the health threat, licensed medical professionals may triage EDS clients for exposure or symptoms and direct them to an alternate location for treatment or care. Triage Staff interview clients to determine possible exposure for referral to local health regarding possible quarantine measures and evaluate clients exhibiting signs or symptoms of illness for possible transport to a treatment center. Once a client is medically cleared by Triage Staff, they may return to the queue and proceed with the dispensing process. Triage Staff work closely with the Greeting Staff and are typically located within the same area of the EDS.</w:t>
      </w:r>
    </w:p>
    <w:p w14:paraId="7D929545" w14:textId="77777777" w:rsidR="006D0D34" w:rsidRPr="005D6129" w:rsidRDefault="006D0D34" w:rsidP="006D0D34">
      <w:pPr>
        <w:pStyle w:val="Heading4"/>
        <w:rPr>
          <w:color w:val="auto"/>
        </w:rPr>
      </w:pPr>
      <w:r w:rsidRPr="005D6129">
        <w:rPr>
          <w:color w:val="auto"/>
        </w:rPr>
        <w:t>Behavioral Health</w:t>
      </w:r>
    </w:p>
    <w:p w14:paraId="7B757D83" w14:textId="77777777" w:rsidR="006D0D34" w:rsidRDefault="006D0D34" w:rsidP="006D0D34">
      <w:r>
        <w:t>Behavioral Health Staff should be positioned throughout the EDS to identify client</w:t>
      </w:r>
      <w:r w:rsidR="008369F3">
        <w:t>s</w:t>
      </w:r>
      <w:r>
        <w:t xml:space="preserve"> and staff who need reassurance and emotional support. Behavioral Health Staff should have access to a quiet </w:t>
      </w:r>
      <w:r>
        <w:lastRenderedPageBreak/>
        <w:t>area that is somewhat removed from the dispensing process where they can provide support services or de</w:t>
      </w:r>
      <w:r w:rsidR="008369F3">
        <w:t>-</w:t>
      </w:r>
      <w:r>
        <w:t>escalate situations (when needed). The decision to remove a client from the EDS should involve both Behavioral Health Staff and Security Staff.</w:t>
      </w:r>
    </w:p>
    <w:p w14:paraId="655CF7C2" w14:textId="77777777" w:rsidR="006D0D34" w:rsidRPr="005D6129" w:rsidRDefault="006D0D34" w:rsidP="006D0D34">
      <w:pPr>
        <w:pStyle w:val="Heading4"/>
        <w:rPr>
          <w:color w:val="auto"/>
        </w:rPr>
      </w:pPr>
      <w:bookmarkStart w:id="22" w:name="_Toc476226294"/>
      <w:r w:rsidRPr="005D6129">
        <w:rPr>
          <w:color w:val="auto"/>
        </w:rPr>
        <w:t>Functional Needs Support Services</w:t>
      </w:r>
      <w:bookmarkEnd w:id="22"/>
      <w:r w:rsidRPr="005D6129">
        <w:rPr>
          <w:color w:val="auto"/>
        </w:rPr>
        <w:t xml:space="preserve"> (FNSS)</w:t>
      </w:r>
    </w:p>
    <w:p w14:paraId="3A99C058" w14:textId="77777777" w:rsidR="006D0D34" w:rsidRDefault="006D0D34" w:rsidP="006D0D34">
      <w:r w:rsidRPr="00914C87">
        <w:t xml:space="preserve">Early identification of functional needs </w:t>
      </w:r>
      <w:r>
        <w:t>connects</w:t>
      </w:r>
      <w:r w:rsidRPr="00914C87">
        <w:t xml:space="preserve"> the individual with appropriate support services </w:t>
      </w:r>
      <w:r>
        <w:t xml:space="preserve">so that they can </w:t>
      </w:r>
      <w:r w:rsidRPr="00914C87">
        <w:t>maintain their independence</w:t>
      </w:r>
      <w:r>
        <w:t xml:space="preserve"> while at the EDS and access the dispensing services. All EDS staff share responsibility for identifying and supporting individuals with access and functional needs. </w:t>
      </w:r>
    </w:p>
    <w:p w14:paraId="3774B4E7" w14:textId="77777777" w:rsidR="006B1122" w:rsidRDefault="006B1122" w:rsidP="006D0D34"/>
    <w:p w14:paraId="134CDFF5" w14:textId="77777777" w:rsidR="006D0D34" w:rsidRDefault="006D0D34" w:rsidP="006D0D34">
      <w:r>
        <w:t>Examples of FNSS that should be included in an EDS plan include:</w:t>
      </w:r>
    </w:p>
    <w:p w14:paraId="07386BE9" w14:textId="77777777" w:rsidR="006D0D34" w:rsidRDefault="006D0D34" w:rsidP="00DD5155">
      <w:pPr>
        <w:pStyle w:val="ListParagraph"/>
        <w:numPr>
          <w:ilvl w:val="0"/>
          <w:numId w:val="15"/>
        </w:numPr>
      </w:pPr>
      <w:r>
        <w:t>Clear and understandable instructions and information (e.g. use of pictograms and verbal announcements, large print, multiple language translation)</w:t>
      </w:r>
    </w:p>
    <w:p w14:paraId="1A907C13" w14:textId="77777777" w:rsidR="006D0D34" w:rsidRDefault="006D0D34" w:rsidP="00DD5155">
      <w:pPr>
        <w:pStyle w:val="ListParagraph"/>
        <w:numPr>
          <w:ilvl w:val="0"/>
          <w:numId w:val="15"/>
        </w:numPr>
      </w:pPr>
      <w:r>
        <w:t>Availability of interpreters (i.e. predominant languages, sign language)</w:t>
      </w:r>
    </w:p>
    <w:p w14:paraId="33F4A1BF" w14:textId="77777777" w:rsidR="006D0D34" w:rsidRDefault="006D0D34" w:rsidP="00DD5155">
      <w:pPr>
        <w:pStyle w:val="ListParagraph"/>
        <w:numPr>
          <w:ilvl w:val="0"/>
          <w:numId w:val="15"/>
        </w:numPr>
      </w:pPr>
      <w:r>
        <w:t xml:space="preserve">Availability of Durable Medical </w:t>
      </w:r>
      <w:r w:rsidRPr="00965CEB">
        <w:t>Equipment (DME) (e.</w:t>
      </w:r>
      <w:r>
        <w:t>g. wheelchairs, walkers, canes, etc.)</w:t>
      </w:r>
    </w:p>
    <w:p w14:paraId="4AEDE2BE" w14:textId="77777777" w:rsidR="006D0D34" w:rsidRDefault="006D0D34" w:rsidP="00DD5155">
      <w:pPr>
        <w:pStyle w:val="ListParagraph"/>
        <w:numPr>
          <w:ilvl w:val="0"/>
          <w:numId w:val="15"/>
        </w:numPr>
      </w:pPr>
      <w:r>
        <w:t>Maintaining clear pathways that accommodate mobility equipment</w:t>
      </w:r>
    </w:p>
    <w:p w14:paraId="2320825E" w14:textId="77777777" w:rsidR="006D0D34" w:rsidRDefault="006D0D34" w:rsidP="00DD5155">
      <w:pPr>
        <w:pStyle w:val="ListParagraph"/>
        <w:numPr>
          <w:ilvl w:val="0"/>
          <w:numId w:val="15"/>
        </w:numPr>
      </w:pPr>
      <w:r>
        <w:t>Accommodating clients accompanied by service animals and Personal Care Attendants (PCA)</w:t>
      </w:r>
    </w:p>
    <w:p w14:paraId="313626D7" w14:textId="77777777" w:rsidR="006D0D34" w:rsidRDefault="006D0D34" w:rsidP="00DD5155">
      <w:pPr>
        <w:pStyle w:val="ListParagraph"/>
        <w:numPr>
          <w:ilvl w:val="0"/>
          <w:numId w:val="15"/>
        </w:numPr>
      </w:pPr>
      <w:r>
        <w:t>Availability of accessible transportation services to and from the EDS</w:t>
      </w:r>
    </w:p>
    <w:p w14:paraId="057CE605" w14:textId="77777777" w:rsidR="006D0D34" w:rsidRDefault="006D0D34" w:rsidP="00DD5155">
      <w:pPr>
        <w:pStyle w:val="ListParagraph"/>
        <w:numPr>
          <w:ilvl w:val="0"/>
          <w:numId w:val="15"/>
        </w:numPr>
      </w:pPr>
      <w:r>
        <w:t>Modifying the EDS process, policies, and procedures (if needed)</w:t>
      </w:r>
    </w:p>
    <w:p w14:paraId="2390EE1D" w14:textId="77777777" w:rsidR="006D0D34" w:rsidRDefault="006D0D34" w:rsidP="006D0D34">
      <w:bookmarkStart w:id="23" w:name="EPHTP"/>
      <w:bookmarkEnd w:id="23"/>
      <w:r>
        <w:rPr>
          <w:b/>
          <w:u w:val="single"/>
        </w:rPr>
        <w:t>Resources</w:t>
      </w:r>
    </w:p>
    <w:p w14:paraId="0A0B8D07" w14:textId="77777777" w:rsidR="006D0D34" w:rsidRDefault="006D0D34" w:rsidP="006D0D34">
      <w:pPr>
        <w:pStyle w:val="PlainText"/>
        <w:rPr>
          <w:rStyle w:val="Hyperlink"/>
        </w:rPr>
      </w:pPr>
      <w:r>
        <w:t xml:space="preserve">The MDPH Bureau of Environmental Health (BEH) </w:t>
      </w:r>
      <w:r w:rsidR="008369F3">
        <w:t xml:space="preserve">has developed and maintains the </w:t>
      </w:r>
      <w:r w:rsidR="008369F3" w:rsidRPr="006519AB">
        <w:rPr>
          <w:i/>
        </w:rPr>
        <w:t>Environmental Public Health Tracking Portal</w:t>
      </w:r>
      <w:r w:rsidR="008369F3">
        <w:t xml:space="preserve"> (EPHTP)</w:t>
      </w:r>
      <w:r>
        <w:t xml:space="preserve">, which provides expansive information on each of the 351 communities in Massachusetts. Currently, the portal provides demographic data on income, race, age, and poverty as well as health data on asthma and heart attack rates. Additionally, there is information on environmental health including lead exposure, air quality, water quality, and heat exposure. Users can select their communities and explore the data on the website or export and print a PDF. BEH is working with </w:t>
      </w:r>
      <w:r w:rsidR="004D5098">
        <w:t>the Office of Preparedness and Emergency Management (</w:t>
      </w:r>
      <w:r>
        <w:t>OPEM</w:t>
      </w:r>
      <w:r w:rsidR="004D5098">
        <w:t>)</w:t>
      </w:r>
      <w:r>
        <w:t xml:space="preserve"> to expand the portal by adding data on vulnerable populations including language and disabilities. Website: </w:t>
      </w:r>
      <w:hyperlink r:id="rId18" w:history="1">
        <w:r>
          <w:rPr>
            <w:rStyle w:val="Hyperlink"/>
          </w:rPr>
          <w:t>https://matracking.ehs.state.ma.us/</w:t>
        </w:r>
      </w:hyperlink>
    </w:p>
    <w:p w14:paraId="782E0BBF" w14:textId="77777777" w:rsidR="006519AB" w:rsidRPr="006519AB" w:rsidRDefault="006519AB" w:rsidP="006D0D34">
      <w:pPr>
        <w:pStyle w:val="PlainText"/>
      </w:pPr>
    </w:p>
    <w:p w14:paraId="1985A629" w14:textId="77777777" w:rsidR="006D78E0" w:rsidRDefault="006519AB" w:rsidP="006519AB">
      <w:pPr>
        <w:rPr>
          <w:rFonts w:ascii="Calibri" w:hAnsi="Calibri" w:cs="Consolas"/>
          <w:sz w:val="22"/>
          <w:szCs w:val="21"/>
        </w:rPr>
      </w:pPr>
      <w:r>
        <w:rPr>
          <w:rFonts w:ascii="Calibri" w:hAnsi="Calibri" w:cs="Consolas"/>
          <w:sz w:val="22"/>
          <w:szCs w:val="21"/>
        </w:rPr>
        <w:t xml:space="preserve">Additionally, </w:t>
      </w:r>
      <w:r w:rsidR="006D78E0">
        <w:rPr>
          <w:rFonts w:ascii="Calibri" w:hAnsi="Calibri" w:cs="Consolas"/>
          <w:sz w:val="22"/>
          <w:szCs w:val="21"/>
        </w:rPr>
        <w:t>OPEM</w:t>
      </w:r>
      <w:r w:rsidRPr="006519AB">
        <w:rPr>
          <w:rFonts w:ascii="Calibri" w:hAnsi="Calibri" w:cs="Consolas"/>
          <w:sz w:val="22"/>
          <w:szCs w:val="21"/>
        </w:rPr>
        <w:t xml:space="preserve"> collaborated with </w:t>
      </w:r>
      <w:r w:rsidR="006D78E0">
        <w:rPr>
          <w:rFonts w:ascii="Calibri" w:hAnsi="Calibri" w:cs="Consolas"/>
          <w:sz w:val="22"/>
          <w:szCs w:val="21"/>
        </w:rPr>
        <w:t>BEH</w:t>
      </w:r>
      <w:r w:rsidRPr="006519AB">
        <w:rPr>
          <w:rFonts w:ascii="Calibri" w:hAnsi="Calibri" w:cs="Consolas"/>
          <w:sz w:val="22"/>
          <w:szCs w:val="21"/>
        </w:rPr>
        <w:t xml:space="preserve"> to create the </w:t>
      </w:r>
      <w:r w:rsidRPr="006519AB">
        <w:rPr>
          <w:rFonts w:ascii="Calibri" w:hAnsi="Calibri" w:cs="Consolas"/>
          <w:i/>
          <w:sz w:val="22"/>
          <w:szCs w:val="21"/>
        </w:rPr>
        <w:t>Emergency Preparedness Portal</w:t>
      </w:r>
      <w:r w:rsidRPr="006519AB">
        <w:rPr>
          <w:rFonts w:ascii="Calibri" w:hAnsi="Calibri" w:cs="Consolas"/>
          <w:sz w:val="22"/>
          <w:szCs w:val="21"/>
        </w:rPr>
        <w:t xml:space="preserve">. This tool, modeled off of the BEH Environmental Profiles, provides data gleaned from the American Community Survey for each community and census tract in Massachusetts and aggregate data for each Health and Medical Coordinating Coalition in the Commonwealth. The profiles in the portal feature summarized information on disability, transportation, age, poverty, and limited English proficiency along with mapping of critical infrastructure and locations of hospitals, long term care facilities, police, and fire stations. </w:t>
      </w:r>
      <w:r>
        <w:rPr>
          <w:rFonts w:ascii="Calibri" w:hAnsi="Calibri" w:cs="Consolas"/>
          <w:sz w:val="22"/>
          <w:szCs w:val="21"/>
        </w:rPr>
        <w:t xml:space="preserve"> </w:t>
      </w:r>
    </w:p>
    <w:p w14:paraId="37442B77" w14:textId="77777777" w:rsidR="006519AB" w:rsidRDefault="006519AB" w:rsidP="006519AB">
      <w:pPr>
        <w:rPr>
          <w:rFonts w:ascii="Times New Roman" w:hAnsi="Times New Roman"/>
        </w:rPr>
      </w:pPr>
      <w:r>
        <w:rPr>
          <w:rFonts w:ascii="Calibri" w:hAnsi="Calibri" w:cs="Consolas"/>
          <w:sz w:val="22"/>
          <w:szCs w:val="21"/>
        </w:rPr>
        <w:t xml:space="preserve">Website: </w:t>
      </w:r>
      <w:hyperlink r:id="rId19" w:history="1">
        <w:r>
          <w:rPr>
            <w:rStyle w:val="Hyperlink"/>
          </w:rPr>
          <w:t>https://www.mass.gov/orgs/office-of-preparedness-and-emergency-management</w:t>
        </w:r>
      </w:hyperlink>
    </w:p>
    <w:p w14:paraId="4D445364" w14:textId="77777777" w:rsidR="006519AB" w:rsidRDefault="006519AB" w:rsidP="006D0D34">
      <w:pPr>
        <w:pStyle w:val="PlainText"/>
        <w:rPr>
          <w:rStyle w:val="Hyperlink"/>
        </w:rPr>
      </w:pPr>
    </w:p>
    <w:p w14:paraId="513FF107" w14:textId="77777777" w:rsidR="006D0D34" w:rsidRDefault="006D0D34" w:rsidP="006D0D34">
      <w:pPr>
        <w:pStyle w:val="Heading4"/>
      </w:pPr>
      <w:r>
        <w:t>Orientation &amp; Education</w:t>
      </w:r>
    </w:p>
    <w:p w14:paraId="1D0E813F" w14:textId="77777777" w:rsidR="006D0D34" w:rsidRDefault="006D0D34" w:rsidP="006D0D34">
      <w:r>
        <w:t xml:space="preserve">Orientation and Education Staff distribute client forms and information on the health threat and the recommended MCM and describe the EDS process. Orientation and Education Staff also instruct clients on how to complete their forms and assist them to do so when needed. If time and space permit, this can be done as a briefing to groups of clients. Client briefing areas also serve as a holding location to better manage client flow and reduce bottlenecks. Once clients complete their </w:t>
      </w:r>
      <w:r>
        <w:lastRenderedPageBreak/>
        <w:t>forms and orientation, they are referred to registration for form review and screening (if needed). This step can be modified or omitted in situations where increasing client throughput is necessary or staffing is limited.</w:t>
      </w:r>
    </w:p>
    <w:p w14:paraId="50811059" w14:textId="77777777" w:rsidR="006D78E0" w:rsidRDefault="006D78E0" w:rsidP="006D0D34">
      <w:pPr>
        <w:rPr>
          <w:b/>
          <w:u w:val="single"/>
        </w:rPr>
      </w:pPr>
    </w:p>
    <w:p w14:paraId="025D0499" w14:textId="77777777" w:rsidR="006D0D34" w:rsidRDefault="006D0D34" w:rsidP="006D0D34">
      <w:r>
        <w:rPr>
          <w:b/>
          <w:u w:val="single"/>
        </w:rPr>
        <w:t>Resources</w:t>
      </w:r>
    </w:p>
    <w:p w14:paraId="45860207" w14:textId="0871A846" w:rsidR="006D0D34" w:rsidRDefault="00637775" w:rsidP="006D0D34">
      <w:hyperlink w:anchor="_Name_Address_Personal" w:history="1">
        <w:r w:rsidR="006D0D34" w:rsidRPr="00ED3413">
          <w:rPr>
            <w:rStyle w:val="Hyperlink"/>
          </w:rPr>
          <w:t>Name Address Personal History (NAPH) Registration Form</w:t>
        </w:r>
      </w:hyperlink>
      <w:r w:rsidR="006D0D34" w:rsidRPr="00DE6314">
        <w:t xml:space="preserve"> </w:t>
      </w:r>
    </w:p>
    <w:p w14:paraId="3F5741B0" w14:textId="77777777" w:rsidR="00312E2F" w:rsidRPr="00846F9C" w:rsidRDefault="00637775" w:rsidP="006D0D34">
      <w:hyperlink r:id="rId20" w:history="1">
        <w:r w:rsidR="00312E2F" w:rsidRPr="009A2DE5">
          <w:rPr>
            <w:rStyle w:val="Hyperlink"/>
          </w:rPr>
          <w:t>Show Me Communication Tool for Emergency Shelters</w:t>
        </w:r>
      </w:hyperlink>
      <w:r w:rsidR="00312E2F">
        <w:rPr>
          <w:rStyle w:val="FootnoteReference"/>
          <w:color w:val="0563C1" w:themeColor="hyperlink"/>
          <w:u w:val="single"/>
        </w:rPr>
        <w:footnoteReference w:id="10"/>
      </w:r>
      <w:r w:rsidR="00312E2F">
        <w:t xml:space="preserve"> </w:t>
      </w:r>
    </w:p>
    <w:p w14:paraId="117FD5A8" w14:textId="77777777" w:rsidR="006D0D34" w:rsidRPr="005D6129" w:rsidRDefault="006D0D34" w:rsidP="006D0D34">
      <w:pPr>
        <w:pStyle w:val="Heading3"/>
        <w:rPr>
          <w:color w:val="002060"/>
        </w:rPr>
      </w:pPr>
      <w:bookmarkStart w:id="24" w:name="_Toc11832717"/>
      <w:r w:rsidRPr="005D6129">
        <w:rPr>
          <w:color w:val="002060"/>
        </w:rPr>
        <w:t>Screening</w:t>
      </w:r>
      <w:bookmarkEnd w:id="24"/>
    </w:p>
    <w:p w14:paraId="70344F5E" w14:textId="77777777" w:rsidR="006D0D34" w:rsidRPr="003F4877" w:rsidRDefault="006D0D34" w:rsidP="006D0D34">
      <w:r>
        <w:t>During this step in the process, clients present their completed forms to staff for review. Staff will determine completeness of forms and if additional medical screening is necessary prior to receiving the MCM.</w:t>
      </w:r>
    </w:p>
    <w:p w14:paraId="21D5B1FA" w14:textId="77777777" w:rsidR="006D0D34" w:rsidRDefault="006D0D34" w:rsidP="006D0D34">
      <w:pPr>
        <w:pStyle w:val="Heading4"/>
      </w:pPr>
      <w:r>
        <w:t>Registration</w:t>
      </w:r>
    </w:p>
    <w:p w14:paraId="1E197BCB" w14:textId="77777777" w:rsidR="006D0D34" w:rsidRPr="00E8193B" w:rsidRDefault="006D0D34" w:rsidP="006D0D34">
      <w:r>
        <w:t>Registration Staff ensure that all required client information is accurate and complete. Registration Staff also review the forms for responses that suggest contraindications (e.g. allergies, complex medical conditions, breastfeeding, pregnancy) to the MCM. Generally, contraindications can be identified by a “Yes” response to questions on a registration or screening form (see NAPH form). Clients with contraindications or complex medical questions are referred to licensed medical professionals for screening and medical consultation prior to receiving the MCM. Clients with complete forms and no contraindications are directed to the dispensing area. In addition to reviewing client forms, Registration Staff may also collect and record client information for data management and follow-up (if needed). This step can be modified or omitted in situations where increasing client throughput is necessary.</w:t>
      </w:r>
    </w:p>
    <w:p w14:paraId="52AEE885" w14:textId="77777777" w:rsidR="006D0D34" w:rsidRDefault="006D0D34" w:rsidP="006D0D34">
      <w:pPr>
        <w:pStyle w:val="Heading4"/>
      </w:pPr>
      <w:r>
        <w:t>Screening</w:t>
      </w:r>
    </w:p>
    <w:p w14:paraId="1B1B24FD" w14:textId="77777777" w:rsidR="006D0D34" w:rsidRPr="00491CE5" w:rsidRDefault="006D0D34" w:rsidP="006D0D34">
      <w:r w:rsidRPr="00491CE5">
        <w:t>Licensed medical pro</w:t>
      </w:r>
      <w:r>
        <w:t xml:space="preserve">fessionals screen clients who indicated contraindications to the recommended MCM or asked complex medical questions. Screening </w:t>
      </w:r>
      <w:r w:rsidR="00B32E7C">
        <w:t>s</w:t>
      </w:r>
      <w:r>
        <w:t xml:space="preserve">taff then determine if the client should receive the MCM or direct them to take alternate precautions or actions. When it is determined that a client can receive the MCM, the Screening </w:t>
      </w:r>
      <w:r w:rsidR="00B32E7C">
        <w:t>s</w:t>
      </w:r>
      <w:r>
        <w:t>taff can either direct the client to the dispensing area or dispense the MCM from the screening area. Depending on the MCM, examples of contraindications may include allergies to Doxycycline and Ciprofloxacin, severe allergies to eggs, pregnancy, breastfeeding, and complex medical conditions.</w:t>
      </w:r>
    </w:p>
    <w:p w14:paraId="7B66BC3F" w14:textId="77777777" w:rsidR="006D0D34" w:rsidRPr="005D6129" w:rsidRDefault="006D0D34" w:rsidP="006D0D34">
      <w:pPr>
        <w:pStyle w:val="Heading3"/>
        <w:rPr>
          <w:color w:val="002060"/>
        </w:rPr>
      </w:pPr>
      <w:bookmarkStart w:id="25" w:name="_Toc11832718"/>
      <w:r w:rsidRPr="005D6129">
        <w:rPr>
          <w:color w:val="002060"/>
        </w:rPr>
        <w:t>Dispense/Vaccinate</w:t>
      </w:r>
      <w:bookmarkEnd w:id="25"/>
    </w:p>
    <w:p w14:paraId="2F50C1E3" w14:textId="77777777" w:rsidR="006D0D34" w:rsidRPr="00A266BF" w:rsidRDefault="006D0D34" w:rsidP="006D0D34">
      <w:r>
        <w:t xml:space="preserve">During this step of the process, a licensed medical professional reviews the client’s forms, confirms their responses, and dispenses the MCM per the medical standing orders. Clients are then discharged from the EDS or directed to a waiting area where they will be monitored for adverse reactions to the MCM. </w:t>
      </w:r>
    </w:p>
    <w:p w14:paraId="482AE4D3" w14:textId="77777777" w:rsidR="006D0D34" w:rsidRDefault="006D0D34" w:rsidP="006D0D34">
      <w:pPr>
        <w:pStyle w:val="Heading4"/>
      </w:pPr>
      <w:r>
        <w:t>Dispensing</w:t>
      </w:r>
    </w:p>
    <w:p w14:paraId="309957CF" w14:textId="77777777" w:rsidR="006D0D34" w:rsidRDefault="006D0D34" w:rsidP="006D0D34">
      <w:r>
        <w:t xml:space="preserve">The dispensing area can be organized in several ways to improve client flow and better utilize Dispensing Staff. Generally, families with children will require additional time to receive the MCM </w:t>
      </w:r>
      <w:r>
        <w:lastRenderedPageBreak/>
        <w:t>and can be directed to stations with Dispensing Staff with pediatric training and skills. This allows adult-only households to be seen at other stations and can improve client flow and throughput. Additionally, stations can be organized to dispense a specific countermeasure (e.g. intranasal only, injection only). While the EDS is typically a public setting (e.g. school), Dispensing Staff should take all reasonable steps to ensure client privacy, including use of privacy screens and securely maintaining client forms.</w:t>
      </w:r>
    </w:p>
    <w:p w14:paraId="05CA5BEC" w14:textId="77777777" w:rsidR="006D0D34" w:rsidRDefault="006D0D34" w:rsidP="006D0D34">
      <w:pPr>
        <w:pStyle w:val="Heading4"/>
      </w:pPr>
      <w:r>
        <w:t>Medical Evaluation</w:t>
      </w:r>
    </w:p>
    <w:p w14:paraId="3F35174B" w14:textId="77777777" w:rsidR="00617ADA" w:rsidRDefault="006D0D34" w:rsidP="006D0D34">
      <w:r>
        <w:t>Depending on the MCM or the client’s medical history (e.g. first-time vaccine recipient), clients may be asked to briefly remain at the EDS to be monitored for adverse reactions. Emergency Medical Services (EMS) personnel are often utilized to monitor for adverse reactions, as well as provide first aid and medical transpo</w:t>
      </w:r>
      <w:r w:rsidR="006D78E0">
        <w:t>rt to the hospital (if needed).</w:t>
      </w:r>
    </w:p>
    <w:p w14:paraId="72CB78AD" w14:textId="77777777" w:rsidR="006D0D34" w:rsidRPr="00927992" w:rsidRDefault="006D0D34" w:rsidP="006D0D34">
      <w:r>
        <w:rPr>
          <w:b/>
          <w:u w:val="single"/>
        </w:rPr>
        <w:t>Pre-Event Planning</w:t>
      </w:r>
    </w:p>
    <w:p w14:paraId="02E17C4A" w14:textId="77777777" w:rsidR="006D0D34" w:rsidRDefault="006D0D34" w:rsidP="006D0D34">
      <w:r>
        <w:t>Generally, EMS personnel should be available at the EDS during dispensing operations with access to an ambulance for emergency transport. This also ensures availability of supplies to treat anaphylactic reactions (e.g. epinephrine, diphenhydramine) and other medical emergencies. Local health should develop agreements with local Fire/EMS for medical evaluation, first aid, and medical transport services.</w:t>
      </w:r>
    </w:p>
    <w:p w14:paraId="1F69C4AE" w14:textId="77777777" w:rsidR="00354795" w:rsidRDefault="00354795" w:rsidP="006D0D34">
      <w:pPr>
        <w:rPr>
          <w:b/>
          <w:u w:val="single"/>
        </w:rPr>
      </w:pPr>
    </w:p>
    <w:p w14:paraId="37AAF79E" w14:textId="77777777" w:rsidR="006D0D34" w:rsidRDefault="006D0D34" w:rsidP="006D0D34">
      <w:r>
        <w:rPr>
          <w:b/>
          <w:u w:val="single"/>
        </w:rPr>
        <w:t>Resources</w:t>
      </w:r>
    </w:p>
    <w:p w14:paraId="34EA3FEA" w14:textId="5826605F" w:rsidR="006D0D34" w:rsidRPr="00E66540" w:rsidRDefault="000B42C2" w:rsidP="006D0D34">
      <w:pPr>
        <w:rPr>
          <w:highlight w:val="cyan"/>
        </w:rPr>
      </w:pPr>
      <w:r>
        <w:t xml:space="preserve">Example of </w:t>
      </w:r>
      <w:hyperlink r:id="rId21" w:history="1">
        <w:r w:rsidR="006D0D34" w:rsidRPr="0016484B">
          <w:rPr>
            <w:rStyle w:val="Hyperlink"/>
          </w:rPr>
          <w:t>Model Standing Orders: Emergency Treatment for Vaccine Reactions</w:t>
        </w:r>
      </w:hyperlink>
      <w:r w:rsidR="00F17724">
        <w:rPr>
          <w:rStyle w:val="FootnoteReference"/>
          <w:color w:val="0563C1" w:themeColor="hyperlink"/>
          <w:u w:val="single"/>
        </w:rPr>
        <w:footnoteReference w:id="11"/>
      </w:r>
    </w:p>
    <w:p w14:paraId="19A2D3D8" w14:textId="77777777" w:rsidR="006D0D34" w:rsidRPr="005D6129" w:rsidRDefault="006D0D34" w:rsidP="006D0D34">
      <w:pPr>
        <w:pStyle w:val="Heading3"/>
        <w:rPr>
          <w:color w:val="002060"/>
        </w:rPr>
      </w:pPr>
      <w:bookmarkStart w:id="26" w:name="_Toc476226293"/>
      <w:bookmarkStart w:id="27" w:name="_Toc11832719"/>
      <w:r w:rsidRPr="005D6129">
        <w:rPr>
          <w:color w:val="002060"/>
        </w:rPr>
        <w:t>Form Collection/Exit</w:t>
      </w:r>
      <w:bookmarkEnd w:id="26"/>
      <w:bookmarkEnd w:id="27"/>
    </w:p>
    <w:p w14:paraId="16A5C529" w14:textId="77777777" w:rsidR="009E4FA5" w:rsidRDefault="006D0D34" w:rsidP="009E4FA5">
      <w:pPr>
        <w:rPr>
          <w:color w:val="002060"/>
        </w:rPr>
      </w:pPr>
      <w:r w:rsidRPr="0086123F">
        <w:t>D</w:t>
      </w:r>
      <w:r>
        <w:t xml:space="preserve">uring this step of the process, client forms are collected (if not retained by the dispensing provider) and clients are provided with any additional instructions prior to being discharged from the EDS. </w:t>
      </w:r>
      <w:r w:rsidRPr="002E5242">
        <w:t xml:space="preserve">Forms for data collection are </w:t>
      </w:r>
      <w:r>
        <w:t xml:space="preserve">available </w:t>
      </w:r>
      <w:r w:rsidRPr="002E5242">
        <w:t>on the MDPH website and through the HHAN.</w:t>
      </w:r>
      <w:r w:rsidR="00B32E7C">
        <w:t xml:space="preserve">  </w:t>
      </w:r>
    </w:p>
    <w:p w14:paraId="70897881" w14:textId="77777777" w:rsidR="009E4FA5" w:rsidRDefault="009E4FA5" w:rsidP="009E4FA5">
      <w:pPr>
        <w:rPr>
          <w:color w:val="002060"/>
        </w:rPr>
      </w:pPr>
    </w:p>
    <w:p w14:paraId="64E0D90F" w14:textId="77777777" w:rsidR="006D0D34" w:rsidRPr="005D6129" w:rsidRDefault="005D6129" w:rsidP="009E4FA5">
      <w:pPr>
        <w:rPr>
          <w:color w:val="002060"/>
        </w:rPr>
      </w:pPr>
      <w:r w:rsidRPr="005D6129">
        <w:rPr>
          <w:color w:val="002060"/>
        </w:rPr>
        <w:t>EDS PLANNING SCENARIOS</w:t>
      </w:r>
    </w:p>
    <w:p w14:paraId="20F3F961" w14:textId="77777777" w:rsidR="006D0D34" w:rsidRDefault="006D0D34" w:rsidP="006D0D34">
      <w:r>
        <w:t xml:space="preserve">Local health departments have developed valuable experience with MCM dispensing operations through exercises, annual flu clinics, and responses to real events. Experience with high-probability, low-impact events provides local health with the framework to scale up operations for low-probability, high-impact incidents. While the following planning scenarios for MCM dispensing are low-probability, they require significant coordination of staff, volunteers, and resources and pose a high-impact on the community and the emergency management, public health, and healthcare systems. When planning for EDS, local health should develop plans, policies, and procedures from an all-hazards perspective and then evaluate the needed capabilities to respond to these less likely, but worst case, scenarios. </w:t>
      </w:r>
    </w:p>
    <w:p w14:paraId="4AB2CB6A" w14:textId="77777777" w:rsidR="006D0D34" w:rsidRPr="005D6129" w:rsidRDefault="006D0D34" w:rsidP="006D0D34">
      <w:pPr>
        <w:pStyle w:val="Heading3"/>
        <w:rPr>
          <w:color w:val="002060"/>
        </w:rPr>
      </w:pPr>
      <w:bookmarkStart w:id="28" w:name="_Toc11832720"/>
      <w:r w:rsidRPr="005D6129">
        <w:rPr>
          <w:color w:val="002060"/>
        </w:rPr>
        <w:t>Medication Dispensing</w:t>
      </w:r>
      <w:bookmarkEnd w:id="28"/>
    </w:p>
    <w:p w14:paraId="48327ECB" w14:textId="77777777" w:rsidR="006D0D34" w:rsidRDefault="006D0D34" w:rsidP="006D0D34">
      <w:r w:rsidRPr="00102E99">
        <w:t>A</w:t>
      </w:r>
      <w:r>
        <w:t>n</w:t>
      </w:r>
      <w:r w:rsidRPr="00102E99">
        <w:t xml:space="preserve"> incident involving aerosolized anthrax (bioterrorism) poses a significant planning challenge for MCM distribution and dispensing. In this scenario, individuals </w:t>
      </w:r>
      <w:r>
        <w:t xml:space="preserve">who have been exposed </w:t>
      </w:r>
      <w:r w:rsidRPr="00102E99">
        <w:t>will require a 60-day supply of post-exposure prophylactic antibiotics (e.g. Doxycycline, Ciprofloxacin)</w:t>
      </w:r>
      <w:r>
        <w:t xml:space="preserve"> </w:t>
      </w:r>
      <w:r>
        <w:lastRenderedPageBreak/>
        <w:t>beginning within 48 hours of exposure (for optimal protection)</w:t>
      </w:r>
      <w:r w:rsidRPr="00102E99">
        <w:t>.</w:t>
      </w:r>
      <w:r>
        <w:t xml:space="preserve"> Additionally, federal health officials may recommend that the multi-dose Anthrax Vaccine Absorbed (AVA) be administered to the exposed population. Currently, however, there is not clear federal guidance on this concurrent dispensing operation.</w:t>
      </w:r>
    </w:p>
    <w:p w14:paraId="5437110E" w14:textId="77777777" w:rsidR="006D0D34" w:rsidRDefault="006D0D34" w:rsidP="006D0D34">
      <w:r w:rsidRPr="009043B2">
        <w:t xml:space="preserve">The </w:t>
      </w:r>
      <w:r>
        <w:t xml:space="preserve">CDC </w:t>
      </w:r>
      <w:r w:rsidRPr="009043B2">
        <w:t>Cities Readiness Initiative</w:t>
      </w:r>
      <w:r>
        <w:t xml:space="preserve"> (CRI) is designed to enhance preparedness in the nation’s largest population centers to effectively respond to a large scale MCM incident. The CRI </w:t>
      </w:r>
      <w:r w:rsidRPr="009043B2">
        <w:t xml:space="preserve">establishes a planning target for local jurisdictions to dispense </w:t>
      </w:r>
      <w:r>
        <w:t xml:space="preserve">oral </w:t>
      </w:r>
      <w:r w:rsidRPr="009043B2">
        <w:t>medication to 100 percent of the population within 48 hours of the federal decision to deploy the SNS.</w:t>
      </w:r>
      <w:r>
        <w:t xml:space="preserve"> The following table provides a sample timeline for the CRI target from the time of the decision to deploy the SNS.</w:t>
      </w:r>
    </w:p>
    <w:p w14:paraId="5F9621B9" w14:textId="77777777" w:rsidR="006D0D34" w:rsidRDefault="006D0D34" w:rsidP="006D0D34"/>
    <w:p w14:paraId="1D9895AB" w14:textId="77777777" w:rsidR="006E776C" w:rsidRDefault="006E776C" w:rsidP="006E776C">
      <w:pPr>
        <w:pStyle w:val="Heading4"/>
        <w:numPr>
          <w:ilvl w:val="0"/>
          <w:numId w:val="0"/>
        </w:numPr>
      </w:pPr>
      <w:r>
        <w:t xml:space="preserve">      </w:t>
      </w:r>
      <w:r>
        <w:rPr>
          <w:noProof/>
          <w:lang w:eastAsia="en-US"/>
        </w:rPr>
        <w:drawing>
          <wp:inline distT="0" distB="0" distL="0" distR="0" wp14:anchorId="4B6F0588" wp14:editId="28B2839E">
            <wp:extent cx="5275964" cy="5425622"/>
            <wp:effectExtent l="19050" t="0" r="886" b="0"/>
            <wp:docPr id="6" name="Picture 6" descr="C:\Users\A2T17\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2T17\Desktop\Capture.PNG"/>
                    <pic:cNvPicPr>
                      <a:picLocks noChangeAspect="1" noChangeArrowheads="1"/>
                    </pic:cNvPicPr>
                  </pic:nvPicPr>
                  <pic:blipFill>
                    <a:blip r:embed="rId22" cstate="print"/>
                    <a:srcRect/>
                    <a:stretch>
                      <a:fillRect/>
                    </a:stretch>
                  </pic:blipFill>
                  <pic:spPr bwMode="auto">
                    <a:xfrm>
                      <a:off x="0" y="0"/>
                      <a:ext cx="5275964" cy="5425622"/>
                    </a:xfrm>
                    <a:prstGeom prst="rect">
                      <a:avLst/>
                    </a:prstGeom>
                    <a:noFill/>
                    <a:ln w="9525">
                      <a:noFill/>
                      <a:miter lim="800000"/>
                      <a:headEnd/>
                      <a:tailEnd/>
                    </a:ln>
                  </pic:spPr>
                </pic:pic>
              </a:graphicData>
            </a:graphic>
          </wp:inline>
        </w:drawing>
      </w:r>
    </w:p>
    <w:p w14:paraId="01B28456" w14:textId="77777777" w:rsidR="006D0D34" w:rsidRDefault="006D0D34" w:rsidP="006E776C">
      <w:pPr>
        <w:pStyle w:val="Heading4"/>
        <w:numPr>
          <w:ilvl w:val="0"/>
          <w:numId w:val="0"/>
        </w:numPr>
      </w:pPr>
      <w:r>
        <w:t xml:space="preserve">Initial Dispensing Campaign </w:t>
      </w:r>
    </w:p>
    <w:p w14:paraId="388B8819" w14:textId="77777777" w:rsidR="006D0D34" w:rsidRDefault="006D0D34" w:rsidP="006D0D34">
      <w:r w:rsidRPr="005546C2">
        <w:t xml:space="preserve">The SNS </w:t>
      </w:r>
      <w:r>
        <w:t>material will</w:t>
      </w:r>
      <w:r w:rsidRPr="005546C2">
        <w:t xml:space="preserve"> be deployed to the RSS where pre-filled bottles with a 10-day supply of antibiotics </w:t>
      </w:r>
      <w:r>
        <w:t xml:space="preserve">will be sent to </w:t>
      </w:r>
      <w:r w:rsidRPr="005546C2">
        <w:t xml:space="preserve">activated EDS. EDS staff </w:t>
      </w:r>
      <w:r>
        <w:t>can</w:t>
      </w:r>
      <w:r w:rsidRPr="005546C2">
        <w:t xml:space="preserve"> anticipate delivery of the initial medication </w:t>
      </w:r>
      <w:r>
        <w:t xml:space="preserve">to </w:t>
      </w:r>
      <w:r>
        <w:lastRenderedPageBreak/>
        <w:t xml:space="preserve">the RSS </w:t>
      </w:r>
      <w:r w:rsidRPr="005546C2">
        <w:t xml:space="preserve">within 12 hours from the federal decision to deploy and </w:t>
      </w:r>
      <w:r>
        <w:t xml:space="preserve">to their EDS within another 6 hours. Assuming these timeframes, EDS staff </w:t>
      </w:r>
      <w:r w:rsidRPr="005546C2">
        <w:t xml:space="preserve">would need to complete (or significantly complete) the initial dispensing campaign </w:t>
      </w:r>
      <w:r>
        <w:t>within 30</w:t>
      </w:r>
      <w:r w:rsidRPr="005546C2">
        <w:t xml:space="preserve"> hours of receipt</w:t>
      </w:r>
      <w:r>
        <w:t xml:space="preserve"> of the medication at the EDS</w:t>
      </w:r>
      <w:r w:rsidRPr="005546C2">
        <w:t>.</w:t>
      </w:r>
    </w:p>
    <w:p w14:paraId="5BF0EB0B" w14:textId="77777777" w:rsidR="006D0D34" w:rsidRPr="0095792E" w:rsidRDefault="006D0D34" w:rsidP="006D0D34">
      <w:pPr>
        <w:pStyle w:val="Heading4"/>
      </w:pPr>
      <w:r w:rsidRPr="0095792E">
        <w:t>Sustained Dispensing Campaign</w:t>
      </w:r>
    </w:p>
    <w:p w14:paraId="4475EC2C" w14:textId="158B3EDD" w:rsidR="006D0D34" w:rsidRDefault="006D0D34" w:rsidP="006D0D34">
      <w:r w:rsidRPr="00B607F1">
        <w:t xml:space="preserve">The remaining 50-day supply of follow-on antibiotics would be deployed from the SNS Managed Inventory to the RSS where it is </w:t>
      </w:r>
      <w:r>
        <w:t>reapportioned</w:t>
      </w:r>
      <w:r w:rsidRPr="00B607F1">
        <w:t xml:space="preserve"> for direct distribution to operational EDS</w:t>
      </w:r>
      <w:r>
        <w:t xml:space="preserve"> or local health</w:t>
      </w:r>
      <w:r w:rsidRPr="00B607F1">
        <w:t xml:space="preserve"> for the sustained dispensing campaign</w:t>
      </w:r>
      <w:r>
        <w:t xml:space="preserve">, including distribution </w:t>
      </w:r>
      <w:r w:rsidR="00B32E7C">
        <w:t xml:space="preserve">from local health </w:t>
      </w:r>
      <w:r>
        <w:t>to locally-supported Closed EDS</w:t>
      </w:r>
      <w:r w:rsidR="009E4FA5">
        <w:t xml:space="preserve"> as provided in local plans</w:t>
      </w:r>
      <w:r w:rsidRPr="00B607F1">
        <w:t>. EDS staff could anticipate delivery of the follow-on medication beginning within 5-7 days of completing the initial dispensing campaign and would need to complete (or significantly complete</w:t>
      </w:r>
      <w:r>
        <w:t>)</w:t>
      </w:r>
      <w:r w:rsidRPr="00B607F1">
        <w:t xml:space="preserve"> the </w:t>
      </w:r>
      <w:r>
        <w:t xml:space="preserve">sustained </w:t>
      </w:r>
      <w:r w:rsidRPr="00B607F1">
        <w:t>dispensing campaign prior to the end of an individual’s 10-day supply.</w:t>
      </w:r>
      <w:r>
        <w:t xml:space="preserve"> Additionally, if indicated by </w:t>
      </w:r>
      <w:r w:rsidR="008127B1">
        <w:t>ASPR</w:t>
      </w:r>
      <w:r>
        <w:t>, the EDS staff could anticipate delivery of the AVA vaccine and vaccine administration supplies during this period (see vaccine dispensing scenario).</w:t>
      </w:r>
    </w:p>
    <w:p w14:paraId="7AF23264" w14:textId="77777777" w:rsidR="006D0D34" w:rsidRDefault="006D0D34" w:rsidP="006D0D34">
      <w:pPr>
        <w:pStyle w:val="Heading4"/>
      </w:pPr>
      <w:r>
        <w:t>Medication Storage &amp; Handling</w:t>
      </w:r>
    </w:p>
    <w:p w14:paraId="38842170" w14:textId="0C6AA2B0" w:rsidR="006D0D34" w:rsidRDefault="008127B1" w:rsidP="006D0D34">
      <w:r>
        <w:t>T</w:t>
      </w:r>
      <w:r w:rsidR="006D0D34" w:rsidRPr="00854A03">
        <w:t>he current configuration of the SNS is 50% Do</w:t>
      </w:r>
      <w:r w:rsidR="006D0D34">
        <w:t xml:space="preserve">xycycline and 50% Ciprofloxacin, </w:t>
      </w:r>
      <w:r>
        <w:t xml:space="preserve">but </w:t>
      </w:r>
      <w:r w:rsidR="006D0D34">
        <w:t>the amounts of each deployed to the RSS may not be known until they are received.</w:t>
      </w:r>
      <w:r w:rsidR="006D0D34" w:rsidRPr="00854A03">
        <w:t xml:space="preserve"> </w:t>
      </w:r>
      <w:r w:rsidR="006D0D34">
        <w:t xml:space="preserve">A pallet of the 10-day supply of both medications contains 9,600 bottles. A pallet of the 50-day supply of Doxycycline contains 9,600 bottles, while a pallet of the 50-day supply of Ciprofloxacin only contains 5,184 bottles. </w:t>
      </w:r>
      <w:r w:rsidR="006D0D34" w:rsidRPr="00A61F71">
        <w:t>A standard pallet is 48”x40” (4’x3.33’) with an approximate height of 5 feet. When creating rows of pallets, a 10’ aisle is recommended to allow for clearance of a pallet jack. Medications should be stored in a secured location at 58-86 degrees Fahrenheit.</w:t>
      </w:r>
    </w:p>
    <w:p w14:paraId="400389F3" w14:textId="77777777" w:rsidR="006D0D34" w:rsidRDefault="006D0D34" w:rsidP="006D0D34">
      <w:r>
        <w:rPr>
          <w:b/>
          <w:u w:val="single"/>
        </w:rPr>
        <w:t>Pre-Event Planning</w:t>
      </w:r>
    </w:p>
    <w:p w14:paraId="62CFF4F5" w14:textId="77777777" w:rsidR="006D0D34" w:rsidRDefault="006D0D34" w:rsidP="006D0D34">
      <w:r>
        <w:t>Local health should identify a secured storage area within the EDS that will accommodate the estimated number of pallets of medication for the initial and sustained dispensing campaigns. The following tables provide information on the medication packaging and estimates on the number of cases and pallets that a community would receive based on a range population sizes (including the additional 10% allocation to dispense to first responders and CIS).</w:t>
      </w:r>
    </w:p>
    <w:p w14:paraId="5EF5585B" w14:textId="71EFFBB9" w:rsidR="006D0D34" w:rsidRDefault="006D0D34" w:rsidP="006D0D34">
      <w:pPr>
        <w:pStyle w:val="Caption"/>
        <w:keepNext/>
      </w:pPr>
      <w:r>
        <w:t xml:space="preserve">Table </w:t>
      </w:r>
      <w:r w:rsidR="000B42C2">
        <w:rPr>
          <w:noProof/>
        </w:rPr>
        <w:t>3</w:t>
      </w:r>
      <w:r>
        <w:t>: SNS Medication Details &amp; Packaging</w:t>
      </w:r>
    </w:p>
    <w:tbl>
      <w:tblPr>
        <w:tblStyle w:val="GridTable1Light-Accent11"/>
        <w:tblW w:w="0" w:type="auto"/>
        <w:tblLook w:val="04A0" w:firstRow="1" w:lastRow="0" w:firstColumn="1" w:lastColumn="0" w:noHBand="0" w:noVBand="1"/>
      </w:tblPr>
      <w:tblGrid>
        <w:gridCol w:w="1280"/>
        <w:gridCol w:w="1332"/>
        <w:gridCol w:w="1985"/>
        <w:gridCol w:w="1784"/>
        <w:gridCol w:w="1900"/>
      </w:tblGrid>
      <w:tr w:rsidR="006D0D34" w:rsidRPr="0081051C" w14:paraId="25587A8E" w14:textId="77777777" w:rsidTr="0090186A">
        <w:trPr>
          <w:cnfStyle w:val="100000000000" w:firstRow="1" w:lastRow="0" w:firstColumn="0" w:lastColumn="0" w:oddVBand="0" w:evenVBand="0" w:oddHBand="0" w:evenHBand="0" w:firstRowFirstColumn="0" w:firstRowLastColumn="0" w:lastRowFirstColumn="0" w:lastRowLastColumn="0"/>
          <w:trHeight w:val="67"/>
          <w:tblHeader/>
        </w:trPr>
        <w:tc>
          <w:tcPr>
            <w:cnfStyle w:val="001000000000" w:firstRow="0" w:lastRow="0" w:firstColumn="1" w:lastColumn="0" w:oddVBand="0" w:evenVBand="0" w:oddHBand="0" w:evenHBand="0" w:firstRowFirstColumn="0" w:firstRowLastColumn="0" w:lastRowFirstColumn="0" w:lastRowLastColumn="0"/>
            <w:tcW w:w="0" w:type="auto"/>
            <w:vMerge w:val="restart"/>
            <w:vAlign w:val="bottom"/>
          </w:tcPr>
          <w:p w14:paraId="054B96D8" w14:textId="77777777" w:rsidR="006D0D34" w:rsidRPr="0081051C" w:rsidRDefault="006D0D34" w:rsidP="0090186A">
            <w:pPr>
              <w:jc w:val="center"/>
              <w:rPr>
                <w:sz w:val="20"/>
                <w:szCs w:val="20"/>
              </w:rPr>
            </w:pPr>
            <w:r>
              <w:rPr>
                <w:sz w:val="20"/>
                <w:szCs w:val="20"/>
              </w:rPr>
              <w:t>Medication</w:t>
            </w:r>
          </w:p>
        </w:tc>
        <w:tc>
          <w:tcPr>
            <w:tcW w:w="0" w:type="auto"/>
            <w:vMerge w:val="restart"/>
            <w:vAlign w:val="bottom"/>
          </w:tcPr>
          <w:p w14:paraId="3FE692A4" w14:textId="77777777" w:rsidR="006D0D34" w:rsidRDefault="006D0D34" w:rsidP="0090186A">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Strength</w:t>
            </w:r>
          </w:p>
        </w:tc>
        <w:tc>
          <w:tcPr>
            <w:tcW w:w="0" w:type="auto"/>
            <w:vMerge w:val="restart"/>
            <w:vAlign w:val="bottom"/>
          </w:tcPr>
          <w:p w14:paraId="0B9483EF" w14:textId="77777777" w:rsidR="006D0D34" w:rsidRDefault="006D0D34" w:rsidP="0090186A">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Dose</w:t>
            </w:r>
          </w:p>
        </w:tc>
        <w:tc>
          <w:tcPr>
            <w:tcW w:w="0" w:type="auto"/>
            <w:vAlign w:val="bottom"/>
          </w:tcPr>
          <w:p w14:paraId="5B961FF2" w14:textId="77777777" w:rsidR="006D0D34" w:rsidRPr="0081051C" w:rsidRDefault="006D0D34" w:rsidP="0090186A">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Initial Campaign</w:t>
            </w:r>
          </w:p>
        </w:tc>
        <w:tc>
          <w:tcPr>
            <w:tcW w:w="0" w:type="auto"/>
            <w:vAlign w:val="bottom"/>
          </w:tcPr>
          <w:p w14:paraId="295462A1" w14:textId="77777777" w:rsidR="006D0D34" w:rsidRPr="0081051C" w:rsidRDefault="006D0D34" w:rsidP="0090186A">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Sustained Campaign</w:t>
            </w:r>
          </w:p>
        </w:tc>
      </w:tr>
      <w:tr w:rsidR="006D0D34" w:rsidRPr="0081051C" w14:paraId="65BF8F77" w14:textId="77777777" w:rsidTr="0090186A">
        <w:trPr>
          <w:cnfStyle w:val="100000000000" w:firstRow="1" w:lastRow="0" w:firstColumn="0" w:lastColumn="0" w:oddVBand="0" w:evenVBand="0" w:oddHBand="0" w:evenHBand="0" w:firstRowFirstColumn="0" w:firstRowLastColumn="0" w:lastRowFirstColumn="0" w:lastRowLastColumn="0"/>
          <w:trHeight w:val="134"/>
          <w:tblHead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E6258AD" w14:textId="77777777" w:rsidR="006D0D34" w:rsidRDefault="006D0D34" w:rsidP="0090186A">
            <w:pPr>
              <w:rPr>
                <w:sz w:val="20"/>
                <w:szCs w:val="20"/>
              </w:rPr>
            </w:pPr>
          </w:p>
        </w:tc>
        <w:tc>
          <w:tcPr>
            <w:tcW w:w="0" w:type="auto"/>
            <w:vMerge/>
          </w:tcPr>
          <w:p w14:paraId="2DF0BC71" w14:textId="77777777" w:rsidR="006D0D34" w:rsidRPr="00A61F71" w:rsidRDefault="006D0D34" w:rsidP="0090186A">
            <w:pPr>
              <w:jc w:val="center"/>
              <w:cnfStyle w:val="100000000000" w:firstRow="1" w:lastRow="0" w:firstColumn="0" w:lastColumn="0" w:oddVBand="0" w:evenVBand="0" w:oddHBand="0" w:evenHBand="0" w:firstRowFirstColumn="0" w:firstRowLastColumn="0" w:lastRowFirstColumn="0" w:lastRowLastColumn="0"/>
              <w:rPr>
                <w:b w:val="0"/>
                <w:sz w:val="20"/>
                <w:szCs w:val="20"/>
              </w:rPr>
            </w:pPr>
          </w:p>
        </w:tc>
        <w:tc>
          <w:tcPr>
            <w:tcW w:w="0" w:type="auto"/>
            <w:vMerge/>
          </w:tcPr>
          <w:p w14:paraId="0779FB7E" w14:textId="77777777" w:rsidR="006D0D34" w:rsidRPr="00A61F71" w:rsidRDefault="006D0D34" w:rsidP="0090186A">
            <w:pPr>
              <w:jc w:val="center"/>
              <w:cnfStyle w:val="100000000000" w:firstRow="1" w:lastRow="0" w:firstColumn="0" w:lastColumn="0" w:oddVBand="0" w:evenVBand="0" w:oddHBand="0" w:evenHBand="0" w:firstRowFirstColumn="0" w:firstRowLastColumn="0" w:lastRowFirstColumn="0" w:lastRowLastColumn="0"/>
              <w:rPr>
                <w:b w:val="0"/>
                <w:sz w:val="20"/>
                <w:szCs w:val="20"/>
              </w:rPr>
            </w:pPr>
          </w:p>
        </w:tc>
        <w:tc>
          <w:tcPr>
            <w:tcW w:w="0" w:type="auto"/>
            <w:vAlign w:val="bottom"/>
          </w:tcPr>
          <w:p w14:paraId="6DB1CC57" w14:textId="77777777" w:rsidR="006D0D34" w:rsidRPr="00A61F71" w:rsidRDefault="006D0D34" w:rsidP="0090186A">
            <w:pPr>
              <w:jc w:val="center"/>
              <w:cnfStyle w:val="100000000000" w:firstRow="1" w:lastRow="0" w:firstColumn="0" w:lastColumn="0" w:oddVBand="0" w:evenVBand="0" w:oddHBand="0" w:evenHBand="0" w:firstRowFirstColumn="0" w:firstRowLastColumn="0" w:lastRowFirstColumn="0" w:lastRowLastColumn="0"/>
              <w:rPr>
                <w:b w:val="0"/>
                <w:sz w:val="20"/>
                <w:szCs w:val="20"/>
              </w:rPr>
            </w:pPr>
            <w:r>
              <w:rPr>
                <w:b w:val="0"/>
                <w:sz w:val="20"/>
                <w:szCs w:val="20"/>
              </w:rPr>
              <w:t>Quantity Per Bottle</w:t>
            </w:r>
          </w:p>
        </w:tc>
        <w:tc>
          <w:tcPr>
            <w:tcW w:w="0" w:type="auto"/>
            <w:vAlign w:val="bottom"/>
          </w:tcPr>
          <w:p w14:paraId="58F90EF4" w14:textId="77777777" w:rsidR="006D0D34" w:rsidRPr="00A61F71" w:rsidRDefault="006D0D34" w:rsidP="0090186A">
            <w:pPr>
              <w:jc w:val="center"/>
              <w:cnfStyle w:val="100000000000" w:firstRow="1" w:lastRow="0" w:firstColumn="0" w:lastColumn="0" w:oddVBand="0" w:evenVBand="0" w:oddHBand="0" w:evenHBand="0" w:firstRowFirstColumn="0" w:firstRowLastColumn="0" w:lastRowFirstColumn="0" w:lastRowLastColumn="0"/>
              <w:rPr>
                <w:b w:val="0"/>
                <w:sz w:val="20"/>
                <w:szCs w:val="20"/>
              </w:rPr>
            </w:pPr>
            <w:r>
              <w:rPr>
                <w:b w:val="0"/>
                <w:sz w:val="20"/>
                <w:szCs w:val="20"/>
              </w:rPr>
              <w:t>Quantity Per Bottle</w:t>
            </w:r>
          </w:p>
        </w:tc>
      </w:tr>
      <w:tr w:rsidR="006D0D34" w:rsidRPr="0081051C" w14:paraId="385B30BC" w14:textId="77777777" w:rsidTr="0090186A">
        <w:tc>
          <w:tcPr>
            <w:cnfStyle w:val="001000000000" w:firstRow="0" w:lastRow="0" w:firstColumn="1" w:lastColumn="0" w:oddVBand="0" w:evenVBand="0" w:oddHBand="0" w:evenHBand="0" w:firstRowFirstColumn="0" w:firstRowLastColumn="0" w:lastRowFirstColumn="0" w:lastRowLastColumn="0"/>
            <w:tcW w:w="0" w:type="auto"/>
            <w:vAlign w:val="center"/>
          </w:tcPr>
          <w:p w14:paraId="00EFA67F" w14:textId="77777777" w:rsidR="006D0D34" w:rsidRPr="008F63D7" w:rsidRDefault="006D0D34" w:rsidP="0090186A">
            <w:pPr>
              <w:rPr>
                <w:b w:val="0"/>
                <w:sz w:val="20"/>
                <w:szCs w:val="20"/>
              </w:rPr>
            </w:pPr>
            <w:r>
              <w:rPr>
                <w:b w:val="0"/>
                <w:sz w:val="20"/>
                <w:szCs w:val="20"/>
              </w:rPr>
              <w:t>Doxycycline</w:t>
            </w:r>
          </w:p>
        </w:tc>
        <w:tc>
          <w:tcPr>
            <w:tcW w:w="0" w:type="auto"/>
            <w:vAlign w:val="center"/>
          </w:tcPr>
          <w:p w14:paraId="04D2F696" w14:textId="77777777" w:rsidR="006D0D34" w:rsidRPr="0081051C" w:rsidRDefault="006D0D34" w:rsidP="0090186A">
            <w:pPr>
              <w:jc w:val="cente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100mg/tablet</w:t>
            </w:r>
          </w:p>
        </w:tc>
        <w:tc>
          <w:tcPr>
            <w:tcW w:w="0" w:type="auto"/>
            <w:vAlign w:val="center"/>
          </w:tcPr>
          <w:p w14:paraId="2C4A7E8F" w14:textId="77777777" w:rsidR="006D0D34" w:rsidRPr="0081051C" w:rsidRDefault="006D0D34" w:rsidP="0090186A">
            <w:pPr>
              <w:jc w:val="cente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1 tablet twice per day</w:t>
            </w:r>
          </w:p>
        </w:tc>
        <w:tc>
          <w:tcPr>
            <w:tcW w:w="0" w:type="auto"/>
            <w:vAlign w:val="center"/>
          </w:tcPr>
          <w:p w14:paraId="40E5FD69" w14:textId="77777777" w:rsidR="006D0D34" w:rsidRPr="0081051C" w:rsidRDefault="006D0D34" w:rsidP="0090186A">
            <w:pPr>
              <w:jc w:val="cente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20 tablets</w:t>
            </w:r>
          </w:p>
        </w:tc>
        <w:tc>
          <w:tcPr>
            <w:tcW w:w="0" w:type="auto"/>
            <w:vAlign w:val="center"/>
          </w:tcPr>
          <w:p w14:paraId="52378E4E" w14:textId="77777777" w:rsidR="006D0D34" w:rsidRPr="0081051C" w:rsidRDefault="006D0D34" w:rsidP="0090186A">
            <w:pPr>
              <w:jc w:val="cente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100 tablets</w:t>
            </w:r>
          </w:p>
        </w:tc>
      </w:tr>
      <w:tr w:rsidR="006D0D34" w:rsidRPr="0081051C" w14:paraId="796F08AA" w14:textId="77777777" w:rsidTr="0090186A">
        <w:tc>
          <w:tcPr>
            <w:cnfStyle w:val="001000000000" w:firstRow="0" w:lastRow="0" w:firstColumn="1" w:lastColumn="0" w:oddVBand="0" w:evenVBand="0" w:oddHBand="0" w:evenHBand="0" w:firstRowFirstColumn="0" w:firstRowLastColumn="0" w:lastRowFirstColumn="0" w:lastRowLastColumn="0"/>
            <w:tcW w:w="0" w:type="auto"/>
            <w:vAlign w:val="center"/>
          </w:tcPr>
          <w:p w14:paraId="1D697371" w14:textId="77777777" w:rsidR="006D0D34" w:rsidRPr="008F63D7" w:rsidRDefault="006D0D34" w:rsidP="0090186A">
            <w:pPr>
              <w:rPr>
                <w:b w:val="0"/>
                <w:sz w:val="20"/>
                <w:szCs w:val="20"/>
              </w:rPr>
            </w:pPr>
            <w:r>
              <w:rPr>
                <w:b w:val="0"/>
                <w:sz w:val="20"/>
                <w:szCs w:val="20"/>
              </w:rPr>
              <w:t>Ciprofloxacin</w:t>
            </w:r>
          </w:p>
        </w:tc>
        <w:tc>
          <w:tcPr>
            <w:tcW w:w="0" w:type="auto"/>
            <w:vAlign w:val="center"/>
          </w:tcPr>
          <w:p w14:paraId="717E730A" w14:textId="77777777" w:rsidR="006D0D34" w:rsidRPr="0081051C" w:rsidRDefault="006D0D34" w:rsidP="0090186A">
            <w:pPr>
              <w:jc w:val="cente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500mg/table</w:t>
            </w:r>
          </w:p>
        </w:tc>
        <w:tc>
          <w:tcPr>
            <w:tcW w:w="0" w:type="auto"/>
            <w:vAlign w:val="center"/>
          </w:tcPr>
          <w:p w14:paraId="1B10414B" w14:textId="77777777" w:rsidR="006D0D34" w:rsidRPr="0081051C" w:rsidRDefault="006D0D34" w:rsidP="0090186A">
            <w:pPr>
              <w:jc w:val="cente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1 tablet twice per day</w:t>
            </w:r>
          </w:p>
        </w:tc>
        <w:tc>
          <w:tcPr>
            <w:tcW w:w="0" w:type="auto"/>
            <w:vAlign w:val="center"/>
          </w:tcPr>
          <w:p w14:paraId="59A59B0F" w14:textId="77777777" w:rsidR="006D0D34" w:rsidRPr="0081051C" w:rsidRDefault="006D0D34" w:rsidP="0090186A">
            <w:pPr>
              <w:jc w:val="cente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20 tablets</w:t>
            </w:r>
          </w:p>
        </w:tc>
        <w:tc>
          <w:tcPr>
            <w:tcW w:w="0" w:type="auto"/>
            <w:vAlign w:val="center"/>
          </w:tcPr>
          <w:p w14:paraId="413A6CDC" w14:textId="77777777" w:rsidR="006D0D34" w:rsidRPr="0081051C" w:rsidRDefault="006D0D34" w:rsidP="0090186A">
            <w:pPr>
              <w:jc w:val="cente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100 tablets</w:t>
            </w:r>
          </w:p>
        </w:tc>
      </w:tr>
    </w:tbl>
    <w:p w14:paraId="33AC4C4F" w14:textId="77777777" w:rsidR="006D0D34" w:rsidRDefault="006D0D34" w:rsidP="006D0D34"/>
    <w:p w14:paraId="73F83190" w14:textId="1E98D47B" w:rsidR="006D0D34" w:rsidRDefault="006D0D34" w:rsidP="006D0D34">
      <w:pPr>
        <w:pStyle w:val="Caption"/>
        <w:keepNext/>
      </w:pPr>
      <w:r>
        <w:t xml:space="preserve">Table </w:t>
      </w:r>
      <w:r w:rsidR="000B42C2">
        <w:rPr>
          <w:noProof/>
        </w:rPr>
        <w:t>4</w:t>
      </w:r>
      <w:r>
        <w:t>: Estimated Total Cases &amp; Pallets of Medication by Population Size (based on current (50/50) SNS configuration)</w:t>
      </w:r>
    </w:p>
    <w:tbl>
      <w:tblPr>
        <w:tblStyle w:val="GridTable1Light-Accent111"/>
        <w:tblW w:w="0" w:type="auto"/>
        <w:tblLook w:val="04A0" w:firstRow="1" w:lastRow="0" w:firstColumn="1" w:lastColumn="0" w:noHBand="0" w:noVBand="1"/>
      </w:tblPr>
      <w:tblGrid>
        <w:gridCol w:w="1035"/>
        <w:gridCol w:w="996"/>
        <w:gridCol w:w="629"/>
        <w:gridCol w:w="699"/>
        <w:gridCol w:w="629"/>
        <w:gridCol w:w="699"/>
        <w:gridCol w:w="629"/>
        <w:gridCol w:w="699"/>
        <w:gridCol w:w="629"/>
        <w:gridCol w:w="699"/>
      </w:tblGrid>
      <w:tr w:rsidR="006D0D34" w:rsidRPr="005F5EC9" w14:paraId="676E61DA" w14:textId="77777777" w:rsidTr="0090186A">
        <w:trPr>
          <w:cnfStyle w:val="100000000000" w:firstRow="1" w:lastRow="0" w:firstColumn="0" w:lastColumn="0" w:oddVBand="0" w:evenVBand="0" w:oddHBand="0" w:evenHBand="0" w:firstRowFirstColumn="0" w:firstRowLastColumn="0" w:lastRowFirstColumn="0" w:lastRowLastColumn="0"/>
          <w:trHeight w:val="50"/>
          <w:tblHeader/>
        </w:trPr>
        <w:tc>
          <w:tcPr>
            <w:cnfStyle w:val="001000000000" w:firstRow="0" w:lastRow="0" w:firstColumn="1" w:lastColumn="0" w:oddVBand="0" w:evenVBand="0" w:oddHBand="0" w:evenHBand="0" w:firstRowFirstColumn="0" w:firstRowLastColumn="0" w:lastRowFirstColumn="0" w:lastRowLastColumn="0"/>
            <w:tcW w:w="0" w:type="auto"/>
            <w:vMerge w:val="restart"/>
            <w:vAlign w:val="bottom"/>
          </w:tcPr>
          <w:p w14:paraId="13924A5D" w14:textId="77777777" w:rsidR="006D0D34" w:rsidRPr="005F5EC9" w:rsidRDefault="006D0D34" w:rsidP="0090186A">
            <w:pPr>
              <w:jc w:val="center"/>
              <w:rPr>
                <w:sz w:val="18"/>
                <w:szCs w:val="18"/>
              </w:rPr>
            </w:pPr>
            <w:r>
              <w:rPr>
                <w:sz w:val="18"/>
                <w:szCs w:val="18"/>
              </w:rPr>
              <w:t>Population</w:t>
            </w:r>
          </w:p>
        </w:tc>
        <w:tc>
          <w:tcPr>
            <w:tcW w:w="0" w:type="auto"/>
            <w:vMerge w:val="restart"/>
            <w:vAlign w:val="bottom"/>
          </w:tcPr>
          <w:p w14:paraId="6E3B9EBC" w14:textId="77777777" w:rsidR="006D0D34" w:rsidRDefault="006D0D34" w:rsidP="0090186A">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10%</w:t>
            </w:r>
          </w:p>
          <w:p w14:paraId="0045810C" w14:textId="77777777" w:rsidR="006D0D34" w:rsidRDefault="006D0D34" w:rsidP="0090186A">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Additional</w:t>
            </w:r>
          </w:p>
          <w:p w14:paraId="05744875" w14:textId="77777777" w:rsidR="006D0D34" w:rsidRPr="005F5EC9" w:rsidRDefault="006D0D34" w:rsidP="0090186A">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Allocation</w:t>
            </w:r>
          </w:p>
        </w:tc>
        <w:tc>
          <w:tcPr>
            <w:tcW w:w="0" w:type="auto"/>
            <w:gridSpan w:val="4"/>
            <w:vAlign w:val="bottom"/>
          </w:tcPr>
          <w:p w14:paraId="590C7297" w14:textId="77777777" w:rsidR="006D0D34" w:rsidRPr="005F5EC9" w:rsidRDefault="006D0D34" w:rsidP="0090186A">
            <w:pPr>
              <w:jc w:val="center"/>
              <w:cnfStyle w:val="100000000000" w:firstRow="1" w:lastRow="0" w:firstColumn="0" w:lastColumn="0" w:oddVBand="0" w:evenVBand="0" w:oddHBand="0" w:evenHBand="0" w:firstRowFirstColumn="0" w:firstRowLastColumn="0" w:lastRowFirstColumn="0" w:lastRowLastColumn="0"/>
              <w:rPr>
                <w:sz w:val="18"/>
                <w:szCs w:val="18"/>
              </w:rPr>
            </w:pPr>
            <w:r w:rsidRPr="005F5EC9">
              <w:rPr>
                <w:sz w:val="18"/>
                <w:szCs w:val="18"/>
              </w:rPr>
              <w:t>10-day Supply</w:t>
            </w:r>
          </w:p>
        </w:tc>
        <w:tc>
          <w:tcPr>
            <w:tcW w:w="0" w:type="auto"/>
            <w:gridSpan w:val="4"/>
            <w:vAlign w:val="bottom"/>
          </w:tcPr>
          <w:p w14:paraId="4D94FB02" w14:textId="77777777" w:rsidR="006D0D34" w:rsidRPr="005F5EC9" w:rsidRDefault="006D0D34" w:rsidP="0090186A">
            <w:pPr>
              <w:jc w:val="center"/>
              <w:cnfStyle w:val="100000000000" w:firstRow="1" w:lastRow="0" w:firstColumn="0" w:lastColumn="0" w:oddVBand="0" w:evenVBand="0" w:oddHBand="0" w:evenHBand="0" w:firstRowFirstColumn="0" w:firstRowLastColumn="0" w:lastRowFirstColumn="0" w:lastRowLastColumn="0"/>
              <w:rPr>
                <w:sz w:val="18"/>
                <w:szCs w:val="18"/>
              </w:rPr>
            </w:pPr>
            <w:r w:rsidRPr="005F5EC9">
              <w:rPr>
                <w:sz w:val="18"/>
                <w:szCs w:val="18"/>
              </w:rPr>
              <w:t>50-day</w:t>
            </w:r>
            <w:r>
              <w:rPr>
                <w:sz w:val="18"/>
                <w:szCs w:val="18"/>
              </w:rPr>
              <w:t xml:space="preserve"> Supply</w:t>
            </w:r>
          </w:p>
        </w:tc>
      </w:tr>
      <w:tr w:rsidR="006D0D34" w:rsidRPr="005F5EC9" w14:paraId="68362294" w14:textId="77777777" w:rsidTr="0090186A">
        <w:trPr>
          <w:cnfStyle w:val="100000000000" w:firstRow="1" w:lastRow="0" w:firstColumn="0" w:lastColumn="0" w:oddVBand="0" w:evenVBand="0" w:oddHBand="0" w:evenHBand="0" w:firstRowFirstColumn="0" w:firstRowLastColumn="0" w:lastRowFirstColumn="0" w:lastRowLastColumn="0"/>
          <w:trHeight w:val="50"/>
          <w:tblHeader/>
        </w:trPr>
        <w:tc>
          <w:tcPr>
            <w:cnfStyle w:val="001000000000" w:firstRow="0" w:lastRow="0" w:firstColumn="1" w:lastColumn="0" w:oddVBand="0" w:evenVBand="0" w:oddHBand="0" w:evenHBand="0" w:firstRowFirstColumn="0" w:firstRowLastColumn="0" w:lastRowFirstColumn="0" w:lastRowLastColumn="0"/>
            <w:tcW w:w="0" w:type="auto"/>
            <w:vMerge/>
            <w:vAlign w:val="bottom"/>
          </w:tcPr>
          <w:p w14:paraId="10ACD824" w14:textId="77777777" w:rsidR="006D0D34" w:rsidRPr="005F5EC9" w:rsidRDefault="006D0D34" w:rsidP="0090186A">
            <w:pPr>
              <w:jc w:val="center"/>
              <w:rPr>
                <w:sz w:val="18"/>
                <w:szCs w:val="18"/>
              </w:rPr>
            </w:pPr>
          </w:p>
        </w:tc>
        <w:tc>
          <w:tcPr>
            <w:tcW w:w="0" w:type="auto"/>
            <w:vMerge/>
            <w:vAlign w:val="bottom"/>
          </w:tcPr>
          <w:p w14:paraId="51EC9ECA" w14:textId="77777777" w:rsidR="006D0D34" w:rsidRPr="005F5EC9" w:rsidRDefault="006D0D34" w:rsidP="0090186A">
            <w:pPr>
              <w:jc w:val="center"/>
              <w:cnfStyle w:val="100000000000" w:firstRow="1" w:lastRow="0" w:firstColumn="0" w:lastColumn="0" w:oddVBand="0" w:evenVBand="0" w:oddHBand="0" w:evenHBand="0" w:firstRowFirstColumn="0" w:firstRowLastColumn="0" w:lastRowFirstColumn="0" w:lastRowLastColumn="0"/>
              <w:rPr>
                <w:sz w:val="18"/>
                <w:szCs w:val="18"/>
              </w:rPr>
            </w:pPr>
          </w:p>
        </w:tc>
        <w:tc>
          <w:tcPr>
            <w:tcW w:w="0" w:type="auto"/>
            <w:gridSpan w:val="2"/>
            <w:vAlign w:val="bottom"/>
          </w:tcPr>
          <w:p w14:paraId="7D9490AF" w14:textId="77777777" w:rsidR="006D0D34" w:rsidRPr="005F5EC9" w:rsidRDefault="006D0D34" w:rsidP="0090186A">
            <w:pPr>
              <w:jc w:val="center"/>
              <w:cnfStyle w:val="100000000000" w:firstRow="1" w:lastRow="0" w:firstColumn="0" w:lastColumn="0" w:oddVBand="0" w:evenVBand="0" w:oddHBand="0" w:evenHBand="0" w:firstRowFirstColumn="0" w:firstRowLastColumn="0" w:lastRowFirstColumn="0" w:lastRowLastColumn="0"/>
              <w:rPr>
                <w:sz w:val="18"/>
                <w:szCs w:val="18"/>
              </w:rPr>
            </w:pPr>
            <w:r w:rsidRPr="005F5EC9">
              <w:rPr>
                <w:sz w:val="18"/>
                <w:szCs w:val="18"/>
              </w:rPr>
              <w:t>50% Doxy</w:t>
            </w:r>
          </w:p>
        </w:tc>
        <w:tc>
          <w:tcPr>
            <w:tcW w:w="0" w:type="auto"/>
            <w:gridSpan w:val="2"/>
            <w:vAlign w:val="bottom"/>
          </w:tcPr>
          <w:p w14:paraId="477F7998" w14:textId="77777777" w:rsidR="006D0D34" w:rsidRPr="005F5EC9" w:rsidRDefault="006D0D34" w:rsidP="0090186A">
            <w:pPr>
              <w:jc w:val="center"/>
              <w:cnfStyle w:val="100000000000" w:firstRow="1" w:lastRow="0" w:firstColumn="0" w:lastColumn="0" w:oddVBand="0" w:evenVBand="0" w:oddHBand="0" w:evenHBand="0" w:firstRowFirstColumn="0" w:firstRowLastColumn="0" w:lastRowFirstColumn="0" w:lastRowLastColumn="0"/>
              <w:rPr>
                <w:sz w:val="18"/>
                <w:szCs w:val="18"/>
              </w:rPr>
            </w:pPr>
            <w:r w:rsidRPr="005F5EC9">
              <w:rPr>
                <w:sz w:val="18"/>
                <w:szCs w:val="18"/>
              </w:rPr>
              <w:t>50% Cipro</w:t>
            </w:r>
          </w:p>
        </w:tc>
        <w:tc>
          <w:tcPr>
            <w:tcW w:w="0" w:type="auto"/>
            <w:gridSpan w:val="2"/>
            <w:vAlign w:val="bottom"/>
          </w:tcPr>
          <w:p w14:paraId="006884FA" w14:textId="77777777" w:rsidR="006D0D34" w:rsidRPr="005F5EC9" w:rsidRDefault="006D0D34" w:rsidP="0090186A">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50% </w:t>
            </w:r>
            <w:r w:rsidRPr="005F5EC9">
              <w:rPr>
                <w:sz w:val="18"/>
                <w:szCs w:val="18"/>
              </w:rPr>
              <w:t>Doxy</w:t>
            </w:r>
          </w:p>
        </w:tc>
        <w:tc>
          <w:tcPr>
            <w:tcW w:w="0" w:type="auto"/>
            <w:gridSpan w:val="2"/>
            <w:vAlign w:val="bottom"/>
          </w:tcPr>
          <w:p w14:paraId="44C22C9B" w14:textId="77777777" w:rsidR="006D0D34" w:rsidRPr="005F5EC9" w:rsidRDefault="006D0D34" w:rsidP="0090186A">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50% </w:t>
            </w:r>
            <w:r w:rsidRPr="005F5EC9">
              <w:rPr>
                <w:sz w:val="18"/>
                <w:szCs w:val="18"/>
              </w:rPr>
              <w:t>Cipro</w:t>
            </w:r>
          </w:p>
        </w:tc>
      </w:tr>
      <w:tr w:rsidR="006D0D34" w:rsidRPr="005F5EC9" w14:paraId="141728C7" w14:textId="77777777" w:rsidTr="0090186A">
        <w:trPr>
          <w:cnfStyle w:val="100000000000" w:firstRow="1" w:lastRow="0" w:firstColumn="0" w:lastColumn="0" w:oddVBand="0" w:evenVBand="0" w:oddHBand="0" w:evenHBand="0" w:firstRowFirstColumn="0" w:firstRowLastColumn="0" w:lastRowFirstColumn="0" w:lastRowLastColumn="0"/>
          <w:trHeight w:val="105"/>
          <w:tblHeader/>
        </w:trPr>
        <w:tc>
          <w:tcPr>
            <w:cnfStyle w:val="001000000000" w:firstRow="0" w:lastRow="0" w:firstColumn="1" w:lastColumn="0" w:oddVBand="0" w:evenVBand="0" w:oddHBand="0" w:evenHBand="0" w:firstRowFirstColumn="0" w:firstRowLastColumn="0" w:lastRowFirstColumn="0" w:lastRowLastColumn="0"/>
            <w:tcW w:w="0" w:type="auto"/>
            <w:vMerge/>
            <w:vAlign w:val="bottom"/>
          </w:tcPr>
          <w:p w14:paraId="7FD9820C" w14:textId="77777777" w:rsidR="006D0D34" w:rsidRPr="005F5EC9" w:rsidRDefault="006D0D34" w:rsidP="0090186A">
            <w:pPr>
              <w:jc w:val="center"/>
              <w:rPr>
                <w:sz w:val="18"/>
                <w:szCs w:val="18"/>
              </w:rPr>
            </w:pPr>
          </w:p>
        </w:tc>
        <w:tc>
          <w:tcPr>
            <w:tcW w:w="0" w:type="auto"/>
            <w:vMerge/>
            <w:vAlign w:val="bottom"/>
          </w:tcPr>
          <w:p w14:paraId="565EF0FB" w14:textId="77777777" w:rsidR="006D0D34" w:rsidRPr="005F5EC9" w:rsidRDefault="006D0D34" w:rsidP="0090186A">
            <w:pPr>
              <w:jc w:val="center"/>
              <w:cnfStyle w:val="100000000000" w:firstRow="1" w:lastRow="0" w:firstColumn="0" w:lastColumn="0" w:oddVBand="0" w:evenVBand="0" w:oddHBand="0" w:evenHBand="0" w:firstRowFirstColumn="0" w:firstRowLastColumn="0" w:lastRowFirstColumn="0" w:lastRowLastColumn="0"/>
              <w:rPr>
                <w:sz w:val="18"/>
                <w:szCs w:val="18"/>
              </w:rPr>
            </w:pPr>
          </w:p>
        </w:tc>
        <w:tc>
          <w:tcPr>
            <w:tcW w:w="0" w:type="auto"/>
            <w:vAlign w:val="bottom"/>
          </w:tcPr>
          <w:p w14:paraId="134FB94F" w14:textId="77777777" w:rsidR="006D0D34" w:rsidRPr="005F5EC9" w:rsidRDefault="006D0D34" w:rsidP="0090186A">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5F5EC9">
              <w:rPr>
                <w:b w:val="0"/>
                <w:bCs w:val="0"/>
                <w:sz w:val="18"/>
                <w:szCs w:val="18"/>
              </w:rPr>
              <w:t>Cases</w:t>
            </w:r>
          </w:p>
        </w:tc>
        <w:tc>
          <w:tcPr>
            <w:tcW w:w="0" w:type="auto"/>
            <w:vAlign w:val="bottom"/>
          </w:tcPr>
          <w:p w14:paraId="7484C34B" w14:textId="77777777" w:rsidR="006D0D34" w:rsidRPr="005F5EC9" w:rsidRDefault="006D0D34" w:rsidP="0090186A">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5F5EC9">
              <w:rPr>
                <w:b w:val="0"/>
                <w:sz w:val="18"/>
                <w:szCs w:val="18"/>
              </w:rPr>
              <w:t>Pallets</w:t>
            </w:r>
          </w:p>
        </w:tc>
        <w:tc>
          <w:tcPr>
            <w:tcW w:w="0" w:type="auto"/>
            <w:vAlign w:val="bottom"/>
          </w:tcPr>
          <w:p w14:paraId="24450BE9" w14:textId="77777777" w:rsidR="006D0D34" w:rsidRPr="005F5EC9" w:rsidRDefault="006D0D34" w:rsidP="0090186A">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5F5EC9">
              <w:rPr>
                <w:b w:val="0"/>
                <w:bCs w:val="0"/>
                <w:sz w:val="18"/>
                <w:szCs w:val="18"/>
              </w:rPr>
              <w:t>Cases</w:t>
            </w:r>
          </w:p>
        </w:tc>
        <w:tc>
          <w:tcPr>
            <w:tcW w:w="0" w:type="auto"/>
            <w:vAlign w:val="bottom"/>
          </w:tcPr>
          <w:p w14:paraId="07E6A045" w14:textId="77777777" w:rsidR="006D0D34" w:rsidRPr="005F5EC9" w:rsidRDefault="006D0D34" w:rsidP="0090186A">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5F5EC9">
              <w:rPr>
                <w:b w:val="0"/>
                <w:sz w:val="18"/>
                <w:szCs w:val="18"/>
              </w:rPr>
              <w:t>Pallets</w:t>
            </w:r>
          </w:p>
        </w:tc>
        <w:tc>
          <w:tcPr>
            <w:tcW w:w="0" w:type="auto"/>
            <w:vAlign w:val="bottom"/>
          </w:tcPr>
          <w:p w14:paraId="359F3A81" w14:textId="77777777" w:rsidR="006D0D34" w:rsidRPr="005F5EC9" w:rsidRDefault="006D0D34" w:rsidP="0090186A">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5F5EC9">
              <w:rPr>
                <w:b w:val="0"/>
                <w:bCs w:val="0"/>
                <w:sz w:val="18"/>
                <w:szCs w:val="18"/>
              </w:rPr>
              <w:t>Cases</w:t>
            </w:r>
          </w:p>
        </w:tc>
        <w:tc>
          <w:tcPr>
            <w:tcW w:w="0" w:type="auto"/>
            <w:vAlign w:val="bottom"/>
          </w:tcPr>
          <w:p w14:paraId="38942C9F" w14:textId="77777777" w:rsidR="006D0D34" w:rsidRPr="005F5EC9" w:rsidRDefault="006D0D34" w:rsidP="0090186A">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5F5EC9">
              <w:rPr>
                <w:b w:val="0"/>
                <w:sz w:val="18"/>
                <w:szCs w:val="18"/>
              </w:rPr>
              <w:t>Pallets</w:t>
            </w:r>
          </w:p>
        </w:tc>
        <w:tc>
          <w:tcPr>
            <w:tcW w:w="0" w:type="auto"/>
            <w:vAlign w:val="bottom"/>
          </w:tcPr>
          <w:p w14:paraId="2780ADB9" w14:textId="77777777" w:rsidR="006D0D34" w:rsidRPr="005F5EC9" w:rsidRDefault="006D0D34" w:rsidP="0090186A">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5F5EC9">
              <w:rPr>
                <w:b w:val="0"/>
                <w:bCs w:val="0"/>
                <w:sz w:val="18"/>
                <w:szCs w:val="18"/>
              </w:rPr>
              <w:t>Cases</w:t>
            </w:r>
          </w:p>
        </w:tc>
        <w:tc>
          <w:tcPr>
            <w:tcW w:w="0" w:type="auto"/>
            <w:vAlign w:val="bottom"/>
          </w:tcPr>
          <w:p w14:paraId="0E956382" w14:textId="77777777" w:rsidR="006D0D34" w:rsidRPr="005F5EC9" w:rsidRDefault="006D0D34" w:rsidP="0090186A">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5F5EC9">
              <w:rPr>
                <w:b w:val="0"/>
                <w:sz w:val="18"/>
                <w:szCs w:val="18"/>
              </w:rPr>
              <w:t>Pallets</w:t>
            </w:r>
          </w:p>
        </w:tc>
      </w:tr>
      <w:tr w:rsidR="006D0D34" w:rsidRPr="005F5EC9" w14:paraId="0A4F8003" w14:textId="77777777" w:rsidTr="0090186A">
        <w:tc>
          <w:tcPr>
            <w:cnfStyle w:val="001000000000" w:firstRow="0" w:lastRow="0" w:firstColumn="1" w:lastColumn="0" w:oddVBand="0" w:evenVBand="0" w:oddHBand="0" w:evenHBand="0" w:firstRowFirstColumn="0" w:firstRowLastColumn="0" w:lastRowFirstColumn="0" w:lastRowLastColumn="0"/>
            <w:tcW w:w="0" w:type="auto"/>
            <w:vAlign w:val="center"/>
          </w:tcPr>
          <w:p w14:paraId="578416C2" w14:textId="77777777" w:rsidR="006D0D34" w:rsidRDefault="006D0D34" w:rsidP="0090186A">
            <w:pPr>
              <w:jc w:val="right"/>
              <w:rPr>
                <w:b w:val="0"/>
                <w:sz w:val="18"/>
                <w:szCs w:val="18"/>
              </w:rPr>
            </w:pPr>
            <w:r>
              <w:rPr>
                <w:b w:val="0"/>
                <w:sz w:val="18"/>
                <w:szCs w:val="18"/>
              </w:rPr>
              <w:t>5,000</w:t>
            </w:r>
          </w:p>
        </w:tc>
        <w:tc>
          <w:tcPr>
            <w:tcW w:w="0" w:type="auto"/>
          </w:tcPr>
          <w:p w14:paraId="016A00B9"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5,500</w:t>
            </w:r>
          </w:p>
        </w:tc>
        <w:tc>
          <w:tcPr>
            <w:tcW w:w="0" w:type="auto"/>
            <w:vAlign w:val="center"/>
          </w:tcPr>
          <w:p w14:paraId="5AAA706E"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28</w:t>
            </w:r>
          </w:p>
        </w:tc>
        <w:tc>
          <w:tcPr>
            <w:tcW w:w="0" w:type="auto"/>
            <w:vAlign w:val="center"/>
          </w:tcPr>
          <w:p w14:paraId="57A800C8"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1</w:t>
            </w:r>
          </w:p>
        </w:tc>
        <w:tc>
          <w:tcPr>
            <w:tcW w:w="0" w:type="auto"/>
          </w:tcPr>
          <w:p w14:paraId="6332CF46"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28</w:t>
            </w:r>
          </w:p>
        </w:tc>
        <w:tc>
          <w:tcPr>
            <w:tcW w:w="0" w:type="auto"/>
          </w:tcPr>
          <w:p w14:paraId="2F46895F"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1</w:t>
            </w:r>
          </w:p>
        </w:tc>
        <w:tc>
          <w:tcPr>
            <w:tcW w:w="0" w:type="auto"/>
          </w:tcPr>
          <w:p w14:paraId="4010CC4A"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28</w:t>
            </w:r>
          </w:p>
        </w:tc>
        <w:tc>
          <w:tcPr>
            <w:tcW w:w="0" w:type="auto"/>
          </w:tcPr>
          <w:p w14:paraId="5F7A175C"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1</w:t>
            </w:r>
          </w:p>
        </w:tc>
        <w:tc>
          <w:tcPr>
            <w:tcW w:w="0" w:type="auto"/>
          </w:tcPr>
          <w:p w14:paraId="69DF1483"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20</w:t>
            </w:r>
          </w:p>
        </w:tc>
        <w:tc>
          <w:tcPr>
            <w:tcW w:w="0" w:type="auto"/>
          </w:tcPr>
          <w:p w14:paraId="2E22DB9A"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1</w:t>
            </w:r>
          </w:p>
        </w:tc>
      </w:tr>
      <w:tr w:rsidR="006D0D34" w:rsidRPr="005F5EC9" w14:paraId="239003AB" w14:textId="77777777" w:rsidTr="0090186A">
        <w:tc>
          <w:tcPr>
            <w:cnfStyle w:val="001000000000" w:firstRow="0" w:lastRow="0" w:firstColumn="1" w:lastColumn="0" w:oddVBand="0" w:evenVBand="0" w:oddHBand="0" w:evenHBand="0" w:firstRowFirstColumn="0" w:firstRowLastColumn="0" w:lastRowFirstColumn="0" w:lastRowLastColumn="0"/>
            <w:tcW w:w="0" w:type="auto"/>
            <w:vAlign w:val="center"/>
          </w:tcPr>
          <w:p w14:paraId="26EE9722" w14:textId="77777777" w:rsidR="006D0D34" w:rsidRDefault="006D0D34" w:rsidP="0090186A">
            <w:pPr>
              <w:jc w:val="right"/>
              <w:rPr>
                <w:b w:val="0"/>
                <w:sz w:val="18"/>
                <w:szCs w:val="18"/>
              </w:rPr>
            </w:pPr>
            <w:r>
              <w:rPr>
                <w:b w:val="0"/>
                <w:sz w:val="18"/>
                <w:szCs w:val="18"/>
              </w:rPr>
              <w:t>10,000</w:t>
            </w:r>
          </w:p>
        </w:tc>
        <w:tc>
          <w:tcPr>
            <w:tcW w:w="0" w:type="auto"/>
          </w:tcPr>
          <w:p w14:paraId="2A28B4FE"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11,000</w:t>
            </w:r>
          </w:p>
        </w:tc>
        <w:tc>
          <w:tcPr>
            <w:tcW w:w="0" w:type="auto"/>
            <w:vAlign w:val="center"/>
          </w:tcPr>
          <w:p w14:paraId="76B42C3E"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55</w:t>
            </w:r>
          </w:p>
        </w:tc>
        <w:tc>
          <w:tcPr>
            <w:tcW w:w="0" w:type="auto"/>
            <w:vAlign w:val="center"/>
          </w:tcPr>
          <w:p w14:paraId="79123AA9"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1</w:t>
            </w:r>
          </w:p>
        </w:tc>
        <w:tc>
          <w:tcPr>
            <w:tcW w:w="0" w:type="auto"/>
          </w:tcPr>
          <w:p w14:paraId="4B615437"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55</w:t>
            </w:r>
          </w:p>
        </w:tc>
        <w:tc>
          <w:tcPr>
            <w:tcW w:w="0" w:type="auto"/>
          </w:tcPr>
          <w:p w14:paraId="6FE88E54"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1</w:t>
            </w:r>
          </w:p>
        </w:tc>
        <w:tc>
          <w:tcPr>
            <w:tcW w:w="0" w:type="auto"/>
          </w:tcPr>
          <w:p w14:paraId="47A9303D"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55</w:t>
            </w:r>
          </w:p>
        </w:tc>
        <w:tc>
          <w:tcPr>
            <w:tcW w:w="0" w:type="auto"/>
          </w:tcPr>
          <w:p w14:paraId="40AC7A96"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1</w:t>
            </w:r>
          </w:p>
        </w:tc>
        <w:tc>
          <w:tcPr>
            <w:tcW w:w="0" w:type="auto"/>
          </w:tcPr>
          <w:p w14:paraId="33E7B1F2"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39</w:t>
            </w:r>
          </w:p>
        </w:tc>
        <w:tc>
          <w:tcPr>
            <w:tcW w:w="0" w:type="auto"/>
          </w:tcPr>
          <w:p w14:paraId="5AA26881"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1</w:t>
            </w:r>
          </w:p>
        </w:tc>
      </w:tr>
      <w:tr w:rsidR="006D0D34" w:rsidRPr="005F5EC9" w14:paraId="3C117DC9" w14:textId="77777777" w:rsidTr="0090186A">
        <w:tc>
          <w:tcPr>
            <w:cnfStyle w:val="001000000000" w:firstRow="0" w:lastRow="0" w:firstColumn="1" w:lastColumn="0" w:oddVBand="0" w:evenVBand="0" w:oddHBand="0" w:evenHBand="0" w:firstRowFirstColumn="0" w:firstRowLastColumn="0" w:lastRowFirstColumn="0" w:lastRowLastColumn="0"/>
            <w:tcW w:w="0" w:type="auto"/>
            <w:vAlign w:val="center"/>
          </w:tcPr>
          <w:p w14:paraId="66E972B0" w14:textId="77777777" w:rsidR="006D0D34" w:rsidRDefault="006D0D34" w:rsidP="0090186A">
            <w:pPr>
              <w:jc w:val="right"/>
              <w:rPr>
                <w:b w:val="0"/>
                <w:sz w:val="18"/>
                <w:szCs w:val="18"/>
              </w:rPr>
            </w:pPr>
            <w:r>
              <w:rPr>
                <w:b w:val="0"/>
                <w:sz w:val="18"/>
                <w:szCs w:val="18"/>
              </w:rPr>
              <w:t>25,000</w:t>
            </w:r>
          </w:p>
        </w:tc>
        <w:tc>
          <w:tcPr>
            <w:tcW w:w="0" w:type="auto"/>
          </w:tcPr>
          <w:p w14:paraId="24E1B34A"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27,500</w:t>
            </w:r>
          </w:p>
        </w:tc>
        <w:tc>
          <w:tcPr>
            <w:tcW w:w="0" w:type="auto"/>
            <w:vAlign w:val="center"/>
          </w:tcPr>
          <w:p w14:paraId="01A7E033"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138</w:t>
            </w:r>
          </w:p>
        </w:tc>
        <w:tc>
          <w:tcPr>
            <w:tcW w:w="0" w:type="auto"/>
            <w:vAlign w:val="center"/>
          </w:tcPr>
          <w:p w14:paraId="2050AE7D"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2</w:t>
            </w:r>
          </w:p>
        </w:tc>
        <w:tc>
          <w:tcPr>
            <w:tcW w:w="0" w:type="auto"/>
          </w:tcPr>
          <w:p w14:paraId="5242C076"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138</w:t>
            </w:r>
          </w:p>
        </w:tc>
        <w:tc>
          <w:tcPr>
            <w:tcW w:w="0" w:type="auto"/>
          </w:tcPr>
          <w:p w14:paraId="65DE460B"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2</w:t>
            </w:r>
          </w:p>
        </w:tc>
        <w:tc>
          <w:tcPr>
            <w:tcW w:w="0" w:type="auto"/>
          </w:tcPr>
          <w:p w14:paraId="1B320DFB"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138</w:t>
            </w:r>
          </w:p>
        </w:tc>
        <w:tc>
          <w:tcPr>
            <w:tcW w:w="0" w:type="auto"/>
          </w:tcPr>
          <w:p w14:paraId="6A4F24EE"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2</w:t>
            </w:r>
          </w:p>
        </w:tc>
        <w:tc>
          <w:tcPr>
            <w:tcW w:w="0" w:type="auto"/>
          </w:tcPr>
          <w:p w14:paraId="7948BAFD"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96</w:t>
            </w:r>
          </w:p>
        </w:tc>
        <w:tc>
          <w:tcPr>
            <w:tcW w:w="0" w:type="auto"/>
          </w:tcPr>
          <w:p w14:paraId="763A77C3"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3</w:t>
            </w:r>
          </w:p>
        </w:tc>
      </w:tr>
      <w:tr w:rsidR="006D0D34" w:rsidRPr="005F5EC9" w14:paraId="43B9DE31" w14:textId="77777777" w:rsidTr="0090186A">
        <w:tc>
          <w:tcPr>
            <w:cnfStyle w:val="001000000000" w:firstRow="0" w:lastRow="0" w:firstColumn="1" w:lastColumn="0" w:oddVBand="0" w:evenVBand="0" w:oddHBand="0" w:evenHBand="0" w:firstRowFirstColumn="0" w:firstRowLastColumn="0" w:lastRowFirstColumn="0" w:lastRowLastColumn="0"/>
            <w:tcW w:w="0" w:type="auto"/>
            <w:vAlign w:val="center"/>
          </w:tcPr>
          <w:p w14:paraId="06134AEF" w14:textId="77777777" w:rsidR="006D0D34" w:rsidRDefault="006D0D34" w:rsidP="0090186A">
            <w:pPr>
              <w:jc w:val="right"/>
              <w:rPr>
                <w:b w:val="0"/>
                <w:sz w:val="18"/>
                <w:szCs w:val="18"/>
              </w:rPr>
            </w:pPr>
            <w:r>
              <w:rPr>
                <w:b w:val="0"/>
                <w:sz w:val="18"/>
                <w:szCs w:val="18"/>
              </w:rPr>
              <w:t>50,000</w:t>
            </w:r>
          </w:p>
        </w:tc>
        <w:tc>
          <w:tcPr>
            <w:tcW w:w="0" w:type="auto"/>
          </w:tcPr>
          <w:p w14:paraId="2D2E6E2B"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55,000</w:t>
            </w:r>
          </w:p>
        </w:tc>
        <w:tc>
          <w:tcPr>
            <w:tcW w:w="0" w:type="auto"/>
            <w:vAlign w:val="center"/>
          </w:tcPr>
          <w:p w14:paraId="69453C10"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275</w:t>
            </w:r>
          </w:p>
        </w:tc>
        <w:tc>
          <w:tcPr>
            <w:tcW w:w="0" w:type="auto"/>
            <w:vAlign w:val="center"/>
          </w:tcPr>
          <w:p w14:paraId="201E26DA"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3</w:t>
            </w:r>
          </w:p>
        </w:tc>
        <w:tc>
          <w:tcPr>
            <w:tcW w:w="0" w:type="auto"/>
          </w:tcPr>
          <w:p w14:paraId="3FC54865"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275</w:t>
            </w:r>
          </w:p>
        </w:tc>
        <w:tc>
          <w:tcPr>
            <w:tcW w:w="0" w:type="auto"/>
          </w:tcPr>
          <w:p w14:paraId="0E77244F"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3</w:t>
            </w:r>
          </w:p>
        </w:tc>
        <w:tc>
          <w:tcPr>
            <w:tcW w:w="0" w:type="auto"/>
          </w:tcPr>
          <w:p w14:paraId="0BB8A778"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275</w:t>
            </w:r>
          </w:p>
        </w:tc>
        <w:tc>
          <w:tcPr>
            <w:tcW w:w="0" w:type="auto"/>
          </w:tcPr>
          <w:p w14:paraId="45FD65FC"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3</w:t>
            </w:r>
          </w:p>
        </w:tc>
        <w:tc>
          <w:tcPr>
            <w:tcW w:w="0" w:type="auto"/>
          </w:tcPr>
          <w:p w14:paraId="253E41A6"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191</w:t>
            </w:r>
          </w:p>
        </w:tc>
        <w:tc>
          <w:tcPr>
            <w:tcW w:w="0" w:type="auto"/>
          </w:tcPr>
          <w:p w14:paraId="6069539F"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6</w:t>
            </w:r>
          </w:p>
        </w:tc>
      </w:tr>
      <w:tr w:rsidR="006D0D34" w:rsidRPr="005F5EC9" w14:paraId="13121494" w14:textId="77777777" w:rsidTr="0090186A">
        <w:tc>
          <w:tcPr>
            <w:cnfStyle w:val="001000000000" w:firstRow="0" w:lastRow="0" w:firstColumn="1" w:lastColumn="0" w:oddVBand="0" w:evenVBand="0" w:oddHBand="0" w:evenHBand="0" w:firstRowFirstColumn="0" w:firstRowLastColumn="0" w:lastRowFirstColumn="0" w:lastRowLastColumn="0"/>
            <w:tcW w:w="0" w:type="auto"/>
            <w:vAlign w:val="center"/>
          </w:tcPr>
          <w:p w14:paraId="4C8DD910" w14:textId="77777777" w:rsidR="006D0D34" w:rsidRDefault="006D0D34" w:rsidP="0090186A">
            <w:pPr>
              <w:jc w:val="right"/>
              <w:rPr>
                <w:b w:val="0"/>
                <w:sz w:val="18"/>
                <w:szCs w:val="18"/>
              </w:rPr>
            </w:pPr>
            <w:r>
              <w:rPr>
                <w:b w:val="0"/>
                <w:sz w:val="18"/>
                <w:szCs w:val="18"/>
              </w:rPr>
              <w:t>100,000</w:t>
            </w:r>
          </w:p>
        </w:tc>
        <w:tc>
          <w:tcPr>
            <w:tcW w:w="0" w:type="auto"/>
          </w:tcPr>
          <w:p w14:paraId="78CD1DCA"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110,000</w:t>
            </w:r>
          </w:p>
        </w:tc>
        <w:tc>
          <w:tcPr>
            <w:tcW w:w="0" w:type="auto"/>
            <w:vAlign w:val="center"/>
          </w:tcPr>
          <w:p w14:paraId="6FFCCC8F"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550</w:t>
            </w:r>
          </w:p>
        </w:tc>
        <w:tc>
          <w:tcPr>
            <w:tcW w:w="0" w:type="auto"/>
            <w:vAlign w:val="center"/>
          </w:tcPr>
          <w:p w14:paraId="504085A8"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6</w:t>
            </w:r>
          </w:p>
        </w:tc>
        <w:tc>
          <w:tcPr>
            <w:tcW w:w="0" w:type="auto"/>
          </w:tcPr>
          <w:p w14:paraId="565453AC"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550</w:t>
            </w:r>
          </w:p>
        </w:tc>
        <w:tc>
          <w:tcPr>
            <w:tcW w:w="0" w:type="auto"/>
          </w:tcPr>
          <w:p w14:paraId="7C1ADEEC"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6</w:t>
            </w:r>
          </w:p>
        </w:tc>
        <w:tc>
          <w:tcPr>
            <w:tcW w:w="0" w:type="auto"/>
          </w:tcPr>
          <w:p w14:paraId="2DE70417"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550</w:t>
            </w:r>
          </w:p>
        </w:tc>
        <w:tc>
          <w:tcPr>
            <w:tcW w:w="0" w:type="auto"/>
          </w:tcPr>
          <w:p w14:paraId="12949FAE"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6</w:t>
            </w:r>
          </w:p>
        </w:tc>
        <w:tc>
          <w:tcPr>
            <w:tcW w:w="0" w:type="auto"/>
          </w:tcPr>
          <w:p w14:paraId="6ABE87F6"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382</w:t>
            </w:r>
          </w:p>
        </w:tc>
        <w:tc>
          <w:tcPr>
            <w:tcW w:w="0" w:type="auto"/>
          </w:tcPr>
          <w:p w14:paraId="2A72D996"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11</w:t>
            </w:r>
          </w:p>
        </w:tc>
      </w:tr>
    </w:tbl>
    <w:p w14:paraId="28ECC05D" w14:textId="77777777" w:rsidR="00F60EC2" w:rsidRDefault="00F60EC2" w:rsidP="006D0D34">
      <w:pPr>
        <w:rPr>
          <w:b/>
          <w:u w:val="single"/>
        </w:rPr>
      </w:pPr>
    </w:p>
    <w:p w14:paraId="37AC3760" w14:textId="23665C39" w:rsidR="006D0D34" w:rsidRDefault="006D0D34" w:rsidP="006D0D34">
      <w:r>
        <w:rPr>
          <w:b/>
          <w:u w:val="single"/>
        </w:rPr>
        <w:lastRenderedPageBreak/>
        <w:t>Resources</w:t>
      </w:r>
    </w:p>
    <w:p w14:paraId="64D52DE6" w14:textId="77777777" w:rsidR="006D0D34" w:rsidRPr="00E3241C" w:rsidRDefault="00637775" w:rsidP="006D0D34">
      <w:hyperlink r:id="rId23" w:history="1">
        <w:r w:rsidR="006D0D34" w:rsidRPr="00841C54">
          <w:rPr>
            <w:rStyle w:val="Hyperlink"/>
          </w:rPr>
          <w:t>FDA Guidelines for Doxycycline Preparation for Children</w:t>
        </w:r>
      </w:hyperlink>
      <w:r w:rsidR="00F17724">
        <w:rPr>
          <w:rStyle w:val="FootnoteReference"/>
          <w:color w:val="0563C1" w:themeColor="hyperlink"/>
          <w:u w:val="single"/>
        </w:rPr>
        <w:footnoteReference w:id="12"/>
      </w:r>
    </w:p>
    <w:p w14:paraId="614EAA18" w14:textId="77777777" w:rsidR="006D0D34" w:rsidRPr="005D6129" w:rsidRDefault="006D0D34" w:rsidP="006D0D34">
      <w:pPr>
        <w:pStyle w:val="Heading3"/>
        <w:rPr>
          <w:color w:val="002060"/>
        </w:rPr>
      </w:pPr>
      <w:bookmarkStart w:id="29" w:name="_Toc11832721"/>
      <w:r w:rsidRPr="005D6129">
        <w:rPr>
          <w:color w:val="002060"/>
        </w:rPr>
        <w:t>Vaccine Dispensing</w:t>
      </w:r>
      <w:bookmarkEnd w:id="29"/>
    </w:p>
    <w:p w14:paraId="21E036E2" w14:textId="77777777" w:rsidR="006D0D34" w:rsidRDefault="006D0D34" w:rsidP="006D0D34">
      <w:r>
        <w:t>A severe Influenza pandemic poses a significant planning challenge for vaccine distribution, management, and dispensing at local EDS. In this scenario, individuals may require two doses of vaccine separated by at least three weeks. The CDC has established a vaccination target of administering both doses to 80 percent of the population over a 16-week dispensing campaign. This campaign would likely involve vaccination services through EDS, healthcare practices, and pharmacies.</w:t>
      </w:r>
    </w:p>
    <w:p w14:paraId="31A63F9D" w14:textId="558F9AB6" w:rsidR="006D0D34" w:rsidRDefault="006D0D34" w:rsidP="006D0D34">
      <w:r>
        <w:t>In this scenario, local communities may receive vaccines from the MDPH or directly from a CDC</w:t>
      </w:r>
      <w:r w:rsidR="008127B1">
        <w:t xml:space="preserve"> or ASPR</w:t>
      </w:r>
      <w:r>
        <w:t>-identified vendor through an apportionment formula determined by the MDPH. Vaccine providers would be registered in the Massachusetts Immunization Information System (MIIS) and vaccine distribution would be tracked through that system.</w:t>
      </w:r>
    </w:p>
    <w:p w14:paraId="51E336C3" w14:textId="681C384A" w:rsidR="006D0D34" w:rsidRDefault="006D0D34" w:rsidP="006D0D34">
      <w:r>
        <w:t xml:space="preserve">In an anthrax scenario, if recommended by </w:t>
      </w:r>
      <w:r w:rsidR="008127B1">
        <w:t>ASPR</w:t>
      </w:r>
      <w:r>
        <w:t xml:space="preserve">, the </w:t>
      </w:r>
      <w:r>
        <w:rPr>
          <w:bCs/>
        </w:rPr>
        <w:t>Anthrax Vaccine A</w:t>
      </w:r>
      <w:r w:rsidRPr="009B5D18">
        <w:rPr>
          <w:bCs/>
        </w:rPr>
        <w:t>dsorbed (AVA)</w:t>
      </w:r>
      <w:r>
        <w:rPr>
          <w:b/>
          <w:bCs/>
        </w:rPr>
        <w:t xml:space="preserve"> </w:t>
      </w:r>
      <w:r>
        <w:t xml:space="preserve">can be used as post-exposure prophylaxis for people who were potentially exposed to </w:t>
      </w:r>
      <w:r>
        <w:rPr>
          <w:i/>
          <w:iCs/>
        </w:rPr>
        <w:t xml:space="preserve">Bacillus anthracis </w:t>
      </w:r>
      <w:r>
        <w:t xml:space="preserve">and, in some cases, </w:t>
      </w:r>
      <w:r>
        <w:rPr>
          <w:i/>
          <w:iCs/>
        </w:rPr>
        <w:t>B. anthracis</w:t>
      </w:r>
      <w:r>
        <w:t xml:space="preserve">. Pre-exposure vaccine use is limited to military personnel and laboratorians working directly with the disease agent, though may be soon become available to emergency responders. </w:t>
      </w:r>
      <w:r w:rsidRPr="00F767F2">
        <w:t xml:space="preserve">Only pre-exposure vaccination is FDA approved. </w:t>
      </w:r>
      <w:r>
        <w:t xml:space="preserve">The </w:t>
      </w:r>
      <w:r w:rsidRPr="00F767F2">
        <w:t xml:space="preserve">SNS </w:t>
      </w:r>
      <w:r>
        <w:t xml:space="preserve">currently </w:t>
      </w:r>
      <w:r w:rsidRPr="00F767F2">
        <w:t xml:space="preserve">holds a limited supply of </w:t>
      </w:r>
      <w:r>
        <w:t xml:space="preserve">the </w:t>
      </w:r>
      <w:r w:rsidRPr="00F767F2">
        <w:t xml:space="preserve">AVA. Jurisdictions should be aware that during an anthrax response, </w:t>
      </w:r>
      <w:r>
        <w:t xml:space="preserve">the </w:t>
      </w:r>
      <w:r w:rsidRPr="00F767F2">
        <w:t>AVA can be administered to all adults (those over 18) under an Emergency Use Authorization (EUA) 5 for post-exposure prophylaxis, but for</w:t>
      </w:r>
      <w:r>
        <w:t xml:space="preserve"> </w:t>
      </w:r>
      <w:r w:rsidRPr="00F767F2">
        <w:t>pediatric patients, AVA will require an Investigational New Drug (IND) protocol.</w:t>
      </w:r>
      <w:r>
        <w:t xml:space="preserve"> The AVA vaccine contained in the SNS would be distributed to the RSS for redistribution to local EDS and will require cold chain storage.</w:t>
      </w:r>
    </w:p>
    <w:p w14:paraId="14B8B0AF" w14:textId="77777777" w:rsidR="006D0D34" w:rsidRPr="00315442" w:rsidRDefault="006D0D34" w:rsidP="006D0D34">
      <w:pPr>
        <w:rPr>
          <w:b/>
          <w:u w:val="single"/>
        </w:rPr>
      </w:pPr>
      <w:r>
        <w:rPr>
          <w:b/>
          <w:u w:val="single"/>
        </w:rPr>
        <w:t>Pre-Event Planning</w:t>
      </w:r>
    </w:p>
    <w:p w14:paraId="0C5ED4E3" w14:textId="77777777" w:rsidR="006D0D34" w:rsidRDefault="006D0D34" w:rsidP="006D0D34">
      <w:r>
        <w:t>Given the limited vaccine storage capacity at local health departments, local health should collaborate with their surrounding communities and work with their HMCC to evaluate current vaccine storage capacity of partner agencies and, if needed, identify options to expand capacity through just-in-time purchases or rentals. The following table estimates the necessary refrigerator capacity to store up to 2000 doses in a single refrigerated unit.</w:t>
      </w:r>
    </w:p>
    <w:p w14:paraId="2D19BB7E" w14:textId="1DA86546" w:rsidR="006D0D34" w:rsidRDefault="006D0D34" w:rsidP="006D0D34">
      <w:pPr>
        <w:pStyle w:val="Caption"/>
        <w:keepNext/>
      </w:pPr>
      <w:r>
        <w:t xml:space="preserve">Table </w:t>
      </w:r>
      <w:r w:rsidR="0052332A">
        <w:rPr>
          <w:noProof/>
        </w:rPr>
        <w:t>5</w:t>
      </w:r>
      <w:r>
        <w:t>: Estimated Refrigerated Vaccine Storage Capacity by Number of Doses of Vaccine</w:t>
      </w:r>
    </w:p>
    <w:tbl>
      <w:tblPr>
        <w:tblStyle w:val="GridTable1Light-Accent11"/>
        <w:tblW w:w="0" w:type="auto"/>
        <w:tblLook w:val="04A0" w:firstRow="1" w:lastRow="0" w:firstColumn="1" w:lastColumn="0" w:noHBand="0" w:noVBand="1"/>
      </w:tblPr>
      <w:tblGrid>
        <w:gridCol w:w="1613"/>
        <w:gridCol w:w="1936"/>
      </w:tblGrid>
      <w:tr w:rsidR="006D0D34" w:rsidRPr="0081051C" w14:paraId="725B4E16" w14:textId="77777777" w:rsidTr="0090186A">
        <w:trPr>
          <w:cnfStyle w:val="100000000000" w:firstRow="1" w:lastRow="0" w:firstColumn="0" w:lastColumn="0" w:oddVBand="0" w:evenVBand="0" w:oddHBand="0" w:evenHBand="0" w:firstRowFirstColumn="0" w:firstRowLastColumn="0" w:lastRowFirstColumn="0" w:lastRowLastColumn="0"/>
          <w:trHeight w:val="188"/>
          <w:tblHead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4F3A9EFF" w14:textId="77777777" w:rsidR="006D0D34" w:rsidRPr="0081051C" w:rsidRDefault="006D0D34" w:rsidP="0090186A">
            <w:pPr>
              <w:jc w:val="center"/>
              <w:rPr>
                <w:sz w:val="20"/>
                <w:szCs w:val="20"/>
              </w:rPr>
            </w:pPr>
            <w:r>
              <w:rPr>
                <w:sz w:val="20"/>
                <w:szCs w:val="20"/>
              </w:rPr>
              <w:t>Doses of Vaccine</w:t>
            </w:r>
          </w:p>
        </w:tc>
        <w:tc>
          <w:tcPr>
            <w:tcW w:w="0" w:type="auto"/>
            <w:vAlign w:val="bottom"/>
          </w:tcPr>
          <w:p w14:paraId="16F28EC1" w14:textId="77777777" w:rsidR="006D0D34" w:rsidRDefault="006D0D34" w:rsidP="0090186A">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Minimum Cubic Feet</w:t>
            </w:r>
          </w:p>
        </w:tc>
      </w:tr>
      <w:tr w:rsidR="006D0D34" w:rsidRPr="0081051C" w14:paraId="49C591B9" w14:textId="77777777" w:rsidTr="0090186A">
        <w:tc>
          <w:tcPr>
            <w:cnfStyle w:val="001000000000" w:firstRow="0" w:lastRow="0" w:firstColumn="1" w:lastColumn="0" w:oddVBand="0" w:evenVBand="0" w:oddHBand="0" w:evenHBand="0" w:firstRowFirstColumn="0" w:firstRowLastColumn="0" w:lastRowFirstColumn="0" w:lastRowLastColumn="0"/>
            <w:tcW w:w="0" w:type="auto"/>
            <w:vAlign w:val="center"/>
          </w:tcPr>
          <w:p w14:paraId="33CFA93D" w14:textId="77777777" w:rsidR="006D0D34" w:rsidRPr="008F63D7" w:rsidRDefault="006D0D34" w:rsidP="0090186A">
            <w:pPr>
              <w:jc w:val="right"/>
              <w:rPr>
                <w:b w:val="0"/>
                <w:sz w:val="20"/>
                <w:szCs w:val="20"/>
              </w:rPr>
            </w:pPr>
            <w:r>
              <w:rPr>
                <w:b w:val="0"/>
                <w:sz w:val="20"/>
                <w:szCs w:val="20"/>
              </w:rPr>
              <w:t>1,000-2,000</w:t>
            </w:r>
          </w:p>
        </w:tc>
        <w:tc>
          <w:tcPr>
            <w:tcW w:w="0" w:type="auto"/>
            <w:vAlign w:val="center"/>
          </w:tcPr>
          <w:p w14:paraId="409C5DC1" w14:textId="77777777" w:rsidR="006D0D34" w:rsidRPr="0081051C"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40</w:t>
            </w:r>
          </w:p>
        </w:tc>
      </w:tr>
      <w:tr w:rsidR="006D0D34" w:rsidRPr="0081051C" w14:paraId="5BDB3DDE" w14:textId="77777777" w:rsidTr="0090186A">
        <w:tc>
          <w:tcPr>
            <w:cnfStyle w:val="001000000000" w:firstRow="0" w:lastRow="0" w:firstColumn="1" w:lastColumn="0" w:oddVBand="0" w:evenVBand="0" w:oddHBand="0" w:evenHBand="0" w:firstRowFirstColumn="0" w:firstRowLastColumn="0" w:lastRowFirstColumn="0" w:lastRowLastColumn="0"/>
            <w:tcW w:w="0" w:type="auto"/>
            <w:vAlign w:val="center"/>
          </w:tcPr>
          <w:p w14:paraId="3B745387" w14:textId="77777777" w:rsidR="006D0D34" w:rsidRPr="008F63D7" w:rsidRDefault="006D0D34" w:rsidP="0090186A">
            <w:pPr>
              <w:jc w:val="right"/>
              <w:rPr>
                <w:b w:val="0"/>
                <w:sz w:val="20"/>
                <w:szCs w:val="20"/>
              </w:rPr>
            </w:pPr>
            <w:r>
              <w:rPr>
                <w:b w:val="0"/>
                <w:sz w:val="20"/>
                <w:szCs w:val="20"/>
              </w:rPr>
              <w:t>900-1,000</w:t>
            </w:r>
          </w:p>
        </w:tc>
        <w:tc>
          <w:tcPr>
            <w:tcW w:w="0" w:type="auto"/>
            <w:vAlign w:val="center"/>
          </w:tcPr>
          <w:p w14:paraId="78B53C67" w14:textId="77777777" w:rsidR="006D0D34" w:rsidRPr="0081051C"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36</w:t>
            </w:r>
          </w:p>
        </w:tc>
      </w:tr>
      <w:tr w:rsidR="006D0D34" w:rsidRPr="0081051C" w14:paraId="514E6DAE" w14:textId="77777777" w:rsidTr="0090186A">
        <w:tc>
          <w:tcPr>
            <w:cnfStyle w:val="001000000000" w:firstRow="0" w:lastRow="0" w:firstColumn="1" w:lastColumn="0" w:oddVBand="0" w:evenVBand="0" w:oddHBand="0" w:evenHBand="0" w:firstRowFirstColumn="0" w:firstRowLastColumn="0" w:lastRowFirstColumn="0" w:lastRowLastColumn="0"/>
            <w:tcW w:w="0" w:type="auto"/>
            <w:vAlign w:val="center"/>
          </w:tcPr>
          <w:p w14:paraId="04E150A2" w14:textId="77777777" w:rsidR="006D0D34" w:rsidRDefault="006D0D34" w:rsidP="0090186A">
            <w:pPr>
              <w:jc w:val="right"/>
              <w:rPr>
                <w:b w:val="0"/>
                <w:sz w:val="20"/>
                <w:szCs w:val="20"/>
              </w:rPr>
            </w:pPr>
            <w:r>
              <w:rPr>
                <w:b w:val="0"/>
                <w:sz w:val="20"/>
                <w:szCs w:val="20"/>
              </w:rPr>
              <w:t>801-900</w:t>
            </w:r>
          </w:p>
        </w:tc>
        <w:tc>
          <w:tcPr>
            <w:tcW w:w="0" w:type="auto"/>
            <w:vAlign w:val="center"/>
          </w:tcPr>
          <w:p w14:paraId="52DF084E" w14:textId="77777777" w:rsidR="006D0D34" w:rsidRPr="0081051C"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21-23</w:t>
            </w:r>
          </w:p>
        </w:tc>
      </w:tr>
      <w:tr w:rsidR="006D0D34" w:rsidRPr="0081051C" w14:paraId="271CD251" w14:textId="77777777" w:rsidTr="0090186A">
        <w:tc>
          <w:tcPr>
            <w:cnfStyle w:val="001000000000" w:firstRow="0" w:lastRow="0" w:firstColumn="1" w:lastColumn="0" w:oddVBand="0" w:evenVBand="0" w:oddHBand="0" w:evenHBand="0" w:firstRowFirstColumn="0" w:firstRowLastColumn="0" w:lastRowFirstColumn="0" w:lastRowLastColumn="0"/>
            <w:tcW w:w="0" w:type="auto"/>
            <w:vAlign w:val="center"/>
          </w:tcPr>
          <w:p w14:paraId="48D281C7" w14:textId="77777777" w:rsidR="006D0D34" w:rsidRDefault="006D0D34" w:rsidP="0090186A">
            <w:pPr>
              <w:jc w:val="right"/>
              <w:rPr>
                <w:b w:val="0"/>
                <w:sz w:val="20"/>
                <w:szCs w:val="20"/>
              </w:rPr>
            </w:pPr>
            <w:r>
              <w:rPr>
                <w:b w:val="0"/>
                <w:sz w:val="20"/>
                <w:szCs w:val="20"/>
              </w:rPr>
              <w:t>701-800</w:t>
            </w:r>
          </w:p>
        </w:tc>
        <w:tc>
          <w:tcPr>
            <w:tcW w:w="0" w:type="auto"/>
            <w:vAlign w:val="center"/>
          </w:tcPr>
          <w:p w14:paraId="4EC999C4" w14:textId="77777777" w:rsidR="006D0D34" w:rsidRPr="0081051C"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17-19.5</w:t>
            </w:r>
          </w:p>
        </w:tc>
      </w:tr>
      <w:tr w:rsidR="006D0D34" w:rsidRPr="0081051C" w14:paraId="2DC4B560" w14:textId="77777777" w:rsidTr="0090186A">
        <w:tc>
          <w:tcPr>
            <w:cnfStyle w:val="001000000000" w:firstRow="0" w:lastRow="0" w:firstColumn="1" w:lastColumn="0" w:oddVBand="0" w:evenVBand="0" w:oddHBand="0" w:evenHBand="0" w:firstRowFirstColumn="0" w:firstRowLastColumn="0" w:lastRowFirstColumn="0" w:lastRowLastColumn="0"/>
            <w:tcW w:w="0" w:type="auto"/>
            <w:vAlign w:val="center"/>
          </w:tcPr>
          <w:p w14:paraId="17BD264D" w14:textId="77777777" w:rsidR="006D0D34" w:rsidRDefault="006D0D34" w:rsidP="0090186A">
            <w:pPr>
              <w:jc w:val="right"/>
              <w:rPr>
                <w:b w:val="0"/>
                <w:sz w:val="20"/>
                <w:szCs w:val="20"/>
              </w:rPr>
            </w:pPr>
            <w:r>
              <w:rPr>
                <w:b w:val="0"/>
                <w:sz w:val="20"/>
                <w:szCs w:val="20"/>
              </w:rPr>
              <w:t>400-700</w:t>
            </w:r>
          </w:p>
        </w:tc>
        <w:tc>
          <w:tcPr>
            <w:tcW w:w="0" w:type="auto"/>
            <w:vAlign w:val="center"/>
          </w:tcPr>
          <w:p w14:paraId="4E730647"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16.7</w:t>
            </w:r>
          </w:p>
        </w:tc>
      </w:tr>
      <w:tr w:rsidR="006D0D34" w:rsidRPr="0081051C" w14:paraId="1C61E034" w14:textId="77777777" w:rsidTr="0090186A">
        <w:tc>
          <w:tcPr>
            <w:cnfStyle w:val="001000000000" w:firstRow="0" w:lastRow="0" w:firstColumn="1" w:lastColumn="0" w:oddVBand="0" w:evenVBand="0" w:oddHBand="0" w:evenHBand="0" w:firstRowFirstColumn="0" w:firstRowLastColumn="0" w:lastRowFirstColumn="0" w:lastRowLastColumn="0"/>
            <w:tcW w:w="0" w:type="auto"/>
            <w:vAlign w:val="center"/>
          </w:tcPr>
          <w:p w14:paraId="6E6EE6B5" w14:textId="77777777" w:rsidR="006D0D34" w:rsidRDefault="006D0D34" w:rsidP="0090186A">
            <w:pPr>
              <w:jc w:val="right"/>
              <w:rPr>
                <w:b w:val="0"/>
                <w:sz w:val="20"/>
                <w:szCs w:val="20"/>
              </w:rPr>
            </w:pPr>
            <w:r>
              <w:rPr>
                <w:b w:val="0"/>
                <w:sz w:val="20"/>
                <w:szCs w:val="20"/>
              </w:rPr>
              <w:t>100-399</w:t>
            </w:r>
          </w:p>
        </w:tc>
        <w:tc>
          <w:tcPr>
            <w:tcW w:w="0" w:type="auto"/>
            <w:vAlign w:val="center"/>
          </w:tcPr>
          <w:p w14:paraId="2F95AEDB" w14:textId="77777777" w:rsidR="006D0D34" w:rsidRDefault="006D0D34" w:rsidP="0090186A">
            <w:pPr>
              <w:jc w:val="right"/>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4.9-6.7</w:t>
            </w:r>
          </w:p>
        </w:tc>
      </w:tr>
    </w:tbl>
    <w:p w14:paraId="71E2D9CB" w14:textId="77777777" w:rsidR="006D0D34" w:rsidRDefault="006D0D34" w:rsidP="006D0D34">
      <w:pPr>
        <w:rPr>
          <w:i/>
          <w:color w:val="44546A" w:themeColor="text2"/>
          <w:sz w:val="18"/>
          <w:szCs w:val="18"/>
        </w:rPr>
      </w:pPr>
      <w:r w:rsidRPr="00644548">
        <w:rPr>
          <w:i/>
          <w:color w:val="44546A" w:themeColor="text2"/>
          <w:sz w:val="18"/>
          <w:szCs w:val="18"/>
        </w:rPr>
        <w:t>Source: American Academy of Pediatrics</w:t>
      </w:r>
    </w:p>
    <w:p w14:paraId="26CA35B6" w14:textId="77777777" w:rsidR="006D0D34" w:rsidRDefault="006D0D34" w:rsidP="006D0D34">
      <w:pPr>
        <w:rPr>
          <w:i/>
          <w:color w:val="44546A" w:themeColor="text2"/>
          <w:sz w:val="18"/>
          <w:szCs w:val="18"/>
        </w:rPr>
      </w:pPr>
    </w:p>
    <w:p w14:paraId="367B4F6D" w14:textId="77777777" w:rsidR="006D0D34" w:rsidRDefault="006D0D34" w:rsidP="006D0D34">
      <w:pPr>
        <w:rPr>
          <w:i/>
          <w:color w:val="44546A" w:themeColor="text2"/>
          <w:sz w:val="18"/>
          <w:szCs w:val="18"/>
        </w:rPr>
      </w:pPr>
    </w:p>
    <w:p w14:paraId="33A2C6F0" w14:textId="77777777" w:rsidR="006D0D34" w:rsidRDefault="006D0D34" w:rsidP="006D0D34">
      <w:pPr>
        <w:rPr>
          <w:i/>
          <w:color w:val="44546A" w:themeColor="text2"/>
          <w:sz w:val="18"/>
          <w:szCs w:val="18"/>
        </w:rPr>
      </w:pPr>
    </w:p>
    <w:p w14:paraId="06B6C3D3" w14:textId="77777777" w:rsidR="00981568" w:rsidRDefault="00981568" w:rsidP="006D0D34">
      <w:pPr>
        <w:rPr>
          <w:i/>
          <w:color w:val="44546A" w:themeColor="text2"/>
          <w:sz w:val="18"/>
          <w:szCs w:val="18"/>
        </w:rPr>
      </w:pPr>
    </w:p>
    <w:p w14:paraId="2C8338F1" w14:textId="77777777" w:rsidR="008E784A" w:rsidRDefault="008E784A" w:rsidP="006D0D34">
      <w:pPr>
        <w:rPr>
          <w:i/>
          <w:color w:val="44546A" w:themeColor="text2"/>
          <w:sz w:val="18"/>
          <w:szCs w:val="18"/>
        </w:rPr>
        <w:sectPr w:rsidR="008E784A" w:rsidSect="00225FAB">
          <w:headerReference w:type="default" r:id="rId24"/>
          <w:footerReference w:type="default" r:id="rId25"/>
          <w:pgSz w:w="12240" w:h="15840"/>
          <w:pgMar w:top="1440" w:right="1440" w:bottom="1620" w:left="1080" w:header="720" w:footer="720" w:gutter="0"/>
          <w:cols w:space="720"/>
          <w:docGrid w:linePitch="360"/>
        </w:sectPr>
      </w:pPr>
    </w:p>
    <w:p w14:paraId="412C2D5F" w14:textId="77777777" w:rsidR="006D0D34" w:rsidRPr="007719D1" w:rsidRDefault="005D6129" w:rsidP="007719D1">
      <w:pPr>
        <w:pStyle w:val="Heading1"/>
        <w:rPr>
          <w:color w:val="ED7D31" w:themeColor="accent2"/>
        </w:rPr>
      </w:pPr>
      <w:bookmarkStart w:id="30" w:name="_Toc484437016"/>
      <w:bookmarkStart w:id="31" w:name="_Toc11832722"/>
      <w:r w:rsidRPr="007719D1">
        <w:rPr>
          <w:color w:val="ED7D31" w:themeColor="accent2"/>
        </w:rPr>
        <w:lastRenderedPageBreak/>
        <w:t>ACTIVATION</w:t>
      </w:r>
      <w:bookmarkEnd w:id="30"/>
      <w:bookmarkEnd w:id="31"/>
    </w:p>
    <w:p w14:paraId="56D57BB6" w14:textId="77777777" w:rsidR="006D0D34" w:rsidRDefault="006D0D34" w:rsidP="006D0D34">
      <w:r>
        <w:t>This chapter describes pre-event planning activities and a recommended operational framework for activation of an EDS, including:</w:t>
      </w:r>
    </w:p>
    <w:p w14:paraId="56F7EC07" w14:textId="77777777" w:rsidR="006D0D34" w:rsidRDefault="006D0D34" w:rsidP="000616C8">
      <w:pPr>
        <w:pStyle w:val="ListParagraph"/>
        <w:numPr>
          <w:ilvl w:val="0"/>
          <w:numId w:val="26"/>
        </w:numPr>
      </w:pPr>
      <w:r>
        <w:t>Review of incident details and maintaining situational awareness</w:t>
      </w:r>
    </w:p>
    <w:p w14:paraId="0026AC80" w14:textId="77777777" w:rsidR="006D0D34" w:rsidRDefault="006D0D34" w:rsidP="000616C8">
      <w:pPr>
        <w:pStyle w:val="ListParagraph"/>
        <w:numPr>
          <w:ilvl w:val="0"/>
          <w:numId w:val="26"/>
        </w:numPr>
      </w:pPr>
      <w:r>
        <w:t>Activation of one or more EDS for MCM dispensing</w:t>
      </w:r>
    </w:p>
    <w:p w14:paraId="66B469D0" w14:textId="77777777" w:rsidR="006D0D34" w:rsidRDefault="006D0D34" w:rsidP="000616C8">
      <w:pPr>
        <w:pStyle w:val="ListParagraph"/>
        <w:numPr>
          <w:ilvl w:val="0"/>
          <w:numId w:val="26"/>
        </w:numPr>
      </w:pPr>
      <w:r>
        <w:t>Develop an initial Incident Action Plan (IAP)</w:t>
      </w:r>
    </w:p>
    <w:p w14:paraId="324C3D10" w14:textId="77777777" w:rsidR="006D0D34" w:rsidRPr="005D6129" w:rsidRDefault="005D6129" w:rsidP="006D0D34">
      <w:pPr>
        <w:pStyle w:val="Heading2"/>
        <w:rPr>
          <w:color w:val="002060"/>
        </w:rPr>
      </w:pPr>
      <w:bookmarkStart w:id="32" w:name="_Toc476226300"/>
      <w:bookmarkStart w:id="33" w:name="_Toc484437017"/>
      <w:bookmarkStart w:id="34" w:name="_Toc11832723"/>
      <w:r w:rsidRPr="005D6129">
        <w:rPr>
          <w:color w:val="002060"/>
        </w:rPr>
        <w:t>SURVEILLANCE</w:t>
      </w:r>
      <w:bookmarkEnd w:id="32"/>
      <w:bookmarkEnd w:id="33"/>
      <w:bookmarkEnd w:id="34"/>
    </w:p>
    <w:p w14:paraId="31CF5146" w14:textId="77777777" w:rsidR="006D0D34" w:rsidRPr="00EA4FC9" w:rsidRDefault="006D0D34" w:rsidP="006D0D34">
      <w:r>
        <w:t xml:space="preserve">Disease surveillance involves the collection, monitoring, analysis, and interpretation of health-related data. Surveillance is used to define baseline levels of disease, detect unusual occurrences or increased frequency of disease, and recommend control and prevention measures. The MDPH Bureau of Infectious Disease and Laboratory Sciences </w:t>
      </w:r>
      <w:r w:rsidRPr="00740872">
        <w:t>(BIDLS)</w:t>
      </w:r>
      <w:r>
        <w:t xml:space="preserve"> collaborates with </w:t>
      </w:r>
      <w:r w:rsidR="00181454">
        <w:t>LBOH</w:t>
      </w:r>
      <w:r w:rsidRPr="00740872">
        <w:t>,</w:t>
      </w:r>
      <w:r>
        <w:t xml:space="preserve"> healthcare providers, and laboratories to conduct surveillance for approximately 80 </w:t>
      </w:r>
      <w:hyperlink r:id="rId26" w:history="1">
        <w:r w:rsidRPr="002C2D59">
          <w:rPr>
            <w:rStyle w:val="Hyperlink"/>
          </w:rPr>
          <w:t>reportable infectious diseases</w:t>
        </w:r>
      </w:hyperlink>
      <w:r w:rsidR="00F00AFF">
        <w:rPr>
          <w:rStyle w:val="FootnoteReference"/>
          <w:color w:val="0563C1" w:themeColor="hyperlink"/>
          <w:u w:val="single"/>
        </w:rPr>
        <w:footnoteReference w:id="13"/>
      </w:r>
      <w:r>
        <w:t xml:space="preserve">. Generally, the </w:t>
      </w:r>
      <w:r w:rsidR="00CD22FF">
        <w:t xml:space="preserve">BIDLS </w:t>
      </w:r>
      <w:r>
        <w:t xml:space="preserve">Epidemiology Program </w:t>
      </w:r>
      <w:r w:rsidR="00CD22FF">
        <w:t xml:space="preserve">takes </w:t>
      </w:r>
      <w:r>
        <w:t xml:space="preserve">the lead for investigation and control of vaccine-preventable diseases. While </w:t>
      </w:r>
      <w:r w:rsidR="00181454">
        <w:t>LBOH</w:t>
      </w:r>
      <w:r w:rsidR="00CD22FF">
        <w:t xml:space="preserve"> </w:t>
      </w:r>
      <w:r>
        <w:t xml:space="preserve">are the lead for investigation of other infectious diseases, under state law the MDPH has “co-ordinate powers” with </w:t>
      </w:r>
      <w:r w:rsidR="00181454">
        <w:t>LBOH</w:t>
      </w:r>
      <w:r w:rsidR="009E4FA5">
        <w:t xml:space="preserve"> and</w:t>
      </w:r>
      <w:r>
        <w:t xml:space="preserve"> the authority to initiate an infectious disease investigation on its own. </w:t>
      </w:r>
      <w:r w:rsidRPr="00EA4FC9">
        <w:t>When</w:t>
      </w:r>
      <w:r w:rsidR="00181454">
        <w:t xml:space="preserve"> a LBOH </w:t>
      </w:r>
      <w:r w:rsidRPr="00EA4FC9">
        <w:t xml:space="preserve">is unavailable, the </w:t>
      </w:r>
      <w:r>
        <w:t>MDPH</w:t>
      </w:r>
      <w:r w:rsidRPr="00EA4FC9">
        <w:t xml:space="preserve"> may recei</w:t>
      </w:r>
      <w:r>
        <w:t>ve reports directly from health</w:t>
      </w:r>
      <w:r w:rsidRPr="00EA4FC9">
        <w:t>care providers.</w:t>
      </w:r>
    </w:p>
    <w:p w14:paraId="796DC8B0" w14:textId="77777777" w:rsidR="006D0D34" w:rsidRDefault="006D0D34" w:rsidP="006D0D34">
      <w:r w:rsidRPr="00EA4FC9">
        <w:t>When clusters of illness, potential bioterrorist agents, emerging infections</w:t>
      </w:r>
      <w:r>
        <w:t>,</w:t>
      </w:r>
      <w:r w:rsidRPr="00EA4FC9">
        <w:t xml:space="preserve"> or other serious threats are identified, the </w:t>
      </w:r>
      <w:r>
        <w:t>MDPH</w:t>
      </w:r>
      <w:r w:rsidRPr="00EA4FC9">
        <w:t xml:space="preserve"> provide</w:t>
      </w:r>
      <w:r>
        <w:t>s</w:t>
      </w:r>
      <w:r w:rsidRPr="00EA4FC9">
        <w:t xml:space="preserve"> technical assistance to LBOH</w:t>
      </w:r>
      <w:r>
        <w:t xml:space="preserve"> including:</w:t>
      </w:r>
    </w:p>
    <w:p w14:paraId="03B8F51D" w14:textId="77777777" w:rsidR="006D0D34" w:rsidRDefault="006D0D34" w:rsidP="006D0D34">
      <w:pPr>
        <w:pStyle w:val="ListParagraph"/>
        <w:numPr>
          <w:ilvl w:val="0"/>
          <w:numId w:val="2"/>
        </w:numPr>
      </w:pPr>
      <w:r>
        <w:t>C</w:t>
      </w:r>
      <w:r w:rsidRPr="00EA4FC9">
        <w:t>onsult</w:t>
      </w:r>
      <w:r>
        <w:t>ation</w:t>
      </w:r>
      <w:r w:rsidRPr="00EA4FC9">
        <w:t xml:space="preserve"> </w:t>
      </w:r>
      <w:r>
        <w:t>or</w:t>
      </w:r>
      <w:r w:rsidRPr="00EA4FC9">
        <w:t xml:space="preserve"> direct management of the investigation</w:t>
      </w:r>
    </w:p>
    <w:p w14:paraId="699FFFAC" w14:textId="77777777" w:rsidR="006D0D34" w:rsidRDefault="006D0D34" w:rsidP="006D0D34">
      <w:pPr>
        <w:pStyle w:val="ListParagraph"/>
        <w:numPr>
          <w:ilvl w:val="0"/>
          <w:numId w:val="2"/>
        </w:numPr>
      </w:pPr>
      <w:r>
        <w:t>I</w:t>
      </w:r>
      <w:r w:rsidRPr="00EA4FC9">
        <w:t xml:space="preserve">mplementation of </w:t>
      </w:r>
      <w:r>
        <w:t>control and prevention measures</w:t>
      </w:r>
      <w:r w:rsidRPr="00EA4FC9">
        <w:t xml:space="preserve"> and follow-up activities</w:t>
      </w:r>
    </w:p>
    <w:p w14:paraId="3A2054C8" w14:textId="3D936E99" w:rsidR="006D0D34" w:rsidRDefault="006D0D34" w:rsidP="006D0D34">
      <w:pPr>
        <w:pStyle w:val="ListParagraph"/>
        <w:numPr>
          <w:ilvl w:val="0"/>
          <w:numId w:val="2"/>
        </w:numPr>
      </w:pPr>
      <w:r>
        <w:t>R</w:t>
      </w:r>
      <w:r w:rsidRPr="00EA4FC9">
        <w:t>equest</w:t>
      </w:r>
      <w:r>
        <w:t xml:space="preserve"> for</w:t>
      </w:r>
      <w:r w:rsidRPr="00EA4FC9">
        <w:t xml:space="preserve"> federal technical assistance from </w:t>
      </w:r>
      <w:r w:rsidR="008127B1">
        <w:t>ASPR</w:t>
      </w:r>
      <w:r>
        <w:t xml:space="preserve"> (r</w:t>
      </w:r>
      <w:r w:rsidRPr="00EA4FC9">
        <w:t xml:space="preserve">equests must </w:t>
      </w:r>
      <w:r>
        <w:t>come from</w:t>
      </w:r>
      <w:r w:rsidRPr="00EA4FC9">
        <w:t xml:space="preserve"> the </w:t>
      </w:r>
      <w:r>
        <w:t>MDPH)</w:t>
      </w:r>
    </w:p>
    <w:p w14:paraId="05615AB2" w14:textId="77777777" w:rsidR="006D0D34" w:rsidRDefault="006D0D34" w:rsidP="006D0D34">
      <w:r>
        <w:t>The following systems are used to conduct surveillance for diseases that may require activation of an EDS for MCM dispensing.</w:t>
      </w:r>
    </w:p>
    <w:p w14:paraId="02E11092" w14:textId="77777777" w:rsidR="00F763F8" w:rsidRDefault="00F763F8" w:rsidP="006D0D34"/>
    <w:p w14:paraId="0F456378" w14:textId="77777777" w:rsidR="006D0D34" w:rsidRDefault="006D0D34" w:rsidP="006D0D34">
      <w:r>
        <w:rPr>
          <w:b/>
          <w:u w:val="single"/>
        </w:rPr>
        <w:t>Resources</w:t>
      </w:r>
    </w:p>
    <w:p w14:paraId="7405AF6F" w14:textId="77777777" w:rsidR="006D0D34" w:rsidRPr="007B2240" w:rsidRDefault="00637775" w:rsidP="006D0D34">
      <w:hyperlink r:id="rId27" w:history="1">
        <w:r w:rsidR="006D0D34" w:rsidRPr="00263676">
          <w:rPr>
            <w:rStyle w:val="Hyperlink"/>
          </w:rPr>
          <w:t>MDPH Guide to Surveillance, Reporting &amp; Control</w:t>
        </w:r>
      </w:hyperlink>
      <w:r w:rsidR="00F00AFF">
        <w:rPr>
          <w:rStyle w:val="FootnoteReference"/>
          <w:color w:val="0563C1" w:themeColor="hyperlink"/>
          <w:u w:val="single"/>
        </w:rPr>
        <w:footnoteReference w:id="14"/>
      </w:r>
    </w:p>
    <w:p w14:paraId="1928390D" w14:textId="77777777" w:rsidR="006D0D34" w:rsidRPr="005D6129" w:rsidRDefault="006D0D34" w:rsidP="006D0D34">
      <w:pPr>
        <w:pStyle w:val="Heading3"/>
        <w:rPr>
          <w:color w:val="002060"/>
        </w:rPr>
      </w:pPr>
      <w:bookmarkStart w:id="35" w:name="_Toc484437018"/>
      <w:bookmarkStart w:id="36" w:name="_Toc11832724"/>
      <w:r w:rsidRPr="005D6129">
        <w:rPr>
          <w:color w:val="002060"/>
        </w:rPr>
        <w:t>Massachusetts Virtual Epidemiologic Network (MAVEN)</w:t>
      </w:r>
      <w:bookmarkEnd w:id="35"/>
      <w:bookmarkEnd w:id="36"/>
    </w:p>
    <w:p w14:paraId="372167CA" w14:textId="77777777" w:rsidR="006D0D34" w:rsidRDefault="006D0D34" w:rsidP="006D0D34">
      <w:r>
        <w:t xml:space="preserve">Massachusetts Virtual Epidemiological </w:t>
      </w:r>
      <w:r w:rsidRPr="004A035B">
        <w:t>Network (MAVEN)</w:t>
      </w:r>
      <w:r>
        <w:t xml:space="preserve"> is a web-based disease surveillance and case management system that enables MDPH and local health to capture and transfer appropriate public health, laboratory, and clinical data efficiently and securely over the Internet in real-time. The system interfaces with Electronic Laboratory Reporting (ELR) efforts, has automatic (24/7/365) notification of state and local officials of any event requiring their attention, and geographic information system (GIS) activities. MAVEN will replace the current paper-based methods of data </w:t>
      </w:r>
      <w:r>
        <w:lastRenderedPageBreak/>
        <w:t>exchange between MDPH, local public health, and clinicians. MDPH regulations require that LBOH utilize MAVEN for reporting and case management of notifiable diseases.</w:t>
      </w:r>
    </w:p>
    <w:p w14:paraId="17976F7A" w14:textId="77777777" w:rsidR="00F00AFF" w:rsidRDefault="00F00AFF" w:rsidP="006D0D34">
      <w:pPr>
        <w:rPr>
          <w:b/>
          <w:u w:val="single"/>
        </w:rPr>
      </w:pPr>
    </w:p>
    <w:p w14:paraId="279C4C8D" w14:textId="77777777" w:rsidR="006D0D34" w:rsidRDefault="006D0D34" w:rsidP="006D0D34">
      <w:r>
        <w:rPr>
          <w:b/>
          <w:u w:val="single"/>
        </w:rPr>
        <w:t>Pre-Event Planning</w:t>
      </w:r>
    </w:p>
    <w:p w14:paraId="32317DAA" w14:textId="77777777" w:rsidR="006D0D34" w:rsidRPr="00E72DE5" w:rsidRDefault="006D0D34" w:rsidP="006D0D34">
      <w:r>
        <w:t xml:space="preserve">Local health should designate staff to be trained to use MAVEN for infectious disease reporting and case management. MAVEN staff can provide in person training and an </w:t>
      </w:r>
      <w:hyperlink r:id="rId28" w:history="1">
        <w:r w:rsidRPr="001C2334">
          <w:rPr>
            <w:rStyle w:val="Hyperlink"/>
          </w:rPr>
          <w:t>online training</w:t>
        </w:r>
      </w:hyperlink>
      <w:r w:rsidR="00B15E7F">
        <w:rPr>
          <w:rStyle w:val="FootnoteReference"/>
          <w:color w:val="0563C1" w:themeColor="hyperlink"/>
          <w:u w:val="single"/>
        </w:rPr>
        <w:footnoteReference w:id="15"/>
      </w:r>
      <w:r>
        <w:t xml:space="preserve"> is available.</w:t>
      </w:r>
    </w:p>
    <w:p w14:paraId="2FAE9E54" w14:textId="77777777" w:rsidR="006D0D34" w:rsidRPr="005D6129" w:rsidRDefault="006D0D34" w:rsidP="006D0D34">
      <w:pPr>
        <w:pStyle w:val="Heading3"/>
        <w:rPr>
          <w:color w:val="002060"/>
        </w:rPr>
      </w:pPr>
      <w:bookmarkStart w:id="37" w:name="_Toc484437019"/>
      <w:bookmarkStart w:id="38" w:name="_Toc11832725"/>
      <w:r w:rsidRPr="005D6129">
        <w:rPr>
          <w:color w:val="002060"/>
        </w:rPr>
        <w:t>Electronic Laboratory Reporting (ELR)</w:t>
      </w:r>
      <w:bookmarkEnd w:id="37"/>
      <w:bookmarkEnd w:id="38"/>
    </w:p>
    <w:p w14:paraId="58FCBF80" w14:textId="77777777" w:rsidR="006D0D34" w:rsidRDefault="006D0D34" w:rsidP="006D0D34">
      <w:r>
        <w:t>ELR is a secure, automated mechanism for the reporting of laboratory and patient information for reportable conditions by hospitals and commercial laboratories. ELR facilitates accurate and timely automated entry of this information into MAVEN so that sudden changes in disease trends may be more quickly identified than could otherwise with manual data entry of paper laboratory reports received by mail. ELR is mandated by regulation.</w:t>
      </w:r>
    </w:p>
    <w:p w14:paraId="734B7A2C" w14:textId="77777777" w:rsidR="006D0D34" w:rsidRPr="005D6129" w:rsidRDefault="006D0D34" w:rsidP="006D0D34">
      <w:pPr>
        <w:pStyle w:val="Heading3"/>
        <w:rPr>
          <w:color w:val="002060"/>
        </w:rPr>
      </w:pPr>
      <w:bookmarkStart w:id="39" w:name="_Toc484437020"/>
      <w:bookmarkStart w:id="40" w:name="_Toc11832726"/>
      <w:r w:rsidRPr="005D6129">
        <w:rPr>
          <w:color w:val="002060"/>
        </w:rPr>
        <w:t>BioSense – Syndromic Surveillance</w:t>
      </w:r>
      <w:bookmarkEnd w:id="39"/>
      <w:bookmarkEnd w:id="40"/>
    </w:p>
    <w:p w14:paraId="319AE0AC" w14:textId="77777777" w:rsidR="006D0D34" w:rsidRDefault="006D0D34" w:rsidP="006D0D34">
      <w:r>
        <w:t xml:space="preserve">Massachusetts participates in the CDC’s National Syndromic Surveillance Program (NSSP). The NSSP, through its </w:t>
      </w:r>
      <w:hyperlink r:id="rId29" w:history="1">
        <w:r w:rsidRPr="00387B3B">
          <w:rPr>
            <w:rStyle w:val="Hyperlink"/>
            <w:color w:val="0563C1"/>
          </w:rPr>
          <w:t>BioSense</w:t>
        </w:r>
      </w:hyperlink>
      <w:r w:rsidR="00B15E7F">
        <w:rPr>
          <w:rStyle w:val="FootnoteReference"/>
          <w:color w:val="0563C1"/>
          <w:u w:val="single"/>
        </w:rPr>
        <w:footnoteReference w:id="16"/>
      </w:r>
      <w:r>
        <w:t xml:space="preserve"> Platform, provide</w:t>
      </w:r>
      <w:r w:rsidR="00EC1F19">
        <w:t>s</w:t>
      </w:r>
      <w:r>
        <w:t xml:space="preserve"> MDPH and other public health officials with a common cloud-based health information system with standardized tools and procedures to rapidly collect, evaluate, share, and store information</w:t>
      </w:r>
      <w:r w:rsidRPr="00335C78">
        <w:t>.</w:t>
      </w:r>
      <w:r>
        <w:t xml:space="preserve"> Syndromic data can be analyzed and exchanged – improving health officials’ common awareness of health threats over time and across regional boundaries.</w:t>
      </w:r>
    </w:p>
    <w:p w14:paraId="1DA9F589" w14:textId="77777777" w:rsidR="006D0D34" w:rsidRPr="005D6129" w:rsidRDefault="006D0D34" w:rsidP="006D0D34">
      <w:pPr>
        <w:pStyle w:val="Heading3"/>
        <w:rPr>
          <w:color w:val="002060"/>
        </w:rPr>
      </w:pPr>
      <w:bookmarkStart w:id="41" w:name="_Toc484437021"/>
      <w:bookmarkStart w:id="42" w:name="_Toc11832727"/>
      <w:r w:rsidRPr="005D6129">
        <w:rPr>
          <w:color w:val="002060"/>
        </w:rPr>
        <w:t>Biohazard Detection System (BDS)</w:t>
      </w:r>
      <w:bookmarkEnd w:id="41"/>
      <w:bookmarkEnd w:id="42"/>
    </w:p>
    <w:p w14:paraId="1C3D5473" w14:textId="77777777" w:rsidR="006D0D34" w:rsidRPr="00997CCB" w:rsidRDefault="006D0D34" w:rsidP="006D0D34">
      <w:r w:rsidRPr="00F36BB9">
        <w:t>The Biohazard Detection System (BDS) refers to technology designed exclusively for the United States Postal Service (USPS). The BDS uses sophisticated DNA matc</w:t>
      </w:r>
      <w:r>
        <w:t>hing to detect the presence of a</w:t>
      </w:r>
      <w:r w:rsidRPr="00F36BB9">
        <w:t>nthrax in the mail at USPS Processing and Distribution Centers located in Boston, Brockton</w:t>
      </w:r>
      <w:r>
        <w:t>,</w:t>
      </w:r>
      <w:r w:rsidRPr="00F36BB9">
        <w:t xml:space="preserve"> and Shrewsbury. Re</w:t>
      </w:r>
      <w:r>
        <w:t>sponse to a BDS alarm at any</w:t>
      </w:r>
      <w:r w:rsidRPr="00F36BB9">
        <w:t xml:space="preserve"> of the</w:t>
      </w:r>
      <w:r>
        <w:t>se</w:t>
      </w:r>
      <w:r w:rsidRPr="00F36BB9">
        <w:t xml:space="preserve"> facilities may involve laboratory testing, decontamination</w:t>
      </w:r>
      <w:r>
        <w:t>,</w:t>
      </w:r>
      <w:r w:rsidRPr="00F36BB9">
        <w:t xml:space="preserve"> and </w:t>
      </w:r>
      <w:r>
        <w:t xml:space="preserve">MCM dispensing to the </w:t>
      </w:r>
      <w:r w:rsidRPr="00F36BB9">
        <w:t>exposed postal employees and first responders.</w:t>
      </w:r>
      <w:bookmarkStart w:id="43" w:name="_Toc476226301"/>
      <w:r>
        <w:t xml:space="preserve"> </w:t>
      </w:r>
    </w:p>
    <w:p w14:paraId="77DD84C9" w14:textId="77777777" w:rsidR="006D0D34" w:rsidRPr="005D6129" w:rsidRDefault="006D0D34" w:rsidP="006D0D34">
      <w:pPr>
        <w:pStyle w:val="Heading3"/>
        <w:rPr>
          <w:color w:val="002060"/>
        </w:rPr>
      </w:pPr>
      <w:bookmarkStart w:id="44" w:name="_Toc484437022"/>
      <w:bookmarkStart w:id="45" w:name="_Toc11832728"/>
      <w:bookmarkEnd w:id="43"/>
      <w:r w:rsidRPr="005D6129">
        <w:rPr>
          <w:color w:val="002060"/>
        </w:rPr>
        <w:t>Influenza Surveillance</w:t>
      </w:r>
      <w:bookmarkEnd w:id="44"/>
      <w:bookmarkEnd w:id="45"/>
    </w:p>
    <w:p w14:paraId="083BF807" w14:textId="77777777" w:rsidR="006D0D34" w:rsidRPr="004418C9" w:rsidRDefault="006D0D34" w:rsidP="006D0D34">
      <w:r>
        <w:t>During influenza season, the MDPH publishes weekly flu surveillance reports that document regional influenza-like illness (ILI) activity and the number of laboratory confirmed cases.</w:t>
      </w:r>
    </w:p>
    <w:p w14:paraId="7FA6D252" w14:textId="77777777" w:rsidR="006D0D34" w:rsidRPr="005D6129" w:rsidRDefault="005D6129" w:rsidP="006D0D34">
      <w:pPr>
        <w:pStyle w:val="Heading2"/>
        <w:rPr>
          <w:color w:val="002060"/>
        </w:rPr>
      </w:pPr>
      <w:bookmarkStart w:id="46" w:name="_Toc484437023"/>
      <w:bookmarkStart w:id="47" w:name="_Toc11832729"/>
      <w:bookmarkStart w:id="48" w:name="_Toc476226304"/>
      <w:r w:rsidRPr="005D6129">
        <w:rPr>
          <w:color w:val="002060"/>
        </w:rPr>
        <w:t>INCIDENT NOTIFICATION &amp; ACTIVATION DETERMINATION</w:t>
      </w:r>
      <w:bookmarkEnd w:id="46"/>
      <w:bookmarkEnd w:id="47"/>
    </w:p>
    <w:p w14:paraId="3DDF9351" w14:textId="77777777" w:rsidR="006D0D34" w:rsidRDefault="006D0D34" w:rsidP="006D0D34">
      <w:r>
        <w:t>Once an MCM incident has been identified, the appropriate LBOH and other healthcare partners will receive an initial incident notification from the MDPH through the Health and Homeland Alert Network (HHAN). The LBOH should then notify key staff and other partner agencies of the incident. The MDPH will issue another HHAN notification with further instructions and a timeline for a conference call with public health and emergency management subject matter experts. During the conference call the MDPH will share what is known about the incident, establish times for future conference calls, and indicate which EDS should activate.</w:t>
      </w:r>
    </w:p>
    <w:p w14:paraId="45236A42" w14:textId="77777777" w:rsidR="006D0D34" w:rsidRPr="005D6129" w:rsidRDefault="006D0D34" w:rsidP="006D0D34">
      <w:pPr>
        <w:pStyle w:val="Heading3"/>
        <w:rPr>
          <w:color w:val="002060"/>
        </w:rPr>
      </w:pPr>
      <w:bookmarkStart w:id="49" w:name="_Toc484437024"/>
      <w:bookmarkStart w:id="50" w:name="_Toc11832730"/>
      <w:r w:rsidRPr="005D6129">
        <w:rPr>
          <w:color w:val="002060"/>
        </w:rPr>
        <w:lastRenderedPageBreak/>
        <w:t>Local Emergency Management Notification</w:t>
      </w:r>
      <w:bookmarkEnd w:id="49"/>
      <w:bookmarkEnd w:id="50"/>
    </w:p>
    <w:p w14:paraId="7AB04C07" w14:textId="77777777" w:rsidR="006D0D34" w:rsidRDefault="006D0D34" w:rsidP="006D0D34">
      <w:r>
        <w:t>The LBOH should notify the Local Emergency Management Director (EMD) of the MCM incident to determine if the Local Emergency Operations Center (LEOC) should be activated. The LEOC may be needed to support planning, coordinate logistics, and document expenses for EDS operations, as well as to address broader community needs resulting from the incident. Alternately, these command and control function can be performed on-site at the EDS.</w:t>
      </w:r>
    </w:p>
    <w:p w14:paraId="58619184" w14:textId="77777777" w:rsidR="006D0D34" w:rsidRPr="005D6129" w:rsidRDefault="006D0D34" w:rsidP="006D0D34">
      <w:pPr>
        <w:pStyle w:val="Heading3"/>
        <w:rPr>
          <w:color w:val="002060"/>
        </w:rPr>
      </w:pPr>
      <w:bookmarkStart w:id="51" w:name="_Toc484437025"/>
      <w:bookmarkStart w:id="52" w:name="_Toc11832731"/>
      <w:r w:rsidRPr="005D6129">
        <w:rPr>
          <w:color w:val="002060"/>
        </w:rPr>
        <w:t>EDS Activation Requests &amp; Triggers</w:t>
      </w:r>
      <w:bookmarkEnd w:id="51"/>
      <w:bookmarkEnd w:id="52"/>
    </w:p>
    <w:p w14:paraId="3218613A" w14:textId="77777777" w:rsidR="006D0D34" w:rsidRDefault="006D0D34" w:rsidP="006D0D34">
      <w:r>
        <w:t>The EDS plan should document who is authorized to request activation of the EDS and potential triggers for activation. An EDS may be activated when:</w:t>
      </w:r>
    </w:p>
    <w:p w14:paraId="6C56B39A" w14:textId="77777777" w:rsidR="006D0D34" w:rsidRDefault="006D0D34" w:rsidP="000616C8">
      <w:pPr>
        <w:pStyle w:val="ListParagraph"/>
        <w:numPr>
          <w:ilvl w:val="0"/>
          <w:numId w:val="18"/>
        </w:numPr>
      </w:pPr>
      <w:r>
        <w:t>MDPH requests activation to respond to a statewide, multi-community, or local incident that requires MCM dispensing services; or</w:t>
      </w:r>
    </w:p>
    <w:p w14:paraId="55350A5D" w14:textId="77777777" w:rsidR="006D0D34" w:rsidRDefault="006D0D34" w:rsidP="000616C8">
      <w:pPr>
        <w:pStyle w:val="ListParagraph"/>
        <w:numPr>
          <w:ilvl w:val="0"/>
          <w:numId w:val="18"/>
        </w:numPr>
      </w:pPr>
      <w:r>
        <w:t>Local public health and emergency management determine that MCM dispensing services are needed to respond to a local incident; or</w:t>
      </w:r>
    </w:p>
    <w:p w14:paraId="6EDB6F85" w14:textId="77777777" w:rsidR="006D0D34" w:rsidRDefault="006D0D34" w:rsidP="000616C8">
      <w:pPr>
        <w:pStyle w:val="ListParagraph"/>
        <w:numPr>
          <w:ilvl w:val="0"/>
          <w:numId w:val="18"/>
        </w:numPr>
      </w:pPr>
      <w:r>
        <w:t>A partner agency requests assistance to provide MCM dispensing services for a residential or specific population</w:t>
      </w:r>
    </w:p>
    <w:p w14:paraId="73522412" w14:textId="77777777" w:rsidR="006D0D34" w:rsidRPr="00395AE5" w:rsidRDefault="006D0D34" w:rsidP="006D0D34">
      <w:pPr>
        <w:rPr>
          <w:b/>
          <w:u w:val="single"/>
        </w:rPr>
      </w:pPr>
      <w:r>
        <w:rPr>
          <w:b/>
          <w:u w:val="single"/>
        </w:rPr>
        <w:t>Pre-Event Planning</w:t>
      </w:r>
    </w:p>
    <w:p w14:paraId="313EAFF7" w14:textId="77777777" w:rsidR="006D0D34" w:rsidRDefault="006D0D34" w:rsidP="006D0D34">
      <w:r>
        <w:t>The EDS plan should outline situations that could trigger an EDS activation, including:</w:t>
      </w:r>
    </w:p>
    <w:p w14:paraId="4CF16016" w14:textId="5C06AD9C" w:rsidR="006D0D34" w:rsidRDefault="006D0D34" w:rsidP="000616C8">
      <w:pPr>
        <w:pStyle w:val="ListParagraph"/>
        <w:numPr>
          <w:ilvl w:val="0"/>
          <w:numId w:val="19"/>
        </w:numPr>
      </w:pPr>
      <w:r>
        <w:t xml:space="preserve">Federal </w:t>
      </w:r>
      <w:hyperlink r:id="rId30" w:history="1">
        <w:r w:rsidRPr="00D65C63">
          <w:rPr>
            <w:rStyle w:val="Hyperlink"/>
          </w:rPr>
          <w:t>Public Health Emergency Declaration</w:t>
        </w:r>
        <w:r w:rsidRPr="00D65C63">
          <w:rPr>
            <w:rStyle w:val="Hyperlink"/>
            <w:vertAlign w:val="superscript"/>
          </w:rPr>
          <w:footnoteReference w:id="17"/>
        </w:r>
      </w:hyperlink>
    </w:p>
    <w:p w14:paraId="62FFFF29" w14:textId="77777777" w:rsidR="006D0D34" w:rsidRDefault="006D0D34" w:rsidP="000616C8">
      <w:pPr>
        <w:pStyle w:val="ListParagraph"/>
        <w:numPr>
          <w:ilvl w:val="0"/>
          <w:numId w:val="19"/>
        </w:numPr>
      </w:pPr>
      <w:r>
        <w:t>State Declared Emergency (Civil Defense Act)</w:t>
      </w:r>
    </w:p>
    <w:p w14:paraId="11ECB990" w14:textId="77777777" w:rsidR="006D0D34" w:rsidRDefault="006D0D34" w:rsidP="000616C8">
      <w:pPr>
        <w:pStyle w:val="ListParagraph"/>
        <w:numPr>
          <w:ilvl w:val="0"/>
          <w:numId w:val="19"/>
        </w:numPr>
      </w:pPr>
      <w:r>
        <w:t>State Declared Public Health Emergency (MGL Chapter 17, Section 2A)</w:t>
      </w:r>
    </w:p>
    <w:p w14:paraId="419791D8" w14:textId="77777777" w:rsidR="006D0D34" w:rsidRDefault="006D0D34" w:rsidP="000616C8">
      <w:pPr>
        <w:pStyle w:val="ListParagraph"/>
        <w:numPr>
          <w:ilvl w:val="0"/>
          <w:numId w:val="19"/>
        </w:numPr>
      </w:pPr>
      <w:r>
        <w:t xml:space="preserve">Public health emergency that occurs in neighboring town(s) that may impact the local community </w:t>
      </w:r>
    </w:p>
    <w:p w14:paraId="6EC2DEB6" w14:textId="77777777" w:rsidR="006D0D34" w:rsidRDefault="006D0D34" w:rsidP="000616C8">
      <w:pPr>
        <w:pStyle w:val="ListParagraph"/>
        <w:numPr>
          <w:ilvl w:val="0"/>
          <w:numId w:val="19"/>
        </w:numPr>
      </w:pPr>
      <w:r>
        <w:t>Emerging h</w:t>
      </w:r>
      <w:r w:rsidRPr="00042F1B">
        <w:t xml:space="preserve">ealth threat outside of the </w:t>
      </w:r>
      <w:r>
        <w:t>country or state</w:t>
      </w:r>
      <w:r w:rsidRPr="00042F1B">
        <w:t xml:space="preserve"> that is likely to impact the </w:t>
      </w:r>
      <w:r>
        <w:t xml:space="preserve">local community in the future (e.g. World Health Organization (WHO) </w:t>
      </w:r>
      <w:hyperlink r:id="rId31" w:history="1">
        <w:r w:rsidRPr="002C05C9">
          <w:rPr>
            <w:rStyle w:val="Hyperlink"/>
          </w:rPr>
          <w:t>Phases of Pandemic Alert</w:t>
        </w:r>
      </w:hyperlink>
      <w:r w:rsidR="00B15E7F">
        <w:rPr>
          <w:rStyle w:val="FootnoteReference"/>
          <w:color w:val="0563C1" w:themeColor="hyperlink"/>
          <w:u w:val="single"/>
        </w:rPr>
        <w:footnoteReference w:id="18"/>
      </w:r>
      <w:r>
        <w:t>)</w:t>
      </w:r>
    </w:p>
    <w:p w14:paraId="44E6E4C0" w14:textId="77777777" w:rsidR="006D0D34" w:rsidRPr="005D6129" w:rsidRDefault="006D0D34" w:rsidP="006D0D34">
      <w:pPr>
        <w:pStyle w:val="Heading3"/>
        <w:rPr>
          <w:color w:val="002060"/>
        </w:rPr>
      </w:pPr>
      <w:bookmarkStart w:id="53" w:name="_Toc484437026"/>
      <w:bookmarkStart w:id="54" w:name="_Toc11832732"/>
      <w:r w:rsidRPr="005D6129">
        <w:rPr>
          <w:color w:val="002060"/>
        </w:rPr>
        <w:t>EDS Activation Determination</w:t>
      </w:r>
      <w:bookmarkEnd w:id="53"/>
      <w:bookmarkEnd w:id="54"/>
    </w:p>
    <w:p w14:paraId="68E284AC" w14:textId="77777777" w:rsidR="006D0D34" w:rsidRDefault="006D0D34" w:rsidP="006D0D34">
      <w:r>
        <w:t>The EDS plan should outline procedures and assigned roles for selecting one or more EDS for activation and for determining when to activate the EDS. Additionally, the EDS plan should include decision criteria for making the determination, including if:</w:t>
      </w:r>
    </w:p>
    <w:p w14:paraId="55089C0A" w14:textId="77777777" w:rsidR="006D0D34" w:rsidRDefault="006D0D34" w:rsidP="000616C8">
      <w:pPr>
        <w:pStyle w:val="ListParagraph"/>
        <w:numPr>
          <w:ilvl w:val="0"/>
          <w:numId w:val="20"/>
        </w:numPr>
      </w:pPr>
      <w:r>
        <w:t>Activation of the EDS can occur within the needed timeframe</w:t>
      </w:r>
    </w:p>
    <w:p w14:paraId="46571881" w14:textId="77777777" w:rsidR="006D0D34" w:rsidRDefault="006D0D34" w:rsidP="000616C8">
      <w:pPr>
        <w:pStyle w:val="ListParagraph"/>
        <w:numPr>
          <w:ilvl w:val="0"/>
          <w:numId w:val="20"/>
        </w:numPr>
      </w:pPr>
      <w:r>
        <w:t>EDS operations can be initiated, maintained, and terminated without disruption</w:t>
      </w:r>
    </w:p>
    <w:p w14:paraId="1653E3C8" w14:textId="77777777" w:rsidR="006D0D34" w:rsidRDefault="006D0D34" w:rsidP="000616C8">
      <w:pPr>
        <w:pStyle w:val="ListParagraph"/>
        <w:numPr>
          <w:ilvl w:val="0"/>
          <w:numId w:val="20"/>
        </w:numPr>
      </w:pPr>
      <w:r>
        <w:t>Necessary staff, systems, and equipment can be accommodated at the EDS</w:t>
      </w:r>
    </w:p>
    <w:p w14:paraId="2B563E1C" w14:textId="77777777" w:rsidR="006D0D34" w:rsidRDefault="006D0D34" w:rsidP="000616C8">
      <w:pPr>
        <w:pStyle w:val="ListParagraph"/>
        <w:numPr>
          <w:ilvl w:val="0"/>
          <w:numId w:val="20"/>
        </w:numPr>
      </w:pPr>
      <w:r>
        <w:t>Sustained operations can be accommodated (when needed)</w:t>
      </w:r>
    </w:p>
    <w:p w14:paraId="26997278" w14:textId="77777777" w:rsidR="006D0D34" w:rsidRDefault="006D0D34" w:rsidP="006D0D34">
      <w:r>
        <w:t>Generally, the decision to activate the EDS should be made within 60 minutes of notification (or based on the response requirements).</w:t>
      </w:r>
    </w:p>
    <w:p w14:paraId="67C92535" w14:textId="77777777" w:rsidR="006D0D34" w:rsidRPr="00507C56" w:rsidRDefault="006D0D34" w:rsidP="006D0D34">
      <w:pPr>
        <w:rPr>
          <w:b/>
          <w:u w:val="single"/>
        </w:rPr>
      </w:pPr>
      <w:r w:rsidRPr="00507C56">
        <w:rPr>
          <w:b/>
          <w:u w:val="single"/>
        </w:rPr>
        <w:t>Pre-Event Planning</w:t>
      </w:r>
    </w:p>
    <w:p w14:paraId="2AA54443" w14:textId="77777777" w:rsidR="006D0D34" w:rsidRPr="00F734A2" w:rsidRDefault="006D0D34" w:rsidP="006D0D34">
      <w:r w:rsidRPr="00F734A2">
        <w:t xml:space="preserve">To ensure </w:t>
      </w:r>
      <w:r>
        <w:t xml:space="preserve">that facilities selected are </w:t>
      </w:r>
      <w:r w:rsidRPr="00F734A2">
        <w:t>appropriate</w:t>
      </w:r>
      <w:r>
        <w:t xml:space="preserve"> for EDS operations</w:t>
      </w:r>
      <w:r w:rsidRPr="00F734A2">
        <w:t xml:space="preserve">, local </w:t>
      </w:r>
      <w:r>
        <w:t xml:space="preserve">health </w:t>
      </w:r>
      <w:r w:rsidRPr="00F734A2">
        <w:t>should:</w:t>
      </w:r>
    </w:p>
    <w:p w14:paraId="2138884C" w14:textId="77777777" w:rsidR="006D0D34" w:rsidRPr="00F734A2" w:rsidRDefault="006D0D34" w:rsidP="000616C8">
      <w:pPr>
        <w:pStyle w:val="ListParagraph"/>
        <w:numPr>
          <w:ilvl w:val="0"/>
          <w:numId w:val="25"/>
        </w:numPr>
      </w:pPr>
      <w:r w:rsidRPr="00F734A2">
        <w:t>Review current population estimates (</w:t>
      </w:r>
      <w:r>
        <w:t xml:space="preserve">e.g. </w:t>
      </w:r>
      <w:r w:rsidRPr="00F734A2">
        <w:t xml:space="preserve">total population, total households, </w:t>
      </w:r>
      <w:r>
        <w:t xml:space="preserve">daytime and seasonal population increases, </w:t>
      </w:r>
      <w:r w:rsidRPr="00F734A2">
        <w:t>etc.)</w:t>
      </w:r>
    </w:p>
    <w:p w14:paraId="10D189CE" w14:textId="77777777" w:rsidR="006D0D34" w:rsidRPr="00F734A2" w:rsidRDefault="006D0D34" w:rsidP="000616C8">
      <w:pPr>
        <w:pStyle w:val="ListParagraph"/>
        <w:numPr>
          <w:ilvl w:val="0"/>
          <w:numId w:val="25"/>
        </w:numPr>
      </w:pPr>
      <w:r w:rsidRPr="00F734A2">
        <w:t>Calculate throughput for worst-case scenarios (</w:t>
      </w:r>
      <w:r>
        <w:t xml:space="preserve">i.e. </w:t>
      </w:r>
      <w:r w:rsidRPr="00F734A2">
        <w:t xml:space="preserve">100% of households in </w:t>
      </w:r>
      <w:r>
        <w:t>30</w:t>
      </w:r>
      <w:r w:rsidRPr="00F734A2">
        <w:t xml:space="preserve"> hours)</w:t>
      </w:r>
    </w:p>
    <w:p w14:paraId="51A04E2B" w14:textId="77777777" w:rsidR="006D0D34" w:rsidRDefault="006D0D34" w:rsidP="000616C8">
      <w:pPr>
        <w:pStyle w:val="ListParagraph"/>
        <w:numPr>
          <w:ilvl w:val="0"/>
          <w:numId w:val="25"/>
        </w:numPr>
      </w:pPr>
      <w:r w:rsidRPr="00F734A2">
        <w:lastRenderedPageBreak/>
        <w:t>Identify facilities that can accommodate the throughput requirement</w:t>
      </w:r>
      <w:r>
        <w:t>s</w:t>
      </w:r>
      <w:r w:rsidRPr="00F734A2">
        <w:t xml:space="preserve"> (</w:t>
      </w:r>
      <w:r>
        <w:t xml:space="preserve">e.g. </w:t>
      </w:r>
      <w:r w:rsidRPr="00F734A2">
        <w:t>appropriately sized, layout supports client flow,</w:t>
      </w:r>
      <w:r>
        <w:t xml:space="preserve"> meets accessibility standards,</w:t>
      </w:r>
      <w:r w:rsidRPr="00F734A2">
        <w:t xml:space="preserve"> etc.)</w:t>
      </w:r>
    </w:p>
    <w:p w14:paraId="0DE3B984" w14:textId="77777777" w:rsidR="006D0D34" w:rsidRPr="00F734A2" w:rsidRDefault="006D0D34" w:rsidP="000616C8">
      <w:pPr>
        <w:pStyle w:val="ListParagraph"/>
        <w:numPr>
          <w:ilvl w:val="0"/>
          <w:numId w:val="25"/>
        </w:numPr>
      </w:pPr>
      <w:r>
        <w:t>Complete a</w:t>
      </w:r>
      <w:r w:rsidR="00EC1F19">
        <w:t>n Emergency Dispensing Site F</w:t>
      </w:r>
      <w:r>
        <w:t xml:space="preserve">acility </w:t>
      </w:r>
      <w:r w:rsidR="00EC1F19">
        <w:t>S</w:t>
      </w:r>
      <w:r>
        <w:t>urvey for each EDS</w:t>
      </w:r>
    </w:p>
    <w:p w14:paraId="7450B406" w14:textId="77777777" w:rsidR="006D0D34" w:rsidRPr="00F734A2" w:rsidRDefault="006D0D34" w:rsidP="006D0D34">
      <w:r>
        <w:t>Once a facility is selected as an EDS, local health should develop a site-specific written plan that includes a clinic flow layout, staffing estimates, security plan, and other operational details. Additionally, local health should collaborate with facility representatives to develop a facility use agreement or Memorandum of Understanding (MOU) and review it annually.</w:t>
      </w:r>
    </w:p>
    <w:p w14:paraId="5717376D" w14:textId="77777777" w:rsidR="00B05665" w:rsidRDefault="00B05665" w:rsidP="006D0D34">
      <w:pPr>
        <w:rPr>
          <w:b/>
          <w:u w:val="single"/>
        </w:rPr>
      </w:pPr>
    </w:p>
    <w:p w14:paraId="30B62425" w14:textId="77777777" w:rsidR="006D0D34" w:rsidRPr="00F734A2" w:rsidRDefault="006D0D34" w:rsidP="006D0D34">
      <w:pPr>
        <w:rPr>
          <w:b/>
          <w:u w:val="single"/>
        </w:rPr>
      </w:pPr>
      <w:r w:rsidRPr="00F734A2">
        <w:rPr>
          <w:b/>
          <w:u w:val="single"/>
        </w:rPr>
        <w:t>Resources</w:t>
      </w:r>
    </w:p>
    <w:p w14:paraId="56956739" w14:textId="75BA2C62" w:rsidR="006D0D34" w:rsidRDefault="00637775" w:rsidP="006D0D34">
      <w:hyperlink w:anchor="_Emergency_Dispensing_Site" w:history="1">
        <w:r w:rsidR="006D0D34" w:rsidRPr="00485A8E">
          <w:rPr>
            <w:rStyle w:val="Hyperlink"/>
          </w:rPr>
          <w:t xml:space="preserve">Emergency Dispensing Site </w:t>
        </w:r>
        <w:r w:rsidR="00EC1F19">
          <w:rPr>
            <w:rStyle w:val="Hyperlink"/>
          </w:rPr>
          <w:t>Facility</w:t>
        </w:r>
        <w:r w:rsidR="006D0D34" w:rsidRPr="00485A8E">
          <w:rPr>
            <w:rStyle w:val="Hyperlink"/>
          </w:rPr>
          <w:t xml:space="preserve"> Survey</w:t>
        </w:r>
      </w:hyperlink>
    </w:p>
    <w:p w14:paraId="3CA5CFFF" w14:textId="77777777" w:rsidR="006D0D34" w:rsidRPr="005D6129" w:rsidRDefault="005D6129" w:rsidP="006D0D34">
      <w:pPr>
        <w:pStyle w:val="Heading2"/>
        <w:rPr>
          <w:color w:val="002060"/>
        </w:rPr>
      </w:pPr>
      <w:bookmarkStart w:id="55" w:name="_Toc476226311"/>
      <w:bookmarkStart w:id="56" w:name="_Toc484437027"/>
      <w:bookmarkStart w:id="57" w:name="_Toc11832733"/>
      <w:r w:rsidRPr="005D6129">
        <w:rPr>
          <w:color w:val="002060"/>
        </w:rPr>
        <w:t>EDS ACTIVATION</w:t>
      </w:r>
      <w:bookmarkEnd w:id="55"/>
      <w:r w:rsidRPr="005D6129">
        <w:rPr>
          <w:color w:val="002060"/>
        </w:rPr>
        <w:t xml:space="preserve"> &amp; INCIDENT ACTION PLANNING</w:t>
      </w:r>
      <w:bookmarkEnd w:id="56"/>
      <w:bookmarkEnd w:id="57"/>
    </w:p>
    <w:p w14:paraId="40293EC1" w14:textId="77777777" w:rsidR="006D0D34" w:rsidRPr="00F734A2" w:rsidRDefault="006D0D34" w:rsidP="006D0D34">
      <w:r w:rsidRPr="00611818">
        <w:t>The EDS plan should document policies, procedures, and assigned roles for activating the EDS</w:t>
      </w:r>
      <w:r>
        <w:t xml:space="preserve"> and the EDS Management Team, maintaining situational awareness, and developing an Incident Action Plan (IAP).</w:t>
      </w:r>
    </w:p>
    <w:p w14:paraId="09595925" w14:textId="77777777" w:rsidR="006D0D34" w:rsidRPr="005D6129" w:rsidRDefault="006D0D34" w:rsidP="006D0D34">
      <w:pPr>
        <w:pStyle w:val="Heading3"/>
        <w:rPr>
          <w:color w:val="002060"/>
        </w:rPr>
      </w:pPr>
      <w:bookmarkStart w:id="58" w:name="_Toc476226313"/>
      <w:bookmarkStart w:id="59" w:name="_Toc484437028"/>
      <w:bookmarkStart w:id="60" w:name="_Toc11832734"/>
      <w:r w:rsidRPr="005D6129">
        <w:rPr>
          <w:color w:val="002060"/>
        </w:rPr>
        <w:t>EDS Activation Request</w:t>
      </w:r>
      <w:bookmarkEnd w:id="58"/>
      <w:r w:rsidRPr="005D6129">
        <w:rPr>
          <w:color w:val="002060"/>
        </w:rPr>
        <w:t xml:space="preserve"> &amp; Assessment</w:t>
      </w:r>
      <w:bookmarkEnd w:id="59"/>
      <w:bookmarkEnd w:id="60"/>
    </w:p>
    <w:p w14:paraId="43BD8A8D" w14:textId="77777777" w:rsidR="006D0D34" w:rsidRDefault="006D0D34" w:rsidP="006D0D34">
      <w:r>
        <w:t xml:space="preserve">The LBOH should </w:t>
      </w:r>
      <w:r w:rsidRPr="003F632A">
        <w:t>notif</w:t>
      </w:r>
      <w:r>
        <w:t>y</w:t>
      </w:r>
      <w:r w:rsidRPr="003F632A">
        <w:t xml:space="preserve"> the </w:t>
      </w:r>
      <w:r>
        <w:t xml:space="preserve">EDS </w:t>
      </w:r>
      <w:r w:rsidRPr="003F632A">
        <w:t>facility representative</w:t>
      </w:r>
      <w:r>
        <w:t xml:space="preserve"> </w:t>
      </w:r>
      <w:r w:rsidRPr="003F632A">
        <w:t>of the incident</w:t>
      </w:r>
      <w:r>
        <w:t xml:space="preserve"> and confirm the availability and suitability of the facility including that:</w:t>
      </w:r>
    </w:p>
    <w:p w14:paraId="59792035" w14:textId="77777777" w:rsidR="006D0D34" w:rsidRDefault="006D0D34" w:rsidP="000616C8">
      <w:pPr>
        <w:pStyle w:val="ListParagraph"/>
        <w:numPr>
          <w:ilvl w:val="0"/>
          <w:numId w:val="23"/>
        </w:numPr>
      </w:pPr>
      <w:r>
        <w:t>Services to the facility are operational (power, water, sewer, HVAC, etc.)</w:t>
      </w:r>
    </w:p>
    <w:p w14:paraId="16D57B0E" w14:textId="77777777" w:rsidR="006D0D34" w:rsidRDefault="006D0D34" w:rsidP="000616C8">
      <w:pPr>
        <w:pStyle w:val="ListParagraph"/>
        <w:numPr>
          <w:ilvl w:val="0"/>
          <w:numId w:val="23"/>
        </w:numPr>
      </w:pPr>
      <w:r>
        <w:t>Access to the facility is not obstructed (streets, sidewalks, etc.)</w:t>
      </w:r>
    </w:p>
    <w:p w14:paraId="16DE8DD9" w14:textId="77777777" w:rsidR="006D0D34" w:rsidRDefault="006D0D34" w:rsidP="000616C8">
      <w:pPr>
        <w:pStyle w:val="ListParagraph"/>
        <w:numPr>
          <w:ilvl w:val="0"/>
          <w:numId w:val="24"/>
        </w:numPr>
      </w:pPr>
      <w:r>
        <w:t>The facility is available for the anticipated response period</w:t>
      </w:r>
    </w:p>
    <w:p w14:paraId="72F4756D" w14:textId="77777777" w:rsidR="006D0D34" w:rsidRDefault="006D0D34" w:rsidP="006D0D34">
      <w:r>
        <w:t xml:space="preserve">Based on the activation assessment, the LBOH then notifies the MDPH of the status of the facility for EDS operations (e.g. available, available with conditions, not available, etc.). When a </w:t>
      </w:r>
      <w:r w:rsidRPr="009C05D5">
        <w:t xml:space="preserve">designated </w:t>
      </w:r>
      <w:r>
        <w:t>EDS is deemed inappropriate or unavailable, a non-designated facility can be used if it meets access and functional needs requirements. Once the facility is confirmed as available, the LBOH should update the MDPH WebEOC EDS Board with the location, population, operational hours, and anticipated throughput.</w:t>
      </w:r>
    </w:p>
    <w:p w14:paraId="2749CE43" w14:textId="77777777" w:rsidR="006D0D34" w:rsidRDefault="006D0D34" w:rsidP="006D0D34">
      <w:pPr>
        <w:rPr>
          <w:b/>
          <w:u w:val="single"/>
        </w:rPr>
      </w:pPr>
      <w:r>
        <w:rPr>
          <w:b/>
          <w:u w:val="single"/>
        </w:rPr>
        <w:t>Pre-Event Planning</w:t>
      </w:r>
    </w:p>
    <w:p w14:paraId="557A96F6" w14:textId="77777777" w:rsidR="006D0D34" w:rsidRDefault="006D0D34" w:rsidP="006D0D34">
      <w:r>
        <w:t>Local health should document at least primary and secondary contacts for the designated EDS facilities and conduct annual (at minimum) facility notification exercises. The MDPH recommends identifying tertiary contacts for redundancy, if possible.</w:t>
      </w:r>
    </w:p>
    <w:p w14:paraId="5AFE452A" w14:textId="77777777" w:rsidR="006D0D34" w:rsidRPr="005D6129" w:rsidRDefault="006D0D34" w:rsidP="006D0D34">
      <w:pPr>
        <w:pStyle w:val="Heading3"/>
        <w:rPr>
          <w:color w:val="002060"/>
        </w:rPr>
      </w:pPr>
      <w:bookmarkStart w:id="61" w:name="_Toc476226316"/>
      <w:bookmarkStart w:id="62" w:name="_Toc484437029"/>
      <w:bookmarkStart w:id="63" w:name="_Toc11832735"/>
      <w:r w:rsidRPr="005D6129">
        <w:rPr>
          <w:color w:val="002060"/>
        </w:rPr>
        <w:t xml:space="preserve">EDS </w:t>
      </w:r>
      <w:bookmarkEnd w:id="61"/>
      <w:r w:rsidRPr="005D6129">
        <w:rPr>
          <w:color w:val="002060"/>
        </w:rPr>
        <w:t>Management Team Activation</w:t>
      </w:r>
      <w:bookmarkEnd w:id="62"/>
      <w:bookmarkEnd w:id="63"/>
    </w:p>
    <w:p w14:paraId="67B04861" w14:textId="77777777" w:rsidR="005E1B2B" w:rsidRDefault="006D0D34" w:rsidP="006D0D34">
      <w:r>
        <w:t xml:space="preserve">Once the EDS location is confirmed, the LBOH should activate the EDS Management Team to support development of an initial IAP and to mobilize public information, staff and volunteers, and resources for EDS operations. </w:t>
      </w:r>
      <w:r w:rsidR="005E1B2B">
        <w:t xml:space="preserve">The EDS Management Team </w:t>
      </w:r>
      <w:r w:rsidR="00F961E2">
        <w:t>command and general staff</w:t>
      </w:r>
      <w:r w:rsidR="005E1B2B">
        <w:t xml:space="preserve"> should </w:t>
      </w:r>
      <w:r w:rsidR="004B46CC">
        <w:t xml:space="preserve">be organized </w:t>
      </w:r>
      <w:r w:rsidR="00BB3BE6">
        <w:t xml:space="preserve">according to </w:t>
      </w:r>
      <w:r w:rsidR="005E1B2B">
        <w:t>Incident Command System (ICS) principles.  ICS is flexible and scalable, and</w:t>
      </w:r>
      <w:r w:rsidR="00CD22FF">
        <w:t xml:space="preserve"> the size of the</w:t>
      </w:r>
      <w:r w:rsidR="005E1B2B">
        <w:t xml:space="preserve"> response </w:t>
      </w:r>
      <w:r w:rsidR="00CD22FF">
        <w:t xml:space="preserve">needed </w:t>
      </w:r>
      <w:r w:rsidR="005E1B2B">
        <w:t xml:space="preserve">will determine the number of roles that will need to be filled.  </w:t>
      </w:r>
      <w:r w:rsidR="00804EF1">
        <w:t xml:space="preserve">One person may be assigned to </w:t>
      </w:r>
      <w:r w:rsidR="0082234C">
        <w:t xml:space="preserve">fill </w:t>
      </w:r>
      <w:r w:rsidR="00804EF1">
        <w:t>more than one role. The EDS Manager is responsible for the functions that fall under roles that are not filled.</w:t>
      </w:r>
    </w:p>
    <w:p w14:paraId="70D58F32" w14:textId="77777777" w:rsidR="005E1B2B" w:rsidRDefault="005E1B2B" w:rsidP="006D0D34"/>
    <w:p w14:paraId="4BE368D3" w14:textId="77777777" w:rsidR="005D6129" w:rsidRDefault="005E1B2B" w:rsidP="006D0D34">
      <w:r>
        <w:lastRenderedPageBreak/>
        <w:t>Within the EDS Management Team, the command roles include the EDS Manager</w:t>
      </w:r>
      <w:r w:rsidR="004B46CC">
        <w:t>, and staff that report to the M</w:t>
      </w:r>
      <w:r>
        <w:t>anager, including the safety officer, public information officer, and liaison officer</w:t>
      </w:r>
      <w:r w:rsidR="00BB3BE6">
        <w:t xml:space="preserve">. </w:t>
      </w:r>
    </w:p>
    <w:p w14:paraId="6E3943A3" w14:textId="77777777" w:rsidR="006D0D34" w:rsidRDefault="006D0D34" w:rsidP="006D0D34">
      <w:r>
        <w:t xml:space="preserve">The EDS Manager is the primary decision maker for the EDS and implements and updates the IAP. </w:t>
      </w:r>
      <w:r w:rsidRPr="00692740">
        <w:t xml:space="preserve">The Safety Officer develops </w:t>
      </w:r>
      <w:r w:rsidR="004B46CC">
        <w:t xml:space="preserve">and implements </w:t>
      </w:r>
      <w:r w:rsidRPr="00692740">
        <w:t>the safety plan for the EDS</w:t>
      </w:r>
      <w:r w:rsidR="00BB3BE6">
        <w:t xml:space="preserve">. </w:t>
      </w:r>
      <w:r w:rsidR="00F961E2">
        <w:t xml:space="preserve">Note that coordination with law enforcement for EDS or transport security will occur through the security unit within Operations section. </w:t>
      </w:r>
      <w:r w:rsidRPr="005459B4">
        <w:t xml:space="preserve">The </w:t>
      </w:r>
      <w:r>
        <w:t>Public Information Officer (</w:t>
      </w:r>
      <w:r w:rsidRPr="005459B4">
        <w:t>PIO</w:t>
      </w:r>
      <w:r>
        <w:t>)</w:t>
      </w:r>
      <w:r w:rsidR="004B46CC">
        <w:t>, under the direction of the EDS Manager,</w:t>
      </w:r>
      <w:r>
        <w:t xml:space="preserve"> develops and disseminates public information about the health threat and the emergency public health services, as well as</w:t>
      </w:r>
      <w:r w:rsidRPr="005459B4">
        <w:t xml:space="preserve"> serves as the spokesperson for the EDS to the media and the public.</w:t>
      </w:r>
      <w:r>
        <w:t xml:space="preserve"> The Liaison Officer serves as t</w:t>
      </w:r>
      <w:r w:rsidRPr="005459B4">
        <w:t xml:space="preserve">he point of contact for representatives from </w:t>
      </w:r>
      <w:r>
        <w:t>partner agencies</w:t>
      </w:r>
      <w:r w:rsidRPr="005459B4">
        <w:t xml:space="preserve"> that are supporting the MCM dispensing operations.</w:t>
      </w:r>
    </w:p>
    <w:p w14:paraId="25E4AE04" w14:textId="77777777" w:rsidR="00485A8E" w:rsidRDefault="00485A8E" w:rsidP="006D0D34"/>
    <w:p w14:paraId="50F49536" w14:textId="77777777" w:rsidR="006D0D34" w:rsidRDefault="00181454" w:rsidP="005C60F3">
      <w:r>
        <w:t xml:space="preserve">General staff </w:t>
      </w:r>
      <w:r w:rsidR="005C60F3">
        <w:t>are incident management personnel organized according to function and reporting to the EDS Manager.  The General Staff normally consist</w:t>
      </w:r>
      <w:r w:rsidR="003D28AE">
        <w:t>s</w:t>
      </w:r>
      <w:r w:rsidR="005C60F3">
        <w:t xml:space="preserve"> of the </w:t>
      </w:r>
      <w:r>
        <w:t xml:space="preserve">Operations </w:t>
      </w:r>
      <w:r w:rsidR="005C60F3">
        <w:t xml:space="preserve">Section </w:t>
      </w:r>
      <w:r>
        <w:t>Chief, P</w:t>
      </w:r>
      <w:r w:rsidR="00BB3BE6">
        <w:t xml:space="preserve">lanning </w:t>
      </w:r>
      <w:r w:rsidR="005C60F3">
        <w:t xml:space="preserve">Section </w:t>
      </w:r>
      <w:r>
        <w:t>Chief, L</w:t>
      </w:r>
      <w:r w:rsidR="00BB3BE6">
        <w:t xml:space="preserve">ogistics </w:t>
      </w:r>
      <w:r w:rsidR="005C60F3">
        <w:t xml:space="preserve">Section </w:t>
      </w:r>
      <w:r w:rsidR="00D5154C">
        <w:t>Chief and A</w:t>
      </w:r>
      <w:r w:rsidR="00BB3BE6">
        <w:t xml:space="preserve">dministration and </w:t>
      </w:r>
      <w:r w:rsidR="00D5154C">
        <w:t xml:space="preserve">Finance </w:t>
      </w:r>
      <w:r w:rsidR="005C60F3">
        <w:t xml:space="preserve">Section </w:t>
      </w:r>
      <w:r w:rsidR="00D5154C">
        <w:t>C</w:t>
      </w:r>
      <w:r w:rsidR="00BB3BE6">
        <w:t xml:space="preserve">hief.  </w:t>
      </w:r>
    </w:p>
    <w:p w14:paraId="520D1694" w14:textId="77777777" w:rsidR="006D0D34" w:rsidRPr="003833FB" w:rsidRDefault="002D43E9" w:rsidP="00D65C63">
      <w:pPr>
        <w:pStyle w:val="Heading4"/>
      </w:pPr>
      <w:r w:rsidRPr="003833FB">
        <w:t>Operations</w:t>
      </w:r>
    </w:p>
    <w:p w14:paraId="5B27FD10" w14:textId="77777777" w:rsidR="00D5154C" w:rsidRDefault="002D43E9" w:rsidP="00D5154C">
      <w:r>
        <w:t xml:space="preserve">The Operations Section is responsible for all tactical operations </w:t>
      </w:r>
      <w:r w:rsidR="00D5154C">
        <w:t>at</w:t>
      </w:r>
      <w:r>
        <w:t xml:space="preserve"> the EDS</w:t>
      </w:r>
      <w:r w:rsidR="00F774AC">
        <w:t xml:space="preserve">. </w:t>
      </w:r>
      <w:r w:rsidR="00F8124E">
        <w:t xml:space="preserve">Examples of </w:t>
      </w:r>
      <w:r w:rsidR="00F774AC">
        <w:t xml:space="preserve">Operations units include </w:t>
      </w:r>
      <w:r>
        <w:t>Greeting, Registration, Triage, Forms</w:t>
      </w:r>
      <w:r w:rsidR="00D5154C">
        <w:t xml:space="preserve"> Distribution/Forms Collection</w:t>
      </w:r>
      <w:r>
        <w:t xml:space="preserve">, Screening, </w:t>
      </w:r>
      <w:r w:rsidR="00D5154C">
        <w:t xml:space="preserve">Medication or Vaccine Dispensing, </w:t>
      </w:r>
      <w:r>
        <w:t xml:space="preserve">Behavioral Health, and Transport.  </w:t>
      </w:r>
    </w:p>
    <w:p w14:paraId="0EAE3B0A" w14:textId="14028EFC" w:rsidR="006D0D34" w:rsidRDefault="002D43E9" w:rsidP="003833FB">
      <w:pPr>
        <w:pStyle w:val="Heading4"/>
      </w:pPr>
      <w:r w:rsidRPr="00D5154C">
        <w:t>Planning</w:t>
      </w:r>
    </w:p>
    <w:p w14:paraId="4D1BB883" w14:textId="77777777" w:rsidR="006D0D34" w:rsidRDefault="006D0D34" w:rsidP="006D0D34">
      <w:r>
        <w:t xml:space="preserve">The </w:t>
      </w:r>
      <w:r w:rsidR="00F774AC">
        <w:t xml:space="preserve">Planning section is responsible for the collection, evaluation and dissemination of information related to the EDS, and for the preparation and documentation of IAPs.  Planning also maintains information on the current and anticipated situation, and on the status of resources assigned to the EDS.  </w:t>
      </w:r>
      <w:r w:rsidR="00F8124E">
        <w:t xml:space="preserve">Examples of </w:t>
      </w:r>
      <w:r w:rsidR="00F774AC">
        <w:t>Planning units include Situation, Resources, Documentation and Demobilization.</w:t>
      </w:r>
    </w:p>
    <w:p w14:paraId="3B82572D" w14:textId="77777777" w:rsidR="006D0D34" w:rsidRPr="003D28AE" w:rsidRDefault="003D28AE" w:rsidP="003D28AE">
      <w:pPr>
        <w:pStyle w:val="Heading4"/>
        <w:numPr>
          <w:ilvl w:val="0"/>
          <w:numId w:val="0"/>
        </w:numPr>
      </w:pPr>
      <w:r w:rsidRPr="003D28AE">
        <w:t xml:space="preserve">2.3.2.3     </w:t>
      </w:r>
      <w:r w:rsidR="002D43E9" w:rsidRPr="003D28AE">
        <w:t>Logistics</w:t>
      </w:r>
    </w:p>
    <w:p w14:paraId="12572E2B" w14:textId="77777777" w:rsidR="006D0D34" w:rsidRDefault="006D0D34" w:rsidP="006D0D34">
      <w:r>
        <w:t xml:space="preserve">The </w:t>
      </w:r>
      <w:r w:rsidR="00D5154C">
        <w:t xml:space="preserve">Logistics section is responsible for providing facilities, services and materials for the EDS.  </w:t>
      </w:r>
      <w:r w:rsidR="00F8124E">
        <w:t xml:space="preserve">Examples of </w:t>
      </w:r>
      <w:r w:rsidR="00F774AC">
        <w:t>Logistics units include Facilities, Inventory Management, Food Services</w:t>
      </w:r>
      <w:r w:rsidR="00C92EE8">
        <w:t>, First Aid</w:t>
      </w:r>
      <w:r w:rsidR="00F774AC">
        <w:t xml:space="preserve"> (for staff and volunteers)</w:t>
      </w:r>
      <w:r w:rsidR="005C60F3">
        <w:t xml:space="preserve"> and Child</w:t>
      </w:r>
      <w:r w:rsidR="00F774AC">
        <w:t xml:space="preserve">care </w:t>
      </w:r>
    </w:p>
    <w:p w14:paraId="617876E3" w14:textId="4CE5A098" w:rsidR="002D43E9" w:rsidRPr="003D28AE" w:rsidRDefault="002D43E9" w:rsidP="003833FB">
      <w:pPr>
        <w:pStyle w:val="Heading4"/>
        <w:rPr>
          <w:u w:val="single"/>
        </w:rPr>
      </w:pPr>
      <w:r w:rsidRPr="003D28AE">
        <w:t>Administration and Finance</w:t>
      </w:r>
    </w:p>
    <w:p w14:paraId="6575BDF3" w14:textId="77777777" w:rsidR="006D0D34" w:rsidRDefault="005C60F3" w:rsidP="006D0D34">
      <w:r w:rsidRPr="00E228D7">
        <w:t xml:space="preserve">The Administration and Finance section is responsible for all incident costs and financial considerations. </w:t>
      </w:r>
      <w:r w:rsidR="00F8124E" w:rsidRPr="00E228D7">
        <w:t>Examples of Administration and Finance units include</w:t>
      </w:r>
      <w:r w:rsidRPr="00E228D7">
        <w:t xml:space="preserve"> the Time u</w:t>
      </w:r>
      <w:r w:rsidR="0082234C" w:rsidRPr="00E228D7">
        <w:t>nit, Procurement unit, Compensation/Claims unit and Cost unit.</w:t>
      </w:r>
    </w:p>
    <w:p w14:paraId="71050B29" w14:textId="77777777" w:rsidR="00464AFA" w:rsidRDefault="00464AFA" w:rsidP="006D0D34"/>
    <w:p w14:paraId="698A15B5" w14:textId="77777777" w:rsidR="00464AFA" w:rsidRDefault="00464AFA" w:rsidP="00464AFA">
      <w:pPr>
        <w:pStyle w:val="Caption"/>
        <w:keepNext/>
      </w:pPr>
      <w:r>
        <w:lastRenderedPageBreak/>
        <w:t xml:space="preserve">Figure </w:t>
      </w:r>
      <w:r w:rsidR="00B31247">
        <w:rPr>
          <w:noProof/>
        </w:rPr>
        <w:fldChar w:fldCharType="begin"/>
      </w:r>
      <w:r w:rsidR="00B31247">
        <w:rPr>
          <w:noProof/>
        </w:rPr>
        <w:instrText xml:space="preserve"> SEQ Figure \* ARABIC </w:instrText>
      </w:r>
      <w:r w:rsidR="00B31247">
        <w:rPr>
          <w:noProof/>
        </w:rPr>
        <w:fldChar w:fldCharType="separate"/>
      </w:r>
      <w:r w:rsidR="00075F4E">
        <w:rPr>
          <w:noProof/>
        </w:rPr>
        <w:t>1</w:t>
      </w:r>
      <w:r w:rsidR="00B31247">
        <w:rPr>
          <w:noProof/>
        </w:rPr>
        <w:fldChar w:fldCharType="end"/>
      </w:r>
      <w:r>
        <w:t>: ICS Flowchart</w:t>
      </w:r>
    </w:p>
    <w:p w14:paraId="716FBDA8" w14:textId="77777777" w:rsidR="00464AFA" w:rsidRDefault="00464AFA" w:rsidP="00464AFA">
      <w:pPr>
        <w:keepNext/>
      </w:pPr>
      <w:r>
        <w:rPr>
          <w:noProof/>
        </w:rPr>
        <w:drawing>
          <wp:inline distT="0" distB="0" distL="0" distR="0" wp14:anchorId="2586CC7C" wp14:editId="636FFE9E">
            <wp:extent cx="6172200" cy="3944285"/>
            <wp:effectExtent l="0" t="0" r="0" b="0"/>
            <wp:docPr id="2" name="Picture 2" descr="C:\Users\rchecchio\AppData\Local\Microsoft\Windows\INetCache\Content.Word\RAV004 EDS Manager Cha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checchio\AppData\Local\Microsoft\Windows\INetCache\Content.Word\RAV004 EDS Manager Chart2.png"/>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6172200" cy="3944285"/>
                    </a:xfrm>
                    <a:prstGeom prst="rect">
                      <a:avLst/>
                    </a:prstGeom>
                    <a:noFill/>
                    <a:ln>
                      <a:noFill/>
                    </a:ln>
                  </pic:spPr>
                </pic:pic>
              </a:graphicData>
            </a:graphic>
          </wp:inline>
        </w:drawing>
      </w:r>
    </w:p>
    <w:p w14:paraId="66CBCE5D" w14:textId="77777777" w:rsidR="0082234C" w:rsidRDefault="0082234C" w:rsidP="006D0D34">
      <w:pPr>
        <w:rPr>
          <w:b/>
          <w:u w:val="single"/>
        </w:rPr>
      </w:pPr>
    </w:p>
    <w:p w14:paraId="33B8BB33" w14:textId="77777777" w:rsidR="006D0D34" w:rsidRDefault="006D0D34" w:rsidP="006D0D34">
      <w:r>
        <w:rPr>
          <w:b/>
          <w:u w:val="single"/>
        </w:rPr>
        <w:t>Pre-Event Planning</w:t>
      </w:r>
    </w:p>
    <w:p w14:paraId="50F25F34" w14:textId="77777777" w:rsidR="006D0D34" w:rsidRPr="001C089F" w:rsidRDefault="006D0D34" w:rsidP="006D0D34">
      <w:r>
        <w:t>Local health should identify at least primary and secondary staff for each position on the EDS Management Team and conduct quarterly notification exercises. The MDPH recommends identifying tertiary staff for each position for redundancy, if possible.</w:t>
      </w:r>
    </w:p>
    <w:p w14:paraId="7D3B3942" w14:textId="77777777" w:rsidR="006D0D34" w:rsidRDefault="006D0D34" w:rsidP="006D0D34">
      <w:pPr>
        <w:rPr>
          <w:b/>
          <w:u w:val="single"/>
        </w:rPr>
      </w:pPr>
    </w:p>
    <w:p w14:paraId="6410A457" w14:textId="77777777" w:rsidR="006D0D34" w:rsidRDefault="006D0D34" w:rsidP="006D0D34">
      <w:r>
        <w:rPr>
          <w:b/>
          <w:u w:val="single"/>
        </w:rPr>
        <w:t>Resources</w:t>
      </w:r>
    </w:p>
    <w:p w14:paraId="6D7D981C" w14:textId="77777777" w:rsidR="006D0D34" w:rsidRDefault="006D0D34" w:rsidP="006D0D34">
      <w:r>
        <w:t xml:space="preserve">As of the date of this publication, the MDPH is updating template Job Action Sheets for EDS based on the recommended command structure and staff positions. A notice will be distributed when they are </w:t>
      </w:r>
      <w:r w:rsidR="00633F3A">
        <w:t>available</w:t>
      </w:r>
      <w:r>
        <w:t>.</w:t>
      </w:r>
    </w:p>
    <w:p w14:paraId="064169B4" w14:textId="77777777" w:rsidR="00584862" w:rsidRDefault="00637775" w:rsidP="006D0D34">
      <w:hyperlink w:anchor="ICS_Training_Resources" w:history="1">
        <w:r w:rsidR="00584862" w:rsidRPr="00584862">
          <w:rPr>
            <w:rStyle w:val="Hyperlink"/>
          </w:rPr>
          <w:t>ICS Training Resources</w:t>
        </w:r>
      </w:hyperlink>
    </w:p>
    <w:p w14:paraId="1680D7DD" w14:textId="77777777" w:rsidR="006D0D34" w:rsidRPr="005D6129" w:rsidRDefault="006D0D34" w:rsidP="006D0D34">
      <w:pPr>
        <w:pStyle w:val="Heading3"/>
        <w:rPr>
          <w:color w:val="002060"/>
        </w:rPr>
      </w:pPr>
      <w:bookmarkStart w:id="64" w:name="_Toc484437033"/>
      <w:bookmarkStart w:id="65" w:name="_Toc11832736"/>
      <w:r w:rsidRPr="005D6129">
        <w:rPr>
          <w:color w:val="002060"/>
        </w:rPr>
        <w:t>Situational Awareness</w:t>
      </w:r>
      <w:bookmarkEnd w:id="64"/>
      <w:bookmarkEnd w:id="65"/>
    </w:p>
    <w:p w14:paraId="67E5F8F9" w14:textId="77777777" w:rsidR="006D0D34" w:rsidRDefault="006D0D34" w:rsidP="006D0D34">
      <w:r w:rsidRPr="003B5DE2">
        <w:t xml:space="preserve">Once briefed on the initial </w:t>
      </w:r>
      <w:r>
        <w:t xml:space="preserve">incident </w:t>
      </w:r>
      <w:r w:rsidRPr="003B5DE2">
        <w:t xml:space="preserve">information, </w:t>
      </w:r>
      <w:r>
        <w:t>the EDS Management Team</w:t>
      </w:r>
      <w:r w:rsidRPr="003B5DE2">
        <w:t xml:space="preserve"> </w:t>
      </w:r>
      <w:r>
        <w:t xml:space="preserve">should </w:t>
      </w:r>
      <w:r w:rsidRPr="003B5DE2">
        <w:t xml:space="preserve">develop broader situational awareness to support development of </w:t>
      </w:r>
      <w:r>
        <w:t>an</w:t>
      </w:r>
      <w:r w:rsidRPr="003B5DE2">
        <w:t xml:space="preserve"> initial IAP and to share information with </w:t>
      </w:r>
      <w:r>
        <w:t>the appropriate partner agencies. The HMCC acts as an important source of public health and healthcare situational awareness and will distribute state and federal guidance. In addition to the HMCC, t</w:t>
      </w:r>
      <w:r w:rsidRPr="003B5DE2">
        <w:t xml:space="preserve">he following are potential sources of information for </w:t>
      </w:r>
      <w:r>
        <w:t xml:space="preserve">MCM and EDS </w:t>
      </w:r>
      <w:r w:rsidRPr="003B5DE2">
        <w:t>situational awareness.</w:t>
      </w:r>
    </w:p>
    <w:p w14:paraId="7C8D516E" w14:textId="77777777" w:rsidR="006D0D34" w:rsidRDefault="006D0D34" w:rsidP="006D0D34">
      <w:pPr>
        <w:pStyle w:val="Heading4"/>
      </w:pPr>
      <w:bookmarkStart w:id="66" w:name="_Toc484437034"/>
      <w:r>
        <w:t>MDPH WebEOC</w:t>
      </w:r>
      <w:bookmarkEnd w:id="66"/>
    </w:p>
    <w:p w14:paraId="5479D528" w14:textId="77777777" w:rsidR="006D0D34" w:rsidRDefault="006D0D34" w:rsidP="006D0D34">
      <w:r>
        <w:t xml:space="preserve">The MDPH WebEOC is an online incident management system used </w:t>
      </w:r>
      <w:r w:rsidRPr="00021ACE">
        <w:rPr>
          <w:rStyle w:val="Hyperlink"/>
          <w:color w:val="auto"/>
          <w:u w:val="none"/>
        </w:rPr>
        <w:t xml:space="preserve">to develop and maintain situational awareness of local and statewide health and medical hazard impacts and response </w:t>
      </w:r>
      <w:r w:rsidRPr="00021ACE">
        <w:rPr>
          <w:rStyle w:val="Hyperlink"/>
          <w:color w:val="auto"/>
          <w:u w:val="none"/>
        </w:rPr>
        <w:lastRenderedPageBreak/>
        <w:t xml:space="preserve">activities </w:t>
      </w:r>
      <w:r w:rsidRPr="00F55137">
        <w:rPr>
          <w:rStyle w:val="Hyperlink"/>
          <w:color w:val="auto"/>
          <w:u w:val="none"/>
        </w:rPr>
        <w:t>across state, regional, and local entities</w:t>
      </w:r>
      <w:r w:rsidRPr="00633F3A">
        <w:t>.</w:t>
      </w:r>
      <w:r>
        <w:t xml:space="preserve"> In addition to status boards for healthcare facilities, the MDPH WebEOC includes an EDS board that contains important information about each designated EDS facility and provides a means of tracking and documenting resource requests.</w:t>
      </w:r>
    </w:p>
    <w:p w14:paraId="60F34475" w14:textId="77777777" w:rsidR="006D0D34" w:rsidRDefault="006D0D34" w:rsidP="006D0D34">
      <w:pPr>
        <w:pStyle w:val="Heading4"/>
      </w:pPr>
      <w:bookmarkStart w:id="67" w:name="_Toc484437035"/>
      <w:r>
        <w:t>Health &amp; Homeland Alert Network (HHAN)</w:t>
      </w:r>
      <w:bookmarkEnd w:id="67"/>
    </w:p>
    <w:p w14:paraId="6F96300A" w14:textId="77777777" w:rsidR="006D0D34" w:rsidRDefault="006D0D34" w:rsidP="006D0D34">
      <w:r w:rsidRPr="00675384">
        <w:t>The</w:t>
      </w:r>
      <w:r>
        <w:t xml:space="preserve"> MDPH</w:t>
      </w:r>
      <w:r w:rsidRPr="00675384">
        <w:t xml:space="preserve"> </w:t>
      </w:r>
      <w:hyperlink r:id="rId33" w:history="1">
        <w:r w:rsidRPr="001437E6">
          <w:rPr>
            <w:rStyle w:val="Hyperlink"/>
          </w:rPr>
          <w:t>Health and Homeland Alert Network</w:t>
        </w:r>
      </w:hyperlink>
      <w:r w:rsidR="00B15E7F">
        <w:rPr>
          <w:rStyle w:val="FootnoteReference"/>
          <w:color w:val="0563C1" w:themeColor="hyperlink"/>
          <w:u w:val="single"/>
        </w:rPr>
        <w:footnoteReference w:id="19"/>
      </w:r>
      <w:r w:rsidRPr="00675384">
        <w:t xml:space="preserve"> is used to distribute importa</w:t>
      </w:r>
      <w:r>
        <w:t>nt information to public health and</w:t>
      </w:r>
      <w:r w:rsidRPr="00675384">
        <w:t xml:space="preserve"> healthcare</w:t>
      </w:r>
      <w:r>
        <w:t xml:space="preserve"> partners, including information on diseases and agents, clinical guidance, medical standing orders, and EDS forms.</w:t>
      </w:r>
    </w:p>
    <w:p w14:paraId="6FBDF347" w14:textId="77777777" w:rsidR="006D0D34" w:rsidRPr="00651FAA" w:rsidRDefault="006D0D34" w:rsidP="006D0D34">
      <w:pPr>
        <w:rPr>
          <w:b/>
          <w:u w:val="single"/>
        </w:rPr>
      </w:pPr>
      <w:r>
        <w:rPr>
          <w:b/>
          <w:u w:val="single"/>
        </w:rPr>
        <w:t>Pre-Event Planning</w:t>
      </w:r>
    </w:p>
    <w:p w14:paraId="652AF08A" w14:textId="77777777" w:rsidR="006D0D34" w:rsidRDefault="006D0D34" w:rsidP="006D0D34">
      <w:r>
        <w:t>Local health should identify key personnel who require access to and training on the MDPH WebEOC and the HHAN.</w:t>
      </w:r>
    </w:p>
    <w:p w14:paraId="3B5AC0D0" w14:textId="77777777" w:rsidR="006D0D34" w:rsidRPr="005D6129" w:rsidRDefault="006D0D34" w:rsidP="006D0D34">
      <w:pPr>
        <w:pStyle w:val="Heading3"/>
        <w:rPr>
          <w:color w:val="002060"/>
        </w:rPr>
      </w:pPr>
      <w:bookmarkStart w:id="68" w:name="_Toc476226309"/>
      <w:bookmarkStart w:id="69" w:name="_Toc484437036"/>
      <w:bookmarkStart w:id="70" w:name="_Toc11832737"/>
      <w:r w:rsidRPr="005D6129">
        <w:rPr>
          <w:color w:val="002060"/>
        </w:rPr>
        <w:t>Incident Action Planning</w:t>
      </w:r>
      <w:bookmarkEnd w:id="68"/>
      <w:bookmarkEnd w:id="69"/>
      <w:bookmarkEnd w:id="70"/>
    </w:p>
    <w:p w14:paraId="23A3CDDF" w14:textId="0A9795C7" w:rsidR="006D0D34" w:rsidRPr="00F72062" w:rsidRDefault="006D0D34" w:rsidP="006D0D34">
      <w:r>
        <w:t>An</w:t>
      </w:r>
      <w:r w:rsidRPr="00F72062">
        <w:t xml:space="preserve"> </w:t>
      </w:r>
      <w:hyperlink r:id="rId34" w:history="1">
        <w:r w:rsidRPr="00C9331C">
          <w:rPr>
            <w:rStyle w:val="Hyperlink"/>
          </w:rPr>
          <w:t>Incident Action Plan</w:t>
        </w:r>
        <w:r w:rsidRPr="00C9331C">
          <w:rPr>
            <w:rStyle w:val="Hyperlink"/>
            <w:vertAlign w:val="superscript"/>
          </w:rPr>
          <w:footnoteReference w:id="20"/>
        </w:r>
      </w:hyperlink>
      <w:r w:rsidRPr="00F72062">
        <w:t xml:space="preserve"> document</w:t>
      </w:r>
      <w:r>
        <w:t>s</w:t>
      </w:r>
      <w:r w:rsidRPr="00F72062">
        <w:t xml:space="preserve"> goals, objectives, and strategies f</w:t>
      </w:r>
      <w:r>
        <w:t xml:space="preserve">or responding to the </w:t>
      </w:r>
      <w:r w:rsidRPr="00F72062">
        <w:t xml:space="preserve">health threat. The </w:t>
      </w:r>
      <w:r>
        <w:t>EDS Management Team should collaborate</w:t>
      </w:r>
      <w:r w:rsidRPr="00F72062">
        <w:t xml:space="preserve"> </w:t>
      </w:r>
      <w:r>
        <w:t>to develop</w:t>
      </w:r>
      <w:r w:rsidRPr="00F72062">
        <w:t xml:space="preserve"> an initial IAP and revise it each operational period (at minimum) or when it is necessary to modify the response goals, objectives, and strategies. The IAP is a supporting document to the EDS plan and typically includes the following </w:t>
      </w:r>
      <w:hyperlink r:id="rId35" w:history="1">
        <w:r w:rsidRPr="00C9331C">
          <w:rPr>
            <w:rStyle w:val="Hyperlink"/>
          </w:rPr>
          <w:t>Incident Command System (ICS) forms</w:t>
        </w:r>
        <w:r w:rsidRPr="00C9331C">
          <w:rPr>
            <w:rStyle w:val="Hyperlink"/>
            <w:vertAlign w:val="superscript"/>
          </w:rPr>
          <w:footnoteReference w:id="21"/>
        </w:r>
      </w:hyperlink>
      <w:r w:rsidRPr="00F72062">
        <w:t>:</w:t>
      </w:r>
    </w:p>
    <w:p w14:paraId="5E1DA379" w14:textId="77777777" w:rsidR="006D0D34" w:rsidRPr="00C9331C" w:rsidRDefault="006D0D34" w:rsidP="000616C8">
      <w:pPr>
        <w:pStyle w:val="ListParagraph"/>
        <w:numPr>
          <w:ilvl w:val="0"/>
          <w:numId w:val="16"/>
        </w:numPr>
        <w:rPr>
          <w:color w:val="0563C1" w:themeColor="hyperlink"/>
          <w:u w:val="single"/>
        </w:rPr>
      </w:pPr>
      <w:r w:rsidRPr="0036445C">
        <w:rPr>
          <w:u w:val="single"/>
        </w:rPr>
        <w:t>ICS Form 202, Incident Objectives</w:t>
      </w:r>
    </w:p>
    <w:p w14:paraId="32155364" w14:textId="77777777" w:rsidR="006D0D34" w:rsidRPr="00F72062" w:rsidRDefault="006D0D34" w:rsidP="000616C8">
      <w:pPr>
        <w:pStyle w:val="ListParagraph"/>
        <w:numPr>
          <w:ilvl w:val="0"/>
          <w:numId w:val="16"/>
        </w:numPr>
        <w:rPr>
          <w:rStyle w:val="Hyperlink"/>
        </w:rPr>
      </w:pPr>
      <w:r w:rsidRPr="00F72062">
        <w:rPr>
          <w:rStyle w:val="Hyperlink"/>
          <w:color w:val="auto"/>
        </w:rPr>
        <w:t>ICS Form 203, Organization Assignment List</w:t>
      </w:r>
    </w:p>
    <w:p w14:paraId="772CF585" w14:textId="77777777" w:rsidR="006D0D34" w:rsidRPr="00F72062" w:rsidRDefault="006D0D34" w:rsidP="000616C8">
      <w:pPr>
        <w:pStyle w:val="ListParagraph"/>
        <w:numPr>
          <w:ilvl w:val="0"/>
          <w:numId w:val="16"/>
        </w:numPr>
        <w:rPr>
          <w:rStyle w:val="Hyperlink"/>
        </w:rPr>
      </w:pPr>
      <w:r w:rsidRPr="00F72062">
        <w:rPr>
          <w:rStyle w:val="Hyperlink"/>
          <w:color w:val="auto"/>
        </w:rPr>
        <w:t>ICS Form 204, Assignment List</w:t>
      </w:r>
    </w:p>
    <w:p w14:paraId="12D3F97D" w14:textId="77777777" w:rsidR="006D0D34" w:rsidRPr="00F72062" w:rsidRDefault="006D0D34" w:rsidP="000616C8">
      <w:pPr>
        <w:pStyle w:val="ListParagraph"/>
        <w:numPr>
          <w:ilvl w:val="0"/>
          <w:numId w:val="16"/>
        </w:numPr>
        <w:rPr>
          <w:rStyle w:val="Hyperlink"/>
        </w:rPr>
      </w:pPr>
      <w:r w:rsidRPr="00F72062">
        <w:rPr>
          <w:rStyle w:val="Hyperlink"/>
          <w:color w:val="auto"/>
        </w:rPr>
        <w:t>ICS Form 205, Radio Communications Plan</w:t>
      </w:r>
    </w:p>
    <w:p w14:paraId="6916E1C9" w14:textId="77777777" w:rsidR="006D0D34" w:rsidRPr="00C9331C" w:rsidRDefault="006D0D34" w:rsidP="000616C8">
      <w:pPr>
        <w:pStyle w:val="ListParagraph"/>
        <w:numPr>
          <w:ilvl w:val="0"/>
          <w:numId w:val="16"/>
        </w:numPr>
        <w:rPr>
          <w:color w:val="0563C1" w:themeColor="hyperlink"/>
          <w:u w:val="single"/>
        </w:rPr>
      </w:pPr>
      <w:r w:rsidRPr="0036445C">
        <w:rPr>
          <w:u w:val="single"/>
        </w:rPr>
        <w:t>ICS Form 205A, Communications List</w:t>
      </w:r>
    </w:p>
    <w:p w14:paraId="2DE0D0C2" w14:textId="77777777" w:rsidR="006D0D34" w:rsidRPr="00F72062" w:rsidRDefault="006D0D34" w:rsidP="000616C8">
      <w:pPr>
        <w:pStyle w:val="ListParagraph"/>
        <w:numPr>
          <w:ilvl w:val="0"/>
          <w:numId w:val="16"/>
        </w:numPr>
        <w:rPr>
          <w:rStyle w:val="Hyperlink"/>
        </w:rPr>
      </w:pPr>
      <w:r w:rsidRPr="00F72062">
        <w:rPr>
          <w:rStyle w:val="Hyperlink"/>
          <w:color w:val="auto"/>
        </w:rPr>
        <w:t>ICS Form 206, Medical Plan</w:t>
      </w:r>
    </w:p>
    <w:p w14:paraId="24B57C2B" w14:textId="77777777" w:rsidR="006D0D34" w:rsidRPr="00F72062" w:rsidRDefault="006D0D34" w:rsidP="000616C8">
      <w:pPr>
        <w:pStyle w:val="ListParagraph"/>
        <w:numPr>
          <w:ilvl w:val="0"/>
          <w:numId w:val="16"/>
        </w:numPr>
        <w:rPr>
          <w:rStyle w:val="Hyperlink"/>
        </w:rPr>
      </w:pPr>
      <w:r w:rsidRPr="00F72062">
        <w:rPr>
          <w:rStyle w:val="Hyperlink"/>
          <w:color w:val="auto"/>
        </w:rPr>
        <w:t>ICS Form 208, Safety Plan</w:t>
      </w:r>
    </w:p>
    <w:p w14:paraId="6169415B" w14:textId="77777777" w:rsidR="006D0D34" w:rsidRDefault="006D0D34" w:rsidP="006D0D34">
      <w:r>
        <w:t>The IAP should describe or document the following:</w:t>
      </w:r>
    </w:p>
    <w:p w14:paraId="1DFD21B1" w14:textId="77777777" w:rsidR="006D0D34" w:rsidRDefault="006D0D34" w:rsidP="000616C8">
      <w:pPr>
        <w:pStyle w:val="ListParagraph"/>
        <w:numPr>
          <w:ilvl w:val="0"/>
          <w:numId w:val="17"/>
        </w:numPr>
      </w:pPr>
      <w:r>
        <w:t>Health threat and the population at risk, including those with higher vulnerabilities to the health threat and individuals with access and functional needs</w:t>
      </w:r>
    </w:p>
    <w:p w14:paraId="130250C8" w14:textId="77777777" w:rsidR="006D0D34" w:rsidRDefault="006D0D34" w:rsidP="000616C8">
      <w:pPr>
        <w:pStyle w:val="ListParagraph"/>
        <w:numPr>
          <w:ilvl w:val="0"/>
          <w:numId w:val="17"/>
        </w:numPr>
      </w:pPr>
      <w:r>
        <w:t>Recommended control measures, countermeasures, and protective actions</w:t>
      </w:r>
    </w:p>
    <w:p w14:paraId="5AE1B516" w14:textId="77777777" w:rsidR="006D0D34" w:rsidRDefault="006D0D34" w:rsidP="000616C8">
      <w:pPr>
        <w:pStyle w:val="ListParagraph"/>
        <w:numPr>
          <w:ilvl w:val="0"/>
          <w:numId w:val="17"/>
        </w:numPr>
      </w:pPr>
      <w:r>
        <w:t>Immediate (current operational period) and long-term response objectives</w:t>
      </w:r>
    </w:p>
    <w:p w14:paraId="1FED022F" w14:textId="77777777" w:rsidR="006D0D34" w:rsidRDefault="006D0D34" w:rsidP="000616C8">
      <w:pPr>
        <w:pStyle w:val="ListParagraph"/>
        <w:numPr>
          <w:ilvl w:val="0"/>
          <w:numId w:val="17"/>
        </w:numPr>
      </w:pPr>
      <w:r>
        <w:t>Incident and EDS-specific health, safety, and security plans</w:t>
      </w:r>
    </w:p>
    <w:p w14:paraId="62797BD8" w14:textId="77777777" w:rsidR="006D0D34" w:rsidRDefault="006D0D34" w:rsidP="000616C8">
      <w:pPr>
        <w:pStyle w:val="ListParagraph"/>
        <w:numPr>
          <w:ilvl w:val="0"/>
          <w:numId w:val="17"/>
        </w:numPr>
      </w:pPr>
      <w:r>
        <w:t>Number and type of staff and volunteers needed to support EDS operations</w:t>
      </w:r>
    </w:p>
    <w:p w14:paraId="69910534" w14:textId="77777777" w:rsidR="006D0D34" w:rsidRDefault="006D0D34" w:rsidP="000616C8">
      <w:pPr>
        <w:pStyle w:val="ListParagraph"/>
        <w:numPr>
          <w:ilvl w:val="0"/>
          <w:numId w:val="17"/>
        </w:numPr>
      </w:pPr>
      <w:r>
        <w:t>Workforce protection plan (e.g. dispensing to critical staff, protective equipment, etc.)</w:t>
      </w:r>
    </w:p>
    <w:p w14:paraId="7B817FC4" w14:textId="77777777" w:rsidR="006D0D34" w:rsidRPr="00A62346" w:rsidRDefault="006D0D34" w:rsidP="000616C8">
      <w:pPr>
        <w:pStyle w:val="ListParagraph"/>
        <w:numPr>
          <w:ilvl w:val="0"/>
          <w:numId w:val="17"/>
        </w:numPr>
      </w:pPr>
      <w:r>
        <w:t>Quantity and type of resources, including MCM, needed to support EDS operations</w:t>
      </w:r>
    </w:p>
    <w:p w14:paraId="320F8747" w14:textId="77777777" w:rsidR="006D0D34" w:rsidRPr="005D6129" w:rsidRDefault="006D0D34" w:rsidP="006D0D34">
      <w:pPr>
        <w:pStyle w:val="Heading3"/>
        <w:rPr>
          <w:color w:val="002060"/>
        </w:rPr>
      </w:pPr>
      <w:bookmarkStart w:id="71" w:name="_Toc476226310"/>
      <w:bookmarkStart w:id="72" w:name="_Toc484437037"/>
      <w:bookmarkStart w:id="73" w:name="_Toc11832738"/>
      <w:r w:rsidRPr="005D6129">
        <w:rPr>
          <w:color w:val="002060"/>
        </w:rPr>
        <w:t>Medical Standing Orders</w:t>
      </w:r>
      <w:bookmarkEnd w:id="71"/>
      <w:bookmarkEnd w:id="72"/>
      <w:bookmarkEnd w:id="73"/>
    </w:p>
    <w:p w14:paraId="18C5790D" w14:textId="77777777" w:rsidR="006D0D34" w:rsidRPr="003431B7" w:rsidRDefault="006D0D34" w:rsidP="006D0D34">
      <w:pPr>
        <w:rPr>
          <w:color w:val="222222"/>
        </w:rPr>
      </w:pPr>
      <w:r w:rsidRPr="003431B7">
        <w:t>A standing order is written to address</w:t>
      </w:r>
      <w:r>
        <w:t xml:space="preserve"> one or more of the following: </w:t>
      </w:r>
      <w:r w:rsidRPr="003431B7">
        <w:t>screening, vaccine administration, medication dispensing, and/or treatment of adverse reactions at the EDS. The order is signed by a healthcare professional licensed to prescribe, such as a physician, for the purpose of providing instructions to other </w:t>
      </w:r>
      <w:r w:rsidRPr="003431B7">
        <w:rPr>
          <w:color w:val="222222"/>
        </w:rPr>
        <w:t>licensed healthcare professionals </w:t>
      </w:r>
      <w:r w:rsidRPr="003431B7">
        <w:t>including nurses and pharmacists.</w:t>
      </w:r>
    </w:p>
    <w:p w14:paraId="6AC19B6C" w14:textId="77777777" w:rsidR="006D0D34" w:rsidRPr="001C4787" w:rsidRDefault="006D0D34" w:rsidP="006D0D34">
      <w:pPr>
        <w:rPr>
          <w:color w:val="222222"/>
        </w:rPr>
      </w:pPr>
      <w:r w:rsidRPr="003431B7">
        <w:lastRenderedPageBreak/>
        <w:t xml:space="preserve">Standing Orders are typically issued by a local, prescribing medical professional for a local event. In certain situations, such as larger or more emergent events, MDPH may issue a standing order. If there is a declared Public Health Emergency, however, the Commissioner of Public Health can take action as </w:t>
      </w:r>
      <w:r w:rsidRPr="00DB7733">
        <w:t>she</w:t>
      </w:r>
      <w:r w:rsidRPr="003431B7">
        <w:t xml:space="preserve"> deems necessary to ensure the maintenance of public health and to prevent disease, with the approval of the Governor </w:t>
      </w:r>
      <w:r>
        <w:t>and the Public Health Council. </w:t>
      </w:r>
      <w:r w:rsidRPr="003431B7">
        <w:t>The Commissioner may suspend certain statutes and regulations, if necessary,</w:t>
      </w:r>
      <w:r>
        <w:t xml:space="preserve"> to protect the public health. </w:t>
      </w:r>
      <w:r w:rsidRPr="003431B7">
        <w:t>The Commissioner may also permit certain licensed healthcare professionals and/or non-medical personnel (who otherwise would be unable to do so) to dispense and administer MCM if they receive proper training.</w:t>
      </w:r>
    </w:p>
    <w:p w14:paraId="207464D0" w14:textId="77777777" w:rsidR="006D0D34" w:rsidRPr="00137EBC" w:rsidRDefault="006D0D34" w:rsidP="006D0D34">
      <w:pPr>
        <w:rPr>
          <w:b/>
          <w:highlight w:val="cyan"/>
          <w:u w:val="single"/>
        </w:rPr>
      </w:pPr>
      <w:r w:rsidRPr="00137EBC">
        <w:rPr>
          <w:b/>
          <w:u w:val="single"/>
        </w:rPr>
        <w:t>Pre-Event Planning</w:t>
      </w:r>
    </w:p>
    <w:p w14:paraId="2C4C4C97" w14:textId="77777777" w:rsidR="006D0D34" w:rsidRPr="00F006A3" w:rsidRDefault="006D0D34" w:rsidP="006D0D34">
      <w:r w:rsidRPr="00F006A3">
        <w:t xml:space="preserve">Local </w:t>
      </w:r>
      <w:r>
        <w:t xml:space="preserve">health </w:t>
      </w:r>
      <w:r w:rsidRPr="00F006A3">
        <w:t>should identify who will issue</w:t>
      </w:r>
      <w:r>
        <w:t xml:space="preserve"> or sign</w:t>
      </w:r>
      <w:r w:rsidRPr="00F006A3">
        <w:t xml:space="preserve"> the medical standing orders and approve medical information that will be distributed at the EDS.</w:t>
      </w:r>
      <w:r>
        <w:t xml:space="preserve"> </w:t>
      </w:r>
      <w:r w:rsidRPr="00F006A3">
        <w:t>The EDS plan should document procedures and assigned roles for obtaining the standing orders and approving all clinical forms and information that will be used in the EDS.</w:t>
      </w:r>
    </w:p>
    <w:p w14:paraId="06230C35" w14:textId="77777777" w:rsidR="006D0D34" w:rsidRPr="005D6129" w:rsidRDefault="006D0D34" w:rsidP="006D0D34">
      <w:pPr>
        <w:pStyle w:val="Heading3"/>
        <w:rPr>
          <w:color w:val="002060"/>
        </w:rPr>
      </w:pPr>
      <w:bookmarkStart w:id="74" w:name="_Toc476226307"/>
      <w:bookmarkStart w:id="75" w:name="_Toc484437038"/>
      <w:bookmarkStart w:id="76" w:name="_Toc11832739"/>
      <w:bookmarkEnd w:id="48"/>
      <w:r w:rsidRPr="005D6129">
        <w:rPr>
          <w:color w:val="002060"/>
        </w:rPr>
        <w:t>Tactical Communications</w:t>
      </w:r>
      <w:bookmarkEnd w:id="74"/>
      <w:r w:rsidRPr="005D6129">
        <w:rPr>
          <w:color w:val="002060"/>
        </w:rPr>
        <w:t xml:space="preserve"> &amp; Information Technology</w:t>
      </w:r>
      <w:bookmarkEnd w:id="75"/>
      <w:bookmarkEnd w:id="76"/>
    </w:p>
    <w:p w14:paraId="09980E72" w14:textId="77777777" w:rsidR="006D0D34" w:rsidRDefault="006D0D34" w:rsidP="006D0D34">
      <w:r>
        <w:t>Under the recommended EDS command structure, the Communications Unit is responsible for managing tactical communications for the EDS. Tactical communications refer to the type of equipment needed to communicate between:</w:t>
      </w:r>
    </w:p>
    <w:p w14:paraId="296EDFF1" w14:textId="77777777" w:rsidR="006D0D34" w:rsidRDefault="006D0D34" w:rsidP="000616C8">
      <w:pPr>
        <w:pStyle w:val="ListParagraph"/>
        <w:numPr>
          <w:ilvl w:val="0"/>
          <w:numId w:val="21"/>
        </w:numPr>
      </w:pPr>
      <w:r>
        <w:t>The EDS and the LEOC (if activated)</w:t>
      </w:r>
    </w:p>
    <w:p w14:paraId="1D91E0B1" w14:textId="77777777" w:rsidR="006D0D34" w:rsidRDefault="006D0D34" w:rsidP="000616C8">
      <w:pPr>
        <w:pStyle w:val="ListParagraph"/>
        <w:numPr>
          <w:ilvl w:val="0"/>
          <w:numId w:val="21"/>
        </w:numPr>
      </w:pPr>
      <w:r>
        <w:t>The EDS and external agencies or another EDS</w:t>
      </w:r>
    </w:p>
    <w:p w14:paraId="0065AC5D" w14:textId="77777777" w:rsidR="006D0D34" w:rsidRDefault="006D0D34" w:rsidP="000616C8">
      <w:pPr>
        <w:pStyle w:val="ListParagraph"/>
        <w:numPr>
          <w:ilvl w:val="0"/>
          <w:numId w:val="21"/>
        </w:numPr>
      </w:pPr>
      <w:r>
        <w:t>The EDS Manager and key EDS staff</w:t>
      </w:r>
    </w:p>
    <w:p w14:paraId="579218E4" w14:textId="77777777" w:rsidR="006D0D34" w:rsidRPr="00796CFC" w:rsidRDefault="006D0D34" w:rsidP="006D0D34">
      <w:pPr>
        <w:rPr>
          <w:b/>
          <w:u w:val="single"/>
        </w:rPr>
      </w:pPr>
      <w:r>
        <w:rPr>
          <w:b/>
          <w:u w:val="single"/>
        </w:rPr>
        <w:t>Pre-Event Planning:</w:t>
      </w:r>
    </w:p>
    <w:p w14:paraId="1AD1CA02" w14:textId="77777777" w:rsidR="006D0D34" w:rsidRDefault="006D0D34" w:rsidP="006D0D34">
      <w:r>
        <w:t>Local health should identify available tactical communications equipment and document policies, procedures, and assigned roles for their use, including:</w:t>
      </w:r>
    </w:p>
    <w:p w14:paraId="7D3F7528" w14:textId="77777777" w:rsidR="006D0D34" w:rsidRDefault="006D0D34" w:rsidP="000616C8">
      <w:pPr>
        <w:pStyle w:val="ListParagraph"/>
        <w:numPr>
          <w:ilvl w:val="0"/>
          <w:numId w:val="22"/>
        </w:numPr>
      </w:pPr>
      <w:r>
        <w:t>Standard modes of communication (e.g. telephone, cell phone, Internet, email, and fax)</w:t>
      </w:r>
    </w:p>
    <w:p w14:paraId="067E75D9" w14:textId="77777777" w:rsidR="006D0D34" w:rsidRDefault="006D0D34" w:rsidP="000616C8">
      <w:pPr>
        <w:pStyle w:val="ListParagraph"/>
        <w:numPr>
          <w:ilvl w:val="0"/>
          <w:numId w:val="22"/>
        </w:numPr>
      </w:pPr>
      <w:r>
        <w:t>Redundant or advanced modes of communication (e.g. r</w:t>
      </w:r>
      <w:r w:rsidR="003713AB">
        <w:t xml:space="preserve">adio, satellite phones, WebEOC, </w:t>
      </w:r>
      <w:hyperlink r:id="rId36" w:history="1">
        <w:r w:rsidRPr="009D7C25">
          <w:rPr>
            <w:rStyle w:val="Hyperlink"/>
          </w:rPr>
          <w:t>Government Emergency Telecommunications Service</w:t>
        </w:r>
      </w:hyperlink>
      <w:r w:rsidR="003713AB">
        <w:rPr>
          <w:rStyle w:val="FootnoteReference"/>
          <w:color w:val="0563C1" w:themeColor="hyperlink"/>
          <w:u w:val="single"/>
        </w:rPr>
        <w:footnoteReference w:id="22"/>
      </w:r>
      <w:r>
        <w:t xml:space="preserve"> (GETS))</w:t>
      </w:r>
    </w:p>
    <w:p w14:paraId="3C7BB21D" w14:textId="77777777" w:rsidR="006D0D34" w:rsidRDefault="006D0D34" w:rsidP="000616C8">
      <w:pPr>
        <w:pStyle w:val="ListParagraph"/>
        <w:numPr>
          <w:ilvl w:val="0"/>
          <w:numId w:val="22"/>
        </w:numPr>
      </w:pPr>
      <w:r>
        <w:t>Establishing communications between activated or potential command and/or coordination locations (SEOC, LEOC, and EDS) and other key partner agencies (police, fire/EMS, hospital, etc.)</w:t>
      </w:r>
    </w:p>
    <w:p w14:paraId="706CE9C9" w14:textId="77777777" w:rsidR="006D0D34" w:rsidRDefault="006D0D34" w:rsidP="000616C8">
      <w:pPr>
        <w:pStyle w:val="ListParagraph"/>
        <w:numPr>
          <w:ilvl w:val="0"/>
          <w:numId w:val="22"/>
        </w:numPr>
      </w:pPr>
      <w:r>
        <w:t>Availability of Information Technology (IT) staff and resources at the EDS</w:t>
      </w:r>
    </w:p>
    <w:p w14:paraId="1D51A966" w14:textId="77777777" w:rsidR="006D0D34" w:rsidRDefault="006D0D34" w:rsidP="000616C8">
      <w:pPr>
        <w:pStyle w:val="ListParagraph"/>
        <w:numPr>
          <w:ilvl w:val="0"/>
          <w:numId w:val="22"/>
        </w:numPr>
      </w:pPr>
      <w:r>
        <w:t>Quarterly test of all standard and redundant modes of tactical communications</w:t>
      </w:r>
    </w:p>
    <w:p w14:paraId="60DC7EC0" w14:textId="77777777" w:rsidR="006D0D34" w:rsidRDefault="006D0D34" w:rsidP="006D0D34">
      <w:pPr>
        <w:pStyle w:val="ListParagraph"/>
      </w:pPr>
    </w:p>
    <w:p w14:paraId="05F77DA5" w14:textId="77777777" w:rsidR="006D0D34" w:rsidRDefault="006D0D34" w:rsidP="006D0D34">
      <w:pPr>
        <w:pStyle w:val="ListParagraph"/>
      </w:pPr>
    </w:p>
    <w:p w14:paraId="029BDA05" w14:textId="77777777" w:rsidR="006D0D34" w:rsidRDefault="006D0D34" w:rsidP="006D0D34">
      <w:pPr>
        <w:pStyle w:val="ListParagraph"/>
      </w:pPr>
    </w:p>
    <w:p w14:paraId="30079256" w14:textId="77777777" w:rsidR="00C9331C" w:rsidRDefault="00C9331C">
      <w:pPr>
        <w:rPr>
          <w:rFonts w:asciiTheme="majorHAnsi" w:eastAsiaTheme="majorEastAsia" w:hAnsiTheme="majorHAnsi" w:cstheme="majorBidi"/>
          <w:b/>
          <w:bCs/>
          <w:smallCaps/>
          <w:color w:val="C45911" w:themeColor="accent2" w:themeShade="BF"/>
          <w:sz w:val="36"/>
          <w:szCs w:val="36"/>
          <w:lang w:eastAsia="ja-JP"/>
        </w:rPr>
      </w:pPr>
      <w:bookmarkStart w:id="77" w:name="_Toc484439916"/>
      <w:r>
        <w:rPr>
          <w:color w:val="C45911" w:themeColor="accent2" w:themeShade="BF"/>
        </w:rPr>
        <w:br w:type="page"/>
      </w:r>
    </w:p>
    <w:p w14:paraId="2D85C0A4" w14:textId="77777777" w:rsidR="006D0D34" w:rsidRPr="005D6129" w:rsidRDefault="005D6129" w:rsidP="006D78E0">
      <w:pPr>
        <w:pStyle w:val="Heading1"/>
        <w:spacing w:before="480"/>
        <w:rPr>
          <w:color w:val="C45911" w:themeColor="accent2" w:themeShade="BF"/>
        </w:rPr>
      </w:pPr>
      <w:bookmarkStart w:id="78" w:name="_Toc11832740"/>
      <w:r w:rsidRPr="005D6129">
        <w:rPr>
          <w:color w:val="C45911" w:themeColor="accent2" w:themeShade="BF"/>
        </w:rPr>
        <w:lastRenderedPageBreak/>
        <w:t>OPERATIONS</w:t>
      </w:r>
      <w:bookmarkEnd w:id="77"/>
      <w:bookmarkEnd w:id="78"/>
      <w:r w:rsidRPr="005D6129">
        <w:rPr>
          <w:color w:val="C45911" w:themeColor="accent2" w:themeShade="BF"/>
        </w:rPr>
        <w:t xml:space="preserve"> </w:t>
      </w:r>
    </w:p>
    <w:p w14:paraId="7F3C246C" w14:textId="77777777" w:rsidR="006D0D34" w:rsidRDefault="006D0D34" w:rsidP="006D0D34">
      <w:r>
        <w:t>This chapter describes pre-event planning activities and a recommended operational framework for:</w:t>
      </w:r>
    </w:p>
    <w:p w14:paraId="414E4310" w14:textId="77777777" w:rsidR="006D0D34" w:rsidRDefault="006D0D34" w:rsidP="000616C8">
      <w:pPr>
        <w:pStyle w:val="ListParagraph"/>
        <w:numPr>
          <w:ilvl w:val="0"/>
          <w:numId w:val="58"/>
        </w:numPr>
      </w:pPr>
      <w:r>
        <w:t>Public information and media relations</w:t>
      </w:r>
    </w:p>
    <w:p w14:paraId="726F9227" w14:textId="77777777" w:rsidR="006D0D34" w:rsidRDefault="006D0D34" w:rsidP="000616C8">
      <w:pPr>
        <w:pStyle w:val="ListParagraph"/>
        <w:numPr>
          <w:ilvl w:val="0"/>
          <w:numId w:val="58"/>
        </w:numPr>
      </w:pPr>
      <w:r>
        <w:t>Mobilization, deployment, and training of staff and volunteers</w:t>
      </w:r>
    </w:p>
    <w:p w14:paraId="3D46DE1A" w14:textId="77777777" w:rsidR="006D0D34" w:rsidRDefault="006D0D34" w:rsidP="000616C8">
      <w:pPr>
        <w:pStyle w:val="ListParagraph"/>
        <w:numPr>
          <w:ilvl w:val="0"/>
          <w:numId w:val="58"/>
        </w:numPr>
      </w:pPr>
      <w:r>
        <w:t>Mobilization, deployment, and maintenance of resources</w:t>
      </w:r>
    </w:p>
    <w:p w14:paraId="62C34FB4" w14:textId="77777777" w:rsidR="006D0D34" w:rsidRDefault="006D0D34" w:rsidP="000616C8">
      <w:pPr>
        <w:pStyle w:val="ListParagraph"/>
        <w:numPr>
          <w:ilvl w:val="0"/>
          <w:numId w:val="58"/>
        </w:numPr>
      </w:pPr>
      <w:r>
        <w:t>EDS set-up and opening</w:t>
      </w:r>
    </w:p>
    <w:p w14:paraId="79D5986F" w14:textId="77777777" w:rsidR="006D0D34" w:rsidRPr="00DE7109" w:rsidRDefault="006D0D34" w:rsidP="000616C8">
      <w:pPr>
        <w:pStyle w:val="ListParagraph"/>
        <w:numPr>
          <w:ilvl w:val="0"/>
          <w:numId w:val="58"/>
        </w:numPr>
      </w:pPr>
      <w:r>
        <w:t>EDS operations monitoring and reporting</w:t>
      </w:r>
    </w:p>
    <w:p w14:paraId="1245D7AF" w14:textId="77777777" w:rsidR="006D0D34" w:rsidRPr="00DC2BD1" w:rsidRDefault="00DC2BD1" w:rsidP="006D0D34">
      <w:pPr>
        <w:pStyle w:val="Heading2"/>
        <w:rPr>
          <w:color w:val="002060"/>
        </w:rPr>
      </w:pPr>
      <w:bookmarkStart w:id="79" w:name="_Toc484439917"/>
      <w:bookmarkStart w:id="80" w:name="_Toc11832741"/>
      <w:r w:rsidRPr="00DC2BD1">
        <w:rPr>
          <w:color w:val="002060"/>
        </w:rPr>
        <w:t>PUBLIC INFORMATION MOBILIZATION &amp; OPERATIONS</w:t>
      </w:r>
      <w:bookmarkEnd w:id="79"/>
      <w:bookmarkEnd w:id="80"/>
    </w:p>
    <w:p w14:paraId="1C7003B5" w14:textId="77777777" w:rsidR="006D0D34" w:rsidRDefault="006D0D34" w:rsidP="006D0D34">
      <w:r>
        <w:t>During public information mobilization and operations, the EDS Public Information Officer (PIO)</w:t>
      </w:r>
      <w:r w:rsidR="001505D0">
        <w:t>, as directed by the EDS Manager</w:t>
      </w:r>
      <w:r>
        <w:t>:</w:t>
      </w:r>
    </w:p>
    <w:p w14:paraId="104AF3E6" w14:textId="77777777" w:rsidR="006D0D34" w:rsidRDefault="006D0D34" w:rsidP="000616C8">
      <w:pPr>
        <w:pStyle w:val="ListParagraph"/>
        <w:numPr>
          <w:ilvl w:val="0"/>
          <w:numId w:val="27"/>
        </w:numPr>
      </w:pPr>
      <w:r>
        <w:t>Coordinates with partner agencies to activate public information notification systems</w:t>
      </w:r>
    </w:p>
    <w:p w14:paraId="267B7A6D" w14:textId="77777777" w:rsidR="006D0D34" w:rsidRDefault="006D0D34" w:rsidP="000616C8">
      <w:pPr>
        <w:pStyle w:val="ListParagraph"/>
        <w:numPr>
          <w:ilvl w:val="0"/>
          <w:numId w:val="27"/>
        </w:numPr>
      </w:pPr>
      <w:r>
        <w:t>Develops and seeks approval of risk and safety messages</w:t>
      </w:r>
    </w:p>
    <w:p w14:paraId="6A146017" w14:textId="77777777" w:rsidR="006D0D34" w:rsidRDefault="006D0D34" w:rsidP="000616C8">
      <w:pPr>
        <w:pStyle w:val="ListParagraph"/>
        <w:numPr>
          <w:ilvl w:val="0"/>
          <w:numId w:val="27"/>
        </w:numPr>
      </w:pPr>
      <w:r>
        <w:t>Disseminates risk and safety messages to partner agencies, the media, and the public</w:t>
      </w:r>
    </w:p>
    <w:p w14:paraId="2AB750E9" w14:textId="77777777" w:rsidR="006D0D34" w:rsidRDefault="006D0D34" w:rsidP="000616C8">
      <w:pPr>
        <w:pStyle w:val="ListParagraph"/>
        <w:numPr>
          <w:ilvl w:val="0"/>
          <w:numId w:val="27"/>
        </w:numPr>
      </w:pPr>
      <w:r w:rsidRPr="00850EE0">
        <w:t>Coordinate</w:t>
      </w:r>
      <w:r>
        <w:t>s</w:t>
      </w:r>
      <w:r w:rsidRPr="00850EE0">
        <w:t xml:space="preserve"> with partner agencies to ensure information consistency</w:t>
      </w:r>
    </w:p>
    <w:p w14:paraId="55A7CC77" w14:textId="77777777" w:rsidR="006D0D34" w:rsidRPr="002F5466" w:rsidRDefault="006D0D34" w:rsidP="000616C8">
      <w:pPr>
        <w:pStyle w:val="ListParagraph"/>
        <w:numPr>
          <w:ilvl w:val="0"/>
          <w:numId w:val="27"/>
        </w:numPr>
      </w:pPr>
      <w:r w:rsidRPr="00850EE0">
        <w:t>Provide</w:t>
      </w:r>
      <w:r>
        <w:t>s</w:t>
      </w:r>
      <w:r w:rsidRPr="00850EE0">
        <w:t xml:space="preserve"> regular updates to </w:t>
      </w:r>
      <w:r>
        <w:t xml:space="preserve">partner agencies, </w:t>
      </w:r>
      <w:r w:rsidRPr="00850EE0">
        <w:t xml:space="preserve">the media, </w:t>
      </w:r>
      <w:r>
        <w:t xml:space="preserve">and the </w:t>
      </w:r>
      <w:r w:rsidRPr="00850EE0">
        <w:t>public</w:t>
      </w:r>
    </w:p>
    <w:p w14:paraId="215BD88F" w14:textId="77777777" w:rsidR="006D0D34" w:rsidRPr="00DC2BD1" w:rsidRDefault="006D0D34" w:rsidP="006D0D34">
      <w:pPr>
        <w:pStyle w:val="Heading3"/>
        <w:rPr>
          <w:color w:val="002060"/>
        </w:rPr>
      </w:pPr>
      <w:bookmarkStart w:id="81" w:name="_Toc484439918"/>
      <w:bookmarkStart w:id="82" w:name="_Toc11832742"/>
      <w:r w:rsidRPr="00DC2BD1">
        <w:rPr>
          <w:color w:val="002060"/>
        </w:rPr>
        <w:t>Public Information Systems &amp; Staff</w:t>
      </w:r>
      <w:bookmarkEnd w:id="81"/>
      <w:bookmarkEnd w:id="82"/>
    </w:p>
    <w:p w14:paraId="5B8FABEE" w14:textId="77777777" w:rsidR="006D0D34" w:rsidRDefault="006D0D34" w:rsidP="006D0D34">
      <w:r>
        <w:t>The EDS PIO should coordinate with partner agencies to use public information systems to disseminate information to and obtain feedback from the public. Examples of public information systems include reverse 911 systems, call centers, and social media.</w:t>
      </w:r>
    </w:p>
    <w:p w14:paraId="31C3BC54" w14:textId="77777777" w:rsidR="006D0D34" w:rsidRDefault="006D0D34" w:rsidP="006D0D34">
      <w:r>
        <w:t>Many communities and School Districts maintain reverse 911 systems that can contact individuals by phone with a recorded message. In some cases, these systems can target a specific area within a town. Typically, systems used by School Districts will only reach staff and families associated with the district or a specific school. The EDS PIO should prepare messages and disseminate them to Town and School District officials who then record them for further dissemination.</w:t>
      </w:r>
    </w:p>
    <w:p w14:paraId="3D1CA773" w14:textId="77777777" w:rsidR="006D0D34" w:rsidRDefault="006D0D34" w:rsidP="006D0D34">
      <w:r>
        <w:t>A call center may be used to respond to questions from the public, direct them to appropriate resources, schedule appointments, and track trends in public information needs. Mass 211 has the capability to establish an information line during large scale emergencies. Local communities may have call center capabilities through the Local Emergency Operations Center (when activated) or the Town or City Hall. The EDS PIO should prepare messages and disseminate them to call centers, as well as monitor trends in public inquiries to update and improve messaging.</w:t>
      </w:r>
    </w:p>
    <w:p w14:paraId="0F50C4D1" w14:textId="77777777" w:rsidR="006D0D34" w:rsidRDefault="006D0D34" w:rsidP="006D0D34">
      <w:r>
        <w:t>Many local agencies have developed social media capability and routinely communicate with the public about community events and services. Additionally, the local and statewide media actively use social media in reporting, especially during an emergency. The EDS PIO should develop messages about the health threat, recommended actions, and EDS operations that are appropriate for use on social media (e.g. character limits, infographics, etc.). Social media messaging can also be disseminated to partner agencies for use on their social media platforms.</w:t>
      </w:r>
    </w:p>
    <w:p w14:paraId="289B37D4" w14:textId="77777777" w:rsidR="003713AB" w:rsidRDefault="003713AB" w:rsidP="006D0D34">
      <w:pPr>
        <w:rPr>
          <w:b/>
          <w:u w:val="single"/>
        </w:rPr>
      </w:pPr>
    </w:p>
    <w:p w14:paraId="65B998CE" w14:textId="77777777" w:rsidR="00D91B20" w:rsidRDefault="00D91B20" w:rsidP="006D0D34">
      <w:pPr>
        <w:rPr>
          <w:b/>
          <w:u w:val="single"/>
        </w:rPr>
      </w:pPr>
    </w:p>
    <w:p w14:paraId="1C27FA0B" w14:textId="77777777" w:rsidR="006D78E0" w:rsidRDefault="006D78E0" w:rsidP="006D0D34">
      <w:pPr>
        <w:rPr>
          <w:b/>
          <w:u w:val="single"/>
        </w:rPr>
      </w:pPr>
    </w:p>
    <w:p w14:paraId="44B03E5B" w14:textId="77777777" w:rsidR="006D0D34" w:rsidRPr="005E0792" w:rsidRDefault="006D0D34" w:rsidP="006D0D34">
      <w:r w:rsidRPr="005E0792">
        <w:rPr>
          <w:b/>
          <w:u w:val="single"/>
        </w:rPr>
        <w:lastRenderedPageBreak/>
        <w:t>Pre-Event Planning</w:t>
      </w:r>
    </w:p>
    <w:p w14:paraId="3854F20A" w14:textId="77777777" w:rsidR="006D0D34" w:rsidRPr="00895D3D" w:rsidRDefault="006D0D34" w:rsidP="006D0D34">
      <w:r w:rsidRPr="005E0792">
        <w:t xml:space="preserve">Local </w:t>
      </w:r>
      <w:r>
        <w:t xml:space="preserve">health </w:t>
      </w:r>
      <w:r w:rsidRPr="005E0792">
        <w:t>should document public information systems available through partner agencies in the community, including non-electronic systems for contingen</w:t>
      </w:r>
      <w:r>
        <w:t>cy situations (i.e. power or phone outages) and to reach individuals who may lack access to communication technologies (i.e. phone, Internet, etc.) Additionally, local health should develop a list of public information staff from partner agencies, including individuals assigned to the roles of agency PIO, spokesperson, and Subject Matter Experts (SME). A spokesperson is authorized to speak for an agency and an SME has the knowledge or credentials to speak on a specific topic. Once identified, the community should conduct quarterly (at minimum) notification exercises and update the public information staff list as needed. Local health should document that staff assigned to the EDS PIO are trained on the EDS plan, their roles and responsibilities, and risk communications.</w:t>
      </w:r>
    </w:p>
    <w:p w14:paraId="2DD64054" w14:textId="77777777" w:rsidR="006D0D34" w:rsidRPr="00DC2BD1" w:rsidRDefault="006D0D34" w:rsidP="006D0D34">
      <w:pPr>
        <w:pStyle w:val="Heading3"/>
        <w:rPr>
          <w:color w:val="002060"/>
        </w:rPr>
      </w:pPr>
      <w:bookmarkStart w:id="83" w:name="_Toc484439919"/>
      <w:bookmarkStart w:id="84" w:name="_Toc11832743"/>
      <w:r w:rsidRPr="00DC2BD1">
        <w:rPr>
          <w:color w:val="002060"/>
        </w:rPr>
        <w:t>Press Notifications &amp; Inquiries</w:t>
      </w:r>
      <w:bookmarkEnd w:id="83"/>
      <w:bookmarkEnd w:id="84"/>
    </w:p>
    <w:p w14:paraId="0F6E9010" w14:textId="77777777" w:rsidR="006D0D34" w:rsidRDefault="001505D0" w:rsidP="006D0D34">
      <w:r>
        <w:t>As directed by the EDS Manager, t</w:t>
      </w:r>
      <w:r w:rsidR="006D0D34">
        <w:t>he EDS PIO should issue an initial press notification that:</w:t>
      </w:r>
    </w:p>
    <w:p w14:paraId="1F997C79" w14:textId="77777777" w:rsidR="006D0D34" w:rsidRDefault="006D0D34" w:rsidP="000616C8">
      <w:pPr>
        <w:pStyle w:val="ListParagraph"/>
        <w:numPr>
          <w:ilvl w:val="0"/>
          <w:numId w:val="28"/>
        </w:numPr>
      </w:pPr>
      <w:r>
        <w:t>Acknowledges the incident</w:t>
      </w:r>
    </w:p>
    <w:p w14:paraId="5E48EC72" w14:textId="77777777" w:rsidR="006D0D34" w:rsidRDefault="006D0D34" w:rsidP="000616C8">
      <w:pPr>
        <w:pStyle w:val="ListParagraph"/>
        <w:numPr>
          <w:ilvl w:val="0"/>
          <w:numId w:val="28"/>
        </w:numPr>
      </w:pPr>
      <w:r>
        <w:t>Describes the initial actions taken</w:t>
      </w:r>
    </w:p>
    <w:p w14:paraId="2EA3BDFD" w14:textId="77777777" w:rsidR="006D0D34" w:rsidRDefault="006D0D34" w:rsidP="000616C8">
      <w:pPr>
        <w:pStyle w:val="ListParagraph"/>
        <w:numPr>
          <w:ilvl w:val="0"/>
          <w:numId w:val="28"/>
        </w:numPr>
      </w:pPr>
      <w:r>
        <w:t>Directs the press to the appropriate official source(s) of information</w:t>
      </w:r>
    </w:p>
    <w:p w14:paraId="5ABC4DF4" w14:textId="77777777" w:rsidR="006D0D34" w:rsidRDefault="006D0D34" w:rsidP="000616C8">
      <w:pPr>
        <w:pStyle w:val="ListParagraph"/>
        <w:numPr>
          <w:ilvl w:val="0"/>
          <w:numId w:val="28"/>
        </w:numPr>
      </w:pPr>
      <w:r>
        <w:t>Provides an anticipated EDS timeline</w:t>
      </w:r>
    </w:p>
    <w:p w14:paraId="05076894" w14:textId="77777777" w:rsidR="006D0D34" w:rsidRDefault="006D0D34" w:rsidP="000616C8">
      <w:pPr>
        <w:pStyle w:val="ListParagraph"/>
        <w:numPr>
          <w:ilvl w:val="0"/>
          <w:numId w:val="28"/>
        </w:numPr>
      </w:pPr>
      <w:r>
        <w:t xml:space="preserve">Establishes a timeline for providing the press with additional or updated information </w:t>
      </w:r>
    </w:p>
    <w:p w14:paraId="0843AE91" w14:textId="77777777" w:rsidR="006D0D34" w:rsidRDefault="006D0D34" w:rsidP="006D0D34">
      <w:r>
        <w:t>Prior to responding directly to press inquiries and questions, the EDS PIO should gather additional information from the reporter, including the nature of the inquiry and their deadline. This allows the EDS PIO to gather the appropriate information (if needed) prior to responding to or redirecting the reporter to an appropriate SME. Below are recommended media relations methods and guidelines for issuing press advisories and press releases and for conducting a press conference.</w:t>
      </w:r>
    </w:p>
    <w:p w14:paraId="278C9804" w14:textId="77777777" w:rsidR="00EA1541" w:rsidRDefault="00EA1541" w:rsidP="006D0D34">
      <w:pPr>
        <w:rPr>
          <w:b/>
          <w:u w:val="single"/>
        </w:rPr>
      </w:pPr>
    </w:p>
    <w:p w14:paraId="57B092CA" w14:textId="77777777" w:rsidR="006D0D34" w:rsidRPr="00EC487D" w:rsidRDefault="006D0D34" w:rsidP="006D0D34">
      <w:r>
        <w:rPr>
          <w:b/>
          <w:u w:val="single"/>
        </w:rPr>
        <w:t>Pre-Event Planning</w:t>
      </w:r>
    </w:p>
    <w:p w14:paraId="2BFC3836" w14:textId="77777777" w:rsidR="006D0D34" w:rsidRDefault="006D0D34" w:rsidP="006D0D34">
      <w:r>
        <w:t xml:space="preserve">Local health should develop a list of media contacts, including language-based and cultural </w:t>
      </w:r>
      <w:r w:rsidR="006D78E0">
        <w:t xml:space="preserve">media, </w:t>
      </w:r>
      <w:r w:rsidR="00D728CC">
        <w:t>and</w:t>
      </w:r>
      <w:r>
        <w:t xml:space="preserve"> update</w:t>
      </w:r>
      <w:r w:rsidR="00D728CC">
        <w:t xml:space="preserve"> it</w:t>
      </w:r>
      <w:r>
        <w:t xml:space="preserve"> </w:t>
      </w:r>
      <w:r w:rsidRPr="00EC487D">
        <w:t>quarterly</w:t>
      </w:r>
      <w:r>
        <w:t xml:space="preserve">. As with other contact lists, the media list can be used to conduct an annual notification exercise. Involving media in exercises reinforces the framework used for emergency public information, builds trust between public information staff and the media, and exercises roles. Additionally, local health should develop a template press advisory and press release that can be easily updated at the time of the incident. </w:t>
      </w:r>
    </w:p>
    <w:p w14:paraId="06052784" w14:textId="77777777" w:rsidR="006D0D34" w:rsidRDefault="006D0D34" w:rsidP="006D0D34">
      <w:pPr>
        <w:pStyle w:val="Heading4"/>
      </w:pPr>
      <w:r>
        <w:t>Press Advisories</w:t>
      </w:r>
    </w:p>
    <w:p w14:paraId="0EC9B9C4" w14:textId="77777777" w:rsidR="006D0D34" w:rsidRDefault="006D0D34" w:rsidP="006D0D34">
      <w:r>
        <w:t xml:space="preserve">A press advisory is used to invite the press to attend a </w:t>
      </w:r>
      <w:r w:rsidRPr="004C58F8">
        <w:t>press conference</w:t>
      </w:r>
      <w:r>
        <w:t xml:space="preserve"> or event (e.g. a tour of the EDS). When possible, the press advisory should be issued at least 90 minutes prior to the press conference to allow the press to assemble. The following format is recommended for press advisories:</w:t>
      </w:r>
    </w:p>
    <w:p w14:paraId="6BE83A44" w14:textId="77777777" w:rsidR="006D0D34" w:rsidRDefault="006D0D34" w:rsidP="000616C8">
      <w:pPr>
        <w:pStyle w:val="ListParagraph"/>
        <w:numPr>
          <w:ilvl w:val="0"/>
          <w:numId w:val="36"/>
        </w:numPr>
      </w:pPr>
      <w:r>
        <w:t>No more than one page in length</w:t>
      </w:r>
    </w:p>
    <w:p w14:paraId="47102708" w14:textId="77777777" w:rsidR="006D0D34" w:rsidRDefault="006D0D34" w:rsidP="000616C8">
      <w:pPr>
        <w:pStyle w:val="ListParagraph"/>
        <w:numPr>
          <w:ilvl w:val="0"/>
          <w:numId w:val="36"/>
        </w:numPr>
      </w:pPr>
      <w:r>
        <w:t>“Press Advisory” as the title</w:t>
      </w:r>
    </w:p>
    <w:p w14:paraId="51B64023" w14:textId="77777777" w:rsidR="006D0D34" w:rsidRDefault="006D0D34" w:rsidP="000616C8">
      <w:pPr>
        <w:pStyle w:val="ListParagraph"/>
        <w:numPr>
          <w:ilvl w:val="0"/>
          <w:numId w:val="36"/>
        </w:numPr>
      </w:pPr>
      <w:r>
        <w:t>Contact information and date of issue</w:t>
      </w:r>
    </w:p>
    <w:p w14:paraId="57C75D93" w14:textId="77777777" w:rsidR="006D0D34" w:rsidRDefault="006D0D34" w:rsidP="000616C8">
      <w:pPr>
        <w:pStyle w:val="ListParagraph"/>
        <w:numPr>
          <w:ilvl w:val="0"/>
          <w:numId w:val="36"/>
        </w:numPr>
      </w:pPr>
      <w:r>
        <w:t>Headline describing the event (e.g. press conference, EDS tour)</w:t>
      </w:r>
    </w:p>
    <w:p w14:paraId="165DA899" w14:textId="77777777" w:rsidR="006D0D34" w:rsidRDefault="006D0D34" w:rsidP="000616C8">
      <w:pPr>
        <w:pStyle w:val="ListParagraph"/>
        <w:numPr>
          <w:ilvl w:val="0"/>
          <w:numId w:val="36"/>
        </w:numPr>
      </w:pPr>
      <w:r>
        <w:t>Short paragraph with event details (i.e. date, time, location)</w:t>
      </w:r>
    </w:p>
    <w:p w14:paraId="2219A10B" w14:textId="77777777" w:rsidR="006D0D34" w:rsidRDefault="006D0D34" w:rsidP="000616C8">
      <w:pPr>
        <w:pStyle w:val="ListParagraph"/>
        <w:numPr>
          <w:ilvl w:val="0"/>
          <w:numId w:val="36"/>
        </w:numPr>
      </w:pPr>
      <w:r>
        <w:t>Featured speakers (if any)</w:t>
      </w:r>
    </w:p>
    <w:p w14:paraId="4C43E3F5" w14:textId="77777777" w:rsidR="006D0D34" w:rsidRDefault="006D0D34" w:rsidP="000616C8">
      <w:pPr>
        <w:pStyle w:val="ListParagraph"/>
        <w:numPr>
          <w:ilvl w:val="0"/>
          <w:numId w:val="36"/>
        </w:numPr>
      </w:pPr>
      <w:r>
        <w:lastRenderedPageBreak/>
        <w:t>Photo opportunities (if any)</w:t>
      </w:r>
    </w:p>
    <w:p w14:paraId="638D1A59" w14:textId="77777777" w:rsidR="006D0D34" w:rsidRDefault="006D0D34" w:rsidP="000616C8">
      <w:pPr>
        <w:pStyle w:val="ListParagraph"/>
        <w:numPr>
          <w:ilvl w:val="0"/>
          <w:numId w:val="36"/>
        </w:numPr>
      </w:pPr>
      <w:r>
        <w:t>Process for press credentialing and press conference registration (if needed)</w:t>
      </w:r>
    </w:p>
    <w:p w14:paraId="3738BB33" w14:textId="77777777" w:rsidR="006D0D34" w:rsidRDefault="006D0D34" w:rsidP="006D0D34">
      <w:pPr>
        <w:pStyle w:val="Heading4"/>
      </w:pPr>
      <w:r>
        <w:t>Press Releases</w:t>
      </w:r>
    </w:p>
    <w:p w14:paraId="16725877" w14:textId="77777777" w:rsidR="006D0D34" w:rsidRDefault="006D0D34" w:rsidP="006D0D34">
      <w:r>
        <w:t xml:space="preserve">A press release is used to make an announcement or provide details about the incident that are easily summarized. A press release is issued to the press by </w:t>
      </w:r>
      <w:r w:rsidRPr="00B50E70">
        <w:t>email</w:t>
      </w:r>
      <w:r>
        <w:t xml:space="preserve"> or </w:t>
      </w:r>
      <w:r w:rsidRPr="00B50E70">
        <w:t>fax</w:t>
      </w:r>
      <w:r>
        <w:t xml:space="preserve">, as well as posted to the </w:t>
      </w:r>
      <w:r w:rsidRPr="00B50E70">
        <w:t>websites</w:t>
      </w:r>
      <w:r>
        <w:t xml:space="preserve"> of partner agencies. The following format is recommended for press releases:</w:t>
      </w:r>
    </w:p>
    <w:p w14:paraId="3BB884E7" w14:textId="77777777" w:rsidR="006D0D34" w:rsidRDefault="006D0D34" w:rsidP="000616C8">
      <w:pPr>
        <w:pStyle w:val="ListParagraph"/>
        <w:numPr>
          <w:ilvl w:val="0"/>
          <w:numId w:val="37"/>
        </w:numPr>
      </w:pPr>
      <w:r>
        <w:t>Headline is ten words or fewer</w:t>
      </w:r>
    </w:p>
    <w:p w14:paraId="30CF6A2F" w14:textId="77777777" w:rsidR="006D0D34" w:rsidRDefault="006D0D34" w:rsidP="000616C8">
      <w:pPr>
        <w:pStyle w:val="ListParagraph"/>
        <w:numPr>
          <w:ilvl w:val="0"/>
          <w:numId w:val="37"/>
        </w:numPr>
      </w:pPr>
      <w:r>
        <w:t>First sentence contains most important statement</w:t>
      </w:r>
    </w:p>
    <w:p w14:paraId="202965DE" w14:textId="77777777" w:rsidR="006D0D34" w:rsidRDefault="006D0D34" w:rsidP="000616C8">
      <w:pPr>
        <w:pStyle w:val="ListParagraph"/>
        <w:numPr>
          <w:ilvl w:val="0"/>
          <w:numId w:val="37"/>
        </w:numPr>
      </w:pPr>
      <w:r>
        <w:t>First paragraph summarizes situation</w:t>
      </w:r>
    </w:p>
    <w:p w14:paraId="6F35B27D" w14:textId="77777777" w:rsidR="006D0D34" w:rsidRDefault="006D0D34" w:rsidP="000616C8">
      <w:pPr>
        <w:pStyle w:val="ListParagraph"/>
        <w:numPr>
          <w:ilvl w:val="0"/>
          <w:numId w:val="37"/>
        </w:numPr>
      </w:pPr>
      <w:r>
        <w:t>Last paragraph restates the main point</w:t>
      </w:r>
    </w:p>
    <w:p w14:paraId="7A0D5221" w14:textId="77777777" w:rsidR="006D0D34" w:rsidRDefault="006D0D34" w:rsidP="000616C8">
      <w:pPr>
        <w:pStyle w:val="ListParagraph"/>
        <w:numPr>
          <w:ilvl w:val="0"/>
          <w:numId w:val="37"/>
        </w:numPr>
      </w:pPr>
      <w:r>
        <w:t>No more than two pages</w:t>
      </w:r>
    </w:p>
    <w:p w14:paraId="6C14AB67" w14:textId="77777777" w:rsidR="006D0D34" w:rsidRDefault="006D0D34" w:rsidP="000616C8">
      <w:pPr>
        <w:pStyle w:val="ListParagraph"/>
        <w:numPr>
          <w:ilvl w:val="0"/>
          <w:numId w:val="37"/>
        </w:numPr>
      </w:pPr>
      <w:r>
        <w:t>List EDS PIO contact (i.e. name, phone number, and email)</w:t>
      </w:r>
    </w:p>
    <w:p w14:paraId="70009284" w14:textId="77777777" w:rsidR="006D0D34" w:rsidRDefault="006D0D34" w:rsidP="006D0D34">
      <w:pPr>
        <w:pStyle w:val="Heading4"/>
      </w:pPr>
      <w:r>
        <w:t>Press Conferences</w:t>
      </w:r>
    </w:p>
    <w:p w14:paraId="6101B4C8" w14:textId="77777777" w:rsidR="006D0D34" w:rsidRDefault="006D0D34" w:rsidP="006D0D34">
      <w:r>
        <w:t xml:space="preserve">A press conference is used to provide details about the incident that are not adequately described in a </w:t>
      </w:r>
      <w:r w:rsidRPr="001A5540">
        <w:t>press release</w:t>
      </w:r>
      <w:r>
        <w:t>. It</w:t>
      </w:r>
      <w:r w:rsidRPr="0051442C">
        <w:t xml:space="preserve"> is a preferred format for television and radio</w:t>
      </w:r>
      <w:r>
        <w:t xml:space="preserve"> media</w:t>
      </w:r>
      <w:r w:rsidRPr="0051442C">
        <w:t>.</w:t>
      </w:r>
      <w:r>
        <w:t xml:space="preserve"> During a press conference one or more speakers will make a statement, followed by questions from the press. When conducting a joint press conference (e.g. with MDPH, MEMA, etc.), the responding partner agencies should agree on communication roles and responsibilities prior to the conference. After a press conference, a list of media questions and the provided responses is compiled for further dissemination. Unanswered questions should be researched for follow-up with the press as soon as possible. Prior to a press conference, a media packet is prepared with the following recommended resources:</w:t>
      </w:r>
    </w:p>
    <w:p w14:paraId="19814CFA" w14:textId="77777777" w:rsidR="006D0D34" w:rsidRDefault="006D0D34" w:rsidP="000616C8">
      <w:pPr>
        <w:pStyle w:val="ListParagraph"/>
        <w:numPr>
          <w:ilvl w:val="0"/>
          <w:numId w:val="38"/>
        </w:numPr>
      </w:pPr>
      <w:r>
        <w:t>Previously issued press advisories and releases (if any)</w:t>
      </w:r>
    </w:p>
    <w:p w14:paraId="1072D104" w14:textId="77777777" w:rsidR="006D0D34" w:rsidRDefault="006D0D34" w:rsidP="000616C8">
      <w:pPr>
        <w:pStyle w:val="ListParagraph"/>
        <w:numPr>
          <w:ilvl w:val="0"/>
          <w:numId w:val="38"/>
        </w:numPr>
      </w:pPr>
      <w:r>
        <w:t>Fact sheets and other pertinent information</w:t>
      </w:r>
    </w:p>
    <w:p w14:paraId="1FC930CA" w14:textId="77777777" w:rsidR="006D0D34" w:rsidRDefault="006D0D34" w:rsidP="000616C8">
      <w:pPr>
        <w:pStyle w:val="ListParagraph"/>
        <w:numPr>
          <w:ilvl w:val="0"/>
          <w:numId w:val="38"/>
        </w:numPr>
      </w:pPr>
      <w:r>
        <w:t>Speaker bios (if available)</w:t>
      </w:r>
    </w:p>
    <w:p w14:paraId="046180EA" w14:textId="77777777" w:rsidR="006D0D34" w:rsidRDefault="006D0D34" w:rsidP="000616C8">
      <w:pPr>
        <w:pStyle w:val="ListParagraph"/>
        <w:numPr>
          <w:ilvl w:val="0"/>
          <w:numId w:val="38"/>
        </w:numPr>
      </w:pPr>
      <w:r>
        <w:t>Schedule for media updates (if determined)</w:t>
      </w:r>
    </w:p>
    <w:p w14:paraId="2B9B4815" w14:textId="77777777" w:rsidR="006D0D34" w:rsidRPr="006861C7" w:rsidRDefault="006D0D34" w:rsidP="006D0D34">
      <w:r>
        <w:t xml:space="preserve">Additionally, a </w:t>
      </w:r>
      <w:r w:rsidRPr="00620DA7">
        <w:t>sign language interpreter</w:t>
      </w:r>
      <w:r>
        <w:t xml:space="preserve"> should be at all press conferences and the use of </w:t>
      </w:r>
      <w:r w:rsidRPr="008F50DA">
        <w:t>closed captioning</w:t>
      </w:r>
      <w:r>
        <w:t xml:space="preserve"> and digital presentations (where available) should be requested. If a press conference will include a tour of the EDS, the press should be advised to observe client privacy (if present). Ideally, a press tour of the EDS would occur once it is determined that the site and staff are operationally ready and prior to opening to the public. At minimum, the press should obtain verbal authorization from a client to photograph, video, or interview them for publication. The EDS staff and volunteers should only speak to the press if authorized by the EDS PIO.</w:t>
      </w:r>
    </w:p>
    <w:p w14:paraId="7F291482" w14:textId="77777777" w:rsidR="006D0D34" w:rsidRPr="00DC2BD1" w:rsidRDefault="006D0D34" w:rsidP="006D0D34">
      <w:pPr>
        <w:pStyle w:val="Heading3"/>
        <w:rPr>
          <w:color w:val="002060"/>
        </w:rPr>
      </w:pPr>
      <w:bookmarkStart w:id="85" w:name="_Toc484439920"/>
      <w:bookmarkStart w:id="86" w:name="_Toc11832744"/>
      <w:r w:rsidRPr="00DC2BD1">
        <w:rPr>
          <w:color w:val="002060"/>
        </w:rPr>
        <w:t>Message Development</w:t>
      </w:r>
      <w:bookmarkEnd w:id="85"/>
      <w:bookmarkEnd w:id="86"/>
    </w:p>
    <w:p w14:paraId="6604B8FC" w14:textId="77777777" w:rsidR="006D0D34" w:rsidRDefault="006D0D34" w:rsidP="006D0D34">
      <w:r>
        <w:t>To develop messages for the public information campaign, the EDS PIO should gather relevant information from trusted sources and verify its accuracy by consulting additional reputable sources, particularly as it relates to the clinical aspects of the incident. When developing the messages, the EDS PIO:</w:t>
      </w:r>
    </w:p>
    <w:p w14:paraId="5E397BD4" w14:textId="77777777" w:rsidR="006D0D34" w:rsidRDefault="006D0D34" w:rsidP="000616C8">
      <w:pPr>
        <w:pStyle w:val="ListParagraph"/>
        <w:numPr>
          <w:ilvl w:val="0"/>
          <w:numId w:val="29"/>
        </w:numPr>
      </w:pPr>
      <w:r>
        <w:t>Determines limits on release of information (e.g. information potentially associated with a criminal investigation)</w:t>
      </w:r>
    </w:p>
    <w:p w14:paraId="5E505D83" w14:textId="77777777" w:rsidR="006D0D34" w:rsidRDefault="006D0D34" w:rsidP="000616C8">
      <w:pPr>
        <w:pStyle w:val="ListParagraph"/>
        <w:numPr>
          <w:ilvl w:val="0"/>
          <w:numId w:val="29"/>
        </w:numPr>
      </w:pPr>
      <w:r>
        <w:t>Establishes a communications goal</w:t>
      </w:r>
    </w:p>
    <w:p w14:paraId="4C206133" w14:textId="77777777" w:rsidR="006D0D34" w:rsidRDefault="006D0D34" w:rsidP="000616C8">
      <w:pPr>
        <w:pStyle w:val="ListParagraph"/>
        <w:numPr>
          <w:ilvl w:val="0"/>
          <w:numId w:val="29"/>
        </w:numPr>
      </w:pPr>
      <w:r>
        <w:lastRenderedPageBreak/>
        <w:t>Identifies target audience(s)</w:t>
      </w:r>
    </w:p>
    <w:p w14:paraId="113DCFFA" w14:textId="77777777" w:rsidR="006D0D34" w:rsidRDefault="006D0D34" w:rsidP="000616C8">
      <w:pPr>
        <w:pStyle w:val="ListParagraph"/>
        <w:numPr>
          <w:ilvl w:val="0"/>
          <w:numId w:val="29"/>
        </w:numPr>
      </w:pPr>
      <w:r>
        <w:t>Identifies key messages and supporting facts</w:t>
      </w:r>
    </w:p>
    <w:p w14:paraId="0B605342" w14:textId="77777777" w:rsidR="006D0D34" w:rsidRDefault="006D0D34" w:rsidP="006D0D34">
      <w:r>
        <w:t>At the time of the incident, federal and state health officials will update or develop clinical messages that can be included in the local public information campaign, including information about:</w:t>
      </w:r>
    </w:p>
    <w:p w14:paraId="0966CF9D" w14:textId="77777777" w:rsidR="006D0D34" w:rsidRDefault="006D0D34" w:rsidP="000616C8">
      <w:pPr>
        <w:pStyle w:val="ListParagraph"/>
        <w:numPr>
          <w:ilvl w:val="0"/>
          <w:numId w:val="30"/>
        </w:numPr>
      </w:pPr>
      <w:r>
        <w:t>Diseases and agents</w:t>
      </w:r>
    </w:p>
    <w:p w14:paraId="48377C32" w14:textId="77777777" w:rsidR="006D0D34" w:rsidRDefault="006D0D34" w:rsidP="000616C8">
      <w:pPr>
        <w:pStyle w:val="ListParagraph"/>
        <w:numPr>
          <w:ilvl w:val="0"/>
          <w:numId w:val="30"/>
        </w:numPr>
      </w:pPr>
      <w:r>
        <w:t>Signs, symptoms, and communicability</w:t>
      </w:r>
    </w:p>
    <w:p w14:paraId="13A472EB" w14:textId="77777777" w:rsidR="006D0D34" w:rsidRDefault="006D0D34" w:rsidP="000616C8">
      <w:pPr>
        <w:pStyle w:val="ListParagraph"/>
        <w:numPr>
          <w:ilvl w:val="0"/>
          <w:numId w:val="30"/>
        </w:numPr>
      </w:pPr>
      <w:r>
        <w:t>At-risk populations and higher vulnerability populations</w:t>
      </w:r>
    </w:p>
    <w:p w14:paraId="26D9524D" w14:textId="77777777" w:rsidR="006D0D34" w:rsidRDefault="006D0D34" w:rsidP="000616C8">
      <w:pPr>
        <w:pStyle w:val="ListParagraph"/>
        <w:numPr>
          <w:ilvl w:val="0"/>
          <w:numId w:val="30"/>
        </w:numPr>
      </w:pPr>
      <w:r>
        <w:t>Target populations (and the justification for targeted dispensing)</w:t>
      </w:r>
    </w:p>
    <w:p w14:paraId="7A371EE6" w14:textId="77777777" w:rsidR="006D0D34" w:rsidRDefault="006D0D34" w:rsidP="000616C8">
      <w:pPr>
        <w:pStyle w:val="ListParagraph"/>
        <w:numPr>
          <w:ilvl w:val="0"/>
          <w:numId w:val="30"/>
        </w:numPr>
      </w:pPr>
      <w:r>
        <w:t>Personal risk reduction</w:t>
      </w:r>
    </w:p>
    <w:p w14:paraId="2FA94FF9" w14:textId="77777777" w:rsidR="006D0D34" w:rsidRDefault="006D0D34" w:rsidP="000616C8">
      <w:pPr>
        <w:pStyle w:val="ListParagraph"/>
        <w:numPr>
          <w:ilvl w:val="0"/>
          <w:numId w:val="30"/>
        </w:numPr>
      </w:pPr>
      <w:r>
        <w:t>Treatment and countermeasures</w:t>
      </w:r>
    </w:p>
    <w:p w14:paraId="0D6DC506" w14:textId="77777777" w:rsidR="006D0D34" w:rsidRDefault="006D0D34" w:rsidP="000616C8">
      <w:pPr>
        <w:pStyle w:val="ListParagraph"/>
        <w:numPr>
          <w:ilvl w:val="0"/>
          <w:numId w:val="30"/>
        </w:numPr>
      </w:pPr>
      <w:r>
        <w:t>Other containment and control measures</w:t>
      </w:r>
    </w:p>
    <w:p w14:paraId="472C282F" w14:textId="77777777" w:rsidR="006D0D34" w:rsidRDefault="006D0D34" w:rsidP="006D0D34">
      <w:r>
        <w:t>The EDS PIO should develop the messages related to local response actions and EDS operations, including information about:</w:t>
      </w:r>
    </w:p>
    <w:p w14:paraId="040E64FA" w14:textId="77777777" w:rsidR="006D0D34" w:rsidRDefault="006D0D34" w:rsidP="000616C8">
      <w:pPr>
        <w:pStyle w:val="ListParagraph"/>
        <w:numPr>
          <w:ilvl w:val="0"/>
          <w:numId w:val="31"/>
        </w:numPr>
      </w:pPr>
      <w:r>
        <w:t>Locations, directions, and dates and hours of operation</w:t>
      </w:r>
    </w:p>
    <w:p w14:paraId="37446C64" w14:textId="77777777" w:rsidR="006D0D34" w:rsidRDefault="006D0D34" w:rsidP="000616C8">
      <w:pPr>
        <w:pStyle w:val="ListParagraph"/>
        <w:numPr>
          <w:ilvl w:val="0"/>
          <w:numId w:val="31"/>
        </w:numPr>
      </w:pPr>
      <w:r>
        <w:t>Transportation and parking options</w:t>
      </w:r>
    </w:p>
    <w:p w14:paraId="56FEFA30" w14:textId="77777777" w:rsidR="006D0D34" w:rsidRDefault="006D0D34" w:rsidP="000616C8">
      <w:pPr>
        <w:pStyle w:val="ListParagraph"/>
        <w:numPr>
          <w:ilvl w:val="0"/>
          <w:numId w:val="31"/>
        </w:numPr>
      </w:pPr>
      <w:r>
        <w:t>Available services and countermeasures and the process for receiving them</w:t>
      </w:r>
    </w:p>
    <w:p w14:paraId="0ED0F6AE" w14:textId="77777777" w:rsidR="006D0D34" w:rsidRDefault="006D0D34" w:rsidP="000616C8">
      <w:pPr>
        <w:pStyle w:val="ListParagraph"/>
        <w:numPr>
          <w:ilvl w:val="0"/>
          <w:numId w:val="31"/>
        </w:numPr>
      </w:pPr>
      <w:r>
        <w:t>Public information access points (e.g. websites, hotlines, etc.)</w:t>
      </w:r>
    </w:p>
    <w:p w14:paraId="019432A1" w14:textId="77777777" w:rsidR="006D0D34" w:rsidRDefault="006D0D34" w:rsidP="000616C8">
      <w:pPr>
        <w:pStyle w:val="ListParagraph"/>
        <w:numPr>
          <w:ilvl w:val="0"/>
          <w:numId w:val="31"/>
        </w:numPr>
      </w:pPr>
      <w:r>
        <w:t>What to bring and wear to the EDS (e.g. list of medications, weights of children, etc.)</w:t>
      </w:r>
    </w:p>
    <w:p w14:paraId="2D66ED8E" w14:textId="77777777" w:rsidR="006D0D34" w:rsidRDefault="006D0D34" w:rsidP="000616C8">
      <w:pPr>
        <w:pStyle w:val="ListParagraph"/>
        <w:numPr>
          <w:ilvl w:val="0"/>
          <w:numId w:val="31"/>
        </w:numPr>
      </w:pPr>
      <w:r>
        <w:t>What to anticipate while at the EDS (e.g. lines, wait times, etc.)</w:t>
      </w:r>
    </w:p>
    <w:p w14:paraId="60B43AB9" w14:textId="77777777" w:rsidR="006D0D34" w:rsidRDefault="006D0D34" w:rsidP="000616C8">
      <w:pPr>
        <w:pStyle w:val="ListParagraph"/>
        <w:numPr>
          <w:ilvl w:val="0"/>
          <w:numId w:val="31"/>
        </w:numPr>
      </w:pPr>
      <w:r>
        <w:t>What to do if you can’t get to the EDS (e.g. individuals who are homebound or require specialized transportation)</w:t>
      </w:r>
    </w:p>
    <w:p w14:paraId="7D3DC440" w14:textId="77777777" w:rsidR="006D0D34" w:rsidRPr="00DC2BD1" w:rsidRDefault="006D0D34" w:rsidP="006D0D34">
      <w:pPr>
        <w:pStyle w:val="Heading3"/>
        <w:rPr>
          <w:color w:val="002060"/>
        </w:rPr>
      </w:pPr>
      <w:bookmarkStart w:id="87" w:name="_Toc484439921"/>
      <w:bookmarkStart w:id="88" w:name="_Toc11832745"/>
      <w:r w:rsidRPr="00DC2BD1">
        <w:rPr>
          <w:color w:val="002060"/>
        </w:rPr>
        <w:t>Message Approval</w:t>
      </w:r>
      <w:bookmarkEnd w:id="87"/>
      <w:bookmarkEnd w:id="88"/>
    </w:p>
    <w:p w14:paraId="459EC921" w14:textId="77777777" w:rsidR="006D0D34" w:rsidRPr="00F01F54" w:rsidRDefault="006D0D34" w:rsidP="006D0D34">
      <w:r>
        <w:t xml:space="preserve">Approved </w:t>
      </w:r>
      <w:r w:rsidRPr="00456FE0">
        <w:t>clinical messages</w:t>
      </w:r>
      <w:r>
        <w:t xml:space="preserve"> will be disseminated by federal and state health officials or by the SEOC PIO. The EDS PIO should coordinate with local health or the EDS </w:t>
      </w:r>
      <w:r w:rsidR="00C4228C">
        <w:t>clinical subject matter expert</w:t>
      </w:r>
      <w:r>
        <w:t xml:space="preserve"> to review the clinical messages prior to including them in the local public information campaign. Any changes to federal or state clinical messages should be </w:t>
      </w:r>
      <w:r w:rsidR="00481E52">
        <w:t xml:space="preserve">reviewed </w:t>
      </w:r>
      <w:r>
        <w:t>by the MDPH to avoid inconsistent messaging. Once the messages about local actions and EDS operations have been developed, the EDS PIO should verify all information with the appropriate partner agencies and seek approval from the EDS Manager prior to releasing it. When possible, the clinical and EDS operations messages should be released jointly.</w:t>
      </w:r>
    </w:p>
    <w:p w14:paraId="7796D6D2" w14:textId="77777777" w:rsidR="006D0D34" w:rsidRPr="00DC2BD1" w:rsidRDefault="006D0D34" w:rsidP="006D0D34">
      <w:pPr>
        <w:pStyle w:val="Heading3"/>
        <w:rPr>
          <w:color w:val="002060"/>
        </w:rPr>
      </w:pPr>
      <w:bookmarkStart w:id="89" w:name="_Toc484439922"/>
      <w:bookmarkStart w:id="90" w:name="_Toc11832746"/>
      <w:r w:rsidRPr="00DC2BD1">
        <w:rPr>
          <w:color w:val="002060"/>
        </w:rPr>
        <w:t>Message Accessibility</w:t>
      </w:r>
      <w:bookmarkEnd w:id="89"/>
      <w:bookmarkEnd w:id="90"/>
    </w:p>
    <w:p w14:paraId="70BC1C57" w14:textId="77777777" w:rsidR="006D0D34" w:rsidRDefault="006D0D34" w:rsidP="006D0D34">
      <w:r>
        <w:t>Messages should be developed in multiple formats to ensure accessibility for individuals with access and functional needs, including formats that address:</w:t>
      </w:r>
    </w:p>
    <w:p w14:paraId="7B981EBA" w14:textId="77777777" w:rsidR="006D0D34" w:rsidRDefault="006D0D34" w:rsidP="000616C8">
      <w:pPr>
        <w:pStyle w:val="ListParagraph"/>
        <w:numPr>
          <w:ilvl w:val="0"/>
          <w:numId w:val="32"/>
        </w:numPr>
      </w:pPr>
      <w:r>
        <w:t>Language and literacy barriers, including limited language proficiency</w:t>
      </w:r>
    </w:p>
    <w:p w14:paraId="15DFBFC8" w14:textId="77777777" w:rsidR="006D0D34" w:rsidRDefault="006D0D34" w:rsidP="000616C8">
      <w:pPr>
        <w:pStyle w:val="ListParagraph"/>
        <w:numPr>
          <w:ilvl w:val="0"/>
          <w:numId w:val="32"/>
        </w:numPr>
      </w:pPr>
      <w:r>
        <w:t>Physical and cognitive disabilities</w:t>
      </w:r>
    </w:p>
    <w:p w14:paraId="43CD1906" w14:textId="77777777" w:rsidR="006D0D34" w:rsidRDefault="006D0D34" w:rsidP="000616C8">
      <w:pPr>
        <w:pStyle w:val="ListParagraph"/>
        <w:numPr>
          <w:ilvl w:val="0"/>
          <w:numId w:val="32"/>
        </w:numPr>
      </w:pPr>
      <w:r>
        <w:t>Age (older adults and young children)</w:t>
      </w:r>
    </w:p>
    <w:p w14:paraId="2E45CBF4" w14:textId="77777777" w:rsidR="006D0D34" w:rsidRDefault="006D0D34" w:rsidP="000616C8">
      <w:pPr>
        <w:pStyle w:val="ListParagraph"/>
        <w:numPr>
          <w:ilvl w:val="0"/>
          <w:numId w:val="32"/>
        </w:numPr>
      </w:pPr>
      <w:r>
        <w:t>Lack of access to technology</w:t>
      </w:r>
    </w:p>
    <w:p w14:paraId="46AE2223" w14:textId="77777777" w:rsidR="006D0D34" w:rsidRDefault="006D0D34" w:rsidP="000616C8">
      <w:pPr>
        <w:pStyle w:val="ListParagraph"/>
        <w:numPr>
          <w:ilvl w:val="0"/>
          <w:numId w:val="32"/>
        </w:numPr>
      </w:pPr>
      <w:r>
        <w:t>Cultural considerations and geographic isolation</w:t>
      </w:r>
    </w:p>
    <w:p w14:paraId="21607208" w14:textId="77777777" w:rsidR="006D0D34" w:rsidRDefault="006D0D34" w:rsidP="006D0D34">
      <w:r>
        <w:lastRenderedPageBreak/>
        <w:t xml:space="preserve">When developing messages about individuals with access and functional needs </w:t>
      </w:r>
      <w:hyperlink r:id="rId37" w:history="1">
        <w:r>
          <w:rPr>
            <w:rStyle w:val="Hyperlink"/>
          </w:rPr>
          <w:t>People First Language</w:t>
        </w:r>
      </w:hyperlink>
      <w:r>
        <w:rPr>
          <w:rStyle w:val="FootnoteReference"/>
        </w:rPr>
        <w:footnoteReference w:id="23"/>
      </w:r>
      <w:r>
        <w:t xml:space="preserve"> should be used (e</w:t>
      </w:r>
      <w:r w:rsidR="00B36C48">
        <w:t>.g.</w:t>
      </w:r>
      <w:r>
        <w:t xml:space="preserve"> "person with a disability” as opposed to “disabled person”).</w:t>
      </w:r>
    </w:p>
    <w:p w14:paraId="0C03642B" w14:textId="77777777" w:rsidR="006D0D34" w:rsidRDefault="006D0D34" w:rsidP="006D0D34">
      <w:r>
        <w:t>Written materials should be translated to the predominant languages spoken locally. Federal and state officials will translate clinical messages to the most common predominant languages spoken. Interpretation services, including sign language, should be available at the EDS or through phone or video interpretation. Ideally, translation and interpretation services would be performed by individuals trained in medical terminology. Since EDS staff and volunteers may also serve as interpreters, the shift registration process should collect information about languages spoken by staff and volunteers. While not preferred, family members may provide interpretive services to EDS clients.</w:t>
      </w:r>
    </w:p>
    <w:p w14:paraId="79266F21" w14:textId="77777777" w:rsidR="006D0D34" w:rsidRDefault="006D0D34" w:rsidP="006D0D34">
      <w:r>
        <w:t xml:space="preserve">The EDS PIO should coordinate with </w:t>
      </w:r>
      <w:r w:rsidR="009131A6">
        <w:t>Logistics</w:t>
      </w:r>
      <w:r>
        <w:t xml:space="preserve"> to arrange for translation and interpretation resources. When requesting </w:t>
      </w:r>
      <w:r w:rsidRPr="006D156E">
        <w:t>translation of written information</w:t>
      </w:r>
      <w:r>
        <w:t>, the EDS PIO should:</w:t>
      </w:r>
    </w:p>
    <w:p w14:paraId="528236F4" w14:textId="77777777" w:rsidR="006D0D34" w:rsidRDefault="006D0D34" w:rsidP="000616C8">
      <w:pPr>
        <w:pStyle w:val="ListParagraph"/>
        <w:numPr>
          <w:ilvl w:val="0"/>
          <w:numId w:val="33"/>
        </w:numPr>
      </w:pPr>
      <w:r>
        <w:t>Identify the languages needed</w:t>
      </w:r>
    </w:p>
    <w:p w14:paraId="6883131E" w14:textId="77777777" w:rsidR="006D0D34" w:rsidRDefault="006D0D34" w:rsidP="000616C8">
      <w:pPr>
        <w:pStyle w:val="ListParagraph"/>
        <w:numPr>
          <w:ilvl w:val="0"/>
          <w:numId w:val="33"/>
        </w:numPr>
      </w:pPr>
      <w:r>
        <w:t>Collect approved documents (preferably electronic)</w:t>
      </w:r>
    </w:p>
    <w:p w14:paraId="078155FF" w14:textId="77777777" w:rsidR="006D0D34" w:rsidRDefault="006D0D34" w:rsidP="000616C8">
      <w:pPr>
        <w:pStyle w:val="ListParagraph"/>
        <w:numPr>
          <w:ilvl w:val="0"/>
          <w:numId w:val="33"/>
        </w:numPr>
      </w:pPr>
      <w:r>
        <w:t>Determine translation deadline and priority</w:t>
      </w:r>
    </w:p>
    <w:p w14:paraId="07CCC0ED" w14:textId="77777777" w:rsidR="006D0D34" w:rsidRDefault="006D0D34" w:rsidP="000616C8">
      <w:pPr>
        <w:pStyle w:val="ListParagraph"/>
        <w:numPr>
          <w:ilvl w:val="0"/>
          <w:numId w:val="33"/>
        </w:numPr>
      </w:pPr>
      <w:r>
        <w:t>Submit all documents to the translation service</w:t>
      </w:r>
    </w:p>
    <w:p w14:paraId="5511FACB" w14:textId="77777777" w:rsidR="006D0D34" w:rsidRDefault="006D0D34" w:rsidP="006D0D34">
      <w:r>
        <w:t>When requesting interpreters, the EDS PIO should:</w:t>
      </w:r>
    </w:p>
    <w:p w14:paraId="2DCF2E84" w14:textId="77777777" w:rsidR="006D0D34" w:rsidRDefault="006D0D34" w:rsidP="000616C8">
      <w:pPr>
        <w:pStyle w:val="ListParagraph"/>
        <w:numPr>
          <w:ilvl w:val="0"/>
          <w:numId w:val="34"/>
        </w:numPr>
      </w:pPr>
      <w:r>
        <w:t>Identify the languages needed</w:t>
      </w:r>
    </w:p>
    <w:p w14:paraId="00383F98" w14:textId="77777777" w:rsidR="006D0D34" w:rsidRDefault="006D0D34" w:rsidP="000616C8">
      <w:pPr>
        <w:pStyle w:val="ListParagraph"/>
        <w:numPr>
          <w:ilvl w:val="0"/>
          <w:numId w:val="34"/>
        </w:numPr>
      </w:pPr>
      <w:r>
        <w:t>Determine location, date, and time for interpreters</w:t>
      </w:r>
    </w:p>
    <w:p w14:paraId="08EC6232" w14:textId="77777777" w:rsidR="006D0D34" w:rsidRDefault="006D0D34" w:rsidP="000616C8">
      <w:pPr>
        <w:pStyle w:val="ListParagraph"/>
        <w:numPr>
          <w:ilvl w:val="0"/>
          <w:numId w:val="34"/>
        </w:numPr>
      </w:pPr>
      <w:r>
        <w:t>Collect background information for the interpreters</w:t>
      </w:r>
    </w:p>
    <w:p w14:paraId="6F7FBF93" w14:textId="77777777" w:rsidR="006D0D34" w:rsidRDefault="006D0D34" w:rsidP="000616C8">
      <w:pPr>
        <w:pStyle w:val="ListParagraph"/>
        <w:numPr>
          <w:ilvl w:val="0"/>
          <w:numId w:val="34"/>
        </w:numPr>
      </w:pPr>
      <w:r>
        <w:t>Evaluate the need for onsite interpreters versus phone or video interpretation</w:t>
      </w:r>
    </w:p>
    <w:p w14:paraId="12E56774" w14:textId="77777777" w:rsidR="006D0D34" w:rsidRPr="00403442" w:rsidRDefault="006D0D34" w:rsidP="006D0D34">
      <w:pPr>
        <w:rPr>
          <w:b/>
          <w:u w:val="single"/>
        </w:rPr>
      </w:pPr>
      <w:r>
        <w:rPr>
          <w:b/>
          <w:u w:val="single"/>
        </w:rPr>
        <w:t>Pre-Event Planning</w:t>
      </w:r>
    </w:p>
    <w:p w14:paraId="05BE777B" w14:textId="77777777" w:rsidR="006D0D34" w:rsidRDefault="006D0D34" w:rsidP="006D0D34">
      <w:r>
        <w:t>Local health should identify the predominant languages spoken in the community and collaborate with partner agencies to identify sources for translation and interpretation services, including:</w:t>
      </w:r>
    </w:p>
    <w:p w14:paraId="76FA4ED8" w14:textId="77777777" w:rsidR="006D0D34" w:rsidRDefault="006D0D34" w:rsidP="000616C8">
      <w:pPr>
        <w:pStyle w:val="ListParagraph"/>
        <w:numPr>
          <w:ilvl w:val="0"/>
          <w:numId w:val="35"/>
        </w:numPr>
      </w:pPr>
      <w:r>
        <w:t>Hospital and healthcare phone and video interpretation services</w:t>
      </w:r>
    </w:p>
    <w:p w14:paraId="7BAFB844" w14:textId="77777777" w:rsidR="006D0D34" w:rsidRDefault="006D0D34" w:rsidP="000616C8">
      <w:pPr>
        <w:pStyle w:val="ListParagraph"/>
        <w:numPr>
          <w:ilvl w:val="0"/>
          <w:numId w:val="35"/>
        </w:numPr>
      </w:pPr>
      <w:r>
        <w:t>College and school language programs</w:t>
      </w:r>
    </w:p>
    <w:p w14:paraId="1F3CF607" w14:textId="77777777" w:rsidR="006D0D34" w:rsidRDefault="006D0D34" w:rsidP="000616C8">
      <w:pPr>
        <w:pStyle w:val="ListParagraph"/>
        <w:numPr>
          <w:ilvl w:val="0"/>
          <w:numId w:val="35"/>
        </w:numPr>
      </w:pPr>
      <w:r>
        <w:t>Cultural and faith-based organizations</w:t>
      </w:r>
    </w:p>
    <w:p w14:paraId="00B71E9F" w14:textId="77777777" w:rsidR="006D0D34" w:rsidRDefault="006D0D34" w:rsidP="000616C8">
      <w:pPr>
        <w:pStyle w:val="ListParagraph"/>
        <w:numPr>
          <w:ilvl w:val="0"/>
          <w:numId w:val="35"/>
        </w:numPr>
      </w:pPr>
      <w:r>
        <w:t>Language-based media</w:t>
      </w:r>
    </w:p>
    <w:p w14:paraId="0C1E7675" w14:textId="77777777" w:rsidR="006D0D34" w:rsidRDefault="006D0D34" w:rsidP="006D0D34">
      <w:r>
        <w:t xml:space="preserve">Additionally, local health should collaborate with partner agencies that serve individuals with access and functional needs </w:t>
      </w:r>
      <w:r w:rsidRPr="00D36E31">
        <w:t>to</w:t>
      </w:r>
      <w:r>
        <w:t xml:space="preserve"> identify communication resources that may be needed at the EDS (e.g. magnifiers, readers, etc.).</w:t>
      </w:r>
    </w:p>
    <w:p w14:paraId="07B31EEE" w14:textId="77777777" w:rsidR="00F763F8" w:rsidRDefault="00F763F8" w:rsidP="006D0D34"/>
    <w:p w14:paraId="7DB646D1" w14:textId="77777777" w:rsidR="006D0D34" w:rsidRDefault="006D0D34" w:rsidP="006D0D34">
      <w:bookmarkStart w:id="91" w:name="Procurement_Property"/>
      <w:bookmarkStart w:id="92" w:name="Resources__outreach"/>
      <w:bookmarkEnd w:id="91"/>
      <w:bookmarkEnd w:id="92"/>
      <w:r>
        <w:rPr>
          <w:b/>
          <w:u w:val="single"/>
        </w:rPr>
        <w:t>Resources</w:t>
      </w:r>
    </w:p>
    <w:p w14:paraId="54C7CAE1" w14:textId="77777777" w:rsidR="006D0D34" w:rsidRDefault="006D0D34" w:rsidP="006D0D34">
      <w:r>
        <w:t xml:space="preserve">The </w:t>
      </w:r>
      <w:hyperlink r:id="rId38" w:history="1">
        <w:r w:rsidRPr="00BA3548">
          <w:rPr>
            <w:rStyle w:val="Hyperlink"/>
          </w:rPr>
          <w:t>Massachusetts Commission for the Deaf and Hard of Hearing</w:t>
        </w:r>
      </w:hyperlink>
      <w:r>
        <w:rPr>
          <w:rStyle w:val="FootnoteReference"/>
        </w:rPr>
        <w:footnoteReference w:id="24"/>
      </w:r>
      <w:r w:rsidRPr="00BA3548">
        <w:t xml:space="preserve"> provides free professional and educational in-services and presentations</w:t>
      </w:r>
      <w:r>
        <w:t xml:space="preserve"> to </w:t>
      </w:r>
      <w:r w:rsidRPr="00BA3548">
        <w:t>organizations, agencies, and businesses that seek to improve efficacy of interactions with people wh</w:t>
      </w:r>
      <w:r>
        <w:t>o are deaf and hard of hearing.</w:t>
      </w:r>
    </w:p>
    <w:p w14:paraId="0FBF0138" w14:textId="2A7FED1F" w:rsidR="006D0D34" w:rsidRPr="00BA3548" w:rsidRDefault="00186EB6" w:rsidP="006D0D34">
      <w:r>
        <w:t>Th</w:t>
      </w:r>
      <w:r w:rsidR="006D0D34">
        <w:t xml:space="preserve">e </w:t>
      </w:r>
      <w:hyperlink r:id="rId39" w:history="1">
        <w:r w:rsidR="006D0D34" w:rsidRPr="009A2DE5">
          <w:rPr>
            <w:rStyle w:val="Hyperlink"/>
          </w:rPr>
          <w:t>Show Me Communication Tool for Emergency Shelters</w:t>
        </w:r>
      </w:hyperlink>
      <w:r w:rsidR="000E51F9">
        <w:rPr>
          <w:rStyle w:val="FootnoteReference"/>
          <w:color w:val="0563C1" w:themeColor="hyperlink"/>
          <w:u w:val="single"/>
        </w:rPr>
        <w:footnoteReference w:id="25"/>
      </w:r>
      <w:r>
        <w:t xml:space="preserve"> is a pictogram-based tool</w:t>
      </w:r>
      <w:r w:rsidR="006D0D34">
        <w:t xml:space="preserve"> that can be used to identify the language spoken by a client, provide direction through the EDS, and to communicate about key service concepts.</w:t>
      </w:r>
    </w:p>
    <w:p w14:paraId="2D9E6EE7" w14:textId="77777777" w:rsidR="006D0D34" w:rsidRPr="00DC2BD1" w:rsidRDefault="006D0D34" w:rsidP="006D0D34">
      <w:pPr>
        <w:pStyle w:val="Heading3"/>
        <w:rPr>
          <w:color w:val="002060"/>
        </w:rPr>
      </w:pPr>
      <w:bookmarkStart w:id="93" w:name="_Toc484439923"/>
      <w:bookmarkStart w:id="94" w:name="_Toc11832747"/>
      <w:r w:rsidRPr="00DC2BD1">
        <w:rPr>
          <w:color w:val="002060"/>
        </w:rPr>
        <w:lastRenderedPageBreak/>
        <w:t>Message Dissemination</w:t>
      </w:r>
      <w:bookmarkEnd w:id="93"/>
      <w:bookmarkEnd w:id="94"/>
    </w:p>
    <w:p w14:paraId="3211582E" w14:textId="77777777" w:rsidR="006D0D34" w:rsidRPr="002119B1" w:rsidRDefault="006D0D34" w:rsidP="006D0D34">
      <w:r>
        <w:t xml:space="preserve">The EDS PIO disseminates approved messages using the documented public information systems and through press notifications. The EDS PIO should </w:t>
      </w:r>
      <w:r w:rsidRPr="002119B1">
        <w:t>document all information disseminated</w:t>
      </w:r>
      <w:r>
        <w:t xml:space="preserve"> to the public and the press</w:t>
      </w:r>
      <w:r w:rsidRPr="002119B1">
        <w:t>, including:</w:t>
      </w:r>
    </w:p>
    <w:p w14:paraId="5E70A265" w14:textId="77777777" w:rsidR="006D0D34" w:rsidRPr="002119B1" w:rsidRDefault="006D0D34" w:rsidP="000616C8">
      <w:pPr>
        <w:pStyle w:val="ListParagraph"/>
        <w:numPr>
          <w:ilvl w:val="0"/>
          <w:numId w:val="39"/>
        </w:numPr>
      </w:pPr>
      <w:r w:rsidRPr="002119B1">
        <w:t>Message type</w:t>
      </w:r>
      <w:r>
        <w:t xml:space="preserve"> and format</w:t>
      </w:r>
    </w:p>
    <w:p w14:paraId="2212D3AF" w14:textId="77777777" w:rsidR="006D0D34" w:rsidRDefault="006D0D34" w:rsidP="000616C8">
      <w:pPr>
        <w:pStyle w:val="ListParagraph"/>
        <w:numPr>
          <w:ilvl w:val="0"/>
          <w:numId w:val="39"/>
        </w:numPr>
      </w:pPr>
      <w:r w:rsidRPr="002119B1">
        <w:t>Dissemination method</w:t>
      </w:r>
      <w:r>
        <w:t>s and r</w:t>
      </w:r>
      <w:r w:rsidRPr="002119B1">
        <w:t>ecipients</w:t>
      </w:r>
    </w:p>
    <w:p w14:paraId="474FB5FE" w14:textId="77777777" w:rsidR="006D0D34" w:rsidRPr="00B646FF" w:rsidRDefault="006D0D34" w:rsidP="000616C8">
      <w:pPr>
        <w:pStyle w:val="ListParagraph"/>
        <w:numPr>
          <w:ilvl w:val="0"/>
          <w:numId w:val="39"/>
        </w:numPr>
      </w:pPr>
      <w:r>
        <w:t>Follow-up</w:t>
      </w:r>
      <w:r w:rsidRPr="002119B1">
        <w:t xml:space="preserve"> action</w:t>
      </w:r>
      <w:r>
        <w:t>s</w:t>
      </w:r>
    </w:p>
    <w:p w14:paraId="5805ADCF" w14:textId="77777777" w:rsidR="006D0D34" w:rsidRPr="00DC2BD1" w:rsidRDefault="00DC2BD1" w:rsidP="006D0D34">
      <w:pPr>
        <w:pStyle w:val="Heading2"/>
        <w:rPr>
          <w:color w:val="002060"/>
        </w:rPr>
      </w:pPr>
      <w:bookmarkStart w:id="95" w:name="_Toc484439924"/>
      <w:bookmarkStart w:id="96" w:name="_Toc11832748"/>
      <w:r w:rsidRPr="00DC2BD1">
        <w:rPr>
          <w:color w:val="002060"/>
        </w:rPr>
        <w:t>EDS STAFF MOBILIZATION &amp; OPERATIONS</w:t>
      </w:r>
      <w:bookmarkEnd w:id="95"/>
      <w:bookmarkEnd w:id="96"/>
    </w:p>
    <w:p w14:paraId="6CE9C48D" w14:textId="77777777" w:rsidR="006D0D34" w:rsidRDefault="006D0D34" w:rsidP="006D0D34">
      <w:r>
        <w:t xml:space="preserve">During staff mobilization and operations, the EDS Manager should coordinate with the </w:t>
      </w:r>
      <w:r w:rsidR="00C4228C">
        <w:t xml:space="preserve">General Staff </w:t>
      </w:r>
      <w:r>
        <w:t>to:</w:t>
      </w:r>
    </w:p>
    <w:p w14:paraId="5F2633B5" w14:textId="77777777" w:rsidR="006D0D34" w:rsidRDefault="006D0D34" w:rsidP="000616C8">
      <w:pPr>
        <w:pStyle w:val="ListParagraph"/>
        <w:numPr>
          <w:ilvl w:val="0"/>
          <w:numId w:val="41"/>
        </w:numPr>
      </w:pPr>
      <w:r>
        <w:t>Determine the staffing requirements (e.g. command structure, number and type of staff, etc.)</w:t>
      </w:r>
    </w:p>
    <w:p w14:paraId="579A828A" w14:textId="77777777" w:rsidR="006D0D34" w:rsidRDefault="006D0D34" w:rsidP="000616C8">
      <w:pPr>
        <w:pStyle w:val="ListParagraph"/>
        <w:numPr>
          <w:ilvl w:val="0"/>
          <w:numId w:val="40"/>
        </w:numPr>
      </w:pPr>
      <w:r>
        <w:t>Establish a shift schedule</w:t>
      </w:r>
    </w:p>
    <w:p w14:paraId="5D8ED587" w14:textId="77777777" w:rsidR="006D0D34" w:rsidRDefault="006D0D34" w:rsidP="000616C8">
      <w:pPr>
        <w:pStyle w:val="ListParagraph"/>
        <w:numPr>
          <w:ilvl w:val="0"/>
          <w:numId w:val="40"/>
        </w:numPr>
      </w:pPr>
      <w:r>
        <w:t>Notify and register staff and volunteers and develop a staff roster</w:t>
      </w:r>
    </w:p>
    <w:p w14:paraId="4BA27D60" w14:textId="77777777" w:rsidR="006D0D34" w:rsidRDefault="006D0D34" w:rsidP="000616C8">
      <w:pPr>
        <w:pStyle w:val="ListParagraph"/>
        <w:numPr>
          <w:ilvl w:val="0"/>
          <w:numId w:val="40"/>
        </w:numPr>
      </w:pPr>
      <w:r>
        <w:t>Verify staff and volunteer credentials</w:t>
      </w:r>
    </w:p>
    <w:p w14:paraId="33B0A3D8" w14:textId="77777777" w:rsidR="006D0D34" w:rsidRDefault="006D0D34" w:rsidP="000616C8">
      <w:pPr>
        <w:pStyle w:val="ListParagraph"/>
        <w:numPr>
          <w:ilvl w:val="0"/>
          <w:numId w:val="40"/>
        </w:numPr>
      </w:pPr>
      <w:r>
        <w:t>Provide deployment instructions to available staff and volunteers</w:t>
      </w:r>
    </w:p>
    <w:p w14:paraId="1A8A5263" w14:textId="77777777" w:rsidR="006D0D34" w:rsidRDefault="006D0D34" w:rsidP="000616C8">
      <w:pPr>
        <w:pStyle w:val="ListParagraph"/>
        <w:numPr>
          <w:ilvl w:val="0"/>
          <w:numId w:val="40"/>
        </w:numPr>
      </w:pPr>
      <w:r>
        <w:t>Request additional staffing resources (when needed)</w:t>
      </w:r>
    </w:p>
    <w:p w14:paraId="47876D4A" w14:textId="77777777" w:rsidR="006D0D34" w:rsidRDefault="006D0D34" w:rsidP="000616C8">
      <w:pPr>
        <w:pStyle w:val="ListParagraph"/>
        <w:numPr>
          <w:ilvl w:val="0"/>
          <w:numId w:val="40"/>
        </w:numPr>
      </w:pPr>
      <w:r>
        <w:t>Assemble, brief, and train staff and volunteers</w:t>
      </w:r>
    </w:p>
    <w:p w14:paraId="31789B1B" w14:textId="77777777" w:rsidR="006D0D34" w:rsidRDefault="006D0D34" w:rsidP="006D0D34">
      <w:r>
        <w:rPr>
          <w:b/>
          <w:u w:val="single"/>
        </w:rPr>
        <w:t>Pre-Event Planning</w:t>
      </w:r>
    </w:p>
    <w:p w14:paraId="7AE331DF" w14:textId="77777777" w:rsidR="006D0D34" w:rsidRDefault="006D0D34" w:rsidP="006D0D34">
      <w:r>
        <w:t xml:space="preserve">Local health should designate a Staffing/Volunteer Coordinator to promote existing recruitment and pre-credentialing efforts for clinical volunteers and non-clinical volunteers (e.g. </w:t>
      </w:r>
      <w:r w:rsidR="00F66F69">
        <w:t>MA Responds, MRC,</w:t>
      </w:r>
      <w:r w:rsidR="009131A6">
        <w:t xml:space="preserve"> </w:t>
      </w:r>
      <w:r>
        <w:t xml:space="preserve">CERT, ARC, etc.) and to develop staffing agreements with local agencies and organizations for EDS operations. </w:t>
      </w:r>
      <w:r w:rsidR="0033554E">
        <w:t xml:space="preserve">If EDS staffing arrangements include </w:t>
      </w:r>
      <w:r>
        <w:t>utiliz</w:t>
      </w:r>
      <w:r w:rsidR="0033554E">
        <w:t>ation of</w:t>
      </w:r>
      <w:r w:rsidR="00C4228C">
        <w:t xml:space="preserve"> LBOH</w:t>
      </w:r>
      <w:r>
        <w:t xml:space="preserve"> personnel, local health should consider existing labor agreements, added costs to conduct exercises, etc.</w:t>
      </w:r>
    </w:p>
    <w:p w14:paraId="78FD3AC2" w14:textId="77777777" w:rsidR="006D0D34" w:rsidRDefault="006D0D34" w:rsidP="006D0D34">
      <w:r>
        <w:rPr>
          <w:b/>
          <w:u w:val="single"/>
        </w:rPr>
        <w:t>Resources</w:t>
      </w:r>
    </w:p>
    <w:p w14:paraId="25C42355" w14:textId="77777777" w:rsidR="00F66F69" w:rsidRDefault="00637775" w:rsidP="006D0D34">
      <w:hyperlink r:id="rId40" w:history="1">
        <w:r w:rsidR="00F66F69" w:rsidRPr="00BC256C">
          <w:rPr>
            <w:rStyle w:val="Hyperlink"/>
          </w:rPr>
          <w:t>MA Responds</w:t>
        </w:r>
      </w:hyperlink>
      <w:r w:rsidR="00BC256C">
        <w:rPr>
          <w:rStyle w:val="FootnoteReference"/>
        </w:rPr>
        <w:footnoteReference w:id="26"/>
      </w:r>
      <w:r w:rsidR="00F66F69">
        <w:t xml:space="preserve"> </w:t>
      </w:r>
    </w:p>
    <w:p w14:paraId="708C3B48" w14:textId="77777777" w:rsidR="006D0D34" w:rsidRPr="00F324C9" w:rsidRDefault="00637775" w:rsidP="006D0D34">
      <w:hyperlink r:id="rId41" w:history="1">
        <w:r w:rsidR="006D0D34" w:rsidRPr="00AD7534">
          <w:rPr>
            <w:rStyle w:val="Hyperlink"/>
          </w:rPr>
          <w:t>Massachusetts Medical Reserve Corps</w:t>
        </w:r>
      </w:hyperlink>
      <w:r w:rsidR="006D0D34" w:rsidRPr="00F324C9">
        <w:rPr>
          <w:rStyle w:val="FootnoteReference"/>
        </w:rPr>
        <w:footnoteReference w:id="27"/>
      </w:r>
    </w:p>
    <w:p w14:paraId="4ECB3D54" w14:textId="77777777" w:rsidR="006D0D34" w:rsidRDefault="00637775" w:rsidP="006D0D34">
      <w:hyperlink r:id="rId42" w:history="1">
        <w:r w:rsidR="006D0D34" w:rsidRPr="00F324C9">
          <w:rPr>
            <w:rStyle w:val="Hyperlink"/>
          </w:rPr>
          <w:t>Community Emergency Response Team</w:t>
        </w:r>
      </w:hyperlink>
      <w:r w:rsidR="006D0D34">
        <w:rPr>
          <w:rStyle w:val="FootnoteReference"/>
        </w:rPr>
        <w:footnoteReference w:id="28"/>
      </w:r>
      <w:r w:rsidR="006D0D34">
        <w:t xml:space="preserve"> (Citizen Corps)</w:t>
      </w:r>
    </w:p>
    <w:p w14:paraId="65FCA93D" w14:textId="77777777" w:rsidR="006D0D34" w:rsidRPr="00DC2BD1" w:rsidRDefault="006D0D34" w:rsidP="006D0D34">
      <w:pPr>
        <w:pStyle w:val="Heading3"/>
        <w:rPr>
          <w:color w:val="002060"/>
        </w:rPr>
      </w:pPr>
      <w:bookmarkStart w:id="97" w:name="_Toc484439925"/>
      <w:bookmarkStart w:id="98" w:name="_Toc11832749"/>
      <w:r w:rsidRPr="00DC2BD1">
        <w:rPr>
          <w:color w:val="002060"/>
        </w:rPr>
        <w:t>Staffing Requirements</w:t>
      </w:r>
      <w:bookmarkEnd w:id="97"/>
      <w:bookmarkEnd w:id="98"/>
    </w:p>
    <w:p w14:paraId="28F56E51" w14:textId="77777777" w:rsidR="006D0D34" w:rsidRDefault="006D0D34" w:rsidP="006D0D34">
      <w:r>
        <w:t xml:space="preserve">Based on the nature of the incident, the EDS Manager should determine which </w:t>
      </w:r>
      <w:r w:rsidR="008F1635">
        <w:t xml:space="preserve">positions </w:t>
      </w:r>
      <w:r>
        <w:t xml:space="preserve">and units are needed and establish a command structure. Based on the size and scope of the incident, the EDS Manager should also determine the number of staff and volunteers needed, the credentials and skills required, and the number and length of staff shifts. This information is used by the </w:t>
      </w:r>
      <w:r w:rsidR="008F1635">
        <w:t>Logistics</w:t>
      </w:r>
      <w:r>
        <w:t xml:space="preserve"> </w:t>
      </w:r>
      <w:r w:rsidR="0045336B">
        <w:t>section</w:t>
      </w:r>
      <w:r w:rsidR="006605E5">
        <w:t xml:space="preserve"> </w:t>
      </w:r>
      <w:r>
        <w:t>to issue notifications to the appropriate partner agencies.</w:t>
      </w:r>
    </w:p>
    <w:p w14:paraId="6A95D524" w14:textId="77777777" w:rsidR="006D0D34" w:rsidRDefault="006D0D34" w:rsidP="006D0D34">
      <w:r>
        <w:rPr>
          <w:b/>
          <w:u w:val="single"/>
        </w:rPr>
        <w:t>Pre-Event Planning</w:t>
      </w:r>
    </w:p>
    <w:p w14:paraId="111EBD5E" w14:textId="77777777" w:rsidR="006D0D34" w:rsidRPr="0052576A" w:rsidRDefault="006D0D34" w:rsidP="006D0D34">
      <w:r>
        <w:t xml:space="preserve">Local health should review recent population estimates and develop an EDS staffing estimate for each unit. Based on federal planning requirements, it is recommended that the staffing estimates be based on the worst-case scenarios. These low-probability staffing estimates can then be scaled down to the higher-probability incidents. Additionally, local planner should consider the impact on </w:t>
      </w:r>
      <w:r>
        <w:lastRenderedPageBreak/>
        <w:t xml:space="preserve">staffing when an extended dispensing campaign is required. Once a staffing estimate is reached, it can be tested using tools like </w:t>
      </w:r>
      <w:hyperlink r:id="rId43" w:history="1">
        <w:r w:rsidRPr="001B4170">
          <w:rPr>
            <w:rStyle w:val="Hyperlink"/>
          </w:rPr>
          <w:t>RealOpt</w:t>
        </w:r>
      </w:hyperlink>
      <w:r w:rsidR="003713AB">
        <w:rPr>
          <w:rStyle w:val="FootnoteReference"/>
          <w:color w:val="0563C1" w:themeColor="hyperlink"/>
          <w:u w:val="single"/>
        </w:rPr>
        <w:footnoteReference w:id="29"/>
      </w:r>
      <w:r>
        <w:t xml:space="preserve"> and used to inform staff and volunteer recruitment.</w:t>
      </w:r>
    </w:p>
    <w:p w14:paraId="63537937" w14:textId="77777777" w:rsidR="006D0D34" w:rsidRPr="00DC2BD1" w:rsidRDefault="006D0D34" w:rsidP="006D0D34">
      <w:pPr>
        <w:pStyle w:val="Heading3"/>
        <w:rPr>
          <w:color w:val="002060"/>
        </w:rPr>
      </w:pPr>
      <w:bookmarkStart w:id="99" w:name="_Toc484439926"/>
      <w:bookmarkStart w:id="100" w:name="_Toc11832750"/>
      <w:r w:rsidRPr="00DC2BD1">
        <w:rPr>
          <w:color w:val="002060"/>
        </w:rPr>
        <w:t>Staff Shift Schedules</w:t>
      </w:r>
      <w:bookmarkEnd w:id="99"/>
      <w:bookmarkEnd w:id="100"/>
    </w:p>
    <w:p w14:paraId="145E2A6B" w14:textId="729A22AA" w:rsidR="006D0D34" w:rsidRDefault="006D0D34" w:rsidP="006D0D34">
      <w:r>
        <w:t>When determining the staff shift schedule, the EDS Manager and</w:t>
      </w:r>
      <w:r w:rsidR="0045336B">
        <w:t xml:space="preserve"> Operations, Planning and </w:t>
      </w:r>
      <w:r w:rsidR="008F1635">
        <w:t xml:space="preserve">Logistics </w:t>
      </w:r>
      <w:r w:rsidR="0045336B">
        <w:t xml:space="preserve">Section Chiefs </w:t>
      </w:r>
      <w:r>
        <w:t>should consider the following:</w:t>
      </w:r>
    </w:p>
    <w:p w14:paraId="7B8E12E0" w14:textId="77777777" w:rsidR="006D0D34" w:rsidRDefault="006D0D34" w:rsidP="000616C8">
      <w:pPr>
        <w:pStyle w:val="ListParagraph"/>
        <w:numPr>
          <w:ilvl w:val="0"/>
          <w:numId w:val="43"/>
        </w:numPr>
      </w:pPr>
      <w:r>
        <w:t xml:space="preserve">Staff supporting EDS set up can be scheduled for a separate shift </w:t>
      </w:r>
      <w:r w:rsidRPr="00117FFC">
        <w:rPr>
          <w:i/>
        </w:rPr>
        <w:t>or</w:t>
      </w:r>
      <w:r>
        <w:t xml:space="preserve"> to overlap with the first shift to allow for additional staffing during the first operational period.</w:t>
      </w:r>
    </w:p>
    <w:p w14:paraId="14770A92" w14:textId="77777777" w:rsidR="006D0D34" w:rsidRDefault="006D0D34" w:rsidP="000616C8">
      <w:pPr>
        <w:pStyle w:val="ListParagraph"/>
        <w:numPr>
          <w:ilvl w:val="0"/>
          <w:numId w:val="43"/>
        </w:numPr>
      </w:pPr>
      <w:r>
        <w:t>Staff may need to arrive at the EDS up to two hours prior to their shift to allow for check-in, assignments, and training (depending on the complexity of the dispensing operation). Returning staff could then arrive one hour (or less) prior to their shift (assuming no significant operational changes).</w:t>
      </w:r>
    </w:p>
    <w:p w14:paraId="35DD4BCC" w14:textId="77777777" w:rsidR="006D0D34" w:rsidRDefault="006D0D34" w:rsidP="000616C8">
      <w:pPr>
        <w:pStyle w:val="ListParagraph"/>
        <w:numPr>
          <w:ilvl w:val="0"/>
          <w:numId w:val="43"/>
        </w:numPr>
      </w:pPr>
      <w:r>
        <w:t>Incoming staff should overlap with current staff to allow for smooth transition of assigned roles and information sharing about the prior operational period.</w:t>
      </w:r>
    </w:p>
    <w:p w14:paraId="05B192E6" w14:textId="77777777" w:rsidR="006D0D34" w:rsidRDefault="006D0D34" w:rsidP="000616C8">
      <w:pPr>
        <w:pStyle w:val="ListParagraph"/>
        <w:numPr>
          <w:ilvl w:val="0"/>
          <w:numId w:val="43"/>
        </w:numPr>
      </w:pPr>
      <w:r>
        <w:t>Outgoing staff should be given time within their shift to sign-out and debrief.</w:t>
      </w:r>
    </w:p>
    <w:p w14:paraId="085D4777" w14:textId="77777777" w:rsidR="006D0D34" w:rsidRDefault="006D0D34" w:rsidP="000616C8">
      <w:pPr>
        <w:pStyle w:val="ListParagraph"/>
        <w:numPr>
          <w:ilvl w:val="0"/>
          <w:numId w:val="43"/>
        </w:numPr>
      </w:pPr>
      <w:r>
        <w:t xml:space="preserve">Staff supporting EDS closure can be scheduled for a separate shift </w:t>
      </w:r>
      <w:r w:rsidRPr="00117FFC">
        <w:rPr>
          <w:i/>
        </w:rPr>
        <w:t>or</w:t>
      </w:r>
      <w:r>
        <w:t xml:space="preserve"> to overlap with the last shift to relieve fatigued staff.</w:t>
      </w:r>
    </w:p>
    <w:p w14:paraId="7D8B65C3" w14:textId="77777777" w:rsidR="006D0D34" w:rsidRDefault="006D0D34" w:rsidP="006D0D34">
      <w:r>
        <w:t>A shift should not be less than 3 hours and not exceed 12 hours. A shorter shift (3 to 6 hours) may be better for vaccination dispensing and more appropriate for volunteers. Other potential benefits of a shorter shift may include:</w:t>
      </w:r>
    </w:p>
    <w:p w14:paraId="67CBD942" w14:textId="77777777" w:rsidR="006D0D34" w:rsidRDefault="006D0D34" w:rsidP="000616C8">
      <w:pPr>
        <w:pStyle w:val="ListParagraph"/>
        <w:numPr>
          <w:ilvl w:val="0"/>
          <w:numId w:val="44"/>
        </w:numPr>
      </w:pPr>
      <w:r>
        <w:t>More staff and volunteers can commit to a shorter shift</w:t>
      </w:r>
    </w:p>
    <w:p w14:paraId="125A96B7" w14:textId="77777777" w:rsidR="006D0D34" w:rsidRDefault="006D0D34" w:rsidP="000616C8">
      <w:pPr>
        <w:pStyle w:val="ListParagraph"/>
        <w:numPr>
          <w:ilvl w:val="0"/>
          <w:numId w:val="44"/>
        </w:numPr>
      </w:pPr>
      <w:r>
        <w:t xml:space="preserve">More staff and volunteers can commit to multiple shifts over time (e.g. </w:t>
      </w:r>
      <w:r w:rsidR="00481E52">
        <w:t xml:space="preserve">sustained </w:t>
      </w:r>
      <w:r>
        <w:t>dispensing campaign)</w:t>
      </w:r>
    </w:p>
    <w:p w14:paraId="3854A6E0" w14:textId="77777777" w:rsidR="006D0D34" w:rsidRDefault="006D0D34" w:rsidP="000616C8">
      <w:pPr>
        <w:pStyle w:val="ListParagraph"/>
        <w:numPr>
          <w:ilvl w:val="0"/>
          <w:numId w:val="44"/>
        </w:numPr>
      </w:pPr>
      <w:r>
        <w:t>Fewer staff breaks are required</w:t>
      </w:r>
    </w:p>
    <w:p w14:paraId="2292A24A" w14:textId="77777777" w:rsidR="006D0D34" w:rsidRDefault="006D0D34" w:rsidP="000616C8">
      <w:pPr>
        <w:pStyle w:val="ListParagraph"/>
        <w:numPr>
          <w:ilvl w:val="0"/>
          <w:numId w:val="44"/>
        </w:numPr>
      </w:pPr>
      <w:r>
        <w:t>Less stressful on staff and volunteers</w:t>
      </w:r>
    </w:p>
    <w:p w14:paraId="6E68AC39" w14:textId="77777777" w:rsidR="006D0D34" w:rsidRDefault="006D0D34" w:rsidP="006D0D34">
      <w:r>
        <w:t>A longer shift (7 to 12 hours) may be better for medication dispensing and more appropriate for first responders and healthcare professionals. Potential benefits of a longer shift may include:</w:t>
      </w:r>
    </w:p>
    <w:p w14:paraId="40A40184" w14:textId="77777777" w:rsidR="006D0D34" w:rsidRDefault="006D0D34" w:rsidP="000616C8">
      <w:pPr>
        <w:pStyle w:val="ListParagraph"/>
        <w:numPr>
          <w:ilvl w:val="0"/>
          <w:numId w:val="45"/>
        </w:numPr>
      </w:pPr>
      <w:r>
        <w:t>Less staff intake and out-processing</w:t>
      </w:r>
    </w:p>
    <w:p w14:paraId="6EDAF3B3" w14:textId="77777777" w:rsidR="006D0D34" w:rsidRDefault="006D0D34" w:rsidP="000616C8">
      <w:pPr>
        <w:pStyle w:val="ListParagraph"/>
        <w:numPr>
          <w:ilvl w:val="0"/>
          <w:numId w:val="45"/>
        </w:numPr>
      </w:pPr>
      <w:r>
        <w:t>Fewer Just-in-Time Trainings</w:t>
      </w:r>
    </w:p>
    <w:p w14:paraId="60C4168E" w14:textId="77777777" w:rsidR="006D0D34" w:rsidRDefault="006D0D34" w:rsidP="000616C8">
      <w:pPr>
        <w:pStyle w:val="ListParagraph"/>
        <w:numPr>
          <w:ilvl w:val="0"/>
          <w:numId w:val="45"/>
        </w:numPr>
      </w:pPr>
      <w:r>
        <w:t>Staff and volunteers are in assigned roles for longer periods</w:t>
      </w:r>
    </w:p>
    <w:p w14:paraId="5DA24197" w14:textId="77777777" w:rsidR="006D0D34" w:rsidRPr="00DC2BD1" w:rsidRDefault="006D0D34" w:rsidP="006D0D34">
      <w:pPr>
        <w:pStyle w:val="Heading3"/>
        <w:rPr>
          <w:color w:val="002060"/>
        </w:rPr>
      </w:pPr>
      <w:bookmarkStart w:id="101" w:name="_Toc484439927"/>
      <w:bookmarkStart w:id="102" w:name="_Toc11832751"/>
      <w:r w:rsidRPr="00DC2BD1">
        <w:rPr>
          <w:color w:val="002060"/>
        </w:rPr>
        <w:t>Staff Notifications &amp; Acknowledgement</w:t>
      </w:r>
      <w:bookmarkEnd w:id="101"/>
      <w:bookmarkEnd w:id="102"/>
    </w:p>
    <w:p w14:paraId="34BB2F4C" w14:textId="77777777" w:rsidR="006D0D34" w:rsidRDefault="00292AA8" w:rsidP="006D0D34">
      <w:r>
        <w:t>Logistics</w:t>
      </w:r>
      <w:r w:rsidR="006D0D34">
        <w:t xml:space="preserve"> should develop a notification message to request that partner agencies mobilize their staff and volunteers for EDS operations. At minimum, the notification message includes information about the:</w:t>
      </w:r>
    </w:p>
    <w:p w14:paraId="0C12509A" w14:textId="77777777" w:rsidR="006D0D34" w:rsidRDefault="006D0D34" w:rsidP="000616C8">
      <w:pPr>
        <w:pStyle w:val="ListParagraph"/>
        <w:numPr>
          <w:ilvl w:val="0"/>
          <w:numId w:val="42"/>
        </w:numPr>
      </w:pPr>
      <w:r>
        <w:t>Nature, size, and scope of the incident</w:t>
      </w:r>
    </w:p>
    <w:p w14:paraId="35AADD31" w14:textId="77777777" w:rsidR="006D0D34" w:rsidRDefault="006D0D34" w:rsidP="000616C8">
      <w:pPr>
        <w:pStyle w:val="ListParagraph"/>
        <w:numPr>
          <w:ilvl w:val="0"/>
          <w:numId w:val="42"/>
        </w:numPr>
      </w:pPr>
      <w:r>
        <w:t>Medical countermeasure to be dispensed</w:t>
      </w:r>
    </w:p>
    <w:p w14:paraId="76F471F2" w14:textId="77777777" w:rsidR="006D0D34" w:rsidRDefault="006D0D34" w:rsidP="000616C8">
      <w:pPr>
        <w:pStyle w:val="ListParagraph"/>
        <w:numPr>
          <w:ilvl w:val="0"/>
          <w:numId w:val="42"/>
        </w:numPr>
      </w:pPr>
      <w:r>
        <w:t>Number and type of staff and volunteers needed</w:t>
      </w:r>
    </w:p>
    <w:p w14:paraId="1AC44641" w14:textId="77777777" w:rsidR="006D0D34" w:rsidRDefault="006D0D34" w:rsidP="000616C8">
      <w:pPr>
        <w:pStyle w:val="ListParagraph"/>
        <w:numPr>
          <w:ilvl w:val="0"/>
          <w:numId w:val="42"/>
        </w:numPr>
      </w:pPr>
      <w:r>
        <w:t>Work conditions, appropriate apparel, anticipated weather</w:t>
      </w:r>
    </w:p>
    <w:p w14:paraId="76C7F078" w14:textId="77777777" w:rsidR="006D0D34" w:rsidRDefault="006D0D34" w:rsidP="000616C8">
      <w:pPr>
        <w:pStyle w:val="ListParagraph"/>
        <w:numPr>
          <w:ilvl w:val="0"/>
          <w:numId w:val="42"/>
        </w:numPr>
      </w:pPr>
      <w:r>
        <w:t>Health, safety, and security issues</w:t>
      </w:r>
    </w:p>
    <w:p w14:paraId="6F612905" w14:textId="77777777" w:rsidR="006D0D34" w:rsidRDefault="006D0D34" w:rsidP="000616C8">
      <w:pPr>
        <w:pStyle w:val="ListParagraph"/>
        <w:numPr>
          <w:ilvl w:val="0"/>
          <w:numId w:val="42"/>
        </w:numPr>
      </w:pPr>
      <w:r>
        <w:t>Immunization requirements (if any) and prophylaxis (if recommended)</w:t>
      </w:r>
    </w:p>
    <w:p w14:paraId="7D6FA7B6" w14:textId="77777777" w:rsidR="006D0D34" w:rsidRDefault="006D0D34" w:rsidP="000616C8">
      <w:pPr>
        <w:pStyle w:val="ListParagraph"/>
        <w:numPr>
          <w:ilvl w:val="0"/>
          <w:numId w:val="42"/>
        </w:numPr>
      </w:pPr>
      <w:r>
        <w:lastRenderedPageBreak/>
        <w:t>Shift registration process, reporting location and time, and personal identification requirements</w:t>
      </w:r>
    </w:p>
    <w:p w14:paraId="3F81FDE8" w14:textId="77777777" w:rsidR="006D0D34" w:rsidRDefault="006D0D34" w:rsidP="000616C8">
      <w:pPr>
        <w:pStyle w:val="ListParagraph"/>
        <w:numPr>
          <w:ilvl w:val="0"/>
          <w:numId w:val="42"/>
        </w:numPr>
      </w:pPr>
      <w:r>
        <w:t>Request to acknowledge receipt of the notification and ability to respond</w:t>
      </w:r>
    </w:p>
    <w:p w14:paraId="78F692CE" w14:textId="77777777" w:rsidR="006D0D34" w:rsidRDefault="006D0D34" w:rsidP="006D0D34">
      <w:r>
        <w:t xml:space="preserve">Each partner agency then uses its notification systems to point available staff and volunteers to the EDS </w:t>
      </w:r>
      <w:r w:rsidRPr="00883541">
        <w:t>staff registration system</w:t>
      </w:r>
      <w:r>
        <w:t>. Partner agencies that have not acknowledged the notification within 60 minutes should be contacted using a redundant communication method.</w:t>
      </w:r>
    </w:p>
    <w:p w14:paraId="266AEDC3" w14:textId="77777777" w:rsidR="006D0D34" w:rsidRDefault="006D0D34" w:rsidP="006D0D34">
      <w:r>
        <w:rPr>
          <w:b/>
          <w:u w:val="single"/>
        </w:rPr>
        <w:t>Pre-Event Planning</w:t>
      </w:r>
    </w:p>
    <w:p w14:paraId="6F300E4E" w14:textId="77777777" w:rsidR="006D0D34" w:rsidRPr="004A59D7" w:rsidRDefault="006D0D34" w:rsidP="006D0D34">
      <w:r>
        <w:t>Local health should identify primary and back-up methods for notifying partner agencies of the EDS activation and registering staff and volunteers for shifts. Depending on the local staff and volunteer resources, the system may notify staff and volunteers directly (e.g. MA Responds) or the system notifies an agency contact who then notifies their staff and volunteers. When planning for a redundant system, local health should consider contingency methods for when power, phone, and Internet are not available. Staff and volunteer notification systems should be tested and contact information updated quarterly.</w:t>
      </w:r>
    </w:p>
    <w:p w14:paraId="21A1B695" w14:textId="77777777" w:rsidR="006D0D34" w:rsidRPr="00DC2BD1" w:rsidRDefault="006D0D34" w:rsidP="006D0D34">
      <w:pPr>
        <w:pStyle w:val="Heading3"/>
        <w:rPr>
          <w:color w:val="002060"/>
        </w:rPr>
      </w:pPr>
      <w:bookmarkStart w:id="103" w:name="_Toc484439928"/>
      <w:bookmarkStart w:id="104" w:name="_Toc11832752"/>
      <w:r w:rsidRPr="00DC2BD1">
        <w:rPr>
          <w:color w:val="002060"/>
        </w:rPr>
        <w:t>Staff Registration, Rosters, Credentialing, Assignments &amp; Confirmation</w:t>
      </w:r>
      <w:bookmarkEnd w:id="103"/>
      <w:bookmarkEnd w:id="104"/>
    </w:p>
    <w:p w14:paraId="53E62980" w14:textId="77777777" w:rsidR="006D0D34" w:rsidRDefault="0045336B" w:rsidP="006D0D34">
      <w:r>
        <w:t xml:space="preserve"> Planning and </w:t>
      </w:r>
      <w:r w:rsidR="00F66F69">
        <w:t>Logistics</w:t>
      </w:r>
      <w:r w:rsidR="006D0D34">
        <w:t xml:space="preserve"> should establish a process for registering staff and volunteers for shifts and determine the minimum information to be collected, including:</w:t>
      </w:r>
    </w:p>
    <w:p w14:paraId="3FD2F641" w14:textId="77777777" w:rsidR="006D0D34" w:rsidRDefault="006D0D34" w:rsidP="000616C8">
      <w:pPr>
        <w:pStyle w:val="ListParagraph"/>
        <w:numPr>
          <w:ilvl w:val="0"/>
          <w:numId w:val="46"/>
        </w:numPr>
      </w:pPr>
      <w:r>
        <w:t>Licensure, credentia</w:t>
      </w:r>
      <w:r w:rsidR="00D728CC">
        <w:t>ls, and skills (e.g. a</w:t>
      </w:r>
      <w:r>
        <w:t>re they authorized to dispense?)</w:t>
      </w:r>
    </w:p>
    <w:p w14:paraId="1B3E04E4" w14:textId="77777777" w:rsidR="006D0D34" w:rsidRDefault="006D0D34" w:rsidP="000616C8">
      <w:pPr>
        <w:pStyle w:val="ListParagraph"/>
        <w:numPr>
          <w:ilvl w:val="0"/>
          <w:numId w:val="46"/>
        </w:numPr>
      </w:pPr>
      <w:r>
        <w:t>Agency or organization affiliation</w:t>
      </w:r>
    </w:p>
    <w:p w14:paraId="354E5A2C" w14:textId="77777777" w:rsidR="006D0D34" w:rsidRDefault="006D0D34" w:rsidP="000616C8">
      <w:pPr>
        <w:pStyle w:val="ListParagraph"/>
        <w:numPr>
          <w:ilvl w:val="0"/>
          <w:numId w:val="46"/>
        </w:numPr>
      </w:pPr>
      <w:r>
        <w:t>Preferred site (if multiple EDS are activated)</w:t>
      </w:r>
    </w:p>
    <w:p w14:paraId="19E61E6E" w14:textId="77777777" w:rsidR="006D0D34" w:rsidRDefault="006D0D34" w:rsidP="000616C8">
      <w:pPr>
        <w:pStyle w:val="ListParagraph"/>
        <w:numPr>
          <w:ilvl w:val="0"/>
          <w:numId w:val="46"/>
        </w:numPr>
      </w:pPr>
      <w:r>
        <w:t>Shift availability (including multiple shifts)</w:t>
      </w:r>
    </w:p>
    <w:p w14:paraId="2C2A30A3" w14:textId="77777777" w:rsidR="006D0D34" w:rsidRDefault="006D0D34" w:rsidP="000616C8">
      <w:pPr>
        <w:pStyle w:val="ListParagraph"/>
        <w:numPr>
          <w:ilvl w:val="0"/>
          <w:numId w:val="46"/>
        </w:numPr>
      </w:pPr>
      <w:r>
        <w:t>Email, address, and cell phone</w:t>
      </w:r>
    </w:p>
    <w:p w14:paraId="6998AC69" w14:textId="77777777" w:rsidR="006D0D34" w:rsidRDefault="006D0D34" w:rsidP="000616C8">
      <w:pPr>
        <w:pStyle w:val="ListParagraph"/>
        <w:numPr>
          <w:ilvl w:val="0"/>
          <w:numId w:val="46"/>
        </w:numPr>
      </w:pPr>
      <w:r>
        <w:t>Potential role or interest</w:t>
      </w:r>
    </w:p>
    <w:p w14:paraId="211B3820" w14:textId="77777777" w:rsidR="006D0D34" w:rsidRDefault="006D0D34" w:rsidP="000616C8">
      <w:pPr>
        <w:pStyle w:val="ListParagraph"/>
        <w:numPr>
          <w:ilvl w:val="0"/>
          <w:numId w:val="46"/>
        </w:numPr>
      </w:pPr>
      <w:r>
        <w:t>Languages spoken</w:t>
      </w:r>
    </w:p>
    <w:p w14:paraId="2C44E065" w14:textId="77777777" w:rsidR="006D0D34" w:rsidRDefault="006D0D34" w:rsidP="000616C8">
      <w:pPr>
        <w:pStyle w:val="ListParagraph"/>
        <w:numPr>
          <w:ilvl w:val="0"/>
          <w:numId w:val="46"/>
        </w:numPr>
      </w:pPr>
      <w:r>
        <w:t>Allergies (food, latex, etc.)</w:t>
      </w:r>
    </w:p>
    <w:p w14:paraId="69614214" w14:textId="77777777" w:rsidR="006D0D34" w:rsidRDefault="006D0D34" w:rsidP="000616C8">
      <w:pPr>
        <w:pStyle w:val="ListParagraph"/>
        <w:numPr>
          <w:ilvl w:val="0"/>
          <w:numId w:val="46"/>
        </w:numPr>
      </w:pPr>
      <w:r>
        <w:t>Emergency contact</w:t>
      </w:r>
    </w:p>
    <w:p w14:paraId="5330ECBB" w14:textId="77777777" w:rsidR="006D0D34" w:rsidRDefault="006D0D34" w:rsidP="000616C8">
      <w:pPr>
        <w:pStyle w:val="ListParagraph"/>
        <w:numPr>
          <w:ilvl w:val="0"/>
          <w:numId w:val="46"/>
        </w:numPr>
      </w:pPr>
      <w:r>
        <w:t>Access and functional needs</w:t>
      </w:r>
    </w:p>
    <w:p w14:paraId="16F69841" w14:textId="77777777" w:rsidR="006D0D34" w:rsidRDefault="0045336B" w:rsidP="006D0D34">
      <w:r>
        <w:t>Planning</w:t>
      </w:r>
      <w:r w:rsidR="006D0D34">
        <w:t xml:space="preserve"> then uses staff and volunteer registrations to develop a staff roster for each shift. The Resources Unit</w:t>
      </w:r>
      <w:r>
        <w:t>, within Planning</w:t>
      </w:r>
      <w:r w:rsidR="006D0D34">
        <w:t xml:space="preserve"> should verify staff and volunteer credentials by requesting a copy of their license or certification prior to assigning them to specific EDS</w:t>
      </w:r>
      <w:r w:rsidR="006605E5">
        <w:t xml:space="preserve"> </w:t>
      </w:r>
      <w:r w:rsidR="006D0D34">
        <w:t xml:space="preserve">roles. Once assignments are finalized, confirmation </w:t>
      </w:r>
      <w:r w:rsidR="00292AA8">
        <w:t xml:space="preserve">should be sent </w:t>
      </w:r>
      <w:r w:rsidR="006D0D34">
        <w:t>to the registered staff and volunteers with any further reporting instructions and their assignment.</w:t>
      </w:r>
    </w:p>
    <w:p w14:paraId="0D3BB2AF" w14:textId="77777777" w:rsidR="006D0D34" w:rsidRDefault="006D0D34" w:rsidP="006D0D34">
      <w:r>
        <w:rPr>
          <w:b/>
          <w:u w:val="single"/>
        </w:rPr>
        <w:t>Pre-Event Planning</w:t>
      </w:r>
    </w:p>
    <w:p w14:paraId="46429879" w14:textId="77777777" w:rsidR="006D0D34" w:rsidRPr="00290C39" w:rsidRDefault="006D0D34" w:rsidP="006D0D34">
      <w:r>
        <w:t>Local health should promote volunteer registration with existing MRC units and CERT through MA Responds to ensure advanced verification of credentials.</w:t>
      </w:r>
    </w:p>
    <w:p w14:paraId="03E03CF1" w14:textId="77777777" w:rsidR="006D0D34" w:rsidRPr="00DC2BD1" w:rsidRDefault="006D0D34" w:rsidP="006D0D34">
      <w:pPr>
        <w:pStyle w:val="Heading3"/>
        <w:rPr>
          <w:color w:val="002060"/>
        </w:rPr>
      </w:pPr>
      <w:bookmarkStart w:id="105" w:name="_Toc484439929"/>
      <w:bookmarkStart w:id="106" w:name="_Toc11832753"/>
      <w:r w:rsidRPr="00DC2BD1">
        <w:rPr>
          <w:color w:val="002060"/>
        </w:rPr>
        <w:t>Additional Staff Requests</w:t>
      </w:r>
      <w:bookmarkEnd w:id="105"/>
      <w:bookmarkEnd w:id="106"/>
    </w:p>
    <w:p w14:paraId="4C8E9B01" w14:textId="77777777" w:rsidR="006D0D34" w:rsidRDefault="006D0D34" w:rsidP="006D0D34">
      <w:r>
        <w:t xml:space="preserve">If local staffing is insufficient, the EDS Manager should request additional staff and volunteers through the </w:t>
      </w:r>
      <w:r w:rsidR="007B752B">
        <w:t xml:space="preserve">ESF-8 desk at the </w:t>
      </w:r>
      <w:r>
        <w:t xml:space="preserve">SEOC (if activated) or the MDPH Duty Officer. Requests for additional staff and volunteers, including requests for additional volunteers through MA Responds and federal response teams, should be entered and tracked in the MDPH </w:t>
      </w:r>
      <w:r w:rsidRPr="009577FC">
        <w:t>WebEOC</w:t>
      </w:r>
      <w:r>
        <w:t>. When requesting additional staff, the EDS Manager should provide information on the number of staff needed, licensure or skills required, and the shifts needed.</w:t>
      </w:r>
    </w:p>
    <w:p w14:paraId="15DD4AB6" w14:textId="77777777" w:rsidR="00292AA8" w:rsidRDefault="00292AA8" w:rsidP="006D0D34"/>
    <w:p w14:paraId="6587D752" w14:textId="77777777" w:rsidR="00292AA8" w:rsidRPr="00292AA8" w:rsidRDefault="00292AA8" w:rsidP="006D0D34">
      <w:pPr>
        <w:rPr>
          <w:b/>
        </w:rPr>
      </w:pPr>
      <w:r w:rsidRPr="00292AA8">
        <w:rPr>
          <w:b/>
        </w:rPr>
        <w:t>Resources</w:t>
      </w:r>
    </w:p>
    <w:p w14:paraId="275C4F44" w14:textId="1E30CCB2" w:rsidR="00292AA8" w:rsidRPr="009577FC" w:rsidRDefault="00637775" w:rsidP="006D0D34">
      <w:hyperlink w:anchor="Volunteer_Requests" w:history="1">
        <w:r w:rsidR="00292AA8" w:rsidRPr="00D12E32">
          <w:rPr>
            <w:rStyle w:val="Hyperlink"/>
          </w:rPr>
          <w:t>Process for Volunteer Requests during a Cross-Jurisdictional Event</w:t>
        </w:r>
      </w:hyperlink>
      <w:r w:rsidR="00D915B2">
        <w:t xml:space="preserve"> </w:t>
      </w:r>
    </w:p>
    <w:p w14:paraId="1B599B74" w14:textId="77777777" w:rsidR="006D0D34" w:rsidRPr="00DC2BD1" w:rsidRDefault="006D0D34" w:rsidP="006D0D34">
      <w:pPr>
        <w:pStyle w:val="Heading3"/>
        <w:rPr>
          <w:color w:val="002060"/>
        </w:rPr>
      </w:pPr>
      <w:bookmarkStart w:id="107" w:name="_Toc484439930"/>
      <w:bookmarkStart w:id="108" w:name="_Toc11832754"/>
      <w:r w:rsidRPr="00DC2BD1">
        <w:rPr>
          <w:color w:val="002060"/>
        </w:rPr>
        <w:t>Staff Assembly &amp; Identification</w:t>
      </w:r>
      <w:bookmarkEnd w:id="107"/>
      <w:bookmarkEnd w:id="108"/>
    </w:p>
    <w:p w14:paraId="57AD6A03" w14:textId="77777777" w:rsidR="006D0D34" w:rsidRDefault="006D0D34" w:rsidP="006D0D34">
      <w:r w:rsidRPr="00021040">
        <w:t>Staff</w:t>
      </w:r>
      <w:r>
        <w:t xml:space="preserve"> and volunteers will either assemble at an offsite staging area or at an intake area within the EDS. A staff staging area can be used in situations where parking at the site is limited or to enhance security. If a staff staging area is needed, the </w:t>
      </w:r>
      <w:r w:rsidR="00F66F69">
        <w:t>Logistics section</w:t>
      </w:r>
      <w:r>
        <w:t xml:space="preserve"> should announce the location when sending confirmation to registered staff and volunteers and arrange for transportation and security escort (if needed) to the EDS. Otherwise, a staff intake area is used to receive and process registered staff and volunteers who are deployed to the EDS. </w:t>
      </w:r>
      <w:r w:rsidRPr="00021040">
        <w:t>To assemble staff</w:t>
      </w:r>
      <w:r>
        <w:t xml:space="preserve"> and volunteers</w:t>
      </w:r>
      <w:r w:rsidRPr="00021040">
        <w:t>, the following should occur:</w:t>
      </w:r>
    </w:p>
    <w:p w14:paraId="32C8C9C3" w14:textId="77777777" w:rsidR="006D0D34" w:rsidRDefault="006D0D34" w:rsidP="000616C8">
      <w:pPr>
        <w:pStyle w:val="ListParagraph"/>
        <w:numPr>
          <w:ilvl w:val="0"/>
          <w:numId w:val="47"/>
        </w:numPr>
      </w:pPr>
      <w:r w:rsidRPr="00021040">
        <w:t xml:space="preserve">Establish </w:t>
      </w:r>
      <w:r>
        <w:t>a</w:t>
      </w:r>
      <w:r w:rsidRPr="00021040">
        <w:t xml:space="preserve"> check-in process and procedures</w:t>
      </w:r>
    </w:p>
    <w:p w14:paraId="5BF0FB0E" w14:textId="77777777" w:rsidR="006D0D34" w:rsidRDefault="006D0D34" w:rsidP="000616C8">
      <w:pPr>
        <w:pStyle w:val="ListParagraph"/>
        <w:numPr>
          <w:ilvl w:val="0"/>
          <w:numId w:val="47"/>
        </w:numPr>
      </w:pPr>
      <w:r w:rsidRPr="00021040">
        <w:t>Assign staff to</w:t>
      </w:r>
      <w:r>
        <w:t xml:space="preserve"> manage intake (Staff Resources Unit)</w:t>
      </w:r>
    </w:p>
    <w:p w14:paraId="46DC3149" w14:textId="77777777" w:rsidR="006D0D34" w:rsidRDefault="006D0D34" w:rsidP="000616C8">
      <w:pPr>
        <w:pStyle w:val="ListParagraph"/>
        <w:numPr>
          <w:ilvl w:val="0"/>
          <w:numId w:val="47"/>
        </w:numPr>
      </w:pPr>
      <w:r w:rsidRPr="00021040">
        <w:t>Prepare all required check-in forms and documentation</w:t>
      </w:r>
    </w:p>
    <w:p w14:paraId="085B9843" w14:textId="77777777" w:rsidR="006D0D34" w:rsidRDefault="006D0D34" w:rsidP="000616C8">
      <w:pPr>
        <w:pStyle w:val="ListParagraph"/>
        <w:numPr>
          <w:ilvl w:val="0"/>
          <w:numId w:val="47"/>
        </w:numPr>
      </w:pPr>
      <w:r w:rsidRPr="00021040">
        <w:t>Set up staff staging or intake area</w:t>
      </w:r>
    </w:p>
    <w:p w14:paraId="3CECF48B" w14:textId="77777777" w:rsidR="006D0D34" w:rsidRDefault="006D0D34" w:rsidP="000616C8">
      <w:pPr>
        <w:pStyle w:val="ListParagraph"/>
        <w:numPr>
          <w:ilvl w:val="0"/>
          <w:numId w:val="47"/>
        </w:numPr>
      </w:pPr>
      <w:r w:rsidRPr="00021040">
        <w:t>Post signage directing staff to the staging or intake area</w:t>
      </w:r>
    </w:p>
    <w:p w14:paraId="696E46CB" w14:textId="77777777" w:rsidR="006D0D34" w:rsidRDefault="006D0D34" w:rsidP="000616C8">
      <w:pPr>
        <w:pStyle w:val="ListParagraph"/>
        <w:numPr>
          <w:ilvl w:val="0"/>
          <w:numId w:val="47"/>
        </w:numPr>
      </w:pPr>
      <w:r>
        <w:t>Sign-in staff and volunteers and confirm emergency contact</w:t>
      </w:r>
    </w:p>
    <w:p w14:paraId="469ED2D5" w14:textId="77777777" w:rsidR="006D0D34" w:rsidRDefault="006D0D34" w:rsidP="000616C8">
      <w:pPr>
        <w:pStyle w:val="ListParagraph"/>
        <w:numPr>
          <w:ilvl w:val="0"/>
          <w:numId w:val="47"/>
        </w:numPr>
      </w:pPr>
      <w:r>
        <w:t>Review required photo identification and copy of licensure or certification</w:t>
      </w:r>
    </w:p>
    <w:p w14:paraId="560AFD3C" w14:textId="77777777" w:rsidR="006D0D34" w:rsidRDefault="006D0D34" w:rsidP="000616C8">
      <w:pPr>
        <w:pStyle w:val="ListParagraph"/>
        <w:numPr>
          <w:ilvl w:val="0"/>
          <w:numId w:val="47"/>
        </w:numPr>
      </w:pPr>
      <w:r>
        <w:t>Review staff assignments and confirm qualifications and comfort with role</w:t>
      </w:r>
    </w:p>
    <w:p w14:paraId="7EA1C80D" w14:textId="77777777" w:rsidR="006D0D34" w:rsidRDefault="006D0D34" w:rsidP="000616C8">
      <w:pPr>
        <w:pStyle w:val="ListParagraph"/>
        <w:numPr>
          <w:ilvl w:val="0"/>
          <w:numId w:val="47"/>
        </w:numPr>
      </w:pPr>
      <w:r>
        <w:t>Distribute site and role-specific identification (vests, badges, etc.)</w:t>
      </w:r>
    </w:p>
    <w:p w14:paraId="1F849216" w14:textId="77777777" w:rsidR="006D0D34" w:rsidRDefault="006D0D34" w:rsidP="000616C8">
      <w:pPr>
        <w:pStyle w:val="ListParagraph"/>
        <w:numPr>
          <w:ilvl w:val="0"/>
          <w:numId w:val="47"/>
        </w:numPr>
      </w:pPr>
      <w:r>
        <w:t>Report “no shows” to address potential staff shortages</w:t>
      </w:r>
    </w:p>
    <w:p w14:paraId="3BE5171B" w14:textId="77777777" w:rsidR="006D0D34" w:rsidRDefault="006D0D34" w:rsidP="006D0D34">
      <w:r>
        <w:t>S</w:t>
      </w:r>
      <w:r w:rsidRPr="002035CD">
        <w:t>taff and volunteers</w:t>
      </w:r>
      <w:r>
        <w:t xml:space="preserve"> working in the EDS should wear vests that indicate their assigned role and position. Typically, the vests are color coded to indicate roles (e.g. command, </w:t>
      </w:r>
      <w:r w:rsidR="007B752B">
        <w:t>operations</w:t>
      </w:r>
      <w:r>
        <w:t>, etc.). Position titles are worn on the vest along with a badge that includes the individual’s name, agency name, credentials, site name, and site access restrictions (when applicable). Alternatively, staff and volunteers may display the badges issued by their agency or organization. Further, staff and volunteers who speak languages in addition to English should be identified by an interpreter badge (e.g. I Speak Spanish, Sign Language Interpreter, etc.).</w:t>
      </w:r>
    </w:p>
    <w:p w14:paraId="5EB43ABA" w14:textId="77777777" w:rsidR="006D0D34" w:rsidRPr="00DC2BD1" w:rsidRDefault="006D0D34" w:rsidP="006D0D34">
      <w:pPr>
        <w:pStyle w:val="Heading3"/>
        <w:rPr>
          <w:color w:val="002060"/>
        </w:rPr>
      </w:pPr>
      <w:bookmarkStart w:id="109" w:name="_Toc484439931"/>
      <w:bookmarkStart w:id="110" w:name="_Toc11832755"/>
      <w:r w:rsidRPr="00DC2BD1">
        <w:rPr>
          <w:color w:val="002060"/>
        </w:rPr>
        <w:t>Spontaneous Volunteers</w:t>
      </w:r>
      <w:bookmarkEnd w:id="109"/>
      <w:bookmarkEnd w:id="110"/>
    </w:p>
    <w:p w14:paraId="433DDC32" w14:textId="77777777" w:rsidR="006D0D34" w:rsidRPr="003B4AE3" w:rsidRDefault="006D0D34" w:rsidP="006D0D34">
      <w:r>
        <w:t>Individuals who report to a staff staging or intake area and are not registered staff and volunteers should be directed to the Staff Resources Unit as a spontaneous volunteer. The Staff Resources Unit can either refer the spontaneous volunteer to a volunteer organization or determine their skillset and register them to work at the EDS with a restricted access and role that does not require professional license verification. These restrictions should be noted on their site-specific badge. The MDPH does not recommend utilizing spontaneous volunteers.</w:t>
      </w:r>
    </w:p>
    <w:p w14:paraId="37352FD9" w14:textId="77777777" w:rsidR="006D0D34" w:rsidRPr="00DC2BD1" w:rsidRDefault="006D0D34" w:rsidP="006D0D34">
      <w:pPr>
        <w:pStyle w:val="Heading3"/>
        <w:rPr>
          <w:color w:val="002060"/>
        </w:rPr>
      </w:pPr>
      <w:bookmarkStart w:id="111" w:name="_Toc484439932"/>
      <w:bookmarkStart w:id="112" w:name="_Toc11832756"/>
      <w:r w:rsidRPr="00DC2BD1">
        <w:rPr>
          <w:color w:val="002060"/>
        </w:rPr>
        <w:t>Operations Briefing &amp; Training</w:t>
      </w:r>
      <w:bookmarkEnd w:id="111"/>
      <w:bookmarkEnd w:id="112"/>
    </w:p>
    <w:p w14:paraId="0E796ED4" w14:textId="77777777" w:rsidR="006D0D34" w:rsidRDefault="006D0D34" w:rsidP="006D0D34">
      <w:r>
        <w:t>T</w:t>
      </w:r>
      <w:r w:rsidRPr="00F13A58">
        <w:t>he</w:t>
      </w:r>
      <w:r w:rsidR="00F66F69">
        <w:t xml:space="preserve"> Operations section </w:t>
      </w:r>
      <w:r>
        <w:t>should</w:t>
      </w:r>
      <w:r w:rsidRPr="00F13A58">
        <w:t xml:space="preserve"> </w:t>
      </w:r>
      <w:r>
        <w:t xml:space="preserve">coordinate with pertinent subject matter experts to develop </w:t>
      </w:r>
      <w:r w:rsidRPr="00F13A58">
        <w:t xml:space="preserve">Just-in-Time Training (JITT) </w:t>
      </w:r>
      <w:r>
        <w:t xml:space="preserve">resources or revise an </w:t>
      </w:r>
      <w:r w:rsidRPr="00F13A58">
        <w:t>existing</w:t>
      </w:r>
      <w:r>
        <w:t xml:space="preserve"> JITT</w:t>
      </w:r>
      <w:r w:rsidRPr="00732F9B">
        <w:t xml:space="preserve">. The </w:t>
      </w:r>
      <w:r>
        <w:t xml:space="preserve">purpose of the </w:t>
      </w:r>
      <w:r w:rsidRPr="00732F9B">
        <w:t xml:space="preserve">JITT </w:t>
      </w:r>
      <w:r>
        <w:t>is to provide</w:t>
      </w:r>
      <w:r w:rsidRPr="00732F9B">
        <w:t xml:space="preserve"> staff and volunteers with the required knowledge and skills </w:t>
      </w:r>
      <w:r>
        <w:t>to</w:t>
      </w:r>
      <w:r w:rsidRPr="00732F9B">
        <w:t xml:space="preserve"> implement their assigned </w:t>
      </w:r>
      <w:r>
        <w:t xml:space="preserve">EDS </w:t>
      </w:r>
      <w:r w:rsidRPr="00732F9B">
        <w:t>roles.</w:t>
      </w:r>
      <w:r>
        <w:t xml:space="preserve"> The EDS Manager and members of the command and general staff should brief staff and volunteers and conduct the JITT </w:t>
      </w:r>
      <w:r w:rsidRPr="00F13A58">
        <w:t xml:space="preserve">for each incoming shift. Returning staff and volunteers </w:t>
      </w:r>
      <w:r>
        <w:t xml:space="preserve">should </w:t>
      </w:r>
      <w:r w:rsidRPr="00F13A58">
        <w:t xml:space="preserve">only require </w:t>
      </w:r>
      <w:r w:rsidRPr="00F13A58">
        <w:lastRenderedPageBreak/>
        <w:t>retraining if operational changes have been implemented</w:t>
      </w:r>
      <w:r>
        <w:t xml:space="preserve"> between shifts</w:t>
      </w:r>
      <w:r w:rsidRPr="00F13A58">
        <w:t>.</w:t>
      </w:r>
      <w:r>
        <w:t xml:space="preserve"> The staff briefing should include all pertinent information that will support the MCM dispensing operations and provide for the health and safety of staff, volunteers, and clients. The staff briefing should include the following:</w:t>
      </w:r>
    </w:p>
    <w:p w14:paraId="639D6A12" w14:textId="77777777" w:rsidR="006D0D34" w:rsidRDefault="006D0D34" w:rsidP="000616C8">
      <w:pPr>
        <w:pStyle w:val="ListParagraph"/>
        <w:numPr>
          <w:ilvl w:val="0"/>
          <w:numId w:val="48"/>
        </w:numPr>
      </w:pPr>
      <w:r>
        <w:t>Current emergency conditions, response objectives, and response actions</w:t>
      </w:r>
    </w:p>
    <w:p w14:paraId="28FB1114" w14:textId="77777777" w:rsidR="006D0D34" w:rsidRDefault="006D0D34" w:rsidP="000616C8">
      <w:pPr>
        <w:pStyle w:val="ListParagraph"/>
        <w:numPr>
          <w:ilvl w:val="0"/>
          <w:numId w:val="48"/>
        </w:numPr>
      </w:pPr>
      <w:r>
        <w:t>Available medical countermeasures and the process for receiving services</w:t>
      </w:r>
    </w:p>
    <w:p w14:paraId="42CAEC41" w14:textId="77777777" w:rsidR="006D0D34" w:rsidRDefault="006D0D34" w:rsidP="000616C8">
      <w:pPr>
        <w:pStyle w:val="ListParagraph"/>
        <w:numPr>
          <w:ilvl w:val="0"/>
          <w:numId w:val="48"/>
        </w:numPr>
      </w:pPr>
      <w:r>
        <w:t>Incident Command and reporting structure</w:t>
      </w:r>
    </w:p>
    <w:p w14:paraId="7DD65818" w14:textId="77777777" w:rsidR="006D0D34" w:rsidRDefault="006D0D34" w:rsidP="000616C8">
      <w:pPr>
        <w:pStyle w:val="ListParagraph"/>
        <w:numPr>
          <w:ilvl w:val="0"/>
          <w:numId w:val="48"/>
        </w:numPr>
      </w:pPr>
      <w:r>
        <w:t>Staff and volunteer roles, including who is authorized to dispense</w:t>
      </w:r>
    </w:p>
    <w:p w14:paraId="22FE92CC" w14:textId="77777777" w:rsidR="006D0D34" w:rsidRDefault="006D0D34" w:rsidP="000616C8">
      <w:pPr>
        <w:pStyle w:val="ListParagraph"/>
        <w:numPr>
          <w:ilvl w:val="0"/>
          <w:numId w:val="48"/>
        </w:numPr>
      </w:pPr>
      <w:r>
        <w:t>Expected code of conduct while working in the EDS</w:t>
      </w:r>
    </w:p>
    <w:p w14:paraId="1B525C2D" w14:textId="77777777" w:rsidR="006D0D34" w:rsidRDefault="006D0D34" w:rsidP="000616C8">
      <w:pPr>
        <w:pStyle w:val="ListParagraph"/>
        <w:numPr>
          <w:ilvl w:val="0"/>
          <w:numId w:val="48"/>
        </w:numPr>
      </w:pPr>
      <w:r>
        <w:t>Security instructions</w:t>
      </w:r>
    </w:p>
    <w:p w14:paraId="41A6E970" w14:textId="77777777" w:rsidR="006D0D34" w:rsidRDefault="006D0D34" w:rsidP="000616C8">
      <w:pPr>
        <w:pStyle w:val="ListParagraph"/>
        <w:numPr>
          <w:ilvl w:val="0"/>
          <w:numId w:val="48"/>
        </w:numPr>
      </w:pPr>
      <w:r>
        <w:t>Health and safety instructions (e.g. how to report safety issues, location of first-aid)</w:t>
      </w:r>
    </w:p>
    <w:p w14:paraId="3B564547" w14:textId="77777777" w:rsidR="006D0D34" w:rsidRDefault="006D0D34" w:rsidP="000616C8">
      <w:pPr>
        <w:pStyle w:val="ListParagraph"/>
        <w:numPr>
          <w:ilvl w:val="0"/>
          <w:numId w:val="48"/>
        </w:numPr>
      </w:pPr>
      <w:r>
        <w:t>Available staff services (e.g. food services, resting area, behavioral health support)</w:t>
      </w:r>
    </w:p>
    <w:p w14:paraId="77AC9B97" w14:textId="77777777" w:rsidR="006D0D34" w:rsidRDefault="006D0D34" w:rsidP="000616C8">
      <w:pPr>
        <w:pStyle w:val="ListParagraph"/>
        <w:numPr>
          <w:ilvl w:val="0"/>
          <w:numId w:val="48"/>
        </w:numPr>
      </w:pPr>
      <w:r>
        <w:t>Personal Protective Equipment (PPE)</w:t>
      </w:r>
    </w:p>
    <w:p w14:paraId="33D9F827" w14:textId="77777777" w:rsidR="006D0D34" w:rsidRDefault="006D0D34" w:rsidP="000616C8">
      <w:pPr>
        <w:pStyle w:val="ListParagraph"/>
        <w:numPr>
          <w:ilvl w:val="0"/>
          <w:numId w:val="48"/>
        </w:numPr>
      </w:pPr>
      <w:r>
        <w:t>Liability issues and protections</w:t>
      </w:r>
    </w:p>
    <w:p w14:paraId="4C11B33A" w14:textId="77777777" w:rsidR="006D0D34" w:rsidRDefault="006D0D34" w:rsidP="000616C8">
      <w:pPr>
        <w:pStyle w:val="ListParagraph"/>
        <w:numPr>
          <w:ilvl w:val="0"/>
          <w:numId w:val="48"/>
        </w:numPr>
      </w:pPr>
      <w:r>
        <w:t>Media policy (e.g. refer all media to the EDS PIO)</w:t>
      </w:r>
    </w:p>
    <w:p w14:paraId="5E15A7B6" w14:textId="77777777" w:rsidR="006D0D34" w:rsidRDefault="006D0D34" w:rsidP="000616C8">
      <w:pPr>
        <w:pStyle w:val="ListParagraph"/>
        <w:numPr>
          <w:ilvl w:val="0"/>
          <w:numId w:val="48"/>
        </w:numPr>
      </w:pPr>
      <w:r>
        <w:t>Site walk-through</w:t>
      </w:r>
    </w:p>
    <w:p w14:paraId="7FCFE3AE" w14:textId="77777777" w:rsidR="006D0D34" w:rsidRPr="00D8589C" w:rsidRDefault="006D0D34" w:rsidP="006D0D34">
      <w:r>
        <w:t xml:space="preserve">Following the operational briefing, each Unit Leader should review the Unit JAS with their assigned staff and volunteers and conduct a training on unit-specific responsibilities, procedures, and protocols (e.g. screening, dispensing, etc.). Ideally, staff and volunteers should be cross trained to at least one additional role to provide the flexibility to move staff and cover breaks. </w:t>
      </w:r>
    </w:p>
    <w:p w14:paraId="655E7FFF" w14:textId="77777777" w:rsidR="006D0D34" w:rsidRPr="00DC2BD1" w:rsidRDefault="00DC2BD1" w:rsidP="006D0D34">
      <w:pPr>
        <w:pStyle w:val="Heading2"/>
        <w:rPr>
          <w:color w:val="002060"/>
        </w:rPr>
      </w:pPr>
      <w:bookmarkStart w:id="113" w:name="_Toc484439933"/>
      <w:bookmarkStart w:id="114" w:name="_Toc11832757"/>
      <w:r w:rsidRPr="00DC2BD1">
        <w:rPr>
          <w:color w:val="002060"/>
        </w:rPr>
        <w:t>EDS RESOURCE MOBILIZATION &amp; OPERATIONS</w:t>
      </w:r>
      <w:bookmarkEnd w:id="113"/>
      <w:bookmarkEnd w:id="114"/>
    </w:p>
    <w:p w14:paraId="75614827" w14:textId="77777777" w:rsidR="006D0D34" w:rsidRDefault="006D0D34" w:rsidP="006D0D34">
      <w:r>
        <w:t xml:space="preserve">During resource mobilization and operations, the EDS Manager should coordinate with </w:t>
      </w:r>
      <w:r w:rsidR="0045336B">
        <w:t xml:space="preserve">Planning and </w:t>
      </w:r>
      <w:r w:rsidR="00F66F69">
        <w:t xml:space="preserve">Logistics </w:t>
      </w:r>
      <w:r>
        <w:t>to review the incident-specific resource requirements and to:</w:t>
      </w:r>
    </w:p>
    <w:p w14:paraId="3019FD4D" w14:textId="77777777" w:rsidR="006D0D34" w:rsidRDefault="006D0D34" w:rsidP="000616C8">
      <w:pPr>
        <w:pStyle w:val="ListParagraph"/>
        <w:numPr>
          <w:ilvl w:val="0"/>
          <w:numId w:val="40"/>
        </w:numPr>
      </w:pPr>
      <w:r>
        <w:t>Identify available local resources</w:t>
      </w:r>
    </w:p>
    <w:p w14:paraId="701733A2" w14:textId="77777777" w:rsidR="006D0D34" w:rsidRDefault="006D0D34" w:rsidP="000616C8">
      <w:pPr>
        <w:pStyle w:val="ListParagraph"/>
        <w:numPr>
          <w:ilvl w:val="0"/>
          <w:numId w:val="40"/>
        </w:numPr>
      </w:pPr>
      <w:r>
        <w:t>Determine additional resource needs</w:t>
      </w:r>
    </w:p>
    <w:p w14:paraId="4524C4B0" w14:textId="77777777" w:rsidR="006D0D34" w:rsidRDefault="006D0D34" w:rsidP="000616C8">
      <w:pPr>
        <w:pStyle w:val="ListParagraph"/>
        <w:numPr>
          <w:ilvl w:val="0"/>
          <w:numId w:val="40"/>
        </w:numPr>
      </w:pPr>
      <w:r>
        <w:t>Request additional resources from partner agencies (when needed)</w:t>
      </w:r>
    </w:p>
    <w:p w14:paraId="2E9A7113" w14:textId="77777777" w:rsidR="006D0D34" w:rsidRDefault="006D0D34" w:rsidP="000616C8">
      <w:pPr>
        <w:pStyle w:val="ListParagraph"/>
        <w:numPr>
          <w:ilvl w:val="0"/>
          <w:numId w:val="40"/>
        </w:numPr>
      </w:pPr>
      <w:r>
        <w:t>Request the SNS resources (when needed)</w:t>
      </w:r>
    </w:p>
    <w:p w14:paraId="75F0B746" w14:textId="77777777" w:rsidR="006D0D34" w:rsidRDefault="006D0D34" w:rsidP="000616C8">
      <w:pPr>
        <w:pStyle w:val="ListParagraph"/>
        <w:numPr>
          <w:ilvl w:val="0"/>
          <w:numId w:val="40"/>
        </w:numPr>
      </w:pPr>
      <w:r>
        <w:t>Coordinate resource deployment to the EDS</w:t>
      </w:r>
    </w:p>
    <w:p w14:paraId="2EB3DC4F" w14:textId="77777777" w:rsidR="006D0D34" w:rsidRPr="00CA23E0" w:rsidRDefault="006D0D34" w:rsidP="000616C8">
      <w:pPr>
        <w:pStyle w:val="ListParagraph"/>
        <w:numPr>
          <w:ilvl w:val="0"/>
          <w:numId w:val="40"/>
        </w:numPr>
      </w:pPr>
      <w:r>
        <w:t xml:space="preserve">Safely and securely store </w:t>
      </w:r>
      <w:r w:rsidRPr="00875770">
        <w:t>resources</w:t>
      </w:r>
      <w:r>
        <w:t xml:space="preserve"> for use or further distribution (i.e. to Closed EDS)</w:t>
      </w:r>
    </w:p>
    <w:p w14:paraId="4517A17C" w14:textId="77777777" w:rsidR="006D0D34" w:rsidRPr="00DC2BD1" w:rsidRDefault="006D0D34" w:rsidP="006D0D34">
      <w:pPr>
        <w:pStyle w:val="Heading3"/>
        <w:rPr>
          <w:color w:val="002060"/>
        </w:rPr>
      </w:pPr>
      <w:bookmarkStart w:id="115" w:name="_Toc484439934"/>
      <w:bookmarkStart w:id="116" w:name="_Toc11832758"/>
      <w:r w:rsidRPr="00DC2BD1">
        <w:rPr>
          <w:color w:val="002060"/>
        </w:rPr>
        <w:t>Inventory Management Systems &amp; Staff</w:t>
      </w:r>
      <w:bookmarkEnd w:id="115"/>
      <w:bookmarkEnd w:id="116"/>
    </w:p>
    <w:p w14:paraId="369AE345" w14:textId="77777777" w:rsidR="006D0D34" w:rsidRDefault="006D0D34" w:rsidP="006D0D34">
      <w:pPr>
        <w:rPr>
          <w:b/>
          <w:u w:val="single"/>
        </w:rPr>
      </w:pPr>
      <w:r w:rsidRPr="005461E9">
        <w:t>Inventory may be tracked on paper or managed electronically by employing a simple spreadsheet program that deducts items from inventory as they are dispensed or removed from the secured storage area within the EDS.</w:t>
      </w:r>
      <w:r>
        <w:t xml:space="preserve"> The MDPH will request inventory counts at regular intervals throughout the event. A schedule will be shared with local communities once established. </w:t>
      </w:r>
      <w:r w:rsidRPr="005461E9">
        <w:t xml:space="preserve">The MDPH MCM Program has posted an Excel spreadsheet on the HHAN that </w:t>
      </w:r>
      <w:r w:rsidR="00F66F69">
        <w:t>may be used by</w:t>
      </w:r>
      <w:r w:rsidRPr="005461E9">
        <w:t xml:space="preserve"> each EDS.</w:t>
      </w:r>
    </w:p>
    <w:p w14:paraId="6F0DA402" w14:textId="77777777" w:rsidR="006D0D34" w:rsidRPr="00E11CB5" w:rsidRDefault="006D0D34" w:rsidP="006D0D34">
      <w:pPr>
        <w:rPr>
          <w:b/>
          <w:u w:val="single"/>
        </w:rPr>
      </w:pPr>
      <w:r>
        <w:rPr>
          <w:b/>
          <w:u w:val="single"/>
        </w:rPr>
        <w:t>Pre-Event Planning</w:t>
      </w:r>
    </w:p>
    <w:p w14:paraId="3830CBB3" w14:textId="77DE2443" w:rsidR="0079472F" w:rsidRDefault="006D0D34" w:rsidP="0079472F">
      <w:r>
        <w:t>Local health should document a primary and back-up Inventory Management System (IMS) to track and report on MCM inventories during EDS operations. At minimum, the IMS should have the capability to track inventory levels (e.g. bottles, cases, vials), medication or vaccine name, manufacturer, dose, National Drug Code (NDC), lot numbers, and expiration dates. Additionally, local health should document that staff assigned to the EDS Inventory Management Unit are trained on the primary and back-up IMS.</w:t>
      </w:r>
      <w:r w:rsidR="0079472F" w:rsidRPr="0079472F">
        <w:t xml:space="preserve"> </w:t>
      </w:r>
    </w:p>
    <w:p w14:paraId="5825AA60" w14:textId="77777777" w:rsidR="0079472F" w:rsidRDefault="0079472F" w:rsidP="0079472F">
      <w:pPr>
        <w:rPr>
          <w:b/>
        </w:rPr>
      </w:pPr>
    </w:p>
    <w:p w14:paraId="430370BD" w14:textId="20221FAB" w:rsidR="0079472F" w:rsidRPr="00292AA8" w:rsidRDefault="0079472F" w:rsidP="0079472F">
      <w:pPr>
        <w:rPr>
          <w:b/>
        </w:rPr>
      </w:pPr>
      <w:r w:rsidRPr="00292AA8">
        <w:rPr>
          <w:b/>
        </w:rPr>
        <w:t>Resources</w:t>
      </w:r>
    </w:p>
    <w:p w14:paraId="7959C7AD" w14:textId="115C9081" w:rsidR="006D0D34" w:rsidRPr="00A77A33" w:rsidRDefault="00637775" w:rsidP="006D0D34">
      <w:hyperlink w:anchor="_Emergency_Dispensing_Site_1" w:history="1">
        <w:r w:rsidR="0079472F" w:rsidRPr="00ED3413">
          <w:rPr>
            <w:rStyle w:val="Hyperlink"/>
          </w:rPr>
          <w:t>Emergency Dispensing Site Inventory Tracking Form</w:t>
        </w:r>
      </w:hyperlink>
    </w:p>
    <w:p w14:paraId="044E27DF" w14:textId="77777777" w:rsidR="006D0D34" w:rsidRPr="00DC2BD1" w:rsidRDefault="006D0D34" w:rsidP="006D0D34">
      <w:pPr>
        <w:pStyle w:val="Heading3"/>
        <w:rPr>
          <w:color w:val="002060"/>
        </w:rPr>
      </w:pPr>
      <w:bookmarkStart w:id="117" w:name="_Toc484439935"/>
      <w:bookmarkStart w:id="118" w:name="_Toc11832759"/>
      <w:r w:rsidRPr="00DC2BD1">
        <w:rPr>
          <w:color w:val="002060"/>
        </w:rPr>
        <w:t>Resource Requirements, Identification &amp; Transportation</w:t>
      </w:r>
      <w:bookmarkEnd w:id="117"/>
      <w:bookmarkEnd w:id="118"/>
    </w:p>
    <w:p w14:paraId="455C3867" w14:textId="77777777" w:rsidR="006D0D34" w:rsidRDefault="006D0D34" w:rsidP="006D0D34">
      <w:r>
        <w:t xml:space="preserve">The EDS Manager and the </w:t>
      </w:r>
      <w:r w:rsidR="00983299">
        <w:t>Logistics staff</w:t>
      </w:r>
      <w:r>
        <w:t xml:space="preserve"> should review federal and state guidance to determine the following incident-specific resource requirements for the EDS:</w:t>
      </w:r>
    </w:p>
    <w:p w14:paraId="7DECAF91" w14:textId="77777777" w:rsidR="006D0D34" w:rsidRDefault="006D0D34" w:rsidP="000616C8">
      <w:pPr>
        <w:pStyle w:val="ListParagraph"/>
        <w:numPr>
          <w:ilvl w:val="0"/>
          <w:numId w:val="49"/>
        </w:numPr>
      </w:pPr>
      <w:r>
        <w:t>Type and quantity of resources needed</w:t>
      </w:r>
    </w:p>
    <w:p w14:paraId="7C1839F2" w14:textId="77777777" w:rsidR="006D0D34" w:rsidRDefault="006D0D34" w:rsidP="000616C8">
      <w:pPr>
        <w:pStyle w:val="ListParagraph"/>
        <w:numPr>
          <w:ilvl w:val="0"/>
          <w:numId w:val="49"/>
        </w:numPr>
      </w:pPr>
      <w:r>
        <w:t>Storage capacity needed</w:t>
      </w:r>
    </w:p>
    <w:p w14:paraId="4873E4E3" w14:textId="77777777" w:rsidR="006D0D34" w:rsidRDefault="006D0D34" w:rsidP="000616C8">
      <w:pPr>
        <w:pStyle w:val="ListParagraph"/>
        <w:numPr>
          <w:ilvl w:val="0"/>
          <w:numId w:val="49"/>
        </w:numPr>
      </w:pPr>
      <w:r>
        <w:t>Cold chain storage (if needed)</w:t>
      </w:r>
    </w:p>
    <w:p w14:paraId="2120A891" w14:textId="77777777" w:rsidR="006D0D34" w:rsidRDefault="006D0D34" w:rsidP="000616C8">
      <w:pPr>
        <w:pStyle w:val="ListParagraph"/>
        <w:numPr>
          <w:ilvl w:val="0"/>
          <w:numId w:val="49"/>
        </w:numPr>
      </w:pPr>
      <w:r>
        <w:t>Secured storage (if needed)</w:t>
      </w:r>
    </w:p>
    <w:p w14:paraId="7CEF7CD1" w14:textId="77777777" w:rsidR="006D0D34" w:rsidRDefault="006D0D34" w:rsidP="006D0D34">
      <w:r>
        <w:t xml:space="preserve">Based on the resource requirements, the </w:t>
      </w:r>
      <w:r w:rsidR="00983299">
        <w:t>inventory management staff within the Logistics section will</w:t>
      </w:r>
      <w:r>
        <w:t xml:space="preserve"> develop a detailed list of the </w:t>
      </w:r>
      <w:r w:rsidR="00BB494B">
        <w:t xml:space="preserve">MCM </w:t>
      </w:r>
      <w:r>
        <w:t>resources needed at the EDS. I</w:t>
      </w:r>
      <w:r w:rsidRPr="00D37111">
        <w:t>f resources include refrigerated vaccines</w:t>
      </w:r>
      <w:r>
        <w:t>, the Inventory Management Unit Leader should calculate the storage capacity needed, determine the currently available storage space, and coordinate with the EDS Manager to request additional sources of cold chain storage if needed (</w:t>
      </w:r>
      <w:r w:rsidR="00B60E81">
        <w:t>e.g</w:t>
      </w:r>
      <w:r>
        <w:t>. hospital, mobile refrigerated units, etc.).</w:t>
      </w:r>
    </w:p>
    <w:p w14:paraId="0A945C55" w14:textId="77777777" w:rsidR="006D0D34" w:rsidRDefault="006D0D34" w:rsidP="006D0D34">
      <w:r>
        <w:t xml:space="preserve">The </w:t>
      </w:r>
      <w:r w:rsidR="00983299">
        <w:t>Logistics staff</w:t>
      </w:r>
      <w:r>
        <w:t xml:space="preserve"> should then review the list of </w:t>
      </w:r>
      <w:r w:rsidR="00BB494B">
        <w:t xml:space="preserve">MCM </w:t>
      </w:r>
      <w:r>
        <w:t xml:space="preserve">resources needed, determine availability through local, state, and private sources, and document immediate and potential resource gaps. </w:t>
      </w:r>
      <w:r w:rsidR="00983299">
        <w:t>Logistics will</w:t>
      </w:r>
      <w:r>
        <w:t xml:space="preserve"> coordinate deployment of locally available resources to the EDS</w:t>
      </w:r>
      <w:r w:rsidR="00983299">
        <w:t xml:space="preserve">, and, when needed, </w:t>
      </w:r>
      <w:r>
        <w:t>arrange for transportation assets to move resources to the EDS.</w:t>
      </w:r>
    </w:p>
    <w:p w14:paraId="78A6ECD6" w14:textId="77777777" w:rsidR="006D0D34" w:rsidRDefault="006D0D34" w:rsidP="006D0D34">
      <w:r>
        <w:rPr>
          <w:b/>
          <w:u w:val="single"/>
        </w:rPr>
        <w:t>Pre-Event Planning</w:t>
      </w:r>
    </w:p>
    <w:p w14:paraId="36D8C448" w14:textId="77777777" w:rsidR="006D0D34" w:rsidRDefault="006D0D34" w:rsidP="006D0D34">
      <w:r>
        <w:t>Local health should document locally available supplies and equipment, including those available at the EDS.</w:t>
      </w:r>
    </w:p>
    <w:p w14:paraId="34EEBF6B" w14:textId="77777777" w:rsidR="006D0D34" w:rsidRPr="00DC2BD1" w:rsidRDefault="006D0D34" w:rsidP="006D0D34">
      <w:pPr>
        <w:pStyle w:val="Heading3"/>
        <w:rPr>
          <w:color w:val="002060"/>
        </w:rPr>
      </w:pPr>
      <w:bookmarkStart w:id="119" w:name="_Toc484439936"/>
      <w:bookmarkStart w:id="120" w:name="_Toc11832760"/>
      <w:r w:rsidRPr="00DC2BD1">
        <w:rPr>
          <w:color w:val="002060"/>
        </w:rPr>
        <w:t>Resource Requests &amp; Purchasing</w:t>
      </w:r>
      <w:bookmarkEnd w:id="119"/>
      <w:bookmarkEnd w:id="120"/>
    </w:p>
    <w:p w14:paraId="46324DBA" w14:textId="77777777" w:rsidR="006B0E17" w:rsidRDefault="00983299" w:rsidP="006D0D34">
      <w:r>
        <w:t xml:space="preserve">If </w:t>
      </w:r>
      <w:r w:rsidR="006B0E17">
        <w:t xml:space="preserve">additional </w:t>
      </w:r>
      <w:r>
        <w:t xml:space="preserve">resources are </w:t>
      </w:r>
      <w:r w:rsidR="006B0E17">
        <w:t xml:space="preserve">needed for the EDS, </w:t>
      </w:r>
      <w:r>
        <w:t xml:space="preserve">the EDS manager may work with the Administration and Finance Section to purchase the resources, or make a request for state assistance.  </w:t>
      </w:r>
      <w:r w:rsidR="006B0E17">
        <w:t xml:space="preserve">For medical resources, local health may </w:t>
      </w:r>
      <w:r w:rsidR="00D915B2">
        <w:t>request the</w:t>
      </w:r>
      <w:r w:rsidR="006D0D34">
        <w:t xml:space="preserve"> resources through the </w:t>
      </w:r>
      <w:r w:rsidR="00292AA8">
        <w:t xml:space="preserve">ESF-8 desk at </w:t>
      </w:r>
      <w:r w:rsidR="006D0D34">
        <w:t>SEOC (if activated) or the MDPH Duty Officer</w:t>
      </w:r>
      <w:r w:rsidR="006B0E17">
        <w:t>, using the MDPH Resource Request process. For non-medical resources (e.g., a generator</w:t>
      </w:r>
      <w:r>
        <w:t>,</w:t>
      </w:r>
      <w:r w:rsidR="006D0D34">
        <w:t xml:space="preserve"> </w:t>
      </w:r>
      <w:r w:rsidR="006B0E17">
        <w:t xml:space="preserve">electronic sign board) local health should work through local emergency management to request the resource through MEMA, using MEMA’s resource request process. </w:t>
      </w:r>
      <w:r w:rsidR="006D0D34" w:rsidRPr="00BB349D">
        <w:t xml:space="preserve">If </w:t>
      </w:r>
      <w:r w:rsidR="006D0D34">
        <w:t xml:space="preserve">the requested </w:t>
      </w:r>
      <w:r w:rsidR="006B0E17">
        <w:t xml:space="preserve">medical </w:t>
      </w:r>
      <w:r w:rsidR="006D0D34" w:rsidRPr="00BB349D">
        <w:t xml:space="preserve">resources are not available through </w:t>
      </w:r>
      <w:r w:rsidR="006B0E17">
        <w:t>state</w:t>
      </w:r>
      <w:r w:rsidR="006B0E17" w:rsidRPr="00BB349D">
        <w:t xml:space="preserve"> </w:t>
      </w:r>
      <w:r w:rsidR="006D0D34" w:rsidRPr="00BB349D">
        <w:t xml:space="preserve">sources, </w:t>
      </w:r>
      <w:r w:rsidR="006B0E17">
        <w:t xml:space="preserve">MDPH will coordinate with MEMA to </w:t>
      </w:r>
      <w:r w:rsidR="006D0D34">
        <w:t>determine</w:t>
      </w:r>
      <w:r w:rsidR="006D0D34" w:rsidRPr="00BB349D">
        <w:t xml:space="preserve"> </w:t>
      </w:r>
      <w:r w:rsidR="006B0E17">
        <w:t xml:space="preserve">whether </w:t>
      </w:r>
      <w:r w:rsidR="006D0D34" w:rsidRPr="00BB349D">
        <w:t xml:space="preserve">a request for </w:t>
      </w:r>
      <w:r w:rsidR="006B0E17">
        <w:t>federal assets might be</w:t>
      </w:r>
      <w:r w:rsidR="006D0D34" w:rsidRPr="00BB349D">
        <w:t xml:space="preserve"> </w:t>
      </w:r>
      <w:r w:rsidR="00F66F69">
        <w:t>appropriate</w:t>
      </w:r>
      <w:r w:rsidR="006D0D34" w:rsidRPr="00BB349D">
        <w:t>.</w:t>
      </w:r>
      <w:r w:rsidR="006D0D34">
        <w:t xml:space="preserve"> </w:t>
      </w:r>
    </w:p>
    <w:p w14:paraId="12DCBAF4" w14:textId="77777777" w:rsidR="006B0E17" w:rsidRDefault="006B0E17" w:rsidP="006D0D34"/>
    <w:p w14:paraId="38FCE913" w14:textId="77777777" w:rsidR="00C45BFD" w:rsidRDefault="00C45BFD" w:rsidP="00FF2317">
      <w:r>
        <w:t xml:space="preserve">Local health should document all of its costs associated with </w:t>
      </w:r>
      <w:r w:rsidR="006D0D34">
        <w:t>purchasing resources</w:t>
      </w:r>
      <w:r>
        <w:t xml:space="preserve"> so that it can work with state and federal authorities to seek reimbursement if it is available following the event. </w:t>
      </w:r>
    </w:p>
    <w:p w14:paraId="59864DD9" w14:textId="77777777" w:rsidR="00C45BFD" w:rsidRDefault="00C45BFD" w:rsidP="00FF2317"/>
    <w:p w14:paraId="106576C5" w14:textId="77777777" w:rsidR="006D0D34" w:rsidRPr="00DC2BD1" w:rsidRDefault="006D0D34" w:rsidP="00FF2317">
      <w:pPr>
        <w:rPr>
          <w:color w:val="002060"/>
        </w:rPr>
      </w:pPr>
      <w:bookmarkStart w:id="121" w:name="_Toc484439937"/>
      <w:r w:rsidRPr="00DC2BD1">
        <w:rPr>
          <w:color w:val="002060"/>
        </w:rPr>
        <w:t>Resource Receiving, Security &amp; Storage</w:t>
      </w:r>
      <w:bookmarkEnd w:id="121"/>
    </w:p>
    <w:p w14:paraId="1F8A1D7D" w14:textId="77777777" w:rsidR="006D0D34" w:rsidRDefault="006D0D34" w:rsidP="006D0D34">
      <w:r>
        <w:t>The EDS Manager should sign the Transfer of Custody Form for all MCM received at the EDS. The Inventory Management Unit should verify all incoming resources (receipts) and store them in a designated secured storage area. A manifest will accompany the SNS resources and can be used to verify items by type, lot number, and expiration date. When SNS resources are removed from the secured storage area, they should be deducted from the site inventory and carefully monitored to determine the timing of a resupply request (if needed).</w:t>
      </w:r>
    </w:p>
    <w:p w14:paraId="109A078D" w14:textId="77777777" w:rsidR="006D0D34" w:rsidRPr="00D16067" w:rsidRDefault="006D0D34" w:rsidP="006D0D34">
      <w:r>
        <w:t>Handling and storage g</w:t>
      </w:r>
      <w:r w:rsidRPr="003C6A78">
        <w:t xml:space="preserve">uidelines for </w:t>
      </w:r>
      <w:r>
        <w:t>medication and</w:t>
      </w:r>
      <w:r w:rsidRPr="003C6A78">
        <w:t xml:space="preserve"> vaccine</w:t>
      </w:r>
      <w:r>
        <w:t>s</w:t>
      </w:r>
      <w:r w:rsidRPr="003C6A78">
        <w:t xml:space="preserve"> will </w:t>
      </w:r>
      <w:r>
        <w:t xml:space="preserve">accompany </w:t>
      </w:r>
      <w:r w:rsidRPr="003C6A78">
        <w:t xml:space="preserve">each shipment and be available on the </w:t>
      </w:r>
      <w:r>
        <w:t>MDPH website. Additionally, t</w:t>
      </w:r>
      <w:r w:rsidRPr="003C6A78">
        <w:t>he package insert should be consulted for optimal storage criteria.</w:t>
      </w:r>
      <w:r>
        <w:t xml:space="preserve"> </w:t>
      </w:r>
      <w:r>
        <w:rPr>
          <w:rFonts w:ascii="Calibri" w:hAnsi="Calibri"/>
        </w:rPr>
        <w:t xml:space="preserve">The Inventory Management Unit should </w:t>
      </w:r>
      <w:r w:rsidR="00C45BFD">
        <w:rPr>
          <w:rFonts w:ascii="Calibri" w:hAnsi="Calibri"/>
        </w:rPr>
        <w:t xml:space="preserve">follow relevant state and federal guidance </w:t>
      </w:r>
      <w:r>
        <w:rPr>
          <w:rFonts w:ascii="Calibri" w:hAnsi="Calibri"/>
        </w:rPr>
        <w:t>to ensure proper storage and cold chain management of vaccines.</w:t>
      </w:r>
    </w:p>
    <w:p w14:paraId="0020561D" w14:textId="77777777" w:rsidR="006D0D34" w:rsidRPr="005157FF" w:rsidRDefault="006D0D34" w:rsidP="006D0D34">
      <w:pPr>
        <w:rPr>
          <w:b/>
          <w:u w:val="single"/>
        </w:rPr>
      </w:pPr>
      <w:r w:rsidRPr="00D16067">
        <w:rPr>
          <w:b/>
          <w:u w:val="single"/>
        </w:rPr>
        <w:t>Pre-Event Planning</w:t>
      </w:r>
    </w:p>
    <w:p w14:paraId="73943840" w14:textId="77777777" w:rsidR="006D0D34" w:rsidRDefault="006D0D34" w:rsidP="006D0D34">
      <w:pPr>
        <w:rPr>
          <w:rFonts w:ascii="Calibri" w:hAnsi="Calibri"/>
        </w:rPr>
      </w:pPr>
      <w:r>
        <w:rPr>
          <w:rFonts w:ascii="Calibri" w:hAnsi="Calibri"/>
        </w:rPr>
        <w:t>Local health should document secured storage areas for medication and cold chain management capabilities for vaccines at the EDS.</w:t>
      </w:r>
    </w:p>
    <w:p w14:paraId="183EE56B" w14:textId="77777777" w:rsidR="00F763F8" w:rsidRDefault="00F763F8" w:rsidP="006D0D34">
      <w:pPr>
        <w:rPr>
          <w:rFonts w:ascii="Calibri" w:hAnsi="Calibri"/>
        </w:rPr>
      </w:pPr>
    </w:p>
    <w:p w14:paraId="3FF3E69B" w14:textId="77777777" w:rsidR="006D0D34" w:rsidRDefault="006D0D34" w:rsidP="006D0D34">
      <w:pPr>
        <w:rPr>
          <w:rFonts w:ascii="Calibri" w:hAnsi="Calibri"/>
        </w:rPr>
      </w:pPr>
      <w:r>
        <w:rPr>
          <w:rFonts w:ascii="Calibri" w:hAnsi="Calibri"/>
          <w:b/>
          <w:u w:val="single"/>
        </w:rPr>
        <w:t>Resources:</w:t>
      </w:r>
    </w:p>
    <w:p w14:paraId="0AE28CA6" w14:textId="77777777" w:rsidR="006D0D34" w:rsidRPr="005F3610" w:rsidRDefault="00637775" w:rsidP="006D0D34">
      <w:hyperlink r:id="rId44" w:history="1">
        <w:r w:rsidR="006D0D34" w:rsidRPr="0030721E">
          <w:rPr>
            <w:rStyle w:val="Hyperlink"/>
            <w:rFonts w:ascii="Calibri" w:hAnsi="Calibri"/>
          </w:rPr>
          <w:t>CDC Vaccine Storage &amp; Handling Toolkit</w:t>
        </w:r>
      </w:hyperlink>
      <w:r w:rsidR="006D0D34">
        <w:rPr>
          <w:rStyle w:val="FootnoteReference"/>
          <w:rFonts w:ascii="Calibri" w:hAnsi="Calibri"/>
        </w:rPr>
        <w:footnoteReference w:id="30"/>
      </w:r>
    </w:p>
    <w:p w14:paraId="303A6298" w14:textId="77777777" w:rsidR="006D0D34" w:rsidRPr="00DC2BD1" w:rsidRDefault="006D0D34" w:rsidP="006D0D34">
      <w:pPr>
        <w:pStyle w:val="Heading3"/>
        <w:rPr>
          <w:color w:val="002060"/>
        </w:rPr>
      </w:pPr>
      <w:bookmarkStart w:id="122" w:name="_Toc484439938"/>
      <w:bookmarkStart w:id="123" w:name="_Toc11832761"/>
      <w:r w:rsidRPr="00DC2BD1">
        <w:rPr>
          <w:color w:val="002060"/>
        </w:rPr>
        <w:t>Resource Distribution</w:t>
      </w:r>
      <w:bookmarkEnd w:id="122"/>
      <w:bookmarkEnd w:id="123"/>
    </w:p>
    <w:p w14:paraId="4AE53417" w14:textId="77777777" w:rsidR="006D0D34" w:rsidRPr="003E2F9E" w:rsidRDefault="006D0D34" w:rsidP="006D0D34">
      <w:r>
        <w:t xml:space="preserve">The MCM received at the EDS will be distributed internally to Dispensing staff to dispense to </w:t>
      </w:r>
      <w:r w:rsidR="00C45BFD">
        <w:t>individuals at the EDS.</w:t>
      </w:r>
      <w:r>
        <w:t xml:space="preserve"> The MCM may also be reapportioned for pick-up by </w:t>
      </w:r>
      <w:r w:rsidR="001837F4">
        <w:t>C</w:t>
      </w:r>
      <w:r>
        <w:t xml:space="preserve">losed EDS </w:t>
      </w:r>
      <w:r w:rsidR="00FF2317">
        <w:t xml:space="preserve">staff </w:t>
      </w:r>
      <w:r>
        <w:t xml:space="preserve">(per local </w:t>
      </w:r>
      <w:r w:rsidR="001837F4">
        <w:t>C</w:t>
      </w:r>
      <w:r>
        <w:t>losed EDS agreements).</w:t>
      </w:r>
    </w:p>
    <w:p w14:paraId="560C2C26" w14:textId="77777777" w:rsidR="006D0D34" w:rsidRPr="00DC2BD1" w:rsidRDefault="00DC2BD1" w:rsidP="006D0D34">
      <w:pPr>
        <w:pStyle w:val="Heading2"/>
        <w:rPr>
          <w:color w:val="002060"/>
        </w:rPr>
      </w:pPr>
      <w:bookmarkStart w:id="124" w:name="_Toc484439939"/>
      <w:bookmarkStart w:id="125" w:name="_Toc11832762"/>
      <w:r w:rsidRPr="00DC2BD1">
        <w:rPr>
          <w:color w:val="002060"/>
        </w:rPr>
        <w:t>EDS SET-UP &amp; OPENING</w:t>
      </w:r>
      <w:bookmarkEnd w:id="124"/>
      <w:bookmarkEnd w:id="125"/>
    </w:p>
    <w:p w14:paraId="2C0686D2" w14:textId="77777777" w:rsidR="006D0D34" w:rsidRDefault="006D0D34" w:rsidP="006D0D34">
      <w:r>
        <w:t xml:space="preserve">During EDS set-up, </w:t>
      </w:r>
      <w:r w:rsidR="00C45BFD">
        <w:t xml:space="preserve">Logistics staff </w:t>
      </w:r>
      <w:r w:rsidR="00AB5545">
        <w:t>should</w:t>
      </w:r>
      <w:r w:rsidR="00C45BFD">
        <w:t>:</w:t>
      </w:r>
    </w:p>
    <w:p w14:paraId="116EF80A" w14:textId="77777777" w:rsidR="006D0D34" w:rsidRDefault="006D0D34" w:rsidP="000616C8">
      <w:pPr>
        <w:pStyle w:val="ListParagraph"/>
        <w:numPr>
          <w:ilvl w:val="0"/>
          <w:numId w:val="56"/>
        </w:numPr>
      </w:pPr>
      <w:r>
        <w:t>Set up the stations based on the site plan, clinic flow layout, and services to be provided</w:t>
      </w:r>
    </w:p>
    <w:p w14:paraId="692E51A0" w14:textId="77777777" w:rsidR="006D0D34" w:rsidRDefault="006D0D34" w:rsidP="000616C8">
      <w:pPr>
        <w:pStyle w:val="ListParagraph"/>
        <w:numPr>
          <w:ilvl w:val="0"/>
          <w:numId w:val="56"/>
        </w:numPr>
      </w:pPr>
      <w:r>
        <w:t>Post signs directing clients to and through the facility</w:t>
      </w:r>
    </w:p>
    <w:p w14:paraId="30FE5798" w14:textId="77777777" w:rsidR="006D0D34" w:rsidRDefault="006D0D34" w:rsidP="000616C8">
      <w:pPr>
        <w:pStyle w:val="ListParagraph"/>
        <w:numPr>
          <w:ilvl w:val="0"/>
          <w:numId w:val="56"/>
        </w:numPr>
      </w:pPr>
      <w:r>
        <w:t>Distribute appropriate resources to each station</w:t>
      </w:r>
    </w:p>
    <w:p w14:paraId="28732E59" w14:textId="77777777" w:rsidR="006D0D34" w:rsidRDefault="006D0D34" w:rsidP="006D0D34">
      <w:r>
        <w:t>The EDS Manager then coordinates with command and general staff to:</w:t>
      </w:r>
    </w:p>
    <w:p w14:paraId="65C5D4C9" w14:textId="77777777" w:rsidR="006D0D34" w:rsidRDefault="006D0D34" w:rsidP="000616C8">
      <w:pPr>
        <w:pStyle w:val="ListParagraph"/>
        <w:numPr>
          <w:ilvl w:val="0"/>
          <w:numId w:val="57"/>
        </w:numPr>
      </w:pPr>
      <w:r>
        <w:t>Implement the IAP (including safety and security plans)</w:t>
      </w:r>
    </w:p>
    <w:p w14:paraId="718115A8" w14:textId="77777777" w:rsidR="006D0D34" w:rsidRDefault="006D0D34" w:rsidP="000616C8">
      <w:pPr>
        <w:pStyle w:val="ListParagraph"/>
        <w:numPr>
          <w:ilvl w:val="0"/>
          <w:numId w:val="57"/>
        </w:numPr>
      </w:pPr>
      <w:r>
        <w:t>Conduct a site walk-through to ensure operational readiness</w:t>
      </w:r>
    </w:p>
    <w:p w14:paraId="0028CACB" w14:textId="77777777" w:rsidR="006D0D34" w:rsidRDefault="006D0D34" w:rsidP="000616C8">
      <w:pPr>
        <w:pStyle w:val="ListParagraph"/>
        <w:numPr>
          <w:ilvl w:val="0"/>
          <w:numId w:val="57"/>
        </w:numPr>
      </w:pPr>
      <w:r>
        <w:t>Treat target groups if recommended (e.g. first responders, higher risk groups, etc.)</w:t>
      </w:r>
    </w:p>
    <w:p w14:paraId="37F86B7E" w14:textId="77777777" w:rsidR="006D0D34" w:rsidRDefault="006D0D34" w:rsidP="000616C8">
      <w:pPr>
        <w:pStyle w:val="ListParagraph"/>
        <w:numPr>
          <w:ilvl w:val="0"/>
          <w:numId w:val="56"/>
        </w:numPr>
      </w:pPr>
      <w:r>
        <w:t>Coordinate with neighboring communities prior to opening the facility (if applicable)</w:t>
      </w:r>
    </w:p>
    <w:p w14:paraId="50409EE2" w14:textId="77777777" w:rsidR="006D0D34" w:rsidRDefault="006D0D34" w:rsidP="000616C8">
      <w:pPr>
        <w:pStyle w:val="ListParagraph"/>
        <w:numPr>
          <w:ilvl w:val="0"/>
          <w:numId w:val="56"/>
        </w:numPr>
      </w:pPr>
      <w:r>
        <w:t>Open the facility and dispense MCM to the at-risk population</w:t>
      </w:r>
    </w:p>
    <w:p w14:paraId="5A1C31B8" w14:textId="77777777" w:rsidR="006D0D34" w:rsidRDefault="006D0D34" w:rsidP="006D0D34">
      <w:r>
        <w:rPr>
          <w:b/>
          <w:u w:val="single"/>
        </w:rPr>
        <w:t>Pre-Event Planning</w:t>
      </w:r>
    </w:p>
    <w:p w14:paraId="06AC5616" w14:textId="77777777" w:rsidR="006D0D34" w:rsidRPr="008C0522" w:rsidRDefault="00AB5545" w:rsidP="006D0D34">
      <w:r>
        <w:t xml:space="preserve">A set-up team within Logistics should coordinate </w:t>
      </w:r>
      <w:r w:rsidR="006D0D34">
        <w:t xml:space="preserve">EDS </w:t>
      </w:r>
      <w:r>
        <w:t xml:space="preserve">set-up </w:t>
      </w:r>
      <w:r w:rsidR="006D0D34">
        <w:t>to allow command and general staff to focus on IAP implementation. Set-up of on-site resources (e.g. tables, chairs, etc.) can be performed by custodial staff at the facility</w:t>
      </w:r>
      <w:r>
        <w:t xml:space="preserve">, if available, </w:t>
      </w:r>
      <w:r w:rsidR="006D0D34">
        <w:t xml:space="preserve">in advance of station set-up and establishing clinic flow (e.g. signs, stanchions, etc.). Possible </w:t>
      </w:r>
      <w:r>
        <w:t xml:space="preserve">staffing </w:t>
      </w:r>
      <w:r w:rsidR="006D0D34">
        <w:t xml:space="preserve">for a </w:t>
      </w:r>
      <w:r>
        <w:t>s</w:t>
      </w:r>
      <w:r w:rsidR="006D0D34">
        <w:t>et-</w:t>
      </w:r>
      <w:r>
        <w:t>u</w:t>
      </w:r>
      <w:r w:rsidR="006D0D34">
        <w:t xml:space="preserve">p </w:t>
      </w:r>
      <w:r>
        <w:t>t</w:t>
      </w:r>
      <w:r w:rsidR="006D0D34">
        <w:t xml:space="preserve">eam </w:t>
      </w:r>
      <w:r w:rsidR="006B5F3D">
        <w:t>includes</w:t>
      </w:r>
      <w:r w:rsidR="006D0D34">
        <w:t xml:space="preserve"> </w:t>
      </w:r>
      <w:r>
        <w:t xml:space="preserve">volunteers from MRC, </w:t>
      </w:r>
      <w:r w:rsidR="006D0D34">
        <w:t>CERT, Boy Scouts, Girl Scouts, or other civic groups.</w:t>
      </w:r>
    </w:p>
    <w:p w14:paraId="1C6F2F3C" w14:textId="77777777" w:rsidR="006D0D34" w:rsidRPr="00DC2BD1" w:rsidRDefault="006D0D34" w:rsidP="006D0D34">
      <w:pPr>
        <w:pStyle w:val="Heading3"/>
        <w:rPr>
          <w:color w:val="002060"/>
        </w:rPr>
      </w:pPr>
      <w:bookmarkStart w:id="126" w:name="_Toc484439940"/>
      <w:bookmarkStart w:id="127" w:name="_Toc11832763"/>
      <w:r w:rsidRPr="00DC2BD1">
        <w:rPr>
          <w:color w:val="002060"/>
        </w:rPr>
        <w:t>Site Layout &amp; Set-Up</w:t>
      </w:r>
      <w:bookmarkEnd w:id="126"/>
      <w:bookmarkEnd w:id="127"/>
    </w:p>
    <w:p w14:paraId="7073CED6" w14:textId="77777777" w:rsidR="006D0D34" w:rsidRDefault="006D0D34" w:rsidP="006D0D34">
      <w:r>
        <w:t xml:space="preserve">The EDS plan or </w:t>
      </w:r>
      <w:r w:rsidR="001837F4">
        <w:t>Facility Survey</w:t>
      </w:r>
      <w:r>
        <w:t xml:space="preserve"> should include a diagram that shows service locations (e.g. entrance, registration, screening, dispensing, exit), client flow through the site, and traffic flow and parking. The EDS </w:t>
      </w:r>
      <w:r w:rsidR="00AB5545">
        <w:t xml:space="preserve">set-up team or </w:t>
      </w:r>
      <w:r>
        <w:t xml:space="preserve">Facility </w:t>
      </w:r>
      <w:r w:rsidR="005B47DF">
        <w:t xml:space="preserve">unit </w:t>
      </w:r>
      <w:r>
        <w:t xml:space="preserve">should coordinate set-up </w:t>
      </w:r>
      <w:r w:rsidR="005B47DF">
        <w:t xml:space="preserve">of </w:t>
      </w:r>
      <w:r>
        <w:t xml:space="preserve">on-site resources, such as tables and chairs, and to close off (and possibly lock down) areas of the site that will not be used. The </w:t>
      </w:r>
      <w:r w:rsidR="006B5F3D">
        <w:t>diagram should</w:t>
      </w:r>
      <w:r w:rsidR="005B47DF">
        <w:t xml:space="preserve"> be used to </w:t>
      </w:r>
      <w:r>
        <w:t xml:space="preserve">set-up the site and scale the number of stations and the client flow to meet the throughput requirement. Changes to the layout or client flow (from the diagram) must be approved by the EDS Manager. Once the client flow is finalized, the </w:t>
      </w:r>
      <w:r w:rsidR="00AB5545">
        <w:t xml:space="preserve">Logistics staff </w:t>
      </w:r>
      <w:r w:rsidR="00687D64">
        <w:t xml:space="preserve">should </w:t>
      </w:r>
      <w:r>
        <w:t xml:space="preserve">post signs at unobstructed sightlines to direct clients to and through the site (e.g. pictogram-based EDS signs). The Inventory Management Unit </w:t>
      </w:r>
      <w:r w:rsidR="00AB5545">
        <w:t xml:space="preserve">will </w:t>
      </w:r>
      <w:r>
        <w:t xml:space="preserve">distribute resources to the appropriate </w:t>
      </w:r>
      <w:r w:rsidR="00AB5545">
        <w:t>u</w:t>
      </w:r>
      <w:r>
        <w:t>nits and stations. Each Unit Leader should coordinate with unit staff to set-up the stations based on the services to be provided (e.g. vaccine administration, medication dispensing, etc.).</w:t>
      </w:r>
    </w:p>
    <w:p w14:paraId="25D2D0DE" w14:textId="77777777" w:rsidR="006D0D34" w:rsidRDefault="006D0D34" w:rsidP="006D0D34">
      <w:pPr>
        <w:rPr>
          <w:b/>
          <w:u w:val="single"/>
        </w:rPr>
      </w:pPr>
      <w:r>
        <w:rPr>
          <w:b/>
          <w:u w:val="single"/>
        </w:rPr>
        <w:t>Resources</w:t>
      </w:r>
    </w:p>
    <w:p w14:paraId="23A3A87F" w14:textId="77777777" w:rsidR="006D0D34" w:rsidRDefault="00637775" w:rsidP="006D0D34">
      <w:hyperlink w:anchor="EDS_Flowchart_Antibiotic" w:history="1">
        <w:r w:rsidR="00D54BD9" w:rsidRPr="005F7077">
          <w:rPr>
            <w:rStyle w:val="Hyperlink"/>
          </w:rPr>
          <w:t>Sample EDS Flow Diagram (Medication Dispensing)</w:t>
        </w:r>
      </w:hyperlink>
    </w:p>
    <w:p w14:paraId="5883CD6D" w14:textId="77777777" w:rsidR="006D0D34" w:rsidRPr="00935CFF" w:rsidRDefault="00637775" w:rsidP="006D0D34">
      <w:hyperlink w:anchor="EDS_Flowchart" w:history="1">
        <w:r w:rsidR="006D0D34" w:rsidRPr="00D5607A">
          <w:rPr>
            <w:rStyle w:val="Hyperlink"/>
          </w:rPr>
          <w:t>Sample EDS Flow Diagram (Vaccine Dispensing)</w:t>
        </w:r>
      </w:hyperlink>
    </w:p>
    <w:p w14:paraId="536CBEC4" w14:textId="77777777" w:rsidR="006D0D34" w:rsidRPr="00DC2BD1" w:rsidRDefault="006D0D34" w:rsidP="006D0D34">
      <w:pPr>
        <w:pStyle w:val="Heading3"/>
        <w:rPr>
          <w:color w:val="002060"/>
        </w:rPr>
      </w:pPr>
      <w:bookmarkStart w:id="128" w:name="_Toc484439941"/>
      <w:bookmarkStart w:id="129" w:name="_Toc11832764"/>
      <w:r w:rsidRPr="00DC2BD1">
        <w:rPr>
          <w:color w:val="002060"/>
        </w:rPr>
        <w:t>Internal Site Communications</w:t>
      </w:r>
      <w:bookmarkEnd w:id="128"/>
      <w:bookmarkEnd w:id="129"/>
    </w:p>
    <w:p w14:paraId="0DDF3BD3" w14:textId="77777777" w:rsidR="006D0D34" w:rsidRPr="00F467F1" w:rsidRDefault="006D0D34" w:rsidP="006D0D34">
      <w:r>
        <w:t>The Communications Unit should distribute communications equipment (e.g</w:t>
      </w:r>
      <w:r w:rsidRPr="00493EDC">
        <w:t xml:space="preserve">. walkie-talkies, radios, </w:t>
      </w:r>
      <w:r>
        <w:t xml:space="preserve">etc.) to the EDS Manager, command </w:t>
      </w:r>
      <w:r w:rsidR="00687D64">
        <w:t xml:space="preserve">and general </w:t>
      </w:r>
      <w:r>
        <w:t>staff, and other key positions). As a contingency for internal communications, the Communications Unit can develop a phone list using the personal cell phones of individuals assigned to these roles or a system of runners who deliver messages. Additionally, the Communications Unit is tasked with ensuring external communications to partner agencies (e.g. phone, Internet, radio).</w:t>
      </w:r>
    </w:p>
    <w:p w14:paraId="4806C03B" w14:textId="77777777" w:rsidR="006D0D34" w:rsidRPr="00DC2BD1" w:rsidRDefault="006D0D34" w:rsidP="006D0D34">
      <w:pPr>
        <w:pStyle w:val="Heading3"/>
        <w:rPr>
          <w:color w:val="002060"/>
        </w:rPr>
      </w:pPr>
      <w:bookmarkStart w:id="130" w:name="_Toc484439942"/>
      <w:bookmarkStart w:id="131" w:name="_Toc11832765"/>
      <w:r w:rsidRPr="00DC2BD1">
        <w:rPr>
          <w:color w:val="002060"/>
        </w:rPr>
        <w:t>Site Walk Through</w:t>
      </w:r>
      <w:bookmarkEnd w:id="130"/>
      <w:bookmarkEnd w:id="131"/>
    </w:p>
    <w:p w14:paraId="46096236" w14:textId="77777777" w:rsidR="006D0D34" w:rsidRPr="00395CAC" w:rsidRDefault="006D0D34" w:rsidP="006D0D34">
      <w:r>
        <w:t xml:space="preserve">Once the site set-up is complete, the EDS Manager should conduct a walk-through to confirm operational readiness, including appropriate staffing and inventory levels. The Safety Officer should confirm </w:t>
      </w:r>
      <w:r w:rsidR="00AB5545">
        <w:t xml:space="preserve">that </w:t>
      </w:r>
      <w:r>
        <w:t xml:space="preserve">all elements </w:t>
      </w:r>
      <w:r w:rsidR="00AB5545">
        <w:t xml:space="preserve">of the EDS </w:t>
      </w:r>
      <w:r>
        <w:t>safety plan have been implemented, that there are no hazards that prevent opening, and that the site is accessible to individuals with access and functional needs.</w:t>
      </w:r>
    </w:p>
    <w:p w14:paraId="71099618" w14:textId="77777777" w:rsidR="006D0D34" w:rsidRPr="00DC2BD1" w:rsidRDefault="006D0D34" w:rsidP="006D0D34">
      <w:pPr>
        <w:pStyle w:val="Heading3"/>
        <w:rPr>
          <w:color w:val="002060"/>
        </w:rPr>
      </w:pPr>
      <w:bookmarkStart w:id="132" w:name="_Toc484439943"/>
      <w:bookmarkStart w:id="133" w:name="_Toc11832766"/>
      <w:r w:rsidRPr="00DC2BD1">
        <w:rPr>
          <w:color w:val="002060"/>
        </w:rPr>
        <w:t>Target Prophylaxis Groups</w:t>
      </w:r>
      <w:bookmarkEnd w:id="132"/>
      <w:bookmarkEnd w:id="133"/>
    </w:p>
    <w:p w14:paraId="17D006D0" w14:textId="77777777" w:rsidR="006D0D34" w:rsidRPr="004B3B54" w:rsidRDefault="006D0D34" w:rsidP="006D0D34">
      <w:r>
        <w:t xml:space="preserve">Certain incidents may require that certain groups receive the MCM prior to opening the site to the at-risk or general populations. This may include first responders, </w:t>
      </w:r>
      <w:r w:rsidR="00687D64">
        <w:t>critical infrastructure staff</w:t>
      </w:r>
      <w:r>
        <w:t xml:space="preserve">, and their families, as well as </w:t>
      </w:r>
      <w:r w:rsidR="00687D64">
        <w:t xml:space="preserve">individuals in </w:t>
      </w:r>
      <w:r>
        <w:t xml:space="preserve">higher risk </w:t>
      </w:r>
      <w:r w:rsidR="00FF2317">
        <w:t>or target group</w:t>
      </w:r>
      <w:r>
        <w:t>s. When applicable, federal and state health authorities will provide guidance on target prophylaxis groups. Dispensing to the target groups can be used to validate staff training, evaluate dispensing procedures, and improve client flow prior to opening. If target prophylaxis groups are not indicated, and the site is ready to open, the EDS Manager should coordinate with other sites to open.</w:t>
      </w:r>
    </w:p>
    <w:p w14:paraId="22A22937" w14:textId="77777777" w:rsidR="006D0D34" w:rsidRPr="00DC2BD1" w:rsidRDefault="006D0D34" w:rsidP="006D0D34">
      <w:pPr>
        <w:pStyle w:val="Heading3"/>
        <w:rPr>
          <w:color w:val="002060"/>
        </w:rPr>
      </w:pPr>
      <w:bookmarkStart w:id="134" w:name="_Toc484439944"/>
      <w:bookmarkStart w:id="135" w:name="_Toc11832767"/>
      <w:r w:rsidRPr="00DC2BD1">
        <w:rPr>
          <w:color w:val="002060"/>
        </w:rPr>
        <w:t>Coordinated Opening</w:t>
      </w:r>
      <w:bookmarkEnd w:id="134"/>
      <w:bookmarkEnd w:id="135"/>
    </w:p>
    <w:p w14:paraId="4213D9AE" w14:textId="77777777" w:rsidR="006D0D34" w:rsidRPr="009F5A80" w:rsidRDefault="006D0D34" w:rsidP="006D0D34">
      <w:r>
        <w:t>When multiple sites are used</w:t>
      </w:r>
      <w:r w:rsidR="00FF2317">
        <w:t xml:space="preserve"> within a single community or within a region</w:t>
      </w:r>
      <w:r>
        <w:t xml:space="preserve">, the MDPH recommends coordinating openings to maintain order. If the coordinated opening is for multiple sites within a community, the EDS Manager notifies the other local EDS Managers when the site is ready to open. If the coordinated opening is across multiple communities, the EDS Manager should notify the </w:t>
      </w:r>
      <w:r w:rsidR="00292AA8">
        <w:t xml:space="preserve">ESF-8 desk at the </w:t>
      </w:r>
      <w:r>
        <w:t xml:space="preserve">SEOC (if activated) or the MDPH Duty Officer. Once it has been confirmed that other sites are ready to open, the EDS Manager should notify staff to open the site and provide dispensing services. </w:t>
      </w:r>
    </w:p>
    <w:p w14:paraId="0E92B29E" w14:textId="77777777" w:rsidR="006D0D34" w:rsidRPr="0090186A" w:rsidRDefault="0090186A" w:rsidP="006D0D34">
      <w:pPr>
        <w:pStyle w:val="Heading2"/>
        <w:rPr>
          <w:color w:val="002060"/>
        </w:rPr>
      </w:pPr>
      <w:bookmarkStart w:id="136" w:name="_Toc484439945"/>
      <w:bookmarkStart w:id="137" w:name="_Toc11832768"/>
      <w:r w:rsidRPr="0090186A">
        <w:rPr>
          <w:color w:val="002060"/>
        </w:rPr>
        <w:t>EDS OPERATIONS MONITORING</w:t>
      </w:r>
      <w:bookmarkEnd w:id="136"/>
      <w:bookmarkEnd w:id="137"/>
    </w:p>
    <w:p w14:paraId="2CDB190A" w14:textId="77777777" w:rsidR="006D0D34" w:rsidRDefault="006D0D34" w:rsidP="006D0D34">
      <w:r>
        <w:t>During EDS operations, the EDS Manager should review the IAP and evaluate</w:t>
      </w:r>
      <w:r w:rsidRPr="009B490E">
        <w:t xml:space="preserve"> progress toward meeting the</w:t>
      </w:r>
      <w:r>
        <w:t xml:space="preserve"> response</w:t>
      </w:r>
      <w:r w:rsidRPr="009B490E">
        <w:t xml:space="preserve"> objectives.</w:t>
      </w:r>
      <w:r>
        <w:t xml:space="preserve"> The EDS Manager should </w:t>
      </w:r>
      <w:r w:rsidR="00687D64">
        <w:t xml:space="preserve">work with the Planning section to </w:t>
      </w:r>
      <w:r>
        <w:t>update the IAP each operational period (or as needed). When evaluating EDS operations, the following should be considered:</w:t>
      </w:r>
    </w:p>
    <w:p w14:paraId="6C5C4C9A" w14:textId="77777777" w:rsidR="006D0D34" w:rsidRDefault="006D0D34" w:rsidP="000616C8">
      <w:pPr>
        <w:pStyle w:val="ListParagraph"/>
        <w:numPr>
          <w:ilvl w:val="0"/>
          <w:numId w:val="50"/>
        </w:numPr>
      </w:pPr>
      <w:r>
        <w:t>Public information accuracy and adequacy</w:t>
      </w:r>
    </w:p>
    <w:p w14:paraId="2BF3A416" w14:textId="77777777" w:rsidR="006D0D34" w:rsidRDefault="006D0D34" w:rsidP="000616C8">
      <w:pPr>
        <w:pStyle w:val="ListParagraph"/>
        <w:numPr>
          <w:ilvl w:val="0"/>
          <w:numId w:val="50"/>
        </w:numPr>
      </w:pPr>
      <w:r>
        <w:t>Dispensing service delivery, appropriateness, and adequacy</w:t>
      </w:r>
    </w:p>
    <w:p w14:paraId="3CEAA873" w14:textId="77777777" w:rsidR="006D0D34" w:rsidRDefault="006D0D34" w:rsidP="000616C8">
      <w:pPr>
        <w:pStyle w:val="ListParagraph"/>
        <w:numPr>
          <w:ilvl w:val="0"/>
          <w:numId w:val="50"/>
        </w:numPr>
      </w:pPr>
      <w:r>
        <w:t>Site operational readiness (including for sustained operations)</w:t>
      </w:r>
    </w:p>
    <w:p w14:paraId="114D100F" w14:textId="77777777" w:rsidR="006D0D34" w:rsidRDefault="006D0D34" w:rsidP="000616C8">
      <w:pPr>
        <w:pStyle w:val="ListParagraph"/>
        <w:numPr>
          <w:ilvl w:val="0"/>
          <w:numId w:val="50"/>
        </w:numPr>
      </w:pPr>
      <w:r>
        <w:t>Staff availability and staffing levels (including for sustained operations)</w:t>
      </w:r>
    </w:p>
    <w:p w14:paraId="546DBF7A" w14:textId="77777777" w:rsidR="006D0D34" w:rsidRDefault="006D0D34" w:rsidP="000616C8">
      <w:pPr>
        <w:pStyle w:val="ListParagraph"/>
        <w:numPr>
          <w:ilvl w:val="0"/>
          <w:numId w:val="50"/>
        </w:numPr>
      </w:pPr>
      <w:r>
        <w:t>Resource availability and inventory levels (including for sustained operations)</w:t>
      </w:r>
    </w:p>
    <w:p w14:paraId="115795B9" w14:textId="77777777" w:rsidR="006D0D34" w:rsidRPr="0090186A" w:rsidRDefault="006D0D34" w:rsidP="006D0D34">
      <w:pPr>
        <w:pStyle w:val="Heading3"/>
        <w:rPr>
          <w:color w:val="002060"/>
        </w:rPr>
      </w:pPr>
      <w:bookmarkStart w:id="138" w:name="_Toc484439946"/>
      <w:bookmarkStart w:id="139" w:name="_Toc11832769"/>
      <w:r w:rsidRPr="0090186A">
        <w:rPr>
          <w:color w:val="002060"/>
        </w:rPr>
        <w:t>Public Information Monitoring</w:t>
      </w:r>
      <w:bookmarkEnd w:id="138"/>
      <w:bookmarkEnd w:id="139"/>
    </w:p>
    <w:p w14:paraId="68178AFC" w14:textId="77777777" w:rsidR="006D0D34" w:rsidRDefault="006D0D34" w:rsidP="006D0D34">
      <w:r>
        <w:t xml:space="preserve">The EDS PIO should monitor local and statewide media for accuracy, content, possible responses, and to </w:t>
      </w:r>
      <w:r w:rsidR="00687D64">
        <w:t xml:space="preserve">address </w:t>
      </w:r>
      <w:r>
        <w:t>rumors, including on social media. When information is found to be inaccurate, the EDS PIO should request that the media organization correct it. To address rumors or inaccurate information found on social media, the EDS PIO should provide the accurate information to local and statewide media and respond directly using an official social media account. If a call center is being used, the EDS PIO should monitor trends in public information inquiries and adjust messaging and communication strategies (when needed).</w:t>
      </w:r>
    </w:p>
    <w:p w14:paraId="6A3BC8E6" w14:textId="77777777" w:rsidR="006D0D34" w:rsidRPr="0090186A" w:rsidRDefault="006D0D34" w:rsidP="006D0D34">
      <w:pPr>
        <w:pStyle w:val="Heading3"/>
        <w:rPr>
          <w:color w:val="002060"/>
        </w:rPr>
      </w:pPr>
      <w:bookmarkStart w:id="140" w:name="_Toc484439947"/>
      <w:bookmarkStart w:id="141" w:name="_Toc11832770"/>
      <w:r w:rsidRPr="0090186A">
        <w:rPr>
          <w:color w:val="002060"/>
        </w:rPr>
        <w:t>Clinic Flow &amp; Throughput Monitoring</w:t>
      </w:r>
      <w:bookmarkEnd w:id="140"/>
      <w:bookmarkEnd w:id="141"/>
    </w:p>
    <w:p w14:paraId="12971A37" w14:textId="77777777" w:rsidR="006D0D34" w:rsidRDefault="006D0D34" w:rsidP="006D0D34">
      <w:r>
        <w:t xml:space="preserve">The Clinic Flow </w:t>
      </w:r>
      <w:r w:rsidR="00687D64">
        <w:t>staff within the Operations section</w:t>
      </w:r>
      <w:r>
        <w:t xml:space="preserve"> should monitor </w:t>
      </w:r>
      <w:r w:rsidR="008021E6">
        <w:t>the flow</w:t>
      </w:r>
      <w:r w:rsidR="00FF2317">
        <w:t xml:space="preserve"> of individuals through the EDS,</w:t>
      </w:r>
      <w:r>
        <w:t xml:space="preserve"> identify and address bottlenecks, and estimate and report on client throughput. At minimum, client throughput should be estimated in the registration, screening, and dispensing areas. Throughput estimates can be reached using any (or a combination) of the following methods:</w:t>
      </w:r>
    </w:p>
    <w:p w14:paraId="49D570B8" w14:textId="77777777" w:rsidR="006D0D34" w:rsidRDefault="006D0D34" w:rsidP="000616C8">
      <w:pPr>
        <w:pStyle w:val="ListParagraph"/>
        <w:numPr>
          <w:ilvl w:val="0"/>
          <w:numId w:val="52"/>
        </w:numPr>
      </w:pPr>
      <w:r>
        <w:t>Numbered registration forms</w:t>
      </w:r>
    </w:p>
    <w:p w14:paraId="1C521A4A" w14:textId="77777777" w:rsidR="006D0D34" w:rsidRDefault="006D0D34" w:rsidP="000616C8">
      <w:pPr>
        <w:pStyle w:val="ListParagraph"/>
        <w:numPr>
          <w:ilvl w:val="0"/>
          <w:numId w:val="52"/>
        </w:numPr>
      </w:pPr>
      <w:r>
        <w:t>A numbered ticket system</w:t>
      </w:r>
    </w:p>
    <w:p w14:paraId="14C73B63" w14:textId="77777777" w:rsidR="006D0D34" w:rsidRDefault="006D0D34" w:rsidP="000616C8">
      <w:pPr>
        <w:pStyle w:val="ListParagraph"/>
        <w:numPr>
          <w:ilvl w:val="0"/>
          <w:numId w:val="52"/>
        </w:numPr>
      </w:pPr>
      <w:r>
        <w:t>Hand tally counters</w:t>
      </w:r>
    </w:p>
    <w:p w14:paraId="3A3E08C7" w14:textId="77777777" w:rsidR="006D0D34" w:rsidRDefault="006D0D34" w:rsidP="000616C8">
      <w:pPr>
        <w:pStyle w:val="ListParagraph"/>
        <w:numPr>
          <w:ilvl w:val="0"/>
          <w:numId w:val="52"/>
        </w:numPr>
      </w:pPr>
      <w:r>
        <w:t>Number of clients seen per station</w:t>
      </w:r>
    </w:p>
    <w:p w14:paraId="78E37C87" w14:textId="77777777" w:rsidR="006D0D34" w:rsidRPr="00D07F8D" w:rsidRDefault="006D0D34" w:rsidP="006D0D34">
      <w:r>
        <w:t xml:space="preserve">During initial operations (e.g. the first 1-2 hours), throughput estimates should be frequently reported (e.g. every 15 minutes) to the EDS Manager. The EDS Manager should compare the estimates to the hourly throughput target and authorize changes to non-medical processes to improve clinic flow and increase client throughput. </w:t>
      </w:r>
      <w:r w:rsidRPr="00D07F8D">
        <w:t>Examples of non-medical changes include:</w:t>
      </w:r>
    </w:p>
    <w:p w14:paraId="4A2D36C3" w14:textId="77777777" w:rsidR="006D0D34" w:rsidRDefault="006D0D34" w:rsidP="000616C8">
      <w:pPr>
        <w:pStyle w:val="ListParagraph"/>
        <w:numPr>
          <w:ilvl w:val="0"/>
          <w:numId w:val="51"/>
        </w:numPr>
        <w:rPr>
          <w:rFonts w:eastAsia="Times New Roman"/>
          <w:lang w:eastAsia="en-US"/>
        </w:rPr>
      </w:pPr>
      <w:r>
        <w:rPr>
          <w:rFonts w:eastAsia="Times New Roman"/>
          <w:lang w:eastAsia="en-US"/>
        </w:rPr>
        <w:t>Advanced distribution of client forms (e.g. posted on websites)</w:t>
      </w:r>
    </w:p>
    <w:p w14:paraId="439AAA16" w14:textId="77777777" w:rsidR="006D0D34" w:rsidRDefault="006D0D34" w:rsidP="000616C8">
      <w:pPr>
        <w:pStyle w:val="ListParagraph"/>
        <w:numPr>
          <w:ilvl w:val="0"/>
          <w:numId w:val="51"/>
        </w:numPr>
        <w:rPr>
          <w:rFonts w:eastAsia="Times New Roman"/>
          <w:lang w:eastAsia="en-US"/>
        </w:rPr>
      </w:pPr>
      <w:r w:rsidRPr="00D07F8D">
        <w:rPr>
          <w:rFonts w:eastAsia="Times New Roman"/>
          <w:lang w:eastAsia="en-US"/>
        </w:rPr>
        <w:t xml:space="preserve">Additional public information </w:t>
      </w:r>
      <w:r>
        <w:rPr>
          <w:rFonts w:eastAsia="Times New Roman"/>
          <w:lang w:eastAsia="en-US"/>
        </w:rPr>
        <w:t>about</w:t>
      </w:r>
      <w:r w:rsidRPr="00D07F8D">
        <w:rPr>
          <w:rFonts w:eastAsia="Times New Roman"/>
          <w:lang w:eastAsia="en-US"/>
        </w:rPr>
        <w:t xml:space="preserve"> the process, services, and potential wait times</w:t>
      </w:r>
    </w:p>
    <w:p w14:paraId="1F7BE044" w14:textId="77777777" w:rsidR="006D0D34" w:rsidRPr="00146F11" w:rsidRDefault="006D0D34" w:rsidP="000616C8">
      <w:pPr>
        <w:pStyle w:val="ListParagraph"/>
        <w:numPr>
          <w:ilvl w:val="0"/>
          <w:numId w:val="51"/>
        </w:numPr>
        <w:rPr>
          <w:rFonts w:eastAsia="Times New Roman"/>
          <w:lang w:eastAsia="en-US"/>
        </w:rPr>
      </w:pPr>
      <w:r w:rsidRPr="00D07F8D">
        <w:rPr>
          <w:rFonts w:eastAsia="Times New Roman"/>
          <w:lang w:eastAsia="en-US"/>
        </w:rPr>
        <w:t>Open additional stations</w:t>
      </w:r>
      <w:r>
        <w:rPr>
          <w:rFonts w:eastAsia="Times New Roman"/>
          <w:lang w:eastAsia="en-US"/>
        </w:rPr>
        <w:t xml:space="preserve"> and reassign staff</w:t>
      </w:r>
      <w:r w:rsidRPr="00D07F8D">
        <w:rPr>
          <w:rFonts w:eastAsia="Times New Roman"/>
          <w:lang w:eastAsia="en-US"/>
        </w:rPr>
        <w:t xml:space="preserve"> </w:t>
      </w:r>
      <w:r>
        <w:rPr>
          <w:rFonts w:eastAsia="Times New Roman"/>
          <w:lang w:eastAsia="en-US"/>
        </w:rPr>
        <w:t>to</w:t>
      </w:r>
      <w:r w:rsidRPr="00D07F8D">
        <w:rPr>
          <w:rFonts w:eastAsia="Times New Roman"/>
          <w:lang w:eastAsia="en-US"/>
        </w:rPr>
        <w:t xml:space="preserve"> areas with client backlog</w:t>
      </w:r>
    </w:p>
    <w:p w14:paraId="6E57551C" w14:textId="77777777" w:rsidR="006D0D34" w:rsidRPr="00D07F8D" w:rsidRDefault="006D0D34" w:rsidP="000616C8">
      <w:pPr>
        <w:pStyle w:val="ListParagraph"/>
        <w:numPr>
          <w:ilvl w:val="0"/>
          <w:numId w:val="51"/>
        </w:numPr>
        <w:rPr>
          <w:rFonts w:eastAsia="Times New Roman"/>
          <w:lang w:eastAsia="en-US"/>
        </w:rPr>
      </w:pPr>
      <w:r w:rsidRPr="00D07F8D">
        <w:rPr>
          <w:rFonts w:eastAsia="Times New Roman"/>
          <w:lang w:eastAsia="en-US"/>
        </w:rPr>
        <w:t xml:space="preserve">Use of stanchions to snake queues </w:t>
      </w:r>
      <w:r>
        <w:rPr>
          <w:rFonts w:eastAsia="Times New Roman"/>
          <w:lang w:eastAsia="en-US"/>
        </w:rPr>
        <w:t>and create lines</w:t>
      </w:r>
    </w:p>
    <w:p w14:paraId="27690D28" w14:textId="77777777" w:rsidR="006D0D34" w:rsidRPr="00D07F8D" w:rsidRDefault="006D0D34" w:rsidP="000616C8">
      <w:pPr>
        <w:pStyle w:val="ListParagraph"/>
        <w:numPr>
          <w:ilvl w:val="0"/>
          <w:numId w:val="51"/>
        </w:numPr>
        <w:rPr>
          <w:rFonts w:eastAsia="Times New Roman"/>
          <w:lang w:eastAsia="en-US"/>
        </w:rPr>
      </w:pPr>
      <w:r w:rsidRPr="00D07F8D">
        <w:rPr>
          <w:rFonts w:eastAsia="Times New Roman"/>
          <w:lang w:eastAsia="en-US"/>
        </w:rPr>
        <w:t xml:space="preserve">Separate entrance and exit to eliminate </w:t>
      </w:r>
      <w:r>
        <w:rPr>
          <w:rFonts w:eastAsia="Times New Roman"/>
          <w:lang w:eastAsia="en-US"/>
        </w:rPr>
        <w:t xml:space="preserve">client </w:t>
      </w:r>
      <w:r w:rsidRPr="00D07F8D">
        <w:rPr>
          <w:rFonts w:eastAsia="Times New Roman"/>
          <w:lang w:eastAsia="en-US"/>
        </w:rPr>
        <w:t>cross flow</w:t>
      </w:r>
    </w:p>
    <w:p w14:paraId="042A8649" w14:textId="77777777" w:rsidR="006D0D34" w:rsidRDefault="006D0D34" w:rsidP="000616C8">
      <w:pPr>
        <w:pStyle w:val="ListParagraph"/>
        <w:numPr>
          <w:ilvl w:val="0"/>
          <w:numId w:val="51"/>
        </w:numPr>
        <w:rPr>
          <w:rFonts w:eastAsia="Times New Roman"/>
          <w:lang w:eastAsia="en-US"/>
        </w:rPr>
      </w:pPr>
      <w:r w:rsidRPr="00D07F8D">
        <w:rPr>
          <w:rFonts w:eastAsia="Times New Roman"/>
          <w:lang w:eastAsia="en-US"/>
        </w:rPr>
        <w:t>Improved signage</w:t>
      </w:r>
    </w:p>
    <w:p w14:paraId="6E6E4E52" w14:textId="77777777" w:rsidR="006D0D34" w:rsidRPr="007A6D94" w:rsidRDefault="006D0D34" w:rsidP="000616C8">
      <w:pPr>
        <w:pStyle w:val="ListParagraph"/>
        <w:numPr>
          <w:ilvl w:val="0"/>
          <w:numId w:val="51"/>
        </w:numPr>
        <w:rPr>
          <w:rFonts w:eastAsia="Times New Roman"/>
          <w:lang w:eastAsia="en-US"/>
        </w:rPr>
      </w:pPr>
      <w:r w:rsidRPr="00146F11">
        <w:rPr>
          <w:rFonts w:eastAsia="Times New Roman"/>
          <w:lang w:eastAsia="en-US"/>
        </w:rPr>
        <w:t>Expedited (and escorted) service for individuals with access and functional needs</w:t>
      </w:r>
    </w:p>
    <w:p w14:paraId="18BF9BA6" w14:textId="77777777" w:rsidR="006D0D34" w:rsidRPr="0090186A" w:rsidRDefault="006D0D34" w:rsidP="006D0D34">
      <w:pPr>
        <w:pStyle w:val="Heading3"/>
        <w:rPr>
          <w:color w:val="002060"/>
        </w:rPr>
      </w:pPr>
      <w:bookmarkStart w:id="142" w:name="_Toc484439948"/>
      <w:bookmarkStart w:id="143" w:name="_Toc11832771"/>
      <w:r w:rsidRPr="0090186A">
        <w:rPr>
          <w:color w:val="002060"/>
        </w:rPr>
        <w:t>Health, Safety &amp; Security Monitoring</w:t>
      </w:r>
      <w:bookmarkEnd w:id="142"/>
      <w:bookmarkEnd w:id="143"/>
    </w:p>
    <w:p w14:paraId="09C2EC86" w14:textId="77777777" w:rsidR="006D0D34" w:rsidRDefault="006D0D34" w:rsidP="00D5316B">
      <w:r>
        <w:t xml:space="preserve">During EDS operations, the </w:t>
      </w:r>
      <w:r w:rsidR="00687D64">
        <w:t xml:space="preserve">Safety Officer and </w:t>
      </w:r>
      <w:r w:rsidR="00D5316B">
        <w:t xml:space="preserve">security staff </w:t>
      </w:r>
      <w:r w:rsidR="00FF2317">
        <w:t>should monitor</w:t>
      </w:r>
      <w:r w:rsidR="00D5316B">
        <w:t xml:space="preserve"> </w:t>
      </w:r>
      <w:r>
        <w:t xml:space="preserve">the site for </w:t>
      </w:r>
      <w:r w:rsidR="00687D64">
        <w:t xml:space="preserve">any </w:t>
      </w:r>
      <w:r>
        <w:t>health, safety, and security</w:t>
      </w:r>
      <w:r w:rsidR="00687D64">
        <w:t xml:space="preserve"> concerns</w:t>
      </w:r>
      <w:r>
        <w:t xml:space="preserve">. </w:t>
      </w:r>
      <w:r w:rsidR="00F771E2">
        <w:t xml:space="preserve">The Safety Officer should routinely monitor for safety hazards within the site, as well as any client and staff injuries, documenting any actions taken in response.  </w:t>
      </w:r>
      <w:r>
        <w:t xml:space="preserve">The </w:t>
      </w:r>
      <w:r w:rsidR="00F771E2">
        <w:t>security staff</w:t>
      </w:r>
      <w:r>
        <w:t xml:space="preserve"> should routinely </w:t>
      </w:r>
      <w:r w:rsidR="00F771E2">
        <w:t>monitor in</w:t>
      </w:r>
      <w:r>
        <w:t>ternal and external security operations (and recommend changes as needed)</w:t>
      </w:r>
      <w:r w:rsidR="00F771E2">
        <w:t>, as well as c</w:t>
      </w:r>
      <w:r>
        <w:t xml:space="preserve">rowd management practices (and </w:t>
      </w:r>
      <w:r w:rsidR="00D5316B">
        <w:t>make recommendations to the ED</w:t>
      </w:r>
      <w:r w:rsidR="006B5F3D">
        <w:t>S</w:t>
      </w:r>
      <w:r w:rsidR="00D5316B">
        <w:t xml:space="preserve"> Manager </w:t>
      </w:r>
      <w:r>
        <w:t>relax practices or further restrict access as needed)</w:t>
      </w:r>
      <w:r w:rsidR="00F771E2">
        <w:t>.</w:t>
      </w:r>
      <w:r w:rsidR="00D5316B">
        <w:t xml:space="preserve"> </w:t>
      </w:r>
    </w:p>
    <w:p w14:paraId="15F89385" w14:textId="77777777" w:rsidR="006D0D34" w:rsidRDefault="006D0D34" w:rsidP="00D5316B"/>
    <w:p w14:paraId="7C4009B0" w14:textId="77777777" w:rsidR="006D0D34" w:rsidRPr="002E5325" w:rsidRDefault="00D5316B" w:rsidP="00D5316B">
      <w:r>
        <w:t>Within the Logistics section, t</w:t>
      </w:r>
      <w:r w:rsidR="006D0D34">
        <w:t xml:space="preserve">he Facility Officer </w:t>
      </w:r>
      <w:r w:rsidR="00687D64">
        <w:t xml:space="preserve">or other designated staff </w:t>
      </w:r>
      <w:r w:rsidR="006D0D34">
        <w:t xml:space="preserve">should routinely </w:t>
      </w:r>
      <w:r>
        <w:t xml:space="preserve">monitor and </w:t>
      </w:r>
      <w:r w:rsidR="006D0D34">
        <w:t>report on</w:t>
      </w:r>
      <w:r>
        <w:t xml:space="preserve"> the o</w:t>
      </w:r>
      <w:r w:rsidR="006D0D34">
        <w:t>perational readiness of the facility (including power, HVAC, restrooms)</w:t>
      </w:r>
      <w:r>
        <w:t>, a</w:t>
      </w:r>
      <w:r w:rsidR="006D0D34">
        <w:t>ccessibility of the facility (and address barriers or obstructions)</w:t>
      </w:r>
      <w:r>
        <w:t xml:space="preserve">, and medical and non-medical </w:t>
      </w:r>
      <w:r w:rsidR="006D0D34">
        <w:t>waste disposal</w:t>
      </w:r>
    </w:p>
    <w:p w14:paraId="3FC0A3DE" w14:textId="77777777" w:rsidR="006D0D34" w:rsidRPr="0090186A" w:rsidRDefault="006D0D34" w:rsidP="006D0D34">
      <w:pPr>
        <w:pStyle w:val="Heading3"/>
        <w:rPr>
          <w:color w:val="002060"/>
        </w:rPr>
      </w:pPr>
      <w:bookmarkStart w:id="144" w:name="_Toc484439949"/>
      <w:bookmarkStart w:id="145" w:name="_Toc11832772"/>
      <w:r w:rsidRPr="0090186A">
        <w:rPr>
          <w:color w:val="002060"/>
        </w:rPr>
        <w:t>Staff Monitoring</w:t>
      </w:r>
      <w:bookmarkEnd w:id="144"/>
      <w:bookmarkEnd w:id="145"/>
    </w:p>
    <w:p w14:paraId="5C5B4A19" w14:textId="77777777" w:rsidR="00D5316B" w:rsidRDefault="006D0D34" w:rsidP="00D5316B">
      <w:r>
        <w:t xml:space="preserve">During EDS </w:t>
      </w:r>
      <w:r w:rsidR="00821B91">
        <w:t>operations, the</w:t>
      </w:r>
      <w:r w:rsidR="00BB494B">
        <w:t xml:space="preserve"> Staff </w:t>
      </w:r>
      <w:r>
        <w:t>Resources Unit</w:t>
      </w:r>
      <w:r w:rsidR="00BB494B">
        <w:t>, within Planning should</w:t>
      </w:r>
      <w:r>
        <w:t xml:space="preserve"> monitor staffing levels, gather and implement staffing improvement recommendations, coordinate shift changes, and monitor staff services (e.g. feeding, housing, etc.). Each Unit Leader </w:t>
      </w:r>
      <w:r w:rsidR="00BB494B">
        <w:t xml:space="preserve">within Operations </w:t>
      </w:r>
      <w:r>
        <w:t>should periodically report on the unit staffing level as either</w:t>
      </w:r>
    </w:p>
    <w:p w14:paraId="353681BE" w14:textId="77777777" w:rsidR="00D5316B" w:rsidRDefault="00D5316B" w:rsidP="000616C8">
      <w:pPr>
        <w:pStyle w:val="ListParagraph"/>
        <w:numPr>
          <w:ilvl w:val="0"/>
          <w:numId w:val="53"/>
        </w:numPr>
      </w:pPr>
      <w:r>
        <w:t>S</w:t>
      </w:r>
      <w:r w:rsidR="006D0D34">
        <w:t>ufficient (staff are optimally utilized)</w:t>
      </w:r>
      <w:r>
        <w:t xml:space="preserve"> </w:t>
      </w:r>
    </w:p>
    <w:p w14:paraId="071C15A4" w14:textId="77777777" w:rsidR="00D5316B" w:rsidRDefault="00D5316B" w:rsidP="000616C8">
      <w:pPr>
        <w:pStyle w:val="ListParagraph"/>
        <w:numPr>
          <w:ilvl w:val="0"/>
          <w:numId w:val="53"/>
        </w:numPr>
      </w:pPr>
      <w:r>
        <w:t>I</w:t>
      </w:r>
      <w:r w:rsidR="006D0D34">
        <w:t xml:space="preserve">nsufficient (additional staff </w:t>
      </w:r>
      <w:r w:rsidR="00821B91">
        <w:t xml:space="preserve">needed) </w:t>
      </w:r>
      <w:r>
        <w:t xml:space="preserve"> </w:t>
      </w:r>
    </w:p>
    <w:p w14:paraId="5B76F038" w14:textId="77777777" w:rsidR="006D0D34" w:rsidRDefault="00D5316B" w:rsidP="000616C8">
      <w:pPr>
        <w:pStyle w:val="ListParagraph"/>
        <w:numPr>
          <w:ilvl w:val="0"/>
          <w:numId w:val="53"/>
        </w:numPr>
      </w:pPr>
      <w:r>
        <w:t>U</w:t>
      </w:r>
      <w:r w:rsidR="006D0D34">
        <w:t>nderutilized (staff available for reassignment)</w:t>
      </w:r>
    </w:p>
    <w:p w14:paraId="7CEA84A8" w14:textId="77777777" w:rsidR="006D0D34" w:rsidRDefault="006D0D34" w:rsidP="006D0D34">
      <w:r>
        <w:t>Prior to requesting additional staff, the Staff Resources Unit should utilize reassignments to address insufficient staffing.</w:t>
      </w:r>
    </w:p>
    <w:p w14:paraId="4BF02BF3" w14:textId="77777777" w:rsidR="006D0D34" w:rsidRDefault="006D0D34" w:rsidP="006D0D34">
      <w:r>
        <w:t>To coordinate shift changes, t</w:t>
      </w:r>
      <w:r w:rsidRPr="008D1052">
        <w:t>he Staff Resources Unit</w:t>
      </w:r>
      <w:r>
        <w:t xml:space="preserve"> should ensure</w:t>
      </w:r>
      <w:r w:rsidRPr="008D1052">
        <w:t xml:space="preserve"> that all incoming staff receive the JITT prior to receiving a briefing from the individual they will replace. Outgoing staff should be given time within their shift to sign-out, debrief with Behavioral Health, and complete medical screening (if needed).</w:t>
      </w:r>
      <w:r>
        <w:t xml:space="preserve"> </w:t>
      </w:r>
      <w:r w:rsidRPr="00D468E1">
        <w:t>At the end of each shift</w:t>
      </w:r>
      <w:r>
        <w:t xml:space="preserve">, Unit Leaders should instruct </w:t>
      </w:r>
      <w:r w:rsidRPr="00DA4187">
        <w:t>staff and volunteers</w:t>
      </w:r>
      <w:r>
        <w:t xml:space="preserve"> to:</w:t>
      </w:r>
    </w:p>
    <w:p w14:paraId="57D2DA20" w14:textId="77777777" w:rsidR="006D0D34" w:rsidRDefault="006D0D34" w:rsidP="000616C8">
      <w:pPr>
        <w:pStyle w:val="ListParagraph"/>
        <w:numPr>
          <w:ilvl w:val="0"/>
          <w:numId w:val="54"/>
        </w:numPr>
      </w:pPr>
      <w:r>
        <w:t>Complete their assigned duties (per their Job Action Sheet)</w:t>
      </w:r>
    </w:p>
    <w:p w14:paraId="4F06D717" w14:textId="77777777" w:rsidR="006D0D34" w:rsidRDefault="006D0D34" w:rsidP="000616C8">
      <w:pPr>
        <w:pStyle w:val="ListParagraph"/>
        <w:numPr>
          <w:ilvl w:val="0"/>
          <w:numId w:val="54"/>
        </w:numPr>
      </w:pPr>
      <w:r>
        <w:t>Clean up their work area or station</w:t>
      </w:r>
    </w:p>
    <w:p w14:paraId="5476628C" w14:textId="77777777" w:rsidR="006D0D34" w:rsidRDefault="006D0D34" w:rsidP="000616C8">
      <w:pPr>
        <w:pStyle w:val="ListParagraph"/>
        <w:numPr>
          <w:ilvl w:val="0"/>
          <w:numId w:val="54"/>
        </w:numPr>
      </w:pPr>
      <w:r>
        <w:t>Account for equipment and supplies used</w:t>
      </w:r>
    </w:p>
    <w:p w14:paraId="5CAF82DA" w14:textId="77777777" w:rsidR="006D0D34" w:rsidRDefault="006D0D34" w:rsidP="000616C8">
      <w:pPr>
        <w:pStyle w:val="ListParagraph"/>
        <w:numPr>
          <w:ilvl w:val="0"/>
          <w:numId w:val="54"/>
        </w:numPr>
      </w:pPr>
      <w:r>
        <w:t>Return all unused equipment and supplies (unless needed by their replacement)</w:t>
      </w:r>
    </w:p>
    <w:p w14:paraId="543BD7E9" w14:textId="77777777" w:rsidR="006D0D34" w:rsidRDefault="006D0D34" w:rsidP="000616C8">
      <w:pPr>
        <w:pStyle w:val="ListParagraph"/>
        <w:numPr>
          <w:ilvl w:val="0"/>
          <w:numId w:val="54"/>
        </w:numPr>
      </w:pPr>
      <w:r>
        <w:t>Complete required documentation</w:t>
      </w:r>
    </w:p>
    <w:p w14:paraId="16D6E302" w14:textId="77777777" w:rsidR="006D0D34" w:rsidRPr="00EF1563" w:rsidRDefault="006D0D34" w:rsidP="000616C8">
      <w:pPr>
        <w:pStyle w:val="ListParagraph"/>
        <w:numPr>
          <w:ilvl w:val="0"/>
          <w:numId w:val="54"/>
        </w:numPr>
      </w:pPr>
      <w:r>
        <w:t>Debrief with their shift replacement</w:t>
      </w:r>
    </w:p>
    <w:p w14:paraId="4CCF83A4" w14:textId="77777777" w:rsidR="006D0D34" w:rsidRPr="0090186A" w:rsidRDefault="006D0D34" w:rsidP="006D0D34">
      <w:pPr>
        <w:pStyle w:val="Heading3"/>
        <w:rPr>
          <w:color w:val="002060"/>
        </w:rPr>
      </w:pPr>
      <w:bookmarkStart w:id="146" w:name="_Toc484439950"/>
      <w:bookmarkStart w:id="147" w:name="_Toc11832773"/>
      <w:r w:rsidRPr="0090186A">
        <w:rPr>
          <w:color w:val="002060"/>
        </w:rPr>
        <w:t>Resource Monitoring</w:t>
      </w:r>
      <w:bookmarkEnd w:id="146"/>
      <w:bookmarkEnd w:id="147"/>
    </w:p>
    <w:p w14:paraId="4FFA0218" w14:textId="77777777" w:rsidR="006D0D34" w:rsidRDefault="006D0D34" w:rsidP="006D0D34">
      <w:r>
        <w:t>During EDS operations, the Inventory Management Unit should monitor resource levels and request resupply (when needed), maintain resources, and coordinate transfer of resources to closed EDS or other sites</w:t>
      </w:r>
      <w:r w:rsidR="00D5316B">
        <w:t xml:space="preserve"> as appropriate</w:t>
      </w:r>
      <w:r>
        <w:t>. Each Unit Leader should periodically report on the unit inventory levels as either:</w:t>
      </w:r>
    </w:p>
    <w:p w14:paraId="452F328D" w14:textId="77777777" w:rsidR="006D0D34" w:rsidRDefault="006D0D34" w:rsidP="000616C8">
      <w:pPr>
        <w:pStyle w:val="ListParagraph"/>
        <w:numPr>
          <w:ilvl w:val="0"/>
          <w:numId w:val="55"/>
        </w:numPr>
      </w:pPr>
      <w:r>
        <w:t>Sufficient (inventory above 50% of the anticipated need)</w:t>
      </w:r>
    </w:p>
    <w:p w14:paraId="3EB33147" w14:textId="77777777" w:rsidR="006D0D34" w:rsidRDefault="006D0D34" w:rsidP="000616C8">
      <w:pPr>
        <w:pStyle w:val="ListParagraph"/>
        <w:numPr>
          <w:ilvl w:val="0"/>
          <w:numId w:val="55"/>
        </w:numPr>
      </w:pPr>
      <w:r>
        <w:t>Insufficient (inventory below 50% of the anticipated need; resupply needed)</w:t>
      </w:r>
    </w:p>
    <w:p w14:paraId="7B763367" w14:textId="77777777" w:rsidR="006D0D34" w:rsidRDefault="006D0D34" w:rsidP="000616C8">
      <w:pPr>
        <w:pStyle w:val="ListParagraph"/>
        <w:numPr>
          <w:ilvl w:val="0"/>
          <w:numId w:val="55"/>
        </w:numPr>
      </w:pPr>
      <w:r>
        <w:t>Underutilized (low demand for resources; potentially available for repackaging or transfer)</w:t>
      </w:r>
    </w:p>
    <w:p w14:paraId="009EE29E" w14:textId="77777777" w:rsidR="006D0D34" w:rsidRPr="0075507F" w:rsidRDefault="006D0D34" w:rsidP="006D0D34">
      <w:r>
        <w:t xml:space="preserve">Reporting on consumable resources, especially critical and high demand </w:t>
      </w:r>
      <w:r w:rsidR="008021E6">
        <w:t>resources</w:t>
      </w:r>
      <w:r>
        <w:t xml:space="preserve"> should occur multiple times during each shift to avoid resource shortage. </w:t>
      </w:r>
      <w:r w:rsidRPr="00262CC8">
        <w:t xml:space="preserve">Resupply of the </w:t>
      </w:r>
      <w:r w:rsidR="0069462C">
        <w:t>MCM</w:t>
      </w:r>
      <w:r w:rsidR="0069462C" w:rsidRPr="00262CC8">
        <w:t xml:space="preserve"> </w:t>
      </w:r>
      <w:r w:rsidRPr="00262CC8">
        <w:t xml:space="preserve">resources </w:t>
      </w:r>
      <w:r>
        <w:t xml:space="preserve">may </w:t>
      </w:r>
      <w:r w:rsidRPr="00262CC8">
        <w:t xml:space="preserve">come from another </w:t>
      </w:r>
      <w:r>
        <w:t>EDS</w:t>
      </w:r>
      <w:r w:rsidRPr="00262CC8">
        <w:t xml:space="preserve"> or the RSS. </w:t>
      </w:r>
      <w:r w:rsidR="008021E6">
        <w:t xml:space="preserve"> A request for re-supply of M</w:t>
      </w:r>
      <w:r w:rsidR="0069462C">
        <w:t>CM</w:t>
      </w:r>
      <w:r w:rsidRPr="00262CC8">
        <w:t xml:space="preserve"> </w:t>
      </w:r>
      <w:r>
        <w:t>should be</w:t>
      </w:r>
      <w:r w:rsidRPr="00262CC8">
        <w:t xml:space="preserve"> directed to the </w:t>
      </w:r>
      <w:r w:rsidR="0069462C">
        <w:t xml:space="preserve">ESF-8 desk at the </w:t>
      </w:r>
      <w:r w:rsidRPr="00262CC8">
        <w:t>SEOC</w:t>
      </w:r>
      <w:r>
        <w:t xml:space="preserve"> (if activated) or the MDPH Duty Officer</w:t>
      </w:r>
      <w:r w:rsidRPr="00262CC8">
        <w:t xml:space="preserve"> and entered in </w:t>
      </w:r>
      <w:r w:rsidR="00181454">
        <w:t xml:space="preserve">the MDPH </w:t>
      </w:r>
      <w:r w:rsidRPr="00262CC8">
        <w:t>WebEOC for tracking.</w:t>
      </w:r>
      <w:r>
        <w:t xml:space="preserve"> The Inventory Management Unit should m</w:t>
      </w:r>
      <w:r w:rsidRPr="00981C66">
        <w:t>aintain situational awareness of changing needs or priorities that could impact inventory levels (e.g. weather, transportation</w:t>
      </w:r>
      <w:r>
        <w:t xml:space="preserve"> issues</w:t>
      </w:r>
      <w:r w:rsidRPr="00981C66">
        <w:t xml:space="preserve">, client surge, </w:t>
      </w:r>
      <w:r w:rsidR="00F85813" w:rsidRPr="00981C66">
        <w:t>etc.</w:t>
      </w:r>
      <w:r w:rsidRPr="00981C66">
        <w:t>)</w:t>
      </w:r>
      <w:r>
        <w:t>.</w:t>
      </w:r>
    </w:p>
    <w:p w14:paraId="6A6885F6" w14:textId="77777777" w:rsidR="006D0D34" w:rsidRPr="0090186A" w:rsidRDefault="006D0D34" w:rsidP="006D0D34">
      <w:pPr>
        <w:pStyle w:val="Heading3"/>
        <w:rPr>
          <w:color w:val="002060"/>
        </w:rPr>
      </w:pPr>
      <w:bookmarkStart w:id="148" w:name="_Toc482345857"/>
      <w:bookmarkStart w:id="149" w:name="_Toc484439951"/>
      <w:bookmarkStart w:id="150" w:name="_Toc11832774"/>
      <w:r w:rsidRPr="0090186A">
        <w:rPr>
          <w:color w:val="002060"/>
        </w:rPr>
        <w:t>Massachusetts Immunization Information System (MIIS)</w:t>
      </w:r>
      <w:bookmarkEnd w:id="148"/>
      <w:bookmarkEnd w:id="149"/>
      <w:bookmarkEnd w:id="150"/>
    </w:p>
    <w:p w14:paraId="46E821E8" w14:textId="77777777" w:rsidR="006D0D34" w:rsidRDefault="006D0D34" w:rsidP="006D0D34">
      <w:r>
        <w:t>The Massachusetts Immunization Information System (MIIS) provides a mechanism to establish a complete, accurate, secure, real-time immunization record for residents of Massachusetts of all ages. Providers have access to more complete immunization records of their patients and receive clinical decision support. Public health systems will use the information to help monitor and control vaccine preventable diseases. In the event of a pandemic, the MIIS will be used to document vaccine administration.</w:t>
      </w:r>
    </w:p>
    <w:p w14:paraId="5269AA08" w14:textId="77777777" w:rsidR="006D0D34" w:rsidRPr="0090186A" w:rsidRDefault="006D0D34" w:rsidP="006D0D34">
      <w:pPr>
        <w:pStyle w:val="Heading3"/>
        <w:rPr>
          <w:color w:val="002060"/>
        </w:rPr>
      </w:pPr>
      <w:bookmarkStart w:id="151" w:name="_Toc484439952"/>
      <w:bookmarkStart w:id="152" w:name="_Toc11832775"/>
      <w:r w:rsidRPr="0090186A">
        <w:rPr>
          <w:color w:val="002060"/>
        </w:rPr>
        <w:t>Vaccine Adverse Event Reporting System (VAERS)</w:t>
      </w:r>
      <w:bookmarkEnd w:id="151"/>
      <w:bookmarkEnd w:id="152"/>
    </w:p>
    <w:p w14:paraId="3AACCC33" w14:textId="77777777" w:rsidR="006D0D34" w:rsidRDefault="006D0D34" w:rsidP="006D0D34">
      <w:r>
        <w:t xml:space="preserve">The </w:t>
      </w:r>
      <w:hyperlink r:id="rId45" w:history="1">
        <w:r w:rsidRPr="007F3878">
          <w:rPr>
            <w:rStyle w:val="Hyperlink"/>
          </w:rPr>
          <w:t>Vaccine Adverse Event Reporting System</w:t>
        </w:r>
      </w:hyperlink>
      <w:r w:rsidR="00137B27">
        <w:rPr>
          <w:rStyle w:val="FootnoteReference"/>
          <w:color w:val="0563C1" w:themeColor="hyperlink"/>
          <w:u w:val="single"/>
        </w:rPr>
        <w:footnoteReference w:id="31"/>
      </w:r>
      <w:r>
        <w:t xml:space="preserve"> (VAERS) is a national vaccine safety surveillance program that is administered by the CDC and the FDA. During EDS operations that involve vaccine dispensing, clients </w:t>
      </w:r>
      <w:r w:rsidR="0069462C">
        <w:t xml:space="preserve">should be given written information </w:t>
      </w:r>
      <w:r>
        <w:t xml:space="preserve">about VAERS and reporting an adverse </w:t>
      </w:r>
      <w:r w:rsidR="008021E6">
        <w:t>event.</w:t>
      </w:r>
    </w:p>
    <w:p w14:paraId="12228B75" w14:textId="77777777" w:rsidR="00381A6D" w:rsidRDefault="00381A6D" w:rsidP="006D0D34">
      <w:pPr>
        <w:sectPr w:rsidR="00381A6D" w:rsidSect="00195543">
          <w:footerReference w:type="default" r:id="rId46"/>
          <w:pgSz w:w="12240" w:h="15840"/>
          <w:pgMar w:top="1440" w:right="1440" w:bottom="1440" w:left="1080" w:header="720" w:footer="720" w:gutter="0"/>
          <w:cols w:space="720"/>
          <w:docGrid w:linePitch="360"/>
        </w:sectPr>
      </w:pPr>
    </w:p>
    <w:p w14:paraId="524CD38E" w14:textId="77777777" w:rsidR="006D0D34" w:rsidRPr="0090186A" w:rsidRDefault="0090186A" w:rsidP="006D0D34">
      <w:pPr>
        <w:pStyle w:val="Heading1"/>
        <w:rPr>
          <w:color w:val="ED7D31" w:themeColor="accent2"/>
        </w:rPr>
      </w:pPr>
      <w:bookmarkStart w:id="153" w:name="_Toc484439959"/>
      <w:bookmarkStart w:id="154" w:name="_Toc11832776"/>
      <w:r w:rsidRPr="0090186A">
        <w:rPr>
          <w:color w:val="ED7D31" w:themeColor="accent2"/>
        </w:rPr>
        <w:t>DEMOBILIZATION &amp; RECOVERY</w:t>
      </w:r>
      <w:bookmarkEnd w:id="153"/>
      <w:bookmarkEnd w:id="154"/>
    </w:p>
    <w:p w14:paraId="685CD66F" w14:textId="77777777" w:rsidR="006D0D34" w:rsidRDefault="006D0D34" w:rsidP="006D0D34">
      <w:r>
        <w:t>Demobilization is the process of scaling back or ending the EDS operations. This chapter describes pre-event planning activities and a recommended operational framework for:</w:t>
      </w:r>
    </w:p>
    <w:p w14:paraId="4C9B5716" w14:textId="77777777" w:rsidR="006D0D34" w:rsidRDefault="006D0D34" w:rsidP="000616C8">
      <w:pPr>
        <w:pStyle w:val="ListParagraph"/>
        <w:numPr>
          <w:ilvl w:val="0"/>
          <w:numId w:val="58"/>
        </w:numPr>
      </w:pPr>
      <w:r>
        <w:t>Developing an incident and site-specific demobilization plan</w:t>
      </w:r>
    </w:p>
    <w:p w14:paraId="7E68BD02" w14:textId="77777777" w:rsidR="006D0D34" w:rsidRDefault="006D0D34" w:rsidP="000616C8">
      <w:pPr>
        <w:pStyle w:val="ListParagraph"/>
        <w:numPr>
          <w:ilvl w:val="0"/>
          <w:numId w:val="58"/>
        </w:numPr>
      </w:pPr>
      <w:r>
        <w:t>Repackaging, collecting, and returning resources</w:t>
      </w:r>
    </w:p>
    <w:p w14:paraId="1327E3A6" w14:textId="77777777" w:rsidR="006D0D34" w:rsidRDefault="006D0D34" w:rsidP="000616C8">
      <w:pPr>
        <w:pStyle w:val="ListParagraph"/>
        <w:numPr>
          <w:ilvl w:val="0"/>
          <w:numId w:val="58"/>
        </w:numPr>
      </w:pPr>
      <w:r>
        <w:t>Debriefing and releasing staff and volunteers and providing post-deployment services</w:t>
      </w:r>
    </w:p>
    <w:p w14:paraId="7C551CC3" w14:textId="77777777" w:rsidR="006D0D34" w:rsidRDefault="006D0D34" w:rsidP="000616C8">
      <w:pPr>
        <w:pStyle w:val="ListParagraph"/>
        <w:numPr>
          <w:ilvl w:val="0"/>
          <w:numId w:val="58"/>
        </w:numPr>
      </w:pPr>
      <w:r>
        <w:t>Site deactivation and damage assessments</w:t>
      </w:r>
    </w:p>
    <w:p w14:paraId="683D4D4A" w14:textId="77777777" w:rsidR="006D0D34" w:rsidRDefault="006D0D34" w:rsidP="000616C8">
      <w:pPr>
        <w:pStyle w:val="ListParagraph"/>
        <w:numPr>
          <w:ilvl w:val="0"/>
          <w:numId w:val="58"/>
        </w:numPr>
      </w:pPr>
      <w:r>
        <w:t>After action review, evaluation, and improvement planning</w:t>
      </w:r>
    </w:p>
    <w:p w14:paraId="12CAF1D1" w14:textId="77777777" w:rsidR="006D0D34" w:rsidRDefault="006D0D34" w:rsidP="000616C8">
      <w:pPr>
        <w:pStyle w:val="ListParagraph"/>
        <w:numPr>
          <w:ilvl w:val="0"/>
          <w:numId w:val="58"/>
        </w:numPr>
      </w:pPr>
      <w:r>
        <w:t>Participation in public health, healthcare, and behavioral health systems recovery</w:t>
      </w:r>
    </w:p>
    <w:p w14:paraId="0EABA1EA" w14:textId="77777777" w:rsidR="006D0D34" w:rsidRPr="0090186A" w:rsidRDefault="0090186A" w:rsidP="006D0D34">
      <w:pPr>
        <w:pStyle w:val="Heading2"/>
        <w:rPr>
          <w:color w:val="002060"/>
        </w:rPr>
      </w:pPr>
      <w:bookmarkStart w:id="155" w:name="_Toc484439960"/>
      <w:bookmarkStart w:id="156" w:name="_Toc11832777"/>
      <w:r w:rsidRPr="0090186A">
        <w:rPr>
          <w:color w:val="002060"/>
        </w:rPr>
        <w:t>EDS DEMOBILIZATION PLANNING</w:t>
      </w:r>
      <w:bookmarkEnd w:id="155"/>
      <w:bookmarkEnd w:id="156"/>
    </w:p>
    <w:p w14:paraId="696F5051" w14:textId="77777777" w:rsidR="006D0D34" w:rsidRPr="005056E7" w:rsidRDefault="006D0D34" w:rsidP="006D0D34">
      <w:r>
        <w:t xml:space="preserve">When responding to an incident, planning for demobilization of staff and resources and deactivation of the EDS should begin during the activation phase of the response. The decision to close the EDS will be situation-dependent and should be based on established criteria and </w:t>
      </w:r>
      <w:r w:rsidR="008021E6">
        <w:t xml:space="preserve">done in coordination </w:t>
      </w:r>
      <w:r>
        <w:t>with the MDPH.</w:t>
      </w:r>
    </w:p>
    <w:p w14:paraId="6E692A1C" w14:textId="77777777" w:rsidR="006D0D34" w:rsidRPr="0090186A" w:rsidRDefault="006D0D34" w:rsidP="006D0D34">
      <w:pPr>
        <w:pStyle w:val="Heading3"/>
        <w:rPr>
          <w:color w:val="002060"/>
        </w:rPr>
      </w:pPr>
      <w:bookmarkStart w:id="157" w:name="_Toc484439961"/>
      <w:bookmarkStart w:id="158" w:name="_Toc11832778"/>
      <w:r w:rsidRPr="0090186A">
        <w:rPr>
          <w:color w:val="002060"/>
        </w:rPr>
        <w:t>Demobilization Criteria</w:t>
      </w:r>
      <w:bookmarkEnd w:id="157"/>
      <w:bookmarkEnd w:id="158"/>
    </w:p>
    <w:p w14:paraId="53816995" w14:textId="77777777" w:rsidR="006D0D34" w:rsidRDefault="006D0D34" w:rsidP="006D0D34">
      <w:r>
        <w:t xml:space="preserve">The EDS Manager should determine when to demobilize staff, volunteers, and resources and when </w:t>
      </w:r>
      <w:r w:rsidR="00511797">
        <w:t xml:space="preserve">to </w:t>
      </w:r>
      <w:r>
        <w:t>close and deactivate the EDS. The timing for closing the EDS should weigh several possible criteria, including:</w:t>
      </w:r>
    </w:p>
    <w:p w14:paraId="26BC6B3F" w14:textId="77777777" w:rsidR="006D0D34" w:rsidRDefault="006D0D34" w:rsidP="006D0D34">
      <w:r w:rsidRPr="007F0457">
        <w:rPr>
          <w:b/>
        </w:rPr>
        <w:t>Status of the response objectives</w:t>
      </w:r>
      <w:r w:rsidR="008021E6">
        <w:rPr>
          <w:b/>
        </w:rPr>
        <w:t>:</w:t>
      </w:r>
      <w:r w:rsidRPr="007F0457">
        <w:rPr>
          <w:b/>
        </w:rPr>
        <w:t xml:space="preserve"> </w:t>
      </w:r>
      <w:r>
        <w:t>The EDS Manager should review the current IAP, situation reports, and dispensing data to determine if the response objectives have been sufficiently met. While it is not required that all objectives be met to close the EDS, specific attention should be given to the objectives that relate to dispensing targets.</w:t>
      </w:r>
    </w:p>
    <w:p w14:paraId="256B1BDE" w14:textId="77777777" w:rsidR="006D0D34" w:rsidRPr="00FA0E29" w:rsidRDefault="006D0D34" w:rsidP="006D0D34">
      <w:r w:rsidRPr="007F0457">
        <w:rPr>
          <w:b/>
        </w:rPr>
        <w:t xml:space="preserve">Status of the </w:t>
      </w:r>
      <w:r>
        <w:rPr>
          <w:b/>
        </w:rPr>
        <w:t>dispensing</w:t>
      </w:r>
      <w:r w:rsidRPr="007F0457">
        <w:rPr>
          <w:b/>
        </w:rPr>
        <w:t xml:space="preserve"> services</w:t>
      </w:r>
      <w:r>
        <w:rPr>
          <w:b/>
        </w:rPr>
        <w:t xml:space="preserve"> and resources</w:t>
      </w:r>
      <w:r w:rsidR="008021E6">
        <w:rPr>
          <w:b/>
        </w:rPr>
        <w:t>:</w:t>
      </w:r>
      <w:r>
        <w:rPr>
          <w:b/>
        </w:rPr>
        <w:t xml:space="preserve"> </w:t>
      </w:r>
      <w:r>
        <w:t>Dispensing data should be reviewed from each operational period and used to estimate the number of at-risk individuals who still require dispensing services. If applicable and available, this information should be compared to data from other local or neighboring EDS. Additionally, the EDS Manager</w:t>
      </w:r>
      <w:r w:rsidR="005244AD">
        <w:t xml:space="preserve">, working with Logistics, </w:t>
      </w:r>
      <w:r>
        <w:t>should evaluate if projected available staff and resource levels are sufficient to sustain the operations.</w:t>
      </w:r>
    </w:p>
    <w:p w14:paraId="1918CE2C" w14:textId="77777777" w:rsidR="006D0D34" w:rsidRPr="00E95DC1" w:rsidRDefault="006D0D34" w:rsidP="006D0D34">
      <w:r w:rsidRPr="00E95DC1">
        <w:rPr>
          <w:b/>
        </w:rPr>
        <w:t>Incident status and current threat intelligence</w:t>
      </w:r>
      <w:r w:rsidR="008021E6">
        <w:rPr>
          <w:b/>
        </w:rPr>
        <w:t>:</w:t>
      </w:r>
      <w:r>
        <w:t xml:space="preserve"> The EDS Manager should assess current situational awareness, surveillance, and threat intelligence and consult with </w:t>
      </w:r>
      <w:r w:rsidR="008021E6">
        <w:t>the MDPH</w:t>
      </w:r>
      <w:r>
        <w:t xml:space="preserve">, </w:t>
      </w:r>
      <w:r w:rsidR="008021E6">
        <w:t xml:space="preserve">and local </w:t>
      </w:r>
      <w:r>
        <w:t>emergency management and law enforcement agencies (when applicable) to validate the decision to close the EDS.</w:t>
      </w:r>
    </w:p>
    <w:p w14:paraId="67AA1C23" w14:textId="77777777" w:rsidR="006D0D34" w:rsidRPr="00BC3D80" w:rsidRDefault="006D0D34" w:rsidP="006D0D34">
      <w:r>
        <w:rPr>
          <w:b/>
        </w:rPr>
        <w:t>Change in s</w:t>
      </w:r>
      <w:r w:rsidRPr="005C042A">
        <w:rPr>
          <w:b/>
        </w:rPr>
        <w:t>tatus of the site</w:t>
      </w:r>
      <w:r w:rsidR="008021E6">
        <w:rPr>
          <w:b/>
        </w:rPr>
        <w:t>:</w:t>
      </w:r>
      <w:r>
        <w:t xml:space="preserve"> If it is determined that an EDS is no longer suitable for the dispensing services (e.g. power failure, security breach, </w:t>
      </w:r>
      <w:r w:rsidR="00F85813">
        <w:t>etc.</w:t>
      </w:r>
      <w:r>
        <w:t>), the EDS Manager should immediately notify local health and emergency management. A decision should be made to re-establish the EDS at an identified back-up location, redeploy to other local or neighboring EDS, or fully deactivate the site. The need to regain social order in the community (e.g. return students to school, etc.) is another factor that may influence the decision to close the EDS.</w:t>
      </w:r>
    </w:p>
    <w:p w14:paraId="040666BA" w14:textId="77777777" w:rsidR="006D0D34" w:rsidRPr="0090186A" w:rsidRDefault="006D0D34" w:rsidP="006D0D34">
      <w:pPr>
        <w:pStyle w:val="Heading3"/>
        <w:rPr>
          <w:color w:val="002060"/>
        </w:rPr>
      </w:pPr>
      <w:bookmarkStart w:id="159" w:name="_Toc484439962"/>
      <w:bookmarkStart w:id="160" w:name="_Toc11832779"/>
      <w:r w:rsidRPr="0090186A">
        <w:rPr>
          <w:color w:val="002060"/>
        </w:rPr>
        <w:t>Demobilization Plan (site-specific)</w:t>
      </w:r>
      <w:bookmarkEnd w:id="159"/>
      <w:bookmarkEnd w:id="160"/>
    </w:p>
    <w:p w14:paraId="049F924A" w14:textId="77777777" w:rsidR="006D0D34" w:rsidRDefault="006D0D34" w:rsidP="006D0D34">
      <w:r>
        <w:t xml:space="preserve">Once it is determined that the EDS will close, the EDS Manager should </w:t>
      </w:r>
      <w:r w:rsidR="005244AD">
        <w:t xml:space="preserve">work with the Planning section to </w:t>
      </w:r>
      <w:r>
        <w:t>develop an incident and site-specific demobilization plan that includes:</w:t>
      </w:r>
    </w:p>
    <w:p w14:paraId="78BBD481" w14:textId="77777777" w:rsidR="006D0D34" w:rsidRDefault="006D0D34" w:rsidP="000616C8">
      <w:pPr>
        <w:pStyle w:val="ListParagraph"/>
        <w:numPr>
          <w:ilvl w:val="0"/>
          <w:numId w:val="59"/>
        </w:numPr>
      </w:pPr>
      <w:r>
        <w:t>Timeline for full EDS deactivation</w:t>
      </w:r>
    </w:p>
    <w:p w14:paraId="58D45ED5" w14:textId="77777777" w:rsidR="006D0D34" w:rsidRDefault="006D0D34" w:rsidP="000616C8">
      <w:pPr>
        <w:pStyle w:val="ListParagraph"/>
        <w:numPr>
          <w:ilvl w:val="0"/>
          <w:numId w:val="59"/>
        </w:numPr>
      </w:pPr>
      <w:r>
        <w:t>Actions for phased or full resource demobilization including storage of remaining MCM</w:t>
      </w:r>
    </w:p>
    <w:p w14:paraId="664708E3" w14:textId="77777777" w:rsidR="006D0D34" w:rsidRDefault="006D0D34" w:rsidP="000616C8">
      <w:pPr>
        <w:pStyle w:val="ListParagraph"/>
        <w:numPr>
          <w:ilvl w:val="0"/>
          <w:numId w:val="59"/>
        </w:numPr>
      </w:pPr>
      <w:r>
        <w:t>Actions for phased or full staff and volunteer demobilization</w:t>
      </w:r>
    </w:p>
    <w:p w14:paraId="4E2CE1CD" w14:textId="77777777" w:rsidR="006D0D34" w:rsidRDefault="006D0D34" w:rsidP="000616C8">
      <w:pPr>
        <w:pStyle w:val="ListParagraph"/>
        <w:numPr>
          <w:ilvl w:val="0"/>
          <w:numId w:val="59"/>
        </w:numPr>
      </w:pPr>
      <w:r>
        <w:t>Actions for public information and media notifications on EDS closure and alternate services</w:t>
      </w:r>
    </w:p>
    <w:p w14:paraId="2ADF608C" w14:textId="77777777" w:rsidR="006D0D34" w:rsidRDefault="006D0D34" w:rsidP="000616C8">
      <w:pPr>
        <w:pStyle w:val="ListParagraph"/>
        <w:numPr>
          <w:ilvl w:val="0"/>
          <w:numId w:val="59"/>
        </w:numPr>
      </w:pPr>
      <w:r>
        <w:t>Schedule for debriefs and hot wash</w:t>
      </w:r>
    </w:p>
    <w:p w14:paraId="5687A3FD" w14:textId="77777777" w:rsidR="006D0D34" w:rsidRPr="003D595B" w:rsidRDefault="006D0D34" w:rsidP="006D0D34">
      <w:r>
        <w:t xml:space="preserve">Prior to implementing the demobilization plan and issuing a stand-down request to partner agencies, the EDS Manager should </w:t>
      </w:r>
      <w:r w:rsidR="00F07914">
        <w:t>contact</w:t>
      </w:r>
      <w:r>
        <w:t xml:space="preserve"> the </w:t>
      </w:r>
      <w:r w:rsidR="00F07914">
        <w:t xml:space="preserve">ESF-8 desk at the </w:t>
      </w:r>
      <w:r>
        <w:t xml:space="preserve">SEOC (if activated) or the MDPH Duty Officer </w:t>
      </w:r>
      <w:r w:rsidR="00F07914">
        <w:t xml:space="preserve">to </w:t>
      </w:r>
      <w:r>
        <w:t>confirm their demobilization status. The EDS Manager and the command and general staff are responsible for implementing the demobilization plan and for closing and deactivating the site.</w:t>
      </w:r>
    </w:p>
    <w:p w14:paraId="2CAB058A" w14:textId="77777777" w:rsidR="006D0D34" w:rsidRPr="0090186A" w:rsidRDefault="006D0D34" w:rsidP="006D0D34">
      <w:pPr>
        <w:pStyle w:val="Heading3"/>
        <w:rPr>
          <w:color w:val="002060"/>
        </w:rPr>
      </w:pPr>
      <w:bookmarkStart w:id="161" w:name="_Toc484439963"/>
      <w:bookmarkStart w:id="162" w:name="_Toc11832780"/>
      <w:r w:rsidRPr="0090186A">
        <w:rPr>
          <w:color w:val="002060"/>
        </w:rPr>
        <w:t>Stand-down Notification</w:t>
      </w:r>
      <w:bookmarkEnd w:id="161"/>
      <w:bookmarkEnd w:id="162"/>
    </w:p>
    <w:p w14:paraId="380056CD" w14:textId="77777777" w:rsidR="006D0D34" w:rsidRDefault="006D0D34" w:rsidP="006D0D34">
      <w:r>
        <w:t>Once the demobilization plan has been completed, the EDS</w:t>
      </w:r>
      <w:r w:rsidRPr="007F6FD5">
        <w:t xml:space="preserve"> L</w:t>
      </w:r>
      <w:r>
        <w:t>iaison Officer should notify partner agencies of the stand-down request including:</w:t>
      </w:r>
    </w:p>
    <w:p w14:paraId="000EBDE2" w14:textId="77777777" w:rsidR="006D0D34" w:rsidRDefault="006D0D34" w:rsidP="000616C8">
      <w:pPr>
        <w:pStyle w:val="ListParagraph"/>
        <w:numPr>
          <w:ilvl w:val="0"/>
          <w:numId w:val="60"/>
        </w:numPr>
        <w:ind w:left="720"/>
      </w:pPr>
      <w:r>
        <w:t>Instructions to phase down or discontinue staff and resource deployment</w:t>
      </w:r>
    </w:p>
    <w:p w14:paraId="50973E8C" w14:textId="77777777" w:rsidR="006D0D34" w:rsidRDefault="006D0D34" w:rsidP="000616C8">
      <w:pPr>
        <w:pStyle w:val="ListParagraph"/>
        <w:numPr>
          <w:ilvl w:val="0"/>
          <w:numId w:val="60"/>
        </w:numPr>
        <w:ind w:left="720"/>
      </w:pPr>
      <w:r>
        <w:t>Timing and process for release of staff and volunteers from the EDS</w:t>
      </w:r>
    </w:p>
    <w:p w14:paraId="55476A95" w14:textId="77777777" w:rsidR="006D0D34" w:rsidRDefault="006D0D34" w:rsidP="000616C8">
      <w:pPr>
        <w:pStyle w:val="ListParagraph"/>
        <w:numPr>
          <w:ilvl w:val="0"/>
          <w:numId w:val="60"/>
        </w:numPr>
        <w:ind w:left="720"/>
      </w:pPr>
      <w:r>
        <w:t>Timing and process for return of resources (e.g. dollies, stanchions, etc.) to points of origin</w:t>
      </w:r>
    </w:p>
    <w:p w14:paraId="2FD0C8EC" w14:textId="77777777" w:rsidR="006D0D34" w:rsidRPr="006C713A" w:rsidRDefault="006D0D34" w:rsidP="006D0D34">
      <w:r>
        <w:t>Additionally, the EDS PIO should notify the media and the public of the timing of the EDS closure and provide information about alternate dispensing services. The public information notifications should be reviewed and approved by the EDS Manager prior to their release.</w:t>
      </w:r>
    </w:p>
    <w:p w14:paraId="77B8C3B2" w14:textId="77777777" w:rsidR="006D0D34" w:rsidRPr="0090186A" w:rsidRDefault="0090186A" w:rsidP="006D0D34">
      <w:pPr>
        <w:pStyle w:val="Heading2"/>
        <w:rPr>
          <w:color w:val="002060"/>
        </w:rPr>
      </w:pPr>
      <w:bookmarkStart w:id="163" w:name="_Toc484439964"/>
      <w:bookmarkStart w:id="164" w:name="_Toc11832781"/>
      <w:r w:rsidRPr="0090186A">
        <w:rPr>
          <w:color w:val="002060"/>
        </w:rPr>
        <w:t>EDS RESOURCE DEMOBILIZATION</w:t>
      </w:r>
      <w:bookmarkEnd w:id="163"/>
      <w:bookmarkEnd w:id="164"/>
    </w:p>
    <w:p w14:paraId="06388C30" w14:textId="77777777" w:rsidR="006D0D34" w:rsidRPr="000F5072" w:rsidRDefault="006D0D34" w:rsidP="006D0D34">
      <w:pPr>
        <w:rPr>
          <w:highlight w:val="yellow"/>
        </w:rPr>
      </w:pPr>
      <w:r w:rsidRPr="007713C0">
        <w:t xml:space="preserve">Resource demobilization should occur prior to staff demobilization to provide adequate staffing to inventory unused resources and </w:t>
      </w:r>
      <w:r>
        <w:t>prepare</w:t>
      </w:r>
      <w:r w:rsidRPr="007713C0">
        <w:t xml:space="preserve"> them for return. The inventory </w:t>
      </w:r>
      <w:r>
        <w:t>totals for</w:t>
      </w:r>
      <w:r w:rsidRPr="007713C0">
        <w:t xml:space="preserve"> the unused MCM should be reported to the M</w:t>
      </w:r>
      <w:r>
        <w:t>DPH and the unused MCM should be</w:t>
      </w:r>
      <w:r w:rsidRPr="007713C0">
        <w:t xml:space="preserve"> directed to local health to determine storage. During resource demobilization, the Inventory Management Unit should review the demobilization plan and coordinate with each Unit Leader to:</w:t>
      </w:r>
    </w:p>
    <w:p w14:paraId="4266BF1D" w14:textId="77777777" w:rsidR="006D0D34" w:rsidRPr="002511A3" w:rsidRDefault="006D0D34" w:rsidP="000616C8">
      <w:pPr>
        <w:pStyle w:val="ListParagraph"/>
        <w:numPr>
          <w:ilvl w:val="0"/>
          <w:numId w:val="61"/>
        </w:numPr>
      </w:pPr>
      <w:r w:rsidRPr="002511A3">
        <w:t>Implement a phased or full demobilization of resources</w:t>
      </w:r>
    </w:p>
    <w:p w14:paraId="7ABEA5C8" w14:textId="77777777" w:rsidR="006D0D34" w:rsidRPr="002511A3" w:rsidRDefault="006D0D34" w:rsidP="000616C8">
      <w:pPr>
        <w:pStyle w:val="ListParagraph"/>
        <w:numPr>
          <w:ilvl w:val="0"/>
          <w:numId w:val="61"/>
        </w:numPr>
      </w:pPr>
      <w:r w:rsidRPr="002511A3">
        <w:t>Inventory and repackage all resources and document loss and damage</w:t>
      </w:r>
    </w:p>
    <w:p w14:paraId="7EEAD939" w14:textId="77777777" w:rsidR="006D0D34" w:rsidRPr="002511A3" w:rsidRDefault="006D0D34" w:rsidP="000616C8">
      <w:pPr>
        <w:pStyle w:val="ListParagraph"/>
        <w:numPr>
          <w:ilvl w:val="0"/>
          <w:numId w:val="61"/>
        </w:numPr>
      </w:pPr>
      <w:r w:rsidRPr="002511A3">
        <w:t>Collect, temporarily store, and return non-MCM resources to points of origin</w:t>
      </w:r>
    </w:p>
    <w:p w14:paraId="129C4B62" w14:textId="77777777" w:rsidR="006D0D34" w:rsidRPr="002511A3" w:rsidRDefault="006D0D34" w:rsidP="000616C8">
      <w:pPr>
        <w:pStyle w:val="ListParagraph"/>
        <w:numPr>
          <w:ilvl w:val="0"/>
          <w:numId w:val="61"/>
        </w:numPr>
      </w:pPr>
      <w:r w:rsidRPr="002511A3">
        <w:t>Direct MCM resources to local health to determine storage</w:t>
      </w:r>
    </w:p>
    <w:p w14:paraId="1104A2D4" w14:textId="77777777" w:rsidR="006D0D34" w:rsidRPr="002511A3" w:rsidRDefault="006D0D34" w:rsidP="000616C8">
      <w:pPr>
        <w:pStyle w:val="ListParagraph"/>
        <w:numPr>
          <w:ilvl w:val="0"/>
          <w:numId w:val="61"/>
        </w:numPr>
      </w:pPr>
      <w:r w:rsidRPr="002511A3">
        <w:t>Return all site resources to storage location</w:t>
      </w:r>
    </w:p>
    <w:p w14:paraId="79E769A4" w14:textId="77777777" w:rsidR="006D0D34" w:rsidRPr="0090186A" w:rsidRDefault="006D0D34" w:rsidP="006D0D34">
      <w:pPr>
        <w:pStyle w:val="Heading3"/>
        <w:rPr>
          <w:color w:val="002060"/>
        </w:rPr>
      </w:pPr>
      <w:bookmarkStart w:id="165" w:name="_Toc484439965"/>
      <w:bookmarkStart w:id="166" w:name="_Toc11832782"/>
      <w:r w:rsidRPr="0090186A">
        <w:rPr>
          <w:color w:val="002060"/>
        </w:rPr>
        <w:t>Inventory, Repackaging &amp; Loss and Damage</w:t>
      </w:r>
      <w:bookmarkEnd w:id="165"/>
      <w:bookmarkEnd w:id="166"/>
    </w:p>
    <w:p w14:paraId="3DCCB57C" w14:textId="77777777" w:rsidR="006D0D34" w:rsidRPr="00AF2915" w:rsidRDefault="006D0D34" w:rsidP="006D0D34">
      <w:r>
        <w:t xml:space="preserve">When demobilizing resources, each Unit in the EDS should conduct an inventory of </w:t>
      </w:r>
      <w:r w:rsidR="008021E6">
        <w:t xml:space="preserve">its </w:t>
      </w:r>
      <w:r>
        <w:t>remaining resources, repackage them for collection by the Inventory Management Unit, and provide an updated inventory of the resources that were assigned to the Unit. If resource demobilization will be phased to allow for continued dispensing services, the Unit should retain sufficient resources until demobilization is fully implemented. Each Unit should also document any loss or damage to resources that were assigned to the Unit for submission to the Inventory Management Unit.</w:t>
      </w:r>
    </w:p>
    <w:p w14:paraId="715B2817" w14:textId="77777777" w:rsidR="006D0D34" w:rsidRPr="0090186A" w:rsidRDefault="006D0D34" w:rsidP="006D0D34">
      <w:pPr>
        <w:pStyle w:val="Heading3"/>
        <w:rPr>
          <w:color w:val="002060"/>
        </w:rPr>
      </w:pPr>
      <w:bookmarkStart w:id="167" w:name="_Toc484439966"/>
      <w:bookmarkStart w:id="168" w:name="_Toc11832783"/>
      <w:r w:rsidRPr="0090186A">
        <w:rPr>
          <w:color w:val="002060"/>
        </w:rPr>
        <w:t>Collection, Storage &amp; Transportation</w:t>
      </w:r>
      <w:bookmarkEnd w:id="167"/>
      <w:bookmarkEnd w:id="168"/>
    </w:p>
    <w:p w14:paraId="511DF696" w14:textId="77777777" w:rsidR="006D0D34" w:rsidRDefault="006D0D34" w:rsidP="006D0D34">
      <w:r>
        <w:t xml:space="preserve">The Inventory Management Unit should collect the repackaged resources from each Unit in the EDS, reconcile the updated inventory, and temporarily store them in a secured area until </w:t>
      </w:r>
      <w:r w:rsidR="00D728CC">
        <w:t>further directions</w:t>
      </w:r>
      <w:r w:rsidR="00D728CC" w:rsidRPr="00D728CC">
        <w:t xml:space="preserve"> </w:t>
      </w:r>
      <w:r w:rsidR="00D728CC">
        <w:t>provided by OPEM</w:t>
      </w:r>
      <w:r>
        <w:t xml:space="preserve">. For items that require cold chain storage, the Inventory Management Unit should ensure proper cold chain management until they are transported from the EDS to a location arranged by the LBOH. </w:t>
      </w:r>
      <w:r w:rsidRPr="00166FC0">
        <w:t>Local health should coordinate with any Closed EDS</w:t>
      </w:r>
      <w:r w:rsidR="00D728CC">
        <w:t>s</w:t>
      </w:r>
      <w:r w:rsidRPr="00166FC0">
        <w:t xml:space="preserve"> to either arrange for return of the unused MCM or agree to store the unused MCM at the Closed EDS</w:t>
      </w:r>
      <w:r w:rsidR="00F07914">
        <w:t xml:space="preserve"> facility</w:t>
      </w:r>
      <w:r w:rsidRPr="00166FC0">
        <w:t>.</w:t>
      </w:r>
    </w:p>
    <w:p w14:paraId="0589B8A1" w14:textId="77777777" w:rsidR="006D0D34" w:rsidRPr="000B363D" w:rsidRDefault="006D0D34" w:rsidP="006D0D34">
      <w:r w:rsidRPr="00F66755">
        <w:t xml:space="preserve">The </w:t>
      </w:r>
      <w:r w:rsidR="008021E6" w:rsidRPr="00F66755">
        <w:t>Logistics section</w:t>
      </w:r>
      <w:r w:rsidRPr="00F66755">
        <w:t xml:space="preserve"> should arrange for appropriate transportation assets to return the non-MCM resources to the points of origin, a temporary storage location (if needed), or another EDS (if being redeployed).</w:t>
      </w:r>
    </w:p>
    <w:p w14:paraId="0F7CADB1" w14:textId="77777777" w:rsidR="006D0D34" w:rsidRPr="0090186A" w:rsidRDefault="006D0D34" w:rsidP="006D0D34">
      <w:pPr>
        <w:pStyle w:val="Heading3"/>
        <w:rPr>
          <w:color w:val="002060"/>
        </w:rPr>
      </w:pPr>
      <w:bookmarkStart w:id="169" w:name="_Toc484439967"/>
      <w:bookmarkStart w:id="170" w:name="_Toc11832784"/>
      <w:r w:rsidRPr="0090186A">
        <w:rPr>
          <w:color w:val="002060"/>
        </w:rPr>
        <w:t>Site-Owned Resources</w:t>
      </w:r>
      <w:bookmarkEnd w:id="169"/>
      <w:bookmarkEnd w:id="170"/>
    </w:p>
    <w:p w14:paraId="3D20116E" w14:textId="77777777" w:rsidR="006D0D34" w:rsidRPr="00C81DBB" w:rsidRDefault="006D0D34" w:rsidP="006D0D34">
      <w:r>
        <w:t>The Facility Officer</w:t>
      </w:r>
      <w:r w:rsidR="00F07914">
        <w:t xml:space="preserve"> or other Logistics staff</w:t>
      </w:r>
      <w:r>
        <w:t xml:space="preserve"> should coordinate with the on-site custodial staff to collect, inventory, and return all site-owned resources to storage (e.g. tables, chairs, </w:t>
      </w:r>
      <w:r w:rsidR="00F85813">
        <w:t>etc.</w:t>
      </w:r>
      <w:r>
        <w:t xml:space="preserve">). </w:t>
      </w:r>
      <w:r w:rsidR="00F07914">
        <w:t>A</w:t>
      </w:r>
      <w:r>
        <w:t xml:space="preserve">ny loss or damage to site-owned resources </w:t>
      </w:r>
      <w:r w:rsidR="00F07914">
        <w:t xml:space="preserve">should be documented </w:t>
      </w:r>
      <w:r>
        <w:t>and report</w:t>
      </w:r>
      <w:r w:rsidR="00F07914">
        <w:t>ed</w:t>
      </w:r>
      <w:r>
        <w:t xml:space="preserve"> to the EDS Manager for review and verification.</w:t>
      </w:r>
    </w:p>
    <w:p w14:paraId="1249704C" w14:textId="77777777" w:rsidR="006D0D34" w:rsidRPr="0090186A" w:rsidRDefault="0090186A" w:rsidP="006D0D34">
      <w:pPr>
        <w:pStyle w:val="Heading2"/>
        <w:rPr>
          <w:color w:val="002060"/>
        </w:rPr>
      </w:pPr>
      <w:bookmarkStart w:id="171" w:name="_Toc484439968"/>
      <w:bookmarkStart w:id="172" w:name="_Toc11832785"/>
      <w:r w:rsidRPr="0090186A">
        <w:rPr>
          <w:color w:val="002060"/>
        </w:rPr>
        <w:t>EDS STAFF DEMOBILIZATION</w:t>
      </w:r>
      <w:bookmarkEnd w:id="171"/>
      <w:bookmarkEnd w:id="172"/>
    </w:p>
    <w:p w14:paraId="2665C417" w14:textId="77777777" w:rsidR="006D0D34" w:rsidRDefault="006D0D34" w:rsidP="006D0D34">
      <w:r>
        <w:t>During staff demobilization, the Staff Resources Unit should review the demobilization plan and coordinate with each Unit Leader to:</w:t>
      </w:r>
    </w:p>
    <w:p w14:paraId="29206DD7" w14:textId="77777777" w:rsidR="006D0D34" w:rsidRDefault="006D0D34" w:rsidP="000616C8">
      <w:pPr>
        <w:pStyle w:val="ListParagraph"/>
        <w:numPr>
          <w:ilvl w:val="0"/>
          <w:numId w:val="65"/>
        </w:numPr>
      </w:pPr>
      <w:r>
        <w:t>Implement a phased or full demobilization of staff and volunteers</w:t>
      </w:r>
    </w:p>
    <w:p w14:paraId="5C228F85" w14:textId="77777777" w:rsidR="006D0D34" w:rsidRDefault="006D0D34" w:rsidP="000616C8">
      <w:pPr>
        <w:pStyle w:val="ListParagraph"/>
        <w:numPr>
          <w:ilvl w:val="0"/>
          <w:numId w:val="65"/>
        </w:numPr>
      </w:pPr>
      <w:r>
        <w:t>Debrief staff and volunteers and compile improvement recommendations</w:t>
      </w:r>
    </w:p>
    <w:p w14:paraId="34E8C6EC" w14:textId="77777777" w:rsidR="006D0D34" w:rsidRPr="008D4C21" w:rsidRDefault="006D0D34" w:rsidP="000616C8">
      <w:pPr>
        <w:pStyle w:val="ListParagraph"/>
        <w:numPr>
          <w:ilvl w:val="0"/>
          <w:numId w:val="65"/>
        </w:numPr>
      </w:pPr>
      <w:r>
        <w:t>Provide post-deployment staff and volunteer services (as needed)</w:t>
      </w:r>
    </w:p>
    <w:p w14:paraId="61240AE6" w14:textId="77777777" w:rsidR="006D0D34" w:rsidRPr="0090186A" w:rsidRDefault="006D0D34" w:rsidP="006D0D34">
      <w:pPr>
        <w:pStyle w:val="Heading3"/>
        <w:rPr>
          <w:color w:val="002060"/>
        </w:rPr>
      </w:pPr>
      <w:bookmarkStart w:id="173" w:name="_Toc484439969"/>
      <w:bookmarkStart w:id="174" w:name="_Toc11832786"/>
      <w:r w:rsidRPr="0090186A">
        <w:rPr>
          <w:color w:val="002060"/>
        </w:rPr>
        <w:t>Staff Release, Debrief &amp; Hot Wash</w:t>
      </w:r>
      <w:bookmarkEnd w:id="173"/>
      <w:bookmarkEnd w:id="174"/>
    </w:p>
    <w:p w14:paraId="3EC2F81D" w14:textId="77777777" w:rsidR="006D0D34" w:rsidRDefault="006D0D34" w:rsidP="006D0D34">
      <w:r>
        <w:t xml:space="preserve">Based on the demobilization plan, Unit Leaders </w:t>
      </w:r>
      <w:r w:rsidR="00F85813">
        <w:t xml:space="preserve">should coordinate </w:t>
      </w:r>
      <w:r>
        <w:t xml:space="preserve">release </w:t>
      </w:r>
      <w:r w:rsidR="00F85813">
        <w:t xml:space="preserve">of </w:t>
      </w:r>
      <w:r>
        <w:t>staff in phases or through consolidation of units, at the end of the shift or operational period, or immediately. S</w:t>
      </w:r>
      <w:r w:rsidRPr="00DA4187">
        <w:t>taff and volunteers</w:t>
      </w:r>
      <w:r>
        <w:t xml:space="preserve"> should be instructed to:</w:t>
      </w:r>
    </w:p>
    <w:p w14:paraId="58B55337" w14:textId="77777777" w:rsidR="006D0D34" w:rsidRDefault="006D0D34" w:rsidP="000616C8">
      <w:pPr>
        <w:pStyle w:val="ListParagraph"/>
        <w:numPr>
          <w:ilvl w:val="0"/>
          <w:numId w:val="54"/>
        </w:numPr>
      </w:pPr>
      <w:r>
        <w:t>Complete their assigned duties (per the Job Action Sheet)</w:t>
      </w:r>
    </w:p>
    <w:p w14:paraId="3F464749" w14:textId="77777777" w:rsidR="006D0D34" w:rsidRDefault="006D0D34" w:rsidP="000616C8">
      <w:pPr>
        <w:pStyle w:val="ListParagraph"/>
        <w:numPr>
          <w:ilvl w:val="0"/>
          <w:numId w:val="54"/>
        </w:numPr>
      </w:pPr>
      <w:r>
        <w:t>Clean up their work area or station</w:t>
      </w:r>
    </w:p>
    <w:p w14:paraId="0629A15A" w14:textId="77777777" w:rsidR="006D0D34" w:rsidRDefault="006D0D34" w:rsidP="000616C8">
      <w:pPr>
        <w:pStyle w:val="ListParagraph"/>
        <w:numPr>
          <w:ilvl w:val="0"/>
          <w:numId w:val="54"/>
        </w:numPr>
      </w:pPr>
      <w:r>
        <w:t>Account for equipment and supplies used</w:t>
      </w:r>
    </w:p>
    <w:p w14:paraId="061FA768" w14:textId="77777777" w:rsidR="006D0D34" w:rsidRDefault="006D0D34" w:rsidP="000616C8">
      <w:pPr>
        <w:pStyle w:val="ListParagraph"/>
        <w:numPr>
          <w:ilvl w:val="0"/>
          <w:numId w:val="54"/>
        </w:numPr>
      </w:pPr>
      <w:r>
        <w:t>Return all unused or durable equipment and supplies</w:t>
      </w:r>
    </w:p>
    <w:p w14:paraId="0765EC9E" w14:textId="77777777" w:rsidR="006D0D34" w:rsidRDefault="006D0D34" w:rsidP="000616C8">
      <w:pPr>
        <w:pStyle w:val="ListParagraph"/>
        <w:numPr>
          <w:ilvl w:val="0"/>
          <w:numId w:val="54"/>
        </w:numPr>
      </w:pPr>
      <w:r>
        <w:t>Complete required documentation</w:t>
      </w:r>
    </w:p>
    <w:p w14:paraId="6C3326D6" w14:textId="77777777" w:rsidR="006D0D34" w:rsidRDefault="006D0D34" w:rsidP="006D0D34">
      <w:r>
        <w:t>The EDS Manager should coordinate with the Staff Resources Unit to debrief with staff and volunteers, collect feedback on EDS operations, compile improvement recommendations, and provide information on post-deployment staff services. At minimum, the staff debrief should collect:</w:t>
      </w:r>
    </w:p>
    <w:p w14:paraId="0165DDDA" w14:textId="77777777" w:rsidR="006D0D34" w:rsidRDefault="006D0D34" w:rsidP="000616C8">
      <w:pPr>
        <w:pStyle w:val="ListParagraph"/>
        <w:numPr>
          <w:ilvl w:val="0"/>
          <w:numId w:val="62"/>
        </w:numPr>
      </w:pPr>
      <w:r>
        <w:t>Operational strengths and weaknesses</w:t>
      </w:r>
    </w:p>
    <w:p w14:paraId="3BFC9C48" w14:textId="77777777" w:rsidR="006D0D34" w:rsidRDefault="006D0D34" w:rsidP="000616C8">
      <w:pPr>
        <w:pStyle w:val="ListParagraph"/>
        <w:numPr>
          <w:ilvl w:val="0"/>
          <w:numId w:val="62"/>
        </w:numPr>
      </w:pPr>
      <w:r>
        <w:t>Resource gaps (e.g. type, suitability, etc.)</w:t>
      </w:r>
    </w:p>
    <w:p w14:paraId="650456D0" w14:textId="77777777" w:rsidR="006D0D34" w:rsidRDefault="006D0D34" w:rsidP="000616C8">
      <w:pPr>
        <w:pStyle w:val="ListParagraph"/>
        <w:numPr>
          <w:ilvl w:val="0"/>
          <w:numId w:val="62"/>
        </w:numPr>
      </w:pPr>
      <w:r>
        <w:t xml:space="preserve">Staffing gaps (e.g. qualifications, staffing levels, </w:t>
      </w:r>
      <w:r w:rsidR="00F85813">
        <w:t>etc.</w:t>
      </w:r>
      <w:r>
        <w:t>)</w:t>
      </w:r>
    </w:p>
    <w:p w14:paraId="72835B00" w14:textId="77777777" w:rsidR="006D0D34" w:rsidRDefault="006D0D34" w:rsidP="000616C8">
      <w:pPr>
        <w:pStyle w:val="ListParagraph"/>
        <w:numPr>
          <w:ilvl w:val="0"/>
          <w:numId w:val="62"/>
        </w:numPr>
      </w:pPr>
      <w:r>
        <w:t>Communications gaps</w:t>
      </w:r>
    </w:p>
    <w:p w14:paraId="34470F5A" w14:textId="77777777" w:rsidR="006D0D34" w:rsidRDefault="006D0D34" w:rsidP="006D0D34">
      <w:r>
        <w:t>Once staff and volunteers have been debriefed, the Staff Resources Unit should collect badges, vest</w:t>
      </w:r>
      <w:r w:rsidR="00F85813">
        <w:t>s</w:t>
      </w:r>
      <w:r>
        <w:t>, and other staff resources, confirm contact information, and ensure that each person signs out. Once general staff have been released, the EDS Manager should conduct a hot wash with command staff, Group Supervisors, and Unit Leaders. Local health and emergency management may participate in the EDS hot wash and/or conduct a separate hot wash on the broader response to the incident. The local community should compile the information collected during staff debriefing and the hot wash and develop an AAR/IP.</w:t>
      </w:r>
    </w:p>
    <w:p w14:paraId="2524CF61" w14:textId="77777777" w:rsidR="006D0D34" w:rsidRPr="0090186A" w:rsidRDefault="006D0D34" w:rsidP="006D0D34">
      <w:pPr>
        <w:pStyle w:val="Heading3"/>
        <w:rPr>
          <w:color w:val="002060"/>
        </w:rPr>
      </w:pPr>
      <w:bookmarkStart w:id="175" w:name="_Toc484439970"/>
      <w:bookmarkStart w:id="176" w:name="_Toc11832787"/>
      <w:r w:rsidRPr="0090186A">
        <w:rPr>
          <w:color w:val="002060"/>
        </w:rPr>
        <w:t>Post-Deployment Staff Services</w:t>
      </w:r>
      <w:bookmarkEnd w:id="175"/>
      <w:bookmarkEnd w:id="176"/>
    </w:p>
    <w:p w14:paraId="1034945B" w14:textId="77777777" w:rsidR="006D0D34" w:rsidRDefault="006D0D34" w:rsidP="006D0D34">
      <w:r>
        <w:t xml:space="preserve">Certain situations or incidents may require that staff and volunteers be provided access to post-deployment medical and behavioral health services. If staff will be referred to an off-site provider for post-deployment services, the EDS </w:t>
      </w:r>
      <w:r w:rsidR="001D41B6">
        <w:t>Manager</w:t>
      </w:r>
      <w:r>
        <w:t xml:space="preserve"> should </w:t>
      </w:r>
      <w:r w:rsidR="001D41B6">
        <w:t xml:space="preserve">ensure that </w:t>
      </w:r>
      <w:r>
        <w:t xml:space="preserve">appropriate medical, occupational health, and behavioral health resources </w:t>
      </w:r>
      <w:r w:rsidR="001D41B6">
        <w:t xml:space="preserve">are available </w:t>
      </w:r>
      <w:r>
        <w:t xml:space="preserve">through partner agencies, agreements, or contracted services. The </w:t>
      </w:r>
      <w:r w:rsidRPr="00F817A9">
        <w:t>Staff Resources Unit</w:t>
      </w:r>
      <w:r>
        <w:t xml:space="preserve"> should provide information about these off-site resources to all demobilized staff and volunteers before they leave the facility. </w:t>
      </w:r>
    </w:p>
    <w:p w14:paraId="4C2C31E9" w14:textId="77777777" w:rsidR="006D0D34" w:rsidRDefault="006D0D34" w:rsidP="006D0D34">
      <w:r>
        <w:t xml:space="preserve">If the post-deployment services will be provided to staff prior to leaving the facility (e.g. as determined by exit screening), the </w:t>
      </w:r>
      <w:r w:rsidRPr="00F817A9">
        <w:t>Staff Resources Unit</w:t>
      </w:r>
      <w:r>
        <w:t xml:space="preserve"> should coordinate with </w:t>
      </w:r>
      <w:r w:rsidR="001D41B6">
        <w:t xml:space="preserve">appropriate EDS units </w:t>
      </w:r>
      <w:r>
        <w:t>to:</w:t>
      </w:r>
    </w:p>
    <w:p w14:paraId="5683A317" w14:textId="77777777" w:rsidR="006D0D34" w:rsidRDefault="006D0D34" w:rsidP="000616C8">
      <w:pPr>
        <w:pStyle w:val="ListParagraph"/>
        <w:numPr>
          <w:ilvl w:val="0"/>
          <w:numId w:val="63"/>
        </w:numPr>
      </w:pPr>
      <w:r>
        <w:t>Screen staff and volunteers prior to leaving the site</w:t>
      </w:r>
    </w:p>
    <w:p w14:paraId="13149555" w14:textId="77777777" w:rsidR="006D0D34" w:rsidRDefault="006D0D34" w:rsidP="000616C8">
      <w:pPr>
        <w:pStyle w:val="ListParagraph"/>
        <w:numPr>
          <w:ilvl w:val="0"/>
          <w:numId w:val="63"/>
        </w:numPr>
      </w:pPr>
      <w:r>
        <w:t>Document staff and volunteer injury and illness</w:t>
      </w:r>
    </w:p>
    <w:p w14:paraId="17B1878B" w14:textId="77777777" w:rsidR="006D0D34" w:rsidRDefault="006D0D34" w:rsidP="000616C8">
      <w:pPr>
        <w:pStyle w:val="ListParagraph"/>
        <w:numPr>
          <w:ilvl w:val="0"/>
          <w:numId w:val="63"/>
        </w:numPr>
      </w:pPr>
      <w:r>
        <w:t>Evaluate the injury or illness and treat (if appropriate)</w:t>
      </w:r>
    </w:p>
    <w:p w14:paraId="10A992AD" w14:textId="77777777" w:rsidR="006D0D34" w:rsidRDefault="006D0D34" w:rsidP="000616C8">
      <w:pPr>
        <w:pStyle w:val="ListParagraph"/>
        <w:numPr>
          <w:ilvl w:val="0"/>
          <w:numId w:val="63"/>
        </w:numPr>
      </w:pPr>
      <w:r>
        <w:t>Provide further healthcare instructions</w:t>
      </w:r>
    </w:p>
    <w:p w14:paraId="546CACA5" w14:textId="77777777" w:rsidR="006D0D34" w:rsidRDefault="006D0D34" w:rsidP="000616C8">
      <w:pPr>
        <w:pStyle w:val="ListParagraph"/>
        <w:numPr>
          <w:ilvl w:val="0"/>
          <w:numId w:val="63"/>
        </w:numPr>
      </w:pPr>
      <w:r>
        <w:t>Dispense medical countermeasures (if indicated)</w:t>
      </w:r>
    </w:p>
    <w:p w14:paraId="68281FD0" w14:textId="77777777" w:rsidR="006D0D34" w:rsidRDefault="006D0D34" w:rsidP="000616C8">
      <w:pPr>
        <w:pStyle w:val="ListParagraph"/>
        <w:numPr>
          <w:ilvl w:val="0"/>
          <w:numId w:val="63"/>
        </w:numPr>
      </w:pPr>
      <w:r>
        <w:t>Refer for additional medical care or occupational health (if indicated)</w:t>
      </w:r>
    </w:p>
    <w:p w14:paraId="665961A6" w14:textId="77777777" w:rsidR="006D0D34" w:rsidRDefault="006D0D34" w:rsidP="000616C8">
      <w:pPr>
        <w:pStyle w:val="ListParagraph"/>
        <w:numPr>
          <w:ilvl w:val="0"/>
          <w:numId w:val="63"/>
        </w:numPr>
      </w:pPr>
      <w:r>
        <w:t>Provide self-help information</w:t>
      </w:r>
    </w:p>
    <w:p w14:paraId="0E041D83" w14:textId="77777777" w:rsidR="006D0D34" w:rsidRDefault="006D0D34" w:rsidP="000616C8">
      <w:pPr>
        <w:pStyle w:val="ListParagraph"/>
        <w:numPr>
          <w:ilvl w:val="0"/>
          <w:numId w:val="63"/>
        </w:numPr>
      </w:pPr>
      <w:r>
        <w:t>Refer to emotional, spiritual, or behavioral health services (if indicated)</w:t>
      </w:r>
    </w:p>
    <w:p w14:paraId="4EECD5E6" w14:textId="77777777" w:rsidR="006D0D34" w:rsidRPr="0090186A" w:rsidRDefault="006D0D34" w:rsidP="006D0D34">
      <w:pPr>
        <w:pStyle w:val="Heading3"/>
        <w:rPr>
          <w:color w:val="002060"/>
        </w:rPr>
      </w:pPr>
      <w:bookmarkStart w:id="177" w:name="_Toc484439971"/>
      <w:bookmarkStart w:id="178" w:name="_Toc11832788"/>
      <w:r w:rsidRPr="0090186A">
        <w:rPr>
          <w:color w:val="002060"/>
        </w:rPr>
        <w:t>Staff Acknowledgement</w:t>
      </w:r>
      <w:bookmarkEnd w:id="177"/>
      <w:bookmarkEnd w:id="178"/>
    </w:p>
    <w:p w14:paraId="6ED6B1F1" w14:textId="77777777" w:rsidR="006D0D34" w:rsidRDefault="006D0D34" w:rsidP="006D0D34">
      <w:r>
        <w:t xml:space="preserve">The local community should always acknowledge and thank partner agencies, staff, and volunteers who supported the EDS operations. Staff acknowledgements could be in the form of a proclamation, thank you letter or email, certificate, letter to the editor, or an awards presentation at a meeting. </w:t>
      </w:r>
    </w:p>
    <w:p w14:paraId="3D755F24" w14:textId="77777777" w:rsidR="006D0D34" w:rsidRPr="0090186A" w:rsidRDefault="0090186A" w:rsidP="006D0D34">
      <w:pPr>
        <w:pStyle w:val="Heading2"/>
        <w:rPr>
          <w:color w:val="002060"/>
        </w:rPr>
      </w:pPr>
      <w:bookmarkStart w:id="179" w:name="_Toc484439972"/>
      <w:bookmarkStart w:id="180" w:name="_Toc11832789"/>
      <w:r w:rsidRPr="0090186A">
        <w:rPr>
          <w:color w:val="002060"/>
        </w:rPr>
        <w:t>EDS SITE DEACTIVATION</w:t>
      </w:r>
      <w:bookmarkEnd w:id="179"/>
      <w:bookmarkEnd w:id="180"/>
    </w:p>
    <w:p w14:paraId="5ACFB3D4" w14:textId="77777777" w:rsidR="006D0D34" w:rsidRDefault="006D0D34" w:rsidP="006D0D34">
      <w:r>
        <w:t>Once the timeline for site deactivation is determined, the EDS Manager should notify the owner of the site and coordinate with staff to:</w:t>
      </w:r>
    </w:p>
    <w:p w14:paraId="6D32BE5B" w14:textId="77777777" w:rsidR="006D0D34" w:rsidRDefault="006D0D34" w:rsidP="000616C8">
      <w:pPr>
        <w:pStyle w:val="ListParagraph"/>
        <w:numPr>
          <w:ilvl w:val="0"/>
          <w:numId w:val="64"/>
        </w:numPr>
      </w:pPr>
      <w:r>
        <w:t>Return the site to its pre-incident condition and use</w:t>
      </w:r>
    </w:p>
    <w:p w14:paraId="4EBD89F1" w14:textId="77777777" w:rsidR="006D0D34" w:rsidRDefault="006D0D34" w:rsidP="000616C8">
      <w:pPr>
        <w:pStyle w:val="ListParagraph"/>
        <w:numPr>
          <w:ilvl w:val="0"/>
          <w:numId w:val="64"/>
        </w:numPr>
      </w:pPr>
      <w:r>
        <w:t>Remove medical and non-medical waste</w:t>
      </w:r>
    </w:p>
    <w:p w14:paraId="5861B725" w14:textId="77777777" w:rsidR="006D0D34" w:rsidRDefault="006D0D34" w:rsidP="000616C8">
      <w:pPr>
        <w:pStyle w:val="ListParagraph"/>
        <w:numPr>
          <w:ilvl w:val="0"/>
          <w:numId w:val="64"/>
        </w:numPr>
      </w:pPr>
      <w:r>
        <w:t>Clean the site and conduct a damage assessment</w:t>
      </w:r>
    </w:p>
    <w:p w14:paraId="37BBE30E" w14:textId="77777777" w:rsidR="006D0D34" w:rsidRPr="00493C9C" w:rsidRDefault="006D0D34" w:rsidP="000616C8">
      <w:pPr>
        <w:pStyle w:val="ListParagraph"/>
        <w:numPr>
          <w:ilvl w:val="0"/>
          <w:numId w:val="64"/>
        </w:numPr>
      </w:pPr>
      <w:r>
        <w:t xml:space="preserve">Notify the </w:t>
      </w:r>
      <w:r w:rsidR="001D41B6">
        <w:t xml:space="preserve">ESF-8 desk at the </w:t>
      </w:r>
      <w:r>
        <w:t xml:space="preserve">SEOC </w:t>
      </w:r>
      <w:r w:rsidR="009131A6">
        <w:t>(</w:t>
      </w:r>
      <w:r>
        <w:t>if activated</w:t>
      </w:r>
      <w:r w:rsidR="009131A6">
        <w:t>)</w:t>
      </w:r>
      <w:r>
        <w:t xml:space="preserve"> or the MDPH Duty Officer of the site deactivation status</w:t>
      </w:r>
    </w:p>
    <w:p w14:paraId="3E02570B" w14:textId="77777777" w:rsidR="006D0D34" w:rsidRPr="0090186A" w:rsidRDefault="006D0D34" w:rsidP="006D0D34">
      <w:pPr>
        <w:pStyle w:val="Heading3"/>
        <w:rPr>
          <w:color w:val="002060"/>
        </w:rPr>
      </w:pPr>
      <w:bookmarkStart w:id="181" w:name="_Toc484439973"/>
      <w:bookmarkStart w:id="182" w:name="_Toc11832790"/>
      <w:r w:rsidRPr="0090186A">
        <w:rPr>
          <w:color w:val="002060"/>
        </w:rPr>
        <w:t>Waste Disposal</w:t>
      </w:r>
      <w:bookmarkEnd w:id="181"/>
      <w:bookmarkEnd w:id="182"/>
    </w:p>
    <w:p w14:paraId="7AD21B5B" w14:textId="77777777" w:rsidR="006D0D34" w:rsidRDefault="006D0D34" w:rsidP="006D0D34">
      <w:r>
        <w:t xml:space="preserve">The </w:t>
      </w:r>
      <w:r w:rsidR="001D41B6">
        <w:t xml:space="preserve">Logistics section </w:t>
      </w:r>
      <w:r>
        <w:t xml:space="preserve">should </w:t>
      </w:r>
      <w:r w:rsidR="001D41B6">
        <w:t>ensure that</w:t>
      </w:r>
      <w:r>
        <w:t xml:space="preserve"> all medical waste that resulted from the EDS operations </w:t>
      </w:r>
      <w:r w:rsidR="001D41B6">
        <w:t xml:space="preserve">is removed </w:t>
      </w:r>
      <w:r>
        <w:t>from the site (per local disposal requirements, agreements, and service contracts). All materials soiled with body fluids (e.g. blood, urine, etc.) should be placed in red biohazard bags and removed along with all biomedical waste and sharps containers for proper disposal. The Facility Officer should coordinate with site custodial staff to dispose of non-medical waste (per existing disposal methods used by the facility during normal operations).</w:t>
      </w:r>
    </w:p>
    <w:p w14:paraId="69707482" w14:textId="77777777" w:rsidR="006D0D34" w:rsidRDefault="006D0D34" w:rsidP="006D0D34">
      <w:r>
        <w:rPr>
          <w:b/>
          <w:u w:val="single"/>
        </w:rPr>
        <w:t>Pre-Event Planning</w:t>
      </w:r>
    </w:p>
    <w:p w14:paraId="1A328236" w14:textId="77777777" w:rsidR="006D0D34" w:rsidRPr="004D3477" w:rsidRDefault="006D0D34" w:rsidP="006D0D34">
      <w:r w:rsidRPr="003351A1">
        <w:t xml:space="preserve">Local </w:t>
      </w:r>
      <w:r>
        <w:t>health</w:t>
      </w:r>
      <w:r w:rsidRPr="003351A1">
        <w:t xml:space="preserve"> should document medical waste disposal agreement for the EDS through partner agencies (e.g. VNA, hospital, etc.) or through existing service contracts (e.g. health department, EMS, school department, etc.).</w:t>
      </w:r>
    </w:p>
    <w:p w14:paraId="1EBA0312" w14:textId="77777777" w:rsidR="006D0D34" w:rsidRPr="0090186A" w:rsidRDefault="006D0D34" w:rsidP="006D0D34">
      <w:pPr>
        <w:pStyle w:val="Heading3"/>
        <w:rPr>
          <w:color w:val="002060"/>
        </w:rPr>
      </w:pPr>
      <w:bookmarkStart w:id="183" w:name="_Toc484439974"/>
      <w:bookmarkStart w:id="184" w:name="_Toc11832791"/>
      <w:r w:rsidRPr="0090186A">
        <w:rPr>
          <w:color w:val="002060"/>
        </w:rPr>
        <w:t>Cleaning &amp; Disinfecting</w:t>
      </w:r>
      <w:bookmarkEnd w:id="183"/>
      <w:bookmarkEnd w:id="184"/>
    </w:p>
    <w:p w14:paraId="61149EE1" w14:textId="77777777" w:rsidR="006D0D34" w:rsidRPr="004D3477" w:rsidRDefault="006D0D34" w:rsidP="006D0D34">
      <w:r>
        <w:t xml:space="preserve">Surfaces within the EDS can be cleaned using the cleaning agents and standard practices used by the facility owner. If needed, the EDS Manager should obtain guidance on cleaning and disinfecting site surfaces from the MDPH. The </w:t>
      </w:r>
      <w:r w:rsidR="00214AB2">
        <w:t>Facility</w:t>
      </w:r>
      <w:r>
        <w:t xml:space="preserve"> Officer should provide the owner of the site with written documentation of the actions taken and a list of the cleaning and disinfecting agents used.</w:t>
      </w:r>
    </w:p>
    <w:p w14:paraId="6F2019AB" w14:textId="77777777" w:rsidR="006D0D34" w:rsidRPr="0090186A" w:rsidRDefault="006D0D34" w:rsidP="006D0D34">
      <w:pPr>
        <w:pStyle w:val="Heading3"/>
        <w:rPr>
          <w:color w:val="002060"/>
        </w:rPr>
      </w:pPr>
      <w:bookmarkStart w:id="185" w:name="_Toc484439975"/>
      <w:bookmarkStart w:id="186" w:name="_Toc11832792"/>
      <w:r w:rsidRPr="0090186A">
        <w:rPr>
          <w:color w:val="002060"/>
        </w:rPr>
        <w:t>Site Damage Assessment</w:t>
      </w:r>
      <w:bookmarkEnd w:id="185"/>
      <w:bookmarkEnd w:id="186"/>
    </w:p>
    <w:p w14:paraId="3D859F98" w14:textId="77777777" w:rsidR="006D0D34" w:rsidRDefault="006D0D34" w:rsidP="006D0D34">
      <w:r>
        <w:t>The EDS Manager and the Facility Officer should conduct a final walk-thru of the site to document any damage that resulted from the EDS operations. A copy of the damage report should be submitted to local health and emergency management and the facility owner to determine repair or replacement costs, submit an insurance claim, or seek reimbursement from state and federal authorities (if made available).</w:t>
      </w:r>
    </w:p>
    <w:p w14:paraId="4A486867" w14:textId="77777777" w:rsidR="00D5607A" w:rsidRDefault="00D5607A" w:rsidP="006D0D34"/>
    <w:p w14:paraId="56DA1D9E" w14:textId="77777777" w:rsidR="006D0D34" w:rsidRDefault="006D0D34" w:rsidP="006D0D34">
      <w:r>
        <w:rPr>
          <w:b/>
          <w:u w:val="single"/>
        </w:rPr>
        <w:t>Resources</w:t>
      </w:r>
    </w:p>
    <w:p w14:paraId="08AF2D50" w14:textId="07B9B371" w:rsidR="006D0D34" w:rsidRPr="00F965EC" w:rsidRDefault="006D0D34" w:rsidP="006D0D34">
      <w:r>
        <w:t xml:space="preserve">The American </w:t>
      </w:r>
      <w:r w:rsidRPr="00C53679">
        <w:t xml:space="preserve">Red Cross </w:t>
      </w:r>
      <w:hyperlink r:id="rId47" w:history="1">
        <w:r w:rsidRPr="00C53679">
          <w:rPr>
            <w:rStyle w:val="Hyperlink"/>
          </w:rPr>
          <w:t>Facility/Shelter Opening &amp; Closing Inspection Form</w:t>
        </w:r>
      </w:hyperlink>
      <w:r>
        <w:rPr>
          <w:rStyle w:val="FootnoteReference"/>
        </w:rPr>
        <w:footnoteReference w:id="32"/>
      </w:r>
      <w:r>
        <w:t xml:space="preserve"> could be used (or adapted) to determine the readiness of a facility for EDS operations and to then assess any damage caused to the facility during operations.</w:t>
      </w:r>
    </w:p>
    <w:p w14:paraId="436A13A7" w14:textId="77777777" w:rsidR="006D0D34" w:rsidRPr="0090186A" w:rsidRDefault="0090186A" w:rsidP="006D0D34">
      <w:pPr>
        <w:pStyle w:val="Heading2"/>
        <w:rPr>
          <w:color w:val="002060"/>
        </w:rPr>
      </w:pPr>
      <w:bookmarkStart w:id="187" w:name="_Toc484439976"/>
      <w:bookmarkStart w:id="188" w:name="_Toc11832793"/>
      <w:r w:rsidRPr="0090186A">
        <w:rPr>
          <w:color w:val="002060"/>
        </w:rPr>
        <w:t>AFTER-ACTION REVIEW &amp; EVALUATION</w:t>
      </w:r>
      <w:bookmarkEnd w:id="187"/>
      <w:bookmarkEnd w:id="188"/>
    </w:p>
    <w:p w14:paraId="5780D358" w14:textId="77777777" w:rsidR="006D0D34" w:rsidRPr="00F965EC" w:rsidRDefault="006D0D34" w:rsidP="006D0D34">
      <w:r>
        <w:t>The local community should conduct an after-action meeting within 30 days after the EDS operations and develop an After-Action Report (AAR) and Improvement Plan (IP) based on lessons learned and feedback received from staff, volunteers, and clients. The IP should designate who is responsible for implementing the improvements and track the progress toward meeting the improvement recommendations. The local community should then coordinate with its partner agencies to re-train staff and volunteers on any revised policies and procedures and to conduct exercises to evaluate the changes and staff training.</w:t>
      </w:r>
    </w:p>
    <w:p w14:paraId="0438C378" w14:textId="77777777" w:rsidR="006D0D34" w:rsidRPr="0090186A" w:rsidRDefault="0090186A" w:rsidP="006D0D34">
      <w:pPr>
        <w:pStyle w:val="Heading2"/>
        <w:rPr>
          <w:color w:val="002060"/>
        </w:rPr>
      </w:pPr>
      <w:bookmarkStart w:id="189" w:name="_Toc484439977"/>
      <w:bookmarkStart w:id="190" w:name="_Toc11832794"/>
      <w:r w:rsidRPr="0090186A">
        <w:rPr>
          <w:color w:val="002060"/>
        </w:rPr>
        <w:t>RECOVERY</w:t>
      </w:r>
      <w:bookmarkEnd w:id="189"/>
      <w:bookmarkEnd w:id="190"/>
    </w:p>
    <w:p w14:paraId="10AF86AC" w14:textId="77777777" w:rsidR="009410EA" w:rsidRDefault="006D0D34" w:rsidP="009410EA">
      <w:pPr>
        <w:sectPr w:rsidR="009410EA" w:rsidSect="00195543">
          <w:footerReference w:type="default" r:id="rId48"/>
          <w:pgSz w:w="12240" w:h="15840"/>
          <w:pgMar w:top="1440" w:right="1440" w:bottom="1440" w:left="1080" w:header="720" w:footer="720" w:gutter="0"/>
          <w:cols w:space="720"/>
          <w:docGrid w:linePitch="360"/>
        </w:sectPr>
      </w:pPr>
      <w:r>
        <w:t>Following an event that requires activation of EDS, coordinated, long-term recovery activities may be required to restore the public health, healthcare, and behavioral health systems to their pre-incident status. Following the EDS operations, local public health, in coordination with local emergency management, should coordinate with state and federal emergency management and state and federal public health to assess potential recovery needs, document expenditures and in-kind costs associated with the response, and submit for state and federal reimbursement (when available). Throughout the recovery phase, local health should monitor media reports to ensure that information about recovery efforts is accurate and that public information is dissem</w:t>
      </w:r>
      <w:r w:rsidR="009410EA">
        <w:t>inated to the intended audience</w:t>
      </w:r>
      <w:r w:rsidR="00AB7598">
        <w:t>.</w:t>
      </w:r>
    </w:p>
    <w:p w14:paraId="38CE312D" w14:textId="77777777" w:rsidR="006D0D34" w:rsidRPr="009410EA" w:rsidRDefault="0090186A" w:rsidP="009410EA">
      <w:pPr>
        <w:pStyle w:val="Heading1"/>
        <w:rPr>
          <w:color w:val="ED7D31" w:themeColor="accent2"/>
        </w:rPr>
      </w:pPr>
      <w:bookmarkStart w:id="191" w:name="_Toc483233093"/>
      <w:bookmarkStart w:id="192" w:name="_Toc11832795"/>
      <w:r w:rsidRPr="009410EA">
        <w:rPr>
          <w:color w:val="ED7D31" w:themeColor="accent2"/>
        </w:rPr>
        <w:t>PLAN DEVELOPMENT &amp; MAINTENANCE</w:t>
      </w:r>
      <w:bookmarkEnd w:id="191"/>
      <w:bookmarkEnd w:id="192"/>
    </w:p>
    <w:p w14:paraId="59416A21" w14:textId="77777777" w:rsidR="006D0D34" w:rsidRPr="0090186A" w:rsidRDefault="0090186A" w:rsidP="006D0D34">
      <w:pPr>
        <w:pStyle w:val="Heading2"/>
        <w:rPr>
          <w:color w:val="002060"/>
        </w:rPr>
      </w:pPr>
      <w:bookmarkStart w:id="193" w:name="_Toc483233094"/>
      <w:bookmarkStart w:id="194" w:name="_Toc11832796"/>
      <w:r w:rsidRPr="0090186A">
        <w:rPr>
          <w:color w:val="002060"/>
        </w:rPr>
        <w:t>PLAN DEVELOPMENT</w:t>
      </w:r>
      <w:bookmarkEnd w:id="193"/>
      <w:bookmarkEnd w:id="194"/>
    </w:p>
    <w:p w14:paraId="3D916B93" w14:textId="77777777" w:rsidR="006D0D34" w:rsidRPr="00D728C4" w:rsidRDefault="006D0D34" w:rsidP="006D0D34">
      <w:r w:rsidRPr="002B4627">
        <w:t>The EDS plan is</w:t>
      </w:r>
      <w:r>
        <w:t xml:space="preserve"> intended as</w:t>
      </w:r>
      <w:r w:rsidRPr="002B4627">
        <w:t xml:space="preserve"> a support annex to the local C</w:t>
      </w:r>
      <w:r>
        <w:t>omprehensive</w:t>
      </w:r>
      <w:r w:rsidRPr="002B4627">
        <w:t xml:space="preserve"> Emergency Management Plan (CEMP). </w:t>
      </w:r>
      <w:r>
        <w:t>It</w:t>
      </w:r>
      <w:r w:rsidRPr="002B4627">
        <w:t xml:space="preserve"> provides the organizational and operational framework to prepare for, respond to, and recover from public health incidents that require </w:t>
      </w:r>
      <w:r>
        <w:t xml:space="preserve">MCM </w:t>
      </w:r>
      <w:r w:rsidRPr="002B4627">
        <w:t>dispensing.</w:t>
      </w:r>
      <w:r>
        <w:t xml:space="preserve"> The plan development phase requires that local health work with diverse stakeholders to assess risks and current capabilities, review population data, develop policies and procedures, and assign roles and responsibilities. </w:t>
      </w:r>
    </w:p>
    <w:p w14:paraId="0ED8BC59" w14:textId="77777777" w:rsidR="006D0D34" w:rsidRPr="0090186A" w:rsidRDefault="006D0D34" w:rsidP="006D0D34">
      <w:pPr>
        <w:pStyle w:val="Heading3"/>
        <w:rPr>
          <w:color w:val="002060"/>
        </w:rPr>
      </w:pPr>
      <w:bookmarkStart w:id="195" w:name="_Toc483233095"/>
      <w:bookmarkStart w:id="196" w:name="_Toc11832797"/>
      <w:r w:rsidRPr="0090186A">
        <w:rPr>
          <w:color w:val="002060"/>
        </w:rPr>
        <w:t>Planning Team</w:t>
      </w:r>
      <w:bookmarkEnd w:id="195"/>
      <w:bookmarkEnd w:id="196"/>
    </w:p>
    <w:p w14:paraId="2BBE62EC" w14:textId="77777777" w:rsidR="006D0D34" w:rsidRPr="009D421E" w:rsidRDefault="006D0D34" w:rsidP="006D0D34">
      <w:r>
        <w:t xml:space="preserve">Local health </w:t>
      </w:r>
      <w:r w:rsidRPr="009D421E">
        <w:t xml:space="preserve">should recruit key stakeholders </w:t>
      </w:r>
      <w:r>
        <w:t>for</w:t>
      </w:r>
      <w:r w:rsidRPr="009D421E">
        <w:t xml:space="preserve"> an EDS </w:t>
      </w:r>
      <w:r>
        <w:t>Planning Committee to support</w:t>
      </w:r>
      <w:r w:rsidRPr="009D421E">
        <w:t xml:space="preserve"> development and maintenance of </w:t>
      </w:r>
      <w:r>
        <w:t xml:space="preserve">the EDS </w:t>
      </w:r>
      <w:r w:rsidRPr="009D421E">
        <w:t>plan. The CDC has identified 11 community sectors</w:t>
      </w:r>
      <w:r w:rsidRPr="009D421E">
        <w:rPr>
          <w:rStyle w:val="FootnoteReference"/>
        </w:rPr>
        <w:footnoteReference w:id="33"/>
      </w:r>
      <w:r w:rsidRPr="009D421E">
        <w:t xml:space="preserve"> as essential for public health preparedness and response activities. The EDS </w:t>
      </w:r>
      <w:r>
        <w:t>Planning Committee</w:t>
      </w:r>
      <w:r w:rsidRPr="009D421E">
        <w:t xml:space="preserve"> membership should include agencies and organiz</w:t>
      </w:r>
      <w:r>
        <w:t xml:space="preserve">ation with potential MCM </w:t>
      </w:r>
      <w:r w:rsidRPr="009D421E">
        <w:t>dispensing roles. Additionally, agencies and organizations that represent individuals with access and functional needs should be included in the EDS planning process. The EDS</w:t>
      </w:r>
      <w:r>
        <w:t xml:space="preserve"> Planning Committee</w:t>
      </w:r>
      <w:r w:rsidRPr="009D421E">
        <w:t xml:space="preserve"> should meet </w:t>
      </w:r>
      <w:r>
        <w:t>annually</w:t>
      </w:r>
      <w:r w:rsidRPr="009D421E">
        <w:t xml:space="preserve"> (at minimum) and</w:t>
      </w:r>
      <w:r>
        <w:t xml:space="preserve"> as needed following exercises or real events. Local health should</w:t>
      </w:r>
      <w:r w:rsidRPr="009D421E">
        <w:t xml:space="preserve"> document meeting attendance, minutes, and preparedness and evaluation activities</w:t>
      </w:r>
      <w:r>
        <w:t xml:space="preserve"> related to MCM dispensing</w:t>
      </w:r>
      <w:r w:rsidRPr="009D421E">
        <w:t>.</w:t>
      </w:r>
      <w:r>
        <w:t xml:space="preserve"> The following local agencies and organizations may have a potential planning role for</w:t>
      </w:r>
      <w:r w:rsidRPr="009D421E">
        <w:t xml:space="preserve"> EDS </w:t>
      </w:r>
      <w:r>
        <w:t>operations and MCM dispensing</w:t>
      </w:r>
      <w:r w:rsidRPr="009D421E">
        <w:t>:</w:t>
      </w:r>
    </w:p>
    <w:p w14:paraId="41E5C13D" w14:textId="77777777" w:rsidR="006D0D34" w:rsidRDefault="006D0D34" w:rsidP="000616C8">
      <w:pPr>
        <w:pStyle w:val="ListParagraph"/>
        <w:numPr>
          <w:ilvl w:val="0"/>
          <w:numId w:val="66"/>
        </w:numPr>
      </w:pPr>
      <w:r>
        <w:t>Health Department and/or Board of Health</w:t>
      </w:r>
    </w:p>
    <w:p w14:paraId="26332245" w14:textId="77777777" w:rsidR="006D0D34" w:rsidRPr="009D421E" w:rsidRDefault="006D0D34" w:rsidP="000616C8">
      <w:pPr>
        <w:pStyle w:val="ListParagraph"/>
        <w:numPr>
          <w:ilvl w:val="0"/>
          <w:numId w:val="66"/>
        </w:numPr>
      </w:pPr>
      <w:r w:rsidRPr="009D421E">
        <w:t>Emergency Management Agency/Director</w:t>
      </w:r>
    </w:p>
    <w:p w14:paraId="12B67421" w14:textId="77777777" w:rsidR="006D0D34" w:rsidRPr="009D421E" w:rsidRDefault="006D0D34" w:rsidP="000616C8">
      <w:pPr>
        <w:pStyle w:val="ListParagraph"/>
        <w:numPr>
          <w:ilvl w:val="0"/>
          <w:numId w:val="66"/>
        </w:numPr>
      </w:pPr>
      <w:r w:rsidRPr="009D421E">
        <w:t>Fire Department</w:t>
      </w:r>
    </w:p>
    <w:p w14:paraId="7C91DF44" w14:textId="77777777" w:rsidR="006D0D34" w:rsidRPr="009D421E" w:rsidRDefault="006D0D34" w:rsidP="000616C8">
      <w:pPr>
        <w:pStyle w:val="ListParagraph"/>
        <w:numPr>
          <w:ilvl w:val="0"/>
          <w:numId w:val="66"/>
        </w:numPr>
      </w:pPr>
      <w:r w:rsidRPr="009D421E">
        <w:t>Emergency Medical Services</w:t>
      </w:r>
    </w:p>
    <w:p w14:paraId="032F2646" w14:textId="77777777" w:rsidR="006D0D34" w:rsidRPr="009D421E" w:rsidRDefault="006D0D34" w:rsidP="000616C8">
      <w:pPr>
        <w:pStyle w:val="ListParagraph"/>
        <w:numPr>
          <w:ilvl w:val="0"/>
          <w:numId w:val="66"/>
        </w:numPr>
      </w:pPr>
      <w:r w:rsidRPr="009D421E">
        <w:t>Hospitals</w:t>
      </w:r>
      <w:r>
        <w:t>, Community Health Centers, Visiting Nurse Associations</w:t>
      </w:r>
    </w:p>
    <w:p w14:paraId="42DBF491" w14:textId="77777777" w:rsidR="006D0D34" w:rsidRPr="009D421E" w:rsidRDefault="006D0D34" w:rsidP="000616C8">
      <w:pPr>
        <w:pStyle w:val="ListParagraph"/>
        <w:numPr>
          <w:ilvl w:val="0"/>
          <w:numId w:val="66"/>
        </w:numPr>
      </w:pPr>
      <w:r w:rsidRPr="009D421E">
        <w:t>Law Enforcement/Public Safety</w:t>
      </w:r>
    </w:p>
    <w:p w14:paraId="0B422DCE" w14:textId="77777777" w:rsidR="006D0D34" w:rsidRDefault="006D0D34" w:rsidP="000616C8">
      <w:pPr>
        <w:pStyle w:val="ListParagraph"/>
        <w:numPr>
          <w:ilvl w:val="0"/>
          <w:numId w:val="66"/>
        </w:numPr>
      </w:pPr>
      <w:r w:rsidRPr="009D421E">
        <w:t>Public Works</w:t>
      </w:r>
    </w:p>
    <w:p w14:paraId="04E3FB20" w14:textId="77777777" w:rsidR="006D0D34" w:rsidRPr="009D421E" w:rsidRDefault="006D0D34" w:rsidP="000616C8">
      <w:pPr>
        <w:pStyle w:val="ListParagraph"/>
        <w:numPr>
          <w:ilvl w:val="0"/>
          <w:numId w:val="66"/>
        </w:numPr>
      </w:pPr>
      <w:r>
        <w:t>Town or City Management</w:t>
      </w:r>
    </w:p>
    <w:p w14:paraId="3925B273" w14:textId="77777777" w:rsidR="006D0D34" w:rsidRDefault="006D0D34" w:rsidP="000616C8">
      <w:pPr>
        <w:pStyle w:val="ListParagraph"/>
        <w:numPr>
          <w:ilvl w:val="0"/>
          <w:numId w:val="66"/>
        </w:numPr>
      </w:pPr>
      <w:r w:rsidRPr="009D421E">
        <w:t>School Department</w:t>
      </w:r>
    </w:p>
    <w:p w14:paraId="763BA59D" w14:textId="77777777" w:rsidR="006D0D34" w:rsidRDefault="006D0D34" w:rsidP="000616C8">
      <w:pPr>
        <w:pStyle w:val="ListParagraph"/>
        <w:numPr>
          <w:ilvl w:val="0"/>
          <w:numId w:val="66"/>
        </w:numPr>
      </w:pPr>
      <w:r>
        <w:t>Information Technology</w:t>
      </w:r>
    </w:p>
    <w:p w14:paraId="694D6EF2" w14:textId="77777777" w:rsidR="006D0D34" w:rsidRPr="009D421E" w:rsidRDefault="006D0D34" w:rsidP="000616C8">
      <w:pPr>
        <w:pStyle w:val="ListParagraph"/>
        <w:numPr>
          <w:ilvl w:val="0"/>
          <w:numId w:val="66"/>
        </w:numPr>
      </w:pPr>
      <w:r>
        <w:t>Behavioral Health Organizations</w:t>
      </w:r>
    </w:p>
    <w:p w14:paraId="5AA61DF1" w14:textId="77777777" w:rsidR="006D0D34" w:rsidRDefault="006D0D34" w:rsidP="000616C8">
      <w:pPr>
        <w:pStyle w:val="ListParagraph"/>
        <w:numPr>
          <w:ilvl w:val="0"/>
          <w:numId w:val="66"/>
        </w:numPr>
      </w:pPr>
      <w:r w:rsidRPr="009D421E">
        <w:t>Volunteer Organizations (</w:t>
      </w:r>
      <w:r>
        <w:t xml:space="preserve">e.g. </w:t>
      </w:r>
      <w:r w:rsidRPr="009D421E">
        <w:t xml:space="preserve">CERT, MRC, </w:t>
      </w:r>
      <w:r>
        <w:t>ARC</w:t>
      </w:r>
      <w:r w:rsidRPr="009D421E">
        <w:t>)</w:t>
      </w:r>
    </w:p>
    <w:p w14:paraId="31D79333" w14:textId="77777777" w:rsidR="006D0D34" w:rsidRPr="00F06749" w:rsidRDefault="006D0D34" w:rsidP="000616C8">
      <w:pPr>
        <w:pStyle w:val="ListParagraph"/>
        <w:numPr>
          <w:ilvl w:val="0"/>
          <w:numId w:val="66"/>
        </w:numPr>
      </w:pPr>
      <w:r>
        <w:t>Community Organizations (e.g. cultural and faith based, functional needs, etc.)</w:t>
      </w:r>
    </w:p>
    <w:p w14:paraId="3636CD8A" w14:textId="77777777" w:rsidR="006D0D34" w:rsidRPr="0090186A" w:rsidRDefault="006D0D34" w:rsidP="006D0D34">
      <w:pPr>
        <w:pStyle w:val="Heading3"/>
        <w:rPr>
          <w:color w:val="002060"/>
        </w:rPr>
      </w:pPr>
      <w:bookmarkStart w:id="197" w:name="_Toc483233096"/>
      <w:bookmarkStart w:id="198" w:name="_Toc11832798"/>
      <w:r w:rsidRPr="0090186A">
        <w:rPr>
          <w:color w:val="002060"/>
        </w:rPr>
        <w:t>Planning Objectives</w:t>
      </w:r>
      <w:bookmarkEnd w:id="197"/>
      <w:bookmarkEnd w:id="198"/>
    </w:p>
    <w:p w14:paraId="6F7801F1" w14:textId="77777777" w:rsidR="006D0D34" w:rsidRPr="00EB2941" w:rsidRDefault="006D0D34" w:rsidP="006D0D34">
      <w:r w:rsidRPr="00EB2941">
        <w:t xml:space="preserve">Once formed, the </w:t>
      </w:r>
      <w:r>
        <w:t>EDS Planning Committee</w:t>
      </w:r>
      <w:r w:rsidRPr="00EB2941">
        <w:t xml:space="preserve"> should establish objectives </w:t>
      </w:r>
      <w:r>
        <w:t xml:space="preserve">to develop, </w:t>
      </w:r>
      <w:r w:rsidRPr="00EB2941">
        <w:t>maintain</w:t>
      </w:r>
      <w:r>
        <w:t>, and improve</w:t>
      </w:r>
      <w:r w:rsidRPr="00EB2941">
        <w:t xml:space="preserve"> the EDS plan over time, including to:</w:t>
      </w:r>
    </w:p>
    <w:p w14:paraId="69EF8072" w14:textId="77777777" w:rsidR="006D0D34" w:rsidRPr="00EB2941" w:rsidRDefault="006D0D34" w:rsidP="000616C8">
      <w:pPr>
        <w:pStyle w:val="ListParagraph"/>
        <w:numPr>
          <w:ilvl w:val="0"/>
          <w:numId w:val="67"/>
        </w:numPr>
        <w:spacing w:after="240" w:line="312" w:lineRule="auto"/>
      </w:pPr>
      <w:r w:rsidRPr="00EB2941">
        <w:t xml:space="preserve">Conduct and review state and local risk </w:t>
      </w:r>
      <w:r>
        <w:t xml:space="preserve">and capability </w:t>
      </w:r>
      <w:r w:rsidRPr="00EB2941">
        <w:t>assessment.</w:t>
      </w:r>
    </w:p>
    <w:p w14:paraId="241F8609" w14:textId="77777777" w:rsidR="006D0D34" w:rsidRPr="00EB2941" w:rsidRDefault="006D0D34" w:rsidP="000616C8">
      <w:pPr>
        <w:pStyle w:val="ListParagraph"/>
        <w:numPr>
          <w:ilvl w:val="0"/>
          <w:numId w:val="67"/>
        </w:numPr>
        <w:spacing w:after="240" w:line="312" w:lineRule="auto"/>
      </w:pPr>
      <w:r w:rsidRPr="00EB2941">
        <w:t>Engage partner agencies with MCM preparedness and response roles.</w:t>
      </w:r>
    </w:p>
    <w:p w14:paraId="6865BAF8" w14:textId="77777777" w:rsidR="006D0D34" w:rsidRPr="00EB2941" w:rsidRDefault="006D0D34" w:rsidP="000616C8">
      <w:pPr>
        <w:pStyle w:val="ListParagraph"/>
        <w:numPr>
          <w:ilvl w:val="0"/>
          <w:numId w:val="67"/>
        </w:numPr>
        <w:spacing w:after="240" w:line="312" w:lineRule="auto"/>
      </w:pPr>
      <w:r w:rsidRPr="00EB2941">
        <w:t>Develop and maintain plans to coordinate staff, volunteers, resources, and information.</w:t>
      </w:r>
    </w:p>
    <w:p w14:paraId="21C2A2AC" w14:textId="77777777" w:rsidR="006D0D34" w:rsidRPr="00EB2941" w:rsidRDefault="006D0D34" w:rsidP="000616C8">
      <w:pPr>
        <w:pStyle w:val="ListParagraph"/>
        <w:numPr>
          <w:ilvl w:val="0"/>
          <w:numId w:val="67"/>
        </w:numPr>
        <w:spacing w:after="240" w:line="312" w:lineRule="auto"/>
      </w:pPr>
      <w:r w:rsidRPr="00EB2941">
        <w:t xml:space="preserve">Train staff and volunteers on </w:t>
      </w:r>
      <w:r>
        <w:t xml:space="preserve">ICS and </w:t>
      </w:r>
      <w:r w:rsidRPr="00EB2941">
        <w:t>the EDS response roles.</w:t>
      </w:r>
    </w:p>
    <w:p w14:paraId="42E76D83" w14:textId="77777777" w:rsidR="006D0D34" w:rsidRDefault="006D0D34" w:rsidP="000616C8">
      <w:pPr>
        <w:pStyle w:val="ListParagraph"/>
        <w:numPr>
          <w:ilvl w:val="0"/>
          <w:numId w:val="67"/>
        </w:numPr>
        <w:spacing w:after="240" w:line="312" w:lineRule="auto"/>
      </w:pPr>
      <w:r w:rsidRPr="00EB2941">
        <w:t>Exercise, evaluate, and improve the EDS plan.</w:t>
      </w:r>
    </w:p>
    <w:p w14:paraId="436109F0" w14:textId="77777777" w:rsidR="006D0D34" w:rsidRPr="0090186A" w:rsidRDefault="006D0D34" w:rsidP="006D0D34">
      <w:pPr>
        <w:pStyle w:val="Heading3"/>
        <w:rPr>
          <w:color w:val="002060"/>
        </w:rPr>
      </w:pPr>
      <w:bookmarkStart w:id="199" w:name="_Toc483233097"/>
      <w:bookmarkStart w:id="200" w:name="_Toc11832799"/>
      <w:r w:rsidRPr="0090186A">
        <w:rPr>
          <w:color w:val="002060"/>
        </w:rPr>
        <w:t>Plan Format &amp; Structure</w:t>
      </w:r>
      <w:bookmarkEnd w:id="199"/>
      <w:bookmarkEnd w:id="200"/>
    </w:p>
    <w:p w14:paraId="7CC723BC" w14:textId="77777777" w:rsidR="006D0D34" w:rsidRPr="005C152B" w:rsidRDefault="006D0D34" w:rsidP="006D0D34">
      <w:r>
        <w:t xml:space="preserve">To improve understanding about MCM dispensing roles and responsibilities, the MDPH recommends that the EDS plan be structured as an Annex to the local CEMP. Local health should collaborate with local emergency management to review and update the local CEMP to reflect public health roles, including for non-MCM incidents, and to integrate the EDS plan into the CEMP as an Annex. This guide outlines a basic structure for the Annex by organizing MCM roles by the phases of an EDS response (activation, operations, and demobilization). Additional guidance on plan structure and format is available through the FEMA </w:t>
      </w:r>
      <w:hyperlink r:id="rId49" w:history="1">
        <w:r w:rsidRPr="00296BF0">
          <w:rPr>
            <w:rStyle w:val="Hyperlink"/>
          </w:rPr>
          <w:t>Comprehensive Preparedness Guide (CPG) 101: Developing and Maintaining Emergency Operations Plans v.2.0</w:t>
        </w:r>
      </w:hyperlink>
      <w:r>
        <w:t>.</w:t>
      </w:r>
      <w:r w:rsidR="00137B27">
        <w:rPr>
          <w:rStyle w:val="FootnoteReference"/>
        </w:rPr>
        <w:footnoteReference w:id="34"/>
      </w:r>
    </w:p>
    <w:p w14:paraId="7EB2E48B" w14:textId="77777777" w:rsidR="006D0D34" w:rsidRPr="0090186A" w:rsidRDefault="006D0D34" w:rsidP="006D0D34">
      <w:pPr>
        <w:pStyle w:val="Heading3"/>
        <w:rPr>
          <w:color w:val="002060"/>
        </w:rPr>
      </w:pPr>
      <w:bookmarkStart w:id="201" w:name="_Toc483233098"/>
      <w:bookmarkStart w:id="202" w:name="_Toc11832800"/>
      <w:r w:rsidRPr="0090186A">
        <w:rPr>
          <w:color w:val="002060"/>
        </w:rPr>
        <w:t>Risk Assessments</w:t>
      </w:r>
      <w:bookmarkEnd w:id="201"/>
      <w:bookmarkEnd w:id="202"/>
    </w:p>
    <w:p w14:paraId="2FF6B570" w14:textId="77777777" w:rsidR="006D0D34" w:rsidRPr="005C152B" w:rsidRDefault="006D0D34" w:rsidP="006D0D34">
      <w:r>
        <w:t>From 2012 to 2014</w:t>
      </w:r>
      <w:r w:rsidRPr="009D421E">
        <w:t>, the MDPH conducted a Hazard Vulnerability Assessment</w:t>
      </w:r>
      <w:r>
        <w:t xml:space="preserve"> (HVA) </w:t>
      </w:r>
      <w:r w:rsidR="001D41B6">
        <w:t>within</w:t>
      </w:r>
      <w:r w:rsidRPr="009D421E">
        <w:t xml:space="preserve"> each of the </w:t>
      </w:r>
      <w:r>
        <w:t>HMCC regions</w:t>
      </w:r>
      <w:r w:rsidRPr="009D421E">
        <w:t>. The purpose of the HVA was to assess the potential impacts of hazards on the healthcare, behavioral health, and public health systems and to identify mitigation strategies.</w:t>
      </w:r>
      <w:r>
        <w:t xml:space="preserve"> Results from these HVA are available through the regional Public Health Coordinators. Additionally, local health should review local risk assessments, including those conducted by local emergency management and hospitals, for any analysis that relates to MCM dispensing.</w:t>
      </w:r>
    </w:p>
    <w:p w14:paraId="269B56CA" w14:textId="77777777" w:rsidR="006D0D34" w:rsidRPr="0090186A" w:rsidRDefault="006D0D34" w:rsidP="006D0D34">
      <w:pPr>
        <w:pStyle w:val="Heading3"/>
        <w:rPr>
          <w:color w:val="002060"/>
        </w:rPr>
      </w:pPr>
      <w:bookmarkStart w:id="203" w:name="_Toc483233099"/>
      <w:bookmarkStart w:id="204" w:name="_Toc11832801"/>
      <w:r w:rsidRPr="0090186A">
        <w:rPr>
          <w:color w:val="002060"/>
        </w:rPr>
        <w:t>Jurisdictional Characteristics</w:t>
      </w:r>
      <w:bookmarkEnd w:id="203"/>
      <w:bookmarkEnd w:id="204"/>
    </w:p>
    <w:p w14:paraId="305D59B4" w14:textId="77777777" w:rsidR="006D0D34" w:rsidRPr="00466097" w:rsidRDefault="006D0D34" w:rsidP="006D0D34">
      <w:r>
        <w:t>The EDS plan should include a map of the community that shows the location of the designated EDS. The EDS plan should document jurisdictional characteristics that could inform EDS planning or influence MCM dispensing operations, including:</w:t>
      </w:r>
    </w:p>
    <w:p w14:paraId="08470B76" w14:textId="77777777" w:rsidR="006D0D34" w:rsidRPr="00466097" w:rsidRDefault="006D0D34" w:rsidP="000616C8">
      <w:pPr>
        <w:pStyle w:val="ListParagraph"/>
        <w:numPr>
          <w:ilvl w:val="0"/>
          <w:numId w:val="68"/>
        </w:numPr>
      </w:pPr>
      <w:r w:rsidRPr="00466097">
        <w:t>L</w:t>
      </w:r>
      <w:r>
        <w:t>ocation and n</w:t>
      </w:r>
      <w:r w:rsidRPr="00466097">
        <w:t>eighboring jurisdictions</w:t>
      </w:r>
    </w:p>
    <w:p w14:paraId="288F62C5" w14:textId="77777777" w:rsidR="006D0D34" w:rsidRPr="00466097" w:rsidRDefault="006D0D34" w:rsidP="000616C8">
      <w:pPr>
        <w:pStyle w:val="ListParagraph"/>
        <w:numPr>
          <w:ilvl w:val="0"/>
          <w:numId w:val="68"/>
        </w:numPr>
      </w:pPr>
      <w:r w:rsidRPr="00466097">
        <w:t>Critical facilities and infrastructure (e.g. hospitals, long term care, etc.)</w:t>
      </w:r>
    </w:p>
    <w:p w14:paraId="1FCCDC30" w14:textId="77777777" w:rsidR="006D0D34" w:rsidRPr="00466097" w:rsidRDefault="006D0D34" w:rsidP="000616C8">
      <w:pPr>
        <w:pStyle w:val="ListParagraph"/>
        <w:numPr>
          <w:ilvl w:val="0"/>
          <w:numId w:val="68"/>
        </w:numPr>
      </w:pPr>
      <w:r w:rsidRPr="00466097">
        <w:t>Transportation</w:t>
      </w:r>
      <w:r>
        <w:t xml:space="preserve"> (e.g. main roadways, public transit, etc.)</w:t>
      </w:r>
    </w:p>
    <w:p w14:paraId="1127CEE5" w14:textId="77777777" w:rsidR="006D0D34" w:rsidRPr="00466097" w:rsidRDefault="006D0D34" w:rsidP="000616C8">
      <w:pPr>
        <w:pStyle w:val="ListParagraph"/>
        <w:numPr>
          <w:ilvl w:val="0"/>
          <w:numId w:val="68"/>
        </w:numPr>
      </w:pPr>
      <w:r w:rsidRPr="00466097">
        <w:t>Points of interest and seasonal influxes</w:t>
      </w:r>
      <w:r>
        <w:t xml:space="preserve"> (e.g. tourism, retail, etc.)</w:t>
      </w:r>
    </w:p>
    <w:p w14:paraId="3F38D62C" w14:textId="77777777" w:rsidR="006D0D34" w:rsidRPr="00466097" w:rsidRDefault="006D0D34" w:rsidP="000616C8">
      <w:pPr>
        <w:pStyle w:val="ListParagraph"/>
        <w:numPr>
          <w:ilvl w:val="0"/>
          <w:numId w:val="68"/>
        </w:numPr>
      </w:pPr>
      <w:r w:rsidRPr="00466097">
        <w:t>Special event</w:t>
      </w:r>
      <w:r>
        <w:t>s and estimated number of attendees (e.g. fairs, races, etc.)</w:t>
      </w:r>
    </w:p>
    <w:p w14:paraId="027D2B8E" w14:textId="77777777" w:rsidR="006D0D34" w:rsidRPr="00466097" w:rsidRDefault="006D0D34" w:rsidP="000616C8">
      <w:pPr>
        <w:pStyle w:val="ListParagraph"/>
        <w:numPr>
          <w:ilvl w:val="0"/>
          <w:numId w:val="68"/>
        </w:numPr>
      </w:pPr>
      <w:r w:rsidRPr="00466097">
        <w:t>Large employers</w:t>
      </w:r>
      <w:r>
        <w:t xml:space="preserve"> and employee estimates</w:t>
      </w:r>
    </w:p>
    <w:p w14:paraId="16FCAAB3" w14:textId="77777777" w:rsidR="006D0D34" w:rsidRPr="00466097" w:rsidRDefault="006D0D34" w:rsidP="000616C8">
      <w:pPr>
        <w:pStyle w:val="ListParagraph"/>
        <w:numPr>
          <w:ilvl w:val="0"/>
          <w:numId w:val="68"/>
        </w:numPr>
      </w:pPr>
      <w:r w:rsidRPr="00466097">
        <w:t>Schools</w:t>
      </w:r>
      <w:r>
        <w:t xml:space="preserve"> and staff and student estimates</w:t>
      </w:r>
    </w:p>
    <w:p w14:paraId="762D4CC6" w14:textId="77777777" w:rsidR="006D0D34" w:rsidRDefault="006D0D34" w:rsidP="000616C8">
      <w:pPr>
        <w:pStyle w:val="ListParagraph"/>
        <w:numPr>
          <w:ilvl w:val="0"/>
          <w:numId w:val="68"/>
        </w:numPr>
      </w:pPr>
      <w:r>
        <w:t>Large r</w:t>
      </w:r>
      <w:r w:rsidRPr="00466097">
        <w:t>esidential communities</w:t>
      </w:r>
      <w:r>
        <w:t xml:space="preserve"> (e.g. colleges, residential facilities, prisons, etc.)</w:t>
      </w:r>
    </w:p>
    <w:p w14:paraId="42E73E2B" w14:textId="77777777" w:rsidR="006D0D34" w:rsidRPr="005C152B" w:rsidRDefault="006D0D34" w:rsidP="006D0D34">
      <w:r>
        <w:t>Local health should use this information to plan for resource requirements (e.g. staffing, amount of MCM needed, etc.) and to identify alternate dispensing strategies (</w:t>
      </w:r>
      <w:r w:rsidR="001D41B6">
        <w:t>e.g.</w:t>
      </w:r>
      <w:r>
        <w:t xml:space="preserve"> Closed EDS).</w:t>
      </w:r>
    </w:p>
    <w:p w14:paraId="3C48C360" w14:textId="77777777" w:rsidR="006D0D34" w:rsidRPr="0090186A" w:rsidRDefault="006D0D34" w:rsidP="006D0D34">
      <w:pPr>
        <w:pStyle w:val="Heading3"/>
        <w:rPr>
          <w:color w:val="002060"/>
        </w:rPr>
      </w:pPr>
      <w:bookmarkStart w:id="205" w:name="_Toc483233100"/>
      <w:bookmarkStart w:id="206" w:name="_Toc11832802"/>
      <w:r w:rsidRPr="0090186A">
        <w:rPr>
          <w:color w:val="002060"/>
        </w:rPr>
        <w:t>Demographics</w:t>
      </w:r>
      <w:bookmarkEnd w:id="205"/>
      <w:bookmarkEnd w:id="206"/>
    </w:p>
    <w:p w14:paraId="4E7C05DA" w14:textId="77777777" w:rsidR="006D0D34" w:rsidRPr="00400C15" w:rsidRDefault="006D0D34" w:rsidP="006D0D34">
      <w:r w:rsidRPr="00400C15">
        <w:t xml:space="preserve">Local </w:t>
      </w:r>
      <w:r>
        <w:t xml:space="preserve">health </w:t>
      </w:r>
      <w:r w:rsidRPr="00400C15">
        <w:t>should document recent demographics that can be used to:</w:t>
      </w:r>
    </w:p>
    <w:p w14:paraId="06F95D15" w14:textId="77777777" w:rsidR="006D0D34" w:rsidRPr="00400C15" w:rsidRDefault="006D0D34" w:rsidP="000616C8">
      <w:pPr>
        <w:pStyle w:val="ListParagraph"/>
        <w:numPr>
          <w:ilvl w:val="0"/>
          <w:numId w:val="77"/>
        </w:numPr>
      </w:pPr>
      <w:r w:rsidRPr="00400C15">
        <w:t>Determine the number of sites needed</w:t>
      </w:r>
    </w:p>
    <w:p w14:paraId="27749CC9" w14:textId="77777777" w:rsidR="006D0D34" w:rsidRPr="00400C15" w:rsidRDefault="006D0D34" w:rsidP="000616C8">
      <w:pPr>
        <w:pStyle w:val="ListParagraph"/>
        <w:numPr>
          <w:ilvl w:val="0"/>
          <w:numId w:val="77"/>
        </w:numPr>
      </w:pPr>
      <w:r w:rsidRPr="00400C15">
        <w:t>Evaluate and select dispensing models and methods</w:t>
      </w:r>
    </w:p>
    <w:p w14:paraId="3FAFA0AA" w14:textId="77777777" w:rsidR="006D0D34" w:rsidRDefault="006D0D34" w:rsidP="000616C8">
      <w:pPr>
        <w:pStyle w:val="ListParagraph"/>
        <w:numPr>
          <w:ilvl w:val="0"/>
          <w:numId w:val="77"/>
        </w:numPr>
      </w:pPr>
      <w:r w:rsidRPr="00400C15">
        <w:t>Inform incident action planning at the time of the incident</w:t>
      </w:r>
    </w:p>
    <w:p w14:paraId="4FB364D6" w14:textId="77777777" w:rsidR="006D0D34" w:rsidRDefault="006D0D34" w:rsidP="006D0D34">
      <w:r>
        <w:t xml:space="preserve">The </w:t>
      </w:r>
      <w:hyperlink r:id="rId50" w:history="1">
        <w:r w:rsidR="00BD55F4" w:rsidRPr="00E13CBC">
          <w:rPr>
            <w:rStyle w:val="Hyperlink"/>
          </w:rPr>
          <w:t>BEH Environmental Public Health Tracking Portal</w:t>
        </w:r>
      </w:hyperlink>
      <w:r w:rsidR="00E13CBC">
        <w:rPr>
          <w:rStyle w:val="FootnoteReference"/>
        </w:rPr>
        <w:footnoteReference w:id="35"/>
      </w:r>
      <w:r>
        <w:t xml:space="preserve"> provides community demographic data on income, race, age, and poverty as well as health data on asthma and heart attack rates. Additionally, there is information on environmental health including lead exposure, air quality, water quality, and heat exposure. BEH is working with OPEM to expand the portal by adding data on vulnerable populations including language and disabilities.</w:t>
      </w:r>
      <w:r w:rsidR="00BD55F4">
        <w:t xml:space="preserve"> </w:t>
      </w:r>
    </w:p>
    <w:p w14:paraId="30303FBB" w14:textId="77777777" w:rsidR="006D0D34" w:rsidRPr="00400C15" w:rsidRDefault="006D0D34" w:rsidP="006D0D34">
      <w:r>
        <w:t>Additionally, community demographic information is available through the U.S. Census Bureau and the American Community Survey (ACS). T</w:t>
      </w:r>
      <w:r w:rsidRPr="00400C15">
        <w:t xml:space="preserve">he following table lists types of </w:t>
      </w:r>
      <w:r>
        <w:t xml:space="preserve">recommended </w:t>
      </w:r>
      <w:r w:rsidRPr="00400C15">
        <w:t xml:space="preserve">demographic information to include in the EDS plan, </w:t>
      </w:r>
      <w:r>
        <w:t>potential</w:t>
      </w:r>
      <w:r w:rsidRPr="00400C15">
        <w:t xml:space="preserve"> </w:t>
      </w:r>
      <w:r>
        <w:t xml:space="preserve">data </w:t>
      </w:r>
      <w:r w:rsidRPr="00400C15">
        <w:t>source</w:t>
      </w:r>
      <w:r>
        <w:t>s</w:t>
      </w:r>
      <w:r w:rsidRPr="00400C15">
        <w:t>, and their planning purpose.</w:t>
      </w:r>
    </w:p>
    <w:p w14:paraId="4609C88B" w14:textId="3CC2AE56" w:rsidR="006D0D34" w:rsidRDefault="006D0D34" w:rsidP="006D0D34">
      <w:pPr>
        <w:pStyle w:val="Caption"/>
        <w:keepNext/>
      </w:pPr>
      <w:r>
        <w:t xml:space="preserve">Table </w:t>
      </w:r>
      <w:r w:rsidR="003C73A7">
        <w:rPr>
          <w:noProof/>
        </w:rPr>
        <w:t>6</w:t>
      </w:r>
      <w:r>
        <w:t>: Recommended Demographic for Use in EDS Planning</w:t>
      </w:r>
    </w:p>
    <w:tbl>
      <w:tblPr>
        <w:tblStyle w:val="GridTable1Light-Accent51"/>
        <w:tblW w:w="0" w:type="auto"/>
        <w:tblInd w:w="-5" w:type="dxa"/>
        <w:tblLook w:val="04A0" w:firstRow="1" w:lastRow="0" w:firstColumn="1" w:lastColumn="0" w:noHBand="0" w:noVBand="1"/>
      </w:tblPr>
      <w:tblGrid>
        <w:gridCol w:w="1838"/>
        <w:gridCol w:w="3742"/>
        <w:gridCol w:w="3775"/>
      </w:tblGrid>
      <w:tr w:rsidR="006D0D34" w:rsidRPr="00400C15" w14:paraId="05CAD226" w14:textId="77777777" w:rsidTr="009018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005F4DA6" w14:textId="77777777" w:rsidR="006D0D34" w:rsidRPr="00400C15" w:rsidRDefault="006D0D34" w:rsidP="0090186A">
            <w:pPr>
              <w:rPr>
                <w:sz w:val="20"/>
                <w:szCs w:val="20"/>
              </w:rPr>
            </w:pPr>
            <w:r w:rsidRPr="00400C15">
              <w:rPr>
                <w:sz w:val="20"/>
                <w:szCs w:val="20"/>
              </w:rPr>
              <w:t>Demographics</w:t>
            </w:r>
          </w:p>
        </w:tc>
        <w:tc>
          <w:tcPr>
            <w:tcW w:w="3742" w:type="dxa"/>
            <w:vAlign w:val="center"/>
          </w:tcPr>
          <w:p w14:paraId="633281EA" w14:textId="77777777" w:rsidR="006D0D34" w:rsidRPr="00400C15" w:rsidRDefault="006D0D34" w:rsidP="0090186A">
            <w:pPr>
              <w:cnfStyle w:val="100000000000" w:firstRow="1" w:lastRow="0" w:firstColumn="0" w:lastColumn="0" w:oddVBand="0" w:evenVBand="0" w:oddHBand="0" w:evenHBand="0" w:firstRowFirstColumn="0" w:firstRowLastColumn="0" w:lastRowFirstColumn="0" w:lastRowLastColumn="0"/>
              <w:rPr>
                <w:sz w:val="20"/>
                <w:szCs w:val="20"/>
              </w:rPr>
            </w:pPr>
            <w:r w:rsidRPr="00400C15">
              <w:rPr>
                <w:sz w:val="20"/>
                <w:szCs w:val="20"/>
              </w:rPr>
              <w:t>Source &amp; Data Elements</w:t>
            </w:r>
          </w:p>
        </w:tc>
        <w:tc>
          <w:tcPr>
            <w:tcW w:w="3775" w:type="dxa"/>
            <w:vAlign w:val="center"/>
          </w:tcPr>
          <w:p w14:paraId="23AED915" w14:textId="77777777" w:rsidR="006D0D34" w:rsidRPr="00400C15" w:rsidRDefault="006D0D34" w:rsidP="0090186A">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400C15">
              <w:rPr>
                <w:sz w:val="20"/>
                <w:szCs w:val="20"/>
              </w:rPr>
              <w:t>Planning Purpose</w:t>
            </w:r>
          </w:p>
        </w:tc>
      </w:tr>
      <w:tr w:rsidR="006D0D34" w:rsidRPr="00400C15" w14:paraId="483EB2A2" w14:textId="77777777" w:rsidTr="0090186A">
        <w:tc>
          <w:tcPr>
            <w:cnfStyle w:val="001000000000" w:firstRow="0" w:lastRow="0" w:firstColumn="1" w:lastColumn="0" w:oddVBand="0" w:evenVBand="0" w:oddHBand="0" w:evenHBand="0" w:firstRowFirstColumn="0" w:firstRowLastColumn="0" w:lastRowFirstColumn="0" w:lastRowLastColumn="0"/>
            <w:tcW w:w="1838" w:type="dxa"/>
          </w:tcPr>
          <w:p w14:paraId="50ECB546" w14:textId="77777777" w:rsidR="006D0D34" w:rsidRPr="00400C15" w:rsidRDefault="006D0D34" w:rsidP="0090186A">
            <w:pPr>
              <w:rPr>
                <w:sz w:val="20"/>
                <w:szCs w:val="20"/>
              </w:rPr>
            </w:pPr>
            <w:r w:rsidRPr="00400C15">
              <w:rPr>
                <w:sz w:val="20"/>
                <w:szCs w:val="20"/>
              </w:rPr>
              <w:t>General Population</w:t>
            </w:r>
          </w:p>
        </w:tc>
        <w:tc>
          <w:tcPr>
            <w:tcW w:w="3742" w:type="dxa"/>
          </w:tcPr>
          <w:p w14:paraId="23F3247C" w14:textId="77777777" w:rsidR="006D0D34" w:rsidRPr="00400C15" w:rsidRDefault="006D0D34" w:rsidP="0090186A">
            <w:pPr>
              <w:cnfStyle w:val="000000000000" w:firstRow="0" w:lastRow="0" w:firstColumn="0" w:lastColumn="0" w:oddVBand="0" w:evenVBand="0" w:oddHBand="0" w:evenHBand="0" w:firstRowFirstColumn="0" w:firstRowLastColumn="0" w:lastRowFirstColumn="0" w:lastRowLastColumn="0"/>
              <w:rPr>
                <w:sz w:val="20"/>
                <w:szCs w:val="20"/>
              </w:rPr>
            </w:pPr>
            <w:r>
              <w:rPr>
                <w:b/>
                <w:sz w:val="20"/>
                <w:szCs w:val="20"/>
              </w:rPr>
              <w:t xml:space="preserve">U.S. Census, </w:t>
            </w:r>
            <w:r w:rsidRPr="00400C15">
              <w:rPr>
                <w:b/>
                <w:sz w:val="20"/>
                <w:szCs w:val="20"/>
              </w:rPr>
              <w:t>ACS (B01001)</w:t>
            </w:r>
          </w:p>
          <w:p w14:paraId="41CB6BA9" w14:textId="77777777" w:rsidR="006D0D34" w:rsidRPr="00400C15" w:rsidRDefault="006D0D34" w:rsidP="000616C8">
            <w:pPr>
              <w:pStyle w:val="ListParagraph"/>
              <w:numPr>
                <w:ilvl w:val="0"/>
                <w:numId w:val="78"/>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Total population</w:t>
            </w:r>
          </w:p>
          <w:p w14:paraId="33EDF83B" w14:textId="77777777" w:rsidR="006D0D34" w:rsidRPr="00400C15" w:rsidRDefault="006D0D34" w:rsidP="000616C8">
            <w:pPr>
              <w:pStyle w:val="ListParagraph"/>
              <w:numPr>
                <w:ilvl w:val="0"/>
                <w:numId w:val="78"/>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Population by age</w:t>
            </w:r>
          </w:p>
        </w:tc>
        <w:tc>
          <w:tcPr>
            <w:tcW w:w="3775" w:type="dxa"/>
          </w:tcPr>
          <w:p w14:paraId="4B58AE00" w14:textId="77777777" w:rsidR="006D0D34" w:rsidRPr="00400C15" w:rsidRDefault="006D0D34" w:rsidP="000616C8">
            <w:pPr>
              <w:pStyle w:val="ListParagraph"/>
              <w:numPr>
                <w:ilvl w:val="0"/>
                <w:numId w:val="78"/>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Calculate throughput requirements for vaccine dispensing</w:t>
            </w:r>
          </w:p>
          <w:p w14:paraId="2418032E" w14:textId="77777777" w:rsidR="006D0D34" w:rsidRPr="00400C15" w:rsidRDefault="006D0D34" w:rsidP="000616C8">
            <w:pPr>
              <w:pStyle w:val="ListParagraph"/>
              <w:numPr>
                <w:ilvl w:val="0"/>
                <w:numId w:val="78"/>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Inform planning for situations that require tiered dispensing by age groups</w:t>
            </w:r>
          </w:p>
        </w:tc>
      </w:tr>
      <w:tr w:rsidR="006D0D34" w:rsidRPr="00400C15" w14:paraId="3A99DD3B" w14:textId="77777777" w:rsidTr="0090186A">
        <w:tc>
          <w:tcPr>
            <w:cnfStyle w:val="001000000000" w:firstRow="0" w:lastRow="0" w:firstColumn="1" w:lastColumn="0" w:oddVBand="0" w:evenVBand="0" w:oddHBand="0" w:evenHBand="0" w:firstRowFirstColumn="0" w:firstRowLastColumn="0" w:lastRowFirstColumn="0" w:lastRowLastColumn="0"/>
            <w:tcW w:w="1838" w:type="dxa"/>
          </w:tcPr>
          <w:p w14:paraId="2857D02A" w14:textId="77777777" w:rsidR="006D0D34" w:rsidRPr="00400C15" w:rsidRDefault="006D0D34" w:rsidP="0090186A">
            <w:pPr>
              <w:rPr>
                <w:sz w:val="20"/>
                <w:szCs w:val="20"/>
              </w:rPr>
            </w:pPr>
            <w:r w:rsidRPr="00400C15">
              <w:rPr>
                <w:sz w:val="20"/>
                <w:szCs w:val="20"/>
              </w:rPr>
              <w:t>Households</w:t>
            </w:r>
          </w:p>
        </w:tc>
        <w:tc>
          <w:tcPr>
            <w:tcW w:w="3742" w:type="dxa"/>
          </w:tcPr>
          <w:p w14:paraId="4BD99088" w14:textId="77777777" w:rsidR="006D0D34" w:rsidRPr="00400C15" w:rsidRDefault="006D0D34" w:rsidP="0090186A">
            <w:pPr>
              <w:cnfStyle w:val="000000000000" w:firstRow="0" w:lastRow="0" w:firstColumn="0" w:lastColumn="0" w:oddVBand="0" w:evenVBand="0" w:oddHBand="0" w:evenHBand="0" w:firstRowFirstColumn="0" w:firstRowLastColumn="0" w:lastRowFirstColumn="0" w:lastRowLastColumn="0"/>
              <w:rPr>
                <w:sz w:val="20"/>
                <w:szCs w:val="20"/>
              </w:rPr>
            </w:pPr>
            <w:r>
              <w:rPr>
                <w:b/>
                <w:sz w:val="20"/>
                <w:szCs w:val="20"/>
              </w:rPr>
              <w:t xml:space="preserve">U.S. Census, </w:t>
            </w:r>
            <w:r w:rsidRPr="00400C15">
              <w:rPr>
                <w:b/>
                <w:sz w:val="20"/>
                <w:szCs w:val="20"/>
              </w:rPr>
              <w:t>ACS (S1101)</w:t>
            </w:r>
          </w:p>
          <w:p w14:paraId="748A90DD" w14:textId="77777777" w:rsidR="006D0D34" w:rsidRPr="00400C15" w:rsidRDefault="006D0D34" w:rsidP="000616C8">
            <w:pPr>
              <w:pStyle w:val="ListParagraph"/>
              <w:numPr>
                <w:ilvl w:val="0"/>
                <w:numId w:val="74"/>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Total households</w:t>
            </w:r>
          </w:p>
          <w:p w14:paraId="02E457DD" w14:textId="77777777" w:rsidR="006D0D34" w:rsidRPr="00400C15" w:rsidRDefault="006D0D34" w:rsidP="000616C8">
            <w:pPr>
              <w:pStyle w:val="ListParagraph"/>
              <w:numPr>
                <w:ilvl w:val="0"/>
                <w:numId w:val="74"/>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Average household size</w:t>
            </w:r>
          </w:p>
          <w:p w14:paraId="0D0B6A37" w14:textId="77777777" w:rsidR="006D0D34" w:rsidRPr="00400C15" w:rsidRDefault="006D0D34" w:rsidP="000616C8">
            <w:pPr>
              <w:pStyle w:val="ListParagraph"/>
              <w:numPr>
                <w:ilvl w:val="0"/>
                <w:numId w:val="74"/>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Average family size</w:t>
            </w:r>
          </w:p>
          <w:p w14:paraId="09F68AEA" w14:textId="77777777" w:rsidR="006D0D34" w:rsidRPr="00400C15" w:rsidRDefault="006D0D34" w:rsidP="0090186A">
            <w:pPr>
              <w:cnfStyle w:val="000000000000" w:firstRow="0" w:lastRow="0" w:firstColumn="0" w:lastColumn="0" w:oddVBand="0" w:evenVBand="0" w:oddHBand="0" w:evenHBand="0" w:firstRowFirstColumn="0" w:firstRowLastColumn="0" w:lastRowFirstColumn="0" w:lastRowLastColumn="0"/>
              <w:rPr>
                <w:sz w:val="20"/>
                <w:szCs w:val="20"/>
              </w:rPr>
            </w:pPr>
            <w:r>
              <w:rPr>
                <w:b/>
                <w:sz w:val="20"/>
                <w:szCs w:val="20"/>
              </w:rPr>
              <w:t xml:space="preserve">U.S. Census, </w:t>
            </w:r>
            <w:r w:rsidRPr="00400C15">
              <w:rPr>
                <w:b/>
                <w:sz w:val="20"/>
                <w:szCs w:val="20"/>
              </w:rPr>
              <w:t>ACS (B11001)</w:t>
            </w:r>
          </w:p>
          <w:p w14:paraId="523BEFB1" w14:textId="77777777" w:rsidR="006D0D34" w:rsidRPr="00400C15" w:rsidRDefault="006D0D34" w:rsidP="000616C8">
            <w:pPr>
              <w:pStyle w:val="ListParagraph"/>
              <w:numPr>
                <w:ilvl w:val="0"/>
                <w:numId w:val="75"/>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Total family households</w:t>
            </w:r>
          </w:p>
          <w:p w14:paraId="606728D3" w14:textId="77777777" w:rsidR="006D0D34" w:rsidRPr="00400C15" w:rsidRDefault="006D0D34" w:rsidP="000616C8">
            <w:pPr>
              <w:pStyle w:val="ListParagraph"/>
              <w:numPr>
                <w:ilvl w:val="0"/>
                <w:numId w:val="75"/>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Total non-family households</w:t>
            </w:r>
          </w:p>
          <w:p w14:paraId="7096238E" w14:textId="77777777" w:rsidR="006D0D34" w:rsidRPr="00400C15" w:rsidRDefault="006D0D34" w:rsidP="000616C8">
            <w:pPr>
              <w:pStyle w:val="ListParagraph"/>
              <w:numPr>
                <w:ilvl w:val="0"/>
                <w:numId w:val="75"/>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Total householders living alone</w:t>
            </w:r>
          </w:p>
          <w:p w14:paraId="4ADEF6EC" w14:textId="77777777" w:rsidR="006D0D34" w:rsidRPr="00400C15" w:rsidRDefault="006D0D34" w:rsidP="000616C8">
            <w:pPr>
              <w:pStyle w:val="ListParagraph"/>
              <w:numPr>
                <w:ilvl w:val="0"/>
                <w:numId w:val="75"/>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Total single parent households</w:t>
            </w:r>
          </w:p>
          <w:p w14:paraId="66B38AC8" w14:textId="77777777" w:rsidR="006D0D34" w:rsidRPr="00400C15" w:rsidRDefault="006D0D34" w:rsidP="0090186A">
            <w:pPr>
              <w:cnfStyle w:val="000000000000" w:firstRow="0" w:lastRow="0" w:firstColumn="0" w:lastColumn="0" w:oddVBand="0" w:evenVBand="0" w:oddHBand="0" w:evenHBand="0" w:firstRowFirstColumn="0" w:firstRowLastColumn="0" w:lastRowFirstColumn="0" w:lastRowLastColumn="0"/>
              <w:rPr>
                <w:sz w:val="20"/>
                <w:szCs w:val="20"/>
              </w:rPr>
            </w:pPr>
            <w:r>
              <w:rPr>
                <w:b/>
                <w:sz w:val="20"/>
                <w:szCs w:val="20"/>
              </w:rPr>
              <w:t xml:space="preserve">U.S. Census, </w:t>
            </w:r>
            <w:r w:rsidRPr="00400C15">
              <w:rPr>
                <w:b/>
                <w:sz w:val="20"/>
                <w:szCs w:val="20"/>
              </w:rPr>
              <w:t>ACS (B11016)</w:t>
            </w:r>
          </w:p>
          <w:p w14:paraId="10E00CB3" w14:textId="77777777" w:rsidR="006D0D34" w:rsidRPr="00400C15" w:rsidRDefault="006D0D34" w:rsidP="000616C8">
            <w:pPr>
              <w:pStyle w:val="ListParagraph"/>
              <w:numPr>
                <w:ilvl w:val="0"/>
                <w:numId w:val="76"/>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Family households by household size</w:t>
            </w:r>
          </w:p>
          <w:p w14:paraId="7E53F408" w14:textId="77777777" w:rsidR="006D0D34" w:rsidRPr="00400C15" w:rsidRDefault="006D0D34" w:rsidP="000616C8">
            <w:pPr>
              <w:pStyle w:val="ListParagraph"/>
              <w:numPr>
                <w:ilvl w:val="0"/>
                <w:numId w:val="76"/>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Non-family households by household size</w:t>
            </w:r>
          </w:p>
        </w:tc>
        <w:tc>
          <w:tcPr>
            <w:tcW w:w="3775" w:type="dxa"/>
          </w:tcPr>
          <w:p w14:paraId="75C5E245" w14:textId="77777777" w:rsidR="006D0D34" w:rsidRPr="00400C15" w:rsidRDefault="006D0D34" w:rsidP="000616C8">
            <w:pPr>
              <w:pStyle w:val="ListParagraph"/>
              <w:numPr>
                <w:ilvl w:val="0"/>
                <w:numId w:val="74"/>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Calculate Head of Household (HOH) throughput requirements for medication dispensing</w:t>
            </w:r>
          </w:p>
          <w:p w14:paraId="43866B93" w14:textId="77777777" w:rsidR="006D0D34" w:rsidRPr="00400C15" w:rsidRDefault="006D0D34" w:rsidP="000616C8">
            <w:pPr>
              <w:pStyle w:val="ListParagraph"/>
              <w:numPr>
                <w:ilvl w:val="0"/>
                <w:numId w:val="74"/>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Determine number of regimen (medication) dispensing requirements</w:t>
            </w:r>
          </w:p>
          <w:p w14:paraId="16D9BFA5" w14:textId="77777777" w:rsidR="006D0D34" w:rsidRPr="00400C15" w:rsidRDefault="006D0D34" w:rsidP="000616C8">
            <w:pPr>
              <w:pStyle w:val="ListParagraph"/>
              <w:numPr>
                <w:ilvl w:val="0"/>
                <w:numId w:val="74"/>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Identify strategies to expedite dispensing to non-family households</w:t>
            </w:r>
          </w:p>
        </w:tc>
      </w:tr>
      <w:tr w:rsidR="006D0D34" w:rsidRPr="00400C15" w14:paraId="5263CBC6" w14:textId="77777777" w:rsidTr="0090186A">
        <w:tc>
          <w:tcPr>
            <w:cnfStyle w:val="001000000000" w:firstRow="0" w:lastRow="0" w:firstColumn="1" w:lastColumn="0" w:oddVBand="0" w:evenVBand="0" w:oddHBand="0" w:evenHBand="0" w:firstRowFirstColumn="0" w:firstRowLastColumn="0" w:lastRowFirstColumn="0" w:lastRowLastColumn="0"/>
            <w:tcW w:w="1838" w:type="dxa"/>
          </w:tcPr>
          <w:p w14:paraId="3BC8F46E" w14:textId="77777777" w:rsidR="006D0D34" w:rsidRPr="00400C15" w:rsidRDefault="006D0D34" w:rsidP="0090186A">
            <w:pPr>
              <w:rPr>
                <w:sz w:val="20"/>
                <w:szCs w:val="20"/>
              </w:rPr>
            </w:pPr>
            <w:r w:rsidRPr="00400C15">
              <w:rPr>
                <w:sz w:val="20"/>
                <w:szCs w:val="20"/>
              </w:rPr>
              <w:t>Predominant Languages</w:t>
            </w:r>
          </w:p>
        </w:tc>
        <w:tc>
          <w:tcPr>
            <w:tcW w:w="3742" w:type="dxa"/>
          </w:tcPr>
          <w:p w14:paraId="2755EB31" w14:textId="77777777" w:rsidR="006D0D34" w:rsidRPr="00400C15" w:rsidRDefault="006D0D34" w:rsidP="0090186A">
            <w:pP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U.S. Census, </w:t>
            </w:r>
            <w:r w:rsidRPr="00400C15">
              <w:rPr>
                <w:b/>
                <w:sz w:val="20"/>
                <w:szCs w:val="20"/>
              </w:rPr>
              <w:t>ACS (B16001)</w:t>
            </w:r>
          </w:p>
          <w:p w14:paraId="262C785D" w14:textId="77777777" w:rsidR="006D0D34" w:rsidRPr="00400C15" w:rsidRDefault="006D0D34" w:rsidP="000616C8">
            <w:pPr>
              <w:pStyle w:val="ListParagraph"/>
              <w:numPr>
                <w:ilvl w:val="0"/>
                <w:numId w:val="70"/>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Language spoke</w:t>
            </w:r>
            <w:r>
              <w:rPr>
                <w:sz w:val="20"/>
                <w:szCs w:val="20"/>
              </w:rPr>
              <w:t>n</w:t>
            </w:r>
            <w:r w:rsidRPr="00400C15">
              <w:rPr>
                <w:sz w:val="20"/>
                <w:szCs w:val="20"/>
              </w:rPr>
              <w:t xml:space="preserve"> at home</w:t>
            </w:r>
          </w:p>
          <w:p w14:paraId="13125F28" w14:textId="77777777" w:rsidR="006D0D34" w:rsidRPr="00400C15" w:rsidRDefault="006D0D34" w:rsidP="000616C8">
            <w:pPr>
              <w:pStyle w:val="ListParagraph"/>
              <w:numPr>
                <w:ilvl w:val="0"/>
                <w:numId w:val="70"/>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Speak only English</w:t>
            </w:r>
          </w:p>
          <w:p w14:paraId="42D92D11" w14:textId="77777777" w:rsidR="006D0D34" w:rsidRPr="00400C15" w:rsidRDefault="006D0D34" w:rsidP="000616C8">
            <w:pPr>
              <w:pStyle w:val="ListParagraph"/>
              <w:numPr>
                <w:ilvl w:val="0"/>
                <w:numId w:val="70"/>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Speak languages other than English</w:t>
            </w:r>
          </w:p>
          <w:p w14:paraId="20A2AD1C" w14:textId="77777777" w:rsidR="006D0D34" w:rsidRPr="00400C15" w:rsidRDefault="006D0D34" w:rsidP="000616C8">
            <w:pPr>
              <w:pStyle w:val="ListParagraph"/>
              <w:numPr>
                <w:ilvl w:val="0"/>
                <w:numId w:val="70"/>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Speak English less than “very well”</w:t>
            </w:r>
          </w:p>
        </w:tc>
        <w:tc>
          <w:tcPr>
            <w:tcW w:w="3775" w:type="dxa"/>
          </w:tcPr>
          <w:p w14:paraId="1BD7CD09" w14:textId="77777777" w:rsidR="006D0D34" w:rsidRPr="00400C15" w:rsidRDefault="006D0D34" w:rsidP="000616C8">
            <w:pPr>
              <w:pStyle w:val="ListParagraph"/>
              <w:numPr>
                <w:ilvl w:val="0"/>
                <w:numId w:val="70"/>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Identify predominant languages</w:t>
            </w:r>
          </w:p>
          <w:p w14:paraId="40E19F25" w14:textId="77777777" w:rsidR="006D0D34" w:rsidRPr="00400C15" w:rsidRDefault="006D0D34" w:rsidP="000616C8">
            <w:pPr>
              <w:pStyle w:val="ListParagraph"/>
              <w:numPr>
                <w:ilvl w:val="0"/>
                <w:numId w:val="70"/>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Determine translation and interpretation needs</w:t>
            </w:r>
          </w:p>
          <w:p w14:paraId="2AA33638" w14:textId="77777777" w:rsidR="006D0D34" w:rsidRPr="00400C15" w:rsidRDefault="006D0D34" w:rsidP="000616C8">
            <w:pPr>
              <w:pStyle w:val="ListParagraph"/>
              <w:numPr>
                <w:ilvl w:val="0"/>
                <w:numId w:val="70"/>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Identify sources for translators and interpreters</w:t>
            </w:r>
          </w:p>
        </w:tc>
      </w:tr>
      <w:tr w:rsidR="006D0D34" w:rsidRPr="00400C15" w14:paraId="44C7C583" w14:textId="77777777" w:rsidTr="0090186A">
        <w:tc>
          <w:tcPr>
            <w:cnfStyle w:val="001000000000" w:firstRow="0" w:lastRow="0" w:firstColumn="1" w:lastColumn="0" w:oddVBand="0" w:evenVBand="0" w:oddHBand="0" w:evenHBand="0" w:firstRowFirstColumn="0" w:firstRowLastColumn="0" w:lastRowFirstColumn="0" w:lastRowLastColumn="0"/>
            <w:tcW w:w="1838" w:type="dxa"/>
          </w:tcPr>
          <w:p w14:paraId="598D4511" w14:textId="77777777" w:rsidR="006D0D34" w:rsidRPr="00400C15" w:rsidRDefault="006D0D34" w:rsidP="0090186A">
            <w:pPr>
              <w:rPr>
                <w:sz w:val="20"/>
                <w:szCs w:val="20"/>
              </w:rPr>
            </w:pPr>
            <w:r w:rsidRPr="00400C15">
              <w:rPr>
                <w:sz w:val="20"/>
                <w:szCs w:val="20"/>
              </w:rPr>
              <w:t>Access &amp; Functional Needs</w:t>
            </w:r>
          </w:p>
        </w:tc>
        <w:tc>
          <w:tcPr>
            <w:tcW w:w="3742" w:type="dxa"/>
          </w:tcPr>
          <w:p w14:paraId="1B9F8AB9" w14:textId="77777777" w:rsidR="006D0D34" w:rsidRPr="00400C15" w:rsidRDefault="006D0D34" w:rsidP="0090186A">
            <w:pP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U.S. Census, </w:t>
            </w:r>
            <w:r w:rsidRPr="00400C15">
              <w:rPr>
                <w:b/>
                <w:sz w:val="20"/>
                <w:szCs w:val="20"/>
              </w:rPr>
              <w:t>ACS (S1810)</w:t>
            </w:r>
          </w:p>
          <w:p w14:paraId="5299A41D" w14:textId="77777777" w:rsidR="006D0D34" w:rsidRPr="00400C15" w:rsidRDefault="006D0D34" w:rsidP="000616C8">
            <w:pPr>
              <w:pStyle w:val="ListParagraph"/>
              <w:numPr>
                <w:ilvl w:val="0"/>
                <w:numId w:val="69"/>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Population with a disability</w:t>
            </w:r>
          </w:p>
          <w:p w14:paraId="6B39BC42" w14:textId="77777777" w:rsidR="006D0D34" w:rsidRPr="00400C15" w:rsidRDefault="006D0D34" w:rsidP="000616C8">
            <w:pPr>
              <w:pStyle w:val="ListParagraph"/>
              <w:numPr>
                <w:ilvl w:val="0"/>
                <w:numId w:val="69"/>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Disability by age</w:t>
            </w:r>
          </w:p>
          <w:p w14:paraId="20F81402" w14:textId="77777777" w:rsidR="006D0D34" w:rsidRPr="00400C15" w:rsidRDefault="006D0D34" w:rsidP="000616C8">
            <w:pPr>
              <w:pStyle w:val="ListParagraph"/>
              <w:numPr>
                <w:ilvl w:val="0"/>
                <w:numId w:val="69"/>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Hearing difficulty</w:t>
            </w:r>
          </w:p>
          <w:p w14:paraId="68245715" w14:textId="77777777" w:rsidR="006D0D34" w:rsidRPr="00400C15" w:rsidRDefault="006D0D34" w:rsidP="000616C8">
            <w:pPr>
              <w:pStyle w:val="ListParagraph"/>
              <w:numPr>
                <w:ilvl w:val="0"/>
                <w:numId w:val="69"/>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Vision difficulty</w:t>
            </w:r>
          </w:p>
          <w:p w14:paraId="552DAFF9" w14:textId="77777777" w:rsidR="006D0D34" w:rsidRPr="00400C15" w:rsidRDefault="006D0D34" w:rsidP="000616C8">
            <w:pPr>
              <w:pStyle w:val="ListParagraph"/>
              <w:numPr>
                <w:ilvl w:val="0"/>
                <w:numId w:val="69"/>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Cognitive difficulty</w:t>
            </w:r>
          </w:p>
          <w:p w14:paraId="54C4BA26" w14:textId="77777777" w:rsidR="006D0D34" w:rsidRPr="00400C15" w:rsidRDefault="006D0D34" w:rsidP="000616C8">
            <w:pPr>
              <w:pStyle w:val="ListParagraph"/>
              <w:numPr>
                <w:ilvl w:val="0"/>
                <w:numId w:val="69"/>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Ambulatory difficulty</w:t>
            </w:r>
          </w:p>
          <w:p w14:paraId="1A2623B7" w14:textId="77777777" w:rsidR="006D0D34" w:rsidRPr="00400C15" w:rsidRDefault="006D0D34" w:rsidP="000616C8">
            <w:pPr>
              <w:pStyle w:val="ListParagraph"/>
              <w:numPr>
                <w:ilvl w:val="0"/>
                <w:numId w:val="69"/>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Self-care difficulty</w:t>
            </w:r>
          </w:p>
          <w:p w14:paraId="4434EA23" w14:textId="77777777" w:rsidR="006D0D34" w:rsidRPr="00400C15" w:rsidRDefault="006D0D34" w:rsidP="000616C8">
            <w:pPr>
              <w:pStyle w:val="ListParagraph"/>
              <w:numPr>
                <w:ilvl w:val="0"/>
                <w:numId w:val="69"/>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Independent Living difficulty</w:t>
            </w:r>
          </w:p>
          <w:p w14:paraId="3D072592" w14:textId="77777777" w:rsidR="006D0D34" w:rsidRPr="00400C15" w:rsidRDefault="006D0D34" w:rsidP="0090186A">
            <w:pP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U.S. Census, </w:t>
            </w:r>
            <w:r w:rsidRPr="00400C15">
              <w:rPr>
                <w:b/>
                <w:sz w:val="20"/>
                <w:szCs w:val="20"/>
              </w:rPr>
              <w:t>ACS (C18108)</w:t>
            </w:r>
          </w:p>
          <w:p w14:paraId="5639183F" w14:textId="77777777" w:rsidR="006D0D34" w:rsidRPr="00400C15" w:rsidRDefault="006D0D34" w:rsidP="000616C8">
            <w:pPr>
              <w:pStyle w:val="ListParagraph"/>
              <w:numPr>
                <w:ilvl w:val="0"/>
                <w:numId w:val="69"/>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Age by number of disabilities</w:t>
            </w:r>
          </w:p>
        </w:tc>
        <w:tc>
          <w:tcPr>
            <w:tcW w:w="3775" w:type="dxa"/>
          </w:tcPr>
          <w:p w14:paraId="67640A4B" w14:textId="77777777" w:rsidR="006D0D34" w:rsidRPr="00400C15" w:rsidRDefault="006D0D34" w:rsidP="000616C8">
            <w:pPr>
              <w:pStyle w:val="ListParagraph"/>
              <w:numPr>
                <w:ilvl w:val="0"/>
                <w:numId w:val="69"/>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Estimate disability types</w:t>
            </w:r>
          </w:p>
          <w:p w14:paraId="03EBBE2F" w14:textId="77777777" w:rsidR="006D0D34" w:rsidRPr="00400C15" w:rsidRDefault="006D0D34" w:rsidP="000616C8">
            <w:pPr>
              <w:pStyle w:val="ListParagraph"/>
              <w:numPr>
                <w:ilvl w:val="0"/>
                <w:numId w:val="69"/>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Determine Functional Needs Support Services (FNSS) needed</w:t>
            </w:r>
          </w:p>
          <w:p w14:paraId="05EBC9E0" w14:textId="77777777" w:rsidR="006D0D34" w:rsidRPr="00400C15" w:rsidRDefault="006D0D34" w:rsidP="000616C8">
            <w:pPr>
              <w:pStyle w:val="ListParagraph"/>
              <w:numPr>
                <w:ilvl w:val="0"/>
                <w:numId w:val="69"/>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Identify sources of FNSS</w:t>
            </w:r>
          </w:p>
          <w:p w14:paraId="41AC3DB6" w14:textId="77777777" w:rsidR="006D0D34" w:rsidRPr="00400C15" w:rsidRDefault="006D0D34" w:rsidP="000616C8">
            <w:pPr>
              <w:pStyle w:val="ListParagraph"/>
              <w:numPr>
                <w:ilvl w:val="1"/>
                <w:numId w:val="69"/>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Sign language interpreters</w:t>
            </w:r>
          </w:p>
          <w:p w14:paraId="07C856D2" w14:textId="77777777" w:rsidR="006D0D34" w:rsidRPr="00400C15" w:rsidRDefault="006D0D34" w:rsidP="000616C8">
            <w:pPr>
              <w:pStyle w:val="ListParagraph"/>
              <w:numPr>
                <w:ilvl w:val="1"/>
                <w:numId w:val="69"/>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Braille &amp; large print materials</w:t>
            </w:r>
          </w:p>
          <w:p w14:paraId="2BB778C1" w14:textId="77777777" w:rsidR="006D0D34" w:rsidRPr="00400C15" w:rsidRDefault="006D0D34" w:rsidP="000616C8">
            <w:pPr>
              <w:pStyle w:val="ListParagraph"/>
              <w:numPr>
                <w:ilvl w:val="1"/>
                <w:numId w:val="69"/>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Accommodating service animals</w:t>
            </w:r>
          </w:p>
          <w:p w14:paraId="38A03C03" w14:textId="77777777" w:rsidR="006D0D34" w:rsidRPr="00400C15" w:rsidRDefault="006D0D34" w:rsidP="000616C8">
            <w:pPr>
              <w:pStyle w:val="ListParagraph"/>
              <w:numPr>
                <w:ilvl w:val="1"/>
                <w:numId w:val="69"/>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Wheelchairs/walkers</w:t>
            </w:r>
          </w:p>
          <w:p w14:paraId="762B05E5" w14:textId="77777777" w:rsidR="006D0D34" w:rsidRPr="00400C15" w:rsidRDefault="006D0D34" w:rsidP="000616C8">
            <w:pPr>
              <w:pStyle w:val="ListParagraph"/>
              <w:numPr>
                <w:ilvl w:val="1"/>
                <w:numId w:val="69"/>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Accessible transportation</w:t>
            </w:r>
          </w:p>
          <w:p w14:paraId="6B8E14FB" w14:textId="77777777" w:rsidR="006D0D34" w:rsidRPr="00400C15" w:rsidRDefault="006D0D34" w:rsidP="000616C8">
            <w:pPr>
              <w:pStyle w:val="ListParagraph"/>
              <w:numPr>
                <w:ilvl w:val="1"/>
                <w:numId w:val="69"/>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Assistive technology &amp; equipment</w:t>
            </w:r>
          </w:p>
        </w:tc>
      </w:tr>
      <w:tr w:rsidR="006D0D34" w:rsidRPr="00400C15" w14:paraId="15AF0299" w14:textId="77777777" w:rsidTr="0090186A">
        <w:tc>
          <w:tcPr>
            <w:cnfStyle w:val="001000000000" w:firstRow="0" w:lastRow="0" w:firstColumn="1" w:lastColumn="0" w:oddVBand="0" w:evenVBand="0" w:oddHBand="0" w:evenHBand="0" w:firstRowFirstColumn="0" w:firstRowLastColumn="0" w:lastRowFirstColumn="0" w:lastRowLastColumn="0"/>
            <w:tcW w:w="1838" w:type="dxa"/>
          </w:tcPr>
          <w:p w14:paraId="3EF114D2" w14:textId="77777777" w:rsidR="006D0D34" w:rsidRPr="00400C15" w:rsidRDefault="006D0D34" w:rsidP="0090186A">
            <w:pPr>
              <w:rPr>
                <w:sz w:val="20"/>
                <w:szCs w:val="20"/>
              </w:rPr>
            </w:pPr>
            <w:r w:rsidRPr="00400C15">
              <w:rPr>
                <w:sz w:val="20"/>
                <w:szCs w:val="20"/>
              </w:rPr>
              <w:t>No-Vehicle Households</w:t>
            </w:r>
          </w:p>
        </w:tc>
        <w:tc>
          <w:tcPr>
            <w:tcW w:w="3742" w:type="dxa"/>
          </w:tcPr>
          <w:p w14:paraId="41B89B26" w14:textId="77777777" w:rsidR="006D0D34" w:rsidRPr="00400C15" w:rsidRDefault="006D0D34" w:rsidP="0090186A">
            <w:pP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U.S. Census, </w:t>
            </w:r>
            <w:r w:rsidRPr="00400C15">
              <w:rPr>
                <w:b/>
                <w:sz w:val="20"/>
                <w:szCs w:val="20"/>
              </w:rPr>
              <w:t>ACS (B08201)</w:t>
            </w:r>
          </w:p>
          <w:p w14:paraId="6224D8FE" w14:textId="77777777" w:rsidR="006D0D34" w:rsidRPr="00400C15" w:rsidRDefault="006D0D34" w:rsidP="000616C8">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Total no-vehicle households</w:t>
            </w:r>
          </w:p>
          <w:p w14:paraId="3AA58076" w14:textId="77777777" w:rsidR="006D0D34" w:rsidRPr="00400C15" w:rsidRDefault="006D0D34" w:rsidP="000616C8">
            <w:pPr>
              <w:pStyle w:val="ListParagraph"/>
              <w:numPr>
                <w:ilvl w:val="0"/>
                <w:numId w:val="72"/>
              </w:numPr>
              <w:spacing w:after="0" w:line="240" w:lineRule="auto"/>
              <w:cnfStyle w:val="000000000000" w:firstRow="0" w:lastRow="0" w:firstColumn="0" w:lastColumn="0" w:oddVBand="0" w:evenVBand="0" w:oddHBand="0" w:evenHBand="0" w:firstRowFirstColumn="0" w:firstRowLastColumn="0" w:lastRowFirstColumn="0" w:lastRowLastColumn="0"/>
              <w:rPr>
                <w:b/>
                <w:sz w:val="20"/>
                <w:szCs w:val="20"/>
              </w:rPr>
            </w:pPr>
            <w:r w:rsidRPr="00400C15">
              <w:rPr>
                <w:sz w:val="20"/>
                <w:szCs w:val="20"/>
              </w:rPr>
              <w:t>No-vehicle households by household size (1 to 4+ persons)</w:t>
            </w:r>
          </w:p>
          <w:p w14:paraId="7A3DEFD4" w14:textId="77777777" w:rsidR="006D0D34" w:rsidRPr="00400C15" w:rsidRDefault="006D0D34" w:rsidP="0090186A">
            <w:pPr>
              <w:cnfStyle w:val="000000000000" w:firstRow="0" w:lastRow="0" w:firstColumn="0" w:lastColumn="0" w:oddVBand="0" w:evenVBand="0" w:oddHBand="0" w:evenHBand="0" w:firstRowFirstColumn="0" w:firstRowLastColumn="0" w:lastRowFirstColumn="0" w:lastRowLastColumn="0"/>
              <w:rPr>
                <w:sz w:val="20"/>
                <w:szCs w:val="20"/>
              </w:rPr>
            </w:pPr>
            <w:r>
              <w:rPr>
                <w:b/>
                <w:sz w:val="20"/>
                <w:szCs w:val="20"/>
              </w:rPr>
              <w:t xml:space="preserve">U.S. Census, </w:t>
            </w:r>
            <w:r w:rsidRPr="00400C15">
              <w:rPr>
                <w:b/>
                <w:sz w:val="20"/>
                <w:szCs w:val="20"/>
              </w:rPr>
              <w:t>ACS (B25045)</w:t>
            </w:r>
          </w:p>
          <w:p w14:paraId="3526845D" w14:textId="77777777" w:rsidR="006D0D34" w:rsidRPr="00400C15" w:rsidRDefault="006D0D34" w:rsidP="000616C8">
            <w:pPr>
              <w:pStyle w:val="ListParagraph"/>
              <w:numPr>
                <w:ilvl w:val="0"/>
                <w:numId w:val="73"/>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No-vehicle households by householder age</w:t>
            </w:r>
          </w:p>
          <w:p w14:paraId="21B0B070" w14:textId="77777777" w:rsidR="006D0D34" w:rsidRPr="00400C15" w:rsidRDefault="006D0D34" w:rsidP="000616C8">
            <w:pPr>
              <w:pStyle w:val="ListParagraph"/>
              <w:numPr>
                <w:ilvl w:val="0"/>
                <w:numId w:val="73"/>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No-vehicle households by tenure</w:t>
            </w:r>
          </w:p>
        </w:tc>
        <w:tc>
          <w:tcPr>
            <w:tcW w:w="3775" w:type="dxa"/>
          </w:tcPr>
          <w:p w14:paraId="126D8B90" w14:textId="77777777" w:rsidR="006D0D34" w:rsidRPr="00400C15" w:rsidRDefault="006D0D34" w:rsidP="000616C8">
            <w:pPr>
              <w:pStyle w:val="ListParagraph"/>
              <w:numPr>
                <w:ilvl w:val="0"/>
                <w:numId w:val="71"/>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Estimate total number of no-vehicle households</w:t>
            </w:r>
          </w:p>
          <w:p w14:paraId="0F8FC2BF" w14:textId="77777777" w:rsidR="006D0D34" w:rsidRPr="00400C15" w:rsidRDefault="006D0D34" w:rsidP="000616C8">
            <w:pPr>
              <w:pStyle w:val="ListParagraph"/>
              <w:numPr>
                <w:ilvl w:val="0"/>
                <w:numId w:val="71"/>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Determine characteristics of no-vehicle households (household size and householder age)</w:t>
            </w:r>
          </w:p>
          <w:p w14:paraId="192ECC0A" w14:textId="77777777" w:rsidR="006D0D34" w:rsidRPr="00400C15" w:rsidRDefault="006D0D34" w:rsidP="000616C8">
            <w:pPr>
              <w:pStyle w:val="ListParagraph"/>
              <w:numPr>
                <w:ilvl w:val="0"/>
                <w:numId w:val="71"/>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Determine need for transportation resources to EDS</w:t>
            </w:r>
          </w:p>
          <w:p w14:paraId="33566D61" w14:textId="77777777" w:rsidR="006D0D34" w:rsidRPr="00400C15" w:rsidRDefault="006D0D34" w:rsidP="000616C8">
            <w:pPr>
              <w:pStyle w:val="ListParagraph"/>
              <w:numPr>
                <w:ilvl w:val="0"/>
                <w:numId w:val="71"/>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00C15">
              <w:rPr>
                <w:sz w:val="20"/>
                <w:szCs w:val="20"/>
              </w:rPr>
              <w:t>Identify sources of transportation, including accessible transportation assets</w:t>
            </w:r>
          </w:p>
        </w:tc>
      </w:tr>
    </w:tbl>
    <w:p w14:paraId="760371AF" w14:textId="77777777" w:rsidR="006D0D34" w:rsidRPr="00400C15" w:rsidRDefault="006D0D34" w:rsidP="006D0D34"/>
    <w:p w14:paraId="7D2D3910" w14:textId="77777777" w:rsidR="006D0D34" w:rsidRPr="0090186A" w:rsidRDefault="006D0D34" w:rsidP="006D0D34">
      <w:pPr>
        <w:pStyle w:val="Heading3"/>
        <w:rPr>
          <w:color w:val="002060"/>
        </w:rPr>
      </w:pPr>
      <w:bookmarkStart w:id="207" w:name="_Toc483233101"/>
      <w:bookmarkStart w:id="208" w:name="_Toc11832803"/>
      <w:r w:rsidRPr="0090186A">
        <w:rPr>
          <w:color w:val="002060"/>
        </w:rPr>
        <w:t>Site Selection</w:t>
      </w:r>
      <w:bookmarkEnd w:id="207"/>
      <w:bookmarkEnd w:id="208"/>
    </w:p>
    <w:p w14:paraId="4AF309A2" w14:textId="77777777" w:rsidR="001837F4" w:rsidRDefault="006D0D34" w:rsidP="006D0D34">
      <w:r w:rsidRPr="00866804">
        <w:t>Loc</w:t>
      </w:r>
      <w:r>
        <w:t xml:space="preserve">al health should identify primary and back-up facilities for EDS, complete a </w:t>
      </w:r>
    </w:p>
    <w:p w14:paraId="68C55834" w14:textId="77777777" w:rsidR="006D0D34" w:rsidRDefault="001837F4" w:rsidP="006D0D34">
      <w:r>
        <w:t>Facility S</w:t>
      </w:r>
      <w:r w:rsidR="006D0D34">
        <w:t>urvey, and develop a site-specific written operations plan for each. The site-specific plan should include a facility layout that shows client flow and areas designated for MCM resources and services (e.g. staff intake area, secured storage area, etc.). When selecting a facility as an EDS, local health should consider the following:</w:t>
      </w:r>
    </w:p>
    <w:p w14:paraId="75D5A040" w14:textId="77777777" w:rsidR="006D0D34" w:rsidRDefault="006D0D34" w:rsidP="000616C8">
      <w:pPr>
        <w:pStyle w:val="ListParagraph"/>
        <w:numPr>
          <w:ilvl w:val="0"/>
          <w:numId w:val="81"/>
        </w:numPr>
      </w:pPr>
      <w:r>
        <w:t>Location in relation to the population, transportation resources, and emergency services</w:t>
      </w:r>
    </w:p>
    <w:p w14:paraId="1F719D88" w14:textId="77777777" w:rsidR="006D0D34" w:rsidRDefault="006D0D34" w:rsidP="000616C8">
      <w:pPr>
        <w:pStyle w:val="ListParagraph"/>
        <w:numPr>
          <w:ilvl w:val="0"/>
          <w:numId w:val="81"/>
        </w:numPr>
      </w:pPr>
      <w:r>
        <w:t>Public familiarity with the facility</w:t>
      </w:r>
    </w:p>
    <w:p w14:paraId="64B51BA2" w14:textId="77777777" w:rsidR="006D0D34" w:rsidRDefault="006D0D34" w:rsidP="000616C8">
      <w:pPr>
        <w:pStyle w:val="ListParagraph"/>
        <w:numPr>
          <w:ilvl w:val="0"/>
          <w:numId w:val="81"/>
        </w:numPr>
      </w:pPr>
      <w:r>
        <w:t>Traffic configuration to the facility and parking and public transit availability</w:t>
      </w:r>
    </w:p>
    <w:p w14:paraId="12F1FCA8" w14:textId="77777777" w:rsidR="006D0D34" w:rsidRDefault="006D0D34" w:rsidP="000616C8">
      <w:pPr>
        <w:pStyle w:val="ListParagraph"/>
        <w:numPr>
          <w:ilvl w:val="0"/>
          <w:numId w:val="81"/>
        </w:numPr>
      </w:pPr>
      <w:r>
        <w:t>Backup power (i.e. on-site generator or access to portable generator)</w:t>
      </w:r>
    </w:p>
    <w:p w14:paraId="68767499" w14:textId="77777777" w:rsidR="006D0D34" w:rsidRDefault="006D0D34" w:rsidP="000616C8">
      <w:pPr>
        <w:pStyle w:val="ListParagraph"/>
        <w:numPr>
          <w:ilvl w:val="0"/>
          <w:numId w:val="81"/>
        </w:numPr>
      </w:pPr>
      <w:r>
        <w:t>Accessibility of the facility (i.e. meets Americans with Disabilities Act (ADA) standards)</w:t>
      </w:r>
    </w:p>
    <w:p w14:paraId="2363FAEF" w14:textId="77777777" w:rsidR="006D0D34" w:rsidRDefault="006D0D34" w:rsidP="000616C8">
      <w:pPr>
        <w:pStyle w:val="ListParagraph"/>
        <w:numPr>
          <w:ilvl w:val="0"/>
          <w:numId w:val="81"/>
        </w:numPr>
      </w:pPr>
      <w:r>
        <w:t>Size, layout, and amenities (e.g. loading dock, kitchen, climate control, Internet, etc.)</w:t>
      </w:r>
    </w:p>
    <w:p w14:paraId="4D9E6523" w14:textId="77777777" w:rsidR="006D0D34" w:rsidRDefault="006D0D34" w:rsidP="000616C8">
      <w:pPr>
        <w:pStyle w:val="ListParagraph"/>
        <w:numPr>
          <w:ilvl w:val="0"/>
          <w:numId w:val="81"/>
        </w:numPr>
      </w:pPr>
      <w:r>
        <w:t>On-site resources (e.g. tables, chairs, communications equipment, copiers, etc.)</w:t>
      </w:r>
    </w:p>
    <w:p w14:paraId="509AC00A" w14:textId="77777777" w:rsidR="006D0D34" w:rsidRDefault="006D0D34" w:rsidP="006D0D34">
      <w:r>
        <w:t xml:space="preserve">The EDS Planning Committee should conduct a site visit to complete the </w:t>
      </w:r>
      <w:r w:rsidR="001837F4">
        <w:t>Facility Survey</w:t>
      </w:r>
      <w:r>
        <w:t xml:space="preserve"> and evaluate its appropriateness for MCM dispensing. Once a site has been selected, it should be added it to the EDS Board on the MDPH WebEOC and </w:t>
      </w:r>
      <w:r w:rsidR="001D41B6">
        <w:t xml:space="preserve">the information should be reviewed and updated </w:t>
      </w:r>
      <w:r>
        <w:t>at least annually.</w:t>
      </w:r>
    </w:p>
    <w:p w14:paraId="5BC60EAE" w14:textId="77777777" w:rsidR="00D62A92" w:rsidRDefault="00D62A92" w:rsidP="006D0D34">
      <w:pPr>
        <w:rPr>
          <w:b/>
          <w:u w:val="single"/>
        </w:rPr>
      </w:pPr>
    </w:p>
    <w:p w14:paraId="582E1B40" w14:textId="77777777" w:rsidR="006D0D34" w:rsidRDefault="006D0D34" w:rsidP="006D0D34">
      <w:r>
        <w:rPr>
          <w:b/>
          <w:u w:val="single"/>
        </w:rPr>
        <w:t>Resources:</w:t>
      </w:r>
    </w:p>
    <w:p w14:paraId="7BD8519E" w14:textId="73862699" w:rsidR="006D0D34" w:rsidRPr="00ED3413" w:rsidRDefault="00ED3413" w:rsidP="006D0D34">
      <w:pPr>
        <w:rPr>
          <w:rStyle w:val="Hyperlink"/>
        </w:rPr>
      </w:pPr>
      <w:r>
        <w:fldChar w:fldCharType="begin"/>
      </w:r>
      <w:r w:rsidR="0070672C">
        <w:instrText>HYPERLINK  \l "_Emergency_Dispensing_Site"</w:instrText>
      </w:r>
      <w:r>
        <w:fldChar w:fldCharType="separate"/>
      </w:r>
      <w:r w:rsidR="00BD55F4" w:rsidRPr="00ED3413">
        <w:rPr>
          <w:rStyle w:val="Hyperlink"/>
        </w:rPr>
        <w:t>Emergency Dispensing Site Facility Survey</w:t>
      </w:r>
    </w:p>
    <w:bookmarkStart w:id="209" w:name="_Toc483233102"/>
    <w:p w14:paraId="34C025C4" w14:textId="3AB1E1CA" w:rsidR="006D0D34" w:rsidRPr="0090186A" w:rsidRDefault="00ED3413" w:rsidP="006D0D34">
      <w:pPr>
        <w:pStyle w:val="Heading3"/>
        <w:rPr>
          <w:color w:val="002060"/>
        </w:rPr>
      </w:pPr>
      <w:r>
        <w:rPr>
          <w:rFonts w:asciiTheme="minorHAnsi" w:eastAsiaTheme="minorHAnsi" w:hAnsiTheme="minorHAnsi" w:cstheme="minorBidi"/>
          <w:b w:val="0"/>
          <w:bCs w:val="0"/>
          <w:color w:val="auto"/>
          <w:sz w:val="24"/>
          <w:szCs w:val="24"/>
          <w:lang w:eastAsia="en-US"/>
        </w:rPr>
        <w:fldChar w:fldCharType="end"/>
      </w:r>
      <w:bookmarkStart w:id="210" w:name="_Toc11832804"/>
      <w:r w:rsidR="006D0D34" w:rsidRPr="0090186A">
        <w:rPr>
          <w:color w:val="002060"/>
        </w:rPr>
        <w:t>Security Planning</w:t>
      </w:r>
      <w:bookmarkEnd w:id="209"/>
      <w:bookmarkEnd w:id="210"/>
    </w:p>
    <w:p w14:paraId="4A75A459" w14:textId="77777777" w:rsidR="006D0D34" w:rsidRDefault="006D0D34" w:rsidP="006D0D34">
      <w:r>
        <w:t>Local health should collaborate with local law enforcement to develop and approve a site-specific security plan for each selected facility and determine security staffing requirements. While security staffing is primarily a law enforcement role, some security functions at the EDS could be performed by trained volunteers or through signed agreements with private security firms (e.g. directing traffic, monitoring a security post, etc.). At minimum, the security plan should describe procedures for:</w:t>
      </w:r>
    </w:p>
    <w:p w14:paraId="1E2EC380" w14:textId="77777777" w:rsidR="006D0D34" w:rsidRDefault="006D0D34" w:rsidP="000616C8">
      <w:pPr>
        <w:pStyle w:val="ListParagraph"/>
        <w:numPr>
          <w:ilvl w:val="0"/>
          <w:numId w:val="85"/>
        </w:numPr>
      </w:pPr>
      <w:r>
        <w:t>Exterior and interior physical security, including security sweeps, access control points, and security posts</w:t>
      </w:r>
    </w:p>
    <w:p w14:paraId="030EBED3" w14:textId="77777777" w:rsidR="006D0D34" w:rsidRDefault="006D0D34" w:rsidP="000616C8">
      <w:pPr>
        <w:pStyle w:val="ListParagraph"/>
        <w:numPr>
          <w:ilvl w:val="0"/>
          <w:numId w:val="85"/>
        </w:numPr>
      </w:pPr>
      <w:r>
        <w:t xml:space="preserve">Security of staff and </w:t>
      </w:r>
      <w:r w:rsidRPr="00002E13">
        <w:t>resources</w:t>
      </w:r>
      <w:r>
        <w:t>, including security escorts when needed</w:t>
      </w:r>
    </w:p>
    <w:p w14:paraId="67BB5667" w14:textId="77777777" w:rsidR="006D0D34" w:rsidRDefault="006D0D34" w:rsidP="000616C8">
      <w:pPr>
        <w:pStyle w:val="ListParagraph"/>
        <w:numPr>
          <w:ilvl w:val="0"/>
          <w:numId w:val="85"/>
        </w:numPr>
      </w:pPr>
      <w:r>
        <w:t>Crowd control and management</w:t>
      </w:r>
    </w:p>
    <w:p w14:paraId="18EE9EA4" w14:textId="77777777" w:rsidR="006D0D34" w:rsidRDefault="006D0D34" w:rsidP="000616C8">
      <w:pPr>
        <w:pStyle w:val="ListParagraph"/>
        <w:numPr>
          <w:ilvl w:val="0"/>
          <w:numId w:val="85"/>
        </w:numPr>
      </w:pPr>
      <w:r>
        <w:t>Traffic and parking</w:t>
      </w:r>
    </w:p>
    <w:p w14:paraId="1548AF4E" w14:textId="77777777" w:rsidR="006D0D34" w:rsidRDefault="006D0D34" w:rsidP="000616C8">
      <w:pPr>
        <w:pStyle w:val="ListParagraph"/>
        <w:numPr>
          <w:ilvl w:val="0"/>
          <w:numId w:val="85"/>
        </w:numPr>
      </w:pPr>
      <w:r>
        <w:t>Facility evacuation and breach of security</w:t>
      </w:r>
    </w:p>
    <w:p w14:paraId="2079FFE1" w14:textId="77777777" w:rsidR="006D0D34" w:rsidRDefault="006D0D34" w:rsidP="000616C8">
      <w:pPr>
        <w:pStyle w:val="ListParagraph"/>
        <w:numPr>
          <w:ilvl w:val="0"/>
          <w:numId w:val="85"/>
        </w:numPr>
      </w:pPr>
      <w:r>
        <w:t>Specialized security units (e.g. canine, tactical, etc.)</w:t>
      </w:r>
    </w:p>
    <w:p w14:paraId="035A2B97" w14:textId="77777777" w:rsidR="006D0D34" w:rsidRPr="00E404B7" w:rsidRDefault="006D0D34" w:rsidP="006D0D34">
      <w:r>
        <w:t>Once the security plan is completed, local health should document that local law enforcement are trained on the SNS security requirements and the EDS security procedures.</w:t>
      </w:r>
    </w:p>
    <w:p w14:paraId="3546F2F5" w14:textId="77777777" w:rsidR="006D0D34" w:rsidRPr="0090186A" w:rsidRDefault="006D0D34" w:rsidP="006D0D34">
      <w:pPr>
        <w:pStyle w:val="Heading3"/>
        <w:rPr>
          <w:color w:val="002060"/>
        </w:rPr>
      </w:pPr>
      <w:bookmarkStart w:id="211" w:name="_Toc483233103"/>
      <w:bookmarkStart w:id="212" w:name="_Toc11832805"/>
      <w:r w:rsidRPr="0090186A">
        <w:rPr>
          <w:color w:val="002060"/>
        </w:rPr>
        <w:t>Transportation Assets Planning</w:t>
      </w:r>
      <w:bookmarkEnd w:id="211"/>
      <w:bookmarkEnd w:id="212"/>
    </w:p>
    <w:p w14:paraId="7DE37632" w14:textId="77777777" w:rsidR="006D0D34" w:rsidRPr="00826BC3" w:rsidRDefault="006D0D34" w:rsidP="006D0D34">
      <w:r>
        <w:t>Local health should identify sources of transportation assets that can be used to move resources, staff and volunteers, and clients (if necessary), including assets that are appropriate for individuals with access and functional needs. Once identified, local health should develop agreements for use of the transportation assets and drivers.</w:t>
      </w:r>
    </w:p>
    <w:p w14:paraId="1A3A4A29" w14:textId="77777777" w:rsidR="006D0D34" w:rsidRPr="0090186A" w:rsidRDefault="006D0D34" w:rsidP="006D0D34">
      <w:pPr>
        <w:pStyle w:val="Heading3"/>
        <w:rPr>
          <w:color w:val="002060"/>
        </w:rPr>
      </w:pPr>
      <w:bookmarkStart w:id="213" w:name="_Toc483233104"/>
      <w:bookmarkStart w:id="214" w:name="_Toc11832806"/>
      <w:r w:rsidRPr="0090186A">
        <w:rPr>
          <w:color w:val="002060"/>
        </w:rPr>
        <w:t>Volunteer Recruitment</w:t>
      </w:r>
      <w:bookmarkEnd w:id="213"/>
      <w:bookmarkEnd w:id="214"/>
    </w:p>
    <w:p w14:paraId="493BD33F" w14:textId="77777777" w:rsidR="006D0D34" w:rsidRPr="00622F28" w:rsidRDefault="0020609F" w:rsidP="006D0D34">
      <w:r>
        <w:t xml:space="preserve">The number of staff and volunteers needed to meet hourly throughput estimates will be based on current population estimates and the nature of the dispensing operation.   </w:t>
      </w:r>
      <w:r w:rsidR="006D0D34">
        <w:t xml:space="preserve">Local health </w:t>
      </w:r>
      <w:r>
        <w:t>should work</w:t>
      </w:r>
      <w:r w:rsidR="006D0D34">
        <w:t xml:space="preserve"> with existing local or regional Medical Reserve Corps (MRC)</w:t>
      </w:r>
      <w:r>
        <w:t>,</w:t>
      </w:r>
      <w:r w:rsidR="006D0D34">
        <w:t xml:space="preserve"> Citizen Emergency Response Team (CERT)</w:t>
      </w:r>
      <w:r>
        <w:t>, or other community-based organizations to</w:t>
      </w:r>
      <w:r w:rsidR="006D0D34">
        <w:t xml:space="preserve"> recruit, credential, and train volunteers for EDS operations. Many MRC units participate in </w:t>
      </w:r>
      <w:hyperlink r:id="rId51" w:history="1">
        <w:r w:rsidR="006D0D34" w:rsidRPr="00394806">
          <w:rPr>
            <w:rStyle w:val="Hyperlink"/>
          </w:rPr>
          <w:t>MA Responds</w:t>
        </w:r>
      </w:hyperlink>
      <w:r w:rsidR="00613109">
        <w:rPr>
          <w:rStyle w:val="FootnoteReference"/>
          <w:color w:val="0563C1" w:themeColor="hyperlink"/>
          <w:u w:val="single"/>
        </w:rPr>
        <w:footnoteReference w:id="36"/>
      </w:r>
      <w:r w:rsidR="006D0D34" w:rsidRPr="00C84E8D">
        <w:t>,</w:t>
      </w:r>
      <w:r w:rsidR="006D0D34">
        <w:t xml:space="preserve"> an online registration and credentialing system that can be used to notify credentialed volunteers of an incident and register them for shifts at an EDS. MRC units that do not participate in MA Responds must credential their volunteers to the same level as MA Responds and have policies and procedures in place to train and activate volunteers to support local EDS operations as needed. </w:t>
      </w:r>
    </w:p>
    <w:p w14:paraId="1723F540" w14:textId="77777777" w:rsidR="006D0D34" w:rsidRPr="0090186A" w:rsidRDefault="006D0D34" w:rsidP="006D0D34">
      <w:pPr>
        <w:pStyle w:val="Heading3"/>
        <w:rPr>
          <w:color w:val="002060"/>
        </w:rPr>
      </w:pPr>
      <w:bookmarkStart w:id="215" w:name="_Toc483233105"/>
      <w:bookmarkStart w:id="216" w:name="_Toc11832807"/>
      <w:r w:rsidRPr="0090186A">
        <w:rPr>
          <w:color w:val="002060"/>
        </w:rPr>
        <w:t>Role Assignments &amp; Agreement</w:t>
      </w:r>
      <w:bookmarkEnd w:id="215"/>
      <w:bookmarkEnd w:id="216"/>
    </w:p>
    <w:p w14:paraId="5984582A" w14:textId="77777777" w:rsidR="006D0D34" w:rsidRPr="00F06749" w:rsidRDefault="006D0D34" w:rsidP="006D0D34">
      <w:r w:rsidRPr="00394806">
        <w:t>Once</w:t>
      </w:r>
      <w:r>
        <w:t xml:space="preserve"> the plan is drafted, local health should collaborate with partner agencies to assign roles and responsibilities for the EDS plan and to enter into formal, written agreements (when necessary). Specifically, signed agreements should be considered for use of facilities and assistance provided by outside agencies during EDS operations (e.g. printing, food services, childcare, etc.). Additionally, agreements should be developed with entities that will serve as Closed EDS and between communities that elect to establish a Regional </w:t>
      </w:r>
      <w:r w:rsidR="0020609F">
        <w:t xml:space="preserve">or multi-community </w:t>
      </w:r>
      <w:r>
        <w:t>EDS. Local health should review and update agreements and related plans annually.</w:t>
      </w:r>
    </w:p>
    <w:p w14:paraId="45371AC6" w14:textId="77777777" w:rsidR="006D0D34" w:rsidRPr="0090186A" w:rsidRDefault="0090186A" w:rsidP="006D0D34">
      <w:pPr>
        <w:pStyle w:val="Heading2"/>
        <w:rPr>
          <w:color w:val="002060"/>
        </w:rPr>
      </w:pPr>
      <w:bookmarkStart w:id="217" w:name="_Toc483233106"/>
      <w:bookmarkStart w:id="218" w:name="_Toc11832808"/>
      <w:r w:rsidRPr="0090186A">
        <w:rPr>
          <w:color w:val="002060"/>
        </w:rPr>
        <w:t>PLAN MAINTENANCE &amp; DISTRIBUTION</w:t>
      </w:r>
      <w:bookmarkEnd w:id="217"/>
      <w:bookmarkEnd w:id="218"/>
    </w:p>
    <w:p w14:paraId="6E0AFDC3" w14:textId="77777777" w:rsidR="006D0D34" w:rsidRDefault="006D0D34" w:rsidP="006D0D34">
      <w:r>
        <w:t>Each community should designate staff to maintain the EDS plan. Local health should review the EDS plan annually to identify needed updates and to recommend changes based on model practices, lessons learned through exercises or real events, and evaluations. Updates and changes to the EDS plan must be National Incident Management System (NIMS) compliant and should be approved by the EDS Planning Committee. In addition to the annual review, the EDS plan should be reviewed and updated when there are:</w:t>
      </w:r>
    </w:p>
    <w:p w14:paraId="36B607E5" w14:textId="77777777" w:rsidR="006D0D34" w:rsidRDefault="006D0D34" w:rsidP="000616C8">
      <w:pPr>
        <w:pStyle w:val="ListParagraph"/>
        <w:numPr>
          <w:ilvl w:val="0"/>
          <w:numId w:val="79"/>
        </w:numPr>
        <w:ind w:left="720"/>
      </w:pPr>
      <w:r>
        <w:t>Updates to contact information</w:t>
      </w:r>
    </w:p>
    <w:p w14:paraId="00599EF5" w14:textId="77777777" w:rsidR="006D0D34" w:rsidRDefault="006D0D34" w:rsidP="000616C8">
      <w:pPr>
        <w:pStyle w:val="ListParagraph"/>
        <w:numPr>
          <w:ilvl w:val="0"/>
          <w:numId w:val="79"/>
        </w:numPr>
        <w:ind w:left="720"/>
      </w:pPr>
      <w:r>
        <w:t>Changes within partner agencies (key staff, capabilities, capacity for assigned roles, etc.)</w:t>
      </w:r>
    </w:p>
    <w:p w14:paraId="0933CA6A" w14:textId="77777777" w:rsidR="006D0D34" w:rsidRDefault="006D0D34" w:rsidP="000616C8">
      <w:pPr>
        <w:pStyle w:val="ListParagraph"/>
        <w:numPr>
          <w:ilvl w:val="0"/>
          <w:numId w:val="79"/>
        </w:numPr>
        <w:ind w:left="720"/>
      </w:pPr>
      <w:r>
        <w:t>Changes to warning and communications systems</w:t>
      </w:r>
    </w:p>
    <w:p w14:paraId="22E8FAD6" w14:textId="77777777" w:rsidR="006D0D34" w:rsidRDefault="006D0D34" w:rsidP="000616C8">
      <w:pPr>
        <w:pStyle w:val="ListParagraph"/>
        <w:numPr>
          <w:ilvl w:val="0"/>
          <w:numId w:val="79"/>
        </w:numPr>
        <w:ind w:left="720"/>
      </w:pPr>
      <w:r>
        <w:t>Changes to the designated sites</w:t>
      </w:r>
    </w:p>
    <w:p w14:paraId="5EEB99AE" w14:textId="77777777" w:rsidR="006D0D34" w:rsidRDefault="006D0D34" w:rsidP="000616C8">
      <w:pPr>
        <w:pStyle w:val="ListParagraph"/>
        <w:numPr>
          <w:ilvl w:val="0"/>
          <w:numId w:val="79"/>
        </w:numPr>
        <w:ind w:left="720"/>
      </w:pPr>
      <w:r>
        <w:t>New agreements developed or changes to existing agreements</w:t>
      </w:r>
    </w:p>
    <w:p w14:paraId="0F7390C7" w14:textId="77777777" w:rsidR="006D0D34" w:rsidRDefault="006D0D34" w:rsidP="000616C8">
      <w:pPr>
        <w:pStyle w:val="ListParagraph"/>
        <w:numPr>
          <w:ilvl w:val="0"/>
          <w:numId w:val="79"/>
        </w:numPr>
        <w:ind w:left="720"/>
      </w:pPr>
      <w:r>
        <w:t>New risk assessments available</w:t>
      </w:r>
    </w:p>
    <w:p w14:paraId="5F85D4F1" w14:textId="77777777" w:rsidR="006D0D34" w:rsidRPr="00C04611" w:rsidRDefault="006D0D34" w:rsidP="000616C8">
      <w:pPr>
        <w:pStyle w:val="ListParagraph"/>
        <w:numPr>
          <w:ilvl w:val="0"/>
          <w:numId w:val="79"/>
        </w:numPr>
        <w:ind w:left="720"/>
      </w:pPr>
      <w:r>
        <w:t>Changes to federal and state guidance and requirements</w:t>
      </w:r>
    </w:p>
    <w:p w14:paraId="2C4719AA" w14:textId="77777777" w:rsidR="006D0D34" w:rsidRPr="0090186A" w:rsidRDefault="006D0D34" w:rsidP="006D0D34">
      <w:pPr>
        <w:pStyle w:val="Heading3"/>
        <w:rPr>
          <w:color w:val="002060"/>
        </w:rPr>
      </w:pPr>
      <w:bookmarkStart w:id="219" w:name="_Toc483233107"/>
      <w:bookmarkStart w:id="220" w:name="_Toc11832809"/>
      <w:r w:rsidRPr="0090186A">
        <w:rPr>
          <w:color w:val="002060"/>
        </w:rPr>
        <w:t>Plan Review Process &amp; Timeline</w:t>
      </w:r>
      <w:bookmarkEnd w:id="219"/>
      <w:bookmarkEnd w:id="220"/>
    </w:p>
    <w:p w14:paraId="3EB048C1" w14:textId="77777777" w:rsidR="006D0D34" w:rsidRDefault="006D0D34" w:rsidP="006D0D34">
      <w:r>
        <w:t>Staff assigned to maintain the EDS plan should establish a process and timeline for the annual review that addresses:</w:t>
      </w:r>
    </w:p>
    <w:p w14:paraId="0BE3DE39" w14:textId="77777777" w:rsidR="006D0D34" w:rsidRDefault="006D0D34" w:rsidP="000616C8">
      <w:pPr>
        <w:pStyle w:val="ListParagraph"/>
        <w:numPr>
          <w:ilvl w:val="0"/>
          <w:numId w:val="80"/>
        </w:numPr>
      </w:pPr>
      <w:r>
        <w:t>Timing for the annual review</w:t>
      </w:r>
    </w:p>
    <w:p w14:paraId="3FD0D679" w14:textId="77777777" w:rsidR="006D0D34" w:rsidRDefault="006D0D34" w:rsidP="000616C8">
      <w:pPr>
        <w:pStyle w:val="ListParagraph"/>
        <w:numPr>
          <w:ilvl w:val="0"/>
          <w:numId w:val="80"/>
        </w:numPr>
      </w:pPr>
      <w:r>
        <w:t>Method for proposing changes (e.g. annual review meeting)</w:t>
      </w:r>
    </w:p>
    <w:p w14:paraId="49C0A86A" w14:textId="77777777" w:rsidR="006D0D34" w:rsidRDefault="006D0D34" w:rsidP="000616C8">
      <w:pPr>
        <w:pStyle w:val="ListParagraph"/>
        <w:numPr>
          <w:ilvl w:val="0"/>
          <w:numId w:val="80"/>
        </w:numPr>
      </w:pPr>
      <w:r>
        <w:t>Authorization to approve the proposed changes</w:t>
      </w:r>
    </w:p>
    <w:p w14:paraId="7F09B6C8" w14:textId="77777777" w:rsidR="006D0D34" w:rsidRDefault="006D0D34" w:rsidP="000616C8">
      <w:pPr>
        <w:pStyle w:val="ListParagraph"/>
        <w:numPr>
          <w:ilvl w:val="0"/>
          <w:numId w:val="80"/>
        </w:numPr>
      </w:pPr>
      <w:r>
        <w:t>Method for documenting changes to the plan (e.g. Record of Changes log)</w:t>
      </w:r>
    </w:p>
    <w:p w14:paraId="32B6136A" w14:textId="77777777" w:rsidR="006D0D34" w:rsidRDefault="006D0D34" w:rsidP="000616C8">
      <w:pPr>
        <w:pStyle w:val="ListParagraph"/>
        <w:numPr>
          <w:ilvl w:val="0"/>
          <w:numId w:val="80"/>
        </w:numPr>
      </w:pPr>
      <w:r>
        <w:t>Method for documenting distribution of the updated plan (e.g. Record of Distribution log)</w:t>
      </w:r>
    </w:p>
    <w:p w14:paraId="0E138D9F" w14:textId="77777777" w:rsidR="006D0D34" w:rsidRPr="0090186A" w:rsidRDefault="006D0D34" w:rsidP="006D0D34">
      <w:pPr>
        <w:pStyle w:val="Heading3"/>
        <w:rPr>
          <w:color w:val="002060"/>
        </w:rPr>
      </w:pPr>
      <w:bookmarkStart w:id="221" w:name="_Toc483233108"/>
      <w:bookmarkStart w:id="222" w:name="_Toc11832810"/>
      <w:r w:rsidRPr="0090186A">
        <w:rPr>
          <w:color w:val="002060"/>
        </w:rPr>
        <w:t>Plan Distribution</w:t>
      </w:r>
      <w:bookmarkEnd w:id="221"/>
      <w:bookmarkEnd w:id="222"/>
    </w:p>
    <w:p w14:paraId="1F2CC483" w14:textId="77777777" w:rsidR="00BD55F4" w:rsidRDefault="006D0D34" w:rsidP="00F55137">
      <w:pPr>
        <w:rPr>
          <w:color w:val="002060"/>
        </w:rPr>
      </w:pPr>
      <w:r>
        <w:t xml:space="preserve">The EDS plan should be distributed to partner agencies with designated roles and responsibilities for MCM distribution and dispensing. </w:t>
      </w:r>
      <w:bookmarkStart w:id="223" w:name="_Toc483233109"/>
    </w:p>
    <w:p w14:paraId="137B8E77" w14:textId="77777777" w:rsidR="00B32E7C" w:rsidRDefault="00B32E7C" w:rsidP="00F55137">
      <w:pPr>
        <w:rPr>
          <w:color w:val="002060"/>
        </w:rPr>
      </w:pPr>
    </w:p>
    <w:bookmarkEnd w:id="223"/>
    <w:p w14:paraId="0615198A" w14:textId="77777777" w:rsidR="006D0D34" w:rsidRPr="00B32E7C" w:rsidRDefault="00B32E7C" w:rsidP="00F55137">
      <w:pPr>
        <w:rPr>
          <w:color w:val="002060"/>
        </w:rPr>
      </w:pPr>
      <w:r>
        <w:rPr>
          <w:color w:val="002060"/>
        </w:rPr>
        <w:t>TRAINING, EXERCISES &amp; EVALUATION</w:t>
      </w:r>
    </w:p>
    <w:p w14:paraId="72818059" w14:textId="77777777" w:rsidR="006D0D34" w:rsidRPr="00D01C45" w:rsidRDefault="006D0D34" w:rsidP="006D0D34">
      <w:pPr>
        <w:rPr>
          <w:highlight w:val="cyan"/>
        </w:rPr>
      </w:pPr>
      <w:r>
        <w:t xml:space="preserve">Local health should develop a schedule for staff and volunteer trainings on EDS and the Incident Command System (ICS), conduct quarterly notification drills, and conduct periodic tabletop and full-scale exercises to evaluate the EDS plan. The </w:t>
      </w:r>
      <w:hyperlink r:id="rId52" w:history="1">
        <w:r w:rsidRPr="00CA4401">
          <w:rPr>
            <w:rStyle w:val="Hyperlink"/>
          </w:rPr>
          <w:t>Homeland Security Exercise and Evaluation Program</w:t>
        </w:r>
      </w:hyperlink>
      <w:r w:rsidR="005D2754">
        <w:rPr>
          <w:rStyle w:val="FootnoteReference"/>
          <w:color w:val="0563C1" w:themeColor="hyperlink"/>
          <w:u w:val="single"/>
        </w:rPr>
        <w:footnoteReference w:id="37"/>
      </w:r>
      <w:r>
        <w:t xml:space="preserve"> (HSEEP) provides the recommended framework for exercise design, management, evaluation, and improvement planning. The focus of the</w:t>
      </w:r>
      <w:r w:rsidRPr="00776BA4">
        <w:t xml:space="preserve"> exercises should </w:t>
      </w:r>
      <w:r>
        <w:t>be consistent</w:t>
      </w:r>
      <w:r w:rsidRPr="00776BA4">
        <w:t xml:space="preserve"> with the most current Public Health Emergency Preparedness (PHEP) </w:t>
      </w:r>
      <w:r w:rsidR="0020609F">
        <w:t xml:space="preserve">and Hospital Preparedness Program (HPP) </w:t>
      </w:r>
      <w:r w:rsidRPr="00776BA4">
        <w:t>Cooperative Agreement guidance.</w:t>
      </w:r>
    </w:p>
    <w:p w14:paraId="6D25BF87" w14:textId="77777777" w:rsidR="006D0D34" w:rsidRPr="0090186A" w:rsidRDefault="00370F23" w:rsidP="00B32E7C">
      <w:pPr>
        <w:pStyle w:val="Heading3"/>
        <w:rPr>
          <w:color w:val="002060"/>
        </w:rPr>
      </w:pPr>
      <w:bookmarkStart w:id="224" w:name="_Toc483233110"/>
      <w:bookmarkStart w:id="225" w:name="_Toc11832811"/>
      <w:bookmarkStart w:id="226" w:name="ICS_Training_Resources"/>
      <w:r>
        <w:rPr>
          <w:color w:val="002060"/>
        </w:rPr>
        <w:t>ICS</w:t>
      </w:r>
      <w:r w:rsidR="006D0D34" w:rsidRPr="0090186A">
        <w:rPr>
          <w:color w:val="002060"/>
        </w:rPr>
        <w:t xml:space="preserve"> Training</w:t>
      </w:r>
      <w:bookmarkEnd w:id="224"/>
      <w:bookmarkEnd w:id="225"/>
    </w:p>
    <w:bookmarkEnd w:id="226"/>
    <w:p w14:paraId="5C319F25" w14:textId="77777777" w:rsidR="006D0D34" w:rsidRDefault="006D0D34" w:rsidP="006D0D34">
      <w:r>
        <w:t>The National Incident Management System is a single, consistent framework that enables all levels of government, the private sector, and nongovernmental organizations to work together during an incident. Local health and staff assigned to EDS management roles (e.g. EDS Manager, PIO, etc.) should complete and document Incident Command System (ICS) training. Additionally, local health should establish a minimum ICS training requirement for volunteers who will work in the EDS. The following table lists the recommended minimum ICS training for staff in the EDS management roles.</w:t>
      </w:r>
    </w:p>
    <w:p w14:paraId="76B32714" w14:textId="3A7F021B" w:rsidR="006D0D34" w:rsidRDefault="006D0D34" w:rsidP="006D0D34">
      <w:pPr>
        <w:pStyle w:val="Caption"/>
        <w:keepNext/>
      </w:pPr>
      <w:r>
        <w:t xml:space="preserve">Table </w:t>
      </w:r>
      <w:r w:rsidR="003B24C0">
        <w:rPr>
          <w:noProof/>
        </w:rPr>
        <w:t>7</w:t>
      </w:r>
      <w:r>
        <w:t>: ICS Training Matrix for LEOC &amp; EDS Management Role</w:t>
      </w:r>
      <w:r>
        <w:rPr>
          <w:noProof/>
        </w:rPr>
        <w:t>s</w:t>
      </w:r>
    </w:p>
    <w:tbl>
      <w:tblPr>
        <w:tblStyle w:val="GridTable1Light-Accent51"/>
        <w:tblW w:w="0" w:type="auto"/>
        <w:tblInd w:w="-5" w:type="dxa"/>
        <w:tblLook w:val="04A0" w:firstRow="1" w:lastRow="0" w:firstColumn="1" w:lastColumn="0" w:noHBand="0" w:noVBand="1"/>
      </w:tblPr>
      <w:tblGrid>
        <w:gridCol w:w="2165"/>
        <w:gridCol w:w="890"/>
        <w:gridCol w:w="890"/>
        <w:gridCol w:w="882"/>
        <w:gridCol w:w="890"/>
      </w:tblGrid>
      <w:tr w:rsidR="006D0D34" w14:paraId="7D6D037C" w14:textId="77777777" w:rsidTr="009018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1EF25E6" w14:textId="77777777" w:rsidR="006D0D34" w:rsidRPr="002455E7" w:rsidRDefault="006D0D34" w:rsidP="0090186A">
            <w:pPr>
              <w:rPr>
                <w:sz w:val="20"/>
                <w:szCs w:val="20"/>
              </w:rPr>
            </w:pPr>
            <w:r>
              <w:rPr>
                <w:sz w:val="20"/>
                <w:szCs w:val="20"/>
              </w:rPr>
              <w:t>Staff Assignment</w:t>
            </w:r>
          </w:p>
        </w:tc>
        <w:tc>
          <w:tcPr>
            <w:tcW w:w="0" w:type="auto"/>
            <w:vAlign w:val="center"/>
          </w:tcPr>
          <w:p w14:paraId="5E8DB74E" w14:textId="77777777" w:rsidR="006D0D34" w:rsidRPr="002455E7" w:rsidRDefault="006D0D34" w:rsidP="0090186A">
            <w:pPr>
              <w:jc w:val="center"/>
              <w:cnfStyle w:val="100000000000" w:firstRow="1" w:lastRow="0" w:firstColumn="0" w:lastColumn="0" w:oddVBand="0" w:evenVBand="0" w:oddHBand="0" w:evenHBand="0" w:firstRowFirstColumn="0" w:firstRowLastColumn="0" w:lastRowFirstColumn="0" w:lastRowLastColumn="0"/>
              <w:rPr>
                <w:sz w:val="20"/>
                <w:szCs w:val="20"/>
              </w:rPr>
            </w:pPr>
            <w:r w:rsidRPr="002455E7">
              <w:rPr>
                <w:sz w:val="20"/>
                <w:szCs w:val="20"/>
              </w:rPr>
              <w:t>IS-100.b</w:t>
            </w:r>
          </w:p>
        </w:tc>
        <w:tc>
          <w:tcPr>
            <w:tcW w:w="0" w:type="auto"/>
            <w:vAlign w:val="center"/>
          </w:tcPr>
          <w:p w14:paraId="7DBE0180" w14:textId="77777777" w:rsidR="006D0D34" w:rsidRPr="002455E7" w:rsidRDefault="006D0D34" w:rsidP="0090186A">
            <w:pPr>
              <w:jc w:val="center"/>
              <w:cnfStyle w:val="100000000000" w:firstRow="1" w:lastRow="0" w:firstColumn="0" w:lastColumn="0" w:oddVBand="0" w:evenVBand="0" w:oddHBand="0" w:evenHBand="0" w:firstRowFirstColumn="0" w:firstRowLastColumn="0" w:lastRowFirstColumn="0" w:lastRowLastColumn="0"/>
              <w:rPr>
                <w:sz w:val="20"/>
                <w:szCs w:val="20"/>
              </w:rPr>
            </w:pPr>
            <w:r w:rsidRPr="002455E7">
              <w:rPr>
                <w:sz w:val="20"/>
                <w:szCs w:val="20"/>
              </w:rPr>
              <w:t>IS-200.b</w:t>
            </w:r>
          </w:p>
        </w:tc>
        <w:tc>
          <w:tcPr>
            <w:tcW w:w="0" w:type="auto"/>
            <w:vAlign w:val="center"/>
          </w:tcPr>
          <w:p w14:paraId="7D4C875A" w14:textId="77777777" w:rsidR="006D0D34" w:rsidRPr="002455E7" w:rsidRDefault="006D0D34" w:rsidP="0090186A">
            <w:pPr>
              <w:jc w:val="center"/>
              <w:cnfStyle w:val="100000000000" w:firstRow="1" w:lastRow="0" w:firstColumn="0" w:lastColumn="0" w:oddVBand="0" w:evenVBand="0" w:oddHBand="0" w:evenHBand="0" w:firstRowFirstColumn="0" w:firstRowLastColumn="0" w:lastRowFirstColumn="0" w:lastRowLastColumn="0"/>
              <w:rPr>
                <w:sz w:val="20"/>
                <w:szCs w:val="20"/>
              </w:rPr>
            </w:pPr>
            <w:r w:rsidRPr="002455E7">
              <w:rPr>
                <w:sz w:val="20"/>
                <w:szCs w:val="20"/>
              </w:rPr>
              <w:t>IS-700.a</w:t>
            </w:r>
          </w:p>
        </w:tc>
        <w:tc>
          <w:tcPr>
            <w:tcW w:w="0" w:type="auto"/>
            <w:vAlign w:val="center"/>
          </w:tcPr>
          <w:p w14:paraId="7BF191A3" w14:textId="77777777" w:rsidR="006D0D34" w:rsidRPr="002455E7" w:rsidRDefault="006D0D34" w:rsidP="0090186A">
            <w:pPr>
              <w:jc w:val="center"/>
              <w:cnfStyle w:val="100000000000" w:firstRow="1" w:lastRow="0" w:firstColumn="0" w:lastColumn="0" w:oddVBand="0" w:evenVBand="0" w:oddHBand="0" w:evenHBand="0" w:firstRowFirstColumn="0" w:firstRowLastColumn="0" w:lastRowFirstColumn="0" w:lastRowLastColumn="0"/>
              <w:rPr>
                <w:sz w:val="20"/>
                <w:szCs w:val="20"/>
              </w:rPr>
            </w:pPr>
            <w:r w:rsidRPr="002455E7">
              <w:rPr>
                <w:sz w:val="20"/>
                <w:szCs w:val="20"/>
              </w:rPr>
              <w:t>IS-800.b</w:t>
            </w:r>
          </w:p>
        </w:tc>
      </w:tr>
      <w:tr w:rsidR="006D0D34" w14:paraId="3EC1F7DB" w14:textId="77777777" w:rsidTr="0090186A">
        <w:tc>
          <w:tcPr>
            <w:cnfStyle w:val="001000000000" w:firstRow="0" w:lastRow="0" w:firstColumn="1" w:lastColumn="0" w:oddVBand="0" w:evenVBand="0" w:oddHBand="0" w:evenHBand="0" w:firstRowFirstColumn="0" w:firstRowLastColumn="0" w:lastRowFirstColumn="0" w:lastRowLastColumn="0"/>
            <w:tcW w:w="0" w:type="auto"/>
            <w:vAlign w:val="center"/>
          </w:tcPr>
          <w:p w14:paraId="5A2BB431" w14:textId="77777777" w:rsidR="006D0D34" w:rsidRPr="00BB7D51" w:rsidRDefault="006D0D34" w:rsidP="0090186A">
            <w:pPr>
              <w:rPr>
                <w:b w:val="0"/>
                <w:sz w:val="20"/>
                <w:szCs w:val="20"/>
              </w:rPr>
            </w:pPr>
            <w:r>
              <w:rPr>
                <w:b w:val="0"/>
                <w:sz w:val="20"/>
                <w:szCs w:val="20"/>
              </w:rPr>
              <w:t>EDS Management Team</w:t>
            </w:r>
          </w:p>
        </w:tc>
        <w:tc>
          <w:tcPr>
            <w:tcW w:w="0" w:type="auto"/>
            <w:vAlign w:val="center"/>
          </w:tcPr>
          <w:p w14:paraId="59AC9749" w14:textId="77777777" w:rsidR="006D0D34" w:rsidRPr="002455E7" w:rsidRDefault="006D0D34" w:rsidP="0090186A">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55E7">
              <w:rPr>
                <w:sz w:val="20"/>
                <w:szCs w:val="20"/>
              </w:rPr>
              <w:t>X</w:t>
            </w:r>
          </w:p>
        </w:tc>
        <w:tc>
          <w:tcPr>
            <w:tcW w:w="0" w:type="auto"/>
            <w:vAlign w:val="center"/>
          </w:tcPr>
          <w:p w14:paraId="4D34C368" w14:textId="77777777" w:rsidR="006D0D34" w:rsidRPr="002455E7" w:rsidRDefault="006D0D34" w:rsidP="0090186A">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55E7">
              <w:rPr>
                <w:sz w:val="20"/>
                <w:szCs w:val="20"/>
              </w:rPr>
              <w:t>X</w:t>
            </w:r>
          </w:p>
        </w:tc>
        <w:tc>
          <w:tcPr>
            <w:tcW w:w="0" w:type="auto"/>
            <w:vAlign w:val="center"/>
          </w:tcPr>
          <w:p w14:paraId="7C39383B" w14:textId="77777777" w:rsidR="006D0D34" w:rsidRPr="002455E7" w:rsidRDefault="006D0D34" w:rsidP="0090186A">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55E7">
              <w:rPr>
                <w:sz w:val="20"/>
                <w:szCs w:val="20"/>
              </w:rPr>
              <w:t>X</w:t>
            </w:r>
          </w:p>
        </w:tc>
        <w:tc>
          <w:tcPr>
            <w:tcW w:w="0" w:type="auto"/>
            <w:vAlign w:val="center"/>
          </w:tcPr>
          <w:p w14:paraId="3A2F2C44" w14:textId="77777777" w:rsidR="006D0D34" w:rsidRPr="002455E7" w:rsidRDefault="006D0D34" w:rsidP="0090186A">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55E7">
              <w:rPr>
                <w:sz w:val="20"/>
                <w:szCs w:val="20"/>
              </w:rPr>
              <w:t>X</w:t>
            </w:r>
          </w:p>
        </w:tc>
      </w:tr>
    </w:tbl>
    <w:p w14:paraId="324E6D84" w14:textId="77777777" w:rsidR="006D0D34" w:rsidRDefault="006D0D34" w:rsidP="006D0D34">
      <w:pPr>
        <w:spacing w:before="160"/>
      </w:pPr>
      <w:r>
        <w:t xml:space="preserve">The training matrix is comprised of the following free ICS trainings that are available online or through the </w:t>
      </w:r>
      <w:hyperlink r:id="rId53" w:history="1">
        <w:r w:rsidRPr="00E42B2A">
          <w:rPr>
            <w:rStyle w:val="Hyperlink"/>
          </w:rPr>
          <w:t>MEMA Training and Exercise Unit</w:t>
        </w:r>
      </w:hyperlink>
      <w:r w:rsidR="005D2754">
        <w:rPr>
          <w:rStyle w:val="FootnoteReference"/>
          <w:color w:val="0563C1" w:themeColor="hyperlink"/>
          <w:u w:val="single"/>
        </w:rPr>
        <w:footnoteReference w:id="38"/>
      </w:r>
      <w:r>
        <w:t>:</w:t>
      </w:r>
    </w:p>
    <w:p w14:paraId="05CC3C72" w14:textId="77777777" w:rsidR="006D0D34" w:rsidRDefault="00637775" w:rsidP="000616C8">
      <w:pPr>
        <w:pStyle w:val="ListParagraph"/>
        <w:numPr>
          <w:ilvl w:val="0"/>
          <w:numId w:val="82"/>
        </w:numPr>
        <w:spacing w:before="160"/>
        <w:ind w:left="1080"/>
      </w:pPr>
      <w:hyperlink r:id="rId54" w:history="1">
        <w:r w:rsidR="006D0D34" w:rsidRPr="00E42B2A">
          <w:rPr>
            <w:rStyle w:val="Hyperlink"/>
          </w:rPr>
          <w:t>IS-100.b</w:t>
        </w:r>
      </w:hyperlink>
      <w:r w:rsidR="005D2754">
        <w:rPr>
          <w:rStyle w:val="FootnoteReference"/>
          <w:color w:val="0563C1" w:themeColor="hyperlink"/>
          <w:u w:val="single"/>
        </w:rPr>
        <w:footnoteReference w:id="39"/>
      </w:r>
      <w:r w:rsidR="006D0D34">
        <w:t>, Introduction to Incident Command System</w:t>
      </w:r>
    </w:p>
    <w:p w14:paraId="07378C94" w14:textId="77777777" w:rsidR="006D0D34" w:rsidRDefault="00637775" w:rsidP="000616C8">
      <w:pPr>
        <w:pStyle w:val="ListParagraph"/>
        <w:numPr>
          <w:ilvl w:val="0"/>
          <w:numId w:val="82"/>
        </w:numPr>
        <w:spacing w:before="160"/>
        <w:ind w:left="1080"/>
      </w:pPr>
      <w:hyperlink r:id="rId55" w:history="1">
        <w:r w:rsidR="006D0D34" w:rsidRPr="00E42B2A">
          <w:rPr>
            <w:rStyle w:val="Hyperlink"/>
          </w:rPr>
          <w:t>IS-200.b</w:t>
        </w:r>
      </w:hyperlink>
      <w:r w:rsidR="005D2754">
        <w:rPr>
          <w:rStyle w:val="FootnoteReference"/>
          <w:color w:val="0563C1" w:themeColor="hyperlink"/>
          <w:u w:val="single"/>
        </w:rPr>
        <w:footnoteReference w:id="40"/>
      </w:r>
      <w:r w:rsidR="006D0D34">
        <w:t>, ICS for Single Resources and Initial Action Incidents</w:t>
      </w:r>
    </w:p>
    <w:p w14:paraId="7918AEDA" w14:textId="77777777" w:rsidR="006D0D34" w:rsidRDefault="00637775" w:rsidP="000616C8">
      <w:pPr>
        <w:pStyle w:val="ListParagraph"/>
        <w:numPr>
          <w:ilvl w:val="0"/>
          <w:numId w:val="82"/>
        </w:numPr>
        <w:spacing w:before="160"/>
        <w:ind w:left="1080"/>
      </w:pPr>
      <w:hyperlink r:id="rId56" w:history="1">
        <w:r w:rsidR="006D0D34" w:rsidRPr="006A1320">
          <w:rPr>
            <w:rStyle w:val="Hyperlink"/>
          </w:rPr>
          <w:t>IS-700.a</w:t>
        </w:r>
      </w:hyperlink>
      <w:r w:rsidR="005D2754">
        <w:rPr>
          <w:rStyle w:val="FootnoteReference"/>
          <w:color w:val="0563C1" w:themeColor="hyperlink"/>
          <w:u w:val="single"/>
        </w:rPr>
        <w:footnoteReference w:id="41"/>
      </w:r>
      <w:r w:rsidR="006D0D34">
        <w:t>, National Incident Management System, An Introduction</w:t>
      </w:r>
    </w:p>
    <w:p w14:paraId="42F8DE07" w14:textId="77777777" w:rsidR="006D0D34" w:rsidRDefault="00637775" w:rsidP="000616C8">
      <w:pPr>
        <w:pStyle w:val="ListParagraph"/>
        <w:numPr>
          <w:ilvl w:val="0"/>
          <w:numId w:val="82"/>
        </w:numPr>
        <w:spacing w:before="160"/>
        <w:ind w:left="1080"/>
      </w:pPr>
      <w:hyperlink r:id="rId57" w:history="1">
        <w:r w:rsidR="006D0D34" w:rsidRPr="008C7FFE">
          <w:rPr>
            <w:rStyle w:val="Hyperlink"/>
          </w:rPr>
          <w:t>IS-800.b</w:t>
        </w:r>
      </w:hyperlink>
      <w:r w:rsidR="005D2754">
        <w:rPr>
          <w:rStyle w:val="FootnoteReference"/>
          <w:color w:val="0563C1" w:themeColor="hyperlink"/>
          <w:u w:val="single"/>
        </w:rPr>
        <w:footnoteReference w:id="42"/>
      </w:r>
      <w:r w:rsidR="006D0D34">
        <w:t>, National Response Framework, An Introduction</w:t>
      </w:r>
    </w:p>
    <w:p w14:paraId="606A7DB2" w14:textId="77777777" w:rsidR="006D0D34" w:rsidRPr="0090186A" w:rsidRDefault="006D0D34" w:rsidP="00B32E7C">
      <w:pPr>
        <w:pStyle w:val="Heading3"/>
        <w:rPr>
          <w:color w:val="002060"/>
        </w:rPr>
      </w:pPr>
      <w:bookmarkStart w:id="227" w:name="_Toc483233111"/>
      <w:bookmarkStart w:id="228" w:name="_Toc11832812"/>
      <w:r w:rsidRPr="0090186A">
        <w:rPr>
          <w:color w:val="002060"/>
        </w:rPr>
        <w:t>EDS Training</w:t>
      </w:r>
      <w:bookmarkEnd w:id="227"/>
      <w:bookmarkEnd w:id="228"/>
    </w:p>
    <w:p w14:paraId="7064F69E" w14:textId="77777777" w:rsidR="006D0D34" w:rsidRDefault="006D0D34" w:rsidP="006D0D34">
      <w:r>
        <w:t>Local health and all staff and volunteers who will work in the EDS should complete and document training on EDS operations. Ideally, the EDS training should orient staff and volunteers to the:</w:t>
      </w:r>
    </w:p>
    <w:p w14:paraId="6C560D3F" w14:textId="77777777" w:rsidR="006D0D34" w:rsidRDefault="006D0D34" w:rsidP="000616C8">
      <w:pPr>
        <w:pStyle w:val="ListParagraph"/>
        <w:numPr>
          <w:ilvl w:val="0"/>
          <w:numId w:val="83"/>
        </w:numPr>
      </w:pPr>
      <w:r>
        <w:t>Purpose, layout, and flow of the EDS</w:t>
      </w:r>
    </w:p>
    <w:p w14:paraId="3C4721D9" w14:textId="77777777" w:rsidR="006D0D34" w:rsidRDefault="006D0D34" w:rsidP="000616C8">
      <w:pPr>
        <w:pStyle w:val="ListParagraph"/>
        <w:numPr>
          <w:ilvl w:val="0"/>
          <w:numId w:val="83"/>
        </w:numPr>
      </w:pPr>
      <w:r>
        <w:t>Potential uses for the EDS and services provided</w:t>
      </w:r>
    </w:p>
    <w:p w14:paraId="0FEA5455" w14:textId="77777777" w:rsidR="006D0D34" w:rsidRDefault="006D0D34" w:rsidP="000616C8">
      <w:pPr>
        <w:pStyle w:val="ListParagraph"/>
        <w:numPr>
          <w:ilvl w:val="0"/>
          <w:numId w:val="83"/>
        </w:numPr>
      </w:pPr>
      <w:r>
        <w:t>Command structure at the EDS</w:t>
      </w:r>
    </w:p>
    <w:p w14:paraId="2BB1F3D5" w14:textId="77777777" w:rsidR="006D0D34" w:rsidRDefault="006D0D34" w:rsidP="000616C8">
      <w:pPr>
        <w:pStyle w:val="ListParagraph"/>
        <w:numPr>
          <w:ilvl w:val="0"/>
          <w:numId w:val="83"/>
        </w:numPr>
      </w:pPr>
      <w:r>
        <w:t>Staff roles and qualifications (e.g. review of Job Action Sheets)</w:t>
      </w:r>
    </w:p>
    <w:p w14:paraId="64E3F9A2" w14:textId="77777777" w:rsidR="006D0D34" w:rsidRDefault="006D0D34" w:rsidP="000616C8">
      <w:pPr>
        <w:pStyle w:val="ListParagraph"/>
        <w:numPr>
          <w:ilvl w:val="0"/>
          <w:numId w:val="83"/>
        </w:numPr>
      </w:pPr>
      <w:r>
        <w:t>Provided resources and what staff should bring with them to the EDS</w:t>
      </w:r>
    </w:p>
    <w:p w14:paraId="18ECB217" w14:textId="77777777" w:rsidR="006D0D34" w:rsidRDefault="006D0D34" w:rsidP="006D0D34">
      <w:r>
        <w:t>Additionally, local health should develop an EDS just-in-time training that can be used to rapidly retrain staff and volunteers. At the time of an incident, the JITT is also updated to include details about the specific health threat, the MCM, and the dispensing protocols.</w:t>
      </w:r>
    </w:p>
    <w:p w14:paraId="4B78E7F5" w14:textId="77777777" w:rsidR="006D0D34" w:rsidRDefault="006D0D34" w:rsidP="006D0D34">
      <w:r>
        <w:rPr>
          <w:b/>
          <w:u w:val="single"/>
        </w:rPr>
        <w:t>Resources</w:t>
      </w:r>
    </w:p>
    <w:p w14:paraId="78678668" w14:textId="23A333AB" w:rsidR="006D0D34" w:rsidRPr="00D70ABD" w:rsidRDefault="006D0D34" w:rsidP="006D0D34">
      <w:r>
        <w:t xml:space="preserve">The Local Public Health Institute offers free online training in </w:t>
      </w:r>
      <w:hyperlink r:id="rId58" w:history="1">
        <w:r w:rsidRPr="00624075">
          <w:rPr>
            <w:rStyle w:val="Hyperlink"/>
          </w:rPr>
          <w:t>Emergency Dispensing Site Management</w:t>
        </w:r>
      </w:hyperlink>
      <w:r w:rsidR="005D2754">
        <w:rPr>
          <w:rStyle w:val="FootnoteReference"/>
          <w:color w:val="0563C1" w:themeColor="hyperlink"/>
          <w:u w:val="single"/>
        </w:rPr>
        <w:footnoteReference w:id="43"/>
      </w:r>
      <w:r>
        <w:t xml:space="preserve">. </w:t>
      </w:r>
    </w:p>
    <w:p w14:paraId="369C2CE8" w14:textId="77777777" w:rsidR="006D0D34" w:rsidRPr="0090186A" w:rsidRDefault="006D0D34" w:rsidP="00B32E7C">
      <w:pPr>
        <w:pStyle w:val="Heading3"/>
        <w:rPr>
          <w:color w:val="002060"/>
        </w:rPr>
      </w:pPr>
      <w:bookmarkStart w:id="229" w:name="_Toc483233112"/>
      <w:bookmarkStart w:id="230" w:name="_Toc11832813"/>
      <w:r w:rsidRPr="0090186A">
        <w:rPr>
          <w:color w:val="002060"/>
        </w:rPr>
        <w:t>Public Information &amp; Communications Training</w:t>
      </w:r>
      <w:bookmarkEnd w:id="229"/>
      <w:bookmarkEnd w:id="230"/>
    </w:p>
    <w:p w14:paraId="20739421" w14:textId="77777777" w:rsidR="006D0D34" w:rsidRDefault="006D0D34" w:rsidP="006D0D34">
      <w:r>
        <w:t xml:space="preserve">Local health and staff assigned to the role of PIO should complete and document training on risk communications. The following trainings are recommended for </w:t>
      </w:r>
      <w:r w:rsidRPr="00D74CD9">
        <w:t>staff</w:t>
      </w:r>
      <w:r>
        <w:t xml:space="preserve"> with communications and media relations roles:</w:t>
      </w:r>
    </w:p>
    <w:p w14:paraId="4B815AF6" w14:textId="77777777" w:rsidR="006D0D34" w:rsidRDefault="00637775" w:rsidP="000616C8">
      <w:pPr>
        <w:pStyle w:val="ListParagraph"/>
        <w:numPr>
          <w:ilvl w:val="0"/>
          <w:numId w:val="84"/>
        </w:numPr>
      </w:pPr>
      <w:hyperlink r:id="rId59" w:history="1">
        <w:r w:rsidR="006D0D34" w:rsidRPr="00A57366">
          <w:rPr>
            <w:rStyle w:val="Hyperlink"/>
          </w:rPr>
          <w:t>IS-702.a</w:t>
        </w:r>
      </w:hyperlink>
      <w:r w:rsidR="00EA65DA">
        <w:rPr>
          <w:rStyle w:val="FootnoteReference"/>
          <w:color w:val="0563C1" w:themeColor="hyperlink"/>
          <w:u w:val="single"/>
        </w:rPr>
        <w:footnoteReference w:id="44"/>
      </w:r>
      <w:r w:rsidR="006D0D34">
        <w:t>, NIMS Public Information Systems</w:t>
      </w:r>
    </w:p>
    <w:p w14:paraId="3C8B65FC" w14:textId="77777777" w:rsidR="006D0D34" w:rsidRDefault="00637775" w:rsidP="000616C8">
      <w:pPr>
        <w:pStyle w:val="ListParagraph"/>
        <w:numPr>
          <w:ilvl w:val="0"/>
          <w:numId w:val="84"/>
        </w:numPr>
      </w:pPr>
      <w:hyperlink r:id="rId60" w:history="1">
        <w:r w:rsidR="006D0D34" w:rsidRPr="00A57366">
          <w:rPr>
            <w:rStyle w:val="Hyperlink"/>
          </w:rPr>
          <w:t>Crisis Emergency Risk Communications</w:t>
        </w:r>
      </w:hyperlink>
      <w:r w:rsidR="00EA65DA">
        <w:rPr>
          <w:rStyle w:val="FootnoteReference"/>
          <w:color w:val="0563C1" w:themeColor="hyperlink"/>
          <w:u w:val="single"/>
        </w:rPr>
        <w:footnoteReference w:id="45"/>
      </w:r>
      <w:r w:rsidR="006D0D34">
        <w:t xml:space="preserve"> (CERC)</w:t>
      </w:r>
    </w:p>
    <w:p w14:paraId="4AD44D7D" w14:textId="77777777" w:rsidR="006D0D34" w:rsidRDefault="00637775" w:rsidP="000616C8">
      <w:pPr>
        <w:pStyle w:val="ListParagraph"/>
        <w:numPr>
          <w:ilvl w:val="0"/>
          <w:numId w:val="84"/>
        </w:numPr>
      </w:pPr>
      <w:hyperlink r:id="rId61" w:history="1">
        <w:r w:rsidR="006D0D34" w:rsidRPr="00816407">
          <w:rPr>
            <w:rStyle w:val="Hyperlink"/>
          </w:rPr>
          <w:t>CERC for Pandemic Influenza</w:t>
        </w:r>
      </w:hyperlink>
      <w:r w:rsidR="00EA65DA">
        <w:rPr>
          <w:rStyle w:val="FootnoteReference"/>
          <w:color w:val="0563C1" w:themeColor="hyperlink"/>
          <w:u w:val="single"/>
        </w:rPr>
        <w:footnoteReference w:id="46"/>
      </w:r>
    </w:p>
    <w:p w14:paraId="4DAD7F30" w14:textId="77777777" w:rsidR="006D0D34" w:rsidRDefault="006D0D34" w:rsidP="006D0D34">
      <w:r>
        <w:rPr>
          <w:b/>
          <w:u w:val="single"/>
        </w:rPr>
        <w:t>Resources</w:t>
      </w:r>
    </w:p>
    <w:p w14:paraId="13F538EB" w14:textId="77777777" w:rsidR="006D0D34" w:rsidRDefault="006D0D34" w:rsidP="006D0D34">
      <w:r>
        <w:t xml:space="preserve">The Local Public Health Institute offers a free online basic training in </w:t>
      </w:r>
      <w:hyperlink r:id="rId62" w:history="1">
        <w:r w:rsidRPr="00BD4BA6">
          <w:rPr>
            <w:rStyle w:val="Hyperlink"/>
          </w:rPr>
          <w:t>Emergency Risk Communication for Public Health Professionals</w:t>
        </w:r>
      </w:hyperlink>
      <w:r w:rsidR="00EA65DA">
        <w:rPr>
          <w:rStyle w:val="FootnoteReference"/>
          <w:color w:val="0563C1" w:themeColor="hyperlink"/>
          <w:u w:val="single"/>
        </w:rPr>
        <w:footnoteReference w:id="47"/>
      </w:r>
      <w:r>
        <w:t xml:space="preserve"> and advanced classroom training in </w:t>
      </w:r>
      <w:hyperlink r:id="rId63" w:history="1">
        <w:r w:rsidRPr="00BD4BA6">
          <w:rPr>
            <w:rStyle w:val="Hyperlink"/>
          </w:rPr>
          <w:t>Emergency Risk Communication in Practice</w:t>
        </w:r>
      </w:hyperlink>
      <w:r w:rsidR="00B0797D">
        <w:rPr>
          <w:rStyle w:val="FootnoteReference"/>
          <w:color w:val="0563C1" w:themeColor="hyperlink"/>
          <w:u w:val="single"/>
        </w:rPr>
        <w:footnoteReference w:id="48"/>
      </w:r>
      <w:r>
        <w:t>.</w:t>
      </w:r>
    </w:p>
    <w:p w14:paraId="19880A19" w14:textId="77777777" w:rsidR="006D0D34" w:rsidRPr="00157E81" w:rsidRDefault="006D0D34" w:rsidP="006D0D34">
      <w:r>
        <w:t xml:space="preserve">Advanced level PIO training is available through the </w:t>
      </w:r>
      <w:hyperlink r:id="rId64" w:history="1">
        <w:r>
          <w:rPr>
            <w:rStyle w:val="Hyperlink"/>
          </w:rPr>
          <w:t>FEMA PIO training resources</w:t>
        </w:r>
      </w:hyperlink>
      <w:r w:rsidR="00B0797D">
        <w:rPr>
          <w:rStyle w:val="FootnoteReference"/>
          <w:color w:val="0563C1" w:themeColor="hyperlink"/>
          <w:u w:val="single"/>
        </w:rPr>
        <w:footnoteReference w:id="49"/>
      </w:r>
      <w:r w:rsidRPr="00C00E17">
        <w:rPr>
          <w:rStyle w:val="Hyperlink"/>
          <w:color w:val="auto"/>
        </w:rPr>
        <w:t>.</w:t>
      </w:r>
    </w:p>
    <w:p w14:paraId="12F817C8" w14:textId="77777777" w:rsidR="006D0D34" w:rsidRPr="0090186A" w:rsidRDefault="006D0D34" w:rsidP="00B32E7C">
      <w:pPr>
        <w:pStyle w:val="Heading3"/>
        <w:rPr>
          <w:color w:val="002060"/>
        </w:rPr>
      </w:pPr>
      <w:bookmarkStart w:id="231" w:name="_Toc483233113"/>
      <w:bookmarkStart w:id="232" w:name="_Toc11832814"/>
      <w:r w:rsidRPr="0090186A">
        <w:rPr>
          <w:color w:val="002060"/>
        </w:rPr>
        <w:t>Drills &amp; Exercises</w:t>
      </w:r>
      <w:bookmarkEnd w:id="231"/>
      <w:bookmarkEnd w:id="232"/>
    </w:p>
    <w:p w14:paraId="52B51E0F" w14:textId="77777777" w:rsidR="006D0D34" w:rsidRPr="000E155A" w:rsidRDefault="006D0D34" w:rsidP="006D0D34">
      <w:r>
        <w:t>Local health should conduct and document an annual notification drill to EDS facilities to request activation, notification</w:t>
      </w:r>
      <w:r w:rsidR="00BD55F4">
        <w:t>,</w:t>
      </w:r>
      <w:r>
        <w:t xml:space="preserve"> and assembly drills with staff assigned to EDS management roles (recommended quarterly), and an annual (at minimum) notification drill to volunteers. The staff and volunteer notification drills should document each individual’s acknowledgement and their ability to respond. Additionally, local health should conduct and document quarterly tests of redundant methods of communication (e.g. cell phones, </w:t>
      </w:r>
      <w:r w:rsidR="00370F23">
        <w:t xml:space="preserve">walkie-talkies, 800-mgHz radios, </w:t>
      </w:r>
      <w:r>
        <w:t>etc.) between command and control locations (e.g. between the LEOC and the EDS). Response to an incident or use of an event, such as seasonal flu clinics, can be used toward drill and exercise requirement. Following an exercise or real event, local health should document lessons learned and recommended improvements in an After Action Report/Improvement Plan (AAR/IP).</w:t>
      </w:r>
    </w:p>
    <w:p w14:paraId="094F0D74" w14:textId="77777777" w:rsidR="006D0D34" w:rsidRPr="0090186A" w:rsidRDefault="006D0D34" w:rsidP="00B32E7C">
      <w:pPr>
        <w:pStyle w:val="Heading3"/>
        <w:rPr>
          <w:color w:val="002060"/>
        </w:rPr>
      </w:pPr>
      <w:bookmarkStart w:id="233" w:name="_Toc483233114"/>
      <w:bookmarkStart w:id="234" w:name="_Toc11832815"/>
      <w:r w:rsidRPr="0090186A">
        <w:rPr>
          <w:color w:val="002060"/>
        </w:rPr>
        <w:t>Evaluations</w:t>
      </w:r>
      <w:bookmarkEnd w:id="233"/>
      <w:bookmarkEnd w:id="234"/>
    </w:p>
    <w:p w14:paraId="38C3D31D" w14:textId="77777777" w:rsidR="006D0D34" w:rsidRDefault="006D0D34" w:rsidP="006D0D34">
      <w:r>
        <w:t xml:space="preserve">The MDPH collaborates with local health to periodically review and evaluate local EDS plans using the Medical Countermeasure Operational Readiness Review (MCM-ORR). The MCM-ORR was developed by the CDC to evaluate jurisdictional readiness for medical countermeasure dispensing and other associated public health preparedness capabilities. The MCM-ORR replaced the prior evaluation tool known as the Local Technical Assistance </w:t>
      </w:r>
      <w:r w:rsidR="00370F23">
        <w:t xml:space="preserve">Review. </w:t>
      </w:r>
      <w:r>
        <w:t xml:space="preserve">Results from the MCM-ORR </w:t>
      </w:r>
      <w:r w:rsidR="00370F23">
        <w:t xml:space="preserve">should </w:t>
      </w:r>
      <w:r>
        <w:t>be used to improve the EDS plan, identify training needs, and plan for future drills and exercises.</w:t>
      </w:r>
    </w:p>
    <w:p w14:paraId="4B86CD4F" w14:textId="77777777" w:rsidR="00BD55F4" w:rsidRPr="00DD37E1" w:rsidRDefault="00BD55F4" w:rsidP="006D0D34">
      <w:r>
        <w:t xml:space="preserve">Beginning in 2017, </w:t>
      </w:r>
      <w:r w:rsidR="00213FF0">
        <w:t>the OPEM MCM staff will review local EDS plans for selected key components annually, and provide feedback and develop guidance or resources as needed to address common gaps or challenges.</w:t>
      </w:r>
    </w:p>
    <w:p w14:paraId="0D7F3E5F" w14:textId="77777777" w:rsidR="006D0D34" w:rsidRPr="0090186A" w:rsidRDefault="0090186A" w:rsidP="006D0D34">
      <w:pPr>
        <w:pStyle w:val="Heading2"/>
        <w:rPr>
          <w:color w:val="002060"/>
        </w:rPr>
      </w:pPr>
      <w:bookmarkStart w:id="235" w:name="_Toc483233115"/>
      <w:bookmarkStart w:id="236" w:name="_Toc11832816"/>
      <w:r w:rsidRPr="0090186A">
        <w:rPr>
          <w:color w:val="002060"/>
        </w:rPr>
        <w:t>AUTHORITIES &amp; REFERENCES</w:t>
      </w:r>
      <w:bookmarkEnd w:id="235"/>
      <w:bookmarkEnd w:id="236"/>
    </w:p>
    <w:p w14:paraId="658880DA" w14:textId="77777777" w:rsidR="006D0D34" w:rsidRPr="0090186A" w:rsidRDefault="006D0D34" w:rsidP="006D0D34">
      <w:pPr>
        <w:pStyle w:val="Heading3"/>
        <w:rPr>
          <w:color w:val="002060"/>
        </w:rPr>
      </w:pPr>
      <w:bookmarkStart w:id="237" w:name="_Toc483233116"/>
      <w:bookmarkStart w:id="238" w:name="_Toc11832817"/>
      <w:r w:rsidRPr="0090186A">
        <w:rPr>
          <w:color w:val="002060"/>
        </w:rPr>
        <w:t>Liability &amp; Workers Compensation</w:t>
      </w:r>
      <w:bookmarkEnd w:id="237"/>
      <w:bookmarkEnd w:id="238"/>
    </w:p>
    <w:p w14:paraId="40C409D4" w14:textId="77777777" w:rsidR="006D0D34" w:rsidRDefault="006D0D34" w:rsidP="006D0D34">
      <w:r>
        <w:t>Liability protections will depend on the role of an individual and their particular licensure status while working at an EDS, as well as whether they are paid staff or volunteers. Similarly, the availability of Workers Compensation coverage will depend upon whether the individual is functioning in a position that has this coverage.</w:t>
      </w:r>
    </w:p>
    <w:p w14:paraId="236F69C1" w14:textId="77777777" w:rsidR="006D0D34" w:rsidRPr="0090186A" w:rsidRDefault="006D0D34" w:rsidP="006D0D34">
      <w:pPr>
        <w:pStyle w:val="Heading3"/>
        <w:rPr>
          <w:color w:val="002060"/>
        </w:rPr>
      </w:pPr>
      <w:bookmarkStart w:id="239" w:name="_Toc483233117"/>
      <w:bookmarkStart w:id="240" w:name="_Toc11832818"/>
      <w:r w:rsidRPr="0090186A">
        <w:rPr>
          <w:color w:val="002060"/>
        </w:rPr>
        <w:t>Staff Compensation</w:t>
      </w:r>
      <w:bookmarkEnd w:id="239"/>
      <w:bookmarkEnd w:id="240"/>
    </w:p>
    <w:p w14:paraId="0438E1AA" w14:textId="77777777" w:rsidR="006D0D34" w:rsidRPr="00D70E46" w:rsidRDefault="006D0D34" w:rsidP="006D0D34">
      <w:r>
        <w:t>Staff compensation will depend on the role of an individual and their particular employment status with the municipality or private entity and should be outlined in the EDS plan.</w:t>
      </w:r>
    </w:p>
    <w:p w14:paraId="1535F45A" w14:textId="77777777" w:rsidR="006D0D34" w:rsidRPr="0090186A" w:rsidRDefault="006D0D34" w:rsidP="006D0D34">
      <w:pPr>
        <w:pStyle w:val="Heading3"/>
        <w:rPr>
          <w:color w:val="002060"/>
        </w:rPr>
      </w:pPr>
      <w:bookmarkStart w:id="241" w:name="_Toc483233118"/>
      <w:bookmarkStart w:id="242" w:name="_Toc11832819"/>
      <w:r w:rsidRPr="0090186A">
        <w:rPr>
          <w:color w:val="002060"/>
        </w:rPr>
        <w:t>Civil Defense Act</w:t>
      </w:r>
      <w:bookmarkEnd w:id="241"/>
      <w:bookmarkEnd w:id="242"/>
    </w:p>
    <w:p w14:paraId="51EBE002" w14:textId="77777777" w:rsidR="006D0D34" w:rsidRDefault="006D0D34" w:rsidP="006D0D34">
      <w:r>
        <w:t>The Civil Defense Act allows the Governor to declare a State of Emergency</w:t>
      </w:r>
      <w:r w:rsidR="00213FF0">
        <w:t>, giving the</w:t>
      </w:r>
      <w:r>
        <w:t xml:space="preserve"> Massachusetts Emergency Management Agency (MEMA) broad authority to operate in an emergency.</w:t>
      </w:r>
    </w:p>
    <w:p w14:paraId="60FD9939" w14:textId="77777777" w:rsidR="006D0D34" w:rsidRPr="0090186A" w:rsidRDefault="006D0D34" w:rsidP="006D0D34">
      <w:pPr>
        <w:pStyle w:val="Heading3"/>
        <w:rPr>
          <w:color w:val="002060"/>
        </w:rPr>
      </w:pPr>
      <w:bookmarkStart w:id="243" w:name="_Toc483233119"/>
      <w:bookmarkStart w:id="244" w:name="_Toc11832820"/>
      <w:r w:rsidRPr="0090186A">
        <w:rPr>
          <w:color w:val="002060"/>
        </w:rPr>
        <w:t>Special Town Employees (Tort Claims Act)</w:t>
      </w:r>
      <w:bookmarkEnd w:id="243"/>
      <w:bookmarkEnd w:id="244"/>
    </w:p>
    <w:p w14:paraId="7BEBFA24" w14:textId="77777777" w:rsidR="006D0D34" w:rsidRDefault="006D0D34" w:rsidP="006D0D34">
      <w:r>
        <w:t xml:space="preserve">Towns can provide liability protection under the state </w:t>
      </w:r>
      <w:r w:rsidRPr="008502DE">
        <w:t>Tort Claims Act</w:t>
      </w:r>
      <w:r>
        <w:t xml:space="preserve"> to volunteers if they make the volunteers Special Town Employees. This generally takes a vote of the select board or city or town council.</w:t>
      </w:r>
    </w:p>
    <w:p w14:paraId="26E84080" w14:textId="77777777" w:rsidR="006D0D34" w:rsidRPr="0090186A" w:rsidRDefault="006D0D34" w:rsidP="006D0D34">
      <w:pPr>
        <w:pStyle w:val="Heading3"/>
        <w:rPr>
          <w:color w:val="002060"/>
        </w:rPr>
      </w:pPr>
      <w:bookmarkStart w:id="245" w:name="_Toc483233121"/>
      <w:bookmarkStart w:id="246" w:name="_Toc11832821"/>
      <w:r w:rsidRPr="0090186A">
        <w:rPr>
          <w:color w:val="002060"/>
        </w:rPr>
        <w:t>Public Health Preparedness Capabilities</w:t>
      </w:r>
      <w:bookmarkEnd w:id="245"/>
      <w:bookmarkEnd w:id="246"/>
    </w:p>
    <w:p w14:paraId="36FF2712" w14:textId="77777777" w:rsidR="006D0D34" w:rsidRPr="00306709" w:rsidRDefault="006D0D34" w:rsidP="006D0D34">
      <w:r>
        <w:t xml:space="preserve">The CDC </w:t>
      </w:r>
      <w:hyperlink r:id="rId65" w:history="1">
        <w:r w:rsidRPr="001D570F">
          <w:rPr>
            <w:rStyle w:val="Hyperlink"/>
          </w:rPr>
          <w:t>Public Health Preparedness Capabilities</w:t>
        </w:r>
      </w:hyperlink>
      <w:r w:rsidR="00C41915">
        <w:rPr>
          <w:rStyle w:val="FootnoteReference"/>
          <w:color w:val="0563C1" w:themeColor="hyperlink"/>
          <w:u w:val="single"/>
        </w:rPr>
        <w:footnoteReference w:id="50"/>
      </w:r>
      <w:r>
        <w:t xml:space="preserve"> were developed as a national standard for state and local public health preparedness. Local health should use these capabilities to guide EDS planning and develop an operational framework.</w:t>
      </w:r>
    </w:p>
    <w:p w14:paraId="758ABCB2" w14:textId="77777777" w:rsidR="006D0D34" w:rsidRDefault="006D0D34" w:rsidP="006D0D34">
      <w:pPr>
        <w:rPr>
          <w:i/>
          <w:color w:val="44546A" w:themeColor="text2"/>
          <w:sz w:val="18"/>
          <w:szCs w:val="18"/>
        </w:rPr>
      </w:pPr>
    </w:p>
    <w:p w14:paraId="6675ECBA" w14:textId="77777777" w:rsidR="00370F23" w:rsidRDefault="00370F23" w:rsidP="006D0D34">
      <w:pPr>
        <w:rPr>
          <w:i/>
          <w:color w:val="44546A" w:themeColor="text2"/>
          <w:sz w:val="18"/>
          <w:szCs w:val="18"/>
        </w:rPr>
      </w:pPr>
    </w:p>
    <w:p w14:paraId="55078358" w14:textId="77777777" w:rsidR="006D0D34" w:rsidRDefault="006D0D34" w:rsidP="006D0D34">
      <w:pPr>
        <w:rPr>
          <w:i/>
          <w:color w:val="44546A" w:themeColor="text2"/>
          <w:sz w:val="18"/>
          <w:szCs w:val="18"/>
        </w:rPr>
      </w:pPr>
    </w:p>
    <w:p w14:paraId="1C46B6C4" w14:textId="77777777" w:rsidR="006D0D34" w:rsidRDefault="006D0D34" w:rsidP="006D0D34">
      <w:pPr>
        <w:rPr>
          <w:i/>
          <w:color w:val="44546A" w:themeColor="text2"/>
          <w:sz w:val="18"/>
          <w:szCs w:val="18"/>
        </w:rPr>
      </w:pPr>
    </w:p>
    <w:p w14:paraId="5FDE30FA" w14:textId="77777777" w:rsidR="006D0D34" w:rsidRDefault="006D0D34" w:rsidP="006D0D34">
      <w:pPr>
        <w:rPr>
          <w:i/>
          <w:color w:val="44546A" w:themeColor="text2"/>
          <w:sz w:val="18"/>
          <w:szCs w:val="18"/>
        </w:rPr>
      </w:pPr>
    </w:p>
    <w:p w14:paraId="6A09D45D" w14:textId="77777777" w:rsidR="006D0D34" w:rsidRDefault="006D0D34" w:rsidP="006D0D34">
      <w:pPr>
        <w:rPr>
          <w:i/>
          <w:color w:val="44546A" w:themeColor="text2"/>
          <w:sz w:val="18"/>
          <w:szCs w:val="18"/>
        </w:rPr>
      </w:pPr>
    </w:p>
    <w:p w14:paraId="1624E30E" w14:textId="77777777" w:rsidR="006D0D34" w:rsidRDefault="006D0D34" w:rsidP="006D0D34">
      <w:pPr>
        <w:rPr>
          <w:i/>
          <w:color w:val="44546A" w:themeColor="text2"/>
          <w:sz w:val="18"/>
          <w:szCs w:val="18"/>
        </w:rPr>
      </w:pPr>
    </w:p>
    <w:p w14:paraId="20275FD0" w14:textId="77777777" w:rsidR="00592CA7" w:rsidRDefault="00592CA7" w:rsidP="006D0D34">
      <w:pPr>
        <w:rPr>
          <w:i/>
          <w:color w:val="44546A" w:themeColor="text2"/>
          <w:sz w:val="18"/>
          <w:szCs w:val="18"/>
        </w:rPr>
        <w:sectPr w:rsidR="00592CA7" w:rsidSect="00195543">
          <w:footerReference w:type="default" r:id="rId66"/>
          <w:pgSz w:w="12240" w:h="15840"/>
          <w:pgMar w:top="1440" w:right="1440" w:bottom="1440" w:left="1080" w:header="720" w:footer="720" w:gutter="0"/>
          <w:cols w:space="720"/>
          <w:docGrid w:linePitch="360"/>
        </w:sectPr>
      </w:pPr>
    </w:p>
    <w:p w14:paraId="21936C3B" w14:textId="77777777" w:rsidR="006D0D34" w:rsidRPr="00592CA7" w:rsidRDefault="0090186A" w:rsidP="00592CA7">
      <w:pPr>
        <w:pStyle w:val="Heading1"/>
        <w:rPr>
          <w:color w:val="ED7D31" w:themeColor="accent2"/>
        </w:rPr>
      </w:pPr>
      <w:bookmarkStart w:id="247" w:name="_Toc484772477"/>
      <w:bookmarkStart w:id="248" w:name="_Toc11832822"/>
      <w:r w:rsidRPr="00592CA7">
        <w:rPr>
          <w:color w:val="ED7D31" w:themeColor="accent2"/>
        </w:rPr>
        <w:t>ACRONYMS</w:t>
      </w:r>
      <w:bookmarkEnd w:id="247"/>
      <w:bookmarkEnd w:id="248"/>
    </w:p>
    <w:tbl>
      <w:tblPr>
        <w:tblStyle w:val="TableGrid"/>
        <w:tblW w:w="0" w:type="auto"/>
        <w:tblLook w:val="04A0" w:firstRow="1" w:lastRow="0" w:firstColumn="1" w:lastColumn="0" w:noHBand="0" w:noVBand="1"/>
      </w:tblPr>
      <w:tblGrid>
        <w:gridCol w:w="1611"/>
        <w:gridCol w:w="7739"/>
      </w:tblGrid>
      <w:tr w:rsidR="006D0D34" w:rsidRPr="00012168" w14:paraId="296E9160" w14:textId="77777777" w:rsidTr="0090186A">
        <w:tc>
          <w:tcPr>
            <w:tcW w:w="1611" w:type="dxa"/>
          </w:tcPr>
          <w:p w14:paraId="2FABD9B8" w14:textId="77777777" w:rsidR="006D0D34" w:rsidRDefault="006D0D34" w:rsidP="0090186A">
            <w:pPr>
              <w:pStyle w:val="NoSpacing"/>
            </w:pPr>
            <w:r>
              <w:t>AAR</w:t>
            </w:r>
          </w:p>
        </w:tc>
        <w:tc>
          <w:tcPr>
            <w:tcW w:w="7739" w:type="dxa"/>
          </w:tcPr>
          <w:p w14:paraId="6ECC29DA" w14:textId="77777777" w:rsidR="006D0D34" w:rsidRDefault="006D0D34" w:rsidP="0090186A">
            <w:pPr>
              <w:pStyle w:val="NoSpacing"/>
            </w:pPr>
            <w:r>
              <w:t>After Action Report</w:t>
            </w:r>
          </w:p>
        </w:tc>
      </w:tr>
      <w:tr w:rsidR="006D0D34" w:rsidRPr="00012168" w14:paraId="7D17D03A" w14:textId="77777777" w:rsidTr="0090186A">
        <w:tc>
          <w:tcPr>
            <w:tcW w:w="1611" w:type="dxa"/>
          </w:tcPr>
          <w:p w14:paraId="11CBC90C" w14:textId="77777777" w:rsidR="006D0D34" w:rsidRDefault="006D0D34" w:rsidP="0090186A">
            <w:pPr>
              <w:pStyle w:val="NoSpacing"/>
            </w:pPr>
            <w:r>
              <w:t>ACS</w:t>
            </w:r>
          </w:p>
        </w:tc>
        <w:tc>
          <w:tcPr>
            <w:tcW w:w="7739" w:type="dxa"/>
          </w:tcPr>
          <w:p w14:paraId="51EC9B8A" w14:textId="77777777" w:rsidR="006D0D34" w:rsidRDefault="006D0D34" w:rsidP="0090186A">
            <w:pPr>
              <w:pStyle w:val="NoSpacing"/>
            </w:pPr>
            <w:r>
              <w:t>American Community Survey</w:t>
            </w:r>
          </w:p>
        </w:tc>
      </w:tr>
      <w:tr w:rsidR="006D0D34" w:rsidRPr="00012168" w14:paraId="19FDC438" w14:textId="77777777" w:rsidTr="0090186A">
        <w:tc>
          <w:tcPr>
            <w:tcW w:w="1611" w:type="dxa"/>
          </w:tcPr>
          <w:p w14:paraId="159C2BC5" w14:textId="77777777" w:rsidR="006D0D34" w:rsidRDefault="006D0D34" w:rsidP="0090186A">
            <w:pPr>
              <w:pStyle w:val="NoSpacing"/>
            </w:pPr>
            <w:r>
              <w:t>ADA</w:t>
            </w:r>
          </w:p>
        </w:tc>
        <w:tc>
          <w:tcPr>
            <w:tcW w:w="7739" w:type="dxa"/>
          </w:tcPr>
          <w:p w14:paraId="2347F138" w14:textId="77777777" w:rsidR="006D0D34" w:rsidRDefault="006D0D34" w:rsidP="0090186A">
            <w:pPr>
              <w:pStyle w:val="NoSpacing"/>
            </w:pPr>
            <w:r>
              <w:t>Americans with Disabilities Act</w:t>
            </w:r>
          </w:p>
        </w:tc>
      </w:tr>
      <w:tr w:rsidR="006D0D34" w:rsidRPr="00012168" w14:paraId="17E2C8AA" w14:textId="77777777" w:rsidTr="0090186A">
        <w:tc>
          <w:tcPr>
            <w:tcW w:w="1611" w:type="dxa"/>
          </w:tcPr>
          <w:p w14:paraId="375D47C6" w14:textId="77777777" w:rsidR="006D0D34" w:rsidRDefault="006D0D34" w:rsidP="0090186A">
            <w:pPr>
              <w:pStyle w:val="NoSpacing"/>
            </w:pPr>
            <w:r>
              <w:t>ARC</w:t>
            </w:r>
          </w:p>
        </w:tc>
        <w:tc>
          <w:tcPr>
            <w:tcW w:w="7739" w:type="dxa"/>
          </w:tcPr>
          <w:p w14:paraId="10974FF3" w14:textId="77777777" w:rsidR="006D0D34" w:rsidRDefault="006D0D34" w:rsidP="0090186A">
            <w:pPr>
              <w:pStyle w:val="NoSpacing"/>
            </w:pPr>
            <w:r>
              <w:t>American Red Cross</w:t>
            </w:r>
          </w:p>
        </w:tc>
      </w:tr>
      <w:tr w:rsidR="00002A8F" w:rsidRPr="00012168" w14:paraId="62B86B12" w14:textId="77777777" w:rsidTr="0090186A">
        <w:tc>
          <w:tcPr>
            <w:tcW w:w="1611" w:type="dxa"/>
          </w:tcPr>
          <w:p w14:paraId="2CC7B44A" w14:textId="57F07AF6" w:rsidR="00002A8F" w:rsidRDefault="00002A8F" w:rsidP="0090186A">
            <w:pPr>
              <w:pStyle w:val="NoSpacing"/>
            </w:pPr>
            <w:r>
              <w:t>ASPR</w:t>
            </w:r>
          </w:p>
        </w:tc>
        <w:tc>
          <w:tcPr>
            <w:tcW w:w="7739" w:type="dxa"/>
          </w:tcPr>
          <w:p w14:paraId="045C4464" w14:textId="3FAA1F03" w:rsidR="00002A8F" w:rsidRDefault="00002A8F" w:rsidP="0090186A">
            <w:pPr>
              <w:pStyle w:val="NoSpacing"/>
            </w:pPr>
            <w:r>
              <w:t>Assistant Secretary for Preparedness and Response</w:t>
            </w:r>
          </w:p>
        </w:tc>
      </w:tr>
      <w:tr w:rsidR="006D0D34" w:rsidRPr="00012168" w14:paraId="3793418C" w14:textId="77777777" w:rsidTr="0090186A">
        <w:tc>
          <w:tcPr>
            <w:tcW w:w="1611" w:type="dxa"/>
          </w:tcPr>
          <w:p w14:paraId="7238DBC0" w14:textId="77777777" w:rsidR="006D0D34" w:rsidRDefault="006D0D34" w:rsidP="0090186A">
            <w:pPr>
              <w:pStyle w:val="NoSpacing"/>
            </w:pPr>
            <w:r>
              <w:t>AVA</w:t>
            </w:r>
          </w:p>
        </w:tc>
        <w:tc>
          <w:tcPr>
            <w:tcW w:w="7739" w:type="dxa"/>
          </w:tcPr>
          <w:p w14:paraId="0A534539" w14:textId="77777777" w:rsidR="006D0D34" w:rsidRDefault="006D0D34" w:rsidP="0090186A">
            <w:pPr>
              <w:pStyle w:val="NoSpacing"/>
            </w:pPr>
            <w:r>
              <w:t>Anthrax Vaccine Absorbed</w:t>
            </w:r>
          </w:p>
        </w:tc>
      </w:tr>
      <w:tr w:rsidR="006D0D34" w:rsidRPr="00012168" w14:paraId="21667A9E" w14:textId="77777777" w:rsidTr="0090186A">
        <w:tc>
          <w:tcPr>
            <w:tcW w:w="1611" w:type="dxa"/>
          </w:tcPr>
          <w:p w14:paraId="27466749" w14:textId="77777777" w:rsidR="006D0D34" w:rsidRDefault="006D0D34" w:rsidP="0090186A">
            <w:pPr>
              <w:pStyle w:val="NoSpacing"/>
            </w:pPr>
            <w:r>
              <w:t>BDS</w:t>
            </w:r>
          </w:p>
        </w:tc>
        <w:tc>
          <w:tcPr>
            <w:tcW w:w="7739" w:type="dxa"/>
          </w:tcPr>
          <w:p w14:paraId="52F523AD" w14:textId="77777777" w:rsidR="006D0D34" w:rsidRDefault="006D0D34" w:rsidP="0090186A">
            <w:pPr>
              <w:pStyle w:val="NoSpacing"/>
            </w:pPr>
            <w:r>
              <w:t>Biohazard Detection System</w:t>
            </w:r>
          </w:p>
        </w:tc>
      </w:tr>
      <w:tr w:rsidR="006D0D34" w:rsidRPr="00012168" w14:paraId="603657B9" w14:textId="77777777" w:rsidTr="0090186A">
        <w:tc>
          <w:tcPr>
            <w:tcW w:w="1611" w:type="dxa"/>
          </w:tcPr>
          <w:p w14:paraId="737ABFE9" w14:textId="77777777" w:rsidR="006D0D34" w:rsidRDefault="006D0D34" w:rsidP="0090186A">
            <w:pPr>
              <w:pStyle w:val="NoSpacing"/>
            </w:pPr>
            <w:r>
              <w:t>BEH</w:t>
            </w:r>
          </w:p>
        </w:tc>
        <w:tc>
          <w:tcPr>
            <w:tcW w:w="7739" w:type="dxa"/>
          </w:tcPr>
          <w:p w14:paraId="4721368B" w14:textId="77777777" w:rsidR="006D0D34" w:rsidRDefault="006D0D34" w:rsidP="0090186A">
            <w:pPr>
              <w:pStyle w:val="NoSpacing"/>
            </w:pPr>
            <w:r>
              <w:t>Bureau of Environmental Health (MDPH)</w:t>
            </w:r>
          </w:p>
        </w:tc>
      </w:tr>
      <w:tr w:rsidR="006D0D34" w:rsidRPr="00012168" w14:paraId="0B11881B" w14:textId="77777777" w:rsidTr="0090186A">
        <w:tc>
          <w:tcPr>
            <w:tcW w:w="1611" w:type="dxa"/>
          </w:tcPr>
          <w:p w14:paraId="1FD03D42" w14:textId="77777777" w:rsidR="006D0D34" w:rsidRDefault="006D0D34" w:rsidP="0090186A">
            <w:pPr>
              <w:pStyle w:val="NoSpacing"/>
            </w:pPr>
            <w:r>
              <w:t>BIDLS</w:t>
            </w:r>
          </w:p>
        </w:tc>
        <w:tc>
          <w:tcPr>
            <w:tcW w:w="7739" w:type="dxa"/>
          </w:tcPr>
          <w:p w14:paraId="12CAD9C8" w14:textId="77777777" w:rsidR="006D0D34" w:rsidRDefault="006D0D34" w:rsidP="0090186A">
            <w:pPr>
              <w:pStyle w:val="NoSpacing"/>
            </w:pPr>
            <w:r>
              <w:t>Bureau of Infectious Disease &amp; Laboratory Sciences (MDPH)</w:t>
            </w:r>
          </w:p>
        </w:tc>
      </w:tr>
      <w:tr w:rsidR="006D0D34" w:rsidRPr="00012168" w14:paraId="7426741E" w14:textId="77777777" w:rsidTr="0090186A">
        <w:tc>
          <w:tcPr>
            <w:tcW w:w="1611" w:type="dxa"/>
          </w:tcPr>
          <w:p w14:paraId="3A9F1AFF" w14:textId="77777777" w:rsidR="006D0D34" w:rsidRDefault="006D0D34" w:rsidP="0090186A">
            <w:pPr>
              <w:pStyle w:val="NoSpacing"/>
            </w:pPr>
            <w:r>
              <w:t>CBRN</w:t>
            </w:r>
          </w:p>
        </w:tc>
        <w:tc>
          <w:tcPr>
            <w:tcW w:w="7739" w:type="dxa"/>
          </w:tcPr>
          <w:p w14:paraId="04DB8268" w14:textId="77777777" w:rsidR="006D0D34" w:rsidRDefault="006D0D34" w:rsidP="0090186A">
            <w:pPr>
              <w:pStyle w:val="NoSpacing"/>
            </w:pPr>
            <w:r>
              <w:t>Chemical, Biological, Radiological, Nuclear</w:t>
            </w:r>
          </w:p>
        </w:tc>
      </w:tr>
      <w:tr w:rsidR="006D0D34" w:rsidRPr="00012168" w14:paraId="5EA812EE" w14:textId="77777777" w:rsidTr="0090186A">
        <w:tc>
          <w:tcPr>
            <w:tcW w:w="1611" w:type="dxa"/>
          </w:tcPr>
          <w:p w14:paraId="0241A6C7" w14:textId="77777777" w:rsidR="006D0D34" w:rsidRDefault="006D0D34" w:rsidP="0090186A">
            <w:pPr>
              <w:pStyle w:val="NoSpacing"/>
            </w:pPr>
            <w:r>
              <w:t>CDC</w:t>
            </w:r>
          </w:p>
        </w:tc>
        <w:tc>
          <w:tcPr>
            <w:tcW w:w="7739" w:type="dxa"/>
          </w:tcPr>
          <w:p w14:paraId="2BA7C7C8" w14:textId="77777777" w:rsidR="006D0D34" w:rsidRDefault="006D0D34" w:rsidP="0090186A">
            <w:pPr>
              <w:pStyle w:val="NoSpacing"/>
            </w:pPr>
            <w:r>
              <w:t>Centers for Disease Control &amp; Prevention</w:t>
            </w:r>
          </w:p>
        </w:tc>
      </w:tr>
      <w:tr w:rsidR="006D0D34" w:rsidRPr="00012168" w14:paraId="3796D700" w14:textId="77777777" w:rsidTr="0090186A">
        <w:tc>
          <w:tcPr>
            <w:tcW w:w="1611" w:type="dxa"/>
          </w:tcPr>
          <w:p w14:paraId="70EB2C0B" w14:textId="77777777" w:rsidR="006D0D34" w:rsidRDefault="006D0D34" w:rsidP="0090186A">
            <w:pPr>
              <w:pStyle w:val="NoSpacing"/>
            </w:pPr>
            <w:r>
              <w:t>CEMP</w:t>
            </w:r>
          </w:p>
        </w:tc>
        <w:tc>
          <w:tcPr>
            <w:tcW w:w="7739" w:type="dxa"/>
          </w:tcPr>
          <w:p w14:paraId="09059E4E" w14:textId="77777777" w:rsidR="006D0D34" w:rsidRDefault="006D0D34" w:rsidP="0090186A">
            <w:pPr>
              <w:pStyle w:val="NoSpacing"/>
            </w:pPr>
            <w:r>
              <w:t>Comprehensive Emergency Management Plan</w:t>
            </w:r>
          </w:p>
        </w:tc>
      </w:tr>
      <w:tr w:rsidR="006D0D34" w:rsidRPr="00012168" w14:paraId="14B0D05A" w14:textId="77777777" w:rsidTr="0090186A">
        <w:tc>
          <w:tcPr>
            <w:tcW w:w="1611" w:type="dxa"/>
          </w:tcPr>
          <w:p w14:paraId="30C2EB79" w14:textId="77777777" w:rsidR="006D0D34" w:rsidRDefault="006D0D34" w:rsidP="0090186A">
            <w:pPr>
              <w:pStyle w:val="NoSpacing"/>
            </w:pPr>
            <w:r>
              <w:t>CERC</w:t>
            </w:r>
          </w:p>
        </w:tc>
        <w:tc>
          <w:tcPr>
            <w:tcW w:w="7739" w:type="dxa"/>
          </w:tcPr>
          <w:p w14:paraId="40D05DF1" w14:textId="77777777" w:rsidR="006D0D34" w:rsidRDefault="006D0D34" w:rsidP="0090186A">
            <w:pPr>
              <w:pStyle w:val="NoSpacing"/>
            </w:pPr>
            <w:r>
              <w:t>Crisis Emergency Risk Communications</w:t>
            </w:r>
          </w:p>
        </w:tc>
      </w:tr>
      <w:tr w:rsidR="006D0D34" w:rsidRPr="00012168" w14:paraId="54D9D8BE" w14:textId="77777777" w:rsidTr="0090186A">
        <w:tc>
          <w:tcPr>
            <w:tcW w:w="1611" w:type="dxa"/>
          </w:tcPr>
          <w:p w14:paraId="5E35D274" w14:textId="77777777" w:rsidR="006D0D34" w:rsidRDefault="006D0D34" w:rsidP="0090186A">
            <w:pPr>
              <w:pStyle w:val="NoSpacing"/>
            </w:pPr>
            <w:r>
              <w:t>CERT</w:t>
            </w:r>
          </w:p>
        </w:tc>
        <w:tc>
          <w:tcPr>
            <w:tcW w:w="7739" w:type="dxa"/>
          </w:tcPr>
          <w:p w14:paraId="51D78A1A" w14:textId="77777777" w:rsidR="006D0D34" w:rsidRDefault="006D0D34" w:rsidP="0090186A">
            <w:pPr>
              <w:pStyle w:val="NoSpacing"/>
            </w:pPr>
            <w:r>
              <w:t>Community Emergency Response Team</w:t>
            </w:r>
          </w:p>
        </w:tc>
      </w:tr>
      <w:tr w:rsidR="006D0D34" w:rsidRPr="00012168" w14:paraId="599EF2E9" w14:textId="77777777" w:rsidTr="0090186A">
        <w:tc>
          <w:tcPr>
            <w:tcW w:w="1611" w:type="dxa"/>
          </w:tcPr>
          <w:p w14:paraId="445CCDEF" w14:textId="77777777" w:rsidR="006D0D34" w:rsidRDefault="006D0D34" w:rsidP="0090186A">
            <w:pPr>
              <w:pStyle w:val="NoSpacing"/>
            </w:pPr>
            <w:r>
              <w:t>CIS</w:t>
            </w:r>
          </w:p>
        </w:tc>
        <w:tc>
          <w:tcPr>
            <w:tcW w:w="7739" w:type="dxa"/>
          </w:tcPr>
          <w:p w14:paraId="37552CA8" w14:textId="77777777" w:rsidR="006D0D34" w:rsidRDefault="006D0D34" w:rsidP="0090186A">
            <w:pPr>
              <w:pStyle w:val="NoSpacing"/>
            </w:pPr>
            <w:r>
              <w:t>Critical Infrastructure Staff</w:t>
            </w:r>
          </w:p>
        </w:tc>
      </w:tr>
      <w:tr w:rsidR="006D0D34" w:rsidRPr="00012168" w14:paraId="63D4C6C4" w14:textId="77777777" w:rsidTr="0090186A">
        <w:tc>
          <w:tcPr>
            <w:tcW w:w="1611" w:type="dxa"/>
          </w:tcPr>
          <w:p w14:paraId="41D9B23B" w14:textId="77777777" w:rsidR="006D0D34" w:rsidRDefault="006D0D34" w:rsidP="0090186A">
            <w:pPr>
              <w:pStyle w:val="NoSpacing"/>
            </w:pPr>
            <w:r>
              <w:t>CPG</w:t>
            </w:r>
          </w:p>
        </w:tc>
        <w:tc>
          <w:tcPr>
            <w:tcW w:w="7739" w:type="dxa"/>
          </w:tcPr>
          <w:p w14:paraId="57975640" w14:textId="77777777" w:rsidR="006D0D34" w:rsidRDefault="006D0D34" w:rsidP="0090186A">
            <w:pPr>
              <w:pStyle w:val="NoSpacing"/>
            </w:pPr>
            <w:r>
              <w:t>Comprehensive Preparedness Guide</w:t>
            </w:r>
          </w:p>
        </w:tc>
      </w:tr>
      <w:tr w:rsidR="006D0D34" w:rsidRPr="00012168" w14:paraId="68469F32" w14:textId="77777777" w:rsidTr="0090186A">
        <w:tc>
          <w:tcPr>
            <w:tcW w:w="1611" w:type="dxa"/>
          </w:tcPr>
          <w:p w14:paraId="74DA2E28" w14:textId="77777777" w:rsidR="006D0D34" w:rsidRDefault="006D0D34" w:rsidP="0090186A">
            <w:pPr>
              <w:pStyle w:val="NoSpacing"/>
            </w:pPr>
            <w:r>
              <w:t>CRI</w:t>
            </w:r>
          </w:p>
        </w:tc>
        <w:tc>
          <w:tcPr>
            <w:tcW w:w="7739" w:type="dxa"/>
          </w:tcPr>
          <w:p w14:paraId="7129B661" w14:textId="77777777" w:rsidR="006D0D34" w:rsidRDefault="006D0D34" w:rsidP="0090186A">
            <w:pPr>
              <w:pStyle w:val="NoSpacing"/>
            </w:pPr>
            <w:r>
              <w:t>Cities Readiness Initiative</w:t>
            </w:r>
          </w:p>
        </w:tc>
      </w:tr>
      <w:tr w:rsidR="006D0D34" w:rsidRPr="00012168" w14:paraId="63FDBC64" w14:textId="77777777" w:rsidTr="0090186A">
        <w:tc>
          <w:tcPr>
            <w:tcW w:w="1611" w:type="dxa"/>
          </w:tcPr>
          <w:p w14:paraId="78563A05" w14:textId="77777777" w:rsidR="006D0D34" w:rsidRDefault="006D0D34" w:rsidP="0090186A">
            <w:pPr>
              <w:pStyle w:val="NoSpacing"/>
            </w:pPr>
            <w:r>
              <w:t>DME</w:t>
            </w:r>
          </w:p>
        </w:tc>
        <w:tc>
          <w:tcPr>
            <w:tcW w:w="7739" w:type="dxa"/>
          </w:tcPr>
          <w:p w14:paraId="1EFCD17F" w14:textId="77777777" w:rsidR="006D0D34" w:rsidRDefault="006D0D34" w:rsidP="0090186A">
            <w:pPr>
              <w:pStyle w:val="NoSpacing"/>
            </w:pPr>
            <w:r>
              <w:t>Durable Medical Equipment</w:t>
            </w:r>
          </w:p>
        </w:tc>
      </w:tr>
      <w:tr w:rsidR="006D0D34" w:rsidRPr="00012168" w14:paraId="31F5E433" w14:textId="77777777" w:rsidTr="0090186A">
        <w:tc>
          <w:tcPr>
            <w:tcW w:w="1611" w:type="dxa"/>
          </w:tcPr>
          <w:p w14:paraId="18313E91" w14:textId="77777777" w:rsidR="006D0D34" w:rsidRDefault="006D0D34" w:rsidP="0090186A">
            <w:pPr>
              <w:pStyle w:val="NoSpacing"/>
            </w:pPr>
            <w:r>
              <w:t>DOC</w:t>
            </w:r>
          </w:p>
        </w:tc>
        <w:tc>
          <w:tcPr>
            <w:tcW w:w="7739" w:type="dxa"/>
          </w:tcPr>
          <w:p w14:paraId="343A0C48" w14:textId="77777777" w:rsidR="006D0D34" w:rsidRDefault="006D0D34" w:rsidP="0090186A">
            <w:pPr>
              <w:pStyle w:val="NoSpacing"/>
            </w:pPr>
            <w:r>
              <w:t>Department Operations Center (MDPH)</w:t>
            </w:r>
          </w:p>
        </w:tc>
      </w:tr>
      <w:tr w:rsidR="006D0D34" w:rsidRPr="00012168" w14:paraId="2B8F385B" w14:textId="77777777" w:rsidTr="0090186A">
        <w:tc>
          <w:tcPr>
            <w:tcW w:w="1611" w:type="dxa"/>
          </w:tcPr>
          <w:p w14:paraId="41403B4A" w14:textId="77777777" w:rsidR="006D0D34" w:rsidRPr="00012168" w:rsidRDefault="006D0D34" w:rsidP="0090186A">
            <w:pPr>
              <w:pStyle w:val="NoSpacing"/>
            </w:pPr>
            <w:r>
              <w:t>EDS</w:t>
            </w:r>
          </w:p>
        </w:tc>
        <w:tc>
          <w:tcPr>
            <w:tcW w:w="7739" w:type="dxa"/>
          </w:tcPr>
          <w:p w14:paraId="582F59A7" w14:textId="77777777" w:rsidR="006D0D34" w:rsidRPr="00012168" w:rsidRDefault="006D0D34" w:rsidP="0090186A">
            <w:pPr>
              <w:pStyle w:val="NoSpacing"/>
            </w:pPr>
            <w:r>
              <w:t>Emergency Dispensing Site</w:t>
            </w:r>
          </w:p>
        </w:tc>
      </w:tr>
      <w:tr w:rsidR="006D0D34" w:rsidRPr="00012168" w14:paraId="4140BED8" w14:textId="77777777" w:rsidTr="0090186A">
        <w:tc>
          <w:tcPr>
            <w:tcW w:w="1611" w:type="dxa"/>
          </w:tcPr>
          <w:p w14:paraId="3071C8FC" w14:textId="77777777" w:rsidR="006D0D34" w:rsidRDefault="006D0D34" w:rsidP="0090186A">
            <w:pPr>
              <w:pStyle w:val="NoSpacing"/>
            </w:pPr>
            <w:r>
              <w:t>ELR</w:t>
            </w:r>
          </w:p>
        </w:tc>
        <w:tc>
          <w:tcPr>
            <w:tcW w:w="7739" w:type="dxa"/>
          </w:tcPr>
          <w:p w14:paraId="183841CB" w14:textId="77777777" w:rsidR="006D0D34" w:rsidRDefault="006D0D34" w:rsidP="0090186A">
            <w:pPr>
              <w:pStyle w:val="NoSpacing"/>
            </w:pPr>
            <w:r>
              <w:t>Electronic Laboratory Reporting</w:t>
            </w:r>
          </w:p>
        </w:tc>
      </w:tr>
      <w:tr w:rsidR="006D0D34" w:rsidRPr="00012168" w14:paraId="71E767CF" w14:textId="77777777" w:rsidTr="0090186A">
        <w:tc>
          <w:tcPr>
            <w:tcW w:w="1611" w:type="dxa"/>
          </w:tcPr>
          <w:p w14:paraId="6BE643DA" w14:textId="77777777" w:rsidR="006D0D34" w:rsidRDefault="006D0D34" w:rsidP="0090186A">
            <w:pPr>
              <w:pStyle w:val="NoSpacing"/>
            </w:pPr>
            <w:r>
              <w:t>EMD</w:t>
            </w:r>
          </w:p>
        </w:tc>
        <w:tc>
          <w:tcPr>
            <w:tcW w:w="7739" w:type="dxa"/>
          </w:tcPr>
          <w:p w14:paraId="7BC5E4CC" w14:textId="77777777" w:rsidR="006D0D34" w:rsidRDefault="006D0D34" w:rsidP="0090186A">
            <w:pPr>
              <w:pStyle w:val="NoSpacing"/>
            </w:pPr>
            <w:r>
              <w:t>Emergency Management Director</w:t>
            </w:r>
          </w:p>
        </w:tc>
      </w:tr>
      <w:tr w:rsidR="006D0D34" w:rsidRPr="00012168" w14:paraId="1BD048FB" w14:textId="77777777" w:rsidTr="0090186A">
        <w:tc>
          <w:tcPr>
            <w:tcW w:w="1611" w:type="dxa"/>
          </w:tcPr>
          <w:p w14:paraId="55865A39" w14:textId="77777777" w:rsidR="006D0D34" w:rsidRDefault="006D0D34" w:rsidP="0090186A">
            <w:pPr>
              <w:pStyle w:val="NoSpacing"/>
            </w:pPr>
            <w:r>
              <w:t>EMS</w:t>
            </w:r>
          </w:p>
        </w:tc>
        <w:tc>
          <w:tcPr>
            <w:tcW w:w="7739" w:type="dxa"/>
          </w:tcPr>
          <w:p w14:paraId="1E401773" w14:textId="77777777" w:rsidR="006D0D34" w:rsidRDefault="006D0D34" w:rsidP="0090186A">
            <w:pPr>
              <w:pStyle w:val="NoSpacing"/>
            </w:pPr>
            <w:r>
              <w:t>Emergency Medical Services</w:t>
            </w:r>
          </w:p>
        </w:tc>
      </w:tr>
      <w:tr w:rsidR="006D0D34" w:rsidRPr="00012168" w14:paraId="22C3236D" w14:textId="77777777" w:rsidTr="0090186A">
        <w:tc>
          <w:tcPr>
            <w:tcW w:w="1611" w:type="dxa"/>
          </w:tcPr>
          <w:p w14:paraId="208C937C" w14:textId="77777777" w:rsidR="006D0D34" w:rsidRDefault="006D0D34" w:rsidP="0090186A">
            <w:pPr>
              <w:pStyle w:val="NoSpacing"/>
            </w:pPr>
            <w:r>
              <w:t>EUA</w:t>
            </w:r>
          </w:p>
        </w:tc>
        <w:tc>
          <w:tcPr>
            <w:tcW w:w="7739" w:type="dxa"/>
          </w:tcPr>
          <w:p w14:paraId="4C02CEC4" w14:textId="77777777" w:rsidR="006D0D34" w:rsidRDefault="006D0D34" w:rsidP="0090186A">
            <w:pPr>
              <w:pStyle w:val="NoSpacing"/>
            </w:pPr>
            <w:r>
              <w:t>Emergency Use Authorization</w:t>
            </w:r>
          </w:p>
        </w:tc>
      </w:tr>
      <w:tr w:rsidR="006D0D34" w:rsidRPr="00012168" w14:paraId="52E355F7" w14:textId="77777777" w:rsidTr="0090186A">
        <w:tc>
          <w:tcPr>
            <w:tcW w:w="1611" w:type="dxa"/>
          </w:tcPr>
          <w:p w14:paraId="3332C77E" w14:textId="77777777" w:rsidR="006D0D34" w:rsidRDefault="006D0D34" w:rsidP="0090186A">
            <w:pPr>
              <w:pStyle w:val="NoSpacing"/>
            </w:pPr>
            <w:r>
              <w:t>FDA</w:t>
            </w:r>
          </w:p>
        </w:tc>
        <w:tc>
          <w:tcPr>
            <w:tcW w:w="7739" w:type="dxa"/>
          </w:tcPr>
          <w:p w14:paraId="3E1BFDC5" w14:textId="77777777" w:rsidR="006D0D34" w:rsidRDefault="006D0D34" w:rsidP="0090186A">
            <w:pPr>
              <w:pStyle w:val="NoSpacing"/>
            </w:pPr>
            <w:r>
              <w:t>Food &amp; Drug Administration</w:t>
            </w:r>
          </w:p>
        </w:tc>
      </w:tr>
      <w:tr w:rsidR="006D0D34" w:rsidRPr="00012168" w14:paraId="67DB9A7B" w14:textId="77777777" w:rsidTr="0090186A">
        <w:tc>
          <w:tcPr>
            <w:tcW w:w="1611" w:type="dxa"/>
          </w:tcPr>
          <w:p w14:paraId="7665D80B" w14:textId="77777777" w:rsidR="006D0D34" w:rsidRDefault="006D0D34" w:rsidP="0090186A">
            <w:pPr>
              <w:pStyle w:val="NoSpacing"/>
            </w:pPr>
            <w:r>
              <w:t>FNSS</w:t>
            </w:r>
          </w:p>
        </w:tc>
        <w:tc>
          <w:tcPr>
            <w:tcW w:w="7739" w:type="dxa"/>
          </w:tcPr>
          <w:p w14:paraId="3C1E0CBE" w14:textId="77777777" w:rsidR="006D0D34" w:rsidRDefault="006D0D34" w:rsidP="0090186A">
            <w:pPr>
              <w:pStyle w:val="NoSpacing"/>
            </w:pPr>
            <w:r>
              <w:t>Functional Needs Support Services</w:t>
            </w:r>
          </w:p>
        </w:tc>
      </w:tr>
      <w:tr w:rsidR="006D0D34" w:rsidRPr="00012168" w14:paraId="792616D6" w14:textId="77777777" w:rsidTr="0090186A">
        <w:tc>
          <w:tcPr>
            <w:tcW w:w="1611" w:type="dxa"/>
          </w:tcPr>
          <w:p w14:paraId="6EC24922" w14:textId="77777777" w:rsidR="006D0D34" w:rsidRDefault="006D0D34" w:rsidP="0090186A">
            <w:pPr>
              <w:pStyle w:val="NoSpacing"/>
            </w:pPr>
            <w:r>
              <w:t>GETS</w:t>
            </w:r>
          </w:p>
        </w:tc>
        <w:tc>
          <w:tcPr>
            <w:tcW w:w="7739" w:type="dxa"/>
          </w:tcPr>
          <w:p w14:paraId="2E7C7F22" w14:textId="77777777" w:rsidR="006D0D34" w:rsidRDefault="006D0D34" w:rsidP="0090186A">
            <w:pPr>
              <w:pStyle w:val="NoSpacing"/>
            </w:pPr>
            <w:r>
              <w:t>Government Emergency Telecommunications Service</w:t>
            </w:r>
          </w:p>
        </w:tc>
      </w:tr>
      <w:tr w:rsidR="006D0D34" w:rsidRPr="00012168" w14:paraId="006BD206" w14:textId="77777777" w:rsidTr="0090186A">
        <w:tc>
          <w:tcPr>
            <w:tcW w:w="1611" w:type="dxa"/>
          </w:tcPr>
          <w:p w14:paraId="454707A1" w14:textId="77777777" w:rsidR="006D0D34" w:rsidRDefault="006D0D34" w:rsidP="0090186A">
            <w:pPr>
              <w:pStyle w:val="NoSpacing"/>
            </w:pPr>
            <w:r>
              <w:t>GIS</w:t>
            </w:r>
          </w:p>
        </w:tc>
        <w:tc>
          <w:tcPr>
            <w:tcW w:w="7739" w:type="dxa"/>
          </w:tcPr>
          <w:p w14:paraId="50FC76F1" w14:textId="77777777" w:rsidR="006D0D34" w:rsidRDefault="006D0D34" w:rsidP="0090186A">
            <w:pPr>
              <w:pStyle w:val="NoSpacing"/>
            </w:pPr>
            <w:r>
              <w:t>Geographic Information System</w:t>
            </w:r>
          </w:p>
        </w:tc>
      </w:tr>
      <w:tr w:rsidR="006D0D34" w:rsidRPr="00012168" w14:paraId="140078E5" w14:textId="77777777" w:rsidTr="0090186A">
        <w:tc>
          <w:tcPr>
            <w:tcW w:w="1611" w:type="dxa"/>
          </w:tcPr>
          <w:p w14:paraId="4364D4D2" w14:textId="77777777" w:rsidR="006D0D34" w:rsidRDefault="006D0D34" w:rsidP="0090186A">
            <w:pPr>
              <w:pStyle w:val="NoSpacing"/>
            </w:pPr>
            <w:r w:rsidRPr="00E60B68">
              <w:t>HHAN</w:t>
            </w:r>
          </w:p>
        </w:tc>
        <w:tc>
          <w:tcPr>
            <w:tcW w:w="7739" w:type="dxa"/>
          </w:tcPr>
          <w:p w14:paraId="0E454F50" w14:textId="77777777" w:rsidR="006D0D34" w:rsidRDefault="006D0D34" w:rsidP="0090186A">
            <w:pPr>
              <w:pStyle w:val="NoSpacing"/>
            </w:pPr>
            <w:r>
              <w:t>Health &amp; Homeland Alert Network</w:t>
            </w:r>
          </w:p>
        </w:tc>
      </w:tr>
      <w:tr w:rsidR="006D0D34" w:rsidRPr="00012168" w14:paraId="36A6473C" w14:textId="77777777" w:rsidTr="0090186A">
        <w:tc>
          <w:tcPr>
            <w:tcW w:w="1611" w:type="dxa"/>
          </w:tcPr>
          <w:p w14:paraId="712AB1F2" w14:textId="77777777" w:rsidR="006D0D34" w:rsidRDefault="006D0D34" w:rsidP="0090186A">
            <w:pPr>
              <w:pStyle w:val="NoSpacing"/>
            </w:pPr>
            <w:r>
              <w:t>HMCC</w:t>
            </w:r>
          </w:p>
        </w:tc>
        <w:tc>
          <w:tcPr>
            <w:tcW w:w="7739" w:type="dxa"/>
          </w:tcPr>
          <w:p w14:paraId="0DF97911" w14:textId="77777777" w:rsidR="006D0D34" w:rsidRDefault="006D0D34" w:rsidP="0090186A">
            <w:pPr>
              <w:pStyle w:val="NoSpacing"/>
            </w:pPr>
            <w:r>
              <w:t>Health &amp; Medical Coordinating Coalitions</w:t>
            </w:r>
          </w:p>
        </w:tc>
      </w:tr>
      <w:tr w:rsidR="006D0D34" w:rsidRPr="00012168" w14:paraId="2C216D26" w14:textId="77777777" w:rsidTr="0090186A">
        <w:tc>
          <w:tcPr>
            <w:tcW w:w="1611" w:type="dxa"/>
          </w:tcPr>
          <w:p w14:paraId="24079C45" w14:textId="77777777" w:rsidR="006D0D34" w:rsidRDefault="006D0D34" w:rsidP="0090186A">
            <w:pPr>
              <w:pStyle w:val="NoSpacing"/>
            </w:pPr>
            <w:r>
              <w:t>HOH</w:t>
            </w:r>
          </w:p>
        </w:tc>
        <w:tc>
          <w:tcPr>
            <w:tcW w:w="7739" w:type="dxa"/>
          </w:tcPr>
          <w:p w14:paraId="5302C3E1" w14:textId="77777777" w:rsidR="006D0D34" w:rsidRDefault="006D0D34" w:rsidP="0090186A">
            <w:pPr>
              <w:pStyle w:val="NoSpacing"/>
            </w:pPr>
            <w:r>
              <w:t>Head of Household Dispensing</w:t>
            </w:r>
          </w:p>
        </w:tc>
      </w:tr>
      <w:tr w:rsidR="00370F23" w:rsidRPr="00012168" w14:paraId="37B302DC" w14:textId="77777777" w:rsidTr="0090186A">
        <w:tc>
          <w:tcPr>
            <w:tcW w:w="1611" w:type="dxa"/>
          </w:tcPr>
          <w:p w14:paraId="19651F8D" w14:textId="77777777" w:rsidR="00370F23" w:rsidRDefault="00370F23" w:rsidP="0090186A">
            <w:pPr>
              <w:pStyle w:val="NoSpacing"/>
            </w:pPr>
            <w:r>
              <w:t>HPP</w:t>
            </w:r>
          </w:p>
        </w:tc>
        <w:tc>
          <w:tcPr>
            <w:tcW w:w="7739" w:type="dxa"/>
          </w:tcPr>
          <w:p w14:paraId="57782868" w14:textId="77777777" w:rsidR="00370F23" w:rsidRDefault="00370F23" w:rsidP="0090186A">
            <w:pPr>
              <w:pStyle w:val="NoSpacing"/>
            </w:pPr>
            <w:r>
              <w:t>Hospital Preparedness Program</w:t>
            </w:r>
          </w:p>
        </w:tc>
      </w:tr>
      <w:tr w:rsidR="006D0D34" w:rsidRPr="00012168" w14:paraId="38E4481F" w14:textId="77777777" w:rsidTr="0090186A">
        <w:tc>
          <w:tcPr>
            <w:tcW w:w="1611" w:type="dxa"/>
          </w:tcPr>
          <w:p w14:paraId="69818D08" w14:textId="77777777" w:rsidR="006D0D34" w:rsidRDefault="006D0D34" w:rsidP="0090186A">
            <w:pPr>
              <w:pStyle w:val="NoSpacing"/>
            </w:pPr>
            <w:r>
              <w:t>HSEEP</w:t>
            </w:r>
          </w:p>
        </w:tc>
        <w:tc>
          <w:tcPr>
            <w:tcW w:w="7739" w:type="dxa"/>
          </w:tcPr>
          <w:p w14:paraId="2A0C6751" w14:textId="77777777" w:rsidR="006D0D34" w:rsidRDefault="006D0D34" w:rsidP="0090186A">
            <w:pPr>
              <w:pStyle w:val="NoSpacing"/>
            </w:pPr>
            <w:r>
              <w:t>Homeland Security Exercise &amp; Evaluation Program</w:t>
            </w:r>
          </w:p>
        </w:tc>
      </w:tr>
      <w:tr w:rsidR="006D0D34" w:rsidRPr="00012168" w14:paraId="7D41FDF0" w14:textId="77777777" w:rsidTr="0090186A">
        <w:tc>
          <w:tcPr>
            <w:tcW w:w="1611" w:type="dxa"/>
          </w:tcPr>
          <w:p w14:paraId="28AFA1DC" w14:textId="77777777" w:rsidR="006D0D34" w:rsidRDefault="006D0D34" w:rsidP="0090186A">
            <w:pPr>
              <w:pStyle w:val="NoSpacing"/>
            </w:pPr>
            <w:r>
              <w:t>HVA</w:t>
            </w:r>
          </w:p>
        </w:tc>
        <w:tc>
          <w:tcPr>
            <w:tcW w:w="7739" w:type="dxa"/>
          </w:tcPr>
          <w:p w14:paraId="74E12B2B" w14:textId="77777777" w:rsidR="006D0D34" w:rsidRDefault="006D0D34" w:rsidP="0090186A">
            <w:pPr>
              <w:pStyle w:val="NoSpacing"/>
            </w:pPr>
            <w:r>
              <w:t>Hazard Vulnerability Assessment</w:t>
            </w:r>
          </w:p>
        </w:tc>
      </w:tr>
      <w:tr w:rsidR="006D0D34" w:rsidRPr="00012168" w14:paraId="56AFBE62" w14:textId="77777777" w:rsidTr="0090186A">
        <w:tc>
          <w:tcPr>
            <w:tcW w:w="1611" w:type="dxa"/>
          </w:tcPr>
          <w:p w14:paraId="67B7E0FD" w14:textId="77777777" w:rsidR="006D0D34" w:rsidRDefault="006D0D34" w:rsidP="0090186A">
            <w:pPr>
              <w:pStyle w:val="NoSpacing"/>
            </w:pPr>
            <w:r>
              <w:t>IAP</w:t>
            </w:r>
          </w:p>
        </w:tc>
        <w:tc>
          <w:tcPr>
            <w:tcW w:w="7739" w:type="dxa"/>
          </w:tcPr>
          <w:p w14:paraId="143F2D0B" w14:textId="77777777" w:rsidR="006D0D34" w:rsidRDefault="006D0D34" w:rsidP="0090186A">
            <w:pPr>
              <w:pStyle w:val="NoSpacing"/>
            </w:pPr>
            <w:r>
              <w:t>Incident Action Plan</w:t>
            </w:r>
          </w:p>
        </w:tc>
      </w:tr>
      <w:tr w:rsidR="006D0D34" w:rsidRPr="00012168" w14:paraId="1D2B1035" w14:textId="77777777" w:rsidTr="0090186A">
        <w:tc>
          <w:tcPr>
            <w:tcW w:w="1611" w:type="dxa"/>
          </w:tcPr>
          <w:p w14:paraId="2F27A911" w14:textId="77777777" w:rsidR="006D0D34" w:rsidRDefault="006D0D34" w:rsidP="0090186A">
            <w:pPr>
              <w:pStyle w:val="NoSpacing"/>
            </w:pPr>
            <w:r>
              <w:t>ICS</w:t>
            </w:r>
          </w:p>
        </w:tc>
        <w:tc>
          <w:tcPr>
            <w:tcW w:w="7739" w:type="dxa"/>
          </w:tcPr>
          <w:p w14:paraId="1F8DC77F" w14:textId="77777777" w:rsidR="006D0D34" w:rsidRDefault="006D0D34" w:rsidP="0090186A">
            <w:pPr>
              <w:pStyle w:val="NoSpacing"/>
            </w:pPr>
            <w:r>
              <w:t>Incident Command System</w:t>
            </w:r>
          </w:p>
        </w:tc>
      </w:tr>
      <w:tr w:rsidR="006D0D34" w:rsidRPr="00012168" w14:paraId="7ABE1E9E" w14:textId="77777777" w:rsidTr="0090186A">
        <w:tc>
          <w:tcPr>
            <w:tcW w:w="1611" w:type="dxa"/>
          </w:tcPr>
          <w:p w14:paraId="18197628" w14:textId="77777777" w:rsidR="006D0D34" w:rsidRDefault="006D0D34" w:rsidP="0090186A">
            <w:pPr>
              <w:pStyle w:val="NoSpacing"/>
            </w:pPr>
            <w:r>
              <w:t>ILI</w:t>
            </w:r>
          </w:p>
        </w:tc>
        <w:tc>
          <w:tcPr>
            <w:tcW w:w="7739" w:type="dxa"/>
          </w:tcPr>
          <w:p w14:paraId="23D69926" w14:textId="77777777" w:rsidR="006D0D34" w:rsidRDefault="006D0D34" w:rsidP="0090186A">
            <w:pPr>
              <w:pStyle w:val="NoSpacing"/>
            </w:pPr>
            <w:r>
              <w:t>Influenza-Like Illness</w:t>
            </w:r>
          </w:p>
        </w:tc>
      </w:tr>
      <w:tr w:rsidR="006D0D34" w:rsidRPr="00012168" w14:paraId="105A3139" w14:textId="77777777" w:rsidTr="0090186A">
        <w:tc>
          <w:tcPr>
            <w:tcW w:w="1611" w:type="dxa"/>
          </w:tcPr>
          <w:p w14:paraId="6AA98F1A" w14:textId="77777777" w:rsidR="006D0D34" w:rsidRDefault="006D0D34" w:rsidP="0090186A">
            <w:pPr>
              <w:pStyle w:val="NoSpacing"/>
            </w:pPr>
            <w:r>
              <w:t>IMS</w:t>
            </w:r>
          </w:p>
        </w:tc>
        <w:tc>
          <w:tcPr>
            <w:tcW w:w="7739" w:type="dxa"/>
          </w:tcPr>
          <w:p w14:paraId="05E3D475" w14:textId="77777777" w:rsidR="006D0D34" w:rsidRDefault="006D0D34" w:rsidP="0090186A">
            <w:pPr>
              <w:pStyle w:val="NoSpacing"/>
            </w:pPr>
            <w:r>
              <w:t>Inventory Management System</w:t>
            </w:r>
          </w:p>
        </w:tc>
      </w:tr>
      <w:tr w:rsidR="006D0D34" w:rsidRPr="00012168" w14:paraId="2013DB8F" w14:textId="77777777" w:rsidTr="0090186A">
        <w:tc>
          <w:tcPr>
            <w:tcW w:w="1611" w:type="dxa"/>
          </w:tcPr>
          <w:p w14:paraId="6F1F0B55" w14:textId="77777777" w:rsidR="006D0D34" w:rsidRDefault="006D0D34" w:rsidP="0090186A">
            <w:pPr>
              <w:pStyle w:val="NoSpacing"/>
            </w:pPr>
            <w:r>
              <w:t>IND</w:t>
            </w:r>
          </w:p>
        </w:tc>
        <w:tc>
          <w:tcPr>
            <w:tcW w:w="7739" w:type="dxa"/>
          </w:tcPr>
          <w:p w14:paraId="15029B7E" w14:textId="77777777" w:rsidR="006D0D34" w:rsidRDefault="006D0D34" w:rsidP="0090186A">
            <w:pPr>
              <w:pStyle w:val="NoSpacing"/>
            </w:pPr>
            <w:r>
              <w:t>Investigational New Drug</w:t>
            </w:r>
          </w:p>
        </w:tc>
      </w:tr>
      <w:tr w:rsidR="006D0D34" w:rsidRPr="00012168" w14:paraId="230E5955" w14:textId="77777777" w:rsidTr="0090186A">
        <w:tc>
          <w:tcPr>
            <w:tcW w:w="1611" w:type="dxa"/>
          </w:tcPr>
          <w:p w14:paraId="34DACBED" w14:textId="77777777" w:rsidR="006D0D34" w:rsidRDefault="006D0D34" w:rsidP="0090186A">
            <w:pPr>
              <w:pStyle w:val="NoSpacing"/>
            </w:pPr>
            <w:r>
              <w:t>IT</w:t>
            </w:r>
          </w:p>
        </w:tc>
        <w:tc>
          <w:tcPr>
            <w:tcW w:w="7739" w:type="dxa"/>
          </w:tcPr>
          <w:p w14:paraId="48CE07CF" w14:textId="77777777" w:rsidR="006D0D34" w:rsidRDefault="006D0D34" w:rsidP="0090186A">
            <w:pPr>
              <w:pStyle w:val="NoSpacing"/>
            </w:pPr>
            <w:r>
              <w:t>Information Technology</w:t>
            </w:r>
          </w:p>
        </w:tc>
      </w:tr>
      <w:tr w:rsidR="006D0D34" w:rsidRPr="00012168" w14:paraId="471140BA" w14:textId="77777777" w:rsidTr="0090186A">
        <w:tc>
          <w:tcPr>
            <w:tcW w:w="1611" w:type="dxa"/>
          </w:tcPr>
          <w:p w14:paraId="7885D024" w14:textId="77777777" w:rsidR="006D0D34" w:rsidRDefault="006D0D34" w:rsidP="0090186A">
            <w:pPr>
              <w:pStyle w:val="NoSpacing"/>
            </w:pPr>
            <w:r>
              <w:t>IP</w:t>
            </w:r>
          </w:p>
        </w:tc>
        <w:tc>
          <w:tcPr>
            <w:tcW w:w="7739" w:type="dxa"/>
          </w:tcPr>
          <w:p w14:paraId="408EF31C" w14:textId="77777777" w:rsidR="006D0D34" w:rsidRDefault="006D0D34" w:rsidP="0090186A">
            <w:pPr>
              <w:pStyle w:val="NoSpacing"/>
            </w:pPr>
            <w:r>
              <w:t>Improvement Plan</w:t>
            </w:r>
          </w:p>
        </w:tc>
      </w:tr>
      <w:tr w:rsidR="006D0D34" w:rsidRPr="00012168" w14:paraId="2D1AC143" w14:textId="77777777" w:rsidTr="0090186A">
        <w:tc>
          <w:tcPr>
            <w:tcW w:w="1611" w:type="dxa"/>
          </w:tcPr>
          <w:p w14:paraId="7BED0B50" w14:textId="77777777" w:rsidR="006D0D34" w:rsidRDefault="006D0D34" w:rsidP="0090186A">
            <w:pPr>
              <w:pStyle w:val="NoSpacing"/>
            </w:pPr>
            <w:r>
              <w:t>JAS</w:t>
            </w:r>
          </w:p>
        </w:tc>
        <w:tc>
          <w:tcPr>
            <w:tcW w:w="7739" w:type="dxa"/>
          </w:tcPr>
          <w:p w14:paraId="4FD803E8" w14:textId="77777777" w:rsidR="006D0D34" w:rsidRDefault="006D0D34" w:rsidP="0090186A">
            <w:pPr>
              <w:pStyle w:val="NoSpacing"/>
            </w:pPr>
            <w:r>
              <w:t>Job Action Sheet</w:t>
            </w:r>
          </w:p>
        </w:tc>
      </w:tr>
      <w:tr w:rsidR="006D0D34" w:rsidRPr="00012168" w14:paraId="680ABE20" w14:textId="77777777" w:rsidTr="0090186A">
        <w:tc>
          <w:tcPr>
            <w:tcW w:w="1611" w:type="dxa"/>
          </w:tcPr>
          <w:p w14:paraId="7674E2FB" w14:textId="77777777" w:rsidR="006D0D34" w:rsidRDefault="006D0D34" w:rsidP="0090186A">
            <w:pPr>
              <w:pStyle w:val="NoSpacing"/>
            </w:pPr>
            <w:r>
              <w:t>JITT</w:t>
            </w:r>
          </w:p>
        </w:tc>
        <w:tc>
          <w:tcPr>
            <w:tcW w:w="7739" w:type="dxa"/>
          </w:tcPr>
          <w:p w14:paraId="7D34A77F" w14:textId="77777777" w:rsidR="006D0D34" w:rsidRDefault="006D0D34" w:rsidP="0090186A">
            <w:pPr>
              <w:pStyle w:val="NoSpacing"/>
            </w:pPr>
            <w:r>
              <w:t>Just-in-Time Training</w:t>
            </w:r>
          </w:p>
        </w:tc>
      </w:tr>
      <w:tr w:rsidR="006D0D34" w:rsidRPr="00012168" w14:paraId="68673B89" w14:textId="77777777" w:rsidTr="0090186A">
        <w:tc>
          <w:tcPr>
            <w:tcW w:w="1611" w:type="dxa"/>
          </w:tcPr>
          <w:p w14:paraId="7F2CCFBA" w14:textId="77777777" w:rsidR="006D0D34" w:rsidRDefault="006D0D34" w:rsidP="0090186A">
            <w:pPr>
              <w:pStyle w:val="NoSpacing"/>
            </w:pPr>
            <w:r>
              <w:t>LBOH</w:t>
            </w:r>
          </w:p>
        </w:tc>
        <w:tc>
          <w:tcPr>
            <w:tcW w:w="7739" w:type="dxa"/>
          </w:tcPr>
          <w:p w14:paraId="752A074E" w14:textId="77777777" w:rsidR="006D0D34" w:rsidRDefault="006D0D34" w:rsidP="0090186A">
            <w:pPr>
              <w:pStyle w:val="NoSpacing"/>
            </w:pPr>
            <w:r>
              <w:t>Local Board of Health</w:t>
            </w:r>
            <w:r w:rsidR="00FF2317">
              <w:t>/</w:t>
            </w:r>
            <w:r w:rsidR="00181454">
              <w:t>Health Department</w:t>
            </w:r>
          </w:p>
        </w:tc>
      </w:tr>
      <w:tr w:rsidR="006D0D34" w:rsidRPr="00012168" w14:paraId="7FB99F2F" w14:textId="77777777" w:rsidTr="0090186A">
        <w:tc>
          <w:tcPr>
            <w:tcW w:w="1611" w:type="dxa"/>
          </w:tcPr>
          <w:p w14:paraId="5B63EEE1" w14:textId="77777777" w:rsidR="006D0D34" w:rsidRDefault="006D0D34" w:rsidP="0090186A">
            <w:pPr>
              <w:pStyle w:val="NoSpacing"/>
            </w:pPr>
            <w:r>
              <w:t>LEOC</w:t>
            </w:r>
          </w:p>
        </w:tc>
        <w:tc>
          <w:tcPr>
            <w:tcW w:w="7739" w:type="dxa"/>
          </w:tcPr>
          <w:p w14:paraId="23D00E19" w14:textId="77777777" w:rsidR="006D0D34" w:rsidRDefault="006D0D34" w:rsidP="0090186A">
            <w:pPr>
              <w:pStyle w:val="NoSpacing"/>
            </w:pPr>
            <w:r>
              <w:t>Local Emergency Operations Center</w:t>
            </w:r>
          </w:p>
        </w:tc>
      </w:tr>
      <w:tr w:rsidR="006D0D34" w:rsidRPr="00012168" w14:paraId="6D603BA0" w14:textId="77777777" w:rsidTr="0090186A">
        <w:tc>
          <w:tcPr>
            <w:tcW w:w="1611" w:type="dxa"/>
          </w:tcPr>
          <w:p w14:paraId="0F1CC091" w14:textId="77777777" w:rsidR="006D0D34" w:rsidRDefault="006D0D34" w:rsidP="0090186A">
            <w:pPr>
              <w:pStyle w:val="NoSpacing"/>
            </w:pPr>
            <w:r>
              <w:t>LEPC</w:t>
            </w:r>
          </w:p>
        </w:tc>
        <w:tc>
          <w:tcPr>
            <w:tcW w:w="7739" w:type="dxa"/>
          </w:tcPr>
          <w:p w14:paraId="5D144321" w14:textId="77777777" w:rsidR="006D0D34" w:rsidRDefault="006D0D34" w:rsidP="0090186A">
            <w:pPr>
              <w:pStyle w:val="NoSpacing"/>
            </w:pPr>
            <w:r>
              <w:t>Local Emergency Planning Committee</w:t>
            </w:r>
          </w:p>
        </w:tc>
      </w:tr>
      <w:tr w:rsidR="006D0D34" w:rsidRPr="00012168" w14:paraId="7CAE1CB9" w14:textId="77777777" w:rsidTr="0090186A">
        <w:tc>
          <w:tcPr>
            <w:tcW w:w="1611" w:type="dxa"/>
          </w:tcPr>
          <w:p w14:paraId="1FDC65E2" w14:textId="77777777" w:rsidR="006D0D34" w:rsidRDefault="006D0D34" w:rsidP="0090186A">
            <w:pPr>
              <w:pStyle w:val="NoSpacing"/>
            </w:pPr>
            <w:r>
              <w:t>MAVEN</w:t>
            </w:r>
          </w:p>
        </w:tc>
        <w:tc>
          <w:tcPr>
            <w:tcW w:w="7739" w:type="dxa"/>
          </w:tcPr>
          <w:p w14:paraId="653D5336" w14:textId="77777777" w:rsidR="006D0D34" w:rsidRDefault="006D0D34" w:rsidP="0090186A">
            <w:pPr>
              <w:pStyle w:val="NoSpacing"/>
            </w:pPr>
            <w:r>
              <w:t>Massachusetts Virtual Epidemiologic Network</w:t>
            </w:r>
          </w:p>
        </w:tc>
      </w:tr>
      <w:tr w:rsidR="006D0D34" w:rsidRPr="00012168" w14:paraId="291ED951" w14:textId="77777777" w:rsidTr="0090186A">
        <w:tc>
          <w:tcPr>
            <w:tcW w:w="1611" w:type="dxa"/>
          </w:tcPr>
          <w:p w14:paraId="3E90EACE" w14:textId="77777777" w:rsidR="006D0D34" w:rsidRPr="00012168" w:rsidRDefault="006D0D34" w:rsidP="0090186A">
            <w:pPr>
              <w:pStyle w:val="NoSpacing"/>
            </w:pPr>
            <w:r>
              <w:t>MCM</w:t>
            </w:r>
          </w:p>
        </w:tc>
        <w:tc>
          <w:tcPr>
            <w:tcW w:w="7739" w:type="dxa"/>
          </w:tcPr>
          <w:p w14:paraId="588CB594" w14:textId="77777777" w:rsidR="006D0D34" w:rsidRPr="00012168" w:rsidRDefault="006D0D34" w:rsidP="0090186A">
            <w:pPr>
              <w:pStyle w:val="NoSpacing"/>
            </w:pPr>
            <w:r>
              <w:t>Medical Countermeasures</w:t>
            </w:r>
          </w:p>
        </w:tc>
      </w:tr>
      <w:tr w:rsidR="006D0D34" w:rsidRPr="00012168" w14:paraId="2BBB1BD9" w14:textId="77777777" w:rsidTr="0090186A">
        <w:tc>
          <w:tcPr>
            <w:tcW w:w="1611" w:type="dxa"/>
          </w:tcPr>
          <w:p w14:paraId="1F83B725" w14:textId="77777777" w:rsidR="006D0D34" w:rsidRDefault="006D0D34" w:rsidP="0090186A">
            <w:pPr>
              <w:pStyle w:val="NoSpacing"/>
            </w:pPr>
            <w:r>
              <w:t>MCM-ORR</w:t>
            </w:r>
          </w:p>
        </w:tc>
        <w:tc>
          <w:tcPr>
            <w:tcW w:w="7739" w:type="dxa"/>
          </w:tcPr>
          <w:p w14:paraId="1B15BB32" w14:textId="77777777" w:rsidR="006D0D34" w:rsidRDefault="006D0D34" w:rsidP="0090186A">
            <w:pPr>
              <w:pStyle w:val="NoSpacing"/>
            </w:pPr>
            <w:r>
              <w:t>Medical Countermeasure Operational Readiness Review</w:t>
            </w:r>
          </w:p>
        </w:tc>
      </w:tr>
      <w:tr w:rsidR="006D0D34" w:rsidRPr="00012168" w14:paraId="266CF1D4" w14:textId="77777777" w:rsidTr="0090186A">
        <w:tc>
          <w:tcPr>
            <w:tcW w:w="1611" w:type="dxa"/>
          </w:tcPr>
          <w:p w14:paraId="44280D87" w14:textId="77777777" w:rsidR="006D0D34" w:rsidRDefault="006D0D34" w:rsidP="0090186A">
            <w:pPr>
              <w:pStyle w:val="NoSpacing"/>
            </w:pPr>
            <w:r>
              <w:t>MDPH</w:t>
            </w:r>
          </w:p>
        </w:tc>
        <w:tc>
          <w:tcPr>
            <w:tcW w:w="7739" w:type="dxa"/>
          </w:tcPr>
          <w:p w14:paraId="4F9BC8A3" w14:textId="77777777" w:rsidR="006D0D34" w:rsidRDefault="006D0D34" w:rsidP="0090186A">
            <w:pPr>
              <w:pStyle w:val="NoSpacing"/>
            </w:pPr>
            <w:r>
              <w:t>Massachusetts Department of Public Health</w:t>
            </w:r>
          </w:p>
        </w:tc>
      </w:tr>
      <w:tr w:rsidR="006D0D34" w:rsidRPr="00012168" w14:paraId="5BA26E60" w14:textId="77777777" w:rsidTr="0090186A">
        <w:tc>
          <w:tcPr>
            <w:tcW w:w="1611" w:type="dxa"/>
          </w:tcPr>
          <w:p w14:paraId="3C8618F9" w14:textId="77777777" w:rsidR="006D0D34" w:rsidRDefault="006D0D34" w:rsidP="0090186A">
            <w:pPr>
              <w:pStyle w:val="NoSpacing"/>
            </w:pPr>
            <w:r>
              <w:t>MEMA</w:t>
            </w:r>
          </w:p>
        </w:tc>
        <w:tc>
          <w:tcPr>
            <w:tcW w:w="7739" w:type="dxa"/>
          </w:tcPr>
          <w:p w14:paraId="7F78E2D1" w14:textId="77777777" w:rsidR="006D0D34" w:rsidRDefault="006D0D34" w:rsidP="0090186A">
            <w:pPr>
              <w:pStyle w:val="NoSpacing"/>
            </w:pPr>
            <w:r>
              <w:t>Massachusetts Emergency Management Agency</w:t>
            </w:r>
          </w:p>
        </w:tc>
      </w:tr>
      <w:tr w:rsidR="006D0D34" w:rsidRPr="00012168" w14:paraId="013DF039" w14:textId="77777777" w:rsidTr="0090186A">
        <w:tc>
          <w:tcPr>
            <w:tcW w:w="1611" w:type="dxa"/>
          </w:tcPr>
          <w:p w14:paraId="01713BDC" w14:textId="77777777" w:rsidR="006D0D34" w:rsidRDefault="006D0D34" w:rsidP="0090186A">
            <w:pPr>
              <w:pStyle w:val="NoSpacing"/>
            </w:pPr>
            <w:r>
              <w:t>MI</w:t>
            </w:r>
          </w:p>
        </w:tc>
        <w:tc>
          <w:tcPr>
            <w:tcW w:w="7739" w:type="dxa"/>
          </w:tcPr>
          <w:p w14:paraId="7012185F" w14:textId="77777777" w:rsidR="006D0D34" w:rsidRDefault="006D0D34" w:rsidP="0090186A">
            <w:pPr>
              <w:pStyle w:val="NoSpacing"/>
            </w:pPr>
            <w:r>
              <w:t>Managed Inventory</w:t>
            </w:r>
          </w:p>
        </w:tc>
      </w:tr>
      <w:tr w:rsidR="006D0D34" w:rsidRPr="00012168" w14:paraId="09265787" w14:textId="77777777" w:rsidTr="0090186A">
        <w:tc>
          <w:tcPr>
            <w:tcW w:w="1611" w:type="dxa"/>
          </w:tcPr>
          <w:p w14:paraId="40357587" w14:textId="77777777" w:rsidR="006D0D34" w:rsidRDefault="006D0D34" w:rsidP="0090186A">
            <w:pPr>
              <w:pStyle w:val="NoSpacing"/>
            </w:pPr>
            <w:r>
              <w:t>MIIS</w:t>
            </w:r>
          </w:p>
        </w:tc>
        <w:tc>
          <w:tcPr>
            <w:tcW w:w="7739" w:type="dxa"/>
          </w:tcPr>
          <w:p w14:paraId="5DEA8612" w14:textId="77777777" w:rsidR="006D0D34" w:rsidRDefault="006D0D34" w:rsidP="0090186A">
            <w:pPr>
              <w:pStyle w:val="NoSpacing"/>
            </w:pPr>
            <w:r>
              <w:t>Massachusetts Immunization Information System</w:t>
            </w:r>
          </w:p>
        </w:tc>
      </w:tr>
      <w:tr w:rsidR="006D0D34" w:rsidRPr="00012168" w14:paraId="0E710660" w14:textId="77777777" w:rsidTr="0090186A">
        <w:tc>
          <w:tcPr>
            <w:tcW w:w="1611" w:type="dxa"/>
          </w:tcPr>
          <w:p w14:paraId="1EF89A9B" w14:textId="77777777" w:rsidR="006D0D34" w:rsidRDefault="006D0D34" w:rsidP="0090186A">
            <w:pPr>
              <w:pStyle w:val="NoSpacing"/>
            </w:pPr>
            <w:r>
              <w:t>MOU</w:t>
            </w:r>
          </w:p>
        </w:tc>
        <w:tc>
          <w:tcPr>
            <w:tcW w:w="7739" w:type="dxa"/>
          </w:tcPr>
          <w:p w14:paraId="424FE781" w14:textId="77777777" w:rsidR="006D0D34" w:rsidRDefault="006D0D34" w:rsidP="0090186A">
            <w:pPr>
              <w:pStyle w:val="NoSpacing"/>
            </w:pPr>
            <w:r>
              <w:t>Memorandum of Understanding</w:t>
            </w:r>
          </w:p>
        </w:tc>
      </w:tr>
      <w:tr w:rsidR="006D0D34" w:rsidRPr="00012168" w14:paraId="46EA87CD" w14:textId="77777777" w:rsidTr="0090186A">
        <w:tc>
          <w:tcPr>
            <w:tcW w:w="1611" w:type="dxa"/>
          </w:tcPr>
          <w:p w14:paraId="210E416E" w14:textId="77777777" w:rsidR="006D0D34" w:rsidRDefault="006D0D34" w:rsidP="0090186A">
            <w:pPr>
              <w:pStyle w:val="NoSpacing"/>
            </w:pPr>
            <w:r>
              <w:t>MRC</w:t>
            </w:r>
          </w:p>
        </w:tc>
        <w:tc>
          <w:tcPr>
            <w:tcW w:w="7739" w:type="dxa"/>
          </w:tcPr>
          <w:p w14:paraId="3AF0E769" w14:textId="77777777" w:rsidR="006D0D34" w:rsidRDefault="006D0D34" w:rsidP="0090186A">
            <w:pPr>
              <w:pStyle w:val="NoSpacing"/>
            </w:pPr>
            <w:r>
              <w:t>Medical Reserve Corps</w:t>
            </w:r>
          </w:p>
        </w:tc>
      </w:tr>
      <w:tr w:rsidR="006D0D34" w:rsidRPr="00012168" w14:paraId="395B22F9" w14:textId="77777777" w:rsidTr="0090186A">
        <w:tc>
          <w:tcPr>
            <w:tcW w:w="1611" w:type="dxa"/>
          </w:tcPr>
          <w:p w14:paraId="2E68A974" w14:textId="77777777" w:rsidR="006D0D34" w:rsidRDefault="006D0D34" w:rsidP="0090186A">
            <w:pPr>
              <w:pStyle w:val="NoSpacing"/>
            </w:pPr>
            <w:r>
              <w:t>MYTEP</w:t>
            </w:r>
          </w:p>
        </w:tc>
        <w:tc>
          <w:tcPr>
            <w:tcW w:w="7739" w:type="dxa"/>
          </w:tcPr>
          <w:p w14:paraId="003982CA" w14:textId="77777777" w:rsidR="006D0D34" w:rsidRDefault="006D0D34" w:rsidP="0090186A">
            <w:pPr>
              <w:pStyle w:val="NoSpacing"/>
            </w:pPr>
            <w:r>
              <w:t>Multi-Year Training &amp; Exercise Plan</w:t>
            </w:r>
          </w:p>
        </w:tc>
      </w:tr>
      <w:tr w:rsidR="006D0D34" w:rsidRPr="00012168" w14:paraId="36FA9628" w14:textId="77777777" w:rsidTr="0090186A">
        <w:tc>
          <w:tcPr>
            <w:tcW w:w="1611" w:type="dxa"/>
          </w:tcPr>
          <w:p w14:paraId="78598F02" w14:textId="77777777" w:rsidR="006D0D34" w:rsidRDefault="006D0D34" w:rsidP="0090186A">
            <w:pPr>
              <w:pStyle w:val="NoSpacing"/>
            </w:pPr>
            <w:r>
              <w:t>NAPH</w:t>
            </w:r>
          </w:p>
        </w:tc>
        <w:tc>
          <w:tcPr>
            <w:tcW w:w="7739" w:type="dxa"/>
          </w:tcPr>
          <w:p w14:paraId="1ED0452D" w14:textId="77777777" w:rsidR="006D0D34" w:rsidRDefault="006D0D34" w:rsidP="0090186A">
            <w:pPr>
              <w:pStyle w:val="NoSpacing"/>
            </w:pPr>
            <w:r>
              <w:t>Name, Address, Personal History Form</w:t>
            </w:r>
          </w:p>
        </w:tc>
      </w:tr>
      <w:tr w:rsidR="006D0D34" w:rsidRPr="00012168" w14:paraId="2A187609" w14:textId="77777777" w:rsidTr="0090186A">
        <w:tc>
          <w:tcPr>
            <w:tcW w:w="1611" w:type="dxa"/>
          </w:tcPr>
          <w:p w14:paraId="465F48F5" w14:textId="77777777" w:rsidR="006D0D34" w:rsidRDefault="006D0D34" w:rsidP="0090186A">
            <w:pPr>
              <w:pStyle w:val="NoSpacing"/>
            </w:pPr>
            <w:r>
              <w:t>NDC</w:t>
            </w:r>
          </w:p>
        </w:tc>
        <w:tc>
          <w:tcPr>
            <w:tcW w:w="7739" w:type="dxa"/>
          </w:tcPr>
          <w:p w14:paraId="507EC355" w14:textId="77777777" w:rsidR="006D0D34" w:rsidRDefault="006D0D34" w:rsidP="0090186A">
            <w:pPr>
              <w:pStyle w:val="NoSpacing"/>
            </w:pPr>
            <w:r>
              <w:t>National Drug Code</w:t>
            </w:r>
          </w:p>
        </w:tc>
      </w:tr>
      <w:tr w:rsidR="006D0D34" w:rsidRPr="00012168" w14:paraId="3B1DE6B4" w14:textId="77777777" w:rsidTr="0090186A">
        <w:tc>
          <w:tcPr>
            <w:tcW w:w="1611" w:type="dxa"/>
          </w:tcPr>
          <w:p w14:paraId="07750F2A" w14:textId="77777777" w:rsidR="006D0D34" w:rsidRDefault="006D0D34" w:rsidP="0090186A">
            <w:pPr>
              <w:pStyle w:val="NoSpacing"/>
            </w:pPr>
            <w:r>
              <w:t>NIMS</w:t>
            </w:r>
          </w:p>
        </w:tc>
        <w:tc>
          <w:tcPr>
            <w:tcW w:w="7739" w:type="dxa"/>
          </w:tcPr>
          <w:p w14:paraId="30D37435" w14:textId="77777777" w:rsidR="006D0D34" w:rsidRDefault="006D0D34" w:rsidP="0090186A">
            <w:pPr>
              <w:pStyle w:val="NoSpacing"/>
            </w:pPr>
            <w:r>
              <w:t>National Incident Management System</w:t>
            </w:r>
          </w:p>
        </w:tc>
      </w:tr>
      <w:tr w:rsidR="006D0D34" w:rsidRPr="00012168" w14:paraId="1FF2905D" w14:textId="77777777" w:rsidTr="0090186A">
        <w:tc>
          <w:tcPr>
            <w:tcW w:w="1611" w:type="dxa"/>
          </w:tcPr>
          <w:p w14:paraId="05284BE1" w14:textId="77777777" w:rsidR="006D0D34" w:rsidRDefault="006D0D34" w:rsidP="0090186A">
            <w:pPr>
              <w:pStyle w:val="NoSpacing"/>
            </w:pPr>
            <w:r>
              <w:t>NSSP</w:t>
            </w:r>
          </w:p>
        </w:tc>
        <w:tc>
          <w:tcPr>
            <w:tcW w:w="7739" w:type="dxa"/>
          </w:tcPr>
          <w:p w14:paraId="75F3AAF6" w14:textId="77777777" w:rsidR="006D0D34" w:rsidRDefault="006D0D34" w:rsidP="0090186A">
            <w:pPr>
              <w:pStyle w:val="NoSpacing"/>
            </w:pPr>
            <w:r>
              <w:t>National Syndromic Surveillance Program</w:t>
            </w:r>
          </w:p>
        </w:tc>
      </w:tr>
      <w:tr w:rsidR="006D0D34" w:rsidRPr="00012168" w14:paraId="4266D04A" w14:textId="77777777" w:rsidTr="0090186A">
        <w:tc>
          <w:tcPr>
            <w:tcW w:w="1611" w:type="dxa"/>
          </w:tcPr>
          <w:p w14:paraId="3798EFF7" w14:textId="77777777" w:rsidR="006D0D34" w:rsidRDefault="006D0D34" w:rsidP="0090186A">
            <w:pPr>
              <w:pStyle w:val="NoSpacing"/>
            </w:pPr>
            <w:r>
              <w:t>OPEM</w:t>
            </w:r>
          </w:p>
        </w:tc>
        <w:tc>
          <w:tcPr>
            <w:tcW w:w="7739" w:type="dxa"/>
          </w:tcPr>
          <w:p w14:paraId="013AA8B5" w14:textId="77777777" w:rsidR="006D0D34" w:rsidRDefault="006D0D34" w:rsidP="0090186A">
            <w:pPr>
              <w:pStyle w:val="NoSpacing"/>
            </w:pPr>
            <w:r>
              <w:t>Office of Preparedness &amp; Emergency Management (MDPH)</w:t>
            </w:r>
          </w:p>
        </w:tc>
      </w:tr>
      <w:tr w:rsidR="006D0D34" w:rsidRPr="00012168" w14:paraId="1348AA5D" w14:textId="77777777" w:rsidTr="0090186A">
        <w:tc>
          <w:tcPr>
            <w:tcW w:w="1611" w:type="dxa"/>
          </w:tcPr>
          <w:p w14:paraId="7D518AFC" w14:textId="77777777" w:rsidR="006D0D34" w:rsidRDefault="006D0D34" w:rsidP="0090186A">
            <w:pPr>
              <w:pStyle w:val="NoSpacing"/>
            </w:pPr>
            <w:r>
              <w:t>PCA</w:t>
            </w:r>
          </w:p>
        </w:tc>
        <w:tc>
          <w:tcPr>
            <w:tcW w:w="7739" w:type="dxa"/>
          </w:tcPr>
          <w:p w14:paraId="3C4DE4A0" w14:textId="77777777" w:rsidR="006D0D34" w:rsidRDefault="006D0D34" w:rsidP="0090186A">
            <w:pPr>
              <w:pStyle w:val="NoSpacing"/>
            </w:pPr>
            <w:r>
              <w:t>Personal Care Attendant</w:t>
            </w:r>
          </w:p>
        </w:tc>
      </w:tr>
      <w:tr w:rsidR="006D0D34" w:rsidRPr="00012168" w14:paraId="67F081E9" w14:textId="77777777" w:rsidTr="0090186A">
        <w:tc>
          <w:tcPr>
            <w:tcW w:w="1611" w:type="dxa"/>
          </w:tcPr>
          <w:p w14:paraId="65BC7C43" w14:textId="77777777" w:rsidR="006D0D34" w:rsidRDefault="006D0D34" w:rsidP="0090186A">
            <w:pPr>
              <w:pStyle w:val="NoSpacing"/>
            </w:pPr>
            <w:r>
              <w:t>PHEP</w:t>
            </w:r>
          </w:p>
        </w:tc>
        <w:tc>
          <w:tcPr>
            <w:tcW w:w="7739" w:type="dxa"/>
          </w:tcPr>
          <w:p w14:paraId="0AF80550" w14:textId="77777777" w:rsidR="006D0D34" w:rsidRDefault="006D0D34" w:rsidP="0090186A">
            <w:pPr>
              <w:pStyle w:val="NoSpacing"/>
            </w:pPr>
            <w:r>
              <w:t>Public Health Emergency Preparedness</w:t>
            </w:r>
          </w:p>
        </w:tc>
      </w:tr>
      <w:tr w:rsidR="006D0D34" w:rsidRPr="00012168" w14:paraId="104F2450" w14:textId="77777777" w:rsidTr="0090186A">
        <w:tc>
          <w:tcPr>
            <w:tcW w:w="1611" w:type="dxa"/>
          </w:tcPr>
          <w:p w14:paraId="10B4BC29" w14:textId="77777777" w:rsidR="006D0D34" w:rsidRDefault="006D0D34" w:rsidP="0090186A">
            <w:pPr>
              <w:pStyle w:val="NoSpacing"/>
            </w:pPr>
            <w:r>
              <w:t>PIO</w:t>
            </w:r>
          </w:p>
        </w:tc>
        <w:tc>
          <w:tcPr>
            <w:tcW w:w="7739" w:type="dxa"/>
          </w:tcPr>
          <w:p w14:paraId="00A335AF" w14:textId="77777777" w:rsidR="006D0D34" w:rsidRDefault="006D0D34" w:rsidP="0090186A">
            <w:pPr>
              <w:pStyle w:val="NoSpacing"/>
            </w:pPr>
            <w:r>
              <w:t>Public Information Officer</w:t>
            </w:r>
          </w:p>
        </w:tc>
      </w:tr>
      <w:tr w:rsidR="006D0D34" w:rsidRPr="00012168" w14:paraId="6962CBAE" w14:textId="77777777" w:rsidTr="0090186A">
        <w:tc>
          <w:tcPr>
            <w:tcW w:w="1611" w:type="dxa"/>
          </w:tcPr>
          <w:p w14:paraId="4730CB35" w14:textId="77777777" w:rsidR="006D0D34" w:rsidRDefault="006D0D34" w:rsidP="0090186A">
            <w:pPr>
              <w:pStyle w:val="NoSpacing"/>
            </w:pPr>
            <w:r>
              <w:t>PPE</w:t>
            </w:r>
          </w:p>
        </w:tc>
        <w:tc>
          <w:tcPr>
            <w:tcW w:w="7739" w:type="dxa"/>
          </w:tcPr>
          <w:p w14:paraId="35F093CC" w14:textId="77777777" w:rsidR="006D0D34" w:rsidRDefault="006D0D34" w:rsidP="0090186A">
            <w:pPr>
              <w:pStyle w:val="NoSpacing"/>
            </w:pPr>
            <w:r>
              <w:t>Personal Protective Equipment</w:t>
            </w:r>
          </w:p>
        </w:tc>
      </w:tr>
      <w:tr w:rsidR="006D0D34" w:rsidRPr="00012168" w14:paraId="1C47CEAE" w14:textId="77777777" w:rsidTr="0090186A">
        <w:tc>
          <w:tcPr>
            <w:tcW w:w="1611" w:type="dxa"/>
          </w:tcPr>
          <w:p w14:paraId="0E2CB27F" w14:textId="77777777" w:rsidR="006D0D34" w:rsidRDefault="006D0D34" w:rsidP="0090186A">
            <w:pPr>
              <w:pStyle w:val="NoSpacing"/>
            </w:pPr>
            <w:r>
              <w:t>RSS</w:t>
            </w:r>
          </w:p>
        </w:tc>
        <w:tc>
          <w:tcPr>
            <w:tcW w:w="7739" w:type="dxa"/>
          </w:tcPr>
          <w:p w14:paraId="63C87545" w14:textId="77777777" w:rsidR="006D0D34" w:rsidRDefault="006D0D34" w:rsidP="0090186A">
            <w:pPr>
              <w:pStyle w:val="NoSpacing"/>
            </w:pPr>
            <w:r>
              <w:t>Receive, Stage &amp; Store</w:t>
            </w:r>
          </w:p>
        </w:tc>
      </w:tr>
      <w:tr w:rsidR="006D0D34" w:rsidRPr="00012168" w14:paraId="5B4142FE" w14:textId="77777777" w:rsidTr="0090186A">
        <w:tc>
          <w:tcPr>
            <w:tcW w:w="1611" w:type="dxa"/>
          </w:tcPr>
          <w:p w14:paraId="09D0B14C" w14:textId="77777777" w:rsidR="006D0D34" w:rsidRDefault="006D0D34" w:rsidP="0090186A">
            <w:pPr>
              <w:pStyle w:val="NoSpacing"/>
            </w:pPr>
            <w:r>
              <w:t>SEOC</w:t>
            </w:r>
          </w:p>
        </w:tc>
        <w:tc>
          <w:tcPr>
            <w:tcW w:w="7739" w:type="dxa"/>
          </w:tcPr>
          <w:p w14:paraId="262E5A0C" w14:textId="77777777" w:rsidR="006D0D34" w:rsidRDefault="006D0D34" w:rsidP="0090186A">
            <w:pPr>
              <w:pStyle w:val="NoSpacing"/>
            </w:pPr>
            <w:r>
              <w:t>State Emergency Operations Center</w:t>
            </w:r>
          </w:p>
        </w:tc>
      </w:tr>
      <w:tr w:rsidR="006D0D34" w:rsidRPr="00012168" w14:paraId="1C08235E" w14:textId="77777777" w:rsidTr="0090186A">
        <w:tc>
          <w:tcPr>
            <w:tcW w:w="1611" w:type="dxa"/>
          </w:tcPr>
          <w:p w14:paraId="71B3F2CC" w14:textId="77777777" w:rsidR="006D0D34" w:rsidRDefault="006D0D34" w:rsidP="0090186A">
            <w:pPr>
              <w:pStyle w:val="NoSpacing"/>
            </w:pPr>
            <w:r>
              <w:t>SME</w:t>
            </w:r>
          </w:p>
        </w:tc>
        <w:tc>
          <w:tcPr>
            <w:tcW w:w="7739" w:type="dxa"/>
          </w:tcPr>
          <w:p w14:paraId="1F7664DD" w14:textId="77777777" w:rsidR="006D0D34" w:rsidRDefault="006D0D34" w:rsidP="0090186A">
            <w:pPr>
              <w:pStyle w:val="NoSpacing"/>
            </w:pPr>
            <w:r>
              <w:t>Subject Matter Expert</w:t>
            </w:r>
          </w:p>
        </w:tc>
      </w:tr>
      <w:tr w:rsidR="006D0D34" w:rsidRPr="00012168" w14:paraId="1A0549FF" w14:textId="77777777" w:rsidTr="0090186A">
        <w:tc>
          <w:tcPr>
            <w:tcW w:w="1611" w:type="dxa"/>
          </w:tcPr>
          <w:p w14:paraId="7F417FA6" w14:textId="77777777" w:rsidR="006D0D34" w:rsidRDefault="006D0D34" w:rsidP="0090186A">
            <w:pPr>
              <w:pStyle w:val="NoSpacing"/>
            </w:pPr>
            <w:r>
              <w:t>SNS</w:t>
            </w:r>
          </w:p>
        </w:tc>
        <w:tc>
          <w:tcPr>
            <w:tcW w:w="7739" w:type="dxa"/>
          </w:tcPr>
          <w:p w14:paraId="0ECAED7B" w14:textId="77777777" w:rsidR="006D0D34" w:rsidRDefault="006D0D34" w:rsidP="0090186A">
            <w:pPr>
              <w:pStyle w:val="NoSpacing"/>
            </w:pPr>
            <w:r>
              <w:t>Strategic National Stockpile</w:t>
            </w:r>
          </w:p>
        </w:tc>
      </w:tr>
      <w:tr w:rsidR="006D0D34" w:rsidRPr="00012168" w14:paraId="2A50738D" w14:textId="77777777" w:rsidTr="0090186A">
        <w:tc>
          <w:tcPr>
            <w:tcW w:w="1611" w:type="dxa"/>
          </w:tcPr>
          <w:p w14:paraId="57F48BF5" w14:textId="77777777" w:rsidR="006D0D34" w:rsidRDefault="006D0D34" w:rsidP="0090186A">
            <w:pPr>
              <w:pStyle w:val="NoSpacing"/>
            </w:pPr>
            <w:r>
              <w:t>USPS</w:t>
            </w:r>
          </w:p>
        </w:tc>
        <w:tc>
          <w:tcPr>
            <w:tcW w:w="7739" w:type="dxa"/>
          </w:tcPr>
          <w:p w14:paraId="5BAA2B6A" w14:textId="77777777" w:rsidR="006D0D34" w:rsidRDefault="006D0D34" w:rsidP="0090186A">
            <w:pPr>
              <w:pStyle w:val="NoSpacing"/>
            </w:pPr>
            <w:r>
              <w:t>United States Postal Service</w:t>
            </w:r>
          </w:p>
        </w:tc>
      </w:tr>
      <w:tr w:rsidR="006D0D34" w:rsidRPr="00012168" w14:paraId="10C0BDD6" w14:textId="77777777" w:rsidTr="0090186A">
        <w:tc>
          <w:tcPr>
            <w:tcW w:w="1611" w:type="dxa"/>
          </w:tcPr>
          <w:p w14:paraId="6B6DAD3B" w14:textId="77777777" w:rsidR="006D0D34" w:rsidRDefault="006D0D34" w:rsidP="0090186A">
            <w:pPr>
              <w:pStyle w:val="NoSpacing"/>
            </w:pPr>
            <w:r>
              <w:t>VAERS</w:t>
            </w:r>
          </w:p>
        </w:tc>
        <w:tc>
          <w:tcPr>
            <w:tcW w:w="7739" w:type="dxa"/>
          </w:tcPr>
          <w:p w14:paraId="699B956F" w14:textId="77777777" w:rsidR="006D0D34" w:rsidRDefault="006D0D34" w:rsidP="0090186A">
            <w:pPr>
              <w:pStyle w:val="NoSpacing"/>
            </w:pPr>
            <w:r>
              <w:t>Vaccine Adverse Event Reporting System</w:t>
            </w:r>
          </w:p>
        </w:tc>
      </w:tr>
      <w:tr w:rsidR="006D0D34" w:rsidRPr="00012168" w14:paraId="444FB5D4" w14:textId="77777777" w:rsidTr="0090186A">
        <w:tc>
          <w:tcPr>
            <w:tcW w:w="1611" w:type="dxa"/>
          </w:tcPr>
          <w:p w14:paraId="4D3F6D8B" w14:textId="77777777" w:rsidR="006D0D34" w:rsidRDefault="006D0D34" w:rsidP="0090186A">
            <w:pPr>
              <w:pStyle w:val="NoSpacing"/>
            </w:pPr>
            <w:r>
              <w:t>VNA</w:t>
            </w:r>
          </w:p>
        </w:tc>
        <w:tc>
          <w:tcPr>
            <w:tcW w:w="7739" w:type="dxa"/>
          </w:tcPr>
          <w:p w14:paraId="155A4D2F" w14:textId="77777777" w:rsidR="006D0D34" w:rsidRDefault="006D0D34" w:rsidP="0090186A">
            <w:pPr>
              <w:pStyle w:val="NoSpacing"/>
            </w:pPr>
            <w:r>
              <w:t>Visiting Nurse Association</w:t>
            </w:r>
          </w:p>
        </w:tc>
      </w:tr>
      <w:tr w:rsidR="006D0D34" w:rsidRPr="00012168" w14:paraId="0C7DC4B2" w14:textId="77777777" w:rsidTr="0090186A">
        <w:tc>
          <w:tcPr>
            <w:tcW w:w="1611" w:type="dxa"/>
          </w:tcPr>
          <w:p w14:paraId="40FF50DF" w14:textId="77777777" w:rsidR="006D0D34" w:rsidRDefault="006D0D34" w:rsidP="0090186A">
            <w:pPr>
              <w:pStyle w:val="NoSpacing"/>
            </w:pPr>
            <w:r>
              <w:t>WHO</w:t>
            </w:r>
          </w:p>
        </w:tc>
        <w:tc>
          <w:tcPr>
            <w:tcW w:w="7739" w:type="dxa"/>
          </w:tcPr>
          <w:p w14:paraId="1DCE4019" w14:textId="77777777" w:rsidR="006D0D34" w:rsidRDefault="006D0D34" w:rsidP="0090186A">
            <w:pPr>
              <w:pStyle w:val="NoSpacing"/>
            </w:pPr>
            <w:r>
              <w:t>World Health Organization</w:t>
            </w:r>
          </w:p>
        </w:tc>
      </w:tr>
    </w:tbl>
    <w:p w14:paraId="4FEF8A53" w14:textId="77777777" w:rsidR="006D0D34" w:rsidRPr="000E7995" w:rsidRDefault="006D0D34" w:rsidP="006D0D34">
      <w:pPr>
        <w:tabs>
          <w:tab w:val="left" w:pos="3132"/>
        </w:tabs>
      </w:pPr>
      <w:r>
        <w:tab/>
      </w:r>
    </w:p>
    <w:p w14:paraId="339A6BB1" w14:textId="77777777" w:rsidR="00592CA7" w:rsidRDefault="00592CA7" w:rsidP="006D0D34">
      <w:pPr>
        <w:sectPr w:rsidR="00592CA7" w:rsidSect="00195543">
          <w:footerReference w:type="default" r:id="rId67"/>
          <w:pgSz w:w="12240" w:h="15840"/>
          <w:pgMar w:top="1440" w:right="1440" w:bottom="1440" w:left="1080" w:header="720" w:footer="720" w:gutter="0"/>
          <w:cols w:space="720"/>
          <w:docGrid w:linePitch="360"/>
        </w:sectPr>
      </w:pPr>
    </w:p>
    <w:p w14:paraId="46224176" w14:textId="77777777" w:rsidR="006F522E" w:rsidRPr="0090186A" w:rsidRDefault="006F522E" w:rsidP="00225FAB">
      <w:pPr>
        <w:pStyle w:val="Heading1"/>
        <w:spacing w:before="120"/>
        <w:rPr>
          <w:color w:val="ED7D31" w:themeColor="accent2"/>
        </w:rPr>
      </w:pPr>
      <w:bookmarkStart w:id="249" w:name="_Toc11832823"/>
      <w:r>
        <w:rPr>
          <w:color w:val="ED7D31" w:themeColor="accent2"/>
        </w:rPr>
        <w:t>RESOURCES</w:t>
      </w:r>
      <w:bookmarkEnd w:id="249"/>
    </w:p>
    <w:p w14:paraId="2CEBCA50" w14:textId="4A0DD2DB" w:rsidR="00FF2039" w:rsidRPr="00F60EC2" w:rsidRDefault="00FF2039" w:rsidP="00225FAB">
      <w:pPr>
        <w:pStyle w:val="Heading2"/>
        <w:spacing w:after="120"/>
      </w:pPr>
      <w:bookmarkStart w:id="250" w:name="_Planning_Considerations_for_2"/>
      <w:bookmarkStart w:id="251" w:name="_Toc11832824"/>
      <w:bookmarkEnd w:id="250"/>
      <w:r>
        <w:t xml:space="preserve">Planning Considerations for Local Public Health </w:t>
      </w:r>
      <w:r w:rsidRPr="006351C2">
        <w:t>Relative to Priority Prophylaxis for Responders and Critical Infrastructure Staff</w:t>
      </w:r>
      <w:bookmarkEnd w:id="251"/>
    </w:p>
    <w:p w14:paraId="6CBD348E" w14:textId="77777777" w:rsidR="00FF2039" w:rsidRPr="004B4795" w:rsidRDefault="00FF2039" w:rsidP="00FF2039">
      <w:pPr>
        <w:rPr>
          <w:b/>
        </w:rPr>
      </w:pPr>
      <w:r w:rsidRPr="004B4795">
        <w:rPr>
          <w:b/>
        </w:rPr>
        <w:t>Purpose:</w:t>
      </w:r>
    </w:p>
    <w:p w14:paraId="64CDC796" w14:textId="5489C6A0" w:rsidR="00FF2039" w:rsidRPr="00225FAB" w:rsidRDefault="00FF2039" w:rsidP="00FF2039">
      <w:r>
        <w:t>The purpose of this document is to provide “priority prophylaxis”</w:t>
      </w:r>
      <w:r w:rsidRPr="00524BE5">
        <w:t xml:space="preserve"> </w:t>
      </w:r>
      <w:r>
        <w:t>guidance, and what information is advisable to consider within local EDS plans.  This information is intended to complement, not supersede, other items within the guidance document.</w:t>
      </w:r>
      <w:r w:rsidRPr="007C3C32">
        <w:rPr>
          <w:b/>
        </w:rPr>
        <w:t xml:space="preserve"> </w:t>
      </w:r>
      <w:r>
        <w:t xml:space="preserve">The key element of priority prophylaxis is providing the right medicine to those who need to perform a role in support of the EDS mission. Priority prophylaxis allows for dispensing or vaccinating a key group of individuals prior to beginning EDS operations in a public health event.  This is done to protect the workforce who will be supporting EDS operations. When considering priority prophylaxis for responders and critical infrastructure staff your EDS plan should include: </w:t>
      </w:r>
    </w:p>
    <w:p w14:paraId="456EA45A" w14:textId="77777777" w:rsidR="00FF2039" w:rsidRDefault="00FF2039" w:rsidP="00225FAB">
      <w:pPr>
        <w:pStyle w:val="ListParagraph"/>
        <w:numPr>
          <w:ilvl w:val="0"/>
          <w:numId w:val="97"/>
        </w:numPr>
        <w:spacing w:before="120" w:after="0" w:line="240" w:lineRule="auto"/>
        <w:ind w:left="360"/>
      </w:pPr>
      <w:r>
        <w:t xml:space="preserve">A list of pre-identified responders.  "Responders”, may not be what is traditionally thought of as </w:t>
      </w:r>
      <w:r w:rsidRPr="00EF7A76">
        <w:rPr>
          <w:i/>
        </w:rPr>
        <w:t>first</w:t>
      </w:r>
      <w:r>
        <w:t xml:space="preserve"> responders, but are the essential personnel who will support a variety of EDS functions during a public health event. This may include but are not limited to:</w:t>
      </w:r>
    </w:p>
    <w:p w14:paraId="40A3E8E3" w14:textId="77777777" w:rsidR="00FF2039" w:rsidRDefault="00FF2039" w:rsidP="00FF2039">
      <w:pPr>
        <w:pStyle w:val="ListParagraph"/>
        <w:numPr>
          <w:ilvl w:val="1"/>
          <w:numId w:val="97"/>
        </w:numPr>
        <w:spacing w:after="0" w:line="240" w:lineRule="auto"/>
        <w:ind w:left="1080"/>
      </w:pPr>
      <w:r>
        <w:t>Volunteers/MRC Units</w:t>
      </w:r>
    </w:p>
    <w:p w14:paraId="6B2A1E49" w14:textId="77777777" w:rsidR="00FF2039" w:rsidRDefault="00FF2039" w:rsidP="00FF2039">
      <w:pPr>
        <w:pStyle w:val="ListParagraph"/>
        <w:numPr>
          <w:ilvl w:val="1"/>
          <w:numId w:val="97"/>
        </w:numPr>
        <w:spacing w:after="0" w:line="240" w:lineRule="auto"/>
        <w:ind w:left="1080"/>
      </w:pPr>
      <w:r>
        <w:t>Board of Health staff</w:t>
      </w:r>
    </w:p>
    <w:p w14:paraId="49D8BDD8" w14:textId="77777777" w:rsidR="00FF2039" w:rsidRDefault="00FF2039" w:rsidP="00FF2039">
      <w:pPr>
        <w:pStyle w:val="ListParagraph"/>
        <w:numPr>
          <w:ilvl w:val="1"/>
          <w:numId w:val="97"/>
        </w:numPr>
        <w:spacing w:after="0" w:line="240" w:lineRule="auto"/>
        <w:ind w:left="1080"/>
      </w:pPr>
      <w:r>
        <w:t>Local Government Officials</w:t>
      </w:r>
    </w:p>
    <w:p w14:paraId="1AF7F3E4" w14:textId="77777777" w:rsidR="00FF2039" w:rsidRDefault="00FF2039" w:rsidP="00FF2039">
      <w:pPr>
        <w:pStyle w:val="ListParagraph"/>
        <w:numPr>
          <w:ilvl w:val="1"/>
          <w:numId w:val="97"/>
        </w:numPr>
        <w:spacing w:after="0" w:line="240" w:lineRule="auto"/>
        <w:ind w:left="1080"/>
      </w:pPr>
      <w:r>
        <w:t xml:space="preserve">Law Enforcement </w:t>
      </w:r>
    </w:p>
    <w:p w14:paraId="3554454D" w14:textId="77777777" w:rsidR="00FF2039" w:rsidRDefault="00FF2039" w:rsidP="00FF2039">
      <w:pPr>
        <w:pStyle w:val="ListParagraph"/>
        <w:numPr>
          <w:ilvl w:val="1"/>
          <w:numId w:val="97"/>
        </w:numPr>
        <w:spacing w:after="0" w:line="240" w:lineRule="auto"/>
        <w:ind w:left="1080"/>
      </w:pPr>
      <w:r>
        <w:t>Emergency Medical Services</w:t>
      </w:r>
    </w:p>
    <w:p w14:paraId="7CF35BC8" w14:textId="77777777" w:rsidR="00FF2039" w:rsidRDefault="00FF2039" w:rsidP="00FF2039">
      <w:pPr>
        <w:pStyle w:val="ListParagraph"/>
        <w:numPr>
          <w:ilvl w:val="1"/>
          <w:numId w:val="97"/>
        </w:numPr>
        <w:spacing w:after="0" w:line="240" w:lineRule="auto"/>
        <w:ind w:left="1080"/>
      </w:pPr>
      <w:r>
        <w:t>Fire/Emergency Management</w:t>
      </w:r>
    </w:p>
    <w:p w14:paraId="1F150C6E" w14:textId="77777777" w:rsidR="00FF2039" w:rsidRDefault="00FF2039" w:rsidP="00FF2039">
      <w:pPr>
        <w:pStyle w:val="ListParagraph"/>
        <w:numPr>
          <w:ilvl w:val="1"/>
          <w:numId w:val="97"/>
        </w:numPr>
        <w:spacing w:after="0" w:line="240" w:lineRule="auto"/>
        <w:ind w:left="1080"/>
      </w:pPr>
      <w:r>
        <w:t>Department of Public Works</w:t>
      </w:r>
    </w:p>
    <w:p w14:paraId="34105FF1" w14:textId="2E3579AE" w:rsidR="00FF2039" w:rsidRPr="00F60EC2" w:rsidRDefault="00FF2039" w:rsidP="00225FAB">
      <w:pPr>
        <w:pStyle w:val="ListParagraph"/>
        <w:numPr>
          <w:ilvl w:val="1"/>
          <w:numId w:val="97"/>
        </w:numPr>
        <w:spacing w:after="0" w:line="240" w:lineRule="auto"/>
        <w:ind w:left="1080"/>
      </w:pPr>
      <w:r>
        <w:t>Others unique to your plan or community</w:t>
      </w:r>
    </w:p>
    <w:p w14:paraId="733D5F43" w14:textId="77777777" w:rsidR="00FF2039" w:rsidRDefault="00FF2039" w:rsidP="00225FAB">
      <w:pPr>
        <w:pStyle w:val="ListParagraph"/>
        <w:numPr>
          <w:ilvl w:val="0"/>
          <w:numId w:val="97"/>
        </w:numPr>
        <w:spacing w:before="120" w:after="0" w:line="240" w:lineRule="auto"/>
        <w:ind w:left="360"/>
        <w:contextualSpacing w:val="0"/>
      </w:pPr>
      <w:r>
        <w:t>A list of facilities</w:t>
      </w:r>
      <w:r w:rsidRPr="00E57A9B">
        <w:t xml:space="preserve"> </w:t>
      </w:r>
      <w:r>
        <w:t>and systems that would be needed to ensure the continuity of operations for the city or town (e.g. communications, transportation, etc.). These are considered “critical infrastructure staff” (CIS) and may include:</w:t>
      </w:r>
    </w:p>
    <w:p w14:paraId="147C8ED2" w14:textId="77777777" w:rsidR="00FF2039" w:rsidRDefault="00FF2039" w:rsidP="00FF2039">
      <w:pPr>
        <w:pStyle w:val="ListParagraph"/>
        <w:numPr>
          <w:ilvl w:val="1"/>
          <w:numId w:val="97"/>
        </w:numPr>
        <w:spacing w:after="0" w:line="240" w:lineRule="auto"/>
        <w:ind w:left="1080"/>
      </w:pPr>
      <w:r>
        <w:t>Utilities</w:t>
      </w:r>
    </w:p>
    <w:p w14:paraId="097FBCF9" w14:textId="77777777" w:rsidR="00FF2039" w:rsidRDefault="00FF2039" w:rsidP="00FF2039">
      <w:pPr>
        <w:pStyle w:val="ListParagraph"/>
        <w:numPr>
          <w:ilvl w:val="1"/>
          <w:numId w:val="97"/>
        </w:numPr>
        <w:spacing w:after="0" w:line="240" w:lineRule="auto"/>
        <w:ind w:left="1080"/>
      </w:pPr>
      <w:r>
        <w:t>Communications</w:t>
      </w:r>
    </w:p>
    <w:p w14:paraId="04815628" w14:textId="77777777" w:rsidR="00FF2039" w:rsidRDefault="00FF2039" w:rsidP="00FF2039">
      <w:pPr>
        <w:pStyle w:val="ListParagraph"/>
        <w:numPr>
          <w:ilvl w:val="1"/>
          <w:numId w:val="97"/>
        </w:numPr>
        <w:spacing w:after="0" w:line="240" w:lineRule="auto"/>
        <w:ind w:left="1080"/>
      </w:pPr>
      <w:r>
        <w:t>Transportation companies (public transportation or if providing shuttle service to EDS)</w:t>
      </w:r>
    </w:p>
    <w:p w14:paraId="66851773" w14:textId="448A618F" w:rsidR="00FF2039" w:rsidRPr="00F60EC2" w:rsidRDefault="00FF2039" w:rsidP="00225FAB">
      <w:pPr>
        <w:pStyle w:val="ListParagraph"/>
        <w:numPr>
          <w:ilvl w:val="1"/>
          <w:numId w:val="97"/>
        </w:numPr>
        <w:spacing w:after="0" w:line="240" w:lineRule="auto"/>
        <w:ind w:left="1080"/>
      </w:pPr>
      <w:r>
        <w:t>Others unique to your plan or community</w:t>
      </w:r>
    </w:p>
    <w:p w14:paraId="58958D72" w14:textId="4FDD0026" w:rsidR="00FF2039" w:rsidRPr="00F60EC2" w:rsidRDefault="00FF2039" w:rsidP="00225FAB">
      <w:pPr>
        <w:pStyle w:val="ListParagraph"/>
        <w:numPr>
          <w:ilvl w:val="0"/>
          <w:numId w:val="97"/>
        </w:numPr>
        <w:spacing w:before="120" w:after="0" w:line="240" w:lineRule="auto"/>
        <w:ind w:left="360"/>
        <w:contextualSpacing w:val="0"/>
      </w:pPr>
      <w:r>
        <w:t>A procedure to also provide priority prophylaxis to Household/family members of responders and CIS.</w:t>
      </w:r>
    </w:p>
    <w:p w14:paraId="104B5369" w14:textId="0D5CAB20" w:rsidR="00FF2039" w:rsidRPr="00F60EC2" w:rsidRDefault="00FF2039" w:rsidP="00225FAB">
      <w:pPr>
        <w:pStyle w:val="ListParagraph"/>
        <w:numPr>
          <w:ilvl w:val="0"/>
          <w:numId w:val="97"/>
        </w:numPr>
        <w:spacing w:before="120" w:after="0" w:line="240" w:lineRule="auto"/>
        <w:ind w:left="360"/>
        <w:contextualSpacing w:val="0"/>
      </w:pPr>
      <w:r>
        <w:t>The estimated number of personnel (and household/family members) who will receive priority prophylaxis.</w:t>
      </w:r>
    </w:p>
    <w:p w14:paraId="34CB8DA1" w14:textId="77777777" w:rsidR="00FF2039" w:rsidRDefault="00FF2039" w:rsidP="00225FAB">
      <w:pPr>
        <w:pStyle w:val="ListParagraph"/>
        <w:numPr>
          <w:ilvl w:val="0"/>
          <w:numId w:val="97"/>
        </w:numPr>
        <w:spacing w:before="120" w:after="0" w:line="240" w:lineRule="auto"/>
        <w:ind w:left="360"/>
        <w:contextualSpacing w:val="0"/>
      </w:pPr>
      <w:r>
        <w:t>A location to dispense/administer to responders/CIS at either the EDS location or another pre-identified location.</w:t>
      </w:r>
    </w:p>
    <w:p w14:paraId="791ACC5F" w14:textId="1054451D" w:rsidR="00FF2039" w:rsidRPr="00F60EC2" w:rsidRDefault="00FF2039" w:rsidP="00225FAB">
      <w:pPr>
        <w:pStyle w:val="ListParagraph"/>
        <w:numPr>
          <w:ilvl w:val="0"/>
          <w:numId w:val="97"/>
        </w:numPr>
        <w:spacing w:before="120" w:after="0" w:line="240" w:lineRule="auto"/>
        <w:ind w:left="360"/>
        <w:contextualSpacing w:val="0"/>
      </w:pPr>
      <w:r>
        <w:t>A plan for priority p</w:t>
      </w:r>
      <w:r w:rsidRPr="006B5197">
        <w:t>rophylaxis</w:t>
      </w:r>
      <w:r>
        <w:t xml:space="preserve"> for a vaccine or Head of Household dispensing model campaign, including necessary staffing.</w:t>
      </w:r>
    </w:p>
    <w:p w14:paraId="141F5917" w14:textId="77777777" w:rsidR="00FF2039" w:rsidRDefault="00FF2039" w:rsidP="00225FAB">
      <w:pPr>
        <w:pStyle w:val="ListParagraph"/>
        <w:numPr>
          <w:ilvl w:val="0"/>
          <w:numId w:val="97"/>
        </w:numPr>
        <w:spacing w:before="120" w:after="0" w:line="240" w:lineRule="auto"/>
        <w:ind w:left="360"/>
        <w:contextualSpacing w:val="0"/>
      </w:pPr>
      <w:r>
        <w:t>Identify the communication platforms (reverse 911, HHAN group, etc.) used to notify responders/CIS where and when they should receive their MCM.</w:t>
      </w:r>
    </w:p>
    <w:p w14:paraId="21B7E3BD" w14:textId="31D96103" w:rsidR="00FF2039" w:rsidRPr="00225FAB" w:rsidRDefault="00FF2039" w:rsidP="00225FAB">
      <w:pPr>
        <w:pStyle w:val="ListParagraph"/>
        <w:numPr>
          <w:ilvl w:val="0"/>
          <w:numId w:val="97"/>
        </w:numPr>
        <w:spacing w:before="120"/>
        <w:ind w:left="360"/>
        <w:contextualSpacing w:val="0"/>
        <w:rPr>
          <w:lang w:val="fr-FR"/>
        </w:rPr>
      </w:pPr>
      <w:r>
        <w:t>A process to mitigate potential risks including stress, mental health, and physical injury for responders.</w:t>
      </w:r>
    </w:p>
    <w:p w14:paraId="59B886C0" w14:textId="77777777" w:rsidR="005A0F5F" w:rsidRDefault="005A0F5F" w:rsidP="00225FAB">
      <w:pPr>
        <w:pStyle w:val="Heading2"/>
      </w:pPr>
      <w:bookmarkStart w:id="252" w:name="ClosedEDS"/>
      <w:bookmarkStart w:id="253" w:name="_Planning_for_and"/>
      <w:bookmarkStart w:id="254" w:name="_Toc11832825"/>
      <w:bookmarkEnd w:id="252"/>
      <w:bookmarkEnd w:id="253"/>
      <w:r w:rsidRPr="009B412A">
        <w:t>Planning for and Establishing a Closed Emergency Dispensing Site (EDS)</w:t>
      </w:r>
      <w:bookmarkEnd w:id="254"/>
    </w:p>
    <w:p w14:paraId="4DAB6B87" w14:textId="77777777" w:rsidR="005A0F5F" w:rsidRPr="00980CAC" w:rsidRDefault="005A0F5F" w:rsidP="005A0F5F">
      <w:pPr>
        <w:jc w:val="center"/>
        <w:rPr>
          <w:rFonts w:ascii="Calibri" w:hAnsi="Calibri" w:cs="Arial"/>
          <w:b/>
          <w:sz w:val="22"/>
          <w:szCs w:val="22"/>
        </w:rPr>
      </w:pPr>
    </w:p>
    <w:p w14:paraId="4448F36F" w14:textId="77777777" w:rsidR="005A0F5F" w:rsidRPr="00980CAC" w:rsidRDefault="005A0F5F" w:rsidP="005A0F5F">
      <w:pPr>
        <w:rPr>
          <w:rFonts w:ascii="Calibri" w:hAnsi="Calibri" w:cs="Arial"/>
          <w:b/>
          <w:sz w:val="22"/>
          <w:szCs w:val="22"/>
        </w:rPr>
      </w:pPr>
      <w:r w:rsidRPr="00980CAC">
        <w:rPr>
          <w:rFonts w:ascii="Calibri" w:hAnsi="Calibri"/>
          <w:sz w:val="22"/>
          <w:szCs w:val="22"/>
        </w:rPr>
        <w:t xml:space="preserve">Local health can enter into agreements with entities such as businesses, colleges and universities, private boarding schools, and healthcare facilities that are willing and able to dispense </w:t>
      </w:r>
      <w:r>
        <w:rPr>
          <w:rFonts w:ascii="Calibri" w:hAnsi="Calibri"/>
          <w:sz w:val="22"/>
          <w:szCs w:val="22"/>
        </w:rPr>
        <w:t xml:space="preserve">medical countermeasures (MCM) </w:t>
      </w:r>
      <w:r w:rsidRPr="00980CAC">
        <w:rPr>
          <w:rFonts w:ascii="Calibri" w:hAnsi="Calibri"/>
          <w:sz w:val="22"/>
          <w:szCs w:val="22"/>
        </w:rPr>
        <w:t xml:space="preserve">to their populations in a secure setting during an emergency. These emergency dispensing sites </w:t>
      </w:r>
      <w:r>
        <w:rPr>
          <w:rFonts w:ascii="Calibri" w:hAnsi="Calibri"/>
          <w:sz w:val="22"/>
          <w:szCs w:val="22"/>
        </w:rPr>
        <w:t xml:space="preserve">– known as Closed EDS - </w:t>
      </w:r>
      <w:r w:rsidRPr="00980CAC">
        <w:rPr>
          <w:rFonts w:ascii="Calibri" w:hAnsi="Calibri"/>
          <w:sz w:val="22"/>
          <w:szCs w:val="22"/>
        </w:rPr>
        <w:t>are not open to the public</w:t>
      </w:r>
      <w:r>
        <w:rPr>
          <w:rFonts w:ascii="Calibri" w:hAnsi="Calibri"/>
          <w:sz w:val="22"/>
          <w:szCs w:val="22"/>
        </w:rPr>
        <w:t xml:space="preserve">.  A Closed EDS can provide benefits for the local health department and the entity as described below.  </w:t>
      </w:r>
    </w:p>
    <w:p w14:paraId="3DAFB78D" w14:textId="77777777" w:rsidR="005A0F5F" w:rsidRPr="00980CAC" w:rsidRDefault="005A0F5F" w:rsidP="005A0F5F">
      <w:pPr>
        <w:spacing w:before="240" w:after="120"/>
        <w:rPr>
          <w:rFonts w:ascii="Calibri" w:hAnsi="Calibri" w:cs="Arial"/>
          <w:sz w:val="22"/>
          <w:szCs w:val="22"/>
        </w:rPr>
      </w:pPr>
      <w:r w:rsidRPr="00175371">
        <w:rPr>
          <w:rFonts w:ascii="Calibri" w:hAnsi="Calibri" w:cs="Arial"/>
          <w:b/>
          <w:sz w:val="22"/>
          <w:szCs w:val="22"/>
          <w:u w:val="single"/>
        </w:rPr>
        <w:t>Defining a Closed EDS</w:t>
      </w:r>
    </w:p>
    <w:p w14:paraId="192167FA" w14:textId="77777777" w:rsidR="005A0F5F" w:rsidRPr="00980CAC" w:rsidRDefault="005A0F5F" w:rsidP="005A0F5F">
      <w:pPr>
        <w:spacing w:after="120"/>
        <w:jc w:val="both"/>
        <w:rPr>
          <w:rFonts w:ascii="Calibri" w:hAnsi="Calibri" w:cs="Arial"/>
          <w:sz w:val="22"/>
          <w:szCs w:val="22"/>
        </w:rPr>
      </w:pPr>
      <w:r w:rsidRPr="00980CAC">
        <w:rPr>
          <w:rFonts w:ascii="Calibri" w:hAnsi="Calibri" w:cs="Arial"/>
          <w:sz w:val="22"/>
          <w:szCs w:val="22"/>
        </w:rPr>
        <w:t xml:space="preserve">A Closed EDS is a dispensing site designed to serve </w:t>
      </w:r>
      <w:r>
        <w:rPr>
          <w:rFonts w:ascii="Calibri" w:hAnsi="Calibri" w:cs="Arial"/>
          <w:sz w:val="22"/>
          <w:szCs w:val="22"/>
        </w:rPr>
        <w:t xml:space="preserve">individuals affiliated with an entity located within </w:t>
      </w:r>
      <w:r w:rsidRPr="00980CAC">
        <w:rPr>
          <w:rFonts w:ascii="Calibri" w:hAnsi="Calibri" w:cs="Arial"/>
          <w:sz w:val="22"/>
          <w:szCs w:val="22"/>
        </w:rPr>
        <w:t>a city or town</w:t>
      </w:r>
      <w:r>
        <w:rPr>
          <w:rFonts w:ascii="Calibri" w:hAnsi="Calibri" w:cs="Arial"/>
          <w:sz w:val="22"/>
          <w:szCs w:val="22"/>
        </w:rPr>
        <w:t xml:space="preserve"> who represent a sizable portion of the community’s population or who might have difficulty accessing dispensing sites open to the public </w:t>
      </w:r>
      <w:r w:rsidRPr="00980CAC">
        <w:rPr>
          <w:rFonts w:ascii="Calibri" w:hAnsi="Calibri" w:cs="Arial"/>
          <w:sz w:val="22"/>
          <w:szCs w:val="22"/>
        </w:rPr>
        <w:t xml:space="preserve">(e.g., students and faculty at a college, employees of a large </w:t>
      </w:r>
      <w:r>
        <w:rPr>
          <w:rFonts w:ascii="Calibri" w:hAnsi="Calibri" w:cs="Arial"/>
          <w:sz w:val="22"/>
          <w:szCs w:val="22"/>
        </w:rPr>
        <w:t>business</w:t>
      </w:r>
      <w:r w:rsidRPr="00980CAC">
        <w:rPr>
          <w:rFonts w:ascii="Calibri" w:hAnsi="Calibri" w:cs="Arial"/>
          <w:sz w:val="22"/>
          <w:szCs w:val="22"/>
        </w:rPr>
        <w:t xml:space="preserve">; </w:t>
      </w:r>
      <w:r>
        <w:rPr>
          <w:rFonts w:ascii="Calibri" w:hAnsi="Calibri" w:cs="Arial"/>
          <w:sz w:val="22"/>
          <w:szCs w:val="22"/>
        </w:rPr>
        <w:t xml:space="preserve">residents at a skilled nursing facility; </w:t>
      </w:r>
      <w:r w:rsidRPr="00980CAC">
        <w:rPr>
          <w:rFonts w:ascii="Calibri" w:hAnsi="Calibri" w:cs="Arial"/>
          <w:sz w:val="22"/>
          <w:szCs w:val="22"/>
        </w:rPr>
        <w:t>the local police or fire department).</w:t>
      </w:r>
      <w:r>
        <w:rPr>
          <w:rFonts w:ascii="Calibri" w:hAnsi="Calibri" w:cs="Arial"/>
          <w:sz w:val="22"/>
          <w:szCs w:val="22"/>
        </w:rPr>
        <w:t xml:space="preserve"> Typically, a Closed EDS is </w:t>
      </w:r>
      <w:r w:rsidRPr="00980CAC">
        <w:rPr>
          <w:rFonts w:ascii="Calibri" w:hAnsi="Calibri" w:cs="Arial"/>
          <w:sz w:val="22"/>
          <w:szCs w:val="22"/>
        </w:rPr>
        <w:t xml:space="preserve">operated by an </w:t>
      </w:r>
      <w:r>
        <w:rPr>
          <w:rFonts w:ascii="Calibri" w:hAnsi="Calibri" w:cs="Arial"/>
          <w:sz w:val="22"/>
          <w:szCs w:val="22"/>
        </w:rPr>
        <w:t xml:space="preserve">entity </w:t>
      </w:r>
      <w:r w:rsidRPr="00980CAC">
        <w:rPr>
          <w:rFonts w:ascii="Calibri" w:hAnsi="Calibri" w:cs="Arial"/>
          <w:sz w:val="22"/>
          <w:szCs w:val="22"/>
        </w:rPr>
        <w:t>with a physical site located in a town or city</w:t>
      </w:r>
      <w:r>
        <w:rPr>
          <w:rFonts w:ascii="Calibri" w:hAnsi="Calibri" w:cs="Arial"/>
          <w:sz w:val="22"/>
          <w:szCs w:val="22"/>
        </w:rPr>
        <w:t xml:space="preserve"> and is not open to the public. A dispensing site set up to provide MCM only to the community’s police, fire or other first responders before public EDS are open would also be considered a Closed EDS. </w:t>
      </w:r>
    </w:p>
    <w:p w14:paraId="319EADCC" w14:textId="77777777" w:rsidR="005A0F5F" w:rsidRDefault="005A0F5F" w:rsidP="005A0F5F">
      <w:pPr>
        <w:jc w:val="both"/>
        <w:rPr>
          <w:rFonts w:ascii="Calibri" w:hAnsi="Calibri" w:cs="Arial"/>
          <w:sz w:val="22"/>
          <w:szCs w:val="22"/>
        </w:rPr>
      </w:pPr>
      <w:r>
        <w:rPr>
          <w:rFonts w:ascii="Calibri" w:hAnsi="Calibri" w:cs="Arial"/>
          <w:sz w:val="22"/>
          <w:szCs w:val="22"/>
        </w:rPr>
        <w:t>The state will make Closed EDS agreements with some large organizations and entities to deliver MCM directly to their facilities. These include but may not be limited to acute care hospitals, some military installations, large ambulatory care organizations and governmental agencies. Local health should consult with OPEM to determine if a state Closed EDS agreement is in place prior to contacting these entities to discuss a locally-supported Closed EDS.</w:t>
      </w:r>
    </w:p>
    <w:p w14:paraId="2F7E4BFE" w14:textId="77777777" w:rsidR="005A0F5F" w:rsidRPr="00980CAC" w:rsidRDefault="005A0F5F" w:rsidP="005A0F5F">
      <w:pPr>
        <w:jc w:val="both"/>
        <w:rPr>
          <w:rFonts w:ascii="Calibri" w:hAnsi="Calibri" w:cs="Arial"/>
          <w:sz w:val="22"/>
          <w:szCs w:val="22"/>
        </w:rPr>
      </w:pPr>
    </w:p>
    <w:p w14:paraId="1B3623CC" w14:textId="77777777" w:rsidR="005A0F5F" w:rsidRPr="00980CAC" w:rsidRDefault="005A0F5F" w:rsidP="005A0F5F">
      <w:pPr>
        <w:spacing w:after="120"/>
        <w:jc w:val="both"/>
        <w:rPr>
          <w:rFonts w:ascii="Calibri" w:hAnsi="Calibri" w:cs="Arial"/>
          <w:b/>
          <w:sz w:val="22"/>
          <w:szCs w:val="22"/>
        </w:rPr>
      </w:pPr>
      <w:r w:rsidRPr="0026201B">
        <w:rPr>
          <w:rFonts w:ascii="Calibri" w:hAnsi="Calibri" w:cs="Arial"/>
          <w:b/>
          <w:sz w:val="22"/>
          <w:szCs w:val="22"/>
          <w:u w:val="single"/>
        </w:rPr>
        <w:t>Benefits of a Closed EDS</w:t>
      </w:r>
    </w:p>
    <w:p w14:paraId="0707F865" w14:textId="77777777" w:rsidR="005A0F5F" w:rsidRPr="00980CAC" w:rsidRDefault="005A0F5F" w:rsidP="005A0F5F">
      <w:pPr>
        <w:spacing w:after="120"/>
        <w:jc w:val="both"/>
        <w:rPr>
          <w:rFonts w:ascii="Calibri" w:hAnsi="Calibri" w:cs="Arial"/>
          <w:sz w:val="22"/>
          <w:szCs w:val="22"/>
        </w:rPr>
      </w:pPr>
      <w:r>
        <w:rPr>
          <w:rFonts w:ascii="Calibri" w:hAnsi="Calibri" w:cs="Arial"/>
          <w:sz w:val="22"/>
          <w:szCs w:val="22"/>
        </w:rPr>
        <w:t xml:space="preserve">Establishing a Closed EDS can benefit both local health and the </w:t>
      </w:r>
      <w:r w:rsidRPr="00980CAC">
        <w:rPr>
          <w:rFonts w:ascii="Calibri" w:hAnsi="Calibri" w:cs="Arial"/>
          <w:sz w:val="22"/>
          <w:szCs w:val="22"/>
        </w:rPr>
        <w:t xml:space="preserve">Closed EDS </w:t>
      </w:r>
      <w:r>
        <w:rPr>
          <w:rFonts w:ascii="Calibri" w:hAnsi="Calibri" w:cs="Arial"/>
          <w:sz w:val="22"/>
          <w:szCs w:val="22"/>
        </w:rPr>
        <w:t xml:space="preserve">entity. Local health strengthens its relationship with a planning and response partner in the community and can focus attention on individuals in the community who cannot be served through a Closed EDS. The partner entity agrees to operate a Closed EDS to </w:t>
      </w:r>
      <w:r w:rsidRPr="00980CAC">
        <w:rPr>
          <w:rFonts w:ascii="Calibri" w:hAnsi="Calibri" w:cs="Arial"/>
          <w:sz w:val="22"/>
          <w:szCs w:val="22"/>
        </w:rPr>
        <w:t xml:space="preserve">provide MCM to its </w:t>
      </w:r>
      <w:r>
        <w:rPr>
          <w:rFonts w:ascii="Calibri" w:hAnsi="Calibri" w:cs="Arial"/>
          <w:sz w:val="22"/>
          <w:szCs w:val="22"/>
        </w:rPr>
        <w:t>identified population members and their families</w:t>
      </w:r>
      <w:r w:rsidRPr="00980CAC">
        <w:rPr>
          <w:rFonts w:ascii="Calibri" w:hAnsi="Calibri" w:cs="Arial"/>
          <w:sz w:val="22"/>
          <w:szCs w:val="22"/>
        </w:rPr>
        <w:t>, reducing the burden on local health by decreasing the number of individuals who would otherwise seek MCM at an EDS</w:t>
      </w:r>
      <w:r>
        <w:rPr>
          <w:rFonts w:ascii="Calibri" w:hAnsi="Calibri" w:cs="Arial"/>
          <w:sz w:val="22"/>
          <w:szCs w:val="22"/>
        </w:rPr>
        <w:t xml:space="preserve"> open to the public</w:t>
      </w:r>
      <w:r w:rsidRPr="00980CAC">
        <w:rPr>
          <w:rFonts w:ascii="Calibri" w:hAnsi="Calibri" w:cs="Arial"/>
          <w:sz w:val="22"/>
          <w:szCs w:val="22"/>
        </w:rPr>
        <w:t>.</w:t>
      </w:r>
      <w:r>
        <w:rPr>
          <w:rFonts w:ascii="Calibri" w:hAnsi="Calibri" w:cs="Arial"/>
          <w:sz w:val="22"/>
          <w:szCs w:val="22"/>
        </w:rPr>
        <w:t xml:space="preserve"> T</w:t>
      </w:r>
      <w:r w:rsidRPr="00980CAC">
        <w:rPr>
          <w:rFonts w:ascii="Calibri" w:hAnsi="Calibri" w:cs="Arial"/>
          <w:sz w:val="22"/>
          <w:szCs w:val="22"/>
        </w:rPr>
        <w:t xml:space="preserve">ypically, the </w:t>
      </w:r>
      <w:r>
        <w:rPr>
          <w:rFonts w:ascii="Calibri" w:hAnsi="Calibri" w:cs="Arial"/>
          <w:sz w:val="22"/>
          <w:szCs w:val="22"/>
        </w:rPr>
        <w:t>partner entity</w:t>
      </w:r>
      <w:r w:rsidRPr="00980CAC">
        <w:rPr>
          <w:rFonts w:ascii="Calibri" w:hAnsi="Calibri" w:cs="Arial"/>
          <w:sz w:val="22"/>
          <w:szCs w:val="22"/>
        </w:rPr>
        <w:t xml:space="preserve"> utilizes its own facilit</w:t>
      </w:r>
      <w:r>
        <w:rPr>
          <w:rFonts w:ascii="Calibri" w:hAnsi="Calibri" w:cs="Arial"/>
          <w:sz w:val="22"/>
          <w:szCs w:val="22"/>
        </w:rPr>
        <w:t>ies</w:t>
      </w:r>
      <w:r w:rsidRPr="00980CAC">
        <w:rPr>
          <w:rFonts w:ascii="Calibri" w:hAnsi="Calibri" w:cs="Arial"/>
          <w:sz w:val="22"/>
          <w:szCs w:val="22"/>
        </w:rPr>
        <w:t xml:space="preserve"> and staffing to operate </w:t>
      </w:r>
      <w:r>
        <w:rPr>
          <w:rFonts w:ascii="Calibri" w:hAnsi="Calibri" w:cs="Arial"/>
          <w:sz w:val="22"/>
          <w:szCs w:val="22"/>
        </w:rPr>
        <w:t>its</w:t>
      </w:r>
      <w:r w:rsidRPr="00980CAC">
        <w:rPr>
          <w:rFonts w:ascii="Calibri" w:hAnsi="Calibri" w:cs="Arial"/>
          <w:sz w:val="22"/>
          <w:szCs w:val="22"/>
        </w:rPr>
        <w:t xml:space="preserve"> Closed EDS, reducing the</w:t>
      </w:r>
      <w:r>
        <w:rPr>
          <w:rFonts w:ascii="Calibri" w:hAnsi="Calibri" w:cs="Arial"/>
          <w:sz w:val="22"/>
          <w:szCs w:val="22"/>
        </w:rPr>
        <w:t xml:space="preserve"> need for </w:t>
      </w:r>
      <w:r w:rsidRPr="00980CAC">
        <w:rPr>
          <w:rFonts w:ascii="Calibri" w:hAnsi="Calibri" w:cs="Arial"/>
          <w:sz w:val="22"/>
          <w:szCs w:val="22"/>
        </w:rPr>
        <w:t xml:space="preserve">local health </w:t>
      </w:r>
      <w:r>
        <w:rPr>
          <w:rFonts w:ascii="Calibri" w:hAnsi="Calibri" w:cs="Arial"/>
          <w:sz w:val="22"/>
          <w:szCs w:val="22"/>
        </w:rPr>
        <w:t>to identify additional dispensing locations and staffing.</w:t>
      </w:r>
      <w:r w:rsidRPr="00980CAC">
        <w:rPr>
          <w:rFonts w:ascii="Calibri" w:hAnsi="Calibri" w:cs="Arial"/>
          <w:sz w:val="22"/>
          <w:szCs w:val="22"/>
        </w:rPr>
        <w:t xml:space="preserve"> </w:t>
      </w:r>
      <w:r>
        <w:rPr>
          <w:rFonts w:ascii="Calibri" w:hAnsi="Calibri" w:cs="Arial"/>
          <w:sz w:val="22"/>
          <w:szCs w:val="22"/>
        </w:rPr>
        <w:t xml:space="preserve"> </w:t>
      </w:r>
      <w:r w:rsidRPr="00980CAC">
        <w:rPr>
          <w:rFonts w:ascii="Calibri" w:hAnsi="Calibri" w:cs="Arial"/>
          <w:sz w:val="22"/>
          <w:szCs w:val="22"/>
        </w:rPr>
        <w:t xml:space="preserve">The </w:t>
      </w:r>
      <w:r>
        <w:rPr>
          <w:rFonts w:ascii="Calibri" w:hAnsi="Calibri" w:cs="Arial"/>
          <w:sz w:val="22"/>
          <w:szCs w:val="22"/>
        </w:rPr>
        <w:t>partner entity</w:t>
      </w:r>
      <w:r w:rsidRPr="00980CAC">
        <w:rPr>
          <w:rFonts w:ascii="Calibri" w:hAnsi="Calibri" w:cs="Arial"/>
          <w:sz w:val="22"/>
          <w:szCs w:val="22"/>
        </w:rPr>
        <w:t xml:space="preserve"> helps assure </w:t>
      </w:r>
      <w:r>
        <w:rPr>
          <w:rFonts w:ascii="Calibri" w:hAnsi="Calibri" w:cs="Arial"/>
          <w:sz w:val="22"/>
          <w:szCs w:val="22"/>
        </w:rPr>
        <w:t xml:space="preserve">its </w:t>
      </w:r>
      <w:r w:rsidRPr="00980CAC">
        <w:rPr>
          <w:rFonts w:ascii="Calibri" w:hAnsi="Calibri" w:cs="Arial"/>
          <w:sz w:val="22"/>
          <w:szCs w:val="22"/>
        </w:rPr>
        <w:t xml:space="preserve">continuity of operations by providing MCM through the Closed EDS to its identified recipients in </w:t>
      </w:r>
      <w:r>
        <w:rPr>
          <w:rFonts w:ascii="Calibri" w:hAnsi="Calibri" w:cs="Arial"/>
          <w:sz w:val="22"/>
          <w:szCs w:val="22"/>
        </w:rPr>
        <w:t>a</w:t>
      </w:r>
      <w:r w:rsidRPr="00980CAC">
        <w:rPr>
          <w:rFonts w:ascii="Calibri" w:hAnsi="Calibri" w:cs="Arial"/>
          <w:sz w:val="22"/>
          <w:szCs w:val="22"/>
        </w:rPr>
        <w:t xml:space="preserve"> timely and efficient manner</w:t>
      </w:r>
      <w:r>
        <w:rPr>
          <w:rFonts w:ascii="Calibri" w:hAnsi="Calibri" w:cs="Arial"/>
          <w:sz w:val="22"/>
          <w:szCs w:val="22"/>
        </w:rPr>
        <w:t>.</w:t>
      </w:r>
      <w:r w:rsidRPr="00980CAC">
        <w:rPr>
          <w:rFonts w:ascii="Calibri" w:hAnsi="Calibri" w:cs="Arial"/>
          <w:sz w:val="22"/>
          <w:szCs w:val="22"/>
        </w:rPr>
        <w:t xml:space="preserve"> </w:t>
      </w:r>
      <w:r>
        <w:rPr>
          <w:rFonts w:ascii="Calibri" w:hAnsi="Calibri" w:cs="Arial"/>
          <w:sz w:val="22"/>
          <w:szCs w:val="22"/>
        </w:rPr>
        <w:t xml:space="preserve"> And, finally, the partner entity takes on </w:t>
      </w:r>
      <w:r w:rsidRPr="00980CAC">
        <w:rPr>
          <w:rFonts w:ascii="Calibri" w:hAnsi="Calibri" w:cs="Arial"/>
          <w:sz w:val="22"/>
          <w:szCs w:val="22"/>
        </w:rPr>
        <w:t xml:space="preserve">an active role </w:t>
      </w:r>
      <w:r>
        <w:rPr>
          <w:rFonts w:ascii="Calibri" w:hAnsi="Calibri" w:cs="Arial"/>
          <w:sz w:val="22"/>
          <w:szCs w:val="22"/>
        </w:rPr>
        <w:t xml:space="preserve">in supporting the community’s overall resiliency. </w:t>
      </w:r>
    </w:p>
    <w:p w14:paraId="57D0DF68" w14:textId="77777777" w:rsidR="005A0F5F" w:rsidRPr="0026201B" w:rsidRDefault="005A0F5F" w:rsidP="005A0F5F">
      <w:pPr>
        <w:spacing w:before="240" w:after="120"/>
        <w:rPr>
          <w:rFonts w:ascii="Calibri" w:hAnsi="Calibri" w:cs="Arial"/>
          <w:b/>
          <w:sz w:val="22"/>
          <w:szCs w:val="22"/>
          <w:u w:val="single"/>
        </w:rPr>
      </w:pPr>
      <w:r w:rsidRPr="0026201B">
        <w:rPr>
          <w:rFonts w:ascii="Calibri" w:hAnsi="Calibri" w:cs="Arial"/>
          <w:b/>
          <w:sz w:val="22"/>
          <w:szCs w:val="22"/>
          <w:u w:val="single"/>
        </w:rPr>
        <w:t xml:space="preserve">Characteristics of </w:t>
      </w:r>
      <w:r>
        <w:rPr>
          <w:rFonts w:ascii="Calibri" w:hAnsi="Calibri" w:cs="Arial"/>
          <w:b/>
          <w:sz w:val="22"/>
          <w:szCs w:val="22"/>
          <w:u w:val="single"/>
        </w:rPr>
        <w:t xml:space="preserve">a </w:t>
      </w:r>
      <w:r w:rsidRPr="0026201B">
        <w:rPr>
          <w:rFonts w:ascii="Calibri" w:hAnsi="Calibri" w:cs="Arial"/>
          <w:b/>
          <w:sz w:val="22"/>
          <w:szCs w:val="22"/>
          <w:u w:val="single"/>
        </w:rPr>
        <w:t>Closed EDS entit</w:t>
      </w:r>
      <w:r>
        <w:rPr>
          <w:rFonts w:ascii="Calibri" w:hAnsi="Calibri" w:cs="Arial"/>
          <w:b/>
          <w:sz w:val="22"/>
          <w:szCs w:val="22"/>
          <w:u w:val="single"/>
        </w:rPr>
        <w:t>y</w:t>
      </w:r>
    </w:p>
    <w:p w14:paraId="031772C6" w14:textId="77777777" w:rsidR="005A0F5F" w:rsidRDefault="005A0F5F" w:rsidP="005A0F5F">
      <w:pPr>
        <w:spacing w:after="120"/>
        <w:rPr>
          <w:rFonts w:ascii="Calibri" w:hAnsi="Calibri" w:cs="Arial"/>
          <w:sz w:val="22"/>
          <w:szCs w:val="22"/>
        </w:rPr>
      </w:pPr>
      <w:r w:rsidRPr="00980CAC">
        <w:rPr>
          <w:rFonts w:ascii="Calibri" w:hAnsi="Calibri" w:cs="Arial"/>
          <w:sz w:val="22"/>
          <w:szCs w:val="22"/>
        </w:rPr>
        <w:t>There is no hard and fast rule in terms of type or size of a</w:t>
      </w:r>
      <w:r>
        <w:rPr>
          <w:rFonts w:ascii="Calibri" w:hAnsi="Calibri" w:cs="Arial"/>
          <w:sz w:val="22"/>
          <w:szCs w:val="22"/>
        </w:rPr>
        <w:t xml:space="preserve">n entity </w:t>
      </w:r>
      <w:r w:rsidRPr="00980CAC">
        <w:rPr>
          <w:rFonts w:ascii="Calibri" w:hAnsi="Calibri" w:cs="Arial"/>
          <w:sz w:val="22"/>
          <w:szCs w:val="22"/>
        </w:rPr>
        <w:t xml:space="preserve">that can effectively partner with local health to operate a Closed EDS, but there are several </w:t>
      </w:r>
      <w:r>
        <w:rPr>
          <w:rFonts w:ascii="Calibri" w:hAnsi="Calibri" w:cs="Arial"/>
          <w:sz w:val="22"/>
          <w:szCs w:val="22"/>
        </w:rPr>
        <w:t xml:space="preserve">things to consider when assessing an entity’s potential.  </w:t>
      </w:r>
      <w:r w:rsidRPr="00980CAC">
        <w:rPr>
          <w:rFonts w:ascii="Calibri" w:hAnsi="Calibri" w:cs="Arial"/>
          <w:sz w:val="22"/>
          <w:szCs w:val="22"/>
        </w:rPr>
        <w:t xml:space="preserve">Typically, </w:t>
      </w:r>
      <w:r>
        <w:rPr>
          <w:rFonts w:ascii="Calibri" w:hAnsi="Calibri" w:cs="Arial"/>
          <w:sz w:val="22"/>
          <w:szCs w:val="22"/>
        </w:rPr>
        <w:t>it will have</w:t>
      </w:r>
      <w:r w:rsidRPr="00980CAC">
        <w:rPr>
          <w:rFonts w:ascii="Calibri" w:hAnsi="Calibri" w:cs="Arial"/>
          <w:sz w:val="22"/>
          <w:szCs w:val="22"/>
        </w:rPr>
        <w:t xml:space="preserve"> a significant presence in the city or town, and qualified medical personnel </w:t>
      </w:r>
      <w:r>
        <w:rPr>
          <w:rFonts w:ascii="Calibri" w:hAnsi="Calibri" w:cs="Arial"/>
          <w:sz w:val="22"/>
          <w:szCs w:val="22"/>
        </w:rPr>
        <w:t xml:space="preserve">or other staff </w:t>
      </w:r>
      <w:r w:rsidRPr="00980CAC">
        <w:rPr>
          <w:rFonts w:ascii="Calibri" w:hAnsi="Calibri" w:cs="Arial"/>
          <w:sz w:val="22"/>
          <w:szCs w:val="22"/>
        </w:rPr>
        <w:t>available to handle dispensing of MCM</w:t>
      </w:r>
      <w:r>
        <w:rPr>
          <w:rFonts w:ascii="Calibri" w:hAnsi="Calibri" w:cs="Arial"/>
          <w:sz w:val="22"/>
          <w:szCs w:val="22"/>
        </w:rPr>
        <w:t xml:space="preserve"> so that it decreases the number of individuals seeking MCM through an Open EDS. Alternatively, the entity serves a population that has limited mobility or faces other barriers to accessing an EDS open to the public</w:t>
      </w:r>
      <w:r w:rsidRPr="00980CAC">
        <w:rPr>
          <w:rFonts w:ascii="Calibri" w:hAnsi="Calibri" w:cs="Arial"/>
          <w:sz w:val="22"/>
          <w:szCs w:val="22"/>
        </w:rPr>
        <w:t xml:space="preserve">. </w:t>
      </w:r>
    </w:p>
    <w:p w14:paraId="359ACF2D" w14:textId="77777777" w:rsidR="005A0F5F" w:rsidRPr="00980CAC" w:rsidRDefault="005A0F5F" w:rsidP="005A0F5F">
      <w:pPr>
        <w:spacing w:after="120"/>
        <w:rPr>
          <w:rFonts w:ascii="Calibri" w:hAnsi="Calibri" w:cs="Arial"/>
          <w:sz w:val="22"/>
          <w:szCs w:val="22"/>
        </w:rPr>
      </w:pPr>
      <w:r w:rsidRPr="00980CAC">
        <w:rPr>
          <w:rFonts w:ascii="Calibri" w:hAnsi="Calibri" w:cs="Arial"/>
          <w:sz w:val="22"/>
          <w:szCs w:val="22"/>
        </w:rPr>
        <w:t>Possible examples of Closed EDS partner</w:t>
      </w:r>
      <w:r>
        <w:rPr>
          <w:rFonts w:ascii="Calibri" w:hAnsi="Calibri" w:cs="Arial"/>
          <w:sz w:val="22"/>
          <w:szCs w:val="22"/>
        </w:rPr>
        <w:t xml:space="preserve"> entitie</w:t>
      </w:r>
      <w:r w:rsidRPr="00980CAC">
        <w:rPr>
          <w:rFonts w:ascii="Calibri" w:hAnsi="Calibri" w:cs="Arial"/>
          <w:sz w:val="22"/>
          <w:szCs w:val="22"/>
        </w:rPr>
        <w:t>s include but are not limited to:</w:t>
      </w:r>
    </w:p>
    <w:p w14:paraId="0F0AC280" w14:textId="77777777" w:rsidR="005A0F5F" w:rsidRPr="00980CAC" w:rsidRDefault="005A0F5F" w:rsidP="000616C8">
      <w:pPr>
        <w:numPr>
          <w:ilvl w:val="1"/>
          <w:numId w:val="89"/>
        </w:numPr>
        <w:spacing w:after="120"/>
        <w:rPr>
          <w:rFonts w:ascii="Calibri" w:hAnsi="Calibri" w:cs="Arial"/>
          <w:sz w:val="22"/>
          <w:szCs w:val="22"/>
        </w:rPr>
      </w:pPr>
      <w:r w:rsidRPr="00980CAC">
        <w:rPr>
          <w:rFonts w:ascii="Calibri" w:hAnsi="Calibri" w:cs="Arial"/>
          <w:sz w:val="22"/>
          <w:szCs w:val="22"/>
        </w:rPr>
        <w:t xml:space="preserve">A college or boarding school that has 1,000 students and faculty in the community who could be served by a Closed EDS on campus. </w:t>
      </w:r>
    </w:p>
    <w:p w14:paraId="2AD4681E" w14:textId="77777777" w:rsidR="005A0F5F" w:rsidRPr="00980CAC" w:rsidRDefault="005A0F5F" w:rsidP="000616C8">
      <w:pPr>
        <w:numPr>
          <w:ilvl w:val="1"/>
          <w:numId w:val="89"/>
        </w:numPr>
        <w:spacing w:after="120"/>
        <w:rPr>
          <w:rFonts w:ascii="Calibri" w:hAnsi="Calibri" w:cs="Arial"/>
          <w:sz w:val="22"/>
          <w:szCs w:val="22"/>
        </w:rPr>
      </w:pPr>
      <w:r w:rsidRPr="00980CAC">
        <w:rPr>
          <w:rFonts w:ascii="Calibri" w:hAnsi="Calibri" w:cs="Arial"/>
          <w:sz w:val="22"/>
          <w:szCs w:val="22"/>
        </w:rPr>
        <w:t xml:space="preserve">A large business whose employees and their families </w:t>
      </w:r>
      <w:r>
        <w:rPr>
          <w:rFonts w:ascii="Calibri" w:hAnsi="Calibri" w:cs="Arial"/>
          <w:sz w:val="22"/>
          <w:szCs w:val="22"/>
        </w:rPr>
        <w:t>represent</w:t>
      </w:r>
      <w:r w:rsidRPr="00980CAC">
        <w:rPr>
          <w:rFonts w:ascii="Calibri" w:hAnsi="Calibri" w:cs="Arial"/>
          <w:sz w:val="22"/>
          <w:szCs w:val="22"/>
        </w:rPr>
        <w:t xml:space="preserve"> 5% </w:t>
      </w:r>
      <w:r>
        <w:rPr>
          <w:rFonts w:ascii="Calibri" w:hAnsi="Calibri" w:cs="Arial"/>
          <w:sz w:val="22"/>
          <w:szCs w:val="22"/>
        </w:rPr>
        <w:t xml:space="preserve">or more </w:t>
      </w:r>
      <w:r w:rsidRPr="00980CAC">
        <w:rPr>
          <w:rFonts w:ascii="Calibri" w:hAnsi="Calibri" w:cs="Arial"/>
          <w:sz w:val="22"/>
          <w:szCs w:val="22"/>
        </w:rPr>
        <w:t>of the local population that would need MCM and could be served by a Closed EDS at its facility.</w:t>
      </w:r>
    </w:p>
    <w:p w14:paraId="31AB028B" w14:textId="77777777" w:rsidR="005A0F5F" w:rsidRDefault="005A0F5F" w:rsidP="000616C8">
      <w:pPr>
        <w:numPr>
          <w:ilvl w:val="1"/>
          <w:numId w:val="89"/>
        </w:numPr>
        <w:spacing w:after="120"/>
        <w:rPr>
          <w:rFonts w:ascii="Calibri" w:hAnsi="Calibri" w:cs="Arial"/>
          <w:sz w:val="22"/>
          <w:szCs w:val="22"/>
        </w:rPr>
      </w:pPr>
      <w:r w:rsidRPr="00980CAC">
        <w:rPr>
          <w:rFonts w:ascii="Calibri" w:hAnsi="Calibri" w:cs="Arial"/>
          <w:sz w:val="22"/>
          <w:szCs w:val="22"/>
        </w:rPr>
        <w:t xml:space="preserve">A </w:t>
      </w:r>
      <w:r>
        <w:rPr>
          <w:rFonts w:ascii="Calibri" w:hAnsi="Calibri" w:cs="Arial"/>
          <w:sz w:val="22"/>
          <w:szCs w:val="22"/>
        </w:rPr>
        <w:t xml:space="preserve">long term care facility, </w:t>
      </w:r>
      <w:r w:rsidRPr="00980CAC">
        <w:rPr>
          <w:rFonts w:ascii="Calibri" w:hAnsi="Calibri" w:cs="Arial"/>
          <w:sz w:val="22"/>
          <w:szCs w:val="22"/>
        </w:rPr>
        <w:t xml:space="preserve">whose residents </w:t>
      </w:r>
      <w:r>
        <w:rPr>
          <w:rFonts w:ascii="Calibri" w:hAnsi="Calibri" w:cs="Arial"/>
          <w:sz w:val="22"/>
          <w:szCs w:val="22"/>
        </w:rPr>
        <w:t xml:space="preserve">would require assistance to travel to an Open EDS. </w:t>
      </w:r>
      <w:r w:rsidRPr="00980CAC">
        <w:rPr>
          <w:rFonts w:ascii="Calibri" w:hAnsi="Calibri" w:cs="Arial"/>
          <w:sz w:val="22"/>
          <w:szCs w:val="22"/>
        </w:rPr>
        <w:t>Even if the number of residents is relatively small, it could be advantageous for the facility to operate a Closed EDS for its residents and staff to ensure continuity of services and avoid the need to transport residents to and from an Open EDS</w:t>
      </w:r>
      <w:r>
        <w:rPr>
          <w:rFonts w:ascii="Calibri" w:hAnsi="Calibri" w:cs="Arial"/>
          <w:sz w:val="22"/>
          <w:szCs w:val="22"/>
        </w:rPr>
        <w:t>.</w:t>
      </w:r>
    </w:p>
    <w:p w14:paraId="088D5874" w14:textId="77777777" w:rsidR="005A0F5F" w:rsidRPr="00980CAC" w:rsidRDefault="005A0F5F" w:rsidP="000616C8">
      <w:pPr>
        <w:numPr>
          <w:ilvl w:val="1"/>
          <w:numId w:val="89"/>
        </w:numPr>
        <w:spacing w:after="120"/>
        <w:rPr>
          <w:rFonts w:ascii="Calibri" w:hAnsi="Calibri" w:cs="Arial"/>
          <w:sz w:val="22"/>
          <w:szCs w:val="22"/>
        </w:rPr>
      </w:pPr>
      <w:r>
        <w:rPr>
          <w:rFonts w:ascii="Calibri" w:hAnsi="Calibri" w:cs="Arial"/>
          <w:sz w:val="22"/>
          <w:szCs w:val="22"/>
        </w:rPr>
        <w:t>A utility company whose employees may be involved in maintaining critical infrastructure.</w:t>
      </w:r>
      <w:r w:rsidRPr="00980CAC">
        <w:rPr>
          <w:rFonts w:ascii="Calibri" w:hAnsi="Calibri" w:cs="Arial"/>
          <w:sz w:val="22"/>
          <w:szCs w:val="22"/>
        </w:rPr>
        <w:t xml:space="preserve"> </w:t>
      </w:r>
    </w:p>
    <w:p w14:paraId="31871855" w14:textId="77777777" w:rsidR="005A0F5F" w:rsidRPr="00980CAC" w:rsidRDefault="005A0F5F" w:rsidP="000616C8">
      <w:pPr>
        <w:numPr>
          <w:ilvl w:val="1"/>
          <w:numId w:val="89"/>
        </w:numPr>
        <w:spacing w:after="120"/>
        <w:rPr>
          <w:rFonts w:ascii="Calibri" w:hAnsi="Calibri" w:cs="Arial"/>
          <w:sz w:val="22"/>
          <w:szCs w:val="22"/>
        </w:rPr>
      </w:pPr>
      <w:r w:rsidRPr="00980CAC">
        <w:rPr>
          <w:rFonts w:ascii="Calibri" w:hAnsi="Calibri" w:cs="Arial"/>
          <w:sz w:val="22"/>
          <w:szCs w:val="22"/>
        </w:rPr>
        <w:t>A large community health center in the community.</w:t>
      </w:r>
    </w:p>
    <w:p w14:paraId="26BD4594" w14:textId="77777777" w:rsidR="005A0F5F" w:rsidRPr="007638E5" w:rsidRDefault="005A0F5F" w:rsidP="007638E5">
      <w:pPr>
        <w:spacing w:before="240" w:after="120"/>
        <w:rPr>
          <w:rFonts w:ascii="Calibri" w:hAnsi="Calibri" w:cs="Arial"/>
          <w:b/>
          <w:sz w:val="22"/>
          <w:szCs w:val="22"/>
          <w:u w:val="single"/>
        </w:rPr>
      </w:pPr>
      <w:r w:rsidRPr="007D7B94">
        <w:rPr>
          <w:rFonts w:ascii="Calibri" w:hAnsi="Calibri" w:cs="Arial"/>
          <w:b/>
          <w:sz w:val="22"/>
          <w:szCs w:val="22"/>
          <w:u w:val="single"/>
        </w:rPr>
        <w:t>Identifying and engaging potential Closed EDS partners</w:t>
      </w:r>
    </w:p>
    <w:p w14:paraId="46230A4B" w14:textId="77777777" w:rsidR="005A0F5F" w:rsidRPr="00980CAC" w:rsidRDefault="005A0F5F" w:rsidP="005A0F5F">
      <w:pPr>
        <w:spacing w:after="120"/>
        <w:rPr>
          <w:rFonts w:ascii="Calibri" w:hAnsi="Calibri" w:cs="Arial"/>
          <w:sz w:val="22"/>
          <w:szCs w:val="22"/>
        </w:rPr>
      </w:pPr>
      <w:r>
        <w:rPr>
          <w:rFonts w:ascii="Calibri" w:hAnsi="Calibri" w:cs="Arial"/>
          <w:sz w:val="22"/>
          <w:szCs w:val="22"/>
        </w:rPr>
        <w:t>The process of identifying and working with an entity that may become a Closed EDS partner will require collaboration and planning. In some instances, an entity may determine that it wants to serve as a Closed EDS for its population, and will reach out to local health to develop an agreement and a plan. More often, t</w:t>
      </w:r>
      <w:r w:rsidRPr="00980CAC">
        <w:rPr>
          <w:rFonts w:ascii="Calibri" w:hAnsi="Calibri" w:cs="Arial"/>
          <w:sz w:val="22"/>
          <w:szCs w:val="22"/>
        </w:rPr>
        <w:t xml:space="preserve">he town or city Health Director and Emergency Manager should confer to identify </w:t>
      </w:r>
      <w:r>
        <w:rPr>
          <w:rFonts w:ascii="Calibri" w:hAnsi="Calibri" w:cs="Arial"/>
          <w:sz w:val="22"/>
          <w:szCs w:val="22"/>
        </w:rPr>
        <w:t xml:space="preserve">local entities with the potential to become a </w:t>
      </w:r>
      <w:r w:rsidRPr="00980CAC">
        <w:rPr>
          <w:rFonts w:ascii="Calibri" w:hAnsi="Calibri" w:cs="Arial"/>
          <w:sz w:val="22"/>
          <w:szCs w:val="22"/>
        </w:rPr>
        <w:t xml:space="preserve">Closed EDS partner. Local Emergency Planning Committees, Regional Emergency Planning Committees, and other response partners in your community/region </w:t>
      </w:r>
      <w:r>
        <w:rPr>
          <w:rFonts w:ascii="Calibri" w:hAnsi="Calibri" w:cs="Arial"/>
          <w:sz w:val="22"/>
          <w:szCs w:val="22"/>
        </w:rPr>
        <w:t xml:space="preserve">may </w:t>
      </w:r>
      <w:r w:rsidRPr="00980CAC">
        <w:rPr>
          <w:rFonts w:ascii="Calibri" w:hAnsi="Calibri" w:cs="Arial"/>
          <w:sz w:val="22"/>
          <w:szCs w:val="22"/>
        </w:rPr>
        <w:t xml:space="preserve">also provide ideas of </w:t>
      </w:r>
      <w:r>
        <w:rPr>
          <w:rFonts w:ascii="Calibri" w:hAnsi="Calibri" w:cs="Arial"/>
          <w:sz w:val="22"/>
          <w:szCs w:val="22"/>
        </w:rPr>
        <w:t>about potential partner entities.  In considering an entity’s potential, the following steps will be helpful.</w:t>
      </w:r>
    </w:p>
    <w:p w14:paraId="494EBCAE" w14:textId="77777777" w:rsidR="005A0F5F" w:rsidRPr="00980CAC" w:rsidRDefault="005A0F5F" w:rsidP="000616C8">
      <w:pPr>
        <w:numPr>
          <w:ilvl w:val="0"/>
          <w:numId w:val="91"/>
        </w:numPr>
        <w:spacing w:after="120"/>
        <w:rPr>
          <w:rFonts w:ascii="Calibri" w:hAnsi="Calibri" w:cs="Arial"/>
          <w:sz w:val="22"/>
          <w:szCs w:val="22"/>
        </w:rPr>
      </w:pPr>
      <w:r w:rsidRPr="00980CAC">
        <w:rPr>
          <w:rFonts w:ascii="Calibri" w:hAnsi="Calibri" w:cs="Arial"/>
          <w:sz w:val="22"/>
          <w:szCs w:val="22"/>
        </w:rPr>
        <w:t xml:space="preserve">Determine if the </w:t>
      </w:r>
      <w:r>
        <w:rPr>
          <w:rFonts w:ascii="Calibri" w:hAnsi="Calibri" w:cs="Arial"/>
          <w:sz w:val="22"/>
          <w:szCs w:val="22"/>
        </w:rPr>
        <w:t>entity</w:t>
      </w:r>
      <w:r w:rsidRPr="00980CAC">
        <w:rPr>
          <w:rFonts w:ascii="Calibri" w:hAnsi="Calibri" w:cs="Arial"/>
          <w:sz w:val="22"/>
          <w:szCs w:val="22"/>
        </w:rPr>
        <w:t>’s operation of a Closed EDS w</w:t>
      </w:r>
      <w:r>
        <w:rPr>
          <w:rFonts w:ascii="Calibri" w:hAnsi="Calibri" w:cs="Arial"/>
          <w:sz w:val="22"/>
          <w:szCs w:val="22"/>
        </w:rPr>
        <w:t>ould</w:t>
      </w:r>
      <w:r w:rsidRPr="00980CAC">
        <w:rPr>
          <w:rFonts w:ascii="Calibri" w:hAnsi="Calibri" w:cs="Arial"/>
          <w:sz w:val="22"/>
          <w:szCs w:val="22"/>
        </w:rPr>
        <w:t xml:space="preserve"> significantly reduce </w:t>
      </w:r>
      <w:r>
        <w:rPr>
          <w:rFonts w:ascii="Calibri" w:hAnsi="Calibri" w:cs="Arial"/>
          <w:sz w:val="22"/>
          <w:szCs w:val="22"/>
        </w:rPr>
        <w:t xml:space="preserve">the number of individuals to be served through Open EDS, </w:t>
      </w:r>
      <w:r w:rsidRPr="00980CAC">
        <w:rPr>
          <w:rFonts w:ascii="Calibri" w:hAnsi="Calibri" w:cs="Arial"/>
          <w:sz w:val="22"/>
          <w:szCs w:val="22"/>
        </w:rPr>
        <w:t xml:space="preserve">or facilitate timely provision of MCM to </w:t>
      </w:r>
      <w:r>
        <w:rPr>
          <w:rFonts w:ascii="Calibri" w:hAnsi="Calibri" w:cs="Arial"/>
          <w:sz w:val="22"/>
          <w:szCs w:val="22"/>
        </w:rPr>
        <w:t>individuals who would experience barriers to accessing an EDS open to the public.</w:t>
      </w:r>
      <w:r w:rsidRPr="00980CAC">
        <w:rPr>
          <w:rFonts w:ascii="Calibri" w:hAnsi="Calibri" w:cs="Arial"/>
          <w:sz w:val="22"/>
          <w:szCs w:val="22"/>
        </w:rPr>
        <w:t xml:space="preserve">  </w:t>
      </w:r>
    </w:p>
    <w:p w14:paraId="6CA94C74" w14:textId="77777777" w:rsidR="005A0F5F" w:rsidRDefault="005A0F5F" w:rsidP="000616C8">
      <w:pPr>
        <w:numPr>
          <w:ilvl w:val="0"/>
          <w:numId w:val="91"/>
        </w:numPr>
        <w:spacing w:after="120"/>
        <w:rPr>
          <w:rFonts w:ascii="Calibri" w:hAnsi="Calibri" w:cs="Arial"/>
          <w:sz w:val="22"/>
          <w:szCs w:val="22"/>
        </w:rPr>
      </w:pPr>
      <w:r w:rsidRPr="00980CAC">
        <w:rPr>
          <w:rFonts w:ascii="Calibri" w:hAnsi="Calibri" w:cs="Arial"/>
          <w:sz w:val="22"/>
          <w:szCs w:val="22"/>
        </w:rPr>
        <w:t xml:space="preserve">Schedule an in-person meeting with the </w:t>
      </w:r>
      <w:r>
        <w:rPr>
          <w:rFonts w:ascii="Calibri" w:hAnsi="Calibri" w:cs="Arial"/>
          <w:sz w:val="22"/>
          <w:szCs w:val="22"/>
        </w:rPr>
        <w:t>entity</w:t>
      </w:r>
      <w:r w:rsidRPr="00980CAC">
        <w:rPr>
          <w:rFonts w:ascii="Calibri" w:hAnsi="Calibri" w:cs="Arial"/>
          <w:sz w:val="22"/>
          <w:szCs w:val="22"/>
        </w:rPr>
        <w:t xml:space="preserve"> to </w:t>
      </w:r>
      <w:r>
        <w:rPr>
          <w:rFonts w:ascii="Calibri" w:hAnsi="Calibri" w:cs="Arial"/>
          <w:sz w:val="22"/>
          <w:szCs w:val="22"/>
        </w:rPr>
        <w:t xml:space="preserve">discuss </w:t>
      </w:r>
      <w:r w:rsidRPr="00980CAC">
        <w:rPr>
          <w:rFonts w:ascii="Calibri" w:hAnsi="Calibri" w:cs="Arial"/>
          <w:sz w:val="22"/>
          <w:szCs w:val="22"/>
        </w:rPr>
        <w:t xml:space="preserve">the rationale </w:t>
      </w:r>
      <w:r>
        <w:rPr>
          <w:rFonts w:ascii="Calibri" w:hAnsi="Calibri" w:cs="Arial"/>
          <w:sz w:val="22"/>
          <w:szCs w:val="22"/>
        </w:rPr>
        <w:t xml:space="preserve">and requirements for </w:t>
      </w:r>
      <w:r w:rsidRPr="00980CAC">
        <w:rPr>
          <w:rFonts w:ascii="Calibri" w:hAnsi="Calibri" w:cs="Arial"/>
          <w:sz w:val="22"/>
          <w:szCs w:val="22"/>
        </w:rPr>
        <w:t>operat</w:t>
      </w:r>
      <w:r>
        <w:rPr>
          <w:rFonts w:ascii="Calibri" w:hAnsi="Calibri" w:cs="Arial"/>
          <w:sz w:val="22"/>
          <w:szCs w:val="22"/>
        </w:rPr>
        <w:t>ing a</w:t>
      </w:r>
      <w:r w:rsidRPr="00980CAC">
        <w:rPr>
          <w:rFonts w:ascii="Calibri" w:hAnsi="Calibri" w:cs="Arial"/>
          <w:sz w:val="22"/>
          <w:szCs w:val="22"/>
        </w:rPr>
        <w:t xml:space="preserve"> Closed EDS. </w:t>
      </w:r>
      <w:r>
        <w:rPr>
          <w:rFonts w:ascii="Calibri" w:hAnsi="Calibri" w:cs="Arial"/>
          <w:sz w:val="22"/>
          <w:szCs w:val="22"/>
        </w:rPr>
        <w:t>P</w:t>
      </w:r>
      <w:r w:rsidRPr="00980CAC">
        <w:rPr>
          <w:rFonts w:ascii="Calibri" w:hAnsi="Calibri" w:cs="Arial"/>
          <w:sz w:val="22"/>
          <w:szCs w:val="22"/>
        </w:rPr>
        <w:t>rovide</w:t>
      </w:r>
      <w:r>
        <w:rPr>
          <w:rFonts w:ascii="Calibri" w:hAnsi="Calibri" w:cs="Arial"/>
          <w:sz w:val="22"/>
          <w:szCs w:val="22"/>
        </w:rPr>
        <w:t xml:space="preserve"> an overview </w:t>
      </w:r>
      <w:r w:rsidRPr="00980CAC">
        <w:rPr>
          <w:rFonts w:ascii="Calibri" w:hAnsi="Calibri" w:cs="Arial"/>
          <w:sz w:val="22"/>
          <w:szCs w:val="22"/>
        </w:rPr>
        <w:t>of</w:t>
      </w:r>
      <w:r>
        <w:rPr>
          <w:rFonts w:ascii="Calibri" w:hAnsi="Calibri" w:cs="Arial"/>
          <w:sz w:val="22"/>
          <w:szCs w:val="22"/>
        </w:rPr>
        <w:t xml:space="preserve"> </w:t>
      </w:r>
      <w:r w:rsidRPr="00980CAC">
        <w:rPr>
          <w:rFonts w:ascii="Calibri" w:hAnsi="Calibri" w:cs="Arial"/>
          <w:sz w:val="22"/>
          <w:szCs w:val="22"/>
        </w:rPr>
        <w:t xml:space="preserve">the Strategic National Stockpile (SNS) and </w:t>
      </w:r>
      <w:r>
        <w:rPr>
          <w:rFonts w:ascii="Calibri" w:hAnsi="Calibri" w:cs="Arial"/>
          <w:sz w:val="22"/>
          <w:szCs w:val="22"/>
        </w:rPr>
        <w:t xml:space="preserve">MCM </w:t>
      </w:r>
      <w:r w:rsidRPr="00980CAC">
        <w:rPr>
          <w:rFonts w:ascii="Calibri" w:hAnsi="Calibri" w:cs="Arial"/>
          <w:sz w:val="22"/>
          <w:szCs w:val="22"/>
        </w:rPr>
        <w:t>emergency dispensing during the meeting or at another convenient time.</w:t>
      </w:r>
    </w:p>
    <w:p w14:paraId="35E6F7E6" w14:textId="77777777" w:rsidR="005A0F5F" w:rsidRPr="00470CB3" w:rsidRDefault="005A0F5F" w:rsidP="000616C8">
      <w:pPr>
        <w:numPr>
          <w:ilvl w:val="0"/>
          <w:numId w:val="91"/>
        </w:numPr>
        <w:spacing w:after="120"/>
        <w:rPr>
          <w:rFonts w:ascii="Calibri" w:hAnsi="Calibri" w:cs="Arial"/>
          <w:sz w:val="22"/>
          <w:szCs w:val="22"/>
        </w:rPr>
      </w:pPr>
      <w:r w:rsidRPr="007F5FF9">
        <w:rPr>
          <w:rFonts w:ascii="Calibri" w:hAnsi="Calibri" w:cs="Arial"/>
          <w:sz w:val="22"/>
          <w:szCs w:val="22"/>
        </w:rPr>
        <w:t>Invite the entity to the city or town’s next SNS-MCM planning meeting, and to observe any upcoming EDS exercises, such as a tabletop or a flu clinic being run as a</w:t>
      </w:r>
      <w:r w:rsidRPr="00470CB3">
        <w:rPr>
          <w:rFonts w:ascii="Calibri" w:hAnsi="Calibri" w:cs="Arial"/>
          <w:sz w:val="22"/>
          <w:szCs w:val="22"/>
        </w:rPr>
        <w:t>n EDS operation, to provide a better idea of what a Closed EDS would do.</w:t>
      </w:r>
    </w:p>
    <w:p w14:paraId="78C112D6" w14:textId="33E18803" w:rsidR="005A0F5F" w:rsidRPr="00980CAC" w:rsidRDefault="005A0F5F" w:rsidP="000616C8">
      <w:pPr>
        <w:numPr>
          <w:ilvl w:val="0"/>
          <w:numId w:val="91"/>
        </w:numPr>
        <w:spacing w:after="120"/>
        <w:rPr>
          <w:rFonts w:ascii="Calibri" w:hAnsi="Calibri" w:cs="Arial"/>
          <w:sz w:val="22"/>
          <w:szCs w:val="22"/>
        </w:rPr>
      </w:pPr>
      <w:r w:rsidRPr="00980CAC">
        <w:rPr>
          <w:rFonts w:ascii="Calibri" w:hAnsi="Calibri" w:cs="Arial"/>
          <w:sz w:val="22"/>
          <w:szCs w:val="22"/>
        </w:rPr>
        <w:t xml:space="preserve">Contact the MCM staff in the Office of Preparedness and Emergency Management (OPEM) for current training material available from </w:t>
      </w:r>
      <w:r w:rsidR="008127B1">
        <w:rPr>
          <w:rFonts w:ascii="Calibri" w:hAnsi="Calibri" w:cs="Arial"/>
          <w:sz w:val="22"/>
          <w:szCs w:val="22"/>
        </w:rPr>
        <w:t>ASPR</w:t>
      </w:r>
      <w:r w:rsidRPr="00980CAC">
        <w:rPr>
          <w:rFonts w:ascii="Calibri" w:hAnsi="Calibri" w:cs="Arial"/>
          <w:sz w:val="22"/>
          <w:szCs w:val="22"/>
        </w:rPr>
        <w:t xml:space="preserve"> to share with the Closed </w:t>
      </w:r>
      <w:r>
        <w:rPr>
          <w:rFonts w:ascii="Calibri" w:hAnsi="Calibri" w:cs="Arial"/>
          <w:sz w:val="22"/>
          <w:szCs w:val="22"/>
        </w:rPr>
        <w:t>EDS</w:t>
      </w:r>
      <w:r w:rsidRPr="00980CAC">
        <w:rPr>
          <w:rFonts w:ascii="Calibri" w:hAnsi="Calibri" w:cs="Arial"/>
          <w:sz w:val="22"/>
          <w:szCs w:val="22"/>
        </w:rPr>
        <w:t xml:space="preserve"> partner.</w:t>
      </w:r>
    </w:p>
    <w:p w14:paraId="21FC853E" w14:textId="77777777" w:rsidR="005A0F5F" w:rsidRPr="00980CAC" w:rsidRDefault="005A0F5F" w:rsidP="000616C8">
      <w:pPr>
        <w:numPr>
          <w:ilvl w:val="0"/>
          <w:numId w:val="91"/>
        </w:numPr>
        <w:spacing w:after="120"/>
        <w:rPr>
          <w:rFonts w:ascii="Calibri" w:hAnsi="Calibri" w:cs="Arial"/>
          <w:sz w:val="22"/>
          <w:szCs w:val="22"/>
        </w:rPr>
      </w:pPr>
      <w:r w:rsidRPr="00980CAC">
        <w:rPr>
          <w:rFonts w:ascii="Calibri" w:hAnsi="Calibri" w:cs="Arial"/>
          <w:sz w:val="22"/>
          <w:szCs w:val="22"/>
        </w:rPr>
        <w:t xml:space="preserve">Offer training on setting up a mass dispensing operation to </w:t>
      </w:r>
      <w:r>
        <w:rPr>
          <w:rFonts w:ascii="Calibri" w:hAnsi="Calibri" w:cs="Arial"/>
          <w:sz w:val="22"/>
          <w:szCs w:val="22"/>
        </w:rPr>
        <w:t>the entity</w:t>
      </w:r>
      <w:r w:rsidRPr="00980CAC">
        <w:rPr>
          <w:rFonts w:ascii="Calibri" w:hAnsi="Calibri" w:cs="Arial"/>
          <w:sz w:val="22"/>
          <w:szCs w:val="22"/>
        </w:rPr>
        <w:t xml:space="preserve">. A local Medical Reserve Corps </w:t>
      </w:r>
      <w:r>
        <w:rPr>
          <w:rFonts w:ascii="Calibri" w:hAnsi="Calibri" w:cs="Arial"/>
          <w:sz w:val="22"/>
          <w:szCs w:val="22"/>
        </w:rPr>
        <w:t xml:space="preserve">unit </w:t>
      </w:r>
      <w:r w:rsidRPr="00980CAC">
        <w:rPr>
          <w:rFonts w:ascii="Calibri" w:hAnsi="Calibri" w:cs="Arial"/>
          <w:sz w:val="22"/>
          <w:szCs w:val="22"/>
        </w:rPr>
        <w:t xml:space="preserve">may be able to provide this training. If not, reach out to </w:t>
      </w:r>
      <w:r>
        <w:rPr>
          <w:rFonts w:ascii="Calibri" w:hAnsi="Calibri" w:cs="Arial"/>
          <w:sz w:val="22"/>
          <w:szCs w:val="22"/>
        </w:rPr>
        <w:t>the</w:t>
      </w:r>
      <w:r w:rsidRPr="00980CAC">
        <w:rPr>
          <w:rFonts w:ascii="Calibri" w:hAnsi="Calibri" w:cs="Arial"/>
          <w:sz w:val="22"/>
          <w:szCs w:val="22"/>
        </w:rPr>
        <w:t xml:space="preserve"> </w:t>
      </w:r>
      <w:r>
        <w:rPr>
          <w:rFonts w:ascii="Calibri" w:hAnsi="Calibri" w:cs="Arial"/>
          <w:sz w:val="22"/>
          <w:szCs w:val="22"/>
        </w:rPr>
        <w:t>local</w:t>
      </w:r>
      <w:r w:rsidRPr="00980CAC">
        <w:rPr>
          <w:rFonts w:ascii="Calibri" w:hAnsi="Calibri" w:cs="Arial"/>
          <w:sz w:val="22"/>
          <w:szCs w:val="22"/>
        </w:rPr>
        <w:t xml:space="preserve"> planner and Preparedness Coordinator for Public Health for assistance.</w:t>
      </w:r>
      <w:r>
        <w:rPr>
          <w:rFonts w:ascii="Calibri" w:hAnsi="Calibri" w:cs="Arial"/>
          <w:sz w:val="22"/>
          <w:szCs w:val="22"/>
        </w:rPr>
        <w:t xml:space="preserve"> If there is other Closed EDS partner in the community, they may be willing share their experience and lessons learned with the new entity. </w:t>
      </w:r>
    </w:p>
    <w:p w14:paraId="6F906BC5" w14:textId="77777777" w:rsidR="005A0F5F" w:rsidRPr="00980CAC" w:rsidRDefault="005A0F5F" w:rsidP="005A0F5F">
      <w:pPr>
        <w:spacing w:after="120"/>
        <w:rPr>
          <w:rFonts w:ascii="Calibri" w:hAnsi="Calibri" w:cs="Arial"/>
          <w:b/>
          <w:sz w:val="22"/>
          <w:szCs w:val="22"/>
        </w:rPr>
      </w:pPr>
      <w:r w:rsidRPr="00E175F2">
        <w:rPr>
          <w:rFonts w:ascii="Calibri" w:hAnsi="Calibri" w:cs="Arial"/>
          <w:b/>
          <w:sz w:val="22"/>
          <w:szCs w:val="22"/>
          <w:u w:val="single"/>
        </w:rPr>
        <w:t>Establishing a Closed EDS</w:t>
      </w:r>
    </w:p>
    <w:p w14:paraId="12835304" w14:textId="77777777" w:rsidR="005A0F5F" w:rsidRPr="00980CAC" w:rsidRDefault="005A0F5F" w:rsidP="005A0F5F">
      <w:pPr>
        <w:spacing w:after="120"/>
        <w:rPr>
          <w:rFonts w:ascii="Calibri" w:hAnsi="Calibri" w:cs="Arial"/>
          <w:sz w:val="22"/>
          <w:szCs w:val="22"/>
        </w:rPr>
      </w:pPr>
      <w:r>
        <w:rPr>
          <w:rFonts w:ascii="Calibri" w:hAnsi="Calibri" w:cs="Arial"/>
          <w:sz w:val="22"/>
          <w:szCs w:val="22"/>
        </w:rPr>
        <w:t>Once it has been determined that the entity is willing and able to operate a Closed EDS for its population, and has identified an appropriate location, local health and the entity should work together t</w:t>
      </w:r>
      <w:r w:rsidRPr="00CE415F">
        <w:rPr>
          <w:rFonts w:ascii="Calibri" w:hAnsi="Calibri"/>
          <w:sz w:val="22"/>
          <w:szCs w:val="22"/>
        </w:rPr>
        <w:t xml:space="preserve">o enter into a written agreement, or Memorandum of </w:t>
      </w:r>
      <w:r w:rsidR="00213FF0">
        <w:rPr>
          <w:rFonts w:ascii="Calibri" w:hAnsi="Calibri"/>
          <w:sz w:val="22"/>
          <w:szCs w:val="22"/>
        </w:rPr>
        <w:t>Understanding</w:t>
      </w:r>
      <w:r w:rsidRPr="00CE415F">
        <w:rPr>
          <w:rFonts w:ascii="Calibri" w:hAnsi="Calibri"/>
          <w:sz w:val="22"/>
          <w:szCs w:val="22"/>
        </w:rPr>
        <w:t xml:space="preserve"> (MO</w:t>
      </w:r>
      <w:r w:rsidR="00213FF0">
        <w:rPr>
          <w:rFonts w:ascii="Calibri" w:hAnsi="Calibri"/>
          <w:sz w:val="22"/>
          <w:szCs w:val="22"/>
        </w:rPr>
        <w:t>U</w:t>
      </w:r>
      <w:r w:rsidRPr="00CE415F">
        <w:rPr>
          <w:rFonts w:ascii="Calibri" w:hAnsi="Calibri"/>
          <w:sz w:val="22"/>
          <w:szCs w:val="22"/>
        </w:rPr>
        <w:t>). The MO</w:t>
      </w:r>
      <w:r w:rsidR="00213FF0">
        <w:rPr>
          <w:rFonts w:ascii="Calibri" w:hAnsi="Calibri"/>
          <w:sz w:val="22"/>
          <w:szCs w:val="22"/>
        </w:rPr>
        <w:t>U</w:t>
      </w:r>
      <w:r w:rsidRPr="00CE415F">
        <w:rPr>
          <w:rFonts w:ascii="Calibri" w:hAnsi="Calibri"/>
          <w:sz w:val="22"/>
          <w:szCs w:val="22"/>
        </w:rPr>
        <w:t xml:space="preserve"> between the local health agency and Closed EDS entity should identify realistic and achievable expectations for each of the parties.  Local health and the entity </w:t>
      </w:r>
      <w:r w:rsidRPr="00980CAC">
        <w:rPr>
          <w:rFonts w:ascii="Calibri" w:hAnsi="Calibri" w:cs="Arial"/>
          <w:sz w:val="22"/>
          <w:szCs w:val="22"/>
        </w:rPr>
        <w:t>must fully understand and be able to accomplish all of the activities required to support and operate a Closed EDS.</w:t>
      </w:r>
    </w:p>
    <w:p w14:paraId="53146A0A" w14:textId="77777777" w:rsidR="005A0F5F" w:rsidRPr="00980CAC" w:rsidRDefault="005A0F5F" w:rsidP="005A0F5F">
      <w:pPr>
        <w:spacing w:after="120"/>
        <w:rPr>
          <w:rFonts w:ascii="Calibri" w:hAnsi="Calibri" w:cs="Arial"/>
          <w:sz w:val="22"/>
          <w:szCs w:val="22"/>
        </w:rPr>
      </w:pPr>
      <w:r w:rsidRPr="00980CAC">
        <w:rPr>
          <w:rFonts w:ascii="Calibri" w:hAnsi="Calibri" w:cs="Arial"/>
          <w:sz w:val="22"/>
          <w:szCs w:val="22"/>
        </w:rPr>
        <w:t>The MO</w:t>
      </w:r>
      <w:r w:rsidR="00213FF0">
        <w:rPr>
          <w:rFonts w:ascii="Calibri" w:hAnsi="Calibri" w:cs="Arial"/>
          <w:sz w:val="22"/>
          <w:szCs w:val="22"/>
        </w:rPr>
        <w:t>U</w:t>
      </w:r>
      <w:r w:rsidRPr="00980CAC">
        <w:rPr>
          <w:rFonts w:ascii="Calibri" w:hAnsi="Calibri" w:cs="Arial"/>
          <w:sz w:val="22"/>
          <w:szCs w:val="22"/>
        </w:rPr>
        <w:t xml:space="preserve"> formalizes the agreement of the two parties to work together in support of the Closed EDS. The </w:t>
      </w:r>
      <w:r>
        <w:rPr>
          <w:rFonts w:ascii="Calibri" w:hAnsi="Calibri" w:cs="Arial"/>
          <w:sz w:val="22"/>
          <w:szCs w:val="22"/>
        </w:rPr>
        <w:t xml:space="preserve">agreement should </w:t>
      </w:r>
      <w:r w:rsidRPr="00980CAC">
        <w:rPr>
          <w:rFonts w:ascii="Calibri" w:hAnsi="Calibri" w:cs="Arial"/>
          <w:sz w:val="22"/>
          <w:szCs w:val="22"/>
        </w:rPr>
        <w:t xml:space="preserve">describe the agreed </w:t>
      </w:r>
      <w:r>
        <w:rPr>
          <w:rFonts w:ascii="Calibri" w:hAnsi="Calibri" w:cs="Arial"/>
          <w:sz w:val="22"/>
          <w:szCs w:val="22"/>
        </w:rPr>
        <w:t xml:space="preserve">upon </w:t>
      </w:r>
      <w:r w:rsidRPr="00980CAC">
        <w:rPr>
          <w:rFonts w:ascii="Calibri" w:hAnsi="Calibri" w:cs="Arial"/>
          <w:sz w:val="22"/>
          <w:szCs w:val="22"/>
        </w:rPr>
        <w:t xml:space="preserve">roles and responsibilities of the local health department and the </w:t>
      </w:r>
      <w:r>
        <w:rPr>
          <w:rFonts w:ascii="Calibri" w:hAnsi="Calibri" w:cs="Arial"/>
          <w:sz w:val="22"/>
          <w:szCs w:val="22"/>
        </w:rPr>
        <w:t>entity</w:t>
      </w:r>
      <w:r w:rsidRPr="00980CAC">
        <w:rPr>
          <w:rFonts w:ascii="Calibri" w:hAnsi="Calibri" w:cs="Arial"/>
          <w:sz w:val="22"/>
          <w:szCs w:val="22"/>
        </w:rPr>
        <w:t xml:space="preserve"> in terms of activating the Closed EDS if necessary.  </w:t>
      </w:r>
      <w:r>
        <w:rPr>
          <w:rFonts w:ascii="Calibri" w:hAnsi="Calibri" w:cs="Arial"/>
          <w:sz w:val="22"/>
          <w:szCs w:val="22"/>
        </w:rPr>
        <w:t>The draft MO</w:t>
      </w:r>
      <w:r w:rsidR="00213FF0">
        <w:rPr>
          <w:rFonts w:ascii="Calibri" w:hAnsi="Calibri" w:cs="Arial"/>
          <w:sz w:val="22"/>
          <w:szCs w:val="22"/>
        </w:rPr>
        <w:t>U</w:t>
      </w:r>
      <w:r>
        <w:rPr>
          <w:rFonts w:ascii="Calibri" w:hAnsi="Calibri" w:cs="Arial"/>
          <w:sz w:val="22"/>
          <w:szCs w:val="22"/>
        </w:rPr>
        <w:t xml:space="preserve"> should be reviewed by MDPH OPEM to ensure that it is consistent with state and federal MCM guidance. Before executing the agreement,</w:t>
      </w:r>
      <w:r w:rsidRPr="00980CAC">
        <w:rPr>
          <w:rFonts w:ascii="Calibri" w:hAnsi="Calibri" w:cs="Arial"/>
          <w:sz w:val="22"/>
          <w:szCs w:val="22"/>
        </w:rPr>
        <w:t xml:space="preserve"> both parties </w:t>
      </w:r>
      <w:r>
        <w:rPr>
          <w:rFonts w:ascii="Calibri" w:hAnsi="Calibri" w:cs="Arial"/>
          <w:sz w:val="22"/>
          <w:szCs w:val="22"/>
        </w:rPr>
        <w:t xml:space="preserve">should </w:t>
      </w:r>
      <w:r w:rsidRPr="00980CAC">
        <w:rPr>
          <w:rFonts w:ascii="Calibri" w:hAnsi="Calibri" w:cs="Arial"/>
          <w:sz w:val="22"/>
          <w:szCs w:val="22"/>
        </w:rPr>
        <w:t xml:space="preserve">consult with appropriate legal counsel to ensure that the agreement is consistent with any applicable policies and procedures of the local jurisdiction and the organization. </w:t>
      </w:r>
    </w:p>
    <w:p w14:paraId="5134D434" w14:textId="77777777" w:rsidR="005A0F5F" w:rsidRPr="00FE3074" w:rsidRDefault="005A0F5F" w:rsidP="005A0F5F">
      <w:pPr>
        <w:spacing w:after="120"/>
        <w:rPr>
          <w:rFonts w:ascii="Calibri" w:hAnsi="Calibri" w:cs="Arial"/>
          <w:sz w:val="22"/>
          <w:szCs w:val="22"/>
        </w:rPr>
      </w:pPr>
      <w:r w:rsidRPr="00CE415F">
        <w:rPr>
          <w:rFonts w:ascii="Calibri" w:hAnsi="Calibri"/>
          <w:sz w:val="22"/>
          <w:szCs w:val="22"/>
        </w:rPr>
        <w:t>With the MO</w:t>
      </w:r>
      <w:r w:rsidR="00213FF0">
        <w:rPr>
          <w:rFonts w:ascii="Calibri" w:hAnsi="Calibri"/>
          <w:sz w:val="22"/>
          <w:szCs w:val="22"/>
        </w:rPr>
        <w:t>U</w:t>
      </w:r>
      <w:r w:rsidRPr="00CE415F">
        <w:rPr>
          <w:rFonts w:ascii="Calibri" w:hAnsi="Calibri"/>
          <w:sz w:val="22"/>
          <w:szCs w:val="22"/>
        </w:rPr>
        <w:t xml:space="preserve"> in place, local health and the entity should work together to create a site-specific plan for the Closed EDS.  </w:t>
      </w:r>
      <w:r>
        <w:rPr>
          <w:rFonts w:ascii="Calibri" w:hAnsi="Calibri"/>
          <w:sz w:val="22"/>
          <w:szCs w:val="22"/>
        </w:rPr>
        <w:t xml:space="preserve">The plan should address the operational and logistical components necessary to support the Closed EDS.  </w:t>
      </w:r>
      <w:r w:rsidRPr="00CE415F">
        <w:rPr>
          <w:rFonts w:ascii="Calibri" w:hAnsi="Calibri"/>
          <w:sz w:val="22"/>
          <w:szCs w:val="22"/>
        </w:rPr>
        <w:t>An</w:t>
      </w:r>
      <w:r w:rsidRPr="00470CB3">
        <w:rPr>
          <w:rFonts w:ascii="Calibri" w:hAnsi="Calibri" w:cs="Arial"/>
          <w:sz w:val="22"/>
          <w:szCs w:val="22"/>
        </w:rPr>
        <w:t xml:space="preserve"> Emergency Dispensing Site Facility Survey </w:t>
      </w:r>
      <w:r>
        <w:rPr>
          <w:rFonts w:ascii="Calibri" w:hAnsi="Calibri" w:cs="Arial"/>
          <w:sz w:val="22"/>
          <w:szCs w:val="22"/>
        </w:rPr>
        <w:t xml:space="preserve">should be completed </w:t>
      </w:r>
      <w:r w:rsidRPr="00470CB3">
        <w:rPr>
          <w:rFonts w:ascii="Calibri" w:hAnsi="Calibri" w:cs="Arial"/>
          <w:sz w:val="22"/>
          <w:szCs w:val="22"/>
        </w:rPr>
        <w:t xml:space="preserve">to ensure that the location is appropriate </w:t>
      </w:r>
      <w:r>
        <w:rPr>
          <w:rFonts w:ascii="Calibri" w:hAnsi="Calibri" w:cs="Arial"/>
          <w:sz w:val="22"/>
          <w:szCs w:val="22"/>
        </w:rPr>
        <w:t xml:space="preserve">and determine </w:t>
      </w:r>
      <w:r w:rsidRPr="00CE415F">
        <w:rPr>
          <w:rFonts w:ascii="Calibri" w:hAnsi="Calibri"/>
          <w:sz w:val="22"/>
          <w:szCs w:val="22"/>
        </w:rPr>
        <w:t xml:space="preserve">proper station layout, client flow, and to address any potential security issues.  It will be critical to engage local law enforcement and facility security personnel in conducting the </w:t>
      </w:r>
      <w:r w:rsidR="001837F4">
        <w:rPr>
          <w:rFonts w:ascii="Calibri" w:hAnsi="Calibri"/>
          <w:sz w:val="22"/>
          <w:szCs w:val="22"/>
        </w:rPr>
        <w:t>Facility Survey</w:t>
      </w:r>
      <w:r w:rsidRPr="00CE415F">
        <w:rPr>
          <w:rFonts w:ascii="Calibri" w:hAnsi="Calibri"/>
          <w:sz w:val="22"/>
          <w:szCs w:val="22"/>
        </w:rPr>
        <w:t>. They will need to be a part of the planning process, as they will be relied on to provide site security.</w:t>
      </w:r>
      <w:r>
        <w:t xml:space="preserve"> </w:t>
      </w:r>
    </w:p>
    <w:p w14:paraId="72BDAF2C" w14:textId="77777777" w:rsidR="005A0F5F" w:rsidRPr="00980CAC" w:rsidRDefault="005A0F5F" w:rsidP="005A0F5F">
      <w:pPr>
        <w:spacing w:after="120"/>
        <w:rPr>
          <w:rFonts w:ascii="Calibri" w:hAnsi="Calibri" w:cs="Arial"/>
          <w:sz w:val="22"/>
          <w:szCs w:val="22"/>
        </w:rPr>
      </w:pPr>
      <w:r w:rsidRPr="00980CAC">
        <w:rPr>
          <w:rFonts w:ascii="Calibri" w:hAnsi="Calibri" w:cs="Arial"/>
          <w:sz w:val="22"/>
          <w:szCs w:val="22"/>
        </w:rPr>
        <w:t xml:space="preserve">The written Closed EDS plans should include the basic components of an Open EDS plan </w:t>
      </w:r>
      <w:r>
        <w:rPr>
          <w:rFonts w:ascii="Calibri" w:hAnsi="Calibri" w:cs="Arial"/>
          <w:sz w:val="22"/>
          <w:szCs w:val="22"/>
        </w:rPr>
        <w:t>including</w:t>
      </w:r>
      <w:r w:rsidRPr="00980CAC">
        <w:rPr>
          <w:rFonts w:ascii="Calibri" w:hAnsi="Calibri" w:cs="Arial"/>
          <w:sz w:val="22"/>
          <w:szCs w:val="22"/>
        </w:rPr>
        <w:t>:</w:t>
      </w:r>
    </w:p>
    <w:p w14:paraId="71F6147B" w14:textId="77777777" w:rsidR="005A0F5F" w:rsidRPr="00980CAC" w:rsidRDefault="005A0F5F" w:rsidP="000616C8">
      <w:pPr>
        <w:numPr>
          <w:ilvl w:val="1"/>
          <w:numId w:val="91"/>
        </w:numPr>
        <w:spacing w:after="120"/>
        <w:rPr>
          <w:rFonts w:ascii="Calibri" w:hAnsi="Calibri" w:cs="Arial"/>
          <w:sz w:val="22"/>
          <w:szCs w:val="22"/>
        </w:rPr>
      </w:pPr>
      <w:r w:rsidRPr="00980CAC">
        <w:rPr>
          <w:rFonts w:ascii="Calibri" w:hAnsi="Calibri" w:cs="Arial"/>
          <w:sz w:val="22"/>
          <w:szCs w:val="22"/>
        </w:rPr>
        <w:t xml:space="preserve">Description of population to be served, including the number </w:t>
      </w:r>
      <w:r>
        <w:rPr>
          <w:rFonts w:ascii="Calibri" w:hAnsi="Calibri" w:cs="Arial"/>
          <w:sz w:val="22"/>
          <w:szCs w:val="22"/>
        </w:rPr>
        <w:t xml:space="preserve">and demographics </w:t>
      </w:r>
      <w:r w:rsidRPr="00980CAC">
        <w:rPr>
          <w:rFonts w:ascii="Calibri" w:hAnsi="Calibri" w:cs="Arial"/>
          <w:sz w:val="22"/>
          <w:szCs w:val="22"/>
        </w:rPr>
        <w:t>of anticipated recipients.</w:t>
      </w:r>
    </w:p>
    <w:p w14:paraId="087CA94C" w14:textId="77777777" w:rsidR="005A0F5F" w:rsidRDefault="005A0F5F" w:rsidP="000616C8">
      <w:pPr>
        <w:numPr>
          <w:ilvl w:val="1"/>
          <w:numId w:val="91"/>
        </w:numPr>
        <w:spacing w:after="120"/>
        <w:rPr>
          <w:rFonts w:ascii="Calibri" w:hAnsi="Calibri" w:cs="Arial"/>
          <w:sz w:val="22"/>
          <w:szCs w:val="22"/>
        </w:rPr>
      </w:pPr>
      <w:r w:rsidRPr="00FE3074">
        <w:rPr>
          <w:rFonts w:ascii="Calibri" w:hAnsi="Calibri" w:cs="Arial"/>
          <w:sz w:val="22"/>
          <w:szCs w:val="22"/>
        </w:rPr>
        <w:t>A map of the location(s</w:t>
      </w:r>
      <w:r w:rsidR="00213FF0">
        <w:rPr>
          <w:rFonts w:ascii="Calibri" w:hAnsi="Calibri" w:cs="Arial"/>
          <w:sz w:val="22"/>
          <w:szCs w:val="22"/>
        </w:rPr>
        <w:t>)</w:t>
      </w:r>
      <w:r w:rsidRPr="00FE3074">
        <w:rPr>
          <w:rFonts w:ascii="Calibri" w:hAnsi="Calibri" w:cs="Arial"/>
          <w:sz w:val="22"/>
          <w:szCs w:val="22"/>
        </w:rPr>
        <w:t xml:space="preserve"> of the Closed EDS. </w:t>
      </w:r>
    </w:p>
    <w:p w14:paraId="317790C4" w14:textId="77777777" w:rsidR="005A0F5F" w:rsidRDefault="005A0F5F" w:rsidP="000616C8">
      <w:pPr>
        <w:numPr>
          <w:ilvl w:val="1"/>
          <w:numId w:val="91"/>
        </w:numPr>
        <w:spacing w:after="120"/>
        <w:rPr>
          <w:rFonts w:ascii="Calibri" w:hAnsi="Calibri" w:cs="Arial"/>
          <w:sz w:val="22"/>
          <w:szCs w:val="22"/>
        </w:rPr>
      </w:pPr>
      <w:r>
        <w:rPr>
          <w:rFonts w:ascii="Calibri" w:hAnsi="Calibri" w:cs="Arial"/>
          <w:sz w:val="22"/>
          <w:szCs w:val="22"/>
        </w:rPr>
        <w:t>Diagrams of the expected Closed EDS layout.</w:t>
      </w:r>
    </w:p>
    <w:p w14:paraId="52F985F8" w14:textId="77777777" w:rsidR="005A0F5F" w:rsidRPr="00FE3074" w:rsidRDefault="005A0F5F" w:rsidP="000616C8">
      <w:pPr>
        <w:numPr>
          <w:ilvl w:val="1"/>
          <w:numId w:val="91"/>
        </w:numPr>
        <w:spacing w:after="120"/>
        <w:rPr>
          <w:rFonts w:ascii="Calibri" w:hAnsi="Calibri" w:cs="Arial"/>
          <w:sz w:val="22"/>
          <w:szCs w:val="22"/>
        </w:rPr>
      </w:pPr>
      <w:r w:rsidRPr="00FE3074">
        <w:rPr>
          <w:rFonts w:ascii="Calibri" w:hAnsi="Calibri" w:cs="Arial"/>
          <w:sz w:val="22"/>
          <w:szCs w:val="22"/>
        </w:rPr>
        <w:t>Notification procedures and contact information.</w:t>
      </w:r>
    </w:p>
    <w:p w14:paraId="499561F8" w14:textId="77777777" w:rsidR="005A0F5F" w:rsidRPr="00980CAC" w:rsidRDefault="005A0F5F" w:rsidP="000616C8">
      <w:pPr>
        <w:numPr>
          <w:ilvl w:val="1"/>
          <w:numId w:val="91"/>
        </w:numPr>
        <w:spacing w:after="120"/>
        <w:rPr>
          <w:rFonts w:ascii="Calibri" w:hAnsi="Calibri" w:cs="Arial"/>
          <w:sz w:val="22"/>
          <w:szCs w:val="22"/>
        </w:rPr>
      </w:pPr>
      <w:r w:rsidRPr="00980CAC">
        <w:rPr>
          <w:rFonts w:ascii="Calibri" w:hAnsi="Calibri" w:cs="Arial"/>
          <w:sz w:val="22"/>
          <w:szCs w:val="22"/>
        </w:rPr>
        <w:t>Communications plan.</w:t>
      </w:r>
    </w:p>
    <w:p w14:paraId="02DC4FFF" w14:textId="77777777" w:rsidR="005A0F5F" w:rsidRDefault="005A0F5F" w:rsidP="000616C8">
      <w:pPr>
        <w:numPr>
          <w:ilvl w:val="1"/>
          <w:numId w:val="91"/>
        </w:numPr>
        <w:spacing w:after="120"/>
        <w:rPr>
          <w:rFonts w:ascii="Calibri" w:hAnsi="Calibri" w:cs="Arial"/>
          <w:sz w:val="22"/>
          <w:szCs w:val="22"/>
        </w:rPr>
      </w:pPr>
      <w:r>
        <w:rPr>
          <w:rFonts w:ascii="Calibri" w:hAnsi="Calibri" w:cs="Arial"/>
          <w:sz w:val="22"/>
          <w:szCs w:val="22"/>
        </w:rPr>
        <w:t>Activation and operations procedures.</w:t>
      </w:r>
    </w:p>
    <w:p w14:paraId="58F5A880" w14:textId="77777777" w:rsidR="005A0F5F" w:rsidRPr="00FD18C4" w:rsidRDefault="005A0F5F" w:rsidP="000616C8">
      <w:pPr>
        <w:numPr>
          <w:ilvl w:val="1"/>
          <w:numId w:val="91"/>
        </w:numPr>
        <w:spacing w:after="120"/>
        <w:rPr>
          <w:rFonts w:ascii="Calibri" w:hAnsi="Calibri" w:cs="Arial"/>
          <w:sz w:val="22"/>
          <w:szCs w:val="22"/>
        </w:rPr>
      </w:pPr>
      <w:r>
        <w:rPr>
          <w:rFonts w:ascii="Calibri" w:hAnsi="Calibri" w:cs="Arial"/>
          <w:sz w:val="22"/>
          <w:szCs w:val="22"/>
        </w:rPr>
        <w:t xml:space="preserve">Incident command structure and </w:t>
      </w:r>
      <w:r w:rsidRPr="00980CAC">
        <w:rPr>
          <w:rFonts w:ascii="Calibri" w:hAnsi="Calibri" w:cs="Arial"/>
          <w:sz w:val="22"/>
          <w:szCs w:val="22"/>
        </w:rPr>
        <w:t xml:space="preserve">staffing (e.g., </w:t>
      </w:r>
      <w:r>
        <w:rPr>
          <w:rFonts w:ascii="Calibri" w:hAnsi="Calibri" w:cs="Arial"/>
          <w:sz w:val="22"/>
          <w:szCs w:val="22"/>
        </w:rPr>
        <w:t xml:space="preserve">command and general staff, </w:t>
      </w:r>
      <w:r w:rsidRPr="00980CAC">
        <w:rPr>
          <w:rFonts w:ascii="Calibri" w:hAnsi="Calibri" w:cs="Arial"/>
          <w:sz w:val="22"/>
          <w:szCs w:val="22"/>
        </w:rPr>
        <w:t>administrative staff, medical personnel, behavioral health support, maintenance or custodial staff) and job action sheets.</w:t>
      </w:r>
      <w:r>
        <w:rPr>
          <w:rFonts w:ascii="Calibri" w:hAnsi="Calibri" w:cs="Arial"/>
          <w:sz w:val="22"/>
          <w:szCs w:val="22"/>
        </w:rPr>
        <w:t xml:space="preserve"> </w:t>
      </w:r>
    </w:p>
    <w:p w14:paraId="634E1F8D" w14:textId="77777777" w:rsidR="005A0F5F" w:rsidRPr="00775623" w:rsidRDefault="005A0F5F" w:rsidP="000616C8">
      <w:pPr>
        <w:numPr>
          <w:ilvl w:val="1"/>
          <w:numId w:val="91"/>
        </w:numPr>
        <w:spacing w:after="120"/>
        <w:rPr>
          <w:rFonts w:ascii="Calibri" w:hAnsi="Calibri" w:cs="Arial"/>
          <w:sz w:val="22"/>
          <w:szCs w:val="22"/>
        </w:rPr>
      </w:pPr>
      <w:r w:rsidRPr="005F6225">
        <w:rPr>
          <w:rFonts w:ascii="Calibri" w:hAnsi="Calibri" w:cs="Arial"/>
          <w:sz w:val="22"/>
          <w:szCs w:val="22"/>
        </w:rPr>
        <w:t xml:space="preserve">Procedure for obtaining </w:t>
      </w:r>
      <w:r w:rsidRPr="00BD332A">
        <w:rPr>
          <w:rFonts w:ascii="Calibri" w:hAnsi="Calibri" w:cs="Arial"/>
          <w:sz w:val="22"/>
          <w:szCs w:val="22"/>
        </w:rPr>
        <w:t>MCM for the Closed EDS. Local health and the entity must work together to determine whether the MCM will be</w:t>
      </w:r>
      <w:r w:rsidRPr="00775623">
        <w:rPr>
          <w:rFonts w:ascii="Calibri" w:hAnsi="Calibri" w:cs="Arial"/>
          <w:sz w:val="22"/>
          <w:szCs w:val="22"/>
        </w:rPr>
        <w:t xml:space="preserve"> picked up from the local health department by entity’s staff, o</w:t>
      </w:r>
      <w:r w:rsidRPr="00D32749">
        <w:rPr>
          <w:rFonts w:ascii="Calibri" w:hAnsi="Calibri" w:cs="Arial"/>
          <w:sz w:val="22"/>
          <w:szCs w:val="22"/>
        </w:rPr>
        <w:t xml:space="preserve">r delivered to the Closed EDS location by the local health department), including necessary transfer of custody procedures and forms to formalize the exchange of material from community to partner. </w:t>
      </w:r>
      <w:r w:rsidRPr="00E175F2">
        <w:rPr>
          <w:rFonts w:ascii="Calibri" w:hAnsi="Calibri" w:cs="Arial"/>
          <w:sz w:val="22"/>
          <w:szCs w:val="22"/>
        </w:rPr>
        <w:t xml:space="preserve">OPEM recommends that that the entity assigns at least two staff members pick up MCM from local health, or to manage delivery if local health will be delivering MCM to the organization. </w:t>
      </w:r>
      <w:r w:rsidRPr="005F6225">
        <w:rPr>
          <w:rFonts w:ascii="Calibri" w:hAnsi="Calibri" w:cs="Arial"/>
          <w:sz w:val="22"/>
          <w:szCs w:val="22"/>
        </w:rPr>
        <w:t xml:space="preserve">Security, which would include the role of the organization’s security personnel </w:t>
      </w:r>
      <w:r w:rsidRPr="00BD332A">
        <w:rPr>
          <w:rFonts w:ascii="Calibri" w:hAnsi="Calibri" w:cs="Arial"/>
          <w:sz w:val="22"/>
          <w:szCs w:val="22"/>
        </w:rPr>
        <w:t>as well as clarification of support that may be provided by local law enforcement to help manage traffic flow, ensure access for transport vehicles, ensure safe custody of the medicines, and address other public safety concerns</w:t>
      </w:r>
      <w:r w:rsidRPr="00775623">
        <w:rPr>
          <w:rFonts w:ascii="Calibri" w:hAnsi="Calibri" w:cs="Arial"/>
          <w:sz w:val="22"/>
          <w:szCs w:val="22"/>
        </w:rPr>
        <w:t>.</w:t>
      </w:r>
    </w:p>
    <w:p w14:paraId="471D4807" w14:textId="77777777" w:rsidR="005A0F5F" w:rsidRPr="00980CAC" w:rsidRDefault="005A0F5F" w:rsidP="000616C8">
      <w:pPr>
        <w:numPr>
          <w:ilvl w:val="1"/>
          <w:numId w:val="91"/>
        </w:numPr>
        <w:spacing w:after="120"/>
        <w:rPr>
          <w:rFonts w:ascii="Calibri" w:hAnsi="Calibri" w:cs="Arial"/>
          <w:sz w:val="22"/>
          <w:szCs w:val="22"/>
        </w:rPr>
      </w:pPr>
      <w:r w:rsidRPr="00980CAC">
        <w:rPr>
          <w:rFonts w:ascii="Calibri" w:hAnsi="Calibri" w:cs="Arial"/>
          <w:sz w:val="22"/>
          <w:szCs w:val="22"/>
        </w:rPr>
        <w:t>Inventory management</w:t>
      </w:r>
      <w:r>
        <w:rPr>
          <w:rFonts w:ascii="Calibri" w:hAnsi="Calibri" w:cs="Arial"/>
          <w:sz w:val="22"/>
          <w:szCs w:val="22"/>
        </w:rPr>
        <w:t xml:space="preserve"> procedures</w:t>
      </w:r>
      <w:r w:rsidRPr="00980CAC">
        <w:rPr>
          <w:rFonts w:ascii="Calibri" w:hAnsi="Calibri" w:cs="Arial"/>
          <w:sz w:val="22"/>
          <w:szCs w:val="22"/>
        </w:rPr>
        <w:t xml:space="preserve">. </w:t>
      </w:r>
    </w:p>
    <w:p w14:paraId="49610C49" w14:textId="77777777" w:rsidR="005A0F5F" w:rsidRPr="00980CAC" w:rsidRDefault="005A0F5F" w:rsidP="000616C8">
      <w:pPr>
        <w:numPr>
          <w:ilvl w:val="1"/>
          <w:numId w:val="91"/>
        </w:numPr>
        <w:spacing w:after="120"/>
        <w:rPr>
          <w:rFonts w:ascii="Calibri" w:hAnsi="Calibri" w:cs="Arial"/>
          <w:sz w:val="22"/>
          <w:szCs w:val="22"/>
        </w:rPr>
      </w:pPr>
      <w:r w:rsidRPr="00980CAC">
        <w:rPr>
          <w:rFonts w:ascii="Calibri" w:hAnsi="Calibri" w:cs="Arial"/>
          <w:sz w:val="22"/>
          <w:szCs w:val="22"/>
        </w:rPr>
        <w:t>Dispensing operations, including registration, screening, and monitoring for adverse reactions</w:t>
      </w:r>
      <w:r>
        <w:rPr>
          <w:rFonts w:ascii="Calibri" w:hAnsi="Calibri" w:cs="Arial"/>
          <w:sz w:val="22"/>
          <w:szCs w:val="22"/>
        </w:rPr>
        <w:t>.</w:t>
      </w:r>
    </w:p>
    <w:p w14:paraId="2B211AE5" w14:textId="77777777" w:rsidR="005A0F5F" w:rsidRPr="00980CAC" w:rsidRDefault="005A0F5F" w:rsidP="000616C8">
      <w:pPr>
        <w:numPr>
          <w:ilvl w:val="1"/>
          <w:numId w:val="91"/>
        </w:numPr>
        <w:spacing w:after="120"/>
        <w:rPr>
          <w:rFonts w:ascii="Calibri" w:hAnsi="Calibri" w:cs="Arial"/>
          <w:sz w:val="22"/>
          <w:szCs w:val="22"/>
        </w:rPr>
      </w:pPr>
      <w:r w:rsidRPr="00980CAC">
        <w:rPr>
          <w:rFonts w:ascii="Calibri" w:hAnsi="Calibri" w:cs="Arial"/>
          <w:sz w:val="22"/>
          <w:szCs w:val="22"/>
        </w:rPr>
        <w:t>Demobilization</w:t>
      </w:r>
      <w:r>
        <w:rPr>
          <w:rFonts w:ascii="Calibri" w:hAnsi="Calibri" w:cs="Arial"/>
          <w:sz w:val="22"/>
          <w:szCs w:val="22"/>
        </w:rPr>
        <w:t xml:space="preserve"> procedures</w:t>
      </w:r>
      <w:r w:rsidRPr="00980CAC">
        <w:rPr>
          <w:rFonts w:ascii="Calibri" w:hAnsi="Calibri" w:cs="Arial"/>
          <w:sz w:val="22"/>
          <w:szCs w:val="22"/>
        </w:rPr>
        <w:t xml:space="preserve">. </w:t>
      </w:r>
    </w:p>
    <w:p w14:paraId="30119CE2" w14:textId="77777777" w:rsidR="005A0F5F" w:rsidRPr="00FD18C4" w:rsidRDefault="005A0F5F" w:rsidP="000616C8">
      <w:pPr>
        <w:numPr>
          <w:ilvl w:val="1"/>
          <w:numId w:val="91"/>
        </w:numPr>
        <w:spacing w:after="120"/>
        <w:rPr>
          <w:rFonts w:ascii="Calibri" w:hAnsi="Calibri" w:cs="Arial"/>
          <w:b/>
          <w:i/>
          <w:sz w:val="22"/>
          <w:szCs w:val="22"/>
        </w:rPr>
      </w:pPr>
      <w:r w:rsidRPr="00980CAC">
        <w:rPr>
          <w:rFonts w:ascii="Calibri" w:hAnsi="Calibri" w:cs="Arial"/>
          <w:sz w:val="22"/>
          <w:szCs w:val="22"/>
        </w:rPr>
        <w:t xml:space="preserve">Procedures and a schedule for </w:t>
      </w:r>
      <w:r>
        <w:rPr>
          <w:rFonts w:ascii="Calibri" w:hAnsi="Calibri" w:cs="Arial"/>
          <w:sz w:val="22"/>
          <w:szCs w:val="22"/>
        </w:rPr>
        <w:t xml:space="preserve">plan maintenance and drills and exercises to test and improve plan provisions.  Additional guidance on plan maintenance can be found in Section 5 of the MDPH guidance document </w:t>
      </w:r>
      <w:r w:rsidRPr="00FD18C4">
        <w:rPr>
          <w:rFonts w:ascii="Calibri" w:hAnsi="Calibri" w:cs="Arial"/>
          <w:b/>
          <w:i/>
          <w:sz w:val="22"/>
          <w:szCs w:val="22"/>
        </w:rPr>
        <w:t>Emergency Dispensing Sites (EDS): A Guide for Local Health on Planning for Medical Countermeasure (MCM) Dispensing Operations.</w:t>
      </w:r>
    </w:p>
    <w:p w14:paraId="2EBC4DD7" w14:textId="77777777" w:rsidR="005A0F5F" w:rsidRPr="00980CAC" w:rsidRDefault="005A0F5F" w:rsidP="005A0F5F">
      <w:pPr>
        <w:spacing w:after="120"/>
        <w:rPr>
          <w:rFonts w:ascii="Calibri" w:hAnsi="Calibri" w:cs="Arial"/>
          <w:sz w:val="22"/>
          <w:szCs w:val="22"/>
        </w:rPr>
      </w:pPr>
      <w:r w:rsidRPr="00980CAC">
        <w:rPr>
          <w:rFonts w:ascii="Calibri" w:hAnsi="Calibri" w:cs="Arial"/>
          <w:sz w:val="22"/>
          <w:szCs w:val="22"/>
        </w:rPr>
        <w:t>The local health department should ensure that its overall EDS plan includes necessary details and procedures to support each Closed EDS that could be stood up in the community to distribute MCM. The MO</w:t>
      </w:r>
      <w:r w:rsidR="00213FF0">
        <w:rPr>
          <w:rFonts w:ascii="Calibri" w:hAnsi="Calibri" w:cs="Arial"/>
          <w:sz w:val="22"/>
          <w:szCs w:val="22"/>
        </w:rPr>
        <w:t>U</w:t>
      </w:r>
      <w:r w:rsidRPr="00980CAC">
        <w:rPr>
          <w:rFonts w:ascii="Calibri" w:hAnsi="Calibri" w:cs="Arial"/>
          <w:sz w:val="22"/>
          <w:szCs w:val="22"/>
        </w:rPr>
        <w:t xml:space="preserve"> and the written Closed EDS plan should be updated as necessary to reflect staffing or other changes, and should be reviewed and exercised at least annually.</w:t>
      </w:r>
    </w:p>
    <w:p w14:paraId="0902EC61" w14:textId="77777777" w:rsidR="005A0F5F" w:rsidRPr="00980CAC" w:rsidRDefault="005A0F5F" w:rsidP="005A0F5F">
      <w:pPr>
        <w:spacing w:after="120"/>
        <w:rPr>
          <w:rFonts w:ascii="Calibri" w:hAnsi="Calibri" w:cs="Arial"/>
          <w:sz w:val="22"/>
          <w:szCs w:val="22"/>
        </w:rPr>
      </w:pPr>
      <w:r w:rsidRPr="00980CAC">
        <w:rPr>
          <w:rFonts w:ascii="Calibri" w:hAnsi="Calibri" w:cs="Arial"/>
          <w:sz w:val="22"/>
          <w:szCs w:val="22"/>
        </w:rPr>
        <w:t xml:space="preserve">Once the agreement is formalized and the Closed EDS plan completed, </w:t>
      </w:r>
      <w:r>
        <w:rPr>
          <w:rFonts w:ascii="Calibri" w:hAnsi="Calibri" w:cs="Arial"/>
          <w:sz w:val="22"/>
          <w:szCs w:val="22"/>
        </w:rPr>
        <w:t>ongoing contact with the entity will k</w:t>
      </w:r>
      <w:r w:rsidRPr="00980CAC">
        <w:rPr>
          <w:rFonts w:ascii="Calibri" w:hAnsi="Calibri" w:cs="Arial"/>
          <w:sz w:val="22"/>
          <w:szCs w:val="22"/>
        </w:rPr>
        <w:t>eep</w:t>
      </w:r>
      <w:r>
        <w:rPr>
          <w:rFonts w:ascii="Calibri" w:hAnsi="Calibri" w:cs="Arial"/>
          <w:sz w:val="22"/>
          <w:szCs w:val="22"/>
        </w:rPr>
        <w:t xml:space="preserve"> it</w:t>
      </w:r>
      <w:r w:rsidRPr="00980CAC">
        <w:rPr>
          <w:rFonts w:ascii="Calibri" w:hAnsi="Calibri" w:cs="Arial"/>
          <w:sz w:val="22"/>
          <w:szCs w:val="22"/>
        </w:rPr>
        <w:t xml:space="preserve"> engaged and current with the community’s plans for responding to an event that requires MCM distribution. Inviti</w:t>
      </w:r>
      <w:r>
        <w:rPr>
          <w:rFonts w:ascii="Calibri" w:hAnsi="Calibri" w:cs="Arial"/>
          <w:sz w:val="22"/>
          <w:szCs w:val="22"/>
        </w:rPr>
        <w:t>ng</w:t>
      </w:r>
      <w:r w:rsidRPr="00980CAC">
        <w:rPr>
          <w:rFonts w:ascii="Calibri" w:hAnsi="Calibri" w:cs="Arial"/>
          <w:sz w:val="22"/>
          <w:szCs w:val="22"/>
        </w:rPr>
        <w:t xml:space="preserve"> them to participate in planning activities and observe exercises will help to cement the partnership. Encourage and support them in exercising their notification and activation procedures at least annually to test the soundness of the plan and identify opportunities for improvement. </w:t>
      </w:r>
    </w:p>
    <w:p w14:paraId="5032EC5A" w14:textId="77777777" w:rsidR="005A0F5F" w:rsidRPr="0026201B" w:rsidRDefault="005A0F5F" w:rsidP="005A0F5F">
      <w:pPr>
        <w:spacing w:after="120"/>
        <w:rPr>
          <w:rFonts w:ascii="Calibri" w:hAnsi="Calibri" w:cs="Arial"/>
          <w:b/>
          <w:sz w:val="22"/>
          <w:szCs w:val="22"/>
        </w:rPr>
      </w:pPr>
      <w:r w:rsidRPr="0026201B">
        <w:rPr>
          <w:rFonts w:ascii="Calibri" w:hAnsi="Calibri" w:cs="Arial"/>
          <w:b/>
          <w:sz w:val="22"/>
          <w:szCs w:val="22"/>
          <w:u w:val="single"/>
        </w:rPr>
        <w:t>Additional resources</w:t>
      </w:r>
      <w:r w:rsidRPr="0026201B" w:rsidDel="00DB2886">
        <w:rPr>
          <w:rFonts w:ascii="Calibri" w:hAnsi="Calibri" w:cs="Arial"/>
          <w:b/>
          <w:sz w:val="22"/>
          <w:szCs w:val="22"/>
        </w:rPr>
        <w:t xml:space="preserve"> </w:t>
      </w:r>
    </w:p>
    <w:p w14:paraId="4CA20B7E" w14:textId="77777777" w:rsidR="005A0F5F" w:rsidRPr="00980CAC" w:rsidRDefault="005A0F5F" w:rsidP="000616C8">
      <w:pPr>
        <w:numPr>
          <w:ilvl w:val="0"/>
          <w:numId w:val="92"/>
        </w:numPr>
        <w:spacing w:after="120"/>
        <w:rPr>
          <w:rFonts w:ascii="Calibri" w:hAnsi="Calibri" w:cs="Arial"/>
          <w:b/>
          <w:sz w:val="22"/>
          <w:szCs w:val="22"/>
        </w:rPr>
      </w:pPr>
      <w:r w:rsidRPr="00980CAC">
        <w:rPr>
          <w:rFonts w:ascii="Calibri" w:hAnsi="Calibri" w:cs="Arial"/>
          <w:sz w:val="22"/>
          <w:szCs w:val="22"/>
        </w:rPr>
        <w:t>If you need assistance, contact your local public health planner, Preparedness Coordinator for Public Health, or the MCM staff in OPEM. They may be able to answer your questions immediately, or identify other resources that can help.</w:t>
      </w:r>
    </w:p>
    <w:p w14:paraId="7F9FAF98" w14:textId="77777777" w:rsidR="005A0F5F" w:rsidRPr="00D32749" w:rsidRDefault="005A0F5F" w:rsidP="000616C8">
      <w:pPr>
        <w:numPr>
          <w:ilvl w:val="1"/>
          <w:numId w:val="93"/>
        </w:numPr>
        <w:tabs>
          <w:tab w:val="clear" w:pos="1440"/>
          <w:tab w:val="num" w:pos="720"/>
        </w:tabs>
        <w:spacing w:after="120"/>
        <w:ind w:left="810" w:hanging="450"/>
        <w:rPr>
          <w:rFonts w:ascii="Calibri" w:hAnsi="Calibri" w:cs="Arial"/>
          <w:sz w:val="22"/>
          <w:szCs w:val="22"/>
        </w:rPr>
      </w:pPr>
      <w:r w:rsidRPr="00D32749">
        <w:rPr>
          <w:rFonts w:ascii="Calibri" w:hAnsi="Calibri" w:cs="Arial"/>
          <w:sz w:val="22"/>
          <w:szCs w:val="22"/>
        </w:rPr>
        <w:t>The National Association of City and County Health Officials (NACCHO) includes Medical Countermeasure resources on its website at:</w:t>
      </w:r>
    </w:p>
    <w:p w14:paraId="2C205DB8" w14:textId="77777777" w:rsidR="005A0F5F" w:rsidRDefault="00637775" w:rsidP="000616C8">
      <w:pPr>
        <w:numPr>
          <w:ilvl w:val="2"/>
          <w:numId w:val="93"/>
        </w:numPr>
        <w:tabs>
          <w:tab w:val="clear" w:pos="2160"/>
          <w:tab w:val="num" w:pos="1440"/>
        </w:tabs>
        <w:spacing w:after="120"/>
        <w:ind w:left="1440" w:hanging="270"/>
        <w:rPr>
          <w:rFonts w:ascii="Calibri" w:hAnsi="Calibri" w:cs="Arial"/>
          <w:sz w:val="22"/>
          <w:szCs w:val="22"/>
        </w:rPr>
      </w:pPr>
      <w:hyperlink r:id="rId68" w:history="1">
        <w:r w:rsidR="005A0F5F" w:rsidRPr="00132CCE">
          <w:rPr>
            <w:rStyle w:val="Hyperlink"/>
            <w:rFonts w:ascii="Calibri" w:hAnsi="Calibri" w:cs="Arial"/>
            <w:sz w:val="22"/>
            <w:szCs w:val="22"/>
          </w:rPr>
          <w:t>http://www.naccho.org/programs/public-health-preparedness/medical-countermeasures</w:t>
        </w:r>
      </w:hyperlink>
    </w:p>
    <w:p w14:paraId="70B82D4A" w14:textId="77777777" w:rsidR="005A0F5F" w:rsidRPr="00D32749" w:rsidRDefault="005A0F5F" w:rsidP="005A0F5F">
      <w:pPr>
        <w:spacing w:after="120"/>
        <w:ind w:left="1440"/>
        <w:rPr>
          <w:rFonts w:ascii="Calibri" w:hAnsi="Calibri" w:cs="Arial"/>
          <w:sz w:val="22"/>
          <w:szCs w:val="22"/>
        </w:rPr>
      </w:pPr>
    </w:p>
    <w:p w14:paraId="64AE5ABB" w14:textId="77777777" w:rsidR="00F945A6" w:rsidRDefault="00F945A6" w:rsidP="005A0F5F">
      <w:pPr>
        <w:spacing w:after="120"/>
      </w:pPr>
    </w:p>
    <w:p w14:paraId="0FDB92AD" w14:textId="77777777" w:rsidR="00F945A6" w:rsidRDefault="00F945A6">
      <w:r>
        <w:br w:type="page"/>
      </w:r>
    </w:p>
    <w:p w14:paraId="44B21715" w14:textId="4C2892EE" w:rsidR="00D54BD9" w:rsidRDefault="0079472F" w:rsidP="0079472F">
      <w:pPr>
        <w:pStyle w:val="Heading2"/>
        <w:rPr>
          <w:noProof/>
        </w:rPr>
      </w:pPr>
      <w:bookmarkStart w:id="255" w:name="_Planning_Considerations_for"/>
      <w:bookmarkStart w:id="256" w:name="_Planning_Considerations_for_1"/>
      <w:bookmarkStart w:id="257" w:name="_Generic_Antibiotic_Emergency"/>
      <w:bookmarkStart w:id="258" w:name="_Toc11832826"/>
      <w:bookmarkEnd w:id="255"/>
      <w:bookmarkEnd w:id="256"/>
      <w:bookmarkEnd w:id="257"/>
      <w:r>
        <w:rPr>
          <w:noProof/>
          <w:lang w:eastAsia="en-US"/>
        </w:rPr>
        <w:drawing>
          <wp:anchor distT="0" distB="0" distL="114300" distR="114300" simplePos="0" relativeHeight="251643904" behindDoc="0" locked="0" layoutInCell="1" allowOverlap="1" wp14:anchorId="6A452BF2" wp14:editId="1EF28F78">
            <wp:simplePos x="0" y="0"/>
            <wp:positionH relativeFrom="margin">
              <wp:align>center</wp:align>
            </wp:positionH>
            <wp:positionV relativeFrom="paragraph">
              <wp:posOffset>676275</wp:posOffset>
            </wp:positionV>
            <wp:extent cx="5781245" cy="7315200"/>
            <wp:effectExtent l="0" t="0" r="0" b="0"/>
            <wp:wrapSquare wrapText="bothSides"/>
            <wp:docPr id="297" name="Picture 297" descr="C:\Users\rchecchio\AppData\Local\Microsoft\Windows\INetCache\Content.Word\RVAOO2 Chart 4 Antibiotic ED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checchio\AppData\Local\Microsoft\Windows\INetCache\Content.Word\RVAOO2 Chart 4 Antibiotic EDS 2.jpg"/>
                    <pic:cNvPicPr>
                      <a:picLocks noChangeAspect="1" noChangeArrowheads="1"/>
                    </pic:cNvPicPr>
                  </pic:nvPicPr>
                  <pic:blipFill>
                    <a:blip r:embed="rId69" cstate="screen">
                      <a:extLst>
                        <a:ext uri="{28A0092B-C50C-407E-A947-70E740481C1C}">
                          <a14:useLocalDpi xmlns:a14="http://schemas.microsoft.com/office/drawing/2010/main"/>
                        </a:ext>
                      </a:extLst>
                    </a:blip>
                    <a:srcRect/>
                    <a:stretch>
                      <a:fillRect/>
                    </a:stretch>
                  </pic:blipFill>
                  <pic:spPr bwMode="auto">
                    <a:xfrm>
                      <a:off x="0" y="0"/>
                      <a:ext cx="5781245" cy="7315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 xml:space="preserve">Generic Antibiotic Emergency Dispensing Site </w:t>
      </w:r>
      <w:r w:rsidR="00B552BA">
        <w:rPr>
          <w:noProof/>
        </w:rPr>
        <w:t>Flowchart</w:t>
      </w:r>
      <w:r w:rsidR="00225FAB">
        <w:rPr>
          <w:noProof/>
        </w:rPr>
        <w:t xml:space="preserve"> Template</w:t>
      </w:r>
      <w:bookmarkEnd w:id="258"/>
      <w:r w:rsidR="00D54BD9">
        <w:rPr>
          <w:noProof/>
        </w:rPr>
        <w:br w:type="page"/>
      </w:r>
    </w:p>
    <w:p w14:paraId="386EA88D" w14:textId="7A5525D3" w:rsidR="0079472F" w:rsidRPr="00225FAB" w:rsidRDefault="00EE4F49" w:rsidP="00225FAB">
      <w:pPr>
        <w:pStyle w:val="Heading2"/>
      </w:pPr>
      <w:bookmarkStart w:id="259" w:name="_Generic_Vaccine_Emergency"/>
      <w:bookmarkStart w:id="260" w:name="_Toc11832827"/>
      <w:bookmarkEnd w:id="259"/>
      <w:r>
        <w:t>Generic Vaccine Emergency Dispensing Site Flowchart</w:t>
      </w:r>
      <w:r w:rsidR="00225FAB">
        <w:t xml:space="preserve"> Template</w:t>
      </w:r>
      <w:bookmarkEnd w:id="260"/>
    </w:p>
    <w:p w14:paraId="7F2C5179" w14:textId="366DA5E6" w:rsidR="006F522E" w:rsidRDefault="00EE4F49" w:rsidP="00FA2A55">
      <w:pPr>
        <w:pStyle w:val="Title"/>
        <w:jc w:val="both"/>
      </w:pPr>
      <w:bookmarkStart w:id="261" w:name="EDS_Flowchart"/>
      <w:r>
        <w:rPr>
          <w:noProof/>
          <w:lang w:eastAsia="en-US"/>
        </w:rPr>
        <w:drawing>
          <wp:anchor distT="0" distB="0" distL="114300" distR="114300" simplePos="0" relativeHeight="251695104" behindDoc="0" locked="0" layoutInCell="1" allowOverlap="1" wp14:anchorId="2D532623" wp14:editId="2D93B9D5">
            <wp:simplePos x="0" y="0"/>
            <wp:positionH relativeFrom="page">
              <wp:posOffset>800100</wp:posOffset>
            </wp:positionH>
            <wp:positionV relativeFrom="paragraph">
              <wp:posOffset>489585</wp:posOffset>
            </wp:positionV>
            <wp:extent cx="6209413" cy="7315200"/>
            <wp:effectExtent l="0" t="0" r="1270" b="0"/>
            <wp:wrapSquare wrapText="bothSides"/>
            <wp:docPr id="3" name="Picture 1" descr="RVAOO2 Ch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VAOO2 Chart 1"/>
                    <pic:cNvPicPr>
                      <a:picLocks noChangeAspect="1" noChangeArrowheads="1"/>
                    </pic:cNvPicPr>
                  </pic:nvPicPr>
                  <pic:blipFill>
                    <a:blip r:embed="rId70" cstate="screen">
                      <a:extLst>
                        <a:ext uri="{28A0092B-C50C-407E-A947-70E740481C1C}">
                          <a14:useLocalDpi xmlns:a14="http://schemas.microsoft.com/office/drawing/2010/main"/>
                        </a:ext>
                      </a:extLst>
                    </a:blip>
                    <a:srcRect/>
                    <a:stretch>
                      <a:fillRect/>
                    </a:stretch>
                  </pic:blipFill>
                  <pic:spPr bwMode="auto">
                    <a:xfrm>
                      <a:off x="0" y="0"/>
                      <a:ext cx="6209413" cy="73152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61"/>
    </w:p>
    <w:p w14:paraId="623E8EC8" w14:textId="77777777" w:rsidR="00C975FF" w:rsidRDefault="00FB3032" w:rsidP="00D54BD9">
      <w:pPr>
        <w:rPr>
          <w:noProof/>
        </w:rPr>
      </w:pPr>
      <w:r>
        <w:rPr>
          <w:b/>
          <w:lang w:eastAsia="ja-JP"/>
        </w:rPr>
        <w:br w:type="page"/>
      </w:r>
    </w:p>
    <w:p w14:paraId="4845F060" w14:textId="2918F576" w:rsidR="00EE4F49" w:rsidRDefault="00EE4F49" w:rsidP="00EE4F49">
      <w:pPr>
        <w:pStyle w:val="Heading2"/>
      </w:pPr>
      <w:bookmarkStart w:id="262" w:name="_Name_Address_Personal"/>
      <w:bookmarkStart w:id="263" w:name="_Toc11832828"/>
      <w:bookmarkEnd w:id="262"/>
      <w:r>
        <w:t>Name Address Personal History (NAPH) Form</w:t>
      </w:r>
      <w:r w:rsidR="0036445C">
        <w:t xml:space="preserve">s and </w:t>
      </w:r>
      <w:r w:rsidR="00897251">
        <w:t>Instructions</w:t>
      </w:r>
      <w:bookmarkEnd w:id="263"/>
    </w:p>
    <w:p w14:paraId="14F88A5E" w14:textId="2922E6CA" w:rsidR="00FD6857" w:rsidRPr="00C67195" w:rsidRDefault="00EE4F49" w:rsidP="0070672C">
      <w:pPr>
        <w:jc w:val="center"/>
        <w:rPr>
          <w:b/>
          <w:sz w:val="28"/>
        </w:rPr>
      </w:pPr>
      <w:r>
        <w:rPr>
          <w:noProof/>
        </w:rPr>
        <w:drawing>
          <wp:anchor distT="0" distB="0" distL="114300" distR="114300" simplePos="0" relativeHeight="251636736" behindDoc="0" locked="0" layoutInCell="1" allowOverlap="1" wp14:anchorId="6F76F6FA" wp14:editId="174CFAE5">
            <wp:simplePos x="0" y="0"/>
            <wp:positionH relativeFrom="margin">
              <wp:align>left</wp:align>
            </wp:positionH>
            <wp:positionV relativeFrom="paragraph">
              <wp:posOffset>8255</wp:posOffset>
            </wp:positionV>
            <wp:extent cx="495300" cy="4953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Blue_Small.jpg"/>
                    <pic:cNvPicPr/>
                  </pic:nvPicPr>
                  <pic:blipFill>
                    <a:blip r:embed="rId71" cstate="screen">
                      <a:extLst>
                        <a:ext uri="{28A0092B-C50C-407E-A947-70E740481C1C}">
                          <a14:useLocalDpi xmlns:a14="http://schemas.microsoft.com/office/drawing/2010/main"/>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r w:rsidR="00FD6857" w:rsidRPr="00C67195">
        <w:rPr>
          <w:b/>
          <w:sz w:val="28"/>
        </w:rPr>
        <w:t>Directions for Emergency Dispensing Site (EDS)</w:t>
      </w:r>
    </w:p>
    <w:p w14:paraId="1DE0E75B" w14:textId="77777777" w:rsidR="00FD6857" w:rsidRPr="00C67195" w:rsidRDefault="00FD6857" w:rsidP="0001035C">
      <w:pPr>
        <w:jc w:val="center"/>
        <w:rPr>
          <w:b/>
          <w:sz w:val="28"/>
        </w:rPr>
      </w:pPr>
      <w:r w:rsidRPr="00C67195">
        <w:rPr>
          <w:b/>
          <w:sz w:val="28"/>
        </w:rPr>
        <w:t>Name, Address, Personal History (NAPH) Registration Form</w:t>
      </w:r>
    </w:p>
    <w:p w14:paraId="5818522B" w14:textId="77777777" w:rsidR="00FD6857" w:rsidRDefault="00FD6857" w:rsidP="0001035C"/>
    <w:p w14:paraId="381519BB" w14:textId="77777777" w:rsidR="00FD6857" w:rsidRPr="00563C1F" w:rsidRDefault="00FD6857" w:rsidP="0001035C">
      <w:r w:rsidRPr="00563C1F">
        <w:t xml:space="preserve">When using a Head of Household model to dispense medical countermeasures (MCM) at a public Emergency Dispensing Site (EDS), Closed EDS, or hospital, the person picking up MCM for the family </w:t>
      </w:r>
      <w:r>
        <w:t xml:space="preserve">(Person #1) </w:t>
      </w:r>
      <w:r w:rsidRPr="00563C1F">
        <w:t xml:space="preserve">is the only one who needs to complete the form. More than one form will be needed if there are more than 5 </w:t>
      </w:r>
      <w:r>
        <w:t>people</w:t>
      </w:r>
      <w:r w:rsidRPr="00563C1F">
        <w:t xml:space="preserve"> </w:t>
      </w:r>
      <w:r>
        <w:t>in the</w:t>
      </w:r>
      <w:r w:rsidRPr="00563C1F">
        <w:t xml:space="preserve"> household/family.</w:t>
      </w:r>
    </w:p>
    <w:tbl>
      <w:tblPr>
        <w:tblStyle w:val="TableGrid"/>
        <w:tblW w:w="9900" w:type="dxa"/>
        <w:tblInd w:w="198" w:type="dxa"/>
        <w:tblLook w:val="04A0" w:firstRow="1" w:lastRow="0" w:firstColumn="1" w:lastColumn="0" w:noHBand="0" w:noVBand="1"/>
      </w:tblPr>
      <w:tblGrid>
        <w:gridCol w:w="3060"/>
        <w:gridCol w:w="6840"/>
      </w:tblGrid>
      <w:tr w:rsidR="00FD6857" w:rsidRPr="00FF3411" w14:paraId="5B9AB276" w14:textId="77777777" w:rsidTr="00FD6857">
        <w:trPr>
          <w:trHeight w:val="275"/>
        </w:trPr>
        <w:tc>
          <w:tcPr>
            <w:tcW w:w="3060" w:type="dxa"/>
          </w:tcPr>
          <w:p w14:paraId="1C88FA2C" w14:textId="77777777" w:rsidR="00FD6857" w:rsidRPr="00FF3411" w:rsidRDefault="00FD6857" w:rsidP="0001035C">
            <w:pPr>
              <w:jc w:val="center"/>
              <w:rPr>
                <w:b/>
              </w:rPr>
            </w:pPr>
            <w:r w:rsidRPr="00FF3411">
              <w:rPr>
                <w:b/>
              </w:rPr>
              <w:t>Line on the Form</w:t>
            </w:r>
          </w:p>
        </w:tc>
        <w:tc>
          <w:tcPr>
            <w:tcW w:w="6840" w:type="dxa"/>
          </w:tcPr>
          <w:p w14:paraId="4DF2184A" w14:textId="77777777" w:rsidR="00FD6857" w:rsidRPr="00FF3411" w:rsidRDefault="00FD6857" w:rsidP="0001035C">
            <w:pPr>
              <w:jc w:val="center"/>
              <w:rPr>
                <w:b/>
              </w:rPr>
            </w:pPr>
            <w:r w:rsidRPr="00FF3411">
              <w:rPr>
                <w:b/>
              </w:rPr>
              <w:t>Description</w:t>
            </w:r>
          </w:p>
        </w:tc>
      </w:tr>
      <w:tr w:rsidR="00FD6857" w:rsidRPr="00FF3411" w14:paraId="5D3EC992" w14:textId="77777777" w:rsidTr="00FD6857">
        <w:trPr>
          <w:trHeight w:val="275"/>
        </w:trPr>
        <w:tc>
          <w:tcPr>
            <w:tcW w:w="3060" w:type="dxa"/>
          </w:tcPr>
          <w:p w14:paraId="58BD4211" w14:textId="77777777" w:rsidR="00FD6857" w:rsidRPr="00FF3411" w:rsidRDefault="00FD6857" w:rsidP="0001035C">
            <w:r>
              <w:t>Name (person #1)</w:t>
            </w:r>
          </w:p>
        </w:tc>
        <w:tc>
          <w:tcPr>
            <w:tcW w:w="6840" w:type="dxa"/>
          </w:tcPr>
          <w:p w14:paraId="6F9C60E9" w14:textId="77777777" w:rsidR="00FD6857" w:rsidRPr="00FF3411" w:rsidRDefault="00FD6857" w:rsidP="0001035C">
            <w:r>
              <w:t>The person completing the form and/or picking up MCM for household. Complete Last name, First name, Middle initial (M.I.)</w:t>
            </w:r>
          </w:p>
        </w:tc>
      </w:tr>
      <w:tr w:rsidR="00FD6857" w:rsidRPr="00FF3411" w14:paraId="38373A2C" w14:textId="77777777" w:rsidTr="00FD6857">
        <w:trPr>
          <w:trHeight w:val="275"/>
        </w:trPr>
        <w:tc>
          <w:tcPr>
            <w:tcW w:w="3060" w:type="dxa"/>
          </w:tcPr>
          <w:p w14:paraId="4CC7DADA" w14:textId="77777777" w:rsidR="00FD6857" w:rsidRPr="00FF3411" w:rsidRDefault="00FD6857" w:rsidP="0001035C">
            <w:r>
              <w:t>Address</w:t>
            </w:r>
          </w:p>
        </w:tc>
        <w:tc>
          <w:tcPr>
            <w:tcW w:w="6840" w:type="dxa"/>
          </w:tcPr>
          <w:p w14:paraId="2A23BDDB" w14:textId="77777777" w:rsidR="00FD6857" w:rsidRPr="00FF3411" w:rsidRDefault="00FD6857" w:rsidP="0001035C">
            <w:r>
              <w:t>The address of the person filling out the form</w:t>
            </w:r>
          </w:p>
        </w:tc>
      </w:tr>
      <w:tr w:rsidR="00FD6857" w:rsidRPr="00FF3411" w14:paraId="7EEDEA9F" w14:textId="77777777" w:rsidTr="00FD6857">
        <w:trPr>
          <w:trHeight w:val="275"/>
        </w:trPr>
        <w:tc>
          <w:tcPr>
            <w:tcW w:w="3060" w:type="dxa"/>
          </w:tcPr>
          <w:p w14:paraId="39BF8BFE" w14:textId="77777777" w:rsidR="00FD6857" w:rsidRPr="00FF3411" w:rsidRDefault="00FD6857" w:rsidP="0001035C">
            <w:r>
              <w:t xml:space="preserve">Phone </w:t>
            </w:r>
          </w:p>
        </w:tc>
        <w:tc>
          <w:tcPr>
            <w:tcW w:w="6840" w:type="dxa"/>
          </w:tcPr>
          <w:p w14:paraId="046A593B" w14:textId="77777777" w:rsidR="00FD6857" w:rsidRPr="00FF3411" w:rsidRDefault="00FD6857" w:rsidP="0001035C">
            <w:r>
              <w:t>Phone number in case they need to be reached regarding the medicine</w:t>
            </w:r>
          </w:p>
        </w:tc>
      </w:tr>
      <w:tr w:rsidR="00FD6857" w:rsidRPr="00FF3411" w14:paraId="786F5004" w14:textId="77777777" w:rsidTr="00FD6857">
        <w:trPr>
          <w:trHeight w:val="275"/>
        </w:trPr>
        <w:tc>
          <w:tcPr>
            <w:tcW w:w="3060" w:type="dxa"/>
            <w:shd w:val="clear" w:color="auto" w:fill="D9D9D9" w:themeFill="background1" w:themeFillShade="D9"/>
          </w:tcPr>
          <w:p w14:paraId="084ECCD4" w14:textId="77777777" w:rsidR="00FD6857" w:rsidRPr="00FF3411" w:rsidRDefault="00FD6857" w:rsidP="0001035C">
            <w:r>
              <w:t>Official Use Only box (top right)</w:t>
            </w:r>
          </w:p>
        </w:tc>
        <w:tc>
          <w:tcPr>
            <w:tcW w:w="6840" w:type="dxa"/>
            <w:shd w:val="clear" w:color="auto" w:fill="D9D9D9" w:themeFill="background1" w:themeFillShade="D9"/>
          </w:tcPr>
          <w:p w14:paraId="52148641" w14:textId="77777777" w:rsidR="00FD6857" w:rsidRPr="00FF3411" w:rsidRDefault="00FD6857" w:rsidP="0001035C">
            <w:r>
              <w:t>Where the dispensing site screener reviewing the form places their initials, the date and time of the form review</w:t>
            </w:r>
          </w:p>
        </w:tc>
      </w:tr>
      <w:tr w:rsidR="00FD6857" w:rsidRPr="00FF3411" w14:paraId="1E434354" w14:textId="77777777" w:rsidTr="00FD6857">
        <w:trPr>
          <w:trHeight w:val="275"/>
        </w:trPr>
        <w:tc>
          <w:tcPr>
            <w:tcW w:w="3060" w:type="dxa"/>
          </w:tcPr>
          <w:p w14:paraId="615D9293" w14:textId="77777777" w:rsidR="00FD6857" w:rsidRPr="00FF3411" w:rsidRDefault="00FD6857" w:rsidP="0001035C">
            <w:r>
              <w:t>Person #2 – Person #5</w:t>
            </w:r>
          </w:p>
        </w:tc>
        <w:tc>
          <w:tcPr>
            <w:tcW w:w="6840" w:type="dxa"/>
          </w:tcPr>
          <w:p w14:paraId="5DCD0B9C" w14:textId="77777777" w:rsidR="00FD6857" w:rsidRPr="00FF3411" w:rsidRDefault="00FD6857" w:rsidP="0001035C">
            <w:r>
              <w:t>Additional household members for whom Person #1 is picking up medications, if appropriate. Each person gets their own column.</w:t>
            </w:r>
          </w:p>
        </w:tc>
      </w:tr>
      <w:tr w:rsidR="00FD6857" w:rsidRPr="00FF3411" w14:paraId="2D71BDB9" w14:textId="77777777" w:rsidTr="00FD6857">
        <w:trPr>
          <w:trHeight w:val="275"/>
        </w:trPr>
        <w:tc>
          <w:tcPr>
            <w:tcW w:w="3060" w:type="dxa"/>
          </w:tcPr>
          <w:p w14:paraId="157AB753" w14:textId="77777777" w:rsidR="00FD6857" w:rsidRPr="00FF3411" w:rsidRDefault="00FD6857" w:rsidP="0001035C">
            <w:r>
              <w:t>Last Name/First Name</w:t>
            </w:r>
          </w:p>
        </w:tc>
        <w:tc>
          <w:tcPr>
            <w:tcW w:w="6840" w:type="dxa"/>
          </w:tcPr>
          <w:p w14:paraId="1FD79B69" w14:textId="77777777" w:rsidR="00FD6857" w:rsidRPr="00FF3411" w:rsidRDefault="00FD6857" w:rsidP="0001035C">
            <w:r>
              <w:t>Names of persons #2 - #5</w:t>
            </w:r>
          </w:p>
        </w:tc>
      </w:tr>
      <w:tr w:rsidR="00FD6857" w:rsidRPr="00FF3411" w14:paraId="7FCB6A58" w14:textId="77777777" w:rsidTr="00FD6857">
        <w:trPr>
          <w:trHeight w:val="275"/>
        </w:trPr>
        <w:tc>
          <w:tcPr>
            <w:tcW w:w="3060" w:type="dxa"/>
          </w:tcPr>
          <w:p w14:paraId="7F882CFB" w14:textId="77777777" w:rsidR="00FD6857" w:rsidRPr="00FF3411" w:rsidRDefault="00FD6857" w:rsidP="0001035C">
            <w:r>
              <w:t>Age</w:t>
            </w:r>
          </w:p>
        </w:tc>
        <w:tc>
          <w:tcPr>
            <w:tcW w:w="6840" w:type="dxa"/>
          </w:tcPr>
          <w:p w14:paraId="2632A407" w14:textId="77777777" w:rsidR="00FD6857" w:rsidRPr="00FF3411" w:rsidRDefault="00FD6857" w:rsidP="0001035C">
            <w:r>
              <w:t>Age of persons #1  - #5</w:t>
            </w:r>
          </w:p>
        </w:tc>
      </w:tr>
      <w:tr w:rsidR="00FD6857" w:rsidRPr="00FF3411" w14:paraId="767C9DE3" w14:textId="77777777" w:rsidTr="00FD6857">
        <w:trPr>
          <w:trHeight w:val="275"/>
        </w:trPr>
        <w:tc>
          <w:tcPr>
            <w:tcW w:w="3060" w:type="dxa"/>
          </w:tcPr>
          <w:p w14:paraId="39BBAEF3" w14:textId="77777777" w:rsidR="00FD6857" w:rsidRDefault="00FD6857" w:rsidP="0001035C">
            <w:r>
              <w:t xml:space="preserve">Weight </w:t>
            </w:r>
            <w:r w:rsidRPr="00C67195">
              <w:rPr>
                <w:b/>
              </w:rPr>
              <w:t>if under 76 pounds</w:t>
            </w:r>
            <w:r>
              <w:rPr>
                <w:b/>
              </w:rPr>
              <w:t xml:space="preserve"> </w:t>
            </w:r>
          </w:p>
          <w:p w14:paraId="70337937" w14:textId="77777777" w:rsidR="00FD6857" w:rsidRPr="00C67195" w:rsidRDefault="00FD6857" w:rsidP="0001035C">
            <w:r>
              <w:t>(this only pertains to dosing)</w:t>
            </w:r>
          </w:p>
        </w:tc>
        <w:tc>
          <w:tcPr>
            <w:tcW w:w="6840" w:type="dxa"/>
          </w:tcPr>
          <w:p w14:paraId="01BE2420" w14:textId="77777777" w:rsidR="00FD6857" w:rsidRPr="00C45332" w:rsidRDefault="00FD6857" w:rsidP="0001035C">
            <w:pPr>
              <w:rPr>
                <w:color w:val="FF0000"/>
              </w:rPr>
            </w:pPr>
            <w:r>
              <w:t xml:space="preserve">Enter the weight of any person under 76 pounds. Provide </w:t>
            </w:r>
            <w:r w:rsidRPr="00033D3A">
              <w:rPr>
                <w:b/>
                <w:i/>
              </w:rPr>
              <w:t>“In an Emergency: How to Prepare Doxycycline Hyclate for Children and Adults Who Cannot Swallow Pills”</w:t>
            </w:r>
            <w:r>
              <w:t xml:space="preserve"> handout for children or upon request.</w:t>
            </w:r>
          </w:p>
        </w:tc>
      </w:tr>
      <w:tr w:rsidR="00FD6857" w:rsidRPr="00FF3411" w14:paraId="4E58E079" w14:textId="77777777" w:rsidTr="00FD6857">
        <w:trPr>
          <w:trHeight w:val="275"/>
        </w:trPr>
        <w:tc>
          <w:tcPr>
            <w:tcW w:w="3060" w:type="dxa"/>
          </w:tcPr>
          <w:p w14:paraId="25C20B80" w14:textId="77777777" w:rsidR="00FD6857" w:rsidRPr="00FF3411" w:rsidRDefault="00FD6857" w:rsidP="0001035C">
            <w:r>
              <w:t>A: Pregnant/Breastfeeding</w:t>
            </w:r>
          </w:p>
        </w:tc>
        <w:tc>
          <w:tcPr>
            <w:tcW w:w="6840" w:type="dxa"/>
          </w:tcPr>
          <w:p w14:paraId="203FE5A0" w14:textId="77777777" w:rsidR="00FD6857" w:rsidRPr="00FF3411" w:rsidRDefault="00FD6857" w:rsidP="00FD6857">
            <w:r>
              <w:t xml:space="preserve">Check </w:t>
            </w:r>
            <w:r w:rsidRPr="00C67195">
              <w:rPr>
                <w:b/>
              </w:rPr>
              <w:t>Yes</w:t>
            </w:r>
            <w:r>
              <w:t xml:space="preserve"> or </w:t>
            </w:r>
            <w:r w:rsidRPr="00C67195">
              <w:rPr>
                <w:b/>
              </w:rPr>
              <w:t>No</w:t>
            </w:r>
            <w:r>
              <w:t xml:space="preserve"> for each person #1 - #5</w:t>
            </w:r>
          </w:p>
        </w:tc>
      </w:tr>
      <w:tr w:rsidR="00FD6857" w:rsidRPr="00FF3411" w14:paraId="0E6708A7" w14:textId="77777777" w:rsidTr="00FD6857">
        <w:trPr>
          <w:trHeight w:val="275"/>
        </w:trPr>
        <w:tc>
          <w:tcPr>
            <w:tcW w:w="3060" w:type="dxa"/>
          </w:tcPr>
          <w:p w14:paraId="42A86862" w14:textId="77777777" w:rsidR="00FD6857" w:rsidRPr="00FF3411" w:rsidRDefault="00FD6857" w:rsidP="0001035C">
            <w:r>
              <w:t xml:space="preserve">B: </w:t>
            </w:r>
            <w:r w:rsidRPr="00C67195">
              <w:t>Allergic to Tetracyclines?</w:t>
            </w:r>
          </w:p>
        </w:tc>
        <w:tc>
          <w:tcPr>
            <w:tcW w:w="6840" w:type="dxa"/>
          </w:tcPr>
          <w:p w14:paraId="51B95D0E" w14:textId="77777777" w:rsidR="00FD6857" w:rsidRDefault="00FD6857" w:rsidP="0001035C">
            <w:r>
              <w:t xml:space="preserve">Check </w:t>
            </w:r>
            <w:r w:rsidRPr="00C67195">
              <w:rPr>
                <w:b/>
              </w:rPr>
              <w:t>Yes</w:t>
            </w:r>
            <w:r>
              <w:t xml:space="preserve"> or </w:t>
            </w:r>
            <w:r w:rsidRPr="00C67195">
              <w:rPr>
                <w:b/>
              </w:rPr>
              <w:t>No</w:t>
            </w:r>
            <w:r>
              <w:rPr>
                <w:b/>
              </w:rPr>
              <w:t xml:space="preserve"> </w:t>
            </w:r>
            <w:r>
              <w:t xml:space="preserve">for each person #1 - #5. </w:t>
            </w:r>
          </w:p>
          <w:p w14:paraId="4F33B9AD" w14:textId="77777777" w:rsidR="00FD6857" w:rsidRPr="00FF3411" w:rsidRDefault="00FD6857" w:rsidP="0001035C">
            <w:r>
              <w:t>See the boxes in the middle of the NAPH Form for names of drugs (Tetracyclines, Quinolones, and Penicillins)</w:t>
            </w:r>
          </w:p>
        </w:tc>
      </w:tr>
      <w:tr w:rsidR="00FD6857" w:rsidRPr="00FF3411" w14:paraId="7F73D91D" w14:textId="77777777" w:rsidTr="00FD6857">
        <w:trPr>
          <w:trHeight w:val="275"/>
        </w:trPr>
        <w:tc>
          <w:tcPr>
            <w:tcW w:w="3060" w:type="dxa"/>
          </w:tcPr>
          <w:p w14:paraId="21C3AA3D" w14:textId="77777777" w:rsidR="00FD6857" w:rsidRDefault="00FD6857" w:rsidP="0001035C">
            <w:r w:rsidRPr="00C67195">
              <w:t>C: Allergic to Quinolones?</w:t>
            </w:r>
          </w:p>
        </w:tc>
        <w:tc>
          <w:tcPr>
            <w:tcW w:w="6840" w:type="dxa"/>
          </w:tcPr>
          <w:p w14:paraId="6A66A925" w14:textId="77777777" w:rsidR="00FD6857" w:rsidRPr="00FF3411" w:rsidRDefault="00FD6857" w:rsidP="00FD6857">
            <w:r>
              <w:t xml:space="preserve">Check </w:t>
            </w:r>
            <w:r w:rsidRPr="00C67195">
              <w:rPr>
                <w:b/>
              </w:rPr>
              <w:t>Yes</w:t>
            </w:r>
            <w:r>
              <w:t xml:space="preserve"> or </w:t>
            </w:r>
            <w:r w:rsidRPr="00C67195">
              <w:rPr>
                <w:b/>
              </w:rPr>
              <w:t>No</w:t>
            </w:r>
            <w:r>
              <w:rPr>
                <w:b/>
              </w:rPr>
              <w:t xml:space="preserve"> </w:t>
            </w:r>
            <w:r>
              <w:t>for each person #1 - #5</w:t>
            </w:r>
          </w:p>
        </w:tc>
      </w:tr>
      <w:tr w:rsidR="00FD6857" w:rsidRPr="00FF3411" w14:paraId="6FD67727" w14:textId="77777777" w:rsidTr="00FD6857">
        <w:trPr>
          <w:trHeight w:val="275"/>
        </w:trPr>
        <w:tc>
          <w:tcPr>
            <w:tcW w:w="3060" w:type="dxa"/>
          </w:tcPr>
          <w:p w14:paraId="1A5D2439" w14:textId="77777777" w:rsidR="00FD6857" w:rsidRPr="00C67195" w:rsidRDefault="00FD6857" w:rsidP="0001035C">
            <w:r w:rsidRPr="00C67195">
              <w:t>D: Allergic to Penicillins?</w:t>
            </w:r>
          </w:p>
        </w:tc>
        <w:tc>
          <w:tcPr>
            <w:tcW w:w="6840" w:type="dxa"/>
          </w:tcPr>
          <w:p w14:paraId="02436DC3" w14:textId="77777777" w:rsidR="00FD6857" w:rsidRPr="00FF3411" w:rsidRDefault="00FD6857" w:rsidP="00FD6857">
            <w:r>
              <w:t xml:space="preserve">Check </w:t>
            </w:r>
            <w:r w:rsidRPr="00C67195">
              <w:rPr>
                <w:b/>
              </w:rPr>
              <w:t>Yes</w:t>
            </w:r>
            <w:r>
              <w:t xml:space="preserve"> or </w:t>
            </w:r>
            <w:r w:rsidRPr="00C67195">
              <w:rPr>
                <w:b/>
              </w:rPr>
              <w:t>No</w:t>
            </w:r>
            <w:r>
              <w:rPr>
                <w:b/>
              </w:rPr>
              <w:t xml:space="preserve"> </w:t>
            </w:r>
            <w:r>
              <w:t>for each person #1 - #5</w:t>
            </w:r>
          </w:p>
        </w:tc>
      </w:tr>
      <w:tr w:rsidR="00967245" w:rsidRPr="00FF3411" w14:paraId="2822F024" w14:textId="77777777" w:rsidTr="00750917">
        <w:trPr>
          <w:trHeight w:val="275"/>
        </w:trPr>
        <w:tc>
          <w:tcPr>
            <w:tcW w:w="9900" w:type="dxa"/>
            <w:gridSpan w:val="2"/>
          </w:tcPr>
          <w:p w14:paraId="11A5FE8C" w14:textId="77777777" w:rsidR="00967245" w:rsidRPr="00FF3411" w:rsidRDefault="00967245" w:rsidP="0001035C"/>
        </w:tc>
      </w:tr>
      <w:tr w:rsidR="00FD6857" w:rsidRPr="00FF3411" w14:paraId="47BD463F" w14:textId="77777777" w:rsidTr="00FD6857">
        <w:trPr>
          <w:trHeight w:val="275"/>
        </w:trPr>
        <w:tc>
          <w:tcPr>
            <w:tcW w:w="3060" w:type="dxa"/>
            <w:shd w:val="clear" w:color="auto" w:fill="D9D9D9" w:themeFill="background1" w:themeFillShade="D9"/>
          </w:tcPr>
          <w:p w14:paraId="5F636028" w14:textId="77777777" w:rsidR="00FD6857" w:rsidRPr="00787C07" w:rsidRDefault="00FD6857" w:rsidP="0001035C">
            <w:pPr>
              <w:rPr>
                <w:b/>
              </w:rPr>
            </w:pPr>
            <w:r w:rsidRPr="00787C07">
              <w:rPr>
                <w:b/>
              </w:rPr>
              <w:t>OFFICIAL USE ONLY SECTION</w:t>
            </w:r>
          </w:p>
        </w:tc>
        <w:tc>
          <w:tcPr>
            <w:tcW w:w="6840" w:type="dxa"/>
            <w:shd w:val="clear" w:color="auto" w:fill="D9D9D9" w:themeFill="background1" w:themeFillShade="D9"/>
          </w:tcPr>
          <w:p w14:paraId="026CB886" w14:textId="77777777" w:rsidR="00FD6857" w:rsidRDefault="00FD6857" w:rsidP="0001035C">
            <w:r>
              <w:t>The rows of information below the heavy, black line are for EDS staff usage. The Screener completes the “Screener” row, and the person (#1) picking up the medication takes the form to the Dispenser to get the appropriate medication.</w:t>
            </w:r>
          </w:p>
          <w:p w14:paraId="1FEFA5ED" w14:textId="77777777" w:rsidR="00FD6857" w:rsidRPr="00FF3411" w:rsidRDefault="00FD6857" w:rsidP="0001035C"/>
        </w:tc>
      </w:tr>
      <w:tr w:rsidR="00FD6857" w:rsidRPr="00FF3411" w14:paraId="2646E815" w14:textId="77777777" w:rsidTr="00FD6857">
        <w:trPr>
          <w:trHeight w:val="275"/>
        </w:trPr>
        <w:tc>
          <w:tcPr>
            <w:tcW w:w="3060" w:type="dxa"/>
            <w:shd w:val="clear" w:color="auto" w:fill="D9D9D9" w:themeFill="background1" w:themeFillShade="D9"/>
          </w:tcPr>
          <w:p w14:paraId="433CC4DD" w14:textId="77777777" w:rsidR="00FD6857" w:rsidRDefault="00FD6857" w:rsidP="0001035C">
            <w:r w:rsidRPr="00A4642D">
              <w:rPr>
                <w:b/>
              </w:rPr>
              <w:t>SCREENER</w:t>
            </w:r>
            <w:r>
              <w:t xml:space="preserve">: Circle medication to be given or check consult </w:t>
            </w:r>
          </w:p>
          <w:p w14:paraId="0D59344B" w14:textId="77777777" w:rsidR="00FD6857" w:rsidRDefault="00FD6857" w:rsidP="0001035C">
            <w:r w:rsidRPr="004811E6">
              <w:rPr>
                <w:sz w:val="18"/>
              </w:rPr>
              <w:t>If child</w:t>
            </w:r>
            <w:r>
              <w:rPr>
                <w:sz w:val="18"/>
              </w:rPr>
              <w:t>,</w:t>
            </w:r>
            <w:r w:rsidR="00A01102">
              <w:rPr>
                <w:sz w:val="18"/>
              </w:rPr>
              <w:t xml:space="preserve"> circle Pedi(atric)</w:t>
            </w:r>
          </w:p>
        </w:tc>
        <w:tc>
          <w:tcPr>
            <w:tcW w:w="6840" w:type="dxa"/>
            <w:shd w:val="clear" w:color="auto" w:fill="D9D9D9" w:themeFill="background1" w:themeFillShade="D9"/>
          </w:tcPr>
          <w:p w14:paraId="3237EB34" w14:textId="77777777" w:rsidR="00FD6857" w:rsidRPr="00FF3411" w:rsidRDefault="00FD6857" w:rsidP="00FD6857">
            <w:r>
              <w:t xml:space="preserve">To determine which medication to give each person, consult the </w:t>
            </w:r>
            <w:r w:rsidRPr="003B59BF">
              <w:rPr>
                <w:b/>
              </w:rPr>
              <w:t>NAPH Medication Algorithm</w:t>
            </w:r>
            <w:r>
              <w:t xml:space="preserve"> page. Then circle D (Doxy), C (Cipro) , or A (Amox) as appropriate. If Amoxicillin is not available and </w:t>
            </w:r>
            <w:r w:rsidRPr="00CC31F6">
              <w:rPr>
                <w:u w:val="single"/>
              </w:rPr>
              <w:t>any</w:t>
            </w:r>
            <w:r>
              <w:t xml:space="preserve"> person (#1 - #5) needs that medication, direct Person #1 to a physician for a consultation. Circle “Pedi” if the person is a child to ensure pill crushing instructions are provided.</w:t>
            </w:r>
          </w:p>
        </w:tc>
      </w:tr>
      <w:tr w:rsidR="00FD6857" w:rsidRPr="00FF3411" w14:paraId="41D82835" w14:textId="77777777" w:rsidTr="00FD6857">
        <w:trPr>
          <w:trHeight w:val="275"/>
        </w:trPr>
        <w:tc>
          <w:tcPr>
            <w:tcW w:w="3060" w:type="dxa"/>
            <w:shd w:val="clear" w:color="auto" w:fill="D9D9D9" w:themeFill="background1" w:themeFillShade="D9"/>
          </w:tcPr>
          <w:p w14:paraId="09423E55" w14:textId="77777777" w:rsidR="00FD6857" w:rsidRDefault="00FD6857" w:rsidP="0001035C">
            <w:r w:rsidRPr="00A4642D">
              <w:rPr>
                <w:b/>
              </w:rPr>
              <w:t>DISPENSER</w:t>
            </w:r>
            <w:r>
              <w:t xml:space="preserve"> (Initials ___): Check off the medication given </w:t>
            </w:r>
          </w:p>
          <w:p w14:paraId="4D5DE80B" w14:textId="77777777" w:rsidR="00FD6857" w:rsidRDefault="00FD6857" w:rsidP="0001035C">
            <w:r w:rsidRPr="004811E6">
              <w:rPr>
                <w:sz w:val="18"/>
              </w:rPr>
              <w:t>If Pedi provide crushing instructions</w:t>
            </w:r>
          </w:p>
        </w:tc>
        <w:tc>
          <w:tcPr>
            <w:tcW w:w="6840" w:type="dxa"/>
            <w:shd w:val="clear" w:color="auto" w:fill="D9D9D9" w:themeFill="background1" w:themeFillShade="D9"/>
          </w:tcPr>
          <w:p w14:paraId="269BCB6F" w14:textId="77777777" w:rsidR="00FD6857" w:rsidRPr="00FF3411" w:rsidRDefault="00FD6857" w:rsidP="00A01102">
            <w:r>
              <w:t>The Dispenser should check off the medication given for each person (#1 - #5). Check “None/med consult” if no medication was given and/or if the client was referred to a medical consult. Provide crushing instructions</w:t>
            </w:r>
            <w:r w:rsidR="00A01102">
              <w:t xml:space="preserve"> if Pedi or if adult has difficulty swallowing pills</w:t>
            </w:r>
            <w:r>
              <w:t>.</w:t>
            </w:r>
          </w:p>
        </w:tc>
      </w:tr>
      <w:tr w:rsidR="00FD6857" w:rsidRPr="00FF3411" w14:paraId="06D1F020" w14:textId="77777777" w:rsidTr="00FD6857">
        <w:trPr>
          <w:trHeight w:val="275"/>
        </w:trPr>
        <w:tc>
          <w:tcPr>
            <w:tcW w:w="3060" w:type="dxa"/>
            <w:shd w:val="clear" w:color="auto" w:fill="D9D9D9" w:themeFill="background1" w:themeFillShade="D9"/>
          </w:tcPr>
          <w:p w14:paraId="1C8B4CA7" w14:textId="77777777" w:rsidR="00FD6857" w:rsidRDefault="00FD6857" w:rsidP="0001035C">
            <w:r w:rsidRPr="00A4642D">
              <w:rPr>
                <w:b/>
              </w:rPr>
              <w:t>DISPENSER</w:t>
            </w:r>
            <w:r>
              <w:t xml:space="preserve">: Affix Med Label </w:t>
            </w:r>
            <w:r w:rsidRPr="003B59BF">
              <w:rPr>
                <w:b/>
              </w:rPr>
              <w:t>OR</w:t>
            </w:r>
            <w:r>
              <w:t xml:space="preserve"> fill in info</w:t>
            </w:r>
          </w:p>
        </w:tc>
        <w:tc>
          <w:tcPr>
            <w:tcW w:w="6840" w:type="dxa"/>
            <w:shd w:val="clear" w:color="auto" w:fill="D9D9D9" w:themeFill="background1" w:themeFillShade="D9"/>
          </w:tcPr>
          <w:p w14:paraId="27085C84" w14:textId="77777777" w:rsidR="00FD6857" w:rsidRPr="00FF3411" w:rsidRDefault="00FD6857" w:rsidP="0001035C">
            <w:r>
              <w:t>The bottles of medicine to be dispensed should have 2 peel-off labels on the side of the bottle. Affix one label for the medication provided for each person in that person’s column or fill in by hand if labels are not available.</w:t>
            </w:r>
          </w:p>
        </w:tc>
      </w:tr>
    </w:tbl>
    <w:p w14:paraId="3EF5A9A2" w14:textId="77777777" w:rsidR="00FD6857" w:rsidRPr="00110E66" w:rsidRDefault="00FD6857" w:rsidP="0001035C">
      <w:pPr>
        <w:tabs>
          <w:tab w:val="left" w:pos="964"/>
          <w:tab w:val="left" w:pos="2325"/>
        </w:tabs>
        <w:rPr>
          <w:rFonts w:ascii="Arial Narrow" w:hAnsi="Arial Narrow"/>
          <w:b/>
          <w:sz w:val="2"/>
          <w:szCs w:val="32"/>
        </w:rPr>
      </w:pPr>
    </w:p>
    <w:p w14:paraId="7179738E" w14:textId="77777777" w:rsidR="00FA72EE" w:rsidRDefault="007D5E53" w:rsidP="00750917">
      <w:pPr>
        <w:jc w:val="center"/>
        <w:rPr>
          <w:b/>
          <w:sz w:val="28"/>
        </w:rPr>
      </w:pPr>
      <w:r>
        <w:rPr>
          <w:rFonts w:ascii="Arial Narrow" w:hAnsi="Arial Narrow"/>
          <w:b/>
          <w:noProof/>
          <w:sz w:val="32"/>
          <w:szCs w:val="32"/>
        </w:rPr>
        <w:drawing>
          <wp:inline distT="0" distB="0" distL="0" distR="0" wp14:anchorId="59ED118D" wp14:editId="7F41E6D9">
            <wp:extent cx="6429375" cy="824904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jpg"/>
                    <pic:cNvPicPr/>
                  </pic:nvPicPr>
                  <pic:blipFill>
                    <a:blip r:embed="rId72">
                      <a:extLst>
                        <a:ext uri="{28A0092B-C50C-407E-A947-70E740481C1C}">
                          <a14:useLocalDpi xmlns:a14="http://schemas.microsoft.com/office/drawing/2010/main"/>
                        </a:ext>
                      </a:extLst>
                    </a:blip>
                    <a:stretch>
                      <a:fillRect/>
                    </a:stretch>
                  </pic:blipFill>
                  <pic:spPr>
                    <a:xfrm>
                      <a:off x="0" y="0"/>
                      <a:ext cx="6436038" cy="8257595"/>
                    </a:xfrm>
                    <a:prstGeom prst="rect">
                      <a:avLst/>
                    </a:prstGeom>
                  </pic:spPr>
                </pic:pic>
              </a:graphicData>
            </a:graphic>
          </wp:inline>
        </w:drawing>
      </w:r>
      <w:r w:rsidR="00F77522">
        <w:rPr>
          <w:rFonts w:ascii="Arial Narrow" w:hAnsi="Arial Narrow"/>
          <w:sz w:val="32"/>
          <w:szCs w:val="32"/>
        </w:rPr>
        <w:br w:type="page"/>
      </w:r>
      <w:r w:rsidR="00FA72EE">
        <w:rPr>
          <w:noProof/>
          <w:sz w:val="32"/>
          <w:szCs w:val="32"/>
        </w:rPr>
        <w:drawing>
          <wp:anchor distT="0" distB="0" distL="114300" distR="114300" simplePos="0" relativeHeight="251689984" behindDoc="0" locked="0" layoutInCell="1" allowOverlap="1" wp14:anchorId="54413DFD" wp14:editId="1E4213DC">
            <wp:simplePos x="0" y="0"/>
            <wp:positionH relativeFrom="margin">
              <wp:posOffset>-28575</wp:posOffset>
            </wp:positionH>
            <wp:positionV relativeFrom="margin">
              <wp:posOffset>-76200</wp:posOffset>
            </wp:positionV>
            <wp:extent cx="495300" cy="495300"/>
            <wp:effectExtent l="0" t="0" r="0" b="0"/>
            <wp:wrapSquare wrapText="bothSides"/>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Blue_Small.jpg"/>
                    <pic:cNvPicPr/>
                  </pic:nvPicPr>
                  <pic:blipFill>
                    <a:blip r:embed="rId71" cstate="screen">
                      <a:extLst>
                        <a:ext uri="{28A0092B-C50C-407E-A947-70E740481C1C}">
                          <a14:useLocalDpi xmlns:a14="http://schemas.microsoft.com/office/drawing/2010/main"/>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r w:rsidR="00FA72EE" w:rsidRPr="00A749EE">
        <w:rPr>
          <w:b/>
          <w:sz w:val="28"/>
        </w:rPr>
        <w:t xml:space="preserve">NAPH </w:t>
      </w:r>
      <w:r w:rsidR="00FA72EE">
        <w:rPr>
          <w:b/>
          <w:sz w:val="28"/>
        </w:rPr>
        <w:t xml:space="preserve">Form </w:t>
      </w:r>
      <w:r w:rsidR="00FA72EE" w:rsidRPr="00A749EE">
        <w:rPr>
          <w:b/>
          <w:sz w:val="28"/>
        </w:rPr>
        <w:t>Medication Algorithm Directions</w:t>
      </w:r>
    </w:p>
    <w:p w14:paraId="5B530845" w14:textId="77777777" w:rsidR="00FA72EE" w:rsidRPr="00F62F02" w:rsidRDefault="00FA72EE" w:rsidP="00750917">
      <w:pPr>
        <w:jc w:val="center"/>
        <w:rPr>
          <w:b/>
        </w:rPr>
      </w:pPr>
    </w:p>
    <w:p w14:paraId="1B71184F" w14:textId="77777777" w:rsidR="00FA72EE" w:rsidRPr="00405C08" w:rsidRDefault="00FA72EE" w:rsidP="00750917">
      <w:r w:rsidRPr="00405C08">
        <w:t>Answer each question (row) in order as listed on the NAPH Form (A, B, C, D).</w:t>
      </w:r>
    </w:p>
    <w:p w14:paraId="5CBE4EFC" w14:textId="77777777" w:rsidR="00FA72EE" w:rsidRPr="00405C08" w:rsidRDefault="00FA72EE" w:rsidP="00750917">
      <w:r w:rsidRPr="00405C08">
        <w:t xml:space="preserve">Based on the response to Question A, circle or highlight all the </w:t>
      </w:r>
      <w:r w:rsidRPr="007F5E8E">
        <w:rPr>
          <w:b/>
        </w:rPr>
        <w:t>YES</w:t>
      </w:r>
      <w:r w:rsidRPr="00405C08">
        <w:t xml:space="preserve">s or </w:t>
      </w:r>
      <w:r w:rsidRPr="007F5E8E">
        <w:rPr>
          <w:b/>
        </w:rPr>
        <w:t>NO</w:t>
      </w:r>
      <w:r w:rsidRPr="00405C08">
        <w:t>s in the top row.</w:t>
      </w:r>
    </w:p>
    <w:p w14:paraId="0BE913E9" w14:textId="77777777" w:rsidR="00FA72EE" w:rsidRDefault="00FA72EE" w:rsidP="00750917">
      <w:pPr>
        <w:ind w:left="720"/>
      </w:pPr>
    </w:p>
    <w:p w14:paraId="07AD7683" w14:textId="77777777" w:rsidR="00FA72EE" w:rsidRPr="00405C08" w:rsidRDefault="00FA72EE" w:rsidP="00750917">
      <w:pPr>
        <w:ind w:left="720"/>
      </w:pPr>
      <w:r w:rsidRPr="00405C08">
        <w:t xml:space="preserve">For example, </w:t>
      </w:r>
      <w:r>
        <w:t>i</w:t>
      </w:r>
      <w:r w:rsidRPr="00405C08">
        <w:t xml:space="preserve">f the person is NOT pregnant or breastfeeding, circle/highlight </w:t>
      </w:r>
      <w:r w:rsidRPr="007F5E8E">
        <w:rPr>
          <w:b/>
        </w:rPr>
        <w:t>NO</w:t>
      </w:r>
      <w:r w:rsidRPr="00405C08">
        <w:t xml:space="preserve"> in the first 5 blocks of the </w:t>
      </w:r>
      <w:r>
        <w:t>Q</w:t>
      </w:r>
      <w:r w:rsidRPr="00405C08">
        <w:t>uestion A row.</w:t>
      </w:r>
    </w:p>
    <w:p w14:paraId="24A84127" w14:textId="77777777" w:rsidR="00FA72EE" w:rsidRDefault="00FA72EE" w:rsidP="00750917"/>
    <w:p w14:paraId="65D84C88" w14:textId="77777777" w:rsidR="00FA72EE" w:rsidRDefault="00FA72EE" w:rsidP="00750917">
      <w:r w:rsidRPr="00405C08">
        <w:t xml:space="preserve">For </w:t>
      </w:r>
      <w:r>
        <w:t>each following question</w:t>
      </w:r>
      <w:r w:rsidRPr="00405C08">
        <w:t xml:space="preserve">, you need only circle the </w:t>
      </w:r>
      <w:r w:rsidRPr="00F62F02">
        <w:rPr>
          <w:b/>
        </w:rPr>
        <w:t>YES</w:t>
      </w:r>
      <w:r>
        <w:t>s</w:t>
      </w:r>
      <w:r w:rsidRPr="00405C08">
        <w:t xml:space="preserve"> or </w:t>
      </w:r>
      <w:r w:rsidRPr="00F62F02">
        <w:rPr>
          <w:b/>
        </w:rPr>
        <w:t>NO</w:t>
      </w:r>
      <w:r>
        <w:t>s</w:t>
      </w:r>
      <w:r w:rsidRPr="00405C08">
        <w:t xml:space="preserve"> that appear </w:t>
      </w:r>
      <w:r w:rsidRPr="00EA68F8">
        <w:rPr>
          <w:i/>
        </w:rPr>
        <w:t>under</w:t>
      </w:r>
      <w:r w:rsidRPr="00405C08">
        <w:t xml:space="preserve"> the circled/highlighted </w:t>
      </w:r>
      <w:r>
        <w:t>blocks</w:t>
      </w:r>
      <w:r w:rsidRPr="00405C08">
        <w:t xml:space="preserve"> in </w:t>
      </w:r>
      <w:r>
        <w:t xml:space="preserve">the previous </w:t>
      </w:r>
      <w:r w:rsidRPr="00405C08">
        <w:t>question.</w:t>
      </w:r>
    </w:p>
    <w:p w14:paraId="35FCF5AB" w14:textId="77777777" w:rsidR="00FA72EE" w:rsidRDefault="00FA72EE" w:rsidP="00750917"/>
    <w:p w14:paraId="4469690D" w14:textId="77777777" w:rsidR="00FA72EE" w:rsidRDefault="00FA72EE" w:rsidP="00750917">
      <w:r>
        <w:t xml:space="preserve">A column where all the </w:t>
      </w:r>
      <w:r w:rsidRPr="00F62F02">
        <w:rPr>
          <w:b/>
        </w:rPr>
        <w:t>YES</w:t>
      </w:r>
      <w:r>
        <w:t xml:space="preserve">s or </w:t>
      </w:r>
      <w:r w:rsidRPr="00F62F02">
        <w:rPr>
          <w:b/>
        </w:rPr>
        <w:t>NO</w:t>
      </w:r>
      <w:r>
        <w:t>s are circled or highlighted will indicate in the bottom row which drug should be provided.</w:t>
      </w:r>
    </w:p>
    <w:p w14:paraId="1AEFFFF3" w14:textId="77777777" w:rsidR="00FA72EE" w:rsidRDefault="00FA72EE" w:rsidP="00750917"/>
    <w:p w14:paraId="043ADA28" w14:textId="77777777" w:rsidR="00FA72EE" w:rsidRDefault="00FA72EE" w:rsidP="00750917">
      <w:r>
        <w:t xml:space="preserve">In the example below, the person is </w:t>
      </w:r>
      <w:r w:rsidRPr="00EA68F8">
        <w:rPr>
          <w:b/>
        </w:rPr>
        <w:t>NOT</w:t>
      </w:r>
      <w:r>
        <w:t xml:space="preserve"> pregnant/breastfeeding (row A), is </w:t>
      </w:r>
      <w:r w:rsidRPr="00EA68F8">
        <w:rPr>
          <w:b/>
        </w:rPr>
        <w:t>NOT</w:t>
      </w:r>
      <w:r>
        <w:t xml:space="preserve"> allergic to Doxycycline or Tetracycline drugs (row B), </w:t>
      </w:r>
      <w:r w:rsidRPr="00EA68F8">
        <w:rPr>
          <w:b/>
        </w:rPr>
        <w:t>IS</w:t>
      </w:r>
      <w:r>
        <w:t xml:space="preserve"> allergic to </w:t>
      </w:r>
      <w:r w:rsidRPr="00EA68F8">
        <w:t>Ciprofloxacin or Quinolone drugs</w:t>
      </w:r>
      <w:r>
        <w:t xml:space="preserve"> (row C), and is </w:t>
      </w:r>
      <w:r w:rsidRPr="00EA68F8">
        <w:rPr>
          <w:b/>
        </w:rPr>
        <w:t>NOT</w:t>
      </w:r>
      <w:r>
        <w:t xml:space="preserve"> allergic to </w:t>
      </w:r>
      <w:r w:rsidRPr="00EA68F8">
        <w:t>Amoxicillin or Penicillin drugs</w:t>
      </w:r>
      <w:r>
        <w:t xml:space="preserve"> (</w:t>
      </w:r>
      <w:r w:rsidRPr="00EA68F8">
        <w:rPr>
          <w:b/>
        </w:rPr>
        <w:t>note</w:t>
      </w:r>
      <w:r>
        <w:t xml:space="preserve">: a </w:t>
      </w:r>
      <w:r w:rsidRPr="00F62F02">
        <w:rPr>
          <w:b/>
        </w:rPr>
        <w:t>YES</w:t>
      </w:r>
      <w:r>
        <w:t xml:space="preserve"> or </w:t>
      </w:r>
      <w:r w:rsidRPr="00F62F02">
        <w:rPr>
          <w:b/>
        </w:rPr>
        <w:t>NO</w:t>
      </w:r>
      <w:r>
        <w:t xml:space="preserve"> response in row D would not change the drug provided in some cases).  The column with all blocks highlighted in rows A through D tells us which drug to provide (bottom row). In this example, the drug dispensed should be Doxycyline.</w:t>
      </w:r>
    </w:p>
    <w:tbl>
      <w:tblPr>
        <w:tblpPr w:leftFromText="180" w:rightFromText="180" w:vertAnchor="page" w:horzAnchor="margin" w:tblpY="7891"/>
        <w:tblW w:w="10368" w:type="dxa"/>
        <w:tblBorders>
          <w:top w:val="single" w:sz="4" w:space="0" w:color="auto"/>
          <w:left w:val="single" w:sz="8" w:space="0" w:color="auto"/>
          <w:bottom w:val="single" w:sz="4" w:space="0" w:color="auto"/>
          <w:right w:val="single" w:sz="4" w:space="0" w:color="auto"/>
          <w:insideH w:val="single" w:sz="6" w:space="0" w:color="auto"/>
          <w:insideV w:val="single" w:sz="6" w:space="0" w:color="auto"/>
        </w:tblBorders>
        <w:tblLayout w:type="fixed"/>
        <w:tblLook w:val="00A0" w:firstRow="1" w:lastRow="0" w:firstColumn="1" w:lastColumn="0" w:noHBand="0" w:noVBand="0"/>
      </w:tblPr>
      <w:tblGrid>
        <w:gridCol w:w="1818"/>
        <w:gridCol w:w="990"/>
        <w:gridCol w:w="720"/>
        <w:gridCol w:w="720"/>
        <w:gridCol w:w="990"/>
        <w:gridCol w:w="810"/>
        <w:gridCol w:w="990"/>
        <w:gridCol w:w="810"/>
        <w:gridCol w:w="810"/>
        <w:gridCol w:w="900"/>
        <w:gridCol w:w="810"/>
      </w:tblGrid>
      <w:tr w:rsidR="00FA72EE" w:rsidRPr="00EC0E63" w14:paraId="79DF73C3" w14:textId="77777777" w:rsidTr="00750917">
        <w:tc>
          <w:tcPr>
            <w:tcW w:w="1818" w:type="dxa"/>
            <w:tcBorders>
              <w:top w:val="single" w:sz="6" w:space="0" w:color="auto"/>
              <w:left w:val="single" w:sz="6" w:space="0" w:color="auto"/>
              <w:bottom w:val="single" w:sz="6" w:space="0" w:color="auto"/>
              <w:right w:val="single" w:sz="12" w:space="0" w:color="auto"/>
            </w:tcBorders>
          </w:tcPr>
          <w:p w14:paraId="60CFF1F1" w14:textId="77777777" w:rsidR="00FA72EE" w:rsidRPr="00EC0E63" w:rsidRDefault="00FA72EE" w:rsidP="00750917">
            <w:pPr>
              <w:tabs>
                <w:tab w:val="left" w:pos="900"/>
                <w:tab w:val="center" w:pos="971"/>
              </w:tabs>
              <w:jc w:val="center"/>
              <w:rPr>
                <w:rFonts w:ascii="Arial Narrow" w:hAnsi="Arial Narrow"/>
                <w:b/>
                <w:sz w:val="18"/>
                <w:szCs w:val="40"/>
              </w:rPr>
            </w:pPr>
            <w:r w:rsidRPr="00EC0E63">
              <w:rPr>
                <w:rFonts w:ascii="Arial Narrow" w:hAnsi="Arial Narrow"/>
                <w:b/>
                <w:sz w:val="18"/>
                <w:szCs w:val="40"/>
              </w:rPr>
              <w:t>A</w:t>
            </w:r>
          </w:p>
          <w:p w14:paraId="24819A59" w14:textId="77777777" w:rsidR="00FA72EE" w:rsidRPr="00EC0E63" w:rsidRDefault="00FA72EE" w:rsidP="00750917">
            <w:pPr>
              <w:tabs>
                <w:tab w:val="left" w:pos="900"/>
                <w:tab w:val="center" w:pos="971"/>
              </w:tabs>
              <w:jc w:val="center"/>
              <w:rPr>
                <w:rFonts w:ascii="Arial Narrow" w:hAnsi="Arial Narrow"/>
                <w:b/>
                <w:sz w:val="18"/>
                <w:szCs w:val="40"/>
              </w:rPr>
            </w:pPr>
            <w:r w:rsidRPr="00EC0E63">
              <w:rPr>
                <w:rFonts w:ascii="Arial Narrow" w:hAnsi="Arial Narrow"/>
                <w:sz w:val="18"/>
              </w:rPr>
              <w:t>Is the person PREGNANT or BREASTFEEDING?</w:t>
            </w:r>
          </w:p>
        </w:tc>
        <w:tc>
          <w:tcPr>
            <w:tcW w:w="990" w:type="dxa"/>
            <w:tcBorders>
              <w:top w:val="single" w:sz="6" w:space="0" w:color="auto"/>
              <w:left w:val="single" w:sz="12" w:space="0" w:color="auto"/>
              <w:bottom w:val="single" w:sz="6" w:space="0" w:color="auto"/>
            </w:tcBorders>
            <w:shd w:val="clear" w:color="auto" w:fill="auto"/>
            <w:vAlign w:val="center"/>
          </w:tcPr>
          <w:p w14:paraId="1B0AFC1C" w14:textId="77777777" w:rsidR="00FA72EE" w:rsidRPr="00FE76DD" w:rsidRDefault="00FA72EE" w:rsidP="00750917">
            <w:pPr>
              <w:jc w:val="center"/>
              <w:rPr>
                <w:rFonts w:ascii="Arial Narrow" w:hAnsi="Arial Narrow"/>
                <w:b/>
                <w:sz w:val="18"/>
              </w:rPr>
            </w:pPr>
            <w:r>
              <w:rPr>
                <w:rFonts w:ascii="Arial Narrow" w:hAnsi="Arial Narrow"/>
                <w:b/>
                <w:noProof/>
                <w:sz w:val="18"/>
              </w:rPr>
              <mc:AlternateContent>
                <mc:Choice Requires="wps">
                  <w:drawing>
                    <wp:anchor distT="0" distB="0" distL="114300" distR="114300" simplePos="0" relativeHeight="251649024" behindDoc="0" locked="0" layoutInCell="1" allowOverlap="1" wp14:anchorId="5AC5884C" wp14:editId="6800B0AB">
                      <wp:simplePos x="0" y="0"/>
                      <wp:positionH relativeFrom="column">
                        <wp:posOffset>55245</wp:posOffset>
                      </wp:positionH>
                      <wp:positionV relativeFrom="paragraph">
                        <wp:posOffset>-133350</wp:posOffset>
                      </wp:positionV>
                      <wp:extent cx="333375" cy="371475"/>
                      <wp:effectExtent l="0" t="0" r="28575" b="28575"/>
                      <wp:wrapNone/>
                      <wp:docPr id="24" name="Oval 24"/>
                      <wp:cNvGraphicFramePr/>
                      <a:graphic xmlns:a="http://schemas.openxmlformats.org/drawingml/2006/main">
                        <a:graphicData uri="http://schemas.microsoft.com/office/word/2010/wordprocessingShape">
                          <wps:wsp>
                            <wps:cNvSpPr/>
                            <wps:spPr>
                              <a:xfrm>
                                <a:off x="0" y="0"/>
                                <a:ext cx="333375" cy="3714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494BD6" id="Oval 24" o:spid="_x0000_s1026" style="position:absolute;margin-left:4.35pt;margin-top:-10.5pt;width:26.25pt;height:29.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BwvkAIAAIMFAAAOAAAAZHJzL2Uyb0RvYy54bWysVM1u2zAMvg/YOwi6r47TdN2MOkXQosOA&#10;og3aDj2rslQLkEVNUuJkTz9Ksp1gLXYY5oNMiuTHH5G8uNx1mmyF8wpMTcuTGSXCcGiUea3pj6eb&#10;T18o8YGZhmkwoqZ74enl8uOHi95WYg4t6EY4giDGV72taRuCrYrC81Z0zJ+AFQaFElzHArLutWgc&#10;6xG908V8Nvtc9OAa64AL7/H2OgvpMuFLKXi4l9KLQHRNMbaQTpfOl3gWywtWvTpmW8WHMNg/RNEx&#10;ZdDpBHXNAiMbp95AdYo78CDDCYeuACkVFykHzKac/ZHNY8usSLlgcbydyuT/Hyy/264dUU1N5wtK&#10;DOvwje63TBNksTa99RWqPNq1GziPZEx0J10X/5gC2aV67qd6il0gHC9P8Ts/o4Sj6PS8XCCNKMXB&#10;2DofvgnoSCRqKrRW1seMWcW2tz5k7VErXhu4UVrjPau0iacHrZp4l5jYNuJKO4Ip1DTsysHhkRa6&#10;j5ZFTC0nk6iw1yKjPgiJBcHw5ymQ1IoHTMa5MKHMopY1Irs6m+E3OhujSLlqg4ARWWKQE/YAMGpm&#10;kBE7pz3oR1OROnkynv0tsGw8WSTPYMJk3CkD7j0AjVkNnrP+WKRcmlilF2j22C4O8hx5y28Uvtwt&#10;82HNHA4Ojhgug3CPh9TQ1xQGipIW3K/37qM+9jNKKelxEGvqf26YE5To7wY7/Wu5WMTJTczi7HyO&#10;jDuWvBxLzKa7Anz6EteO5YmM+kGPpHTQPePOWEWvKGKGo++a8uBG5irkBYFbh4vVKqnhtFoWbs2j&#10;5RE8VjW25dPumTk7tG/Avr+DcWjftHDWjZYGVpsAUqX+PtR1qDdOemqcYSvFVXLMJ63D7lz+BgAA&#10;//8DAFBLAwQUAAYACAAAACEAbk2eFdwAAAAHAQAADwAAAGRycy9kb3ducmV2LnhtbEyPQU+DQBSE&#10;7yb+h80z8dYu0FhayqNRY+PVVg4eF/YJpOxbwm4p/nvXkz1OZjLzTb6fTS8mGl1nGSFeRiCIa6s7&#10;bhDKz8NiA8J5xVr1lgnhhxzsi/u7XGXaXvlI08k3IpSwyxRC6/2QSenqloxySzsQB+/bjkb5IMdG&#10;6lFdQ7npZRJFa2lUx2GhVQO9tlSfTxeDoOfj29dk0o9DdK7KbdmsXib9jvj4MD/vQHia/X8Y/vAD&#10;OhSBqbIX1k70CJs0BBEWSRwuBX8dJyAqhFX6BLLI5S1/8QsAAP//AwBQSwECLQAUAAYACAAAACEA&#10;toM4kv4AAADhAQAAEwAAAAAAAAAAAAAAAAAAAAAAW0NvbnRlbnRfVHlwZXNdLnhtbFBLAQItABQA&#10;BgAIAAAAIQA4/SH/1gAAAJQBAAALAAAAAAAAAAAAAAAAAC8BAABfcmVscy8ucmVsc1BLAQItABQA&#10;BgAIAAAAIQAOxBwvkAIAAIMFAAAOAAAAAAAAAAAAAAAAAC4CAABkcnMvZTJvRG9jLnhtbFBLAQIt&#10;ABQABgAIAAAAIQBuTZ4V3AAAAAcBAAAPAAAAAAAAAAAAAAAAAOoEAABkcnMvZG93bnJldi54bWxQ&#10;SwUGAAAAAAQABADzAAAA8wUAAAAA&#10;" filled="f" strokecolor="black [3213]" strokeweight="1pt">
                      <v:stroke joinstyle="miter"/>
                    </v:oval>
                  </w:pict>
                </mc:Fallback>
              </mc:AlternateContent>
            </w:r>
            <w:r w:rsidRPr="00FE76DD">
              <w:rPr>
                <w:rFonts w:ascii="Arial Narrow" w:hAnsi="Arial Narrow"/>
                <w:b/>
                <w:sz w:val="18"/>
              </w:rPr>
              <w:t>No</w:t>
            </w:r>
          </w:p>
        </w:tc>
        <w:tc>
          <w:tcPr>
            <w:tcW w:w="720" w:type="dxa"/>
            <w:tcBorders>
              <w:top w:val="single" w:sz="6" w:space="0" w:color="auto"/>
              <w:bottom w:val="single" w:sz="6" w:space="0" w:color="auto"/>
            </w:tcBorders>
            <w:shd w:val="clear" w:color="auto" w:fill="auto"/>
            <w:vAlign w:val="center"/>
          </w:tcPr>
          <w:p w14:paraId="0F76855B" w14:textId="77777777" w:rsidR="00FA72EE" w:rsidRPr="00FE76DD" w:rsidRDefault="00FA72EE" w:rsidP="00750917">
            <w:pPr>
              <w:jc w:val="center"/>
              <w:rPr>
                <w:rFonts w:ascii="Arial Narrow" w:hAnsi="Arial Narrow"/>
                <w:b/>
                <w:sz w:val="18"/>
              </w:rPr>
            </w:pPr>
            <w:r>
              <w:rPr>
                <w:rFonts w:ascii="Arial Narrow" w:hAnsi="Arial Narrow"/>
                <w:b/>
                <w:noProof/>
                <w:sz w:val="18"/>
              </w:rPr>
              <mc:AlternateContent>
                <mc:Choice Requires="wps">
                  <w:drawing>
                    <wp:anchor distT="0" distB="0" distL="114300" distR="114300" simplePos="0" relativeHeight="251665408" behindDoc="0" locked="0" layoutInCell="1" allowOverlap="1" wp14:anchorId="22C9CCCA" wp14:editId="7D86707A">
                      <wp:simplePos x="0" y="0"/>
                      <wp:positionH relativeFrom="column">
                        <wp:posOffset>-16510</wp:posOffset>
                      </wp:positionH>
                      <wp:positionV relativeFrom="paragraph">
                        <wp:posOffset>-137795</wp:posOffset>
                      </wp:positionV>
                      <wp:extent cx="333375" cy="371475"/>
                      <wp:effectExtent l="0" t="0" r="28575" b="28575"/>
                      <wp:wrapNone/>
                      <wp:docPr id="25" name="Oval 25"/>
                      <wp:cNvGraphicFramePr/>
                      <a:graphic xmlns:a="http://schemas.openxmlformats.org/drawingml/2006/main">
                        <a:graphicData uri="http://schemas.microsoft.com/office/word/2010/wordprocessingShape">
                          <wps:wsp>
                            <wps:cNvSpPr/>
                            <wps:spPr>
                              <a:xfrm>
                                <a:off x="0" y="0"/>
                                <a:ext cx="333375" cy="3714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71C969" id="Oval 25" o:spid="_x0000_s1026" style="position:absolute;margin-left:-1.3pt;margin-top:-10.85pt;width:26.25pt;height:2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TPlkAIAAIMFAAAOAAAAZHJzL2Uyb0RvYy54bWysVM1u2zAMvg/YOwi6r47TdN2MOkXQosOA&#10;og3aDj2rslQLkEVNUuJkTz9Ksp1gLXYY5oNMiuTHH5G8uNx1mmyF8wpMTcuTGSXCcGiUea3pj6eb&#10;T18o8YGZhmkwoqZ74enl8uOHi95WYg4t6EY4giDGV72taRuCrYrC81Z0zJ+AFQaFElzHArLutWgc&#10;6xG908V8Nvtc9OAa64AL7/H2OgvpMuFLKXi4l9KLQHRNMbaQTpfOl3gWywtWvTpmW8WHMNg/RNEx&#10;ZdDpBHXNAiMbp95AdYo78CDDCYeuACkVFykHzKac/ZHNY8usSLlgcbydyuT/Hyy/264dUU1N52eU&#10;GNbhG91vmSbIYm166ytUebRrN3AeyZjoTrou/jEFskv13E/1FLtAOF6e4neOsBxFp+flAmlEKQ7G&#10;1vnwTUBHIlFTobWyPmbMKra99SFrj1rx2sCN0hrvWaVNPD1o1cS7xMS2EVfaEUyhpmFXDg6PtNB9&#10;tCxiajmZRIW9Fhn1QUgsCIY/T4GkVjxgMs6FCWUWtawR2dXZDL/R2RhFylUbBIzIEoOcsAeAUTOD&#10;jNg57UE/morUyZPx7G+BZePJInkGEybjThlw7wFozGrwnPXHIuXSxCq9QLPHdnGQ58hbfqPw5W6Z&#10;D2vmcHBwxHAZhHs8pIa+pjBQlLTgfr13H/Wxn1FKSY+DWFP/c8OcoER/N9jpX8vFIk5uYhZn53Nk&#10;3LHk5VhiNt0V4NOXuHYsT2TUD3okpYPuGXfGKnpFETMcfdeUBzcyVyEvCNw6XKxWSQ2n1bJwax4t&#10;j+CxqrEtn3bPzNmhfQP2/R2MQ/umhbNutDSw2gSQKvX3oa5DvXHSU+MMWymukmM+aR125/I3AAAA&#10;//8DAFBLAwQUAAYACAAAACEAfufNQd4AAAAIAQAADwAAAGRycy9kb3ducmV2LnhtbEyPwW7CMAyG&#10;75P2DpEn7QYpMBXaNUXbNMR1sB52dBuvrWicqgmle/uFE5wsy59+f3+2nUwnRhpca1nBYh6BIK6s&#10;brlWUHzvZhsQziNr7CyTgj9ysM0fHzJMtb3wgcajr0UIYZeigsb7PpXSVQ0ZdHPbE4fbrx0M+rAO&#10;tdQDXkK46eQyimJpsOXwocGePhqqTsezUaCnw+fPaNZfu+hUFklRr95HvVfq+Wl6ewXhafI3GK76&#10;QR3y4FTaM2snOgWzZRzI61ysQQTgJUlAlApW8QZknsn7Avk/AAAA//8DAFBLAQItABQABgAIAAAA&#10;IQC2gziS/gAAAOEBAAATAAAAAAAAAAAAAAAAAAAAAABbQ29udGVudF9UeXBlc10ueG1sUEsBAi0A&#10;FAAGAAgAAAAhADj9If/WAAAAlAEAAAsAAAAAAAAAAAAAAAAALwEAAF9yZWxzLy5yZWxzUEsBAi0A&#10;FAAGAAgAAAAhAKhJM+WQAgAAgwUAAA4AAAAAAAAAAAAAAAAALgIAAGRycy9lMm9Eb2MueG1sUEsB&#10;Ai0AFAAGAAgAAAAhAH7nzUHeAAAACAEAAA8AAAAAAAAAAAAAAAAA6gQAAGRycy9kb3ducmV2Lnht&#10;bFBLBQYAAAAABAAEAPMAAAD1BQAAAAA=&#10;" filled="f" strokecolor="black [3213]" strokeweight="1pt">
                      <v:stroke joinstyle="miter"/>
                    </v:oval>
                  </w:pict>
                </mc:Fallback>
              </mc:AlternateContent>
            </w:r>
            <w:r w:rsidRPr="00FE76DD">
              <w:rPr>
                <w:rFonts w:ascii="Arial Narrow" w:hAnsi="Arial Narrow"/>
                <w:b/>
                <w:sz w:val="18"/>
              </w:rPr>
              <w:t>No</w:t>
            </w:r>
          </w:p>
        </w:tc>
        <w:tc>
          <w:tcPr>
            <w:tcW w:w="720" w:type="dxa"/>
            <w:tcBorders>
              <w:top w:val="single" w:sz="6" w:space="0" w:color="auto"/>
              <w:bottom w:val="single" w:sz="6" w:space="0" w:color="auto"/>
            </w:tcBorders>
            <w:vAlign w:val="center"/>
          </w:tcPr>
          <w:p w14:paraId="50E6BCF7" w14:textId="77777777" w:rsidR="00FA72EE" w:rsidRPr="00FE76DD" w:rsidRDefault="00FA72EE" w:rsidP="00750917">
            <w:pPr>
              <w:jc w:val="center"/>
              <w:rPr>
                <w:rFonts w:ascii="Arial Narrow" w:hAnsi="Arial Narrow"/>
                <w:b/>
                <w:sz w:val="18"/>
              </w:rPr>
            </w:pPr>
            <w:r>
              <w:rPr>
                <w:rFonts w:ascii="Arial Narrow" w:hAnsi="Arial Narrow"/>
                <w:b/>
                <w:noProof/>
                <w:sz w:val="18"/>
              </w:rPr>
              <mc:AlternateContent>
                <mc:Choice Requires="wps">
                  <w:drawing>
                    <wp:anchor distT="0" distB="0" distL="114300" distR="114300" simplePos="0" relativeHeight="251661312" behindDoc="0" locked="0" layoutInCell="1" allowOverlap="1" wp14:anchorId="5EE59CB5" wp14:editId="2995E8CA">
                      <wp:simplePos x="0" y="0"/>
                      <wp:positionH relativeFrom="column">
                        <wp:posOffset>-6985</wp:posOffset>
                      </wp:positionH>
                      <wp:positionV relativeFrom="paragraph">
                        <wp:posOffset>-137795</wp:posOffset>
                      </wp:positionV>
                      <wp:extent cx="333375" cy="371475"/>
                      <wp:effectExtent l="0" t="0" r="28575" b="28575"/>
                      <wp:wrapNone/>
                      <wp:docPr id="26" name="Oval 26"/>
                      <wp:cNvGraphicFramePr/>
                      <a:graphic xmlns:a="http://schemas.openxmlformats.org/drawingml/2006/main">
                        <a:graphicData uri="http://schemas.microsoft.com/office/word/2010/wordprocessingShape">
                          <wps:wsp>
                            <wps:cNvSpPr/>
                            <wps:spPr>
                              <a:xfrm>
                                <a:off x="0" y="0"/>
                                <a:ext cx="333375" cy="3714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F9FE19" id="Oval 26" o:spid="_x0000_s1026" style="position:absolute;margin-left:-.55pt;margin-top:-10.85pt;width:26.25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TJgkAIAAIMFAAAOAAAAZHJzL2Uyb0RvYy54bWysVM1u2zAMvg/YOwi6r47TtN2MOkXQosOA&#10;og3WDj2rslQLkEVNUuJkTz9Ksp1gLXYY5oNMiuTHH5G8vNp1mmyF8wpMTcuTGSXCcGiUea3pj6fb&#10;T58p8YGZhmkwoqZ74enV8uOHy95WYg4t6EY4giDGV72taRuCrYrC81Z0zJ+AFQaFElzHArLutWgc&#10;6xG908V8NjsvenCNdcCF93h7k4V0mfClFDw8SOlFILqmGFtIp0vnSzyL5SWrXh2zreJDGOwfouiY&#10;Muh0grphgZGNU2+gOsUdeJDhhENXgJSKi5QDZlPO/sjmsWVWpFywON5OZfL/D5bfb9eOqKam83NK&#10;DOvwjR62TBNksTa99RWqPNq1GziPZEx0J10X/5gC2aV67qd6il0gHC9P8bs4o4Sj6PSiXCCNKMXB&#10;2DofvgroSCRqKrRW1seMWcW2dz5k7VErXhu4VVrjPau0iacHrZp4l5jYNuJaO4Ip1DTsysHhkRa6&#10;j5ZFTC0nk6iw1yKjfhcSC4Lhz1MgqRUPmIxzYUKZRS1rRHZ1NsNvdDZGkXLVBgEjssQgJ+wBYNTM&#10;ICN2TnvQj6YidfJkPPtbYNl4skiewYTJuFMG3HsAGrMaPGf9sUi5NLFKL9DssV0c5Dnylt8qfLk7&#10;5sOaORwcHDFcBuEBD6mhrykMFCUtuF/v3Ud97GeUUtLjINbU/9wwJyjR3wx2+pdysYiTm5jF2cUc&#10;GXcseTmWmE13Dfj0Ja4dyxMZ9YMeSemge8adsYpeUcQMR9815cGNzHXICwK3DherVVLDabUs3JlH&#10;yyN4rGpsy6fdM3N2aN+AfX8P49C+aeGsGy0NrDYBpEr9fajrUG+c9NQ4w1aKq+SYT1qH3bn8DQAA&#10;//8DAFBLAwQUAAYACAAAACEAh6c5C94AAAAIAQAADwAAAGRycy9kb3ducmV2LnhtbEyPTU/DMAyG&#10;70j8h8hI3LY0G+yjNJ0AMXFloweOaeO11RqnarKu/HvMCU6W5UevnzfbTa4TIw6h9aRBzRMQSJW3&#10;LdUais/9bAMiREPWdJ5QwzcG2OW3N5lJrb/SAcdjrAWHUEiNhibGPpUyVA06E+a+R+LbyQ/ORF6H&#10;WtrBXDncdXKRJCvpTEv8oTE9vjZYnY8Xp8FOh7ev0a0/9sm5LLZFvXwZ7bvW93fT8xOIiFP8g+FX&#10;n9UhZ6fSX8gG0WmYKcUkz4Vag2DgUT2AKDUsVxuQeSb/F8h/AAAA//8DAFBLAQItABQABgAIAAAA&#10;IQC2gziS/gAAAOEBAAATAAAAAAAAAAAAAAAAAAAAAABbQ29udGVudF9UeXBlc10ueG1sUEsBAi0A&#10;FAAGAAgAAAAhADj9If/WAAAAlAEAAAsAAAAAAAAAAAAAAAAALwEAAF9yZWxzLy5yZWxzUEsBAi0A&#10;FAAGAAgAAAAhAAPZMmCQAgAAgwUAAA4AAAAAAAAAAAAAAAAALgIAAGRycy9lMm9Eb2MueG1sUEsB&#10;Ai0AFAAGAAgAAAAhAIenOQveAAAACAEAAA8AAAAAAAAAAAAAAAAA6gQAAGRycy9kb3ducmV2Lnht&#10;bFBLBQYAAAAABAAEAPMAAAD1BQAAAAA=&#10;" filled="f" strokecolor="black [3213]" strokeweight="1pt">
                      <v:stroke joinstyle="miter"/>
                    </v:oval>
                  </w:pict>
                </mc:Fallback>
              </mc:AlternateContent>
            </w:r>
            <w:r w:rsidRPr="00FE76DD">
              <w:rPr>
                <w:rFonts w:ascii="Arial Narrow" w:hAnsi="Arial Narrow"/>
                <w:b/>
                <w:sz w:val="18"/>
              </w:rPr>
              <w:t>No</w:t>
            </w:r>
          </w:p>
        </w:tc>
        <w:tc>
          <w:tcPr>
            <w:tcW w:w="990" w:type="dxa"/>
            <w:tcBorders>
              <w:top w:val="single" w:sz="6" w:space="0" w:color="auto"/>
              <w:bottom w:val="single" w:sz="6" w:space="0" w:color="auto"/>
            </w:tcBorders>
            <w:vAlign w:val="center"/>
          </w:tcPr>
          <w:p w14:paraId="3EEC1F74" w14:textId="77777777" w:rsidR="00FA72EE" w:rsidRPr="00FE76DD" w:rsidRDefault="00FA72EE" w:rsidP="00750917">
            <w:pPr>
              <w:jc w:val="center"/>
              <w:rPr>
                <w:rFonts w:ascii="Arial Narrow" w:hAnsi="Arial Narrow"/>
                <w:b/>
                <w:sz w:val="18"/>
              </w:rPr>
            </w:pPr>
            <w:r>
              <w:rPr>
                <w:rFonts w:ascii="Arial Narrow" w:hAnsi="Arial Narrow"/>
                <w:b/>
                <w:noProof/>
                <w:sz w:val="18"/>
              </w:rPr>
              <mc:AlternateContent>
                <mc:Choice Requires="wps">
                  <w:drawing>
                    <wp:anchor distT="0" distB="0" distL="114300" distR="114300" simplePos="0" relativeHeight="251657216" behindDoc="0" locked="0" layoutInCell="1" allowOverlap="1" wp14:anchorId="5445F08B" wp14:editId="77105995">
                      <wp:simplePos x="0" y="0"/>
                      <wp:positionH relativeFrom="column">
                        <wp:posOffset>55245</wp:posOffset>
                      </wp:positionH>
                      <wp:positionV relativeFrom="paragraph">
                        <wp:posOffset>-133350</wp:posOffset>
                      </wp:positionV>
                      <wp:extent cx="333375" cy="371475"/>
                      <wp:effectExtent l="0" t="0" r="28575" b="28575"/>
                      <wp:wrapNone/>
                      <wp:docPr id="27" name="Oval 27"/>
                      <wp:cNvGraphicFramePr/>
                      <a:graphic xmlns:a="http://schemas.openxmlformats.org/drawingml/2006/main">
                        <a:graphicData uri="http://schemas.microsoft.com/office/word/2010/wordprocessingShape">
                          <wps:wsp>
                            <wps:cNvSpPr/>
                            <wps:spPr>
                              <a:xfrm>
                                <a:off x="0" y="0"/>
                                <a:ext cx="333375" cy="3714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46907E" id="Oval 27" o:spid="_x0000_s1026" style="position:absolute;margin-left:4.35pt;margin-top:-10.5pt;width:26.25pt;height:2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B2qkAIAAIMFAAAOAAAAZHJzL2Uyb0RvYy54bWysVM1u2zAMvg/YOwi6r47TdNmMOkXQosOA&#10;oi3aDj2rslQLkEVNUuJkTz9Ksp1gLXYY5oNMiuTHH5E8v9h1mmyF8wpMTcuTGSXCcGiUea3pj6fr&#10;T18o8YGZhmkwoqZ74enF6uOH895WYg4t6EY4giDGV72taRuCrYrC81Z0zJ+AFQaFElzHArLutWgc&#10;6xG908V8Nvtc9OAa64AL7/H2KgvpKuFLKXi4k9KLQHRNMbaQTpfOl3gWq3NWvTpmW8WHMNg/RNEx&#10;ZdDpBHXFAiMbp95AdYo78CDDCYeuACkVFykHzKac/ZHNY8usSLlgcbydyuT/Hyy/3d47opqazpeU&#10;GNbhG91tmSbIYm166ytUebT3buA8kjHRnXRd/GMKZJfquZ/qKXaBcLw8xW95RglH0emyXCCNKMXB&#10;2DofvgnoSCRqKrRW1seMWcW2Nz5k7VErXhu4VlrjPau0iacHrZp4l5jYNuJSO4Ip1DTsysHhkRa6&#10;j5ZFTC0nk6iw1yKjPgiJBcHw5ymQ1IoHTMa5MKHMopY1Irs6m+E3OhujSLlqg4ARWWKQE/YAMGpm&#10;kBE7pz3oR1OROnkynv0tsGw8WSTPYMJk3CkD7j0AjVkNnrP+WKRcmlilF2j22C4O8hx5y68VvtwN&#10;8+GeORwcHDFcBuEOD6mhrykMFCUtuF/v3Ud97GeUUtLjINbU/9wwJyjR3w12+tdysYiTm5jF2XKO&#10;jDuWvBxLzKa7BHz6EteO5YmM+kGPpHTQPePOWEevKGKGo++a8uBG5jLkBYFbh4v1OqnhtFoWbsyj&#10;5RE8VjW25dPumTk7tG/Avr+FcWjftHDWjZYG1psAUqX+PtR1qDdOemqcYSvFVXLMJ63D7lz9BgAA&#10;//8DAFBLAwQUAAYACAAAACEAbk2eFdwAAAAHAQAADwAAAGRycy9kb3ducmV2LnhtbEyPQU+DQBSE&#10;7yb+h80z8dYu0FhayqNRY+PVVg4eF/YJpOxbwm4p/nvXkz1OZjLzTb6fTS8mGl1nGSFeRiCIa6s7&#10;bhDKz8NiA8J5xVr1lgnhhxzsi/u7XGXaXvlI08k3IpSwyxRC6/2QSenqloxySzsQB+/bjkb5IMdG&#10;6lFdQ7npZRJFa2lUx2GhVQO9tlSfTxeDoOfj29dk0o9DdK7KbdmsXib9jvj4MD/vQHia/X8Y/vAD&#10;OhSBqbIX1k70CJs0BBEWSRwuBX8dJyAqhFX6BLLI5S1/8QsAAP//AwBQSwECLQAUAAYACAAAACEA&#10;toM4kv4AAADhAQAAEwAAAAAAAAAAAAAAAAAAAAAAW0NvbnRlbnRfVHlwZXNdLnhtbFBLAQItABQA&#10;BgAIAAAAIQA4/SH/1gAAAJQBAAALAAAAAAAAAAAAAAAAAC8BAABfcmVscy8ucmVsc1BLAQItABQA&#10;BgAIAAAAIQClVB2qkAIAAIMFAAAOAAAAAAAAAAAAAAAAAC4CAABkcnMvZTJvRG9jLnhtbFBLAQIt&#10;ABQABgAIAAAAIQBuTZ4V3AAAAAcBAAAPAAAAAAAAAAAAAAAAAOoEAABkcnMvZG93bnJldi54bWxQ&#10;SwUGAAAAAAQABADzAAAA8wUAAAAA&#10;" filled="f" strokecolor="black [3213]" strokeweight="1pt">
                      <v:stroke joinstyle="miter"/>
                    </v:oval>
                  </w:pict>
                </mc:Fallback>
              </mc:AlternateContent>
            </w:r>
            <w:r w:rsidRPr="00FE76DD">
              <w:rPr>
                <w:rFonts w:ascii="Arial Narrow" w:hAnsi="Arial Narrow"/>
                <w:b/>
                <w:sz w:val="18"/>
              </w:rPr>
              <w:t>No</w:t>
            </w:r>
          </w:p>
        </w:tc>
        <w:tc>
          <w:tcPr>
            <w:tcW w:w="810" w:type="dxa"/>
            <w:tcBorders>
              <w:top w:val="single" w:sz="6" w:space="0" w:color="auto"/>
              <w:bottom w:val="single" w:sz="6" w:space="0" w:color="auto"/>
              <w:right w:val="single" w:sz="18" w:space="0" w:color="auto"/>
            </w:tcBorders>
            <w:vAlign w:val="center"/>
          </w:tcPr>
          <w:p w14:paraId="037F892D" w14:textId="77777777" w:rsidR="00FA72EE" w:rsidRPr="00FE76DD" w:rsidRDefault="00FA72EE" w:rsidP="00750917">
            <w:pPr>
              <w:jc w:val="center"/>
              <w:rPr>
                <w:rFonts w:ascii="Arial Narrow" w:hAnsi="Arial Narrow"/>
                <w:b/>
                <w:sz w:val="18"/>
              </w:rPr>
            </w:pPr>
            <w:r>
              <w:rPr>
                <w:rFonts w:ascii="Arial Narrow" w:hAnsi="Arial Narrow"/>
                <w:b/>
                <w:noProof/>
                <w:sz w:val="18"/>
              </w:rPr>
              <mc:AlternateContent>
                <mc:Choice Requires="wps">
                  <w:drawing>
                    <wp:anchor distT="0" distB="0" distL="114300" distR="114300" simplePos="0" relativeHeight="251653120" behindDoc="0" locked="0" layoutInCell="1" allowOverlap="1" wp14:anchorId="52E19F4F" wp14:editId="49499EEA">
                      <wp:simplePos x="0" y="0"/>
                      <wp:positionH relativeFrom="column">
                        <wp:posOffset>2540</wp:posOffset>
                      </wp:positionH>
                      <wp:positionV relativeFrom="paragraph">
                        <wp:posOffset>-118745</wp:posOffset>
                      </wp:positionV>
                      <wp:extent cx="333375" cy="371475"/>
                      <wp:effectExtent l="0" t="0" r="28575" b="28575"/>
                      <wp:wrapNone/>
                      <wp:docPr id="28" name="Oval 28"/>
                      <wp:cNvGraphicFramePr/>
                      <a:graphic xmlns:a="http://schemas.openxmlformats.org/drawingml/2006/main">
                        <a:graphicData uri="http://schemas.microsoft.com/office/word/2010/wordprocessingShape">
                          <wps:wsp>
                            <wps:cNvSpPr/>
                            <wps:spPr>
                              <a:xfrm>
                                <a:off x="0" y="0"/>
                                <a:ext cx="333375" cy="3714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29319E" id="Oval 28" o:spid="_x0000_s1026" style="position:absolute;margin-left:.2pt;margin-top:-9.35pt;width:26.25pt;height:29.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IlWkAIAAIMFAAAOAAAAZHJzL2Uyb0RvYy54bWysVM1u2zAMvg/YOwi6r47TdN2MOkXQosOA&#10;og3aDj2rslQLkEVNUuJkTz9Ksp1gLXYY5oNMiuTHH5G8uNx1mmyF8wpMTcuTGSXCcGiUea3pj6eb&#10;T18o8YGZhmkwoqZ74enl8uOHi95WYg4t6EY4giDGV72taRuCrYrC81Z0zJ+AFQaFElzHArLutWgc&#10;6xG908V8Nvtc9OAa64AL7/H2OgvpMuFLKXi4l9KLQHRNMbaQTpfOl3gWywtWvTpmW8WHMNg/RNEx&#10;ZdDpBHXNAiMbp95AdYo78CDDCYeuACkVFykHzKac/ZHNY8usSLlgcbydyuT/Hyy/264dUU1N5/hS&#10;hnX4RvdbpgmyWJve+gpVHu3aDZxHMia6k66Lf0yB7FI991M9xS4Qjpen+J2fUcJRdHpeLpBGlOJg&#10;bJ0P3wR0JBI1FVor62PGrGLbWx+y9qgVrw3cKK3xnlXaxNODVk28S0xsG3GlHcEUahp25eDwSAvd&#10;R8sippaTSVTYa5FRH4TEgmD48xRIasUDJuNcmFBmUcsakV2dzfAbnY1RpFy1QcCILDHICXsAGDUz&#10;yIid0x70o6lInTwZz/4WWDaeLJJnMGEy7pQB9x6AxqwGz1l/LFIuTazSCzR7bBcHeY685TcKX+6W&#10;+bBmDgcHRwyXQbjHQ2roawoDRUkL7td791Ef+xmllPQ4iDX1PzfMCUr0d4Od/rVcLOLkJmZxdj5H&#10;xh1LXo4lZtNdAT59iWvH8kRG/aBHUjronnFnrKJXFDHD0XdNeXAjcxXygsCtw8VqldRwWi0Lt+bR&#10;8ggeqxrb8mn3zJwd2jdg39/BOLRvWjjrRksDq00AqVJ/H+o61BsnPTXOsJXiKjnmk9Zhdy5/AwAA&#10;//8DAFBLAwQUAAYACAAAACEAXjBD/9wAAAAGAQAADwAAAGRycy9kb3ducmV2LnhtbEyOTU/DMBBE&#10;70j9D9ZW4tY6/YAmIZsKUCuutOTA0YmXJGq8jmI3Df8ec4LjaEZvXrafTCdGGlxrGWG1jEAQV1a3&#10;XCMUH8dFDMJ5xVp1lgnhmxzs89ldplJtb3yi8exrESDsUoXQeN+nUrqqIaPc0vbEofuyg1E+xKGW&#10;elC3ADedXEfRozSq5fDQqJ5eG6ou56tB0NPp8Dma3fsxupRFUtSbl1G/Id7Pp+cnEJ4m/zeGX/2g&#10;DnlwKu2VtRMdwjbsEBareAci1A/rBESJsElikHkm/+vnPwAAAP//AwBQSwECLQAUAAYACAAAACEA&#10;toM4kv4AAADhAQAAEwAAAAAAAAAAAAAAAAAAAAAAW0NvbnRlbnRfVHlwZXNdLnhtbFBLAQItABQA&#10;BgAIAAAAIQA4/SH/1gAAAJQBAAALAAAAAAAAAAAAAAAAAC8BAABfcmVscy8ucmVsc1BLAQItABQA&#10;BgAIAAAAIQBhjIlWkAIAAIMFAAAOAAAAAAAAAAAAAAAAAC4CAABkcnMvZTJvRG9jLnhtbFBLAQIt&#10;ABQABgAIAAAAIQBeMEP/3AAAAAYBAAAPAAAAAAAAAAAAAAAAAOoEAABkcnMvZG93bnJldi54bWxQ&#10;SwUGAAAAAAQABADzAAAA8wUAAAAA&#10;" filled="f" strokecolor="black [3213]" strokeweight="1pt">
                      <v:stroke joinstyle="miter"/>
                    </v:oval>
                  </w:pict>
                </mc:Fallback>
              </mc:AlternateContent>
            </w:r>
            <w:r w:rsidRPr="00FE76DD">
              <w:rPr>
                <w:rFonts w:ascii="Arial Narrow" w:hAnsi="Arial Narrow"/>
                <w:b/>
                <w:sz w:val="18"/>
              </w:rPr>
              <w:t>No</w:t>
            </w:r>
          </w:p>
        </w:tc>
        <w:tc>
          <w:tcPr>
            <w:tcW w:w="990" w:type="dxa"/>
            <w:tcBorders>
              <w:top w:val="single" w:sz="6" w:space="0" w:color="auto"/>
              <w:left w:val="single" w:sz="18" w:space="0" w:color="auto"/>
              <w:bottom w:val="single" w:sz="6" w:space="0" w:color="auto"/>
              <w:right w:val="single" w:sz="6" w:space="0" w:color="auto"/>
            </w:tcBorders>
            <w:vAlign w:val="center"/>
          </w:tcPr>
          <w:p w14:paraId="4EBE2344" w14:textId="77777777" w:rsidR="00FA72EE" w:rsidRPr="00EC0E63" w:rsidRDefault="00FA72EE" w:rsidP="00750917">
            <w:pPr>
              <w:jc w:val="center"/>
              <w:rPr>
                <w:rFonts w:ascii="Arial Narrow" w:hAnsi="Arial Narrow"/>
                <w:b/>
                <w:sz w:val="18"/>
              </w:rPr>
            </w:pPr>
            <w:r w:rsidRPr="00EC0E63">
              <w:rPr>
                <w:rFonts w:ascii="Arial Narrow" w:hAnsi="Arial Narrow"/>
                <w:b/>
                <w:sz w:val="18"/>
              </w:rPr>
              <w:t>Yes</w:t>
            </w:r>
          </w:p>
        </w:tc>
        <w:tc>
          <w:tcPr>
            <w:tcW w:w="810" w:type="dxa"/>
            <w:tcBorders>
              <w:top w:val="single" w:sz="6" w:space="0" w:color="auto"/>
              <w:left w:val="single" w:sz="6" w:space="0" w:color="auto"/>
              <w:bottom w:val="single" w:sz="6" w:space="0" w:color="auto"/>
            </w:tcBorders>
            <w:vAlign w:val="center"/>
          </w:tcPr>
          <w:p w14:paraId="6F5BD013" w14:textId="77777777" w:rsidR="00FA72EE" w:rsidRPr="00EC0E63" w:rsidRDefault="00FA72EE" w:rsidP="00750917">
            <w:pPr>
              <w:jc w:val="center"/>
              <w:rPr>
                <w:rFonts w:ascii="Arial Narrow" w:hAnsi="Arial Narrow"/>
                <w:b/>
                <w:sz w:val="18"/>
              </w:rPr>
            </w:pPr>
            <w:r w:rsidRPr="00EC0E63">
              <w:rPr>
                <w:rFonts w:ascii="Arial Narrow" w:hAnsi="Arial Narrow"/>
                <w:b/>
                <w:sz w:val="18"/>
              </w:rPr>
              <w:t>Yes</w:t>
            </w:r>
          </w:p>
        </w:tc>
        <w:tc>
          <w:tcPr>
            <w:tcW w:w="810" w:type="dxa"/>
            <w:tcBorders>
              <w:top w:val="single" w:sz="6" w:space="0" w:color="auto"/>
              <w:bottom w:val="single" w:sz="6" w:space="0" w:color="auto"/>
            </w:tcBorders>
            <w:vAlign w:val="center"/>
          </w:tcPr>
          <w:p w14:paraId="304A6A14" w14:textId="77777777" w:rsidR="00FA72EE" w:rsidRPr="00EC0E63" w:rsidRDefault="00FA72EE" w:rsidP="00750917">
            <w:pPr>
              <w:jc w:val="center"/>
              <w:rPr>
                <w:rFonts w:ascii="Arial Narrow" w:hAnsi="Arial Narrow"/>
                <w:b/>
                <w:sz w:val="18"/>
              </w:rPr>
            </w:pPr>
            <w:r w:rsidRPr="00EC0E63">
              <w:rPr>
                <w:rFonts w:ascii="Arial Narrow" w:hAnsi="Arial Narrow"/>
                <w:b/>
                <w:sz w:val="18"/>
              </w:rPr>
              <w:t>Yes</w:t>
            </w:r>
          </w:p>
        </w:tc>
        <w:tc>
          <w:tcPr>
            <w:tcW w:w="900" w:type="dxa"/>
            <w:tcBorders>
              <w:top w:val="single" w:sz="6" w:space="0" w:color="auto"/>
              <w:bottom w:val="single" w:sz="6" w:space="0" w:color="auto"/>
            </w:tcBorders>
            <w:vAlign w:val="center"/>
          </w:tcPr>
          <w:p w14:paraId="31D460CD" w14:textId="77777777" w:rsidR="00FA72EE" w:rsidRPr="00EC0E63" w:rsidRDefault="00FA72EE" w:rsidP="00750917">
            <w:pPr>
              <w:jc w:val="center"/>
              <w:rPr>
                <w:rFonts w:ascii="Arial Narrow" w:hAnsi="Arial Narrow"/>
                <w:b/>
                <w:sz w:val="18"/>
              </w:rPr>
            </w:pPr>
            <w:r w:rsidRPr="00EC0E63">
              <w:rPr>
                <w:rFonts w:ascii="Arial Narrow" w:hAnsi="Arial Narrow"/>
                <w:b/>
                <w:sz w:val="18"/>
              </w:rPr>
              <w:t>Yes</w:t>
            </w:r>
          </w:p>
        </w:tc>
        <w:tc>
          <w:tcPr>
            <w:tcW w:w="810" w:type="dxa"/>
            <w:tcBorders>
              <w:top w:val="single" w:sz="6" w:space="0" w:color="auto"/>
              <w:bottom w:val="single" w:sz="6" w:space="0" w:color="auto"/>
            </w:tcBorders>
            <w:vAlign w:val="center"/>
          </w:tcPr>
          <w:p w14:paraId="3B9262A7" w14:textId="77777777" w:rsidR="00FA72EE" w:rsidRPr="00EC0E63" w:rsidRDefault="00FA72EE" w:rsidP="00750917">
            <w:pPr>
              <w:jc w:val="center"/>
              <w:rPr>
                <w:rFonts w:ascii="Arial Narrow" w:hAnsi="Arial Narrow"/>
                <w:b/>
                <w:sz w:val="18"/>
              </w:rPr>
            </w:pPr>
            <w:r w:rsidRPr="00EC0E63">
              <w:rPr>
                <w:rFonts w:ascii="Arial Narrow" w:hAnsi="Arial Narrow"/>
                <w:b/>
                <w:sz w:val="18"/>
              </w:rPr>
              <w:t>Yes</w:t>
            </w:r>
          </w:p>
        </w:tc>
      </w:tr>
      <w:tr w:rsidR="00FA72EE" w:rsidRPr="00EC0E63" w14:paraId="31BD9F05" w14:textId="77777777" w:rsidTr="00750917">
        <w:trPr>
          <w:trHeight w:val="515"/>
        </w:trPr>
        <w:tc>
          <w:tcPr>
            <w:tcW w:w="1818" w:type="dxa"/>
            <w:tcBorders>
              <w:top w:val="single" w:sz="6" w:space="0" w:color="auto"/>
              <w:left w:val="single" w:sz="6" w:space="0" w:color="auto"/>
              <w:right w:val="single" w:sz="12" w:space="0" w:color="auto"/>
            </w:tcBorders>
          </w:tcPr>
          <w:p w14:paraId="0C68EA8B" w14:textId="77777777" w:rsidR="00FA72EE" w:rsidRPr="00EC0E63" w:rsidRDefault="00FA72EE" w:rsidP="00750917">
            <w:pPr>
              <w:jc w:val="center"/>
              <w:rPr>
                <w:rFonts w:ascii="Arial Narrow" w:hAnsi="Arial Narrow"/>
                <w:b/>
                <w:sz w:val="18"/>
                <w:szCs w:val="40"/>
              </w:rPr>
            </w:pPr>
            <w:r w:rsidRPr="00EC0E63">
              <w:rPr>
                <w:rFonts w:ascii="Arial Narrow" w:hAnsi="Arial Narrow"/>
                <w:b/>
                <w:sz w:val="18"/>
                <w:szCs w:val="40"/>
              </w:rPr>
              <w:t>B</w:t>
            </w:r>
          </w:p>
          <w:p w14:paraId="2FFA7CC9" w14:textId="77777777" w:rsidR="00FA72EE" w:rsidRPr="00EC0E63" w:rsidRDefault="00FA72EE" w:rsidP="00750917">
            <w:pPr>
              <w:jc w:val="center"/>
              <w:rPr>
                <w:rFonts w:ascii="Arial Narrow" w:hAnsi="Arial Narrow"/>
                <w:sz w:val="18"/>
                <w:szCs w:val="28"/>
              </w:rPr>
            </w:pPr>
            <w:r w:rsidRPr="00EC0E63">
              <w:rPr>
                <w:rFonts w:ascii="Arial Narrow" w:hAnsi="Arial Narrow"/>
                <w:sz w:val="18"/>
              </w:rPr>
              <w:t>Is the person allergic to Doxycycline or Tetracycline drugs?</w:t>
            </w:r>
          </w:p>
        </w:tc>
        <w:tc>
          <w:tcPr>
            <w:tcW w:w="990" w:type="dxa"/>
            <w:tcBorders>
              <w:top w:val="single" w:sz="6" w:space="0" w:color="auto"/>
              <w:left w:val="single" w:sz="12" w:space="0" w:color="auto"/>
              <w:bottom w:val="single" w:sz="6" w:space="0" w:color="auto"/>
            </w:tcBorders>
            <w:shd w:val="clear" w:color="auto" w:fill="auto"/>
            <w:vAlign w:val="center"/>
          </w:tcPr>
          <w:p w14:paraId="3791FDE4" w14:textId="77777777" w:rsidR="00FA72EE" w:rsidRPr="00FE76DD" w:rsidRDefault="00FA72EE" w:rsidP="00750917">
            <w:pPr>
              <w:jc w:val="center"/>
              <w:rPr>
                <w:rFonts w:ascii="Arial Narrow" w:hAnsi="Arial Narrow"/>
                <w:b/>
                <w:sz w:val="18"/>
              </w:rPr>
            </w:pPr>
            <w:r>
              <w:rPr>
                <w:rFonts w:ascii="Arial Narrow" w:hAnsi="Arial Narrow"/>
                <w:b/>
                <w:noProof/>
                <w:sz w:val="18"/>
              </w:rPr>
              <mc:AlternateContent>
                <mc:Choice Requires="wps">
                  <w:drawing>
                    <wp:anchor distT="0" distB="0" distL="114300" distR="114300" simplePos="0" relativeHeight="251669504" behindDoc="0" locked="0" layoutInCell="1" allowOverlap="1" wp14:anchorId="67711C62" wp14:editId="28626587">
                      <wp:simplePos x="0" y="0"/>
                      <wp:positionH relativeFrom="column">
                        <wp:posOffset>55245</wp:posOffset>
                      </wp:positionH>
                      <wp:positionV relativeFrom="paragraph">
                        <wp:posOffset>-133350</wp:posOffset>
                      </wp:positionV>
                      <wp:extent cx="333375" cy="371475"/>
                      <wp:effectExtent l="0" t="0" r="28575" b="28575"/>
                      <wp:wrapNone/>
                      <wp:docPr id="29" name="Oval 29"/>
                      <wp:cNvGraphicFramePr/>
                      <a:graphic xmlns:a="http://schemas.openxmlformats.org/drawingml/2006/main">
                        <a:graphicData uri="http://schemas.microsoft.com/office/word/2010/wordprocessingShape">
                          <wps:wsp>
                            <wps:cNvSpPr/>
                            <wps:spPr>
                              <a:xfrm>
                                <a:off x="0" y="0"/>
                                <a:ext cx="333375" cy="3714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0497A7" id="Oval 29" o:spid="_x0000_s1026" style="position:absolute;margin-left:4.35pt;margin-top:-10.5pt;width:26.25pt;height:2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aackAIAAIMFAAAOAAAAZHJzL2Uyb0RvYy54bWysVM1u2zAMvg/YOwi6r47TdF2NOkXQosOA&#10;og3WDj2rslQLkEVNUuJkTz9Ksp1gLXYY5oNMiuTHH5G8vNp1mmyF8wpMTcuTGSXCcGiUea3pj6fb&#10;T18o8YGZhmkwoqZ74enV8uOHy95WYg4t6EY4giDGV72taRuCrYrC81Z0zJ+AFQaFElzHArLutWgc&#10;6xG908V8Nvtc9OAa64AL7/H2JgvpMuFLKXh4kNKLQHRNMbaQTpfOl3gWy0tWvTpmW8WHMNg/RNEx&#10;ZdDpBHXDAiMbp95AdYo78CDDCYeuACkVFykHzKac/ZHNY8usSLlgcbydyuT/Hyy/364dUU1N5xeU&#10;GNbhGz1smSbIYm166ytUebRrN3AeyZjoTrou/jEFskv13E/1FLtAOF6e4nd+RglH0el5uUAaUYqD&#10;sXU+fBXQkUjUVGitrI8Zs4pt73zI2qNWvDZwq7TGe1ZpE08PWjXxLjGxbcS1dgRTqGnYlYPDIy10&#10;Hy2LmFpOJlFhr0VG/S4kFgTDn6dAUiseMBnnwoQyi1rWiOzqbIbf6GyMIuWqDQJGZIlBTtgDwKiZ&#10;QUbsnPagH01F6uTJePa3wLLxZJE8gwmTcacMuPcANGY1eM76Y5FyaWKVXqDZY7s4yHPkLb9V+HJ3&#10;zIc1czg4OGK4DMIDHlJDX1MYKEpacL/eu4/62M8opaTHQayp/7lhTlCivxns9ItysYiTm5jF2fkc&#10;GXcseTmWmE13Dfj0Ja4dyxMZ9YMeSemge8adsYpeUcQMR9815cGNzHXICwK3DherVVLDabUs3JlH&#10;yyN4rGpsy6fdM3N2aN+AfX8P49C+aeGsGy0NrDYBpEr9fajrUG+c9NQ4w1aKq+SYT1qH3bn8DQAA&#10;//8DAFBLAwQUAAYACAAAACEAbk2eFdwAAAAHAQAADwAAAGRycy9kb3ducmV2LnhtbEyPQU+DQBSE&#10;7yb+h80z8dYu0FhayqNRY+PVVg4eF/YJpOxbwm4p/nvXkz1OZjLzTb6fTS8mGl1nGSFeRiCIa6s7&#10;bhDKz8NiA8J5xVr1lgnhhxzsi/u7XGXaXvlI08k3IpSwyxRC6/2QSenqloxySzsQB+/bjkb5IMdG&#10;6lFdQ7npZRJFa2lUx2GhVQO9tlSfTxeDoOfj29dk0o9DdK7KbdmsXib9jvj4MD/vQHia/X8Y/vAD&#10;OhSBqbIX1k70CJs0BBEWSRwuBX8dJyAqhFX6BLLI5S1/8QsAAP//AwBQSwECLQAUAAYACAAAACEA&#10;toM4kv4AAADhAQAAEwAAAAAAAAAAAAAAAAAAAAAAW0NvbnRlbnRfVHlwZXNdLnhtbFBLAQItABQA&#10;BgAIAAAAIQA4/SH/1gAAAJQBAAALAAAAAAAAAAAAAAAAAC8BAABfcmVscy8ucmVsc1BLAQItABQA&#10;BgAIAAAAIQDHAaackAIAAIMFAAAOAAAAAAAAAAAAAAAAAC4CAABkcnMvZTJvRG9jLnhtbFBLAQIt&#10;ABQABgAIAAAAIQBuTZ4V3AAAAAcBAAAPAAAAAAAAAAAAAAAAAOoEAABkcnMvZG93bnJldi54bWxQ&#10;SwUGAAAAAAQABADzAAAA8wUAAAAA&#10;" filled="f" strokecolor="black [3213]" strokeweight="1pt">
                      <v:stroke joinstyle="miter"/>
                    </v:oval>
                  </w:pict>
                </mc:Fallback>
              </mc:AlternateContent>
            </w:r>
            <w:r w:rsidRPr="00FE76DD">
              <w:rPr>
                <w:rFonts w:ascii="Arial Narrow" w:hAnsi="Arial Narrow"/>
                <w:b/>
                <w:sz w:val="18"/>
              </w:rPr>
              <w:t>No</w:t>
            </w:r>
          </w:p>
        </w:tc>
        <w:tc>
          <w:tcPr>
            <w:tcW w:w="720" w:type="dxa"/>
            <w:tcBorders>
              <w:top w:val="single" w:sz="6" w:space="0" w:color="auto"/>
            </w:tcBorders>
            <w:shd w:val="clear" w:color="auto" w:fill="auto"/>
            <w:vAlign w:val="center"/>
          </w:tcPr>
          <w:p w14:paraId="76C5E99E" w14:textId="77777777" w:rsidR="00FA72EE" w:rsidRPr="00FE76DD" w:rsidRDefault="00FA72EE" w:rsidP="00750917">
            <w:pPr>
              <w:jc w:val="center"/>
              <w:rPr>
                <w:rFonts w:ascii="Arial Narrow" w:hAnsi="Arial Narrow"/>
                <w:b/>
                <w:sz w:val="18"/>
              </w:rPr>
            </w:pPr>
            <w:r>
              <w:rPr>
                <w:rFonts w:ascii="Arial Narrow" w:hAnsi="Arial Narrow"/>
                <w:b/>
                <w:noProof/>
                <w:sz w:val="18"/>
              </w:rPr>
              <mc:AlternateContent>
                <mc:Choice Requires="wps">
                  <w:drawing>
                    <wp:anchor distT="0" distB="0" distL="114300" distR="114300" simplePos="0" relativeHeight="251673600" behindDoc="0" locked="0" layoutInCell="1" allowOverlap="1" wp14:anchorId="2C450FCE" wp14:editId="61DDC2CF">
                      <wp:simplePos x="0" y="0"/>
                      <wp:positionH relativeFrom="column">
                        <wp:posOffset>-16510</wp:posOffset>
                      </wp:positionH>
                      <wp:positionV relativeFrom="paragraph">
                        <wp:posOffset>-125095</wp:posOffset>
                      </wp:positionV>
                      <wp:extent cx="333375" cy="371475"/>
                      <wp:effectExtent l="0" t="0" r="28575" b="28575"/>
                      <wp:wrapNone/>
                      <wp:docPr id="30" name="Oval 30"/>
                      <wp:cNvGraphicFramePr/>
                      <a:graphic xmlns:a="http://schemas.openxmlformats.org/drawingml/2006/main">
                        <a:graphicData uri="http://schemas.microsoft.com/office/word/2010/wordprocessingShape">
                          <wps:wsp>
                            <wps:cNvSpPr/>
                            <wps:spPr>
                              <a:xfrm>
                                <a:off x="0" y="0"/>
                                <a:ext cx="333375" cy="3714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64972F" id="Oval 30" o:spid="_x0000_s1026" style="position:absolute;margin-left:-1.3pt;margin-top:-9.85pt;width:26.25pt;height:2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z+OkAIAAIMFAAAOAAAAZHJzL2Uyb0RvYy54bWysVM1u2zAMvg/YOwi6r47TdN2MOkXQosOA&#10;og3aDj2rslQLkEVNUuJkTz9Ksp1gLXYY5oNMiuTHH5G8uNx1mmyF8wpMTcuTGSXCcGiUea3pj6eb&#10;T18o8YGZhmkwoqZ74enl8uOHi95WYg4t6EY4giDGV72taRuCrYrC81Z0zJ+AFQaFElzHArLutWgc&#10;6xG908V8Nvtc9OAa64AL7/H2OgvpMuFLKXi4l9KLQHRNMbaQTpfOl3gWywtWvTpmW8WHMNg/RNEx&#10;ZdDpBHXNAiMbp95AdYo78CDDCYeuACkVFykHzKac/ZHNY8usSLlgcbydyuT/Hyy/264dUU1NT7E8&#10;hnX4RvdbpgmyWJve+gpVHu3aDZxHMia6k66Lf0yB7FI991M9xS4Qjpen+J2fUcJRdHpeLpBGlOJg&#10;bJ0P3wR0JBI1FVor62PGrGLbWx+y9qgVrw3cKK3xnlXaxNODVk28S0xsG3GlHcEUahp25eDwSAvd&#10;R8sippaTSVTYa5FRH4TEgmD48xRIasUDJuNcmFBmUcsakV2dzfAbnY1RpFy1QcCILDHICXsAGDUz&#10;yIid0x70o6lInTwZz/4WWDaeLJJnMGEy7pQB9x6AxqwGz1l/LFIuTazSCzR7bBcHeY685TcKX+6W&#10;+bBmDgcHewiXQbjHQ2roawoDRUkL7td791Ef+xmllPQ4iDX1PzfMCUr0d4Od/rVcLOLkJmZxdj5H&#10;xh1LXo4lZtNdAT59iWvH8kRG/aBHUjronnFnrKJXFDHD0XdNeXAjcxXygsCtw8VqldRwWi0Lt+bR&#10;8ggeqxrb8mn3zJwd2jdg39/BOLRvWjjrRksDq00AqVJ/H+o61BsnPTXOsJXiKjnmk9Zhdy5/AwAA&#10;//8DAFBLAwQUAAYACAAAACEAVyL0ct4AAAAIAQAADwAAAGRycy9kb3ducmV2LnhtbEyPwW7CMAyG&#10;70i8Q+RJu0EKTNB2TRGbhnYF1sOOaeO1FY1TNaF0bz/vtJ0sy59+f3+2n2wnRhx860jBahmBQKqc&#10;aalWUHwcFzEIHzQZ3TlCBd/oYZ/PZ5lOjbvTGcdLqAWHkE+1giaEPpXSVw1a7ZeuR+LblxusDrwO&#10;tTSDvnO47eQ6irbS6pb4Q6N7fG2wul5uVoGZzm+fo92djtG1LJKi3ryM5l2px4fp8Awi4BT+YPjV&#10;Z3XI2al0NzJedAoW6y2TPFfJDgQDT0kColSwiWOQeSb/F8h/AAAA//8DAFBLAQItABQABgAIAAAA&#10;IQC2gziS/gAAAOEBAAATAAAAAAAAAAAAAAAAAAAAAABbQ29udGVudF9UeXBlc10ueG1sUEsBAi0A&#10;FAAGAAgAAAAhADj9If/WAAAAlAEAAAsAAAAAAAAAAAAAAAAALwEAAF9yZWxzLy5yZWxzUEsBAi0A&#10;FAAGAAgAAAAhAETXP46QAgAAgwUAAA4AAAAAAAAAAAAAAAAALgIAAGRycy9lMm9Eb2MueG1sUEsB&#10;Ai0AFAAGAAgAAAAhAFci9HLeAAAACAEAAA8AAAAAAAAAAAAAAAAA6gQAAGRycy9kb3ducmV2Lnht&#10;bFBLBQYAAAAABAAEAPMAAAD1BQAAAAA=&#10;" filled="f" strokecolor="black [3213]" strokeweight="1pt">
                      <v:stroke joinstyle="miter"/>
                    </v:oval>
                  </w:pict>
                </mc:Fallback>
              </mc:AlternateContent>
            </w:r>
            <w:r w:rsidRPr="00FE76DD">
              <w:rPr>
                <w:rFonts w:ascii="Arial Narrow" w:hAnsi="Arial Narrow"/>
                <w:b/>
                <w:sz w:val="18"/>
              </w:rPr>
              <w:t>No</w:t>
            </w:r>
          </w:p>
        </w:tc>
        <w:tc>
          <w:tcPr>
            <w:tcW w:w="720" w:type="dxa"/>
            <w:tcBorders>
              <w:top w:val="single" w:sz="6" w:space="0" w:color="auto"/>
            </w:tcBorders>
            <w:vAlign w:val="center"/>
          </w:tcPr>
          <w:p w14:paraId="21A051C7" w14:textId="77777777" w:rsidR="00FA72EE" w:rsidRPr="00FE76DD" w:rsidRDefault="00FA72EE" w:rsidP="00750917">
            <w:pPr>
              <w:jc w:val="center"/>
              <w:rPr>
                <w:rFonts w:ascii="Arial Narrow" w:hAnsi="Arial Narrow"/>
                <w:b/>
                <w:sz w:val="18"/>
              </w:rPr>
            </w:pPr>
            <w:r w:rsidRPr="00FE76DD">
              <w:rPr>
                <w:rFonts w:ascii="Arial Narrow" w:hAnsi="Arial Narrow"/>
                <w:b/>
                <w:sz w:val="18"/>
              </w:rPr>
              <w:t>Yes</w:t>
            </w:r>
          </w:p>
        </w:tc>
        <w:tc>
          <w:tcPr>
            <w:tcW w:w="990" w:type="dxa"/>
            <w:tcBorders>
              <w:top w:val="single" w:sz="6" w:space="0" w:color="auto"/>
            </w:tcBorders>
            <w:vAlign w:val="center"/>
          </w:tcPr>
          <w:p w14:paraId="1E6E110B" w14:textId="77777777" w:rsidR="00FA72EE" w:rsidRPr="00FE76DD" w:rsidRDefault="00FA72EE" w:rsidP="00750917">
            <w:pPr>
              <w:jc w:val="center"/>
              <w:rPr>
                <w:rFonts w:ascii="Arial Narrow" w:hAnsi="Arial Narrow"/>
                <w:b/>
                <w:sz w:val="18"/>
              </w:rPr>
            </w:pPr>
            <w:r w:rsidRPr="00FE76DD">
              <w:rPr>
                <w:rFonts w:ascii="Arial Narrow" w:hAnsi="Arial Narrow"/>
                <w:b/>
                <w:sz w:val="18"/>
              </w:rPr>
              <w:t>Yes</w:t>
            </w:r>
          </w:p>
        </w:tc>
        <w:tc>
          <w:tcPr>
            <w:tcW w:w="810" w:type="dxa"/>
            <w:tcBorders>
              <w:top w:val="single" w:sz="6" w:space="0" w:color="auto"/>
              <w:right w:val="single" w:sz="18" w:space="0" w:color="auto"/>
            </w:tcBorders>
            <w:vAlign w:val="center"/>
          </w:tcPr>
          <w:p w14:paraId="7F908CFD" w14:textId="77777777" w:rsidR="00FA72EE" w:rsidRPr="00FE76DD" w:rsidRDefault="00FA72EE" w:rsidP="00750917">
            <w:pPr>
              <w:jc w:val="center"/>
              <w:rPr>
                <w:rFonts w:ascii="Arial Narrow" w:hAnsi="Arial Narrow"/>
                <w:b/>
                <w:sz w:val="18"/>
              </w:rPr>
            </w:pPr>
            <w:r w:rsidRPr="00FE76DD">
              <w:rPr>
                <w:rFonts w:ascii="Arial Narrow" w:hAnsi="Arial Narrow"/>
                <w:b/>
                <w:sz w:val="18"/>
              </w:rPr>
              <w:t>Yes</w:t>
            </w:r>
          </w:p>
        </w:tc>
        <w:tc>
          <w:tcPr>
            <w:tcW w:w="990" w:type="dxa"/>
            <w:tcBorders>
              <w:top w:val="single" w:sz="6" w:space="0" w:color="auto"/>
              <w:left w:val="single" w:sz="18" w:space="0" w:color="auto"/>
              <w:bottom w:val="single" w:sz="6" w:space="0" w:color="auto"/>
            </w:tcBorders>
            <w:vAlign w:val="center"/>
          </w:tcPr>
          <w:p w14:paraId="677DB660" w14:textId="77777777" w:rsidR="00FA72EE" w:rsidRPr="00EC0E63" w:rsidRDefault="00FA72EE" w:rsidP="00750917">
            <w:pPr>
              <w:jc w:val="center"/>
              <w:rPr>
                <w:rFonts w:ascii="Arial Narrow" w:hAnsi="Arial Narrow"/>
                <w:b/>
                <w:sz w:val="18"/>
              </w:rPr>
            </w:pPr>
            <w:r w:rsidRPr="00EC0E63">
              <w:rPr>
                <w:rFonts w:ascii="Arial Narrow" w:hAnsi="Arial Narrow"/>
                <w:b/>
                <w:sz w:val="18"/>
              </w:rPr>
              <w:t>Yes</w:t>
            </w:r>
          </w:p>
        </w:tc>
        <w:tc>
          <w:tcPr>
            <w:tcW w:w="810" w:type="dxa"/>
            <w:tcBorders>
              <w:top w:val="single" w:sz="6" w:space="0" w:color="auto"/>
            </w:tcBorders>
            <w:vAlign w:val="center"/>
          </w:tcPr>
          <w:p w14:paraId="5CCA7370" w14:textId="77777777" w:rsidR="00FA72EE" w:rsidRPr="00405C08" w:rsidRDefault="00FA72EE" w:rsidP="00750917">
            <w:pPr>
              <w:jc w:val="center"/>
              <w:rPr>
                <w:rFonts w:ascii="Arial Narrow" w:hAnsi="Arial Narrow"/>
                <w:b/>
                <w:sz w:val="18"/>
              </w:rPr>
            </w:pPr>
            <w:r w:rsidRPr="00405C08">
              <w:rPr>
                <w:rFonts w:ascii="Arial Narrow" w:hAnsi="Arial Narrow"/>
                <w:b/>
                <w:sz w:val="18"/>
              </w:rPr>
              <w:t>Yes</w:t>
            </w:r>
          </w:p>
        </w:tc>
        <w:tc>
          <w:tcPr>
            <w:tcW w:w="810" w:type="dxa"/>
            <w:tcBorders>
              <w:top w:val="single" w:sz="6" w:space="0" w:color="auto"/>
            </w:tcBorders>
            <w:vAlign w:val="center"/>
          </w:tcPr>
          <w:p w14:paraId="5DBB8579" w14:textId="77777777" w:rsidR="00FA72EE" w:rsidRPr="00405C08" w:rsidRDefault="00FA72EE" w:rsidP="00750917">
            <w:pPr>
              <w:jc w:val="center"/>
              <w:rPr>
                <w:rFonts w:ascii="Arial Narrow" w:hAnsi="Arial Narrow"/>
                <w:b/>
                <w:sz w:val="18"/>
              </w:rPr>
            </w:pPr>
            <w:r w:rsidRPr="00405C08">
              <w:rPr>
                <w:rFonts w:ascii="Arial Narrow" w:hAnsi="Arial Narrow"/>
                <w:b/>
                <w:sz w:val="18"/>
              </w:rPr>
              <w:t>Yes</w:t>
            </w:r>
          </w:p>
        </w:tc>
        <w:tc>
          <w:tcPr>
            <w:tcW w:w="900" w:type="dxa"/>
            <w:tcBorders>
              <w:top w:val="single" w:sz="6" w:space="0" w:color="auto"/>
            </w:tcBorders>
            <w:vAlign w:val="center"/>
          </w:tcPr>
          <w:p w14:paraId="7DFC6179" w14:textId="77777777" w:rsidR="00FA72EE" w:rsidRPr="00405C08" w:rsidRDefault="00FA72EE" w:rsidP="00750917">
            <w:pPr>
              <w:jc w:val="center"/>
              <w:rPr>
                <w:rFonts w:ascii="Arial Narrow" w:hAnsi="Arial Narrow"/>
                <w:b/>
                <w:sz w:val="18"/>
              </w:rPr>
            </w:pPr>
            <w:r w:rsidRPr="00405C08">
              <w:rPr>
                <w:rFonts w:ascii="Arial Narrow" w:hAnsi="Arial Narrow"/>
                <w:b/>
                <w:sz w:val="18"/>
              </w:rPr>
              <w:t>No</w:t>
            </w:r>
          </w:p>
        </w:tc>
        <w:tc>
          <w:tcPr>
            <w:tcW w:w="810" w:type="dxa"/>
            <w:tcBorders>
              <w:top w:val="single" w:sz="6" w:space="0" w:color="auto"/>
            </w:tcBorders>
            <w:vAlign w:val="center"/>
          </w:tcPr>
          <w:p w14:paraId="56345C16" w14:textId="77777777" w:rsidR="00FA72EE" w:rsidRPr="00405C08" w:rsidRDefault="00FA72EE" w:rsidP="00750917">
            <w:pPr>
              <w:jc w:val="center"/>
              <w:rPr>
                <w:rFonts w:ascii="Arial Narrow" w:hAnsi="Arial Narrow"/>
                <w:b/>
                <w:sz w:val="18"/>
              </w:rPr>
            </w:pPr>
            <w:r w:rsidRPr="00405C08">
              <w:rPr>
                <w:rFonts w:ascii="Arial Narrow" w:hAnsi="Arial Narrow"/>
                <w:b/>
                <w:sz w:val="18"/>
              </w:rPr>
              <w:t>No</w:t>
            </w:r>
          </w:p>
        </w:tc>
      </w:tr>
      <w:tr w:rsidR="00FA72EE" w:rsidRPr="00EC0E63" w14:paraId="51072328" w14:textId="77777777" w:rsidTr="00750917">
        <w:trPr>
          <w:trHeight w:val="515"/>
        </w:trPr>
        <w:tc>
          <w:tcPr>
            <w:tcW w:w="1818" w:type="dxa"/>
            <w:tcBorders>
              <w:left w:val="single" w:sz="6" w:space="0" w:color="auto"/>
              <w:right w:val="single" w:sz="12" w:space="0" w:color="auto"/>
            </w:tcBorders>
          </w:tcPr>
          <w:p w14:paraId="528A534A" w14:textId="77777777" w:rsidR="00FA72EE" w:rsidRPr="00EC0E63" w:rsidRDefault="00FA72EE" w:rsidP="00750917">
            <w:pPr>
              <w:jc w:val="center"/>
              <w:rPr>
                <w:rFonts w:ascii="Arial Narrow" w:hAnsi="Arial Narrow"/>
                <w:b/>
                <w:sz w:val="18"/>
                <w:szCs w:val="40"/>
              </w:rPr>
            </w:pPr>
            <w:r w:rsidRPr="00EC0E63">
              <w:rPr>
                <w:rFonts w:ascii="Arial Narrow" w:hAnsi="Arial Narrow"/>
                <w:b/>
                <w:sz w:val="18"/>
                <w:szCs w:val="40"/>
              </w:rPr>
              <w:t>C</w:t>
            </w:r>
          </w:p>
          <w:p w14:paraId="1FAA1ADF" w14:textId="77777777" w:rsidR="00FA72EE" w:rsidRPr="00EC0E63" w:rsidRDefault="00FA72EE" w:rsidP="00750917">
            <w:pPr>
              <w:jc w:val="center"/>
              <w:rPr>
                <w:rFonts w:ascii="Arial Narrow" w:hAnsi="Arial Narrow"/>
                <w:sz w:val="18"/>
              </w:rPr>
            </w:pPr>
            <w:r w:rsidRPr="00EC0E63">
              <w:rPr>
                <w:rFonts w:ascii="Arial Narrow" w:hAnsi="Arial Narrow"/>
                <w:sz w:val="18"/>
              </w:rPr>
              <w:t>Is the person allergic to Ciprofloxacin or Quinolone drugs?</w:t>
            </w:r>
          </w:p>
          <w:p w14:paraId="5BD5A072" w14:textId="77777777" w:rsidR="00FA72EE" w:rsidRPr="00EC0E63" w:rsidRDefault="00FA72EE" w:rsidP="00750917">
            <w:pPr>
              <w:jc w:val="center"/>
              <w:rPr>
                <w:rFonts w:ascii="Arial Narrow" w:hAnsi="Arial Narrow"/>
                <w:sz w:val="18"/>
                <w:szCs w:val="28"/>
              </w:rPr>
            </w:pPr>
          </w:p>
        </w:tc>
        <w:tc>
          <w:tcPr>
            <w:tcW w:w="990" w:type="dxa"/>
            <w:tcBorders>
              <w:top w:val="single" w:sz="6" w:space="0" w:color="auto"/>
              <w:left w:val="single" w:sz="12" w:space="0" w:color="auto"/>
              <w:bottom w:val="single" w:sz="6" w:space="0" w:color="auto"/>
            </w:tcBorders>
            <w:shd w:val="clear" w:color="auto" w:fill="auto"/>
            <w:vAlign w:val="center"/>
          </w:tcPr>
          <w:p w14:paraId="2D792189" w14:textId="77777777" w:rsidR="00FA72EE" w:rsidRPr="00EC0E63" w:rsidRDefault="00FA72EE" w:rsidP="00750917">
            <w:pPr>
              <w:jc w:val="center"/>
              <w:rPr>
                <w:rFonts w:ascii="Arial Narrow" w:hAnsi="Arial Narrow"/>
                <w:b/>
                <w:sz w:val="18"/>
              </w:rPr>
            </w:pPr>
            <w:r w:rsidRPr="00EA68F8">
              <w:rPr>
                <w:rFonts w:ascii="Arial Narrow" w:hAnsi="Arial Narrow"/>
                <w:b/>
                <w:sz w:val="18"/>
              </w:rPr>
              <w:t>No</w:t>
            </w:r>
          </w:p>
        </w:tc>
        <w:tc>
          <w:tcPr>
            <w:tcW w:w="720" w:type="dxa"/>
            <w:shd w:val="clear" w:color="auto" w:fill="auto"/>
            <w:vAlign w:val="center"/>
          </w:tcPr>
          <w:p w14:paraId="1B0862BB" w14:textId="77777777" w:rsidR="00FA72EE" w:rsidRPr="00FE76DD" w:rsidRDefault="00FA72EE" w:rsidP="00750917">
            <w:pPr>
              <w:jc w:val="center"/>
              <w:rPr>
                <w:rFonts w:ascii="Arial Narrow" w:hAnsi="Arial Narrow"/>
                <w:b/>
                <w:sz w:val="18"/>
              </w:rPr>
            </w:pPr>
            <w:r>
              <w:rPr>
                <w:rFonts w:ascii="Arial Narrow" w:hAnsi="Arial Narrow"/>
                <w:b/>
                <w:noProof/>
                <w:sz w:val="18"/>
              </w:rPr>
              <mc:AlternateContent>
                <mc:Choice Requires="wps">
                  <w:drawing>
                    <wp:anchor distT="0" distB="0" distL="114300" distR="114300" simplePos="0" relativeHeight="251677696" behindDoc="0" locked="0" layoutInCell="1" allowOverlap="1" wp14:anchorId="63E6FD13" wp14:editId="13876614">
                      <wp:simplePos x="0" y="0"/>
                      <wp:positionH relativeFrom="column">
                        <wp:posOffset>-16510</wp:posOffset>
                      </wp:positionH>
                      <wp:positionV relativeFrom="paragraph">
                        <wp:posOffset>-140970</wp:posOffset>
                      </wp:positionV>
                      <wp:extent cx="333375" cy="371475"/>
                      <wp:effectExtent l="0" t="0" r="28575" b="28575"/>
                      <wp:wrapNone/>
                      <wp:docPr id="31" name="Oval 31"/>
                      <wp:cNvGraphicFramePr/>
                      <a:graphic xmlns:a="http://schemas.openxmlformats.org/drawingml/2006/main">
                        <a:graphicData uri="http://schemas.microsoft.com/office/word/2010/wordprocessingShape">
                          <wps:wsp>
                            <wps:cNvSpPr/>
                            <wps:spPr>
                              <a:xfrm>
                                <a:off x="0" y="0"/>
                                <a:ext cx="333375" cy="3714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52C066" id="Oval 31" o:spid="_x0000_s1026" style="position:absolute;margin-left:-1.3pt;margin-top:-11.1pt;width:26.25pt;height:29.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hBEjwIAAIMFAAAOAAAAZHJzL2Uyb0RvYy54bWysVFFvGyEMfp+0/4B4Xy9J03U79VJFrTpN&#10;qtpo7dRnykEPCTADkkv262fgcsnWag/T8kBsbH/489m+uNwaTTbCBwW2odOTCSXCcmiVfWno98eb&#10;D58oCZHZlmmwoqE7Eejl4v27i97VYgYd6FZ4giA21L1raBejq6sq8E4YFk7ACYtGCd6wiKp/qVrP&#10;ekQ3uppNJh+rHnzrPHARAt5eFyNdZHwpBY/3UgYRiW4o5hbz6fP5nM5qccHqF89cp/iQBvuHLAxT&#10;Fh8doa5ZZGTt1Ssoo7iHADKecDAVSKm4yByQzXTyB5uHjjmRuWBxghvLFP4fLL/brDxRbUNPp5RY&#10;ZvAb3W+YJqhibXoXanR5cCs/aAHFRHQrvUn/SIFscz13Yz3FNhKOl6f4Oz+jhKPp9Hw6RxlRqkOw&#10;8yF+EWBIEhoqtFYuJMasZpvbEIv33itdW7hRWuM9q7VNZwCt2nSXldQ24kp7ghQaGreZBD545IVa&#10;iqwStUImS3GnRUH9JiQWBNOf5URyKx4wGefCxmkxdawV5amzCf4GdmNE5qotAiZkiUmO2APA7/nu&#10;sQvtwT+FitzJY/Dkb4mV4DEivww2jsFGWfBvAWhkNbxc/PdFKqVJVXqGdoft4qHMUXD8RuGXu2Uh&#10;rpjHwcERw2UQ7/GQGvqGwiBR0oH/+dZ98sd+RislPQ5iQ8OPNfOCEv3VYqd/ns7naXKzMj87n6Hi&#10;jy3Pxxa7NleAnx6bGbPLYvKPei9KD+YJd8YyvYomZjm+3VAe/V65imVB4NbhYrnMbjitjsVb++B4&#10;Ak9VTW35uH1i3g3tG7Hv72A/tK9auPimSAvLdQSpcn8f6jrUGyc9N86wldIqOdaz12F3Ln4BAAD/&#10;/wMAUEsDBBQABgAIAAAAIQDGQ97I3QAAAAgBAAAPAAAAZHJzL2Rvd25yZXYueG1sTI/BToNAEIbv&#10;Jr7DZky8tYtgUChDo8bGq60celzYEUjZWcJuKb6925OeJpP58s/3F9vFDGKmyfWWER7WEQjixuqe&#10;W4Tqa7d6BuG8Yq0Gy4TwQw625e1NoXJtL7yn+eBbEULY5Qqh837MpXRNR0a5tR2Jw+3bTkb5sE6t&#10;1JO6hHAzyDiKUmlUz+FDp0Z666g5Hc4GQS/79+Nsnj530amusqpNXmf9gXh/t7xsQHha/B8MV/2g&#10;DmVwqu2ZtRMDwipOA3mdcQwiAI9ZBqJGSNIEZFnI/wXKXwAAAP//AwBQSwECLQAUAAYACAAAACEA&#10;toM4kv4AAADhAQAAEwAAAAAAAAAAAAAAAAAAAAAAW0NvbnRlbnRfVHlwZXNdLnhtbFBLAQItABQA&#10;BgAIAAAAIQA4/SH/1gAAAJQBAAALAAAAAAAAAAAAAAAAAC8BAABfcmVscy8ucmVsc1BLAQItABQA&#10;BgAIAAAAIQDiWhBEjwIAAIMFAAAOAAAAAAAAAAAAAAAAAC4CAABkcnMvZTJvRG9jLnhtbFBLAQIt&#10;ABQABgAIAAAAIQDGQ97I3QAAAAgBAAAPAAAAAAAAAAAAAAAAAOkEAABkcnMvZG93bnJldi54bWxQ&#10;SwUGAAAAAAQABADzAAAA8wUAAAAA&#10;" filled="f" strokecolor="black [3213]" strokeweight="1pt">
                      <v:stroke joinstyle="miter"/>
                    </v:oval>
                  </w:pict>
                </mc:Fallback>
              </mc:AlternateContent>
            </w:r>
            <w:r>
              <w:rPr>
                <w:rFonts w:ascii="Arial Narrow" w:hAnsi="Arial Narrow"/>
                <w:b/>
                <w:sz w:val="18"/>
              </w:rPr>
              <w:t>Yes</w:t>
            </w:r>
          </w:p>
        </w:tc>
        <w:tc>
          <w:tcPr>
            <w:tcW w:w="720" w:type="dxa"/>
            <w:vAlign w:val="center"/>
          </w:tcPr>
          <w:p w14:paraId="2BC0713B" w14:textId="77777777" w:rsidR="00FA72EE" w:rsidRPr="00405C08" w:rsidRDefault="00FA72EE" w:rsidP="00750917">
            <w:pPr>
              <w:jc w:val="center"/>
              <w:rPr>
                <w:rFonts w:ascii="Arial Narrow" w:hAnsi="Arial Narrow"/>
                <w:b/>
                <w:sz w:val="18"/>
              </w:rPr>
            </w:pPr>
            <w:r w:rsidRPr="00405C08">
              <w:rPr>
                <w:rFonts w:ascii="Arial Narrow" w:hAnsi="Arial Narrow"/>
                <w:b/>
                <w:sz w:val="18"/>
              </w:rPr>
              <w:t>No</w:t>
            </w:r>
          </w:p>
        </w:tc>
        <w:tc>
          <w:tcPr>
            <w:tcW w:w="990" w:type="dxa"/>
            <w:vAlign w:val="center"/>
          </w:tcPr>
          <w:p w14:paraId="10C4C159" w14:textId="77777777" w:rsidR="00FA72EE" w:rsidRPr="00EC0E63" w:rsidRDefault="00FA72EE" w:rsidP="00750917">
            <w:pPr>
              <w:jc w:val="center"/>
              <w:rPr>
                <w:rFonts w:ascii="Arial Narrow" w:hAnsi="Arial Narrow"/>
                <w:b/>
                <w:sz w:val="18"/>
              </w:rPr>
            </w:pPr>
            <w:r w:rsidRPr="00EC0E63">
              <w:rPr>
                <w:rFonts w:ascii="Arial Narrow" w:hAnsi="Arial Narrow"/>
                <w:b/>
                <w:sz w:val="18"/>
              </w:rPr>
              <w:t>Yes</w:t>
            </w:r>
          </w:p>
        </w:tc>
        <w:tc>
          <w:tcPr>
            <w:tcW w:w="810" w:type="dxa"/>
            <w:tcBorders>
              <w:right w:val="single" w:sz="18" w:space="0" w:color="auto"/>
            </w:tcBorders>
            <w:vAlign w:val="center"/>
          </w:tcPr>
          <w:p w14:paraId="673A2FCC" w14:textId="77777777" w:rsidR="00FA72EE" w:rsidRPr="00EC0E63" w:rsidRDefault="00FA72EE" w:rsidP="00750917">
            <w:pPr>
              <w:jc w:val="center"/>
              <w:rPr>
                <w:rFonts w:ascii="Arial Narrow" w:hAnsi="Arial Narrow"/>
                <w:b/>
                <w:sz w:val="18"/>
              </w:rPr>
            </w:pPr>
            <w:r w:rsidRPr="00EC0E63">
              <w:rPr>
                <w:rFonts w:ascii="Arial Narrow" w:hAnsi="Arial Narrow"/>
                <w:b/>
                <w:sz w:val="18"/>
              </w:rPr>
              <w:t>Yes</w:t>
            </w:r>
          </w:p>
        </w:tc>
        <w:tc>
          <w:tcPr>
            <w:tcW w:w="990" w:type="dxa"/>
            <w:tcBorders>
              <w:top w:val="single" w:sz="6" w:space="0" w:color="auto"/>
              <w:left w:val="single" w:sz="18" w:space="0" w:color="auto"/>
              <w:bottom w:val="single" w:sz="6" w:space="0" w:color="auto"/>
            </w:tcBorders>
            <w:vAlign w:val="center"/>
          </w:tcPr>
          <w:p w14:paraId="3E48955A" w14:textId="77777777" w:rsidR="00FA72EE" w:rsidRPr="00EC0E63" w:rsidRDefault="00FA72EE" w:rsidP="00750917">
            <w:pPr>
              <w:jc w:val="center"/>
              <w:rPr>
                <w:rFonts w:ascii="Arial Narrow" w:hAnsi="Arial Narrow"/>
                <w:b/>
                <w:sz w:val="18"/>
              </w:rPr>
            </w:pPr>
            <w:r w:rsidRPr="00EC0E63">
              <w:rPr>
                <w:rFonts w:ascii="Arial Narrow" w:hAnsi="Arial Narrow"/>
                <w:b/>
                <w:sz w:val="18"/>
              </w:rPr>
              <w:t>Yes</w:t>
            </w:r>
          </w:p>
        </w:tc>
        <w:tc>
          <w:tcPr>
            <w:tcW w:w="810" w:type="dxa"/>
            <w:vAlign w:val="center"/>
          </w:tcPr>
          <w:p w14:paraId="01967B49" w14:textId="77777777" w:rsidR="00FA72EE" w:rsidRPr="00405C08" w:rsidRDefault="00FA72EE" w:rsidP="00750917">
            <w:pPr>
              <w:jc w:val="center"/>
              <w:rPr>
                <w:rFonts w:ascii="Arial Narrow" w:hAnsi="Arial Narrow"/>
                <w:b/>
                <w:sz w:val="18"/>
              </w:rPr>
            </w:pPr>
            <w:r w:rsidRPr="00405C08">
              <w:rPr>
                <w:rFonts w:ascii="Arial Narrow" w:hAnsi="Arial Narrow"/>
                <w:b/>
                <w:sz w:val="18"/>
              </w:rPr>
              <w:t>Yes</w:t>
            </w:r>
          </w:p>
        </w:tc>
        <w:tc>
          <w:tcPr>
            <w:tcW w:w="810" w:type="dxa"/>
            <w:vAlign w:val="center"/>
          </w:tcPr>
          <w:p w14:paraId="05044DFB" w14:textId="77777777" w:rsidR="00FA72EE" w:rsidRPr="00405C08" w:rsidRDefault="00FA72EE" w:rsidP="00750917">
            <w:pPr>
              <w:jc w:val="center"/>
              <w:rPr>
                <w:rFonts w:ascii="Arial Narrow" w:hAnsi="Arial Narrow"/>
                <w:b/>
                <w:sz w:val="18"/>
              </w:rPr>
            </w:pPr>
            <w:r w:rsidRPr="00405C08">
              <w:rPr>
                <w:rFonts w:ascii="Arial Narrow" w:hAnsi="Arial Narrow"/>
                <w:b/>
                <w:sz w:val="18"/>
              </w:rPr>
              <w:t>No</w:t>
            </w:r>
          </w:p>
        </w:tc>
        <w:tc>
          <w:tcPr>
            <w:tcW w:w="900" w:type="dxa"/>
            <w:vAlign w:val="center"/>
          </w:tcPr>
          <w:p w14:paraId="11303AFA" w14:textId="77777777" w:rsidR="00FA72EE" w:rsidRPr="00405C08" w:rsidRDefault="00FA72EE" w:rsidP="00750917">
            <w:pPr>
              <w:jc w:val="center"/>
              <w:rPr>
                <w:rFonts w:ascii="Arial Narrow" w:hAnsi="Arial Narrow"/>
                <w:b/>
                <w:sz w:val="18"/>
              </w:rPr>
            </w:pPr>
            <w:r w:rsidRPr="00405C08">
              <w:rPr>
                <w:rFonts w:ascii="Arial Narrow" w:hAnsi="Arial Narrow"/>
                <w:b/>
                <w:sz w:val="18"/>
              </w:rPr>
              <w:t>Yes</w:t>
            </w:r>
          </w:p>
        </w:tc>
        <w:tc>
          <w:tcPr>
            <w:tcW w:w="810" w:type="dxa"/>
            <w:vAlign w:val="center"/>
          </w:tcPr>
          <w:p w14:paraId="02534EEA" w14:textId="77777777" w:rsidR="00FA72EE" w:rsidRPr="00405C08" w:rsidRDefault="00FA72EE" w:rsidP="00750917">
            <w:pPr>
              <w:jc w:val="center"/>
              <w:rPr>
                <w:rFonts w:ascii="Arial Narrow" w:hAnsi="Arial Narrow"/>
                <w:b/>
                <w:sz w:val="18"/>
              </w:rPr>
            </w:pPr>
            <w:r w:rsidRPr="00405C08">
              <w:rPr>
                <w:rFonts w:ascii="Arial Narrow" w:hAnsi="Arial Narrow"/>
                <w:b/>
                <w:sz w:val="18"/>
              </w:rPr>
              <w:t>No</w:t>
            </w:r>
          </w:p>
        </w:tc>
      </w:tr>
      <w:tr w:rsidR="00FA72EE" w:rsidRPr="00EC0E63" w14:paraId="61A22AD9" w14:textId="77777777" w:rsidTr="00750917">
        <w:trPr>
          <w:trHeight w:val="515"/>
        </w:trPr>
        <w:tc>
          <w:tcPr>
            <w:tcW w:w="1818" w:type="dxa"/>
            <w:tcBorders>
              <w:left w:val="single" w:sz="6" w:space="0" w:color="auto"/>
              <w:bottom w:val="single" w:sz="12" w:space="0" w:color="auto"/>
              <w:right w:val="single" w:sz="12" w:space="0" w:color="auto"/>
            </w:tcBorders>
          </w:tcPr>
          <w:p w14:paraId="19DC91C1" w14:textId="77777777" w:rsidR="00FA72EE" w:rsidRPr="00EC0E63" w:rsidRDefault="00FA72EE" w:rsidP="00750917">
            <w:pPr>
              <w:jc w:val="center"/>
              <w:rPr>
                <w:rFonts w:ascii="Arial Narrow" w:hAnsi="Arial Narrow"/>
                <w:b/>
                <w:sz w:val="18"/>
                <w:szCs w:val="40"/>
              </w:rPr>
            </w:pPr>
            <w:r w:rsidRPr="00EC0E63">
              <w:rPr>
                <w:rFonts w:ascii="Arial Narrow" w:hAnsi="Arial Narrow"/>
                <w:b/>
                <w:sz w:val="18"/>
                <w:szCs w:val="40"/>
              </w:rPr>
              <w:t>D</w:t>
            </w:r>
          </w:p>
          <w:p w14:paraId="3DD05C1A" w14:textId="77777777" w:rsidR="00FA72EE" w:rsidRPr="00EC0E63" w:rsidRDefault="00FA72EE" w:rsidP="00750917">
            <w:pPr>
              <w:jc w:val="center"/>
              <w:rPr>
                <w:rFonts w:ascii="Arial Narrow" w:hAnsi="Arial Narrow"/>
                <w:sz w:val="18"/>
                <w:szCs w:val="28"/>
              </w:rPr>
            </w:pPr>
            <w:r w:rsidRPr="00EC0E63">
              <w:rPr>
                <w:rFonts w:ascii="Arial Narrow" w:hAnsi="Arial Narrow"/>
                <w:sz w:val="18"/>
              </w:rPr>
              <w:t>Is the person allergic to Amoxicillin or Penicillin drugs?</w:t>
            </w:r>
          </w:p>
        </w:tc>
        <w:tc>
          <w:tcPr>
            <w:tcW w:w="990" w:type="dxa"/>
            <w:tcBorders>
              <w:top w:val="single" w:sz="6" w:space="0" w:color="auto"/>
              <w:left w:val="single" w:sz="12" w:space="0" w:color="auto"/>
              <w:bottom w:val="single" w:sz="12" w:space="0" w:color="auto"/>
            </w:tcBorders>
            <w:shd w:val="clear" w:color="auto" w:fill="auto"/>
            <w:vAlign w:val="center"/>
          </w:tcPr>
          <w:p w14:paraId="7D6A13C1" w14:textId="77777777" w:rsidR="00FA72EE" w:rsidRPr="00EA68F8" w:rsidRDefault="00FA72EE" w:rsidP="00750917">
            <w:pPr>
              <w:jc w:val="center"/>
              <w:rPr>
                <w:rFonts w:ascii="Arial Narrow" w:hAnsi="Arial Narrow"/>
                <w:b/>
                <w:sz w:val="18"/>
                <w:highlight w:val="yellow"/>
              </w:rPr>
            </w:pPr>
            <w:r>
              <w:rPr>
                <w:rFonts w:ascii="Arial Narrow" w:hAnsi="Arial Narrow"/>
                <w:b/>
                <w:noProof/>
                <w:sz w:val="18"/>
              </w:rPr>
              <mc:AlternateContent>
                <mc:Choice Requires="wps">
                  <w:drawing>
                    <wp:anchor distT="0" distB="0" distL="114300" distR="114300" simplePos="0" relativeHeight="251681792" behindDoc="0" locked="0" layoutInCell="1" allowOverlap="1" wp14:anchorId="01998C40" wp14:editId="4C63CFCD">
                      <wp:simplePos x="0" y="0"/>
                      <wp:positionH relativeFrom="column">
                        <wp:posOffset>567055</wp:posOffset>
                      </wp:positionH>
                      <wp:positionV relativeFrom="paragraph">
                        <wp:posOffset>13335</wp:posOffset>
                      </wp:positionV>
                      <wp:extent cx="419100" cy="447675"/>
                      <wp:effectExtent l="0" t="0" r="19050" b="28575"/>
                      <wp:wrapNone/>
                      <wp:docPr id="291" name="Oval 291"/>
                      <wp:cNvGraphicFramePr/>
                      <a:graphic xmlns:a="http://schemas.openxmlformats.org/drawingml/2006/main">
                        <a:graphicData uri="http://schemas.microsoft.com/office/word/2010/wordprocessingShape">
                          <wps:wsp>
                            <wps:cNvSpPr/>
                            <wps:spPr>
                              <a:xfrm>
                                <a:off x="0" y="0"/>
                                <a:ext cx="419100" cy="4476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94650E" id="Oval 291" o:spid="_x0000_s1026" style="position:absolute;margin-left:44.65pt;margin-top:1.05pt;width:33pt;height:35.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U5rkgIAAIUFAAAOAAAAZHJzL2Uyb0RvYy54bWysVMFu2zAMvQ/YPwi6r7aDtF2MOkXQosOA&#10;oi3WDj2rslQLkERNUuJkXz9KdpxsLXYYloMiiuQjH03y4nJrNNkIHxTYhlYnJSXCcmiVfW3o96eb&#10;T58pCZHZlmmwoqE7Eejl8uOHi97VYgYd6FZ4giA21L1raBejq4si8E4YFk7ACYtKCd6wiKJ/LVrP&#10;ekQ3upiV5VnRg2+dBy5CwNfrQUmXGV9KweO9lEFEohuKucV8+ny+pLNYXrD61TPXKT6mwf4hC8OU&#10;xaAT1DWLjKy9egNlFPcQQMYTDqYAKRUXmQOyqco/2Dx2zInMBYsT3FSm8P9g+d3mwRPVNnS2qCix&#10;zOBHut8wTZKM1eldqNHo0T34UQp4TVS30pv0jyTINld0N1VUbCPh+DivFlWJdeeoms/Pz85PE2Zx&#10;cHY+xC8CDEmXhgqtlQuJM6vZ5jbEwXpvlZ4t3Cit8Z3V2qYzgFZtestCahxxpT1BDg2N20wCAx5Z&#10;oZQ8i0RtIJNvcafFgPpNSCwJpj/LieRmPGAyzoWN1aDqWCuGUKcl/kZ2k0fmqi0CJmSJSU7YI8Dv&#10;+e6xB9qjfXIVuZcn5/JviQ3Ok0eODDZOzkZZ8O8BaGQ1Rh7s90UaSpOq9ALtDhvGwzBJwfEbhV/u&#10;loX4wDyODn5sXAfxHg+poW8ojDdKOvA/33tP9tjRqKWkx1FsaPixZl5Qor9a7PVFNZ+n2c3C/PR8&#10;hoI/1rwca+zaXAF+euxmzC5fk33U+6v0YJ5xa6xSVFQxyzF2Q3n0e+EqDisC9w4Xq1U2w3l1LN7a&#10;R8cTeKpqasun7TPzbmzfiH1/B/uxfdPCg23ytLBaR5Aq9/ehrmO9cdZz44x7KS2TYzlbHbbn8hcA&#10;AAD//wMAUEsDBBQABgAIAAAAIQCLPQc52wAAAAcBAAAPAAAAZHJzL2Rvd25yZXYueG1sTI5Nb8Iw&#10;EETvlfgP1iL1VhyC+EqzQVAV9VpoDj068TaJiNdRbEL672tO5Tia0ZuX7kbTioF611hGmM8iEMSl&#10;1Q1XCPnX8WUDwnnFWrWWCeGXHOyyyVOqEm1vfKLh7CsRIOwShVB73yVSurImo9zMdsSh+7G9UT7E&#10;vpK6V7cAN62Mo2gljWo4PNSqo7eaysv5ahD0eHr/Hsz68xhdinybV4vDoD8Qn6fj/hWEp9H/j+Gu&#10;H9QhC06FvbJ2okXYbBdhiRDPQdzr5TLkAmEdr0BmqXz0z/4AAAD//wMAUEsBAi0AFAAGAAgAAAAh&#10;ALaDOJL+AAAA4QEAABMAAAAAAAAAAAAAAAAAAAAAAFtDb250ZW50X1R5cGVzXS54bWxQSwECLQAU&#10;AAYACAAAACEAOP0h/9YAAACUAQAACwAAAAAAAAAAAAAAAAAvAQAAX3JlbHMvLnJlbHNQSwECLQAU&#10;AAYACAAAACEAam1Oa5ICAACFBQAADgAAAAAAAAAAAAAAAAAuAgAAZHJzL2Uyb0RvYy54bWxQSwEC&#10;LQAUAAYACAAAACEAiz0HOdsAAAAHAQAADwAAAAAAAAAAAAAAAADsBAAAZHJzL2Rvd25yZXYueG1s&#10;UEsFBgAAAAAEAAQA8wAAAPQFAAAAAA==&#10;" filled="f" strokecolor="black [3213]" strokeweight="1pt">
                      <v:stroke joinstyle="miter"/>
                    </v:oval>
                  </w:pict>
                </mc:Fallback>
              </mc:AlternateContent>
            </w:r>
            <w:r>
              <w:rPr>
                <w:rFonts w:ascii="Arial Narrow" w:hAnsi="Arial Narrow"/>
                <w:noProof/>
                <w:sz w:val="18"/>
              </w:rPr>
              <mc:AlternateContent>
                <mc:Choice Requires="wps">
                  <w:drawing>
                    <wp:anchor distT="0" distB="0" distL="114300" distR="114300" simplePos="0" relativeHeight="251685888" behindDoc="0" locked="0" layoutInCell="1" allowOverlap="1" wp14:anchorId="521A4B66" wp14:editId="2C27D0B4">
                      <wp:simplePos x="0" y="0"/>
                      <wp:positionH relativeFrom="column">
                        <wp:posOffset>527050</wp:posOffset>
                      </wp:positionH>
                      <wp:positionV relativeFrom="paragraph">
                        <wp:posOffset>521335</wp:posOffset>
                      </wp:positionV>
                      <wp:extent cx="495300" cy="485775"/>
                      <wp:effectExtent l="19050" t="19050" r="38100" b="47625"/>
                      <wp:wrapNone/>
                      <wp:docPr id="290" name="Oval 290"/>
                      <wp:cNvGraphicFramePr/>
                      <a:graphic xmlns:a="http://schemas.openxmlformats.org/drawingml/2006/main">
                        <a:graphicData uri="http://schemas.microsoft.com/office/word/2010/wordprocessingShape">
                          <wps:wsp>
                            <wps:cNvSpPr/>
                            <wps:spPr>
                              <a:xfrm>
                                <a:off x="0" y="0"/>
                                <a:ext cx="495300" cy="485775"/>
                              </a:xfrm>
                              <a:prstGeom prst="ellipse">
                                <a:avLst/>
                              </a:prstGeom>
                              <a:noFill/>
                              <a:ln w="57150" cmpd="dbl">
                                <a:solidFill>
                                  <a:schemeClr val="tx1"/>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F72F82" id="Oval 290" o:spid="_x0000_s1026" style="position:absolute;margin-left:41.5pt;margin-top:41.05pt;width:39pt;height:38.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7ZrAIAAMEFAAAOAAAAZHJzL2Uyb0RvYy54bWysVE1v2zAMvQ/YfxB0X21n8dIadYqgRYcB&#10;xVqsHXpWZKkWoK9JSpzs14+S7CRbix2G5aBI4tMj+Uzy8mqnJNoy54XRLa7OSoyYpqYT+qXF359u&#10;P5xj5APRHZFGsxbvmcdXy/fvLgfbsJnpjeyYQ0CifTPYFvch2KYoPO2ZIv7MWKbByI1TJMDRvRSd&#10;IwOwK1nMyvJTMRjXWWco8x5ub7IRLxM/54yGe849C0i2GGILaXVpXce1WF6S5sUR2ws6hkH+IQpF&#10;hAanB6obEgjaOPGKSgnqjDc8nFGjCsO5oCzlANlU5R/ZPPbEspQLiOPtQSb//2jp1+2DQ6Jr8ewC&#10;9NFEwUe63xKJ4hnUGaxvAPRoH9x48rCNqe64U/EfkkC7pOj+oCjbBUThcn5RfyyBl4Jpfl4vFnXk&#10;LI6PrfPhMzMKxU2LmZTC+pgzacj2zoeMnlDxWptbISXck0ZqNLS4XlR1dKEsZNGtZXrsjRRdBEZc&#10;qiZ2LR2CxFocdtUYxW+o6OSG+D6DkmmESR1ZWCqnMaYoSxYi7cJeshzRN8ZBTkh9luOIhXx0TShl&#10;OlTZ1JOOZWd1Cb8ppulF0klqIIzMHHI5cI8EEzKTTNxZshF/DPzwuPxbYPlxTnXybHQ4PFZCG/cW&#10;gYSsRs8ZD+GfSBO3a9PtodicyV3oLb0VoPkd8eGBOGg7+IowSsI9LFwa+LRm3GHUG/fzrfuIh24A&#10;K0YDtHGL/Y8NcQwj+UVDn1xU8znQhnSY14sZHNypZX1q0Rt1baBCKhhalqZtxAc5bbkz6hkmzip6&#10;BRPRFHy3mAY3Ha5DHi8wsyhbrRIMet2ScKcfLY3k8aPEanvaPRNnx9IP0DNfzdTyr8o/Y+NLbVab&#10;YLhIvXHUddQb5kQqnHGmxUF0ek6o4+Rd/gIAAP//AwBQSwMEFAAGAAgAAAAhAMdaSQPfAAAACQEA&#10;AA8AAABkcnMvZG93bnJldi54bWxMj91Og0AQhe9N+g6baeKdXaiKBFmaajSmiTWCPsCWHYGUnSXs&#10;tqVv7/RKr+bnTM58J19NthdHHH3nSEG8iEAg1c501Cj4/nq9SUH4oMno3hEqOKOHVTG7ynVm3IlK&#10;PFahEWxCPtMK2hCGTEpft2i1X7gBibUfN1odeBwbaUZ9YnPby2UUJdLqjvhDqwd8brHeVwer4K5+&#10;+6zi5mnzcN5ubVm+Dx8v00ap6/m0fgQRcAp/x3DBZ3QomGnnDmS86BWktxwlcF3GIC56EvNix819&#10;moAscvk/QfELAAD//wMAUEsBAi0AFAAGAAgAAAAhALaDOJL+AAAA4QEAABMAAAAAAAAAAAAAAAAA&#10;AAAAAFtDb250ZW50X1R5cGVzXS54bWxQSwECLQAUAAYACAAAACEAOP0h/9YAAACUAQAACwAAAAAA&#10;AAAAAAAAAAAvAQAAX3JlbHMvLnJlbHNQSwECLQAUAAYACAAAACEA4Lv+2awCAADBBQAADgAAAAAA&#10;AAAAAAAAAAAuAgAAZHJzL2Uyb0RvYy54bWxQSwECLQAUAAYACAAAACEAx1pJA98AAAAJAQAADwAA&#10;AAAAAAAAAAAAAAAGBQAAZHJzL2Rvd25yZXYueG1sUEsFBgAAAAAEAAQA8wAAABIGAAAAAA==&#10;" filled="f" strokecolor="black [3213]" strokeweight="4.5pt">
                      <v:stroke linestyle="thinThin" joinstyle="miter"/>
                    </v:oval>
                  </w:pict>
                </mc:Fallback>
              </mc:AlternateContent>
            </w:r>
            <w:r w:rsidRPr="00EA68F8">
              <w:rPr>
                <w:rFonts w:ascii="Arial Narrow" w:hAnsi="Arial Narrow"/>
                <w:b/>
                <w:sz w:val="18"/>
              </w:rPr>
              <w:t>Yes or No</w:t>
            </w:r>
          </w:p>
        </w:tc>
        <w:tc>
          <w:tcPr>
            <w:tcW w:w="720" w:type="dxa"/>
            <w:tcBorders>
              <w:bottom w:val="single" w:sz="12" w:space="0" w:color="auto"/>
            </w:tcBorders>
            <w:shd w:val="clear" w:color="auto" w:fill="auto"/>
            <w:vAlign w:val="center"/>
          </w:tcPr>
          <w:p w14:paraId="6984C9CC" w14:textId="77777777" w:rsidR="00FA72EE" w:rsidRPr="00FE76DD" w:rsidRDefault="00FA72EE" w:rsidP="00750917">
            <w:pPr>
              <w:jc w:val="center"/>
              <w:rPr>
                <w:rFonts w:ascii="Arial Narrow" w:hAnsi="Arial Narrow"/>
                <w:b/>
                <w:sz w:val="18"/>
              </w:rPr>
            </w:pPr>
            <w:r>
              <w:rPr>
                <w:rFonts w:ascii="Arial Narrow" w:hAnsi="Arial Narrow"/>
                <w:b/>
                <w:sz w:val="18"/>
              </w:rPr>
              <w:t>Yes or No</w:t>
            </w:r>
          </w:p>
        </w:tc>
        <w:tc>
          <w:tcPr>
            <w:tcW w:w="720" w:type="dxa"/>
            <w:tcBorders>
              <w:bottom w:val="single" w:sz="12" w:space="0" w:color="auto"/>
            </w:tcBorders>
            <w:vAlign w:val="center"/>
          </w:tcPr>
          <w:p w14:paraId="263E8C86" w14:textId="77777777" w:rsidR="00FA72EE" w:rsidRPr="00405C08" w:rsidRDefault="00FA72EE" w:rsidP="00750917">
            <w:pPr>
              <w:jc w:val="center"/>
              <w:rPr>
                <w:rFonts w:ascii="Arial Narrow" w:hAnsi="Arial Narrow"/>
                <w:b/>
                <w:sz w:val="18"/>
              </w:rPr>
            </w:pPr>
            <w:r w:rsidRPr="00405C08">
              <w:rPr>
                <w:rFonts w:ascii="Arial Narrow" w:hAnsi="Arial Narrow"/>
                <w:b/>
                <w:sz w:val="18"/>
              </w:rPr>
              <w:t>Yes or No</w:t>
            </w:r>
          </w:p>
        </w:tc>
        <w:tc>
          <w:tcPr>
            <w:tcW w:w="990" w:type="dxa"/>
            <w:tcBorders>
              <w:bottom w:val="single" w:sz="12" w:space="0" w:color="auto"/>
            </w:tcBorders>
            <w:vAlign w:val="center"/>
          </w:tcPr>
          <w:p w14:paraId="48A1BC5B" w14:textId="77777777" w:rsidR="00FA72EE" w:rsidRPr="00EC0E63" w:rsidRDefault="00FA72EE" w:rsidP="00750917">
            <w:pPr>
              <w:jc w:val="center"/>
              <w:rPr>
                <w:rFonts w:ascii="Arial Narrow" w:hAnsi="Arial Narrow"/>
                <w:b/>
                <w:sz w:val="18"/>
              </w:rPr>
            </w:pPr>
            <w:r w:rsidRPr="00EC0E63">
              <w:rPr>
                <w:rFonts w:ascii="Arial Narrow" w:hAnsi="Arial Narrow"/>
                <w:b/>
                <w:sz w:val="18"/>
              </w:rPr>
              <w:t>No</w:t>
            </w:r>
          </w:p>
        </w:tc>
        <w:tc>
          <w:tcPr>
            <w:tcW w:w="810" w:type="dxa"/>
            <w:tcBorders>
              <w:bottom w:val="single" w:sz="12" w:space="0" w:color="auto"/>
              <w:right w:val="single" w:sz="18" w:space="0" w:color="auto"/>
            </w:tcBorders>
            <w:vAlign w:val="center"/>
          </w:tcPr>
          <w:p w14:paraId="7FC3DA6D" w14:textId="77777777" w:rsidR="00FA72EE" w:rsidRPr="00EC0E63" w:rsidRDefault="00FA72EE" w:rsidP="00750917">
            <w:pPr>
              <w:jc w:val="center"/>
              <w:rPr>
                <w:rFonts w:ascii="Arial Narrow" w:hAnsi="Arial Narrow"/>
                <w:b/>
                <w:sz w:val="18"/>
              </w:rPr>
            </w:pPr>
            <w:r w:rsidRPr="00EC0E63">
              <w:rPr>
                <w:rFonts w:ascii="Arial Narrow" w:hAnsi="Arial Narrow"/>
                <w:b/>
                <w:sz w:val="18"/>
              </w:rPr>
              <w:t>Yes</w:t>
            </w:r>
          </w:p>
        </w:tc>
        <w:tc>
          <w:tcPr>
            <w:tcW w:w="990" w:type="dxa"/>
            <w:tcBorders>
              <w:top w:val="single" w:sz="6" w:space="0" w:color="auto"/>
              <w:left w:val="single" w:sz="18" w:space="0" w:color="auto"/>
              <w:bottom w:val="single" w:sz="12" w:space="0" w:color="auto"/>
            </w:tcBorders>
            <w:vAlign w:val="center"/>
          </w:tcPr>
          <w:p w14:paraId="179F92F8" w14:textId="77777777" w:rsidR="00FA72EE" w:rsidRPr="00EC0E63" w:rsidRDefault="00FA72EE" w:rsidP="00750917">
            <w:pPr>
              <w:jc w:val="center"/>
              <w:rPr>
                <w:rFonts w:ascii="Arial Narrow" w:hAnsi="Arial Narrow"/>
                <w:b/>
                <w:sz w:val="18"/>
              </w:rPr>
            </w:pPr>
            <w:r w:rsidRPr="00EC0E63">
              <w:rPr>
                <w:rFonts w:ascii="Arial Narrow" w:hAnsi="Arial Narrow"/>
                <w:b/>
                <w:sz w:val="18"/>
              </w:rPr>
              <w:t>No</w:t>
            </w:r>
          </w:p>
        </w:tc>
        <w:tc>
          <w:tcPr>
            <w:tcW w:w="810" w:type="dxa"/>
            <w:tcBorders>
              <w:bottom w:val="single" w:sz="12" w:space="0" w:color="auto"/>
            </w:tcBorders>
            <w:vAlign w:val="center"/>
          </w:tcPr>
          <w:p w14:paraId="5FD5E1E0" w14:textId="77777777" w:rsidR="00FA72EE" w:rsidRPr="00EC0E63" w:rsidRDefault="00FA72EE" w:rsidP="00750917">
            <w:pPr>
              <w:jc w:val="center"/>
              <w:rPr>
                <w:rFonts w:ascii="Arial Narrow" w:hAnsi="Arial Narrow"/>
                <w:b/>
                <w:sz w:val="18"/>
              </w:rPr>
            </w:pPr>
            <w:r w:rsidRPr="00EC0E63">
              <w:rPr>
                <w:rFonts w:ascii="Arial Narrow" w:hAnsi="Arial Narrow"/>
                <w:b/>
                <w:sz w:val="18"/>
              </w:rPr>
              <w:t>Yes</w:t>
            </w:r>
          </w:p>
        </w:tc>
        <w:tc>
          <w:tcPr>
            <w:tcW w:w="810" w:type="dxa"/>
            <w:tcBorders>
              <w:bottom w:val="single" w:sz="12" w:space="0" w:color="auto"/>
            </w:tcBorders>
            <w:vAlign w:val="center"/>
          </w:tcPr>
          <w:p w14:paraId="2B47278B" w14:textId="77777777" w:rsidR="00FA72EE" w:rsidRPr="00EC0E63" w:rsidRDefault="00FA72EE" w:rsidP="00750917">
            <w:pPr>
              <w:jc w:val="center"/>
              <w:rPr>
                <w:rFonts w:ascii="Arial Narrow" w:hAnsi="Arial Narrow"/>
                <w:b/>
                <w:sz w:val="18"/>
              </w:rPr>
            </w:pPr>
            <w:r w:rsidRPr="00EC0E63">
              <w:rPr>
                <w:rFonts w:ascii="Arial Narrow" w:hAnsi="Arial Narrow"/>
                <w:b/>
                <w:sz w:val="18"/>
              </w:rPr>
              <w:t>Yes or No</w:t>
            </w:r>
          </w:p>
        </w:tc>
        <w:tc>
          <w:tcPr>
            <w:tcW w:w="900" w:type="dxa"/>
            <w:tcBorders>
              <w:bottom w:val="single" w:sz="12" w:space="0" w:color="auto"/>
            </w:tcBorders>
            <w:vAlign w:val="center"/>
          </w:tcPr>
          <w:p w14:paraId="63C4B8D0" w14:textId="77777777" w:rsidR="00FA72EE" w:rsidRPr="00EC0E63" w:rsidRDefault="00FA72EE" w:rsidP="00750917">
            <w:pPr>
              <w:jc w:val="center"/>
              <w:rPr>
                <w:rFonts w:ascii="Arial Narrow" w:hAnsi="Arial Narrow"/>
                <w:b/>
                <w:sz w:val="18"/>
              </w:rPr>
            </w:pPr>
            <w:r w:rsidRPr="00EC0E63">
              <w:rPr>
                <w:rFonts w:ascii="Arial Narrow" w:hAnsi="Arial Narrow"/>
                <w:b/>
                <w:sz w:val="18"/>
              </w:rPr>
              <w:t>No</w:t>
            </w:r>
          </w:p>
        </w:tc>
        <w:tc>
          <w:tcPr>
            <w:tcW w:w="810" w:type="dxa"/>
            <w:tcBorders>
              <w:bottom w:val="single" w:sz="12" w:space="0" w:color="auto"/>
            </w:tcBorders>
            <w:vAlign w:val="center"/>
          </w:tcPr>
          <w:p w14:paraId="0CF3020B" w14:textId="77777777" w:rsidR="00FA72EE" w:rsidRPr="00EC0E63" w:rsidRDefault="00FA72EE" w:rsidP="00750917">
            <w:pPr>
              <w:jc w:val="center"/>
              <w:rPr>
                <w:rFonts w:ascii="Arial Narrow" w:hAnsi="Arial Narrow"/>
                <w:b/>
                <w:sz w:val="18"/>
              </w:rPr>
            </w:pPr>
            <w:r w:rsidRPr="00EC0E63">
              <w:rPr>
                <w:rFonts w:ascii="Arial Narrow" w:hAnsi="Arial Narrow"/>
                <w:b/>
                <w:sz w:val="18"/>
              </w:rPr>
              <w:t>Yes or No</w:t>
            </w:r>
          </w:p>
        </w:tc>
      </w:tr>
      <w:tr w:rsidR="00FA72EE" w:rsidRPr="00EC0E63" w14:paraId="2D9DE03F" w14:textId="77777777" w:rsidTr="00750917">
        <w:trPr>
          <w:trHeight w:val="515"/>
        </w:trPr>
        <w:tc>
          <w:tcPr>
            <w:tcW w:w="1818" w:type="dxa"/>
            <w:tcBorders>
              <w:top w:val="single" w:sz="12" w:space="0" w:color="auto"/>
              <w:left w:val="single" w:sz="6" w:space="0" w:color="auto"/>
              <w:bottom w:val="single" w:sz="6" w:space="0" w:color="auto"/>
            </w:tcBorders>
            <w:vAlign w:val="center"/>
          </w:tcPr>
          <w:p w14:paraId="2552B248" w14:textId="77777777" w:rsidR="00FA72EE" w:rsidRPr="00EC0E63" w:rsidRDefault="00FA72EE" w:rsidP="00750917">
            <w:pPr>
              <w:jc w:val="center"/>
              <w:rPr>
                <w:rFonts w:ascii="Arial Narrow" w:hAnsi="Arial Narrow"/>
                <w:b/>
                <w:sz w:val="18"/>
                <w:szCs w:val="28"/>
              </w:rPr>
            </w:pPr>
            <w:r w:rsidRPr="00EC0E63">
              <w:rPr>
                <w:rFonts w:ascii="Arial Narrow" w:hAnsi="Arial Narrow"/>
                <w:b/>
                <w:sz w:val="18"/>
                <w:szCs w:val="40"/>
              </w:rPr>
              <w:t>Provide</w:t>
            </w:r>
          </w:p>
        </w:tc>
        <w:tc>
          <w:tcPr>
            <w:tcW w:w="990" w:type="dxa"/>
            <w:tcBorders>
              <w:top w:val="single" w:sz="12" w:space="0" w:color="auto"/>
              <w:bottom w:val="single" w:sz="6" w:space="0" w:color="auto"/>
            </w:tcBorders>
            <w:shd w:val="clear" w:color="auto" w:fill="auto"/>
            <w:vAlign w:val="center"/>
          </w:tcPr>
          <w:p w14:paraId="708E39C3" w14:textId="77777777" w:rsidR="00FA72EE" w:rsidRPr="00405C08" w:rsidRDefault="00FA72EE" w:rsidP="00750917">
            <w:pPr>
              <w:jc w:val="center"/>
              <w:rPr>
                <w:rFonts w:ascii="Arial Narrow" w:hAnsi="Arial Narrow"/>
                <w:sz w:val="18"/>
                <w:highlight w:val="yellow"/>
              </w:rPr>
            </w:pPr>
            <w:r w:rsidRPr="00EA68F8">
              <w:rPr>
                <w:rFonts w:ascii="Arial Narrow" w:hAnsi="Arial Narrow"/>
                <w:sz w:val="18"/>
              </w:rPr>
              <w:t xml:space="preserve">Doxy (D) or Cipro (C) </w:t>
            </w:r>
          </w:p>
        </w:tc>
        <w:tc>
          <w:tcPr>
            <w:tcW w:w="720" w:type="dxa"/>
            <w:tcBorders>
              <w:top w:val="single" w:sz="12" w:space="0" w:color="auto"/>
              <w:bottom w:val="single" w:sz="6" w:space="0" w:color="auto"/>
            </w:tcBorders>
            <w:shd w:val="clear" w:color="auto" w:fill="auto"/>
            <w:vAlign w:val="center"/>
          </w:tcPr>
          <w:p w14:paraId="1B4AE43B" w14:textId="77777777" w:rsidR="00FA72EE" w:rsidRPr="00FE76DD" w:rsidRDefault="00FA72EE" w:rsidP="00750917">
            <w:pPr>
              <w:jc w:val="center"/>
              <w:rPr>
                <w:rFonts w:ascii="Arial Narrow" w:hAnsi="Arial Narrow"/>
                <w:sz w:val="18"/>
              </w:rPr>
            </w:pPr>
            <w:r w:rsidRPr="00FE76DD">
              <w:rPr>
                <w:rFonts w:ascii="Arial Narrow" w:hAnsi="Arial Narrow"/>
                <w:sz w:val="18"/>
              </w:rPr>
              <w:t>Doxy (D)</w:t>
            </w:r>
          </w:p>
        </w:tc>
        <w:tc>
          <w:tcPr>
            <w:tcW w:w="720" w:type="dxa"/>
            <w:tcBorders>
              <w:top w:val="single" w:sz="12" w:space="0" w:color="auto"/>
              <w:bottom w:val="single" w:sz="6" w:space="0" w:color="auto"/>
            </w:tcBorders>
            <w:vAlign w:val="center"/>
          </w:tcPr>
          <w:p w14:paraId="23225E9D" w14:textId="77777777" w:rsidR="00FA72EE" w:rsidRPr="00EC0E63" w:rsidRDefault="00FA72EE" w:rsidP="00750917">
            <w:pPr>
              <w:jc w:val="center"/>
              <w:rPr>
                <w:rFonts w:ascii="Arial Narrow" w:hAnsi="Arial Narrow"/>
                <w:sz w:val="18"/>
              </w:rPr>
            </w:pPr>
            <w:r w:rsidRPr="00EC0E63">
              <w:rPr>
                <w:rFonts w:ascii="Arial Narrow" w:hAnsi="Arial Narrow"/>
                <w:sz w:val="18"/>
              </w:rPr>
              <w:t>Cipro (C)</w:t>
            </w:r>
          </w:p>
        </w:tc>
        <w:tc>
          <w:tcPr>
            <w:tcW w:w="990" w:type="dxa"/>
            <w:tcBorders>
              <w:top w:val="single" w:sz="12" w:space="0" w:color="auto"/>
              <w:bottom w:val="single" w:sz="6" w:space="0" w:color="auto"/>
            </w:tcBorders>
            <w:shd w:val="clear" w:color="auto" w:fill="D9D9D9"/>
            <w:vAlign w:val="center"/>
          </w:tcPr>
          <w:p w14:paraId="789462D5" w14:textId="77777777" w:rsidR="00FA72EE" w:rsidRPr="00EC0E63" w:rsidRDefault="00FA72EE" w:rsidP="00750917">
            <w:pPr>
              <w:jc w:val="center"/>
              <w:rPr>
                <w:rFonts w:ascii="Arial Narrow" w:hAnsi="Arial Narrow"/>
                <w:b/>
                <w:sz w:val="18"/>
              </w:rPr>
            </w:pPr>
            <w:r w:rsidRPr="00EC0E63">
              <w:rPr>
                <w:rFonts w:ascii="Arial Narrow" w:hAnsi="Arial Narrow"/>
                <w:b/>
                <w:sz w:val="18"/>
              </w:rPr>
              <w:t>Consult / Amox (A)?</w:t>
            </w:r>
          </w:p>
        </w:tc>
        <w:tc>
          <w:tcPr>
            <w:tcW w:w="810" w:type="dxa"/>
            <w:tcBorders>
              <w:top w:val="single" w:sz="12" w:space="0" w:color="auto"/>
              <w:bottom w:val="single" w:sz="6" w:space="0" w:color="auto"/>
              <w:right w:val="single" w:sz="18" w:space="0" w:color="auto"/>
            </w:tcBorders>
            <w:shd w:val="clear" w:color="auto" w:fill="D9D9D9"/>
            <w:vAlign w:val="center"/>
          </w:tcPr>
          <w:p w14:paraId="6FA06F40" w14:textId="77777777" w:rsidR="00FA72EE" w:rsidRPr="00EC0E63" w:rsidRDefault="00FA72EE" w:rsidP="00750917">
            <w:pPr>
              <w:jc w:val="center"/>
              <w:rPr>
                <w:rFonts w:ascii="Arial Narrow" w:hAnsi="Arial Narrow"/>
                <w:b/>
                <w:sz w:val="18"/>
              </w:rPr>
            </w:pPr>
            <w:r w:rsidRPr="00EC0E63">
              <w:rPr>
                <w:rFonts w:ascii="Arial Narrow" w:hAnsi="Arial Narrow"/>
                <w:b/>
                <w:sz w:val="18"/>
              </w:rPr>
              <w:t>Consult</w:t>
            </w:r>
          </w:p>
        </w:tc>
        <w:tc>
          <w:tcPr>
            <w:tcW w:w="990" w:type="dxa"/>
            <w:tcBorders>
              <w:top w:val="single" w:sz="12" w:space="0" w:color="auto"/>
              <w:left w:val="single" w:sz="18" w:space="0" w:color="auto"/>
              <w:bottom w:val="single" w:sz="6" w:space="0" w:color="auto"/>
            </w:tcBorders>
            <w:shd w:val="clear" w:color="auto" w:fill="D9D9D9"/>
            <w:vAlign w:val="center"/>
          </w:tcPr>
          <w:p w14:paraId="78D8DD69" w14:textId="77777777" w:rsidR="00FA72EE" w:rsidRPr="00EC0E63" w:rsidRDefault="00FA72EE" w:rsidP="00750917">
            <w:pPr>
              <w:jc w:val="center"/>
              <w:rPr>
                <w:rFonts w:ascii="Arial Narrow" w:hAnsi="Arial Narrow"/>
                <w:b/>
                <w:sz w:val="18"/>
              </w:rPr>
            </w:pPr>
            <w:r w:rsidRPr="00EC0E63">
              <w:rPr>
                <w:rFonts w:ascii="Arial Narrow" w:hAnsi="Arial Narrow"/>
                <w:b/>
                <w:sz w:val="18"/>
              </w:rPr>
              <w:t>Consult / Amox (A)?</w:t>
            </w:r>
          </w:p>
        </w:tc>
        <w:tc>
          <w:tcPr>
            <w:tcW w:w="810" w:type="dxa"/>
            <w:tcBorders>
              <w:top w:val="single" w:sz="12" w:space="0" w:color="auto"/>
              <w:bottom w:val="single" w:sz="6" w:space="0" w:color="auto"/>
            </w:tcBorders>
            <w:shd w:val="clear" w:color="auto" w:fill="D9D9D9"/>
            <w:vAlign w:val="center"/>
          </w:tcPr>
          <w:p w14:paraId="32B30C64" w14:textId="77777777" w:rsidR="00FA72EE" w:rsidRPr="00EC0E63" w:rsidRDefault="00FA72EE" w:rsidP="00750917">
            <w:pPr>
              <w:jc w:val="center"/>
              <w:rPr>
                <w:rFonts w:ascii="Arial Narrow" w:hAnsi="Arial Narrow"/>
                <w:b/>
                <w:sz w:val="18"/>
              </w:rPr>
            </w:pPr>
            <w:r w:rsidRPr="00EC0E63">
              <w:rPr>
                <w:rFonts w:ascii="Arial Narrow" w:hAnsi="Arial Narrow"/>
                <w:b/>
                <w:sz w:val="18"/>
              </w:rPr>
              <w:t>Consult</w:t>
            </w:r>
          </w:p>
        </w:tc>
        <w:tc>
          <w:tcPr>
            <w:tcW w:w="810" w:type="dxa"/>
            <w:tcBorders>
              <w:top w:val="single" w:sz="12" w:space="0" w:color="auto"/>
              <w:bottom w:val="single" w:sz="6" w:space="0" w:color="auto"/>
            </w:tcBorders>
            <w:shd w:val="clear" w:color="auto" w:fill="D9D9D9"/>
            <w:vAlign w:val="center"/>
          </w:tcPr>
          <w:p w14:paraId="19EF2CED" w14:textId="77777777" w:rsidR="00FA72EE" w:rsidRPr="00EC0E63" w:rsidRDefault="00FA72EE" w:rsidP="00750917">
            <w:pPr>
              <w:jc w:val="center"/>
              <w:rPr>
                <w:rFonts w:ascii="Arial Narrow" w:hAnsi="Arial Narrow"/>
                <w:sz w:val="18"/>
              </w:rPr>
            </w:pPr>
            <w:r w:rsidRPr="00EC0E63">
              <w:rPr>
                <w:rFonts w:ascii="Arial Narrow" w:hAnsi="Arial Narrow"/>
                <w:sz w:val="18"/>
              </w:rPr>
              <w:t>Cipro (C)</w:t>
            </w:r>
          </w:p>
        </w:tc>
        <w:tc>
          <w:tcPr>
            <w:tcW w:w="900" w:type="dxa"/>
            <w:tcBorders>
              <w:top w:val="single" w:sz="12" w:space="0" w:color="auto"/>
              <w:bottom w:val="single" w:sz="6" w:space="0" w:color="auto"/>
            </w:tcBorders>
            <w:shd w:val="clear" w:color="auto" w:fill="D9D9D9"/>
            <w:vAlign w:val="center"/>
          </w:tcPr>
          <w:p w14:paraId="079B3659" w14:textId="77777777" w:rsidR="00FA72EE" w:rsidRPr="00EC0E63" w:rsidRDefault="00FA72EE" w:rsidP="00750917">
            <w:pPr>
              <w:jc w:val="center"/>
              <w:rPr>
                <w:rFonts w:ascii="Arial Narrow" w:hAnsi="Arial Narrow"/>
                <w:b/>
                <w:sz w:val="18"/>
              </w:rPr>
            </w:pPr>
            <w:r w:rsidRPr="00EC0E63">
              <w:rPr>
                <w:rFonts w:ascii="Arial Narrow" w:hAnsi="Arial Narrow"/>
                <w:b/>
                <w:sz w:val="18"/>
              </w:rPr>
              <w:t>Consult / Amox (A)?</w:t>
            </w:r>
          </w:p>
        </w:tc>
        <w:tc>
          <w:tcPr>
            <w:tcW w:w="810" w:type="dxa"/>
            <w:tcBorders>
              <w:top w:val="single" w:sz="12" w:space="0" w:color="auto"/>
              <w:bottom w:val="single" w:sz="6" w:space="0" w:color="auto"/>
            </w:tcBorders>
            <w:shd w:val="clear" w:color="auto" w:fill="D9D9D9"/>
            <w:vAlign w:val="center"/>
          </w:tcPr>
          <w:p w14:paraId="6880BB49" w14:textId="77777777" w:rsidR="00FA72EE" w:rsidRPr="00EC0E63" w:rsidRDefault="00FA72EE" w:rsidP="00750917">
            <w:pPr>
              <w:jc w:val="center"/>
              <w:rPr>
                <w:rFonts w:ascii="Arial Narrow" w:hAnsi="Arial Narrow"/>
                <w:sz w:val="18"/>
              </w:rPr>
            </w:pPr>
            <w:r w:rsidRPr="00EC0E63">
              <w:rPr>
                <w:rFonts w:ascii="Arial Narrow" w:hAnsi="Arial Narrow"/>
                <w:sz w:val="18"/>
              </w:rPr>
              <w:t>Cipro (C)</w:t>
            </w:r>
          </w:p>
        </w:tc>
      </w:tr>
    </w:tbl>
    <w:p w14:paraId="1CB0ACFA" w14:textId="77777777" w:rsidR="00FA72EE" w:rsidRDefault="00FA72EE" w:rsidP="00750917"/>
    <w:p w14:paraId="40E8AF5D" w14:textId="77777777" w:rsidR="00FA72EE" w:rsidRDefault="00FA72EE" w:rsidP="00750917">
      <w:pPr>
        <w:rPr>
          <w:b/>
        </w:rPr>
      </w:pPr>
    </w:p>
    <w:p w14:paraId="399C53A2" w14:textId="77777777" w:rsidR="00FA72EE" w:rsidRDefault="00FA72EE" w:rsidP="00750917">
      <w:pPr>
        <w:rPr>
          <w:b/>
        </w:rPr>
      </w:pPr>
    </w:p>
    <w:p w14:paraId="3D414751" w14:textId="77777777" w:rsidR="00FA72EE" w:rsidRDefault="00FA72EE" w:rsidP="00750917">
      <w:pPr>
        <w:rPr>
          <w:b/>
        </w:rPr>
      </w:pPr>
    </w:p>
    <w:p w14:paraId="0C59C39F" w14:textId="77777777" w:rsidR="00FA72EE" w:rsidRPr="00EC0E63" w:rsidRDefault="00FA72EE" w:rsidP="00750917">
      <w:r w:rsidRPr="007F5E8E">
        <w:rPr>
          <w:b/>
        </w:rPr>
        <w:t>NOTE</w:t>
      </w:r>
      <w:r>
        <w:t>:  Consider keeping a laminated blank Algorithm sheet at each screening station at the EDS. This laminated sheet could then be used repeatedly with a write-on/wipe-off marker to determine which drug should be dispensed to each individual.</w:t>
      </w:r>
    </w:p>
    <w:p w14:paraId="6AB27264" w14:textId="77777777" w:rsidR="00F77522" w:rsidRDefault="00F77522">
      <w:pPr>
        <w:rPr>
          <w:rFonts w:ascii="Arial Narrow" w:hAnsi="Arial Narrow"/>
          <w:sz w:val="32"/>
          <w:szCs w:val="32"/>
        </w:rPr>
      </w:pPr>
    </w:p>
    <w:p w14:paraId="5ADB590B" w14:textId="77777777" w:rsidR="00FD6857" w:rsidRDefault="00F77522" w:rsidP="00D54BD9">
      <w:r>
        <w:rPr>
          <w:noProof/>
        </w:rPr>
        <w:drawing>
          <wp:inline distT="0" distB="0" distL="0" distR="0" wp14:anchorId="78B08641" wp14:editId="0E7E4C15">
            <wp:extent cx="6172200" cy="810387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png"/>
                    <pic:cNvPicPr/>
                  </pic:nvPicPr>
                  <pic:blipFill>
                    <a:blip r:embed="rId73" cstate="screen">
                      <a:extLst>
                        <a:ext uri="{28A0092B-C50C-407E-A947-70E740481C1C}">
                          <a14:useLocalDpi xmlns:a14="http://schemas.microsoft.com/office/drawing/2010/main"/>
                        </a:ext>
                      </a:extLst>
                    </a:blip>
                    <a:stretch>
                      <a:fillRect/>
                    </a:stretch>
                  </pic:blipFill>
                  <pic:spPr>
                    <a:xfrm>
                      <a:off x="0" y="0"/>
                      <a:ext cx="6172200" cy="8103870"/>
                    </a:xfrm>
                    <a:prstGeom prst="rect">
                      <a:avLst/>
                    </a:prstGeom>
                  </pic:spPr>
                </pic:pic>
              </a:graphicData>
            </a:graphic>
          </wp:inline>
        </w:drawing>
      </w:r>
    </w:p>
    <w:p w14:paraId="2BF3D85C" w14:textId="77777777" w:rsidR="00345AD5" w:rsidRDefault="000A531B" w:rsidP="000A531B">
      <w:pPr>
        <w:rPr>
          <w:rFonts w:ascii="Arial" w:hAnsi="Arial" w:cs="Arial"/>
          <w:b/>
        </w:rPr>
      </w:pPr>
      <w:r>
        <w:rPr>
          <w:rFonts w:ascii="Arial" w:hAnsi="Arial" w:cs="Arial"/>
          <w:b/>
          <w:noProof/>
        </w:rPr>
        <w:drawing>
          <wp:inline distT="0" distB="0" distL="0" distR="0" wp14:anchorId="6066154B" wp14:editId="1E396812">
            <wp:extent cx="6172200" cy="783571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jpg"/>
                    <pic:cNvPicPr/>
                  </pic:nvPicPr>
                  <pic:blipFill>
                    <a:blip r:embed="rId74">
                      <a:extLst>
                        <a:ext uri="{28A0092B-C50C-407E-A947-70E740481C1C}">
                          <a14:useLocalDpi xmlns:a14="http://schemas.microsoft.com/office/drawing/2010/main"/>
                        </a:ext>
                      </a:extLst>
                    </a:blip>
                    <a:stretch>
                      <a:fillRect/>
                    </a:stretch>
                  </pic:blipFill>
                  <pic:spPr>
                    <a:xfrm>
                      <a:off x="0" y="0"/>
                      <a:ext cx="6172200" cy="7835713"/>
                    </a:xfrm>
                    <a:prstGeom prst="rect">
                      <a:avLst/>
                    </a:prstGeom>
                  </pic:spPr>
                </pic:pic>
              </a:graphicData>
            </a:graphic>
          </wp:inline>
        </w:drawing>
      </w:r>
    </w:p>
    <w:p w14:paraId="44C00156" w14:textId="77777777" w:rsidR="00345AD5" w:rsidRDefault="00345AD5">
      <w:pPr>
        <w:rPr>
          <w:rFonts w:ascii="Arial" w:hAnsi="Arial" w:cs="Arial"/>
          <w:b/>
        </w:rPr>
      </w:pPr>
      <w:r>
        <w:rPr>
          <w:rFonts w:ascii="Arial" w:hAnsi="Arial" w:cs="Arial"/>
          <w:b/>
        </w:rPr>
        <w:br w:type="page"/>
      </w:r>
    </w:p>
    <w:p w14:paraId="150017C3" w14:textId="7F717822" w:rsidR="00764E4D" w:rsidRPr="002E319B" w:rsidRDefault="00764E4D" w:rsidP="0036445C">
      <w:pPr>
        <w:pStyle w:val="Heading2"/>
        <w:rPr>
          <w:rFonts w:eastAsia="Times New Roman"/>
        </w:rPr>
      </w:pPr>
      <w:bookmarkStart w:id="264" w:name="_Emergency_Dispensing_Site_1"/>
      <w:bookmarkStart w:id="265" w:name="_Toc11832829"/>
      <w:bookmarkEnd w:id="264"/>
      <w:r w:rsidRPr="002E319B">
        <w:rPr>
          <w:rFonts w:eastAsia="Times New Roman"/>
        </w:rPr>
        <w:t>Emergency Dispensing Site Inventory Tracking Form</w:t>
      </w:r>
      <w:r w:rsidR="0036445C">
        <w:rPr>
          <w:rFonts w:eastAsia="Times New Roman"/>
        </w:rPr>
        <w:t xml:space="preserve"> and </w:t>
      </w:r>
      <w:r w:rsidR="00897251">
        <w:rPr>
          <w:rFonts w:eastAsia="Times New Roman"/>
        </w:rPr>
        <w:t>Instructions</w:t>
      </w:r>
      <w:bookmarkEnd w:id="265"/>
    </w:p>
    <w:p w14:paraId="3F9C4D4F" w14:textId="77777777" w:rsidR="00764E4D" w:rsidRPr="00421E5F" w:rsidRDefault="00764E4D" w:rsidP="000A531B">
      <w:pPr>
        <w:rPr>
          <w:rFonts w:ascii="Arial" w:hAnsi="Arial" w:cs="Arial"/>
          <w:b/>
          <w:sz w:val="28"/>
        </w:rPr>
      </w:pPr>
    </w:p>
    <w:p w14:paraId="6A4EB5C0" w14:textId="75B7F278" w:rsidR="00764E4D" w:rsidRPr="00421E5F" w:rsidRDefault="00764E4D" w:rsidP="000A531B">
      <w:pPr>
        <w:rPr>
          <w:rFonts w:cs="Arial"/>
        </w:rPr>
      </w:pPr>
      <w:r w:rsidRPr="00421E5F">
        <w:rPr>
          <w:rFonts w:cs="Arial"/>
        </w:rPr>
        <w:t xml:space="preserve">The accompanying Inventory Tracking Form should be used to track the inventory (Medical Countermeasures [MCM] or medical supplies [Personal Protective Equipment, etc.]) that is received at the EDS whether by shipment from the state's warehouse partner (Receipt, Stage, &amp; Store facility [RSS]) or transferred from another EDS. The Inventory Manager or back-up should know the status of every case/item received for the purposes of reordering and/or reporting to the state or </w:t>
      </w:r>
      <w:r w:rsidR="008127B1">
        <w:rPr>
          <w:rFonts w:cs="Arial"/>
        </w:rPr>
        <w:t>ASPR</w:t>
      </w:r>
      <w:r w:rsidR="008127B1" w:rsidRPr="00421E5F">
        <w:rPr>
          <w:rFonts w:cs="Arial"/>
        </w:rPr>
        <w:t xml:space="preserve"> </w:t>
      </w:r>
      <w:r w:rsidRPr="00421E5F">
        <w:rPr>
          <w:rFonts w:cs="Arial"/>
        </w:rPr>
        <w:t>as requested.</w:t>
      </w:r>
    </w:p>
    <w:p w14:paraId="689F6FB9" w14:textId="77777777" w:rsidR="00764E4D" w:rsidRPr="00421E5F" w:rsidRDefault="00764E4D" w:rsidP="00764E4D">
      <w:pPr>
        <w:rPr>
          <w:rFonts w:eastAsia="Times New Roman" w:cs="Times New Roman"/>
          <w:b/>
          <w:bCs/>
          <w:color w:val="000000"/>
        </w:rPr>
      </w:pPr>
    </w:p>
    <w:p w14:paraId="478DF867" w14:textId="2CDDC953" w:rsidR="00764E4D" w:rsidRPr="00421E5F" w:rsidRDefault="00764E4D" w:rsidP="00764E4D">
      <w:pPr>
        <w:rPr>
          <w:rFonts w:eastAsia="Times New Roman" w:cs="Times New Roman"/>
          <w:b/>
          <w:bCs/>
          <w:color w:val="000000"/>
        </w:rPr>
      </w:pPr>
      <w:r w:rsidRPr="00421E5F">
        <w:rPr>
          <w:rFonts w:eastAsia="Times New Roman" w:cs="Times New Roman"/>
          <w:b/>
          <w:bCs/>
          <w:color w:val="000000"/>
        </w:rPr>
        <w:t>Reporting</w:t>
      </w:r>
      <w:r w:rsidRPr="00421E5F">
        <w:rPr>
          <w:rFonts w:eastAsia="Times New Roman" w:cs="Times New Roman"/>
          <w:color w:val="000000"/>
        </w:rPr>
        <w:t xml:space="preserve"> and the </w:t>
      </w:r>
      <w:r w:rsidRPr="00421E5F">
        <w:rPr>
          <w:rFonts w:eastAsia="Times New Roman" w:cs="Times New Roman"/>
          <w:b/>
          <w:bCs/>
          <w:color w:val="000000"/>
        </w:rPr>
        <w:t>frequency</w:t>
      </w:r>
      <w:r w:rsidRPr="00421E5F">
        <w:rPr>
          <w:rFonts w:eastAsia="Times New Roman" w:cs="Times New Roman"/>
          <w:color w:val="000000"/>
        </w:rPr>
        <w:t xml:space="preserve"> of reporting may be conducted by email, phone, WebEOC or other manner depending on the incident. </w:t>
      </w:r>
      <w:r w:rsidR="008127B1">
        <w:rPr>
          <w:rFonts w:eastAsia="Times New Roman" w:cs="Times New Roman"/>
          <w:color w:val="000000"/>
        </w:rPr>
        <w:t>ASPR</w:t>
      </w:r>
      <w:r w:rsidRPr="00421E5F">
        <w:rPr>
          <w:rFonts w:eastAsia="Times New Roman" w:cs="Times New Roman"/>
          <w:color w:val="000000"/>
        </w:rPr>
        <w:t>, through MDPH, may request inventory updates daily, weekly, or at another interval. MDPH may request more frequent updates and will reach out for this information via HHAN alert or scheduled conference call.</w:t>
      </w:r>
    </w:p>
    <w:p w14:paraId="2C7F6C59" w14:textId="77777777" w:rsidR="00764E4D" w:rsidRPr="00421E5F" w:rsidRDefault="00764E4D">
      <w:pPr>
        <w:rPr>
          <w:rFonts w:cs="Arial"/>
          <w:b/>
        </w:rPr>
      </w:pPr>
    </w:p>
    <w:p w14:paraId="2F6C5F82" w14:textId="77777777" w:rsidR="00764E4D" w:rsidRPr="00421E5F" w:rsidRDefault="00764E4D" w:rsidP="00764E4D">
      <w:pPr>
        <w:rPr>
          <w:rFonts w:eastAsia="Times New Roman" w:cs="Times New Roman"/>
          <w:color w:val="000000"/>
        </w:rPr>
      </w:pPr>
      <w:r w:rsidRPr="00421E5F">
        <w:rPr>
          <w:rFonts w:eastAsia="Times New Roman" w:cs="Times New Roman"/>
          <w:color w:val="000000"/>
        </w:rPr>
        <w:t xml:space="preserve">Upon arrival at the EDS the truck driver delivering MCM will provide a Bill of Lading containing a detailed inventory of the shipment. When possible, the MCM inventory list will be sent electronically to the local email address provided in the WebEOC EDS Board prior to the shipment’s arrival. </w:t>
      </w:r>
    </w:p>
    <w:p w14:paraId="6B98DB83" w14:textId="77777777" w:rsidR="00764E4D" w:rsidRPr="00421E5F" w:rsidRDefault="00764E4D" w:rsidP="000A531B">
      <w:pPr>
        <w:rPr>
          <w:rFonts w:cs="Arial"/>
        </w:rPr>
      </w:pPr>
    </w:p>
    <w:p w14:paraId="622A0FE6" w14:textId="77777777" w:rsidR="001A4872" w:rsidRPr="00421E5F" w:rsidRDefault="00764E4D" w:rsidP="000A531B">
      <w:pPr>
        <w:rPr>
          <w:rFonts w:cs="Arial"/>
        </w:rPr>
      </w:pPr>
      <w:r w:rsidRPr="00421E5F">
        <w:rPr>
          <w:rFonts w:cs="Arial"/>
        </w:rPr>
        <w:t>Once a shipment is received at the EDS the product must be checked to ensure it matches the Packing List which is the starting point for the inventory. The EDS Manager, or designee as indicated in the local plan, must sign for the assets, noting any missing or damaged product on the Packing List. This proof of receipt - the Medical Material Transfer of Custody and Packing List (both received from the delivery driver) - should be signed and a copy made to be kept on site (originals return with driver). These forms must then be faxed or scanned to MDPH. Directions and contact information are on the Transfer of Custody form.</w:t>
      </w:r>
    </w:p>
    <w:p w14:paraId="02B0C632" w14:textId="77777777" w:rsidR="00764E4D" w:rsidRPr="00421E5F" w:rsidRDefault="00764E4D" w:rsidP="000A531B">
      <w:pPr>
        <w:rPr>
          <w:rFonts w:cs="Arial"/>
        </w:rPr>
      </w:pPr>
    </w:p>
    <w:p w14:paraId="52B02542" w14:textId="77777777" w:rsidR="002E319B" w:rsidRPr="00421E5F" w:rsidRDefault="002E319B" w:rsidP="000A531B">
      <w:pPr>
        <w:rPr>
          <w:rFonts w:cs="Arial"/>
        </w:rPr>
      </w:pPr>
    </w:p>
    <w:p w14:paraId="4A923E8D" w14:textId="77777777" w:rsidR="00764E4D" w:rsidRPr="00421E5F" w:rsidRDefault="00764E4D" w:rsidP="002E319B">
      <w:pPr>
        <w:spacing w:after="240"/>
        <w:rPr>
          <w:rFonts w:ascii="Calibri" w:eastAsia="Times New Roman" w:hAnsi="Calibri" w:cs="Times New Roman"/>
          <w:b/>
          <w:bCs/>
          <w:color w:val="000000"/>
          <w:u w:val="single"/>
        </w:rPr>
      </w:pPr>
      <w:r w:rsidRPr="00421E5F">
        <w:rPr>
          <w:rFonts w:ascii="Calibri" w:eastAsia="Times New Roman" w:hAnsi="Calibri" w:cs="Times New Roman"/>
          <w:b/>
          <w:bCs/>
          <w:color w:val="000000"/>
          <w:u w:val="single"/>
        </w:rPr>
        <w:t>Terminology on the Inventory Tracking Form</w:t>
      </w:r>
    </w:p>
    <w:p w14:paraId="67769571" w14:textId="77777777" w:rsidR="00764E4D" w:rsidRPr="00421E5F" w:rsidRDefault="00764E4D" w:rsidP="00764E4D">
      <w:pPr>
        <w:rPr>
          <w:rFonts w:ascii="Calibri" w:eastAsia="Times New Roman" w:hAnsi="Calibri" w:cs="Times New Roman"/>
          <w:b/>
          <w:bCs/>
          <w:color w:val="000000"/>
        </w:rPr>
      </w:pPr>
      <w:r w:rsidRPr="00421E5F">
        <w:rPr>
          <w:rFonts w:ascii="Calibri" w:eastAsia="Times New Roman" w:hAnsi="Calibri" w:cs="Times New Roman"/>
          <w:b/>
          <w:bCs/>
          <w:color w:val="000000"/>
        </w:rPr>
        <w:t xml:space="preserve">Item: </w:t>
      </w:r>
      <w:r w:rsidRPr="00421E5F">
        <w:rPr>
          <w:rFonts w:ascii="Calibri" w:eastAsia="Times New Roman" w:hAnsi="Calibri" w:cs="Times New Roman"/>
          <w:color w:val="000000"/>
        </w:rPr>
        <w:t xml:space="preserve">The products received.  In most instances an EDS will receive medication but could also receive medical supplies (Personal Protective Equipment, syringes if receiving vaccine, etc.). Record the name of the item on the form. If it is medication, record its name, strength, National Drug Code (NDC) number, number of bottles per case, Lot Number (#) and expiration date. This information is found on each case and each bottle. </w:t>
      </w:r>
    </w:p>
    <w:p w14:paraId="4B4FF14F" w14:textId="77777777" w:rsidR="00764E4D" w:rsidRPr="00421E5F" w:rsidRDefault="00764E4D" w:rsidP="000A531B">
      <w:pPr>
        <w:rPr>
          <w:rFonts w:cs="Arial"/>
        </w:rPr>
      </w:pPr>
    </w:p>
    <w:p w14:paraId="54E934B2" w14:textId="77777777" w:rsidR="00764E4D" w:rsidRPr="00421E5F" w:rsidRDefault="00764E4D" w:rsidP="00764E4D">
      <w:pPr>
        <w:rPr>
          <w:rFonts w:ascii="Calibri" w:eastAsia="Times New Roman" w:hAnsi="Calibri" w:cs="Times New Roman"/>
          <w:b/>
          <w:bCs/>
          <w:color w:val="000000"/>
        </w:rPr>
      </w:pPr>
      <w:r w:rsidRPr="00421E5F">
        <w:rPr>
          <w:rFonts w:ascii="Calibri" w:eastAsia="Times New Roman" w:hAnsi="Calibri" w:cs="Times New Roman"/>
          <w:b/>
          <w:bCs/>
          <w:color w:val="000000"/>
        </w:rPr>
        <w:t xml:space="preserve">Date/Time Transaction: </w:t>
      </w:r>
      <w:r w:rsidRPr="00421E5F">
        <w:rPr>
          <w:rFonts w:ascii="Calibri" w:eastAsia="Times New Roman" w:hAnsi="Calibri" w:cs="Times New Roman"/>
          <w:color w:val="000000"/>
        </w:rPr>
        <w:t>Enter on the “Start” line when the shipment arrived and was signed for at the EDS; enter the Date/Time when each subsequent transaction is made (other cases received, disp</w:t>
      </w:r>
      <w:r w:rsidR="00A01102">
        <w:rPr>
          <w:rFonts w:ascii="Calibri" w:eastAsia="Times New Roman" w:hAnsi="Calibri" w:cs="Times New Roman"/>
          <w:color w:val="000000"/>
        </w:rPr>
        <w:t>ensed, transferred or returned)</w:t>
      </w:r>
      <w:r w:rsidRPr="00421E5F">
        <w:rPr>
          <w:rFonts w:ascii="Calibri" w:eastAsia="Times New Roman" w:hAnsi="Calibri" w:cs="Times New Roman"/>
          <w:color w:val="000000"/>
        </w:rPr>
        <w:t>.</w:t>
      </w:r>
    </w:p>
    <w:p w14:paraId="11977811" w14:textId="77777777" w:rsidR="00764E4D" w:rsidRPr="00421E5F" w:rsidRDefault="00764E4D" w:rsidP="000A531B">
      <w:pPr>
        <w:rPr>
          <w:rFonts w:cs="Arial"/>
        </w:rPr>
      </w:pPr>
    </w:p>
    <w:p w14:paraId="7AE5F120" w14:textId="77777777" w:rsidR="00764E4D" w:rsidRPr="00421E5F" w:rsidRDefault="00764E4D" w:rsidP="00764E4D">
      <w:pPr>
        <w:rPr>
          <w:rFonts w:ascii="Calibri" w:eastAsia="Times New Roman" w:hAnsi="Calibri" w:cs="Times New Roman"/>
          <w:b/>
          <w:bCs/>
          <w:color w:val="000000"/>
        </w:rPr>
      </w:pPr>
      <w:r w:rsidRPr="00421E5F">
        <w:rPr>
          <w:rFonts w:ascii="Calibri" w:eastAsia="Times New Roman" w:hAnsi="Calibri" w:cs="Times New Roman"/>
          <w:b/>
          <w:bCs/>
          <w:color w:val="000000"/>
        </w:rPr>
        <w:t xml:space="preserve">Cases Received: </w:t>
      </w:r>
      <w:r w:rsidRPr="00421E5F">
        <w:rPr>
          <w:rFonts w:ascii="Calibri" w:eastAsia="Times New Roman" w:hAnsi="Calibri" w:cs="Times New Roman"/>
          <w:color w:val="000000"/>
        </w:rPr>
        <w:t>The number of cases of</w:t>
      </w:r>
      <w:r w:rsidRPr="00421E5F">
        <w:rPr>
          <w:rFonts w:ascii="Calibri" w:eastAsia="Times New Roman" w:hAnsi="Calibri" w:cs="Times New Roman"/>
          <w:b/>
          <w:bCs/>
          <w:color w:val="000000"/>
        </w:rPr>
        <w:t xml:space="preserve"> </w:t>
      </w:r>
      <w:r w:rsidRPr="00421E5F">
        <w:rPr>
          <w:rFonts w:ascii="Calibri" w:eastAsia="Times New Roman" w:hAnsi="Calibri" w:cs="Times New Roman"/>
          <w:color w:val="000000"/>
        </w:rPr>
        <w:t>each medication (Doxycycline, Ciprofloxacin, etc.) received and placed in the secured medication storage/staging area. Each will need its own Inventory Tracking Form.</w:t>
      </w:r>
      <w:r w:rsidRPr="00421E5F">
        <w:rPr>
          <w:rFonts w:ascii="Calibri" w:eastAsia="Times New Roman" w:hAnsi="Calibri" w:cs="Times New Roman"/>
          <w:b/>
          <w:bCs/>
          <w:color w:val="000000"/>
        </w:rPr>
        <w:t xml:space="preserve"> </w:t>
      </w:r>
      <w:r w:rsidRPr="00421E5F">
        <w:rPr>
          <w:rFonts w:ascii="Calibri" w:eastAsia="Times New Roman" w:hAnsi="Calibri" w:cs="Times New Roman"/>
          <w:color w:val="000000"/>
        </w:rPr>
        <w:t xml:space="preserve">Indicate in the first line of the form ("Start") the number of cases received. </w:t>
      </w:r>
    </w:p>
    <w:p w14:paraId="6260475E" w14:textId="77777777" w:rsidR="00764E4D" w:rsidRPr="00421E5F" w:rsidRDefault="00764E4D" w:rsidP="000A531B">
      <w:pPr>
        <w:rPr>
          <w:rFonts w:cs="Arial"/>
        </w:rPr>
      </w:pPr>
    </w:p>
    <w:p w14:paraId="229ECCF9" w14:textId="77777777" w:rsidR="00764E4D" w:rsidRPr="00421E5F" w:rsidRDefault="00764E4D" w:rsidP="00764E4D">
      <w:pPr>
        <w:rPr>
          <w:rFonts w:ascii="Calibri" w:eastAsia="Times New Roman" w:hAnsi="Calibri" w:cs="Times New Roman"/>
          <w:b/>
          <w:bCs/>
          <w:color w:val="000000"/>
        </w:rPr>
      </w:pPr>
      <w:r w:rsidRPr="00421E5F">
        <w:rPr>
          <w:rFonts w:ascii="Calibri" w:eastAsia="Times New Roman" w:hAnsi="Calibri" w:cs="Times New Roman"/>
          <w:b/>
          <w:bCs/>
          <w:color w:val="000000"/>
        </w:rPr>
        <w:t>Cases Transferred:</w:t>
      </w:r>
      <w:r w:rsidRPr="00421E5F">
        <w:rPr>
          <w:rFonts w:ascii="Calibri" w:eastAsia="Times New Roman" w:hAnsi="Calibri" w:cs="Times New Roman"/>
          <w:color w:val="000000"/>
        </w:rPr>
        <w:t xml:space="preserve"> The number of </w:t>
      </w:r>
      <w:r w:rsidRPr="00421E5F">
        <w:rPr>
          <w:rFonts w:ascii="Calibri" w:eastAsia="Times New Roman" w:hAnsi="Calibri" w:cs="Times New Roman"/>
          <w:color w:val="000000"/>
          <w:u w:val="single"/>
        </w:rPr>
        <w:t>cases</w:t>
      </w:r>
      <w:r w:rsidRPr="00421E5F">
        <w:rPr>
          <w:rFonts w:ascii="Calibri" w:eastAsia="Times New Roman" w:hAnsi="Calibri" w:cs="Times New Roman"/>
          <w:color w:val="000000"/>
        </w:rPr>
        <w:t xml:space="preserve"> sent to another EDS (public/open or private/closed), Long Term Care Facility, Community Health Center, or other dispensing partner. MDPH recommends rounding population numbers up and transferring </w:t>
      </w:r>
      <w:r w:rsidRPr="00421E5F">
        <w:rPr>
          <w:rFonts w:ascii="Calibri" w:eastAsia="Times New Roman" w:hAnsi="Calibri" w:cs="Times New Roman"/>
          <w:color w:val="000000"/>
          <w:u w:val="single"/>
        </w:rPr>
        <w:t>whole</w:t>
      </w:r>
      <w:r w:rsidRPr="00421E5F">
        <w:rPr>
          <w:rFonts w:ascii="Calibri" w:eastAsia="Times New Roman" w:hAnsi="Calibri" w:cs="Times New Roman"/>
          <w:color w:val="000000"/>
        </w:rPr>
        <w:t xml:space="preserve"> cases.</w:t>
      </w:r>
    </w:p>
    <w:p w14:paraId="412A2E8B" w14:textId="77777777" w:rsidR="00764E4D" w:rsidRPr="00421E5F" w:rsidRDefault="00764E4D" w:rsidP="000A531B">
      <w:pPr>
        <w:rPr>
          <w:rFonts w:cs="Arial"/>
        </w:rPr>
      </w:pPr>
    </w:p>
    <w:p w14:paraId="0A486C48" w14:textId="77777777" w:rsidR="00764E4D" w:rsidRPr="00421E5F" w:rsidRDefault="00764E4D" w:rsidP="00764E4D">
      <w:pPr>
        <w:rPr>
          <w:rFonts w:ascii="Calibri" w:eastAsia="Times New Roman" w:hAnsi="Calibri" w:cs="Times New Roman"/>
          <w:b/>
          <w:bCs/>
          <w:color w:val="000000"/>
        </w:rPr>
      </w:pPr>
      <w:r w:rsidRPr="00421E5F">
        <w:rPr>
          <w:rFonts w:ascii="Calibri" w:eastAsia="Times New Roman" w:hAnsi="Calibri" w:cs="Times New Roman"/>
          <w:b/>
          <w:bCs/>
          <w:color w:val="000000"/>
        </w:rPr>
        <w:t>Cases Dispensed:</w:t>
      </w:r>
      <w:r w:rsidRPr="00421E5F">
        <w:rPr>
          <w:rFonts w:ascii="Calibri" w:eastAsia="Times New Roman" w:hAnsi="Calibri" w:cs="Times New Roman"/>
          <w:color w:val="000000"/>
        </w:rPr>
        <w:t xml:space="preserve"> The number of cases sent to the dispensing lines from the secure storage/staging area. The product may have been dispensed or may be in the dispensing area to be handed out. </w:t>
      </w:r>
    </w:p>
    <w:p w14:paraId="176EBB35" w14:textId="77777777" w:rsidR="00764E4D" w:rsidRPr="00421E5F" w:rsidRDefault="00764E4D" w:rsidP="000A531B">
      <w:pPr>
        <w:rPr>
          <w:rFonts w:cs="Arial"/>
        </w:rPr>
      </w:pPr>
    </w:p>
    <w:p w14:paraId="0E10AAD0" w14:textId="77777777" w:rsidR="00764E4D" w:rsidRPr="00421E5F" w:rsidRDefault="00764E4D" w:rsidP="00764E4D">
      <w:pPr>
        <w:rPr>
          <w:rFonts w:ascii="Calibri" w:eastAsia="Times New Roman" w:hAnsi="Calibri" w:cs="Times New Roman"/>
          <w:color w:val="000000"/>
        </w:rPr>
      </w:pPr>
      <w:r w:rsidRPr="00421E5F">
        <w:rPr>
          <w:rFonts w:ascii="Calibri" w:eastAsia="Times New Roman" w:hAnsi="Calibri" w:cs="Times New Roman"/>
          <w:color w:val="000000"/>
        </w:rPr>
        <w:t xml:space="preserve">A </w:t>
      </w:r>
      <w:r w:rsidRPr="00421E5F">
        <w:rPr>
          <w:rFonts w:ascii="Calibri" w:eastAsia="Times New Roman" w:hAnsi="Calibri" w:cs="Times New Roman"/>
          <w:b/>
          <w:bCs/>
          <w:color w:val="000000"/>
        </w:rPr>
        <w:t>Transfer of Custody Form</w:t>
      </w:r>
      <w:r w:rsidRPr="00421E5F">
        <w:rPr>
          <w:rFonts w:ascii="Calibri" w:eastAsia="Times New Roman" w:hAnsi="Calibri" w:cs="Times New Roman"/>
          <w:color w:val="000000"/>
        </w:rPr>
        <w:t xml:space="preserve"> must accompany all medication transfers; a copy should be attached to the EDS’ Inventory Tracking Form and a copy should accompany the medication being transferred to the receiving site.</w:t>
      </w:r>
    </w:p>
    <w:p w14:paraId="307596C6" w14:textId="77777777" w:rsidR="00764E4D" w:rsidRPr="00421E5F" w:rsidRDefault="00764E4D" w:rsidP="000A531B">
      <w:pPr>
        <w:rPr>
          <w:rFonts w:cs="Arial"/>
        </w:rPr>
      </w:pPr>
    </w:p>
    <w:p w14:paraId="2A260006" w14:textId="77777777" w:rsidR="00764E4D" w:rsidRPr="00421E5F" w:rsidRDefault="00764E4D" w:rsidP="00764E4D">
      <w:pPr>
        <w:rPr>
          <w:rFonts w:ascii="Calibri" w:eastAsia="Times New Roman" w:hAnsi="Calibri" w:cs="Times New Roman"/>
          <w:b/>
          <w:bCs/>
          <w:color w:val="000000"/>
        </w:rPr>
      </w:pPr>
      <w:r w:rsidRPr="00421E5F">
        <w:rPr>
          <w:rFonts w:ascii="Calibri" w:eastAsia="Times New Roman" w:hAnsi="Calibri" w:cs="Times New Roman"/>
          <w:b/>
          <w:bCs/>
          <w:color w:val="000000"/>
        </w:rPr>
        <w:t>Cases Returned</w:t>
      </w:r>
      <w:r w:rsidRPr="00421E5F">
        <w:rPr>
          <w:rFonts w:ascii="Calibri" w:eastAsia="Times New Roman" w:hAnsi="Calibri" w:cs="Times New Roman"/>
          <w:color w:val="000000"/>
        </w:rPr>
        <w:t>: The number of cases returned to</w:t>
      </w:r>
      <w:r w:rsidRPr="00421E5F">
        <w:rPr>
          <w:rFonts w:ascii="Calibri" w:eastAsia="Times New Roman" w:hAnsi="Calibri" w:cs="Times New Roman"/>
          <w:color w:val="000000"/>
          <w:sz w:val="28"/>
        </w:rPr>
        <w:t xml:space="preserve"> </w:t>
      </w:r>
      <w:r w:rsidRPr="00421E5F">
        <w:rPr>
          <w:rFonts w:ascii="Calibri" w:eastAsia="Times New Roman" w:hAnsi="Calibri" w:cs="Times New Roman"/>
          <w:color w:val="000000"/>
        </w:rPr>
        <w:t xml:space="preserve">the storage/staging area from other locations.  Any unused medications should be returned to the EDS storage/staging area.   </w:t>
      </w:r>
    </w:p>
    <w:p w14:paraId="0EDBB4B5" w14:textId="77777777" w:rsidR="00764E4D" w:rsidRPr="00421E5F" w:rsidRDefault="00764E4D" w:rsidP="000A531B">
      <w:pPr>
        <w:rPr>
          <w:rFonts w:cs="Arial"/>
        </w:rPr>
      </w:pPr>
    </w:p>
    <w:p w14:paraId="1DB04505" w14:textId="77777777" w:rsidR="00764E4D" w:rsidRPr="00421E5F" w:rsidRDefault="00764E4D" w:rsidP="00764E4D">
      <w:pPr>
        <w:rPr>
          <w:rFonts w:ascii="Calibri" w:eastAsia="Times New Roman" w:hAnsi="Calibri" w:cs="Times New Roman"/>
          <w:b/>
          <w:bCs/>
          <w:color w:val="000000"/>
        </w:rPr>
      </w:pPr>
      <w:r w:rsidRPr="00421E5F">
        <w:rPr>
          <w:rFonts w:ascii="Calibri" w:eastAsia="Times New Roman" w:hAnsi="Calibri" w:cs="Times New Roman"/>
          <w:b/>
          <w:bCs/>
          <w:color w:val="000000"/>
        </w:rPr>
        <w:t>Cases Remaining</w:t>
      </w:r>
      <w:r w:rsidRPr="00421E5F">
        <w:rPr>
          <w:rFonts w:ascii="Calibri" w:eastAsia="Times New Roman" w:hAnsi="Calibri" w:cs="Times New Roman"/>
          <w:color w:val="000000"/>
        </w:rPr>
        <w:t>:  The number of cases remaining in the storage/staging area after each transaction (dispensing, transferring, or returning).  Should correspond to the actual inventory of cases in the storage/staging area.</w:t>
      </w:r>
    </w:p>
    <w:p w14:paraId="0E548C50" w14:textId="77777777" w:rsidR="00764E4D" w:rsidRPr="00421E5F" w:rsidRDefault="00764E4D" w:rsidP="000A531B">
      <w:pPr>
        <w:rPr>
          <w:rFonts w:cs="Arial"/>
        </w:rPr>
      </w:pPr>
    </w:p>
    <w:p w14:paraId="5C979514" w14:textId="77777777" w:rsidR="00764E4D" w:rsidRPr="00421E5F" w:rsidRDefault="00764E4D" w:rsidP="00764E4D">
      <w:pPr>
        <w:rPr>
          <w:rFonts w:ascii="Calibri" w:eastAsia="Times New Roman" w:hAnsi="Calibri" w:cs="Times New Roman"/>
          <w:b/>
          <w:bCs/>
          <w:color w:val="000000"/>
        </w:rPr>
      </w:pPr>
      <w:r w:rsidRPr="00421E5F">
        <w:rPr>
          <w:rFonts w:ascii="Calibri" w:eastAsia="Times New Roman" w:hAnsi="Calibri" w:cs="Times New Roman"/>
          <w:b/>
          <w:bCs/>
          <w:color w:val="000000"/>
        </w:rPr>
        <w:t xml:space="preserve">Initials of Inventory Mgr.: </w:t>
      </w:r>
      <w:r w:rsidRPr="00421E5F">
        <w:rPr>
          <w:rFonts w:ascii="Calibri" w:eastAsia="Times New Roman" w:hAnsi="Calibri" w:cs="Times New Roman"/>
          <w:color w:val="000000"/>
        </w:rPr>
        <w:t>The Inventory Manager or back-up who is monitoring the inventory must initial each line when MCM is dispensed from or received at the storage area.</w:t>
      </w:r>
    </w:p>
    <w:p w14:paraId="3E3F0D10" w14:textId="77777777" w:rsidR="00764E4D" w:rsidRPr="00421E5F" w:rsidRDefault="00764E4D" w:rsidP="000A531B">
      <w:pPr>
        <w:rPr>
          <w:rFonts w:cs="Arial"/>
        </w:rPr>
      </w:pPr>
    </w:p>
    <w:p w14:paraId="13E4EEC4" w14:textId="77777777" w:rsidR="00764E4D" w:rsidRPr="00421E5F" w:rsidRDefault="00764E4D" w:rsidP="00764E4D">
      <w:pPr>
        <w:rPr>
          <w:rFonts w:ascii="Calibri" w:eastAsia="Times New Roman" w:hAnsi="Calibri" w:cs="Times New Roman"/>
          <w:color w:val="000000"/>
        </w:rPr>
      </w:pPr>
      <w:r w:rsidRPr="00421E5F">
        <w:rPr>
          <w:rFonts w:ascii="Calibri" w:eastAsia="Times New Roman" w:hAnsi="Calibri" w:cs="Times New Roman"/>
          <w:color w:val="000000"/>
        </w:rPr>
        <w:t>Throughout the dispensing process it is important</w:t>
      </w:r>
      <w:r w:rsidR="00A01102">
        <w:rPr>
          <w:rFonts w:ascii="Calibri" w:eastAsia="Times New Roman" w:hAnsi="Calibri" w:cs="Times New Roman"/>
          <w:color w:val="000000"/>
        </w:rPr>
        <w:t xml:space="preserve"> to keep track of the inventory. </w:t>
      </w:r>
      <w:r w:rsidRPr="00421E5F">
        <w:rPr>
          <w:rFonts w:ascii="Calibri" w:eastAsia="Times New Roman" w:hAnsi="Calibri" w:cs="Times New Roman"/>
          <w:color w:val="000000"/>
        </w:rPr>
        <w:t>There is space at the bottom of the tracking form to record order status and make notes.</w:t>
      </w:r>
    </w:p>
    <w:p w14:paraId="50A88169" w14:textId="77777777" w:rsidR="00764E4D" w:rsidRPr="002E319B" w:rsidRDefault="00764E4D" w:rsidP="000A531B">
      <w:pPr>
        <w:rPr>
          <w:rFonts w:cs="Arial"/>
          <w:sz w:val="22"/>
        </w:rPr>
      </w:pPr>
    </w:p>
    <w:p w14:paraId="6B79796D" w14:textId="77777777" w:rsidR="00764E4D" w:rsidRPr="002E319B" w:rsidRDefault="00764E4D">
      <w:pPr>
        <w:rPr>
          <w:rFonts w:cs="Arial"/>
          <w:sz w:val="22"/>
        </w:rPr>
      </w:pPr>
    </w:p>
    <w:p w14:paraId="2E343419" w14:textId="77777777" w:rsidR="00FE5C16" w:rsidRDefault="00FE5C16">
      <w:pPr>
        <w:rPr>
          <w:rFonts w:cs="Arial"/>
        </w:rPr>
      </w:pPr>
    </w:p>
    <w:p w14:paraId="23BF7355" w14:textId="77777777" w:rsidR="003820A0" w:rsidRDefault="003820A0" w:rsidP="00764E4D">
      <w:pPr>
        <w:rPr>
          <w:rFonts w:ascii="Calibri" w:eastAsia="Times New Roman" w:hAnsi="Calibri" w:cs="Times New Roman"/>
          <w:b/>
          <w:bCs/>
          <w:color w:val="000000"/>
          <w:sz w:val="20"/>
          <w:szCs w:val="20"/>
        </w:rPr>
        <w:sectPr w:rsidR="003820A0" w:rsidSect="00225FAB">
          <w:footerReference w:type="default" r:id="rId75"/>
          <w:pgSz w:w="12240" w:h="15840"/>
          <w:pgMar w:top="1440" w:right="1440" w:bottom="990" w:left="1080" w:header="720" w:footer="720" w:gutter="0"/>
          <w:cols w:space="720"/>
          <w:docGrid w:linePitch="360"/>
        </w:sectPr>
      </w:pPr>
    </w:p>
    <w:p w14:paraId="02B84BF7" w14:textId="77777777" w:rsidR="00FE5C16" w:rsidRPr="00FE5C16" w:rsidRDefault="00FE5C16" w:rsidP="00764E4D">
      <w:pPr>
        <w:rPr>
          <w:rFonts w:ascii="Calibri" w:eastAsia="Times New Roman" w:hAnsi="Calibri" w:cs="Times New Roman"/>
          <w:b/>
          <w:bCs/>
          <w:color w:val="000000"/>
          <w:sz w:val="20"/>
          <w:szCs w:val="20"/>
        </w:rPr>
      </w:pPr>
    </w:p>
    <w:p w14:paraId="7346EC2A" w14:textId="77777777" w:rsidR="00FE5C16" w:rsidRPr="002E319B" w:rsidRDefault="00FE5C16">
      <w:pPr>
        <w:rPr>
          <w:rFonts w:cs="Arial"/>
          <w:sz w:val="4"/>
        </w:rPr>
      </w:pPr>
    </w:p>
    <w:p w14:paraId="02DEF243" w14:textId="77777777" w:rsidR="00421E5F" w:rsidRDefault="00421E5F" w:rsidP="00421E5F">
      <w:pPr>
        <w:jc w:val="center"/>
        <w:rPr>
          <w:rFonts w:ascii="Calibri" w:eastAsia="Times New Roman" w:hAnsi="Calibri" w:cs="Times New Roman"/>
          <w:b/>
          <w:bCs/>
          <w:color w:val="000000"/>
          <w:sz w:val="28"/>
          <w:szCs w:val="28"/>
        </w:rPr>
      </w:pPr>
      <w:r w:rsidRPr="00EE52A3">
        <w:rPr>
          <w:rFonts w:ascii="Calibri" w:eastAsia="Times New Roman" w:hAnsi="Calibri" w:cs="Times New Roman"/>
          <w:b/>
          <w:bCs/>
          <w:color w:val="000000"/>
          <w:sz w:val="28"/>
          <w:szCs w:val="28"/>
        </w:rPr>
        <w:t xml:space="preserve">Inventory Tracking Form </w:t>
      </w:r>
      <w:r>
        <w:rPr>
          <w:rFonts w:ascii="Calibri" w:eastAsia="Times New Roman" w:hAnsi="Calibri" w:cs="Times New Roman"/>
          <w:b/>
          <w:bCs/>
          <w:color w:val="000000"/>
          <w:sz w:val="28"/>
          <w:szCs w:val="28"/>
        </w:rPr>
        <w:t>Directions</w:t>
      </w:r>
      <w:r w:rsidRPr="00EE52A3">
        <w:rPr>
          <w:rFonts w:ascii="Calibri" w:eastAsia="Times New Roman" w:hAnsi="Calibri" w:cs="Times New Roman"/>
          <w:b/>
          <w:bCs/>
          <w:color w:val="000000"/>
          <w:sz w:val="28"/>
          <w:szCs w:val="28"/>
        </w:rPr>
        <w:t xml:space="preserve"> </w:t>
      </w:r>
      <w:r>
        <w:rPr>
          <w:rFonts w:ascii="Calibri" w:eastAsia="Times New Roman" w:hAnsi="Calibri" w:cs="Times New Roman"/>
          <w:b/>
          <w:bCs/>
          <w:color w:val="000000"/>
          <w:sz w:val="28"/>
          <w:szCs w:val="28"/>
        </w:rPr>
        <w:t>and Ex</w:t>
      </w:r>
      <w:r w:rsidRPr="00EE52A3">
        <w:rPr>
          <w:rFonts w:ascii="Calibri" w:eastAsia="Times New Roman" w:hAnsi="Calibri" w:cs="Times New Roman"/>
          <w:b/>
          <w:bCs/>
          <w:color w:val="000000"/>
          <w:sz w:val="28"/>
          <w:szCs w:val="28"/>
        </w:rPr>
        <w:t xml:space="preserve">ample </w:t>
      </w:r>
    </w:p>
    <w:p w14:paraId="3E00A737" w14:textId="77777777" w:rsidR="00421E5F" w:rsidRDefault="00421E5F" w:rsidP="00421E5F">
      <w:pPr>
        <w:jc w:val="center"/>
        <w:rPr>
          <w:rFonts w:ascii="Calibri" w:eastAsia="Times New Roman" w:hAnsi="Calibri" w:cs="Times New Roman"/>
          <w:b/>
          <w:bCs/>
          <w:color w:val="000000"/>
          <w:sz w:val="28"/>
          <w:szCs w:val="28"/>
        </w:rPr>
      </w:pPr>
    </w:p>
    <w:p w14:paraId="3A1BCFA3" w14:textId="77777777" w:rsidR="00421E5F" w:rsidRPr="00EE52A3" w:rsidRDefault="00421E5F" w:rsidP="00421E5F">
      <w:pPr>
        <w:jc w:val="center"/>
        <w:rPr>
          <w:rFonts w:ascii="Calibri" w:eastAsia="Times New Roman" w:hAnsi="Calibri" w:cs="Times New Roman"/>
          <w:b/>
          <w:bCs/>
          <w:color w:val="000000"/>
          <w:sz w:val="28"/>
          <w:szCs w:val="28"/>
        </w:rPr>
      </w:pPr>
    </w:p>
    <w:p w14:paraId="57F964D9" w14:textId="77777777" w:rsidR="00421E5F" w:rsidRPr="00421E5F" w:rsidRDefault="00421E5F" w:rsidP="00421E5F">
      <w:r w:rsidRPr="00421E5F">
        <w:t>The table below is an Excel spreadsheet showing how to track medical countermeasures inventory at the EDS. Those responsible for tracking the inventory at the EDS may complete the form electronically or print out a paper copy and enter information manually. All movement of the medical countermeasures (MCM) should be tracked on these pages. Similar to a checkbook register, record the inventory that goes in and out of the inventory storage area. A running total is automatically calculated in the grey “Cases Remaining” column. A blank page should be used for each unique item and lot number, i.e. if you receive 500 cases of Doxycycline but 300 cases have one lot number and 200 cases have a different lot number, they should be tracked on separate sheets. At pre-announced intervals, MDPH will request and gather inventory data from all activated dispensing sites to report the data to our federal partners.</w:t>
      </w:r>
    </w:p>
    <w:p w14:paraId="159EC15C" w14:textId="77777777" w:rsidR="00421E5F" w:rsidRPr="00421E5F" w:rsidRDefault="00421E5F" w:rsidP="00421E5F">
      <w:pPr>
        <w:jc w:val="center"/>
      </w:pPr>
    </w:p>
    <w:p w14:paraId="066CA8D0" w14:textId="77777777" w:rsidR="00421E5F" w:rsidRPr="00421E5F" w:rsidRDefault="00421E5F" w:rsidP="00421E5F">
      <w:r w:rsidRPr="00421E5F">
        <w:t xml:space="preserve">In the example below 300 cases of Doxycycline are received at the EDS at 0530. This information is entered in the “Start” line and the specific drug information (shown in red below) is entered at the top of the spreadsheet. The example shows that 40 cases are moved to the EDS’ dispensing area to be dispensed and 30 cases are transferred to a neighboring EDS (Wing School) to be dispensed. These 30 cases are considered transferred because they are off-site where someone else will dispense the medication. Whenever the MCM is moved out of the EDS, a Transfer of Custody Form must be signed to show who is taking responsibility for the medication. The example below continues to show 50 more cases are moved within the EDS to be dispensed, 4 cases are picked up by (transferred to) a Long Term Care Facility (LTCF) Closed EDS, and 20 cases are transferred to the drive-through EDS elsewhere in town. </w:t>
      </w:r>
    </w:p>
    <w:p w14:paraId="1194E47E" w14:textId="77777777" w:rsidR="00421E5F" w:rsidRPr="00421E5F" w:rsidRDefault="00421E5F" w:rsidP="00421E5F"/>
    <w:p w14:paraId="180E80B4" w14:textId="77777777" w:rsidR="00421E5F" w:rsidRPr="00421E5F" w:rsidRDefault="00421E5F" w:rsidP="00421E5F">
      <w:r w:rsidRPr="00421E5F">
        <w:t xml:space="preserve">At 1300 hours an additional shipment is received of 100 cases of Doxycycline 100mg tablets, 20 tablets/bottle, with </w:t>
      </w:r>
      <w:r w:rsidR="00F27AA0">
        <w:t xml:space="preserve">the same lot number. If the </w:t>
      </w:r>
      <w:r w:rsidRPr="00421E5F">
        <w:t>nd shipment had a different lot number, a new Inventory Tracking Form would be completed. For clarity of record-keeping, do not dispense the second shipment (100 cases) until the first shipment (300 cases) is dispensed entirely.  At the end of the shift, 3 full and 1 partial case were returned from the school and 3 cases were returned from the drive-through area (1 box was damaged). Note these on the spreadsheet and in the Final Disposition box.</w:t>
      </w:r>
    </w:p>
    <w:p w14:paraId="7F6C4570" w14:textId="77777777" w:rsidR="00F27AA0" w:rsidRDefault="00764E4D" w:rsidP="00421E5F">
      <w:r w:rsidRPr="00421E5F">
        <w:br w:type="page"/>
      </w:r>
    </w:p>
    <w:p w14:paraId="77B0E7E6" w14:textId="77777777" w:rsidR="00F27AA0" w:rsidRDefault="00F27AA0" w:rsidP="00421E5F"/>
    <w:p w14:paraId="58BD5977" w14:textId="77777777" w:rsidR="00F27AA0" w:rsidRDefault="00F27AA0" w:rsidP="00421E5F"/>
    <w:p w14:paraId="731E0E42" w14:textId="77777777" w:rsidR="003F79EE" w:rsidRPr="00F27AA0" w:rsidRDefault="00F27AA0" w:rsidP="00421E5F">
      <w:pPr>
        <w:rPr>
          <w:rFonts w:cs="Arial"/>
          <w:color w:val="FF0000"/>
        </w:rPr>
      </w:pPr>
      <w:r>
        <w:rPr>
          <w:noProof/>
        </w:rPr>
        <w:drawing>
          <wp:anchor distT="0" distB="0" distL="114300" distR="114300" simplePos="0" relativeHeight="251623424" behindDoc="0" locked="0" layoutInCell="1" allowOverlap="1" wp14:anchorId="428DEB60" wp14:editId="1B5A34FC">
            <wp:simplePos x="0" y="0"/>
            <wp:positionH relativeFrom="column">
              <wp:posOffset>1716</wp:posOffset>
            </wp:positionH>
            <wp:positionV relativeFrom="paragraph">
              <wp:posOffset>430909</wp:posOffset>
            </wp:positionV>
            <wp:extent cx="6172200" cy="56388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ample form.jpg"/>
                    <pic:cNvPicPr/>
                  </pic:nvPicPr>
                  <pic:blipFill>
                    <a:blip r:embed="rId76" cstate="screen">
                      <a:extLst>
                        <a:ext uri="{28A0092B-C50C-407E-A947-70E740481C1C}">
                          <a14:useLocalDpi xmlns:a14="http://schemas.microsoft.com/office/drawing/2010/main"/>
                        </a:ext>
                      </a:extLst>
                    </a:blip>
                    <a:stretch>
                      <a:fillRect/>
                    </a:stretch>
                  </pic:blipFill>
                  <pic:spPr>
                    <a:xfrm rot="5400000">
                      <a:off x="0" y="0"/>
                      <a:ext cx="6172200" cy="5638800"/>
                    </a:xfrm>
                    <a:prstGeom prst="rect">
                      <a:avLst/>
                    </a:prstGeom>
                  </pic:spPr>
                </pic:pic>
              </a:graphicData>
            </a:graphic>
            <wp14:sizeRelH relativeFrom="page">
              <wp14:pctWidth>0</wp14:pctWidth>
            </wp14:sizeRelH>
            <wp14:sizeRelV relativeFrom="page">
              <wp14:pctHeight>0</wp14:pctHeight>
            </wp14:sizeRelV>
          </wp:anchor>
        </w:drawing>
      </w:r>
      <w:r w:rsidR="00C12BC2">
        <w:rPr>
          <w:rFonts w:cs="Arial"/>
        </w:rPr>
        <w:br w:type="page"/>
      </w:r>
      <w:r w:rsidR="007F33FA">
        <w:rPr>
          <w:rFonts w:cs="Arial"/>
          <w:noProof/>
        </w:rPr>
        <w:drawing>
          <wp:anchor distT="0" distB="0" distL="114300" distR="114300" simplePos="0" relativeHeight="251627520" behindDoc="0" locked="0" layoutInCell="1" allowOverlap="1" wp14:anchorId="5B157655" wp14:editId="6EAF7518">
            <wp:simplePos x="0" y="0"/>
            <wp:positionH relativeFrom="column">
              <wp:posOffset>-33321</wp:posOffset>
            </wp:positionH>
            <wp:positionV relativeFrom="paragraph">
              <wp:posOffset>1453487</wp:posOffset>
            </wp:positionV>
            <wp:extent cx="6172200" cy="4570095"/>
            <wp:effectExtent l="952" t="0" r="953" b="952"/>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lank Inventoy Tracking Form _Page_1.jpg"/>
                    <pic:cNvPicPr/>
                  </pic:nvPicPr>
                  <pic:blipFill>
                    <a:blip r:embed="rId77" cstate="screen">
                      <a:extLst>
                        <a:ext uri="{28A0092B-C50C-407E-A947-70E740481C1C}">
                          <a14:useLocalDpi xmlns:a14="http://schemas.microsoft.com/office/drawing/2010/main"/>
                        </a:ext>
                      </a:extLst>
                    </a:blip>
                    <a:stretch>
                      <a:fillRect/>
                    </a:stretch>
                  </pic:blipFill>
                  <pic:spPr>
                    <a:xfrm rot="5400000">
                      <a:off x="0" y="0"/>
                      <a:ext cx="6172200" cy="4570095"/>
                    </a:xfrm>
                    <a:prstGeom prst="rect">
                      <a:avLst/>
                    </a:prstGeom>
                  </pic:spPr>
                </pic:pic>
              </a:graphicData>
            </a:graphic>
            <wp14:sizeRelH relativeFrom="page">
              <wp14:pctWidth>0</wp14:pctWidth>
            </wp14:sizeRelH>
            <wp14:sizeRelV relativeFrom="page">
              <wp14:pctHeight>0</wp14:pctHeight>
            </wp14:sizeRelV>
          </wp:anchor>
        </w:drawing>
      </w:r>
      <w:r w:rsidR="003F79EE">
        <w:rPr>
          <w:rFonts w:cs="Arial"/>
        </w:rPr>
        <w:br w:type="page"/>
      </w:r>
    </w:p>
    <w:p w14:paraId="6315E69F" w14:textId="77777777" w:rsidR="003820A0" w:rsidRDefault="003820A0">
      <w:pPr>
        <w:rPr>
          <w:rFonts w:cs="Arial"/>
        </w:rPr>
        <w:sectPr w:rsidR="003820A0" w:rsidSect="00136C9D">
          <w:pgSz w:w="12240" w:h="15840"/>
          <w:pgMar w:top="1440" w:right="1440" w:bottom="1440" w:left="1080" w:header="720" w:footer="720" w:gutter="0"/>
          <w:cols w:space="720"/>
          <w:docGrid w:linePitch="360"/>
        </w:sectPr>
      </w:pPr>
    </w:p>
    <w:p w14:paraId="5A3D4A49" w14:textId="3F033D5D" w:rsidR="00C1528E" w:rsidRPr="0036445C" w:rsidRDefault="00637775" w:rsidP="0034734C">
      <w:pPr>
        <w:rPr>
          <w:b/>
          <w:sz w:val="18"/>
          <w:szCs w:val="18"/>
        </w:rPr>
      </w:pPr>
      <w:r>
        <w:rPr>
          <w:rFonts w:cs="Arial"/>
          <w:noProof/>
        </w:rPr>
        <w:object w:dxaOrig="1440" w:dyaOrig="1440" w14:anchorId="2938FF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margin-left:39.3pt;margin-top:39pt;width:455.5pt;height:584.3pt;z-index:251673088;mso-position-horizontal-relative:text;mso-position-vertical-relative:text">
            <v:imagedata r:id="rId78" o:title=""/>
            <w10:wrap type="square" side="right"/>
          </v:shape>
          <o:OLEObject Type="Embed" ProgID="Excel.Sheet.12" ShapeID="_x0000_s1036" DrawAspect="Content" ObjectID="_1626503696" r:id="rId79"/>
        </w:object>
      </w:r>
      <w:r w:rsidR="0034734C">
        <w:rPr>
          <w:rFonts w:cs="Arial"/>
        </w:rPr>
        <w:br w:type="textWrapping" w:clear="all"/>
      </w:r>
    </w:p>
    <w:p w14:paraId="7A55E6A2" w14:textId="385098FE" w:rsidR="00EE4F49" w:rsidRDefault="00EE4F49" w:rsidP="0036445C">
      <w:pPr>
        <w:pStyle w:val="Heading2"/>
      </w:pPr>
      <w:bookmarkStart w:id="266" w:name="_Process_for_Volunteer"/>
      <w:bookmarkStart w:id="267" w:name="_Toc11832830"/>
      <w:bookmarkEnd w:id="266"/>
      <w:r>
        <w:t>Process for Volunteer Requests During a Cross-Jurisdictional Event</w:t>
      </w:r>
      <w:bookmarkEnd w:id="267"/>
    </w:p>
    <w:bookmarkStart w:id="268" w:name="_Emergency_Dispensing_Site"/>
    <w:bookmarkEnd w:id="268"/>
    <w:p w14:paraId="4CC2372C" w14:textId="77777777" w:rsidR="006E4FD1" w:rsidRDefault="00897251" w:rsidP="006657D6">
      <w:r>
        <w:object w:dxaOrig="9180" w:dyaOrig="11880" w14:anchorId="68E0FF09">
          <v:shape id="_x0000_i1026" type="#_x0000_t75" style="width:459pt;height:594pt" o:ole="">
            <v:imagedata r:id="rId80" o:title=""/>
          </v:shape>
          <o:OLEObject Type="Embed" ProgID="Acrobat.Document.DC" ShapeID="_x0000_i1026" DrawAspect="Content" ObjectID="_1626503689" r:id="rId81"/>
        </w:object>
      </w:r>
    </w:p>
    <w:p w14:paraId="3CC6B3AD" w14:textId="77777777" w:rsidR="00AC7B1D" w:rsidRDefault="006E4FD1">
      <w:pPr>
        <w:rPr>
          <w:rFonts w:ascii="Arial" w:hAnsi="Arial"/>
        </w:rPr>
      </w:pPr>
      <w:r>
        <w:rPr>
          <w:rFonts w:ascii="Arial" w:hAnsi="Arial"/>
        </w:rPr>
        <w:br w:type="page"/>
      </w:r>
      <w:r w:rsidR="00AC7B1D">
        <w:rPr>
          <w:rFonts w:ascii="Arial" w:hAnsi="Arial"/>
        </w:rPr>
        <w:object w:dxaOrig="9180" w:dyaOrig="11880" w14:anchorId="192735BA">
          <v:shape id="_x0000_i1027" type="#_x0000_t75" style="width:459pt;height:594pt" o:ole="">
            <v:imagedata r:id="rId82" o:title=""/>
          </v:shape>
          <o:OLEObject Type="Embed" ProgID="Acrobat.Document.DC" ShapeID="_x0000_i1027" DrawAspect="Content" ObjectID="_1626503690" r:id="rId83"/>
        </w:object>
      </w:r>
    </w:p>
    <w:p w14:paraId="31298658" w14:textId="77777777" w:rsidR="00AC7B1D" w:rsidRDefault="00AC7B1D">
      <w:pPr>
        <w:rPr>
          <w:rFonts w:ascii="Arial" w:hAnsi="Arial"/>
        </w:rPr>
      </w:pPr>
      <w:r>
        <w:rPr>
          <w:rFonts w:ascii="Arial" w:hAnsi="Arial"/>
        </w:rPr>
        <w:br w:type="page"/>
      </w:r>
    </w:p>
    <w:p w14:paraId="345E7DAC" w14:textId="77777777" w:rsidR="00AC7B1D" w:rsidRDefault="00AC7B1D">
      <w:pPr>
        <w:rPr>
          <w:rFonts w:ascii="Arial" w:hAnsi="Arial"/>
        </w:rPr>
      </w:pPr>
      <w:r>
        <w:rPr>
          <w:rFonts w:ascii="Arial" w:hAnsi="Arial"/>
        </w:rPr>
        <w:object w:dxaOrig="9180" w:dyaOrig="11880" w14:anchorId="2BF23B86">
          <v:shape id="_x0000_i1028" type="#_x0000_t75" style="width:459pt;height:594pt" o:ole="">
            <v:imagedata r:id="rId84" o:title=""/>
          </v:shape>
          <o:OLEObject Type="Embed" ProgID="Acrobat.Document.DC" ShapeID="_x0000_i1028" DrawAspect="Content" ObjectID="_1626503691" r:id="rId85"/>
        </w:object>
      </w:r>
    </w:p>
    <w:p w14:paraId="57563704" w14:textId="77777777" w:rsidR="00AC7B1D" w:rsidRDefault="00AC7B1D">
      <w:pPr>
        <w:rPr>
          <w:rFonts w:ascii="Arial" w:hAnsi="Arial"/>
        </w:rPr>
      </w:pPr>
      <w:r>
        <w:rPr>
          <w:rFonts w:ascii="Arial" w:hAnsi="Arial"/>
        </w:rPr>
        <w:br w:type="page"/>
      </w:r>
    </w:p>
    <w:p w14:paraId="437DECE7" w14:textId="77777777" w:rsidR="00AC7B1D" w:rsidRDefault="00AC7B1D">
      <w:pPr>
        <w:rPr>
          <w:rFonts w:ascii="Arial" w:hAnsi="Arial"/>
        </w:rPr>
      </w:pPr>
      <w:r>
        <w:rPr>
          <w:rFonts w:ascii="Arial" w:hAnsi="Arial"/>
        </w:rPr>
        <w:object w:dxaOrig="9180" w:dyaOrig="11880" w14:anchorId="26BC0AE9">
          <v:shape id="_x0000_i1029" type="#_x0000_t75" style="width:459pt;height:594pt" o:ole="">
            <v:imagedata r:id="rId86" o:title=""/>
          </v:shape>
          <o:OLEObject Type="Embed" ProgID="Acrobat.Document.DC" ShapeID="_x0000_i1029" DrawAspect="Content" ObjectID="_1626503692" r:id="rId87"/>
        </w:object>
      </w:r>
    </w:p>
    <w:p w14:paraId="109C861C" w14:textId="77777777" w:rsidR="00AC7B1D" w:rsidRDefault="00AC7B1D">
      <w:pPr>
        <w:rPr>
          <w:rFonts w:ascii="Arial" w:hAnsi="Arial"/>
        </w:rPr>
      </w:pPr>
      <w:r>
        <w:rPr>
          <w:rFonts w:ascii="Arial" w:hAnsi="Arial"/>
        </w:rPr>
        <w:br w:type="page"/>
      </w:r>
    </w:p>
    <w:p w14:paraId="27A69C4B" w14:textId="77777777" w:rsidR="00AC7B1D" w:rsidRDefault="00AC7B1D">
      <w:pPr>
        <w:rPr>
          <w:rFonts w:ascii="Arial" w:hAnsi="Arial"/>
        </w:rPr>
      </w:pPr>
      <w:r>
        <w:rPr>
          <w:rFonts w:ascii="Arial" w:hAnsi="Arial"/>
        </w:rPr>
        <w:object w:dxaOrig="9180" w:dyaOrig="11880" w14:anchorId="26C23AA6">
          <v:shape id="_x0000_i1030" type="#_x0000_t75" style="width:459pt;height:594pt" o:ole="">
            <v:imagedata r:id="rId88" o:title=""/>
          </v:shape>
          <o:OLEObject Type="Embed" ProgID="Acrobat.Document.DC" ShapeID="_x0000_i1030" DrawAspect="Content" ObjectID="_1626503693" r:id="rId89"/>
        </w:object>
      </w:r>
    </w:p>
    <w:p w14:paraId="08A7E92D" w14:textId="77777777" w:rsidR="00AC7B1D" w:rsidRDefault="00AC7B1D">
      <w:pPr>
        <w:rPr>
          <w:rFonts w:ascii="Arial" w:hAnsi="Arial"/>
        </w:rPr>
      </w:pPr>
      <w:r>
        <w:rPr>
          <w:rFonts w:ascii="Arial" w:hAnsi="Arial"/>
        </w:rPr>
        <w:br w:type="page"/>
      </w:r>
    </w:p>
    <w:p w14:paraId="7DB9B7AB" w14:textId="0A49A077" w:rsidR="00AC7B1D" w:rsidRDefault="00AC7B1D">
      <w:pPr>
        <w:rPr>
          <w:rFonts w:ascii="Arial" w:hAnsi="Arial"/>
        </w:rPr>
      </w:pPr>
      <w:r>
        <w:rPr>
          <w:rFonts w:ascii="Arial" w:hAnsi="Arial"/>
        </w:rPr>
        <w:object w:dxaOrig="9180" w:dyaOrig="11880" w14:anchorId="38F19C9A">
          <v:shape id="_x0000_i1031" type="#_x0000_t75" style="width:459pt;height:594pt" o:ole="">
            <v:imagedata r:id="rId90" o:title=""/>
          </v:shape>
          <o:OLEObject Type="Embed" ProgID="Acrobat.Document.DC" ShapeID="_x0000_i1031" DrawAspect="Content" ObjectID="_1626503694" r:id="rId91"/>
        </w:object>
      </w:r>
    </w:p>
    <w:p w14:paraId="459DB106" w14:textId="77777777" w:rsidR="00AC7B1D" w:rsidRDefault="00AC7B1D">
      <w:pPr>
        <w:rPr>
          <w:rFonts w:ascii="Arial" w:hAnsi="Arial"/>
        </w:rPr>
      </w:pPr>
      <w:r>
        <w:rPr>
          <w:rFonts w:ascii="Arial" w:hAnsi="Arial"/>
        </w:rPr>
        <w:br w:type="page"/>
      </w:r>
    </w:p>
    <w:p w14:paraId="436B668A" w14:textId="5EBF39D0" w:rsidR="00AC7B1D" w:rsidRDefault="00AC7B1D">
      <w:pPr>
        <w:rPr>
          <w:rFonts w:ascii="Arial" w:hAnsi="Arial"/>
        </w:rPr>
      </w:pPr>
      <w:r>
        <w:rPr>
          <w:rFonts w:ascii="Arial" w:hAnsi="Arial"/>
        </w:rPr>
        <w:object w:dxaOrig="9180" w:dyaOrig="11880" w14:anchorId="6919D5D3">
          <v:shape id="_x0000_i1032" type="#_x0000_t75" style="width:459pt;height:594pt" o:ole="">
            <v:imagedata r:id="rId92" o:title=""/>
          </v:shape>
          <o:OLEObject Type="Embed" ProgID="Acrobat.Document.DC" ShapeID="_x0000_i1032" DrawAspect="Content" ObjectID="_1626503695" r:id="rId93"/>
        </w:object>
      </w:r>
    </w:p>
    <w:p w14:paraId="059EBADE" w14:textId="119AE116" w:rsidR="00AC7B1D" w:rsidRDefault="00AC7B1D">
      <w:pPr>
        <w:rPr>
          <w:rFonts w:ascii="Arial" w:hAnsi="Arial"/>
        </w:rPr>
      </w:pPr>
      <w:r>
        <w:rPr>
          <w:rFonts w:ascii="Arial" w:hAnsi="Arial"/>
        </w:rPr>
        <w:br w:type="page"/>
      </w:r>
    </w:p>
    <w:p w14:paraId="018C9F0C" w14:textId="77777777" w:rsidR="006E4FD1" w:rsidRDefault="006E4FD1">
      <w:pPr>
        <w:rPr>
          <w:rFonts w:ascii="Arial" w:eastAsiaTheme="majorEastAsia" w:hAnsi="Arial" w:cstheme="majorBidi"/>
          <w:b/>
          <w:bCs/>
          <w:smallCaps/>
          <w:color w:val="000000" w:themeColor="text1"/>
          <w:sz w:val="28"/>
          <w:szCs w:val="28"/>
          <w:lang w:eastAsia="ja-JP"/>
        </w:rPr>
      </w:pPr>
    </w:p>
    <w:p w14:paraId="5C8D937B" w14:textId="51CB76F0" w:rsidR="00963463" w:rsidRPr="006E4FD1" w:rsidRDefault="00CB25FE" w:rsidP="006E4FD1">
      <w:pPr>
        <w:pStyle w:val="Heading2"/>
      </w:pPr>
      <w:bookmarkStart w:id="269" w:name="_Toc11832831"/>
      <w:r w:rsidRPr="006E4FD1">
        <w:t>Emergency Dispensing Site Facility Survey</w:t>
      </w:r>
      <w:bookmarkEnd w:id="269"/>
    </w:p>
    <w:p w14:paraId="3E5FAC00" w14:textId="77777777" w:rsidR="00FB45E9" w:rsidRPr="008C07D1" w:rsidRDefault="00FB45E9" w:rsidP="00F11EEA">
      <w:pPr>
        <w:rPr>
          <w:rFonts w:cs="Arial"/>
        </w:rPr>
      </w:pPr>
    </w:p>
    <w:p w14:paraId="77565F6D" w14:textId="77777777" w:rsidR="00FB45E9" w:rsidRPr="008C07D1" w:rsidRDefault="00FB45E9" w:rsidP="00F11EEA">
      <w:pPr>
        <w:rPr>
          <w:rFonts w:cs="Arial"/>
        </w:rPr>
      </w:pPr>
    </w:p>
    <w:p w14:paraId="4797DA39" w14:textId="77777777" w:rsidR="00CB25FE" w:rsidRPr="008C07D1" w:rsidRDefault="006D242F" w:rsidP="00E71C69">
      <w:pPr>
        <w:spacing w:line="360" w:lineRule="auto"/>
        <w:rPr>
          <w:rFonts w:cs="Arial"/>
        </w:rPr>
      </w:pPr>
      <w:r w:rsidRPr="008C07D1">
        <w:rPr>
          <w:rFonts w:cs="Arial"/>
        </w:rPr>
        <w:t>A</w:t>
      </w:r>
      <w:r w:rsidR="00963463" w:rsidRPr="008C07D1">
        <w:rPr>
          <w:rFonts w:cs="Arial"/>
        </w:rPr>
        <w:t>n</w:t>
      </w:r>
      <w:r w:rsidR="00E71C69" w:rsidRPr="008C07D1">
        <w:rPr>
          <w:rFonts w:cs="Arial"/>
        </w:rPr>
        <w:t xml:space="preserve"> </w:t>
      </w:r>
      <w:r w:rsidR="00963463" w:rsidRPr="008C07D1">
        <w:rPr>
          <w:rFonts w:cs="Arial"/>
        </w:rPr>
        <w:t xml:space="preserve">Emergency Dispensing Site Facility Survey </w:t>
      </w:r>
      <w:r w:rsidRPr="008C07D1">
        <w:rPr>
          <w:rFonts w:cs="Arial"/>
        </w:rPr>
        <w:t xml:space="preserve">should be completed </w:t>
      </w:r>
      <w:r w:rsidR="00963463" w:rsidRPr="008C07D1">
        <w:rPr>
          <w:rFonts w:cs="Arial"/>
        </w:rPr>
        <w:t xml:space="preserve">for each location that may be used as an Open or Closed EDS. </w:t>
      </w:r>
      <w:r w:rsidR="00CB25FE" w:rsidRPr="008C07D1">
        <w:rPr>
          <w:rFonts w:cs="Arial"/>
        </w:rPr>
        <w:t xml:space="preserve">The Survey will help planners assess facility suitability when choosing a site or reviewing existing EDS locations and plans. </w:t>
      </w:r>
      <w:r w:rsidR="001C363F" w:rsidRPr="008C07D1">
        <w:rPr>
          <w:rFonts w:cs="Arial"/>
        </w:rPr>
        <w:t>A</w:t>
      </w:r>
      <w:r w:rsidRPr="008C07D1">
        <w:rPr>
          <w:rFonts w:cs="Arial"/>
        </w:rPr>
        <w:t>n</w:t>
      </w:r>
      <w:r w:rsidR="004E7686" w:rsidRPr="008C07D1">
        <w:rPr>
          <w:rFonts w:cs="Arial"/>
        </w:rPr>
        <w:t xml:space="preserve"> EDS </w:t>
      </w:r>
      <w:r w:rsidR="00EA2CBC" w:rsidRPr="008C07D1">
        <w:rPr>
          <w:rFonts w:cs="Arial"/>
        </w:rPr>
        <w:t>may be used</w:t>
      </w:r>
      <w:r w:rsidR="004E7686" w:rsidRPr="008C07D1">
        <w:rPr>
          <w:rFonts w:cs="Arial"/>
        </w:rPr>
        <w:t xml:space="preserve"> for emergency </w:t>
      </w:r>
      <w:r w:rsidR="00EA2CBC" w:rsidRPr="008C07D1">
        <w:rPr>
          <w:rFonts w:cs="Arial"/>
        </w:rPr>
        <w:t xml:space="preserve">prophylaxis </w:t>
      </w:r>
      <w:r w:rsidRPr="008C07D1">
        <w:rPr>
          <w:rFonts w:cs="Arial"/>
        </w:rPr>
        <w:t xml:space="preserve">in a variety of circumstances </w:t>
      </w:r>
      <w:r w:rsidR="001C363F" w:rsidRPr="008C07D1">
        <w:rPr>
          <w:rFonts w:cs="Arial"/>
        </w:rPr>
        <w:t xml:space="preserve">(e.g., </w:t>
      </w:r>
      <w:r w:rsidR="00EA2CBC" w:rsidRPr="008C07D1">
        <w:rPr>
          <w:rFonts w:cs="Arial"/>
        </w:rPr>
        <w:t>an influenza pandemic, measles</w:t>
      </w:r>
      <w:r w:rsidRPr="008C07D1">
        <w:rPr>
          <w:rFonts w:cs="Arial"/>
        </w:rPr>
        <w:t xml:space="preserve"> outbreak, or a </w:t>
      </w:r>
      <w:r w:rsidR="001C363F" w:rsidRPr="008C07D1">
        <w:rPr>
          <w:rFonts w:cs="Arial"/>
        </w:rPr>
        <w:t>Hepatitis A in a food handler)</w:t>
      </w:r>
      <w:r w:rsidRPr="008C07D1">
        <w:rPr>
          <w:rFonts w:cs="Arial"/>
        </w:rPr>
        <w:t xml:space="preserve">, </w:t>
      </w:r>
      <w:r w:rsidR="00C20789" w:rsidRPr="008C07D1">
        <w:rPr>
          <w:rFonts w:cs="Arial"/>
        </w:rPr>
        <w:t xml:space="preserve">but </w:t>
      </w:r>
      <w:r w:rsidR="004E7686" w:rsidRPr="008C07D1">
        <w:rPr>
          <w:rFonts w:cs="Arial"/>
        </w:rPr>
        <w:t xml:space="preserve">a key </w:t>
      </w:r>
      <w:r w:rsidR="00C20789" w:rsidRPr="008C07D1">
        <w:rPr>
          <w:rFonts w:cs="Arial"/>
        </w:rPr>
        <w:t xml:space="preserve">federal priority </w:t>
      </w:r>
      <w:r w:rsidR="004E7686" w:rsidRPr="008C07D1">
        <w:rPr>
          <w:rFonts w:cs="Arial"/>
        </w:rPr>
        <w:t xml:space="preserve">is </w:t>
      </w:r>
      <w:r w:rsidRPr="008C07D1">
        <w:rPr>
          <w:rFonts w:cs="Arial"/>
        </w:rPr>
        <w:t>identification of</w:t>
      </w:r>
      <w:r w:rsidR="004E7686" w:rsidRPr="008C07D1">
        <w:rPr>
          <w:rFonts w:cs="Arial"/>
        </w:rPr>
        <w:t xml:space="preserve"> one or more</w:t>
      </w:r>
      <w:r w:rsidRPr="008C07D1">
        <w:rPr>
          <w:rFonts w:cs="Arial"/>
        </w:rPr>
        <w:t xml:space="preserve"> </w:t>
      </w:r>
      <w:r w:rsidR="00CB25FE" w:rsidRPr="008C07D1">
        <w:rPr>
          <w:rFonts w:cs="Arial"/>
        </w:rPr>
        <w:t>facilities</w:t>
      </w:r>
      <w:r w:rsidR="004E7686" w:rsidRPr="008C07D1">
        <w:rPr>
          <w:rFonts w:cs="Arial"/>
        </w:rPr>
        <w:t xml:space="preserve"> that could handle through-put in a “worst case” </w:t>
      </w:r>
      <w:r w:rsidRPr="008C07D1">
        <w:rPr>
          <w:rFonts w:cs="Arial"/>
        </w:rPr>
        <w:t xml:space="preserve">anthrax </w:t>
      </w:r>
      <w:r w:rsidR="004E7686" w:rsidRPr="008C07D1">
        <w:rPr>
          <w:rFonts w:cs="Arial"/>
        </w:rPr>
        <w:t xml:space="preserve">scenario when antibiotics must be dispensed to the entire target </w:t>
      </w:r>
      <w:r w:rsidR="00464AFA" w:rsidRPr="008C07D1">
        <w:rPr>
          <w:rFonts w:cs="Arial"/>
        </w:rPr>
        <w:t>population within</w:t>
      </w:r>
      <w:r w:rsidR="004E7686" w:rsidRPr="008C07D1">
        <w:rPr>
          <w:rFonts w:cs="Arial"/>
        </w:rPr>
        <w:t xml:space="preserve"> 48 hours</w:t>
      </w:r>
      <w:r w:rsidR="00C20789" w:rsidRPr="008C07D1">
        <w:rPr>
          <w:rFonts w:cs="Arial"/>
        </w:rPr>
        <w:t xml:space="preserve"> of exposure</w:t>
      </w:r>
      <w:r w:rsidR="004E7686" w:rsidRPr="008C07D1">
        <w:rPr>
          <w:rFonts w:cs="Arial"/>
        </w:rPr>
        <w:t>.</w:t>
      </w:r>
      <w:r w:rsidR="00E71C69" w:rsidRPr="008C07D1">
        <w:rPr>
          <w:rFonts w:cs="Arial"/>
        </w:rPr>
        <w:t xml:space="preserve">  </w:t>
      </w:r>
    </w:p>
    <w:p w14:paraId="279B9FD7" w14:textId="77777777" w:rsidR="00E71C69" w:rsidRPr="008C07D1" w:rsidRDefault="00CB25FE" w:rsidP="00E71C69">
      <w:pPr>
        <w:spacing w:line="360" w:lineRule="auto"/>
        <w:rPr>
          <w:rFonts w:cs="Arial"/>
        </w:rPr>
      </w:pPr>
      <w:r w:rsidRPr="008C07D1">
        <w:rPr>
          <w:rFonts w:cs="Arial"/>
        </w:rPr>
        <w:t>I</w:t>
      </w:r>
      <w:r w:rsidR="00E71C69" w:rsidRPr="008C07D1">
        <w:rPr>
          <w:rFonts w:cs="Arial"/>
        </w:rPr>
        <w:t xml:space="preserve">t is crucial to </w:t>
      </w:r>
      <w:r w:rsidR="00C20789" w:rsidRPr="008C07D1">
        <w:rPr>
          <w:rFonts w:cs="Arial"/>
        </w:rPr>
        <w:t xml:space="preserve">include representatives of the facility in the Facility Survey, and to </w:t>
      </w:r>
      <w:r w:rsidR="00E71C69" w:rsidRPr="008C07D1">
        <w:rPr>
          <w:rFonts w:cs="Arial"/>
        </w:rPr>
        <w:t xml:space="preserve">involve local law enforcement and security agencies in planning </w:t>
      </w:r>
      <w:r w:rsidRPr="008C07D1">
        <w:rPr>
          <w:rFonts w:cs="Arial"/>
        </w:rPr>
        <w:t xml:space="preserve">for </w:t>
      </w:r>
      <w:r w:rsidR="00E71C69" w:rsidRPr="008C07D1">
        <w:rPr>
          <w:rFonts w:cs="Arial"/>
        </w:rPr>
        <w:t xml:space="preserve">site security and vehicular traffic flow for an emergency dispensing site.  </w:t>
      </w:r>
    </w:p>
    <w:p w14:paraId="184FBA7F" w14:textId="77777777" w:rsidR="00E71C69" w:rsidRPr="009C4927" w:rsidRDefault="00E71C69" w:rsidP="009C4927">
      <w:pPr>
        <w:spacing w:line="360" w:lineRule="auto"/>
        <w:rPr>
          <w:rFonts w:ascii="Arial" w:hAnsi="Arial" w:cs="Arial"/>
        </w:rPr>
      </w:pPr>
      <w:r w:rsidRPr="001B1E5E">
        <w:rPr>
          <w:rFonts w:ascii="Calibri" w:hAnsi="Calibri" w:cs="Arial"/>
        </w:rPr>
        <w:br w:type="page"/>
      </w:r>
    </w:p>
    <w:p w14:paraId="45B2673D" w14:textId="77777777" w:rsidR="00E71C69" w:rsidRPr="00F07E76" w:rsidRDefault="00E71C69" w:rsidP="00E71C69">
      <w:pPr>
        <w:jc w:val="center"/>
        <w:rPr>
          <w:rFonts w:ascii="Arial" w:hAnsi="Arial" w:cs="Arial"/>
          <w:b/>
        </w:rPr>
      </w:pPr>
      <w:r w:rsidRPr="00F07E76">
        <w:rPr>
          <w:rFonts w:ascii="Arial" w:hAnsi="Arial" w:cs="Arial"/>
          <w:b/>
        </w:rPr>
        <w:t xml:space="preserve">Emergency Dispensing Site Facility Survey </w:t>
      </w:r>
    </w:p>
    <w:p w14:paraId="682F657A" w14:textId="77777777" w:rsidR="00E71C69" w:rsidRPr="00F07E76" w:rsidRDefault="00E71C69" w:rsidP="00E71C69">
      <w:pPr>
        <w:jc w:val="center"/>
        <w:rPr>
          <w:rFonts w:ascii="Arial" w:hAnsi="Arial" w:cs="Arial"/>
          <w:b/>
        </w:rPr>
      </w:pPr>
      <w:r w:rsidRPr="00F07E76">
        <w:rPr>
          <w:rFonts w:ascii="Arial" w:hAnsi="Arial" w:cs="Arial"/>
          <w:b/>
        </w:rPr>
        <w:t>Massachusetts Department of Public Health</w:t>
      </w:r>
    </w:p>
    <w:p w14:paraId="7D54DCBF" w14:textId="77777777" w:rsidR="00E71C69" w:rsidRPr="0091631F" w:rsidRDefault="009131A6" w:rsidP="00E71C69">
      <w:pPr>
        <w:jc w:val="center"/>
        <w:rPr>
          <w:rFonts w:ascii="Arial" w:hAnsi="Arial" w:cs="Arial"/>
          <w:b/>
        </w:rPr>
      </w:pPr>
      <w:r>
        <w:rPr>
          <w:rFonts w:ascii="Arial" w:hAnsi="Arial" w:cs="Arial"/>
          <w:b/>
        </w:rPr>
        <w:t>Medical Countermeasures</w:t>
      </w:r>
      <w:r w:rsidR="00E71C69" w:rsidRPr="00F07E76">
        <w:rPr>
          <w:rFonts w:ascii="Arial" w:hAnsi="Arial" w:cs="Arial"/>
          <w:b/>
        </w:rPr>
        <w:t xml:space="preserve"> Program</w:t>
      </w:r>
    </w:p>
    <w:p w14:paraId="3BA58D03" w14:textId="77777777" w:rsidR="00E71C69" w:rsidRPr="00F07E76" w:rsidRDefault="00E71C69" w:rsidP="00E71C69">
      <w:pPr>
        <w:rPr>
          <w:rFonts w:ascii="Arial" w:hAnsi="Arial" w:cs="Arial"/>
        </w:rPr>
      </w:pPr>
    </w:p>
    <w:tbl>
      <w:tblPr>
        <w:tblW w:w="10488" w:type="dxa"/>
        <w:tblInd w:w="-12"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962"/>
        <w:gridCol w:w="1650"/>
        <w:gridCol w:w="240"/>
        <w:gridCol w:w="1848"/>
        <w:gridCol w:w="240"/>
        <w:gridCol w:w="1068"/>
        <w:gridCol w:w="600"/>
        <w:gridCol w:w="480"/>
        <w:gridCol w:w="1320"/>
        <w:gridCol w:w="1080"/>
      </w:tblGrid>
      <w:tr w:rsidR="00E71C69" w:rsidRPr="00550B1D" w14:paraId="576B8FA4" w14:textId="77777777" w:rsidTr="007B269D">
        <w:tc>
          <w:tcPr>
            <w:tcW w:w="7008" w:type="dxa"/>
            <w:gridSpan w:val="6"/>
            <w:tcBorders>
              <w:right w:val="single" w:sz="4" w:space="0" w:color="auto"/>
            </w:tcBorders>
            <w:shd w:val="clear" w:color="auto" w:fill="auto"/>
          </w:tcPr>
          <w:p w14:paraId="591F8F38" w14:textId="77777777" w:rsidR="00E71C69" w:rsidRPr="00550B1D" w:rsidRDefault="00E71C69" w:rsidP="007B269D">
            <w:pPr>
              <w:rPr>
                <w:rFonts w:ascii="Arial" w:hAnsi="Arial" w:cs="Arial"/>
                <w:b/>
              </w:rPr>
            </w:pPr>
            <w:r w:rsidRPr="00550B1D">
              <w:rPr>
                <w:rFonts w:ascii="Arial" w:hAnsi="Arial" w:cs="Arial"/>
                <w:b/>
              </w:rPr>
              <w:t>Name(s) of person(s) conducting survey:</w:t>
            </w:r>
          </w:p>
          <w:p w14:paraId="2AC63D19" w14:textId="77777777" w:rsidR="00E71C69" w:rsidRPr="00550B1D" w:rsidRDefault="00E71C69" w:rsidP="007B269D">
            <w:pPr>
              <w:rPr>
                <w:rFonts w:ascii="Arial" w:hAnsi="Arial" w:cs="Arial"/>
                <w:b/>
              </w:rPr>
            </w:pPr>
          </w:p>
          <w:p w14:paraId="1222B530" w14:textId="77777777" w:rsidR="00E71C69" w:rsidRPr="00550B1D" w:rsidRDefault="00E71C69" w:rsidP="007B269D">
            <w:pPr>
              <w:rPr>
                <w:rFonts w:ascii="Arial" w:hAnsi="Arial" w:cs="Arial"/>
                <w:b/>
              </w:rPr>
            </w:pPr>
          </w:p>
          <w:p w14:paraId="588DA264" w14:textId="77777777" w:rsidR="00E71C69" w:rsidRPr="00550B1D" w:rsidRDefault="00E71C69" w:rsidP="007B269D">
            <w:pPr>
              <w:rPr>
                <w:rFonts w:ascii="Arial" w:hAnsi="Arial" w:cs="Arial"/>
                <w:b/>
              </w:rPr>
            </w:pPr>
          </w:p>
          <w:p w14:paraId="4C9BB9C2" w14:textId="77777777" w:rsidR="00E71C69" w:rsidRPr="00550B1D" w:rsidRDefault="00E71C69" w:rsidP="007B269D">
            <w:pPr>
              <w:rPr>
                <w:rFonts w:ascii="Arial" w:hAnsi="Arial" w:cs="Arial"/>
                <w:b/>
              </w:rPr>
            </w:pPr>
          </w:p>
        </w:tc>
        <w:tc>
          <w:tcPr>
            <w:tcW w:w="3480" w:type="dxa"/>
            <w:gridSpan w:val="4"/>
            <w:tcBorders>
              <w:top w:val="single" w:sz="4" w:space="0" w:color="auto"/>
              <w:left w:val="single" w:sz="4" w:space="0" w:color="auto"/>
              <w:bottom w:val="single" w:sz="4" w:space="0" w:color="auto"/>
            </w:tcBorders>
            <w:shd w:val="clear" w:color="auto" w:fill="auto"/>
          </w:tcPr>
          <w:p w14:paraId="0D3222BE" w14:textId="77777777" w:rsidR="00E71C69" w:rsidRPr="00550B1D" w:rsidRDefault="00E71C69" w:rsidP="007B269D">
            <w:pPr>
              <w:rPr>
                <w:rFonts w:ascii="Arial" w:hAnsi="Arial" w:cs="Arial"/>
                <w:b/>
              </w:rPr>
            </w:pPr>
            <w:r w:rsidRPr="00550B1D">
              <w:rPr>
                <w:rFonts w:ascii="Arial" w:hAnsi="Arial" w:cs="Arial"/>
                <w:b/>
              </w:rPr>
              <w:t>Date of survey completion:</w:t>
            </w:r>
          </w:p>
        </w:tc>
      </w:tr>
      <w:tr w:rsidR="00E71C69" w:rsidRPr="00550B1D" w14:paraId="7A3914D6" w14:textId="77777777" w:rsidTr="007B269D">
        <w:tc>
          <w:tcPr>
            <w:tcW w:w="7608" w:type="dxa"/>
            <w:gridSpan w:val="7"/>
            <w:tcBorders>
              <w:top w:val="thickThinSmallGap" w:sz="24" w:space="0" w:color="auto"/>
              <w:bottom w:val="nil"/>
            </w:tcBorders>
            <w:shd w:val="clear" w:color="auto" w:fill="D9D9D9"/>
          </w:tcPr>
          <w:p w14:paraId="54725E65" w14:textId="77777777" w:rsidR="00E71C69" w:rsidRPr="00550B1D" w:rsidRDefault="00E71C69" w:rsidP="007B269D">
            <w:pPr>
              <w:spacing w:after="240"/>
              <w:rPr>
                <w:rFonts w:ascii="Arial" w:hAnsi="Arial" w:cs="Arial"/>
                <w:b/>
                <w:smallCaps/>
              </w:rPr>
            </w:pPr>
            <w:r w:rsidRPr="00550B1D">
              <w:rPr>
                <w:rFonts w:ascii="Arial" w:hAnsi="Arial" w:cs="Arial"/>
                <w:b/>
                <w:smallCaps/>
              </w:rPr>
              <w:t xml:space="preserve">A. Physical Space </w:t>
            </w:r>
          </w:p>
        </w:tc>
        <w:tc>
          <w:tcPr>
            <w:tcW w:w="2880" w:type="dxa"/>
            <w:gridSpan w:val="3"/>
            <w:tcBorders>
              <w:top w:val="thickThinSmallGap" w:sz="24" w:space="0" w:color="auto"/>
              <w:bottom w:val="nil"/>
            </w:tcBorders>
            <w:shd w:val="clear" w:color="auto" w:fill="D9D9D9"/>
          </w:tcPr>
          <w:p w14:paraId="429C1E09" w14:textId="77777777" w:rsidR="00E71C69" w:rsidRPr="00550B1D" w:rsidRDefault="00E71C69" w:rsidP="007B269D">
            <w:pPr>
              <w:spacing w:after="240"/>
              <w:rPr>
                <w:rFonts w:ascii="Arial" w:hAnsi="Arial" w:cs="Arial"/>
                <w:b/>
                <w:smallCaps/>
              </w:rPr>
            </w:pPr>
          </w:p>
        </w:tc>
      </w:tr>
      <w:tr w:rsidR="00E71C69" w:rsidRPr="00550B1D" w14:paraId="2805684A" w14:textId="77777777" w:rsidTr="007B269D">
        <w:tblPrEx>
          <w:tblBorders>
            <w:top w:val="none" w:sz="0" w:space="0" w:color="auto"/>
            <w:left w:val="none" w:sz="0" w:space="0" w:color="auto"/>
            <w:right w:val="none" w:sz="0" w:space="0" w:color="auto"/>
          </w:tblBorders>
        </w:tblPrEx>
        <w:tc>
          <w:tcPr>
            <w:tcW w:w="7008" w:type="dxa"/>
            <w:gridSpan w:val="6"/>
            <w:tcBorders>
              <w:top w:val="single" w:sz="4" w:space="0" w:color="auto"/>
              <w:left w:val="single" w:sz="4" w:space="0" w:color="auto"/>
              <w:bottom w:val="single" w:sz="4" w:space="0" w:color="auto"/>
              <w:right w:val="single" w:sz="4" w:space="0" w:color="auto"/>
            </w:tcBorders>
            <w:shd w:val="clear" w:color="auto" w:fill="auto"/>
          </w:tcPr>
          <w:p w14:paraId="7AE14036" w14:textId="77777777" w:rsidR="00E71C69" w:rsidRDefault="00E71C69" w:rsidP="007B269D">
            <w:pPr>
              <w:rPr>
                <w:rFonts w:ascii="Arial" w:hAnsi="Arial" w:cs="Arial"/>
              </w:rPr>
            </w:pPr>
            <w:r w:rsidRPr="00550B1D">
              <w:rPr>
                <w:rFonts w:ascii="Arial" w:hAnsi="Arial" w:cs="Arial"/>
              </w:rPr>
              <w:t>Name of Facility</w:t>
            </w:r>
            <w:r>
              <w:rPr>
                <w:rFonts w:ascii="Arial" w:hAnsi="Arial" w:cs="Arial"/>
              </w:rPr>
              <w:t>:</w:t>
            </w:r>
          </w:p>
          <w:p w14:paraId="2E695C2B" w14:textId="77777777" w:rsidR="00E71C69" w:rsidRPr="00550B1D" w:rsidRDefault="00E71C69" w:rsidP="007B269D">
            <w:pPr>
              <w:rPr>
                <w:rFonts w:ascii="Arial" w:hAnsi="Arial" w:cs="Arial"/>
              </w:rPr>
            </w:pPr>
          </w:p>
        </w:tc>
        <w:tc>
          <w:tcPr>
            <w:tcW w:w="3480" w:type="dxa"/>
            <w:gridSpan w:val="4"/>
            <w:tcBorders>
              <w:top w:val="single" w:sz="4" w:space="0" w:color="auto"/>
              <w:left w:val="single" w:sz="4" w:space="0" w:color="auto"/>
              <w:bottom w:val="single" w:sz="4" w:space="0" w:color="auto"/>
              <w:right w:val="single" w:sz="4" w:space="0" w:color="auto"/>
            </w:tcBorders>
            <w:shd w:val="clear" w:color="auto" w:fill="auto"/>
          </w:tcPr>
          <w:p w14:paraId="1B019D8A" w14:textId="77777777" w:rsidR="00E71C69" w:rsidRPr="00550B1D" w:rsidRDefault="00E71C69" w:rsidP="007B269D">
            <w:pPr>
              <w:rPr>
                <w:rFonts w:ascii="Arial" w:hAnsi="Arial" w:cs="Arial"/>
              </w:rPr>
            </w:pPr>
            <w:r w:rsidRPr="00550B1D">
              <w:rPr>
                <w:rFonts w:ascii="Arial" w:hAnsi="Arial" w:cs="Arial"/>
              </w:rPr>
              <w:t>City/Town</w:t>
            </w:r>
          </w:p>
        </w:tc>
      </w:tr>
      <w:tr w:rsidR="00E71C69" w:rsidRPr="00550B1D" w14:paraId="6EB0C76F" w14:textId="77777777" w:rsidTr="007B269D">
        <w:tblPrEx>
          <w:tblBorders>
            <w:top w:val="none" w:sz="0" w:space="0" w:color="auto"/>
            <w:left w:val="none" w:sz="0" w:space="0" w:color="auto"/>
            <w:right w:val="none" w:sz="0" w:space="0" w:color="auto"/>
          </w:tblBorders>
        </w:tblPrEx>
        <w:tc>
          <w:tcPr>
            <w:tcW w:w="7008" w:type="dxa"/>
            <w:gridSpan w:val="6"/>
            <w:tcBorders>
              <w:top w:val="single" w:sz="4" w:space="0" w:color="auto"/>
              <w:left w:val="single" w:sz="4" w:space="0" w:color="auto"/>
              <w:bottom w:val="single" w:sz="4" w:space="0" w:color="auto"/>
              <w:right w:val="single" w:sz="4" w:space="0" w:color="auto"/>
            </w:tcBorders>
            <w:shd w:val="clear" w:color="auto" w:fill="auto"/>
          </w:tcPr>
          <w:p w14:paraId="727E985A" w14:textId="77777777" w:rsidR="00E71C69" w:rsidRPr="00550B1D" w:rsidRDefault="00E71C69" w:rsidP="007B269D">
            <w:pPr>
              <w:rPr>
                <w:rFonts w:ascii="Arial" w:hAnsi="Arial" w:cs="Arial"/>
              </w:rPr>
            </w:pPr>
            <w:r w:rsidRPr="00550B1D">
              <w:rPr>
                <w:rFonts w:ascii="Arial" w:hAnsi="Arial" w:cs="Arial"/>
              </w:rPr>
              <w:t>Street Address</w:t>
            </w:r>
            <w:r>
              <w:rPr>
                <w:rFonts w:ascii="Arial" w:hAnsi="Arial" w:cs="Arial"/>
              </w:rPr>
              <w:t>:</w:t>
            </w:r>
          </w:p>
        </w:tc>
        <w:tc>
          <w:tcPr>
            <w:tcW w:w="3480" w:type="dxa"/>
            <w:gridSpan w:val="4"/>
            <w:tcBorders>
              <w:top w:val="single" w:sz="4" w:space="0" w:color="auto"/>
              <w:left w:val="single" w:sz="4" w:space="0" w:color="auto"/>
              <w:bottom w:val="single" w:sz="4" w:space="0" w:color="auto"/>
              <w:right w:val="single" w:sz="4" w:space="0" w:color="auto"/>
            </w:tcBorders>
            <w:shd w:val="clear" w:color="auto" w:fill="auto"/>
          </w:tcPr>
          <w:p w14:paraId="7DA79ABF" w14:textId="77777777" w:rsidR="00E71C69" w:rsidRDefault="00E71C69" w:rsidP="007B269D">
            <w:pPr>
              <w:rPr>
                <w:rFonts w:ascii="Arial" w:hAnsi="Arial" w:cs="Arial"/>
              </w:rPr>
            </w:pPr>
            <w:r w:rsidRPr="00550B1D">
              <w:rPr>
                <w:rFonts w:ascii="Arial" w:hAnsi="Arial" w:cs="Arial"/>
              </w:rPr>
              <w:t>Zip Code</w:t>
            </w:r>
          </w:p>
          <w:p w14:paraId="21E87A83" w14:textId="77777777" w:rsidR="00E71C69" w:rsidRPr="00550B1D" w:rsidRDefault="00E71C69" w:rsidP="007B269D">
            <w:pPr>
              <w:rPr>
                <w:rFonts w:ascii="Arial" w:hAnsi="Arial" w:cs="Arial"/>
              </w:rPr>
            </w:pPr>
          </w:p>
        </w:tc>
      </w:tr>
      <w:tr w:rsidR="00E71C69" w:rsidRPr="00550B1D" w14:paraId="3B60F723" w14:textId="77777777" w:rsidTr="007B269D">
        <w:trPr>
          <w:trHeight w:val="720"/>
        </w:trPr>
        <w:tc>
          <w:tcPr>
            <w:tcW w:w="10488" w:type="dxa"/>
            <w:gridSpan w:val="10"/>
            <w:tcBorders>
              <w:top w:val="nil"/>
              <w:bottom w:val="single" w:sz="4" w:space="0" w:color="auto"/>
            </w:tcBorders>
            <w:shd w:val="clear" w:color="auto" w:fill="auto"/>
          </w:tcPr>
          <w:p w14:paraId="0EDFD0FB" w14:textId="77777777" w:rsidR="00E71C69" w:rsidRPr="00550B1D" w:rsidRDefault="00E71C69" w:rsidP="007B269D">
            <w:pPr>
              <w:rPr>
                <w:rFonts w:ascii="Arial" w:hAnsi="Arial" w:cs="Arial"/>
              </w:rPr>
            </w:pPr>
            <w:r w:rsidRPr="00550B1D">
              <w:rPr>
                <w:rFonts w:ascii="Arial" w:hAnsi="Arial" w:cs="Arial"/>
              </w:rPr>
              <w:t xml:space="preserve">Type of facility (School, </w:t>
            </w:r>
            <w:r>
              <w:rPr>
                <w:rFonts w:ascii="Arial" w:hAnsi="Arial" w:cs="Arial"/>
              </w:rPr>
              <w:t xml:space="preserve">senior center, </w:t>
            </w:r>
            <w:r w:rsidRPr="00550B1D">
              <w:rPr>
                <w:rFonts w:ascii="Arial" w:hAnsi="Arial" w:cs="Arial"/>
              </w:rPr>
              <w:t>clinic, etc.)</w:t>
            </w:r>
          </w:p>
        </w:tc>
      </w:tr>
      <w:tr w:rsidR="00E71C69" w:rsidRPr="00550B1D" w14:paraId="234EA3BC" w14:textId="77777777" w:rsidTr="007B269D">
        <w:trPr>
          <w:trHeight w:val="720"/>
        </w:trPr>
        <w:tc>
          <w:tcPr>
            <w:tcW w:w="10488" w:type="dxa"/>
            <w:gridSpan w:val="10"/>
            <w:tcBorders>
              <w:top w:val="nil"/>
              <w:bottom w:val="single" w:sz="4" w:space="0" w:color="auto"/>
            </w:tcBorders>
            <w:shd w:val="clear" w:color="auto" w:fill="auto"/>
          </w:tcPr>
          <w:p w14:paraId="11F5DE46" w14:textId="77777777" w:rsidR="00E71C69" w:rsidRPr="00550B1D" w:rsidRDefault="00E71C69" w:rsidP="007B269D">
            <w:pPr>
              <w:rPr>
                <w:rFonts w:ascii="Arial" w:hAnsi="Arial" w:cs="Arial"/>
              </w:rPr>
            </w:pPr>
            <w:r w:rsidRPr="00550B1D">
              <w:rPr>
                <w:rFonts w:ascii="Arial" w:hAnsi="Arial" w:cs="Arial"/>
              </w:rPr>
              <w:t>List all cities/towns</w:t>
            </w:r>
            <w:r w:rsidR="00653284">
              <w:rPr>
                <w:rFonts w:ascii="Arial" w:hAnsi="Arial" w:cs="Arial"/>
              </w:rPr>
              <w:t>/entities</w:t>
            </w:r>
            <w:r w:rsidRPr="00550B1D">
              <w:rPr>
                <w:rFonts w:ascii="Arial" w:hAnsi="Arial" w:cs="Arial"/>
              </w:rPr>
              <w:t xml:space="preserve"> covered by this EDS:</w:t>
            </w:r>
          </w:p>
          <w:p w14:paraId="205CCDC4" w14:textId="77777777" w:rsidR="00E71C69" w:rsidRPr="00550B1D" w:rsidRDefault="00E71C69" w:rsidP="007B269D">
            <w:pPr>
              <w:rPr>
                <w:rFonts w:ascii="Arial" w:hAnsi="Arial" w:cs="Arial"/>
              </w:rPr>
            </w:pPr>
          </w:p>
        </w:tc>
      </w:tr>
      <w:tr w:rsidR="00E71C69" w:rsidRPr="00550B1D" w14:paraId="2227D1EE" w14:textId="77777777" w:rsidTr="007B269D">
        <w:trPr>
          <w:trHeight w:val="720"/>
        </w:trPr>
        <w:tc>
          <w:tcPr>
            <w:tcW w:w="10488" w:type="dxa"/>
            <w:gridSpan w:val="10"/>
            <w:tcBorders>
              <w:top w:val="nil"/>
              <w:bottom w:val="single" w:sz="4" w:space="0" w:color="auto"/>
            </w:tcBorders>
            <w:shd w:val="clear" w:color="auto" w:fill="auto"/>
          </w:tcPr>
          <w:p w14:paraId="1AEC1A5F" w14:textId="77777777" w:rsidR="00E71C69" w:rsidRPr="00550B1D" w:rsidRDefault="00E71C69" w:rsidP="007B269D">
            <w:pPr>
              <w:rPr>
                <w:rFonts w:ascii="Arial" w:hAnsi="Arial" w:cs="Arial"/>
              </w:rPr>
            </w:pPr>
            <w:r w:rsidRPr="00550B1D">
              <w:rPr>
                <w:rFonts w:ascii="Arial" w:hAnsi="Arial" w:cs="Arial"/>
              </w:rPr>
              <w:t>To do:</w:t>
            </w:r>
          </w:p>
          <w:p w14:paraId="6EBC7564" w14:textId="77777777" w:rsidR="00E71C69" w:rsidRPr="00550B1D" w:rsidRDefault="00E71C69" w:rsidP="007B269D">
            <w:pPr>
              <w:ind w:left="552" w:hanging="552"/>
              <w:rPr>
                <w:rFonts w:ascii="Arial" w:hAnsi="Arial" w:cs="Arial"/>
              </w:rPr>
            </w:pPr>
            <w:r w:rsidRPr="00550B1D">
              <w:rPr>
                <w:rFonts w:ascii="Arial" w:hAnsi="Arial" w:cs="Arial"/>
              </w:rPr>
              <w:sym w:font="Wingdings" w:char="F06F"/>
            </w:r>
            <w:r w:rsidRPr="00550B1D">
              <w:rPr>
                <w:rFonts w:ascii="Arial" w:hAnsi="Arial" w:cs="Arial"/>
              </w:rPr>
              <w:t xml:space="preserve">     Obtain an architectural rendering of the building floorplan and </w:t>
            </w:r>
            <w:r>
              <w:rPr>
                <w:rFonts w:ascii="Arial" w:hAnsi="Arial" w:cs="Arial"/>
              </w:rPr>
              <w:t>indicate the</w:t>
            </w:r>
            <w:r w:rsidRPr="00550B1D">
              <w:rPr>
                <w:rFonts w:ascii="Arial" w:hAnsi="Arial" w:cs="Arial"/>
              </w:rPr>
              <w:t xml:space="preserve"> traffic flow within the site</w:t>
            </w:r>
            <w:r>
              <w:rPr>
                <w:rFonts w:ascii="Arial" w:hAnsi="Arial" w:cs="Arial"/>
              </w:rPr>
              <w:t>.</w:t>
            </w:r>
          </w:p>
          <w:p w14:paraId="4EF07716" w14:textId="77777777" w:rsidR="00E71C69" w:rsidRPr="00550B1D" w:rsidRDefault="00E71C69" w:rsidP="007B269D">
            <w:pPr>
              <w:ind w:left="552" w:hanging="552"/>
              <w:rPr>
                <w:rFonts w:ascii="Arial" w:hAnsi="Arial" w:cs="Arial"/>
              </w:rPr>
            </w:pPr>
            <w:r w:rsidRPr="00550B1D">
              <w:rPr>
                <w:rFonts w:ascii="Arial" w:hAnsi="Arial" w:cs="Arial"/>
              </w:rPr>
              <w:sym w:font="Wingdings" w:char="F06F"/>
            </w:r>
            <w:r w:rsidRPr="00550B1D">
              <w:rPr>
                <w:rFonts w:ascii="Arial" w:hAnsi="Arial" w:cs="Arial"/>
              </w:rPr>
              <w:t xml:space="preserve">     Obtain a</w:t>
            </w:r>
            <w:r>
              <w:rPr>
                <w:rFonts w:ascii="Arial" w:hAnsi="Arial" w:cs="Arial"/>
              </w:rPr>
              <w:t>n aerial</w:t>
            </w:r>
            <w:r w:rsidRPr="00550B1D">
              <w:rPr>
                <w:rFonts w:ascii="Arial" w:hAnsi="Arial" w:cs="Arial"/>
              </w:rPr>
              <w:t xml:space="preserve"> drawing</w:t>
            </w:r>
            <w:r>
              <w:rPr>
                <w:rFonts w:ascii="Arial" w:hAnsi="Arial" w:cs="Arial"/>
              </w:rPr>
              <w:t>/photo</w:t>
            </w:r>
            <w:r w:rsidRPr="00550B1D">
              <w:rPr>
                <w:rFonts w:ascii="Arial" w:hAnsi="Arial" w:cs="Arial"/>
              </w:rPr>
              <w:t xml:space="preserve"> of the site </w:t>
            </w:r>
            <w:r>
              <w:rPr>
                <w:rFonts w:ascii="Arial" w:hAnsi="Arial" w:cs="Arial"/>
              </w:rPr>
              <w:t>and surrounding area;</w:t>
            </w:r>
            <w:r w:rsidRPr="00550B1D">
              <w:rPr>
                <w:rFonts w:ascii="Arial" w:hAnsi="Arial" w:cs="Arial"/>
              </w:rPr>
              <w:t xml:space="preserve"> note traffic flow and parking for staff and </w:t>
            </w:r>
            <w:r>
              <w:rPr>
                <w:rFonts w:ascii="Arial" w:hAnsi="Arial" w:cs="Arial"/>
              </w:rPr>
              <w:t>visitors. Note where EMS will be stationed.</w:t>
            </w:r>
          </w:p>
          <w:p w14:paraId="7A156746" w14:textId="77777777" w:rsidR="00E71C69" w:rsidRPr="00550B1D" w:rsidRDefault="00E71C69" w:rsidP="009131A6">
            <w:pPr>
              <w:rPr>
                <w:rFonts w:ascii="Arial" w:hAnsi="Arial" w:cs="Arial"/>
                <w:smallCaps/>
              </w:rPr>
            </w:pPr>
            <w:r w:rsidRPr="00550B1D">
              <w:rPr>
                <w:rFonts w:ascii="Arial" w:hAnsi="Arial" w:cs="Arial"/>
              </w:rPr>
              <w:sym w:font="Wingdings" w:char="F06F"/>
            </w:r>
            <w:r>
              <w:rPr>
                <w:rFonts w:ascii="Arial" w:hAnsi="Arial" w:cs="Arial"/>
              </w:rPr>
              <w:t xml:space="preserve">     </w:t>
            </w:r>
            <w:r w:rsidRPr="00550B1D">
              <w:rPr>
                <w:rFonts w:ascii="Arial" w:hAnsi="Arial" w:cs="Arial"/>
              </w:rPr>
              <w:t xml:space="preserve">Note receiving area for </w:t>
            </w:r>
            <w:r w:rsidR="009131A6">
              <w:rPr>
                <w:rFonts w:ascii="Arial" w:hAnsi="Arial" w:cs="Arial"/>
              </w:rPr>
              <w:t>MCM</w:t>
            </w:r>
            <w:r w:rsidR="009131A6" w:rsidRPr="00550B1D">
              <w:rPr>
                <w:rFonts w:ascii="Arial" w:hAnsi="Arial" w:cs="Arial"/>
              </w:rPr>
              <w:t xml:space="preserve"> </w:t>
            </w:r>
            <w:r w:rsidRPr="00550B1D">
              <w:rPr>
                <w:rFonts w:ascii="Arial" w:hAnsi="Arial" w:cs="Arial"/>
              </w:rPr>
              <w:t>material</w:t>
            </w:r>
            <w:r>
              <w:rPr>
                <w:rFonts w:ascii="Arial" w:hAnsi="Arial" w:cs="Arial"/>
              </w:rPr>
              <w:t>.</w:t>
            </w:r>
          </w:p>
        </w:tc>
      </w:tr>
      <w:tr w:rsidR="00E71C69" w:rsidRPr="00550B1D" w14:paraId="1CE6697A" w14:textId="77777777" w:rsidTr="007B269D">
        <w:trPr>
          <w:trHeight w:val="512"/>
        </w:trPr>
        <w:tc>
          <w:tcPr>
            <w:tcW w:w="10488" w:type="dxa"/>
            <w:gridSpan w:val="10"/>
            <w:tcBorders>
              <w:top w:val="single" w:sz="4" w:space="0" w:color="auto"/>
              <w:right w:val="single" w:sz="4" w:space="0" w:color="auto"/>
            </w:tcBorders>
            <w:shd w:val="clear" w:color="auto" w:fill="auto"/>
          </w:tcPr>
          <w:p w14:paraId="6CAD67B5" w14:textId="77777777" w:rsidR="00E71C69" w:rsidRPr="00550B1D" w:rsidRDefault="00E71C69" w:rsidP="007B269D">
            <w:pPr>
              <w:rPr>
                <w:rFonts w:ascii="Arial" w:hAnsi="Arial" w:cs="Arial"/>
                <w:b/>
              </w:rPr>
            </w:pPr>
            <w:r w:rsidRPr="00550B1D">
              <w:rPr>
                <w:rFonts w:ascii="Arial" w:hAnsi="Arial" w:cs="Arial"/>
                <w:b/>
              </w:rPr>
              <w:t>Number of Ground Level Entrances and Exits</w:t>
            </w:r>
          </w:p>
          <w:p w14:paraId="53707933" w14:textId="77777777" w:rsidR="00E71C69" w:rsidRPr="00550B1D" w:rsidRDefault="00E71C69" w:rsidP="007B269D">
            <w:pPr>
              <w:rPr>
                <w:rFonts w:ascii="Arial" w:hAnsi="Arial" w:cs="Arial"/>
              </w:rPr>
            </w:pPr>
          </w:p>
        </w:tc>
      </w:tr>
      <w:tr w:rsidR="00E71C69" w:rsidRPr="00550B1D" w14:paraId="3BEF91AC" w14:textId="77777777" w:rsidTr="007B269D">
        <w:trPr>
          <w:trHeight w:val="1350"/>
        </w:trPr>
        <w:tc>
          <w:tcPr>
            <w:tcW w:w="10488" w:type="dxa"/>
            <w:gridSpan w:val="10"/>
            <w:tcBorders>
              <w:top w:val="single" w:sz="4" w:space="0" w:color="auto"/>
              <w:right w:val="single" w:sz="4" w:space="0" w:color="auto"/>
            </w:tcBorders>
            <w:shd w:val="clear" w:color="auto" w:fill="auto"/>
          </w:tcPr>
          <w:p w14:paraId="4E693FE4" w14:textId="77777777" w:rsidR="00E71C69" w:rsidRPr="00550B1D" w:rsidRDefault="00E71C69" w:rsidP="007B269D">
            <w:pPr>
              <w:rPr>
                <w:rFonts w:ascii="Arial" w:hAnsi="Arial" w:cs="Arial"/>
                <w:b/>
              </w:rPr>
            </w:pPr>
            <w:r w:rsidRPr="00550B1D">
              <w:rPr>
                <w:rFonts w:ascii="Arial" w:hAnsi="Arial" w:cs="Arial"/>
                <w:b/>
              </w:rPr>
              <w:t>List locations of entrance/exit points:</w:t>
            </w:r>
          </w:p>
          <w:p w14:paraId="36C4EE1D" w14:textId="77777777" w:rsidR="00E71C69" w:rsidRPr="00550B1D" w:rsidRDefault="00E71C69" w:rsidP="007B269D">
            <w:pPr>
              <w:rPr>
                <w:rFonts w:ascii="Arial" w:hAnsi="Arial" w:cs="Arial"/>
              </w:rPr>
            </w:pPr>
          </w:p>
        </w:tc>
      </w:tr>
      <w:tr w:rsidR="00E71C69" w:rsidRPr="00550B1D" w14:paraId="4E974B61" w14:textId="77777777" w:rsidTr="007B269D">
        <w:trPr>
          <w:trHeight w:val="296"/>
        </w:trPr>
        <w:tc>
          <w:tcPr>
            <w:tcW w:w="10488" w:type="dxa"/>
            <w:gridSpan w:val="10"/>
            <w:tcBorders>
              <w:top w:val="single" w:sz="4" w:space="0" w:color="auto"/>
              <w:left w:val="single" w:sz="4" w:space="0" w:color="auto"/>
              <w:bottom w:val="nil"/>
              <w:right w:val="single" w:sz="4" w:space="0" w:color="auto"/>
            </w:tcBorders>
            <w:shd w:val="clear" w:color="auto" w:fill="auto"/>
          </w:tcPr>
          <w:p w14:paraId="70B443BB" w14:textId="77777777" w:rsidR="00E71C69" w:rsidRPr="00550B1D" w:rsidRDefault="00E71C69" w:rsidP="007B269D">
            <w:pPr>
              <w:rPr>
                <w:rFonts w:ascii="Arial" w:hAnsi="Arial" w:cs="Arial"/>
                <w:b/>
                <w:smallCaps/>
              </w:rPr>
            </w:pPr>
            <w:r w:rsidRPr="00550B1D">
              <w:rPr>
                <w:rFonts w:ascii="Arial" w:hAnsi="Arial" w:cs="Arial"/>
                <w:b/>
              </w:rPr>
              <w:t xml:space="preserve">Available </w:t>
            </w:r>
            <w:r>
              <w:rPr>
                <w:rFonts w:ascii="Arial" w:hAnsi="Arial" w:cs="Arial"/>
                <w:b/>
              </w:rPr>
              <w:t>bathroom</w:t>
            </w:r>
            <w:r w:rsidRPr="00550B1D">
              <w:rPr>
                <w:rFonts w:ascii="Arial" w:hAnsi="Arial" w:cs="Arial"/>
                <w:b/>
              </w:rPr>
              <w:t xml:space="preserve"> facilities:</w:t>
            </w:r>
          </w:p>
        </w:tc>
      </w:tr>
      <w:tr w:rsidR="00E71C69" w:rsidRPr="00550B1D" w14:paraId="470BD225" w14:textId="77777777" w:rsidTr="007B269D">
        <w:trPr>
          <w:trHeight w:val="531"/>
        </w:trPr>
        <w:tc>
          <w:tcPr>
            <w:tcW w:w="1962" w:type="dxa"/>
            <w:tcBorders>
              <w:top w:val="nil"/>
              <w:left w:val="single" w:sz="4" w:space="0" w:color="auto"/>
              <w:bottom w:val="nil"/>
              <w:right w:val="nil"/>
            </w:tcBorders>
            <w:shd w:val="clear" w:color="auto" w:fill="auto"/>
          </w:tcPr>
          <w:p w14:paraId="1D339830" w14:textId="77777777" w:rsidR="00E71C69" w:rsidRPr="00550B1D" w:rsidRDefault="00E71C69" w:rsidP="007B269D">
            <w:pPr>
              <w:rPr>
                <w:rFonts w:ascii="Arial" w:hAnsi="Arial" w:cs="Arial"/>
              </w:rPr>
            </w:pPr>
          </w:p>
          <w:p w14:paraId="5F623C02" w14:textId="77777777" w:rsidR="00E71C69" w:rsidRPr="00550B1D" w:rsidRDefault="00E71C69" w:rsidP="007B269D">
            <w:pPr>
              <w:jc w:val="right"/>
              <w:rPr>
                <w:rFonts w:ascii="Arial" w:hAnsi="Arial" w:cs="Arial"/>
              </w:rPr>
            </w:pPr>
            <w:r w:rsidRPr="00550B1D">
              <w:rPr>
                <w:rFonts w:ascii="Arial" w:hAnsi="Arial" w:cs="Arial"/>
              </w:rPr>
              <w:t>Total number:</w:t>
            </w:r>
          </w:p>
        </w:tc>
        <w:tc>
          <w:tcPr>
            <w:tcW w:w="1650" w:type="dxa"/>
            <w:tcBorders>
              <w:top w:val="nil"/>
              <w:left w:val="nil"/>
              <w:bottom w:val="nil"/>
              <w:right w:val="nil"/>
            </w:tcBorders>
            <w:shd w:val="clear" w:color="auto" w:fill="auto"/>
          </w:tcPr>
          <w:p w14:paraId="56A4F902" w14:textId="77777777" w:rsidR="00E71C69" w:rsidRDefault="00E71C69" w:rsidP="007B269D">
            <w:pPr>
              <w:rPr>
                <w:rFonts w:ascii="Arial" w:hAnsi="Arial" w:cs="Arial"/>
              </w:rPr>
            </w:pPr>
          </w:p>
          <w:p w14:paraId="11F1AB3B" w14:textId="77777777" w:rsidR="00E71C69" w:rsidRDefault="00E71C69" w:rsidP="007B269D">
            <w:pPr>
              <w:rPr>
                <w:rFonts w:ascii="Arial" w:hAnsi="Arial" w:cs="Arial"/>
              </w:rPr>
            </w:pPr>
            <w:r w:rsidRPr="00550B1D">
              <w:rPr>
                <w:rFonts w:ascii="Arial" w:hAnsi="Arial" w:cs="Arial"/>
              </w:rPr>
              <w:t>Men</w:t>
            </w:r>
            <w:r>
              <w:rPr>
                <w:rFonts w:ascii="Arial" w:hAnsi="Arial" w:cs="Arial"/>
              </w:rPr>
              <w:t>______</w:t>
            </w:r>
          </w:p>
          <w:p w14:paraId="7F42A051" w14:textId="77777777" w:rsidR="00E71C69" w:rsidRPr="00550B1D" w:rsidRDefault="00E71C69" w:rsidP="007B269D">
            <w:pPr>
              <w:rPr>
                <w:rFonts w:ascii="Arial" w:hAnsi="Arial" w:cs="Arial"/>
              </w:rPr>
            </w:pPr>
          </w:p>
        </w:tc>
        <w:tc>
          <w:tcPr>
            <w:tcW w:w="240" w:type="dxa"/>
            <w:tcBorders>
              <w:top w:val="nil"/>
              <w:left w:val="nil"/>
              <w:bottom w:val="nil"/>
              <w:right w:val="nil"/>
            </w:tcBorders>
            <w:shd w:val="clear" w:color="auto" w:fill="auto"/>
          </w:tcPr>
          <w:p w14:paraId="3A0D31DF" w14:textId="77777777" w:rsidR="00E71C69" w:rsidRPr="00550B1D" w:rsidRDefault="00E71C69" w:rsidP="007B269D">
            <w:pPr>
              <w:rPr>
                <w:rFonts w:ascii="Arial" w:hAnsi="Arial" w:cs="Arial"/>
              </w:rPr>
            </w:pPr>
          </w:p>
        </w:tc>
        <w:tc>
          <w:tcPr>
            <w:tcW w:w="1848" w:type="dxa"/>
            <w:tcBorders>
              <w:top w:val="nil"/>
              <w:left w:val="nil"/>
              <w:bottom w:val="nil"/>
              <w:right w:val="nil"/>
            </w:tcBorders>
            <w:shd w:val="clear" w:color="auto" w:fill="auto"/>
          </w:tcPr>
          <w:p w14:paraId="273F07F6" w14:textId="77777777" w:rsidR="00E71C69" w:rsidRDefault="00E71C69" w:rsidP="007B269D">
            <w:pPr>
              <w:rPr>
                <w:rFonts w:ascii="Arial" w:hAnsi="Arial" w:cs="Arial"/>
              </w:rPr>
            </w:pPr>
          </w:p>
          <w:p w14:paraId="38213AF0" w14:textId="77777777" w:rsidR="00E71C69" w:rsidRPr="00550B1D" w:rsidRDefault="00E71C69" w:rsidP="007B269D">
            <w:pPr>
              <w:rPr>
                <w:rFonts w:ascii="Arial" w:hAnsi="Arial" w:cs="Arial"/>
              </w:rPr>
            </w:pPr>
            <w:r w:rsidRPr="00550B1D">
              <w:rPr>
                <w:rFonts w:ascii="Arial" w:hAnsi="Arial" w:cs="Arial"/>
              </w:rPr>
              <w:t>Women</w:t>
            </w:r>
            <w:r>
              <w:rPr>
                <w:rFonts w:ascii="Arial" w:hAnsi="Arial" w:cs="Arial"/>
              </w:rPr>
              <w:t>______</w:t>
            </w:r>
          </w:p>
        </w:tc>
        <w:tc>
          <w:tcPr>
            <w:tcW w:w="240" w:type="dxa"/>
            <w:tcBorders>
              <w:top w:val="nil"/>
              <w:left w:val="nil"/>
              <w:bottom w:val="nil"/>
              <w:right w:val="nil"/>
            </w:tcBorders>
            <w:shd w:val="clear" w:color="auto" w:fill="auto"/>
          </w:tcPr>
          <w:p w14:paraId="6DDEE978" w14:textId="77777777" w:rsidR="00E71C69" w:rsidRPr="00550B1D" w:rsidRDefault="00E71C69" w:rsidP="007B269D">
            <w:pPr>
              <w:rPr>
                <w:rFonts w:ascii="Arial" w:hAnsi="Arial" w:cs="Arial"/>
              </w:rPr>
            </w:pPr>
          </w:p>
        </w:tc>
        <w:tc>
          <w:tcPr>
            <w:tcW w:w="4548" w:type="dxa"/>
            <w:gridSpan w:val="5"/>
            <w:tcBorders>
              <w:top w:val="nil"/>
              <w:left w:val="nil"/>
              <w:bottom w:val="nil"/>
              <w:right w:val="single" w:sz="4" w:space="0" w:color="auto"/>
            </w:tcBorders>
            <w:shd w:val="clear" w:color="auto" w:fill="auto"/>
          </w:tcPr>
          <w:p w14:paraId="1BAF8A18" w14:textId="77777777" w:rsidR="00E71C69" w:rsidRDefault="00E71C69" w:rsidP="007B269D">
            <w:pPr>
              <w:ind w:right="2682"/>
              <w:rPr>
                <w:rFonts w:ascii="Arial" w:hAnsi="Arial" w:cs="Arial"/>
              </w:rPr>
            </w:pPr>
          </w:p>
          <w:p w14:paraId="38518AF8" w14:textId="77777777" w:rsidR="00E71C69" w:rsidRDefault="00E71C69" w:rsidP="007B269D">
            <w:pPr>
              <w:ind w:right="2682"/>
              <w:rPr>
                <w:rFonts w:ascii="Arial" w:hAnsi="Arial" w:cs="Arial"/>
              </w:rPr>
            </w:pPr>
            <w:r w:rsidRPr="00550B1D">
              <w:rPr>
                <w:rFonts w:ascii="Arial" w:hAnsi="Arial" w:cs="Arial"/>
              </w:rPr>
              <w:t>Unisex</w:t>
            </w:r>
            <w:r>
              <w:rPr>
                <w:rFonts w:ascii="Arial" w:hAnsi="Arial" w:cs="Arial"/>
              </w:rPr>
              <w:t>______</w:t>
            </w:r>
          </w:p>
          <w:p w14:paraId="2B4D142D" w14:textId="77777777" w:rsidR="00E71C69" w:rsidRPr="00550B1D" w:rsidRDefault="00E71C69" w:rsidP="007B269D">
            <w:pPr>
              <w:ind w:right="2682"/>
              <w:rPr>
                <w:rFonts w:ascii="Arial" w:hAnsi="Arial" w:cs="Arial"/>
              </w:rPr>
            </w:pPr>
          </w:p>
        </w:tc>
      </w:tr>
      <w:tr w:rsidR="00E71C69" w:rsidRPr="00550B1D" w14:paraId="00CE4081" w14:textId="77777777" w:rsidTr="007B269D">
        <w:trPr>
          <w:trHeight w:val="152"/>
        </w:trPr>
        <w:tc>
          <w:tcPr>
            <w:tcW w:w="1962" w:type="dxa"/>
            <w:tcBorders>
              <w:top w:val="nil"/>
              <w:left w:val="single" w:sz="4" w:space="0" w:color="auto"/>
              <w:bottom w:val="single" w:sz="4" w:space="0" w:color="auto"/>
              <w:right w:val="nil"/>
            </w:tcBorders>
            <w:shd w:val="clear" w:color="auto" w:fill="auto"/>
          </w:tcPr>
          <w:p w14:paraId="2B89C071" w14:textId="77777777" w:rsidR="00E71C69" w:rsidRPr="00550B1D" w:rsidRDefault="00E71C69" w:rsidP="007B269D">
            <w:pPr>
              <w:rPr>
                <w:rFonts w:ascii="Arial" w:hAnsi="Arial" w:cs="Arial"/>
              </w:rPr>
            </w:pPr>
            <w:r w:rsidRPr="00550B1D">
              <w:rPr>
                <w:rFonts w:ascii="Arial" w:hAnsi="Arial" w:cs="Arial"/>
              </w:rPr>
              <w:t>Number that are ADA Compliant:</w:t>
            </w:r>
          </w:p>
        </w:tc>
        <w:tc>
          <w:tcPr>
            <w:tcW w:w="1650" w:type="dxa"/>
            <w:tcBorders>
              <w:top w:val="nil"/>
              <w:left w:val="nil"/>
              <w:bottom w:val="nil"/>
              <w:right w:val="nil"/>
            </w:tcBorders>
            <w:shd w:val="clear" w:color="auto" w:fill="auto"/>
          </w:tcPr>
          <w:p w14:paraId="5EA87136" w14:textId="77777777" w:rsidR="00E71C69" w:rsidRDefault="00E71C69" w:rsidP="007B269D">
            <w:pPr>
              <w:rPr>
                <w:rFonts w:ascii="Arial" w:hAnsi="Arial" w:cs="Arial"/>
              </w:rPr>
            </w:pPr>
          </w:p>
          <w:p w14:paraId="7F0C0D5D" w14:textId="77777777" w:rsidR="00E71C69" w:rsidRPr="00550B1D" w:rsidRDefault="00E71C69" w:rsidP="007B269D">
            <w:pPr>
              <w:rPr>
                <w:rFonts w:ascii="Arial" w:hAnsi="Arial" w:cs="Arial"/>
              </w:rPr>
            </w:pPr>
            <w:r w:rsidRPr="00550B1D">
              <w:rPr>
                <w:rFonts w:ascii="Arial" w:hAnsi="Arial" w:cs="Arial"/>
              </w:rPr>
              <w:t>Men</w:t>
            </w:r>
          </w:p>
        </w:tc>
        <w:tc>
          <w:tcPr>
            <w:tcW w:w="240" w:type="dxa"/>
            <w:tcBorders>
              <w:top w:val="nil"/>
              <w:left w:val="nil"/>
              <w:bottom w:val="nil"/>
              <w:right w:val="nil"/>
            </w:tcBorders>
            <w:shd w:val="clear" w:color="auto" w:fill="auto"/>
          </w:tcPr>
          <w:p w14:paraId="0C69A672" w14:textId="77777777" w:rsidR="00E71C69" w:rsidRPr="00550B1D" w:rsidRDefault="00E71C69" w:rsidP="007B269D">
            <w:pPr>
              <w:rPr>
                <w:rFonts w:ascii="Arial" w:hAnsi="Arial" w:cs="Arial"/>
              </w:rPr>
            </w:pPr>
          </w:p>
        </w:tc>
        <w:tc>
          <w:tcPr>
            <w:tcW w:w="1848" w:type="dxa"/>
            <w:tcBorders>
              <w:top w:val="nil"/>
              <w:left w:val="nil"/>
              <w:bottom w:val="nil"/>
              <w:right w:val="nil"/>
            </w:tcBorders>
            <w:shd w:val="clear" w:color="auto" w:fill="auto"/>
          </w:tcPr>
          <w:p w14:paraId="4C23080E" w14:textId="77777777" w:rsidR="00E71C69" w:rsidRDefault="00E71C69" w:rsidP="007B269D">
            <w:pPr>
              <w:rPr>
                <w:rFonts w:ascii="Arial" w:hAnsi="Arial" w:cs="Arial"/>
              </w:rPr>
            </w:pPr>
          </w:p>
          <w:p w14:paraId="76F8D41A" w14:textId="77777777" w:rsidR="00E71C69" w:rsidRPr="00550B1D" w:rsidRDefault="00E71C69" w:rsidP="007B269D">
            <w:pPr>
              <w:rPr>
                <w:rFonts w:ascii="Arial" w:hAnsi="Arial" w:cs="Arial"/>
              </w:rPr>
            </w:pPr>
            <w:r w:rsidRPr="00550B1D">
              <w:rPr>
                <w:rFonts w:ascii="Arial" w:hAnsi="Arial" w:cs="Arial"/>
              </w:rPr>
              <w:t>Women</w:t>
            </w:r>
          </w:p>
        </w:tc>
        <w:tc>
          <w:tcPr>
            <w:tcW w:w="240" w:type="dxa"/>
            <w:tcBorders>
              <w:top w:val="nil"/>
              <w:left w:val="nil"/>
              <w:bottom w:val="single" w:sz="4" w:space="0" w:color="auto"/>
              <w:right w:val="nil"/>
            </w:tcBorders>
            <w:shd w:val="clear" w:color="auto" w:fill="auto"/>
          </w:tcPr>
          <w:p w14:paraId="42EDF38A" w14:textId="77777777" w:rsidR="00E71C69" w:rsidRPr="00550B1D" w:rsidRDefault="00E71C69" w:rsidP="007B269D">
            <w:pPr>
              <w:rPr>
                <w:rFonts w:ascii="Arial" w:hAnsi="Arial" w:cs="Arial"/>
              </w:rPr>
            </w:pPr>
          </w:p>
        </w:tc>
        <w:tc>
          <w:tcPr>
            <w:tcW w:w="4548" w:type="dxa"/>
            <w:gridSpan w:val="5"/>
            <w:tcBorders>
              <w:top w:val="nil"/>
              <w:left w:val="nil"/>
              <w:bottom w:val="single" w:sz="4" w:space="0" w:color="auto"/>
              <w:right w:val="single" w:sz="4" w:space="0" w:color="auto"/>
            </w:tcBorders>
            <w:shd w:val="clear" w:color="auto" w:fill="auto"/>
          </w:tcPr>
          <w:p w14:paraId="3DA4C5FB" w14:textId="77777777" w:rsidR="00E71C69" w:rsidRDefault="00E71C69" w:rsidP="007B269D">
            <w:pPr>
              <w:rPr>
                <w:rFonts w:ascii="Arial" w:hAnsi="Arial" w:cs="Arial"/>
              </w:rPr>
            </w:pPr>
          </w:p>
          <w:p w14:paraId="754C07A5" w14:textId="77777777" w:rsidR="00E71C69" w:rsidRPr="00550B1D" w:rsidRDefault="00E71C69" w:rsidP="007B269D">
            <w:pPr>
              <w:rPr>
                <w:rFonts w:ascii="Arial" w:hAnsi="Arial" w:cs="Arial"/>
              </w:rPr>
            </w:pPr>
            <w:r w:rsidRPr="00550B1D">
              <w:rPr>
                <w:rFonts w:ascii="Arial" w:hAnsi="Arial" w:cs="Arial"/>
              </w:rPr>
              <w:t>Unisex</w:t>
            </w:r>
          </w:p>
        </w:tc>
      </w:tr>
      <w:tr w:rsidR="00E71C69" w:rsidRPr="00550B1D" w14:paraId="5B838623" w14:textId="77777777" w:rsidTr="007B269D">
        <w:tc>
          <w:tcPr>
            <w:tcW w:w="7608" w:type="dxa"/>
            <w:gridSpan w:val="7"/>
            <w:tcBorders>
              <w:top w:val="single" w:sz="4" w:space="0" w:color="auto"/>
              <w:bottom w:val="nil"/>
            </w:tcBorders>
            <w:shd w:val="clear" w:color="auto" w:fill="auto"/>
          </w:tcPr>
          <w:p w14:paraId="038D3636" w14:textId="77777777" w:rsidR="00E71C69" w:rsidRPr="00550B1D" w:rsidRDefault="00E71C69" w:rsidP="007B269D">
            <w:pPr>
              <w:rPr>
                <w:rFonts w:ascii="Arial" w:hAnsi="Arial" w:cs="Arial"/>
              </w:rPr>
            </w:pPr>
          </w:p>
        </w:tc>
        <w:tc>
          <w:tcPr>
            <w:tcW w:w="2880" w:type="dxa"/>
            <w:gridSpan w:val="3"/>
            <w:tcBorders>
              <w:top w:val="single" w:sz="4" w:space="0" w:color="auto"/>
              <w:bottom w:val="nil"/>
            </w:tcBorders>
            <w:shd w:val="clear" w:color="auto" w:fill="E0E0E0"/>
          </w:tcPr>
          <w:p w14:paraId="5B656293" w14:textId="77777777" w:rsidR="00E71C69" w:rsidRPr="00550B1D" w:rsidRDefault="009C4927" w:rsidP="007B269D">
            <w:pPr>
              <w:jc w:val="center"/>
              <w:rPr>
                <w:rFonts w:ascii="Arial" w:hAnsi="Arial" w:cs="Arial"/>
                <w:b/>
                <w:smallCaps/>
                <w:shd w:val="clear" w:color="auto" w:fill="E0E0E0"/>
              </w:rPr>
            </w:pPr>
            <w:r>
              <w:rPr>
                <w:rFonts w:ascii="Arial" w:hAnsi="Arial" w:cs="Arial"/>
                <w:b/>
                <w:smallCaps/>
                <w:shd w:val="clear" w:color="auto" w:fill="E0E0E0"/>
              </w:rPr>
              <w:t xml:space="preserve">      </w:t>
            </w:r>
            <w:r w:rsidR="00E71C69" w:rsidRPr="00550B1D">
              <w:rPr>
                <w:rFonts w:ascii="Arial" w:hAnsi="Arial" w:cs="Arial"/>
                <w:b/>
                <w:smallCaps/>
                <w:shd w:val="clear" w:color="auto" w:fill="E0E0E0"/>
              </w:rPr>
              <w:sym w:font="Wingdings 2" w:char="F052"/>
            </w:r>
            <w:r w:rsidR="00E71C69" w:rsidRPr="00550B1D">
              <w:rPr>
                <w:rFonts w:ascii="Arial" w:hAnsi="Arial" w:cs="Arial"/>
                <w:b/>
                <w:smallCaps/>
                <w:shd w:val="clear" w:color="auto" w:fill="E0E0E0"/>
              </w:rPr>
              <w:t xml:space="preserve"> Check One:</w:t>
            </w:r>
          </w:p>
        </w:tc>
      </w:tr>
      <w:tr w:rsidR="00E71C69" w:rsidRPr="00550B1D" w14:paraId="310A121C" w14:textId="77777777" w:rsidTr="007B269D">
        <w:tc>
          <w:tcPr>
            <w:tcW w:w="8088" w:type="dxa"/>
            <w:gridSpan w:val="8"/>
            <w:tcBorders>
              <w:top w:val="single" w:sz="4" w:space="0" w:color="auto"/>
              <w:bottom w:val="single" w:sz="4" w:space="0" w:color="auto"/>
            </w:tcBorders>
            <w:shd w:val="clear" w:color="auto" w:fill="auto"/>
          </w:tcPr>
          <w:p w14:paraId="5FBDDA69" w14:textId="77777777" w:rsidR="00E71C69" w:rsidRPr="00550B1D" w:rsidRDefault="00E71C69" w:rsidP="007B269D">
            <w:pPr>
              <w:rPr>
                <w:rFonts w:ascii="Arial" w:hAnsi="Arial" w:cs="Arial"/>
              </w:rPr>
            </w:pPr>
            <w:r w:rsidRPr="00550B1D">
              <w:rPr>
                <w:rFonts w:ascii="Arial" w:hAnsi="Arial" w:cs="Arial"/>
              </w:rPr>
              <w:t>Will the EDS be able to take place on only one level of the building?</w:t>
            </w:r>
          </w:p>
        </w:tc>
        <w:tc>
          <w:tcPr>
            <w:tcW w:w="1320" w:type="dxa"/>
            <w:tcBorders>
              <w:top w:val="single" w:sz="4" w:space="0" w:color="auto"/>
              <w:bottom w:val="single" w:sz="4" w:space="0" w:color="auto"/>
            </w:tcBorders>
            <w:shd w:val="clear" w:color="auto" w:fill="auto"/>
          </w:tcPr>
          <w:p w14:paraId="1170C4FD"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80" w:type="dxa"/>
            <w:tcBorders>
              <w:top w:val="single" w:sz="4" w:space="0" w:color="auto"/>
              <w:bottom w:val="single" w:sz="4" w:space="0" w:color="auto"/>
            </w:tcBorders>
            <w:shd w:val="clear" w:color="auto" w:fill="auto"/>
          </w:tcPr>
          <w:p w14:paraId="2E41E565"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r w:rsidR="00E71C69" w:rsidRPr="00550B1D" w14:paraId="7D0149AC" w14:textId="77777777" w:rsidTr="007B269D">
        <w:tc>
          <w:tcPr>
            <w:tcW w:w="8088" w:type="dxa"/>
            <w:gridSpan w:val="8"/>
            <w:tcBorders>
              <w:top w:val="single" w:sz="4" w:space="0" w:color="auto"/>
              <w:bottom w:val="single" w:sz="4" w:space="0" w:color="auto"/>
            </w:tcBorders>
            <w:shd w:val="clear" w:color="auto" w:fill="auto"/>
          </w:tcPr>
          <w:p w14:paraId="6A657B69" w14:textId="77777777" w:rsidR="00E71C69" w:rsidRPr="00550B1D" w:rsidRDefault="00E71C69" w:rsidP="007B269D">
            <w:pPr>
              <w:rPr>
                <w:rFonts w:ascii="Arial" w:hAnsi="Arial" w:cs="Arial"/>
              </w:rPr>
            </w:pPr>
            <w:r w:rsidRPr="00550B1D">
              <w:rPr>
                <w:rFonts w:ascii="Arial" w:hAnsi="Arial" w:cs="Arial"/>
              </w:rPr>
              <w:t>Is the facility compliant with the Americans with Disabilities Act? (At a minimum is the area that the public will access ADA compliant?)</w:t>
            </w:r>
          </w:p>
        </w:tc>
        <w:tc>
          <w:tcPr>
            <w:tcW w:w="1320" w:type="dxa"/>
            <w:tcBorders>
              <w:top w:val="single" w:sz="4" w:space="0" w:color="auto"/>
              <w:bottom w:val="single" w:sz="4" w:space="0" w:color="auto"/>
            </w:tcBorders>
            <w:shd w:val="clear" w:color="auto" w:fill="auto"/>
          </w:tcPr>
          <w:p w14:paraId="523C50AC"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80" w:type="dxa"/>
            <w:tcBorders>
              <w:top w:val="single" w:sz="4" w:space="0" w:color="auto"/>
              <w:bottom w:val="single" w:sz="4" w:space="0" w:color="auto"/>
            </w:tcBorders>
            <w:shd w:val="clear" w:color="auto" w:fill="auto"/>
          </w:tcPr>
          <w:p w14:paraId="6EEFB50B"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r w:rsidR="00E71C69" w:rsidRPr="00550B1D" w14:paraId="44E6570B" w14:textId="77777777" w:rsidTr="007B269D">
        <w:tc>
          <w:tcPr>
            <w:tcW w:w="8088" w:type="dxa"/>
            <w:gridSpan w:val="8"/>
            <w:tcBorders>
              <w:top w:val="nil"/>
              <w:bottom w:val="single" w:sz="4" w:space="0" w:color="auto"/>
            </w:tcBorders>
            <w:shd w:val="clear" w:color="auto" w:fill="auto"/>
          </w:tcPr>
          <w:p w14:paraId="3574543B" w14:textId="77777777" w:rsidR="00E71C69" w:rsidRPr="00550B1D" w:rsidRDefault="00E71C69" w:rsidP="007B269D">
            <w:pPr>
              <w:rPr>
                <w:rFonts w:ascii="Arial" w:hAnsi="Arial" w:cs="Arial"/>
              </w:rPr>
            </w:pPr>
            <w:r w:rsidRPr="00550B1D">
              <w:rPr>
                <w:rFonts w:ascii="Arial" w:hAnsi="Arial" w:cs="Arial"/>
              </w:rPr>
              <w:t xml:space="preserve">Is there a kitchen area and/or area </w:t>
            </w:r>
            <w:r w:rsidRPr="00550B1D">
              <w:rPr>
                <w:rFonts w:ascii="Arial" w:hAnsi="Arial" w:cs="Arial"/>
                <w:i/>
              </w:rPr>
              <w:t>other than</w:t>
            </w:r>
            <w:r w:rsidRPr="00550B1D">
              <w:rPr>
                <w:rFonts w:ascii="Arial" w:hAnsi="Arial" w:cs="Arial"/>
              </w:rPr>
              <w:t xml:space="preserve"> bathrooms with working sinks?</w:t>
            </w:r>
          </w:p>
        </w:tc>
        <w:tc>
          <w:tcPr>
            <w:tcW w:w="1320" w:type="dxa"/>
            <w:tcBorders>
              <w:top w:val="nil"/>
              <w:bottom w:val="single" w:sz="4" w:space="0" w:color="auto"/>
            </w:tcBorders>
            <w:shd w:val="clear" w:color="auto" w:fill="auto"/>
          </w:tcPr>
          <w:p w14:paraId="4AD021F1"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80" w:type="dxa"/>
            <w:tcBorders>
              <w:top w:val="nil"/>
              <w:bottom w:val="single" w:sz="4" w:space="0" w:color="auto"/>
            </w:tcBorders>
            <w:shd w:val="clear" w:color="auto" w:fill="auto"/>
          </w:tcPr>
          <w:p w14:paraId="2DB2F178"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bl>
    <w:p w14:paraId="53A621A7" w14:textId="77777777" w:rsidR="00E71C69" w:rsidRDefault="00E71C69" w:rsidP="00E71C69"/>
    <w:tbl>
      <w:tblPr>
        <w:tblW w:w="10471" w:type="dxa"/>
        <w:tblInd w:w="-12"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2"/>
        <w:gridCol w:w="4186"/>
        <w:gridCol w:w="840"/>
        <w:gridCol w:w="240"/>
        <w:gridCol w:w="2670"/>
        <w:gridCol w:w="181"/>
        <w:gridCol w:w="1028"/>
        <w:gridCol w:w="202"/>
        <w:gridCol w:w="69"/>
        <w:gridCol w:w="975"/>
        <w:gridCol w:w="36"/>
        <w:gridCol w:w="32"/>
      </w:tblGrid>
      <w:tr w:rsidR="00E71C69" w:rsidRPr="00550B1D" w14:paraId="586DC2D5" w14:textId="77777777" w:rsidTr="009C4927">
        <w:trPr>
          <w:gridAfter w:val="1"/>
          <w:wAfter w:w="32" w:type="dxa"/>
        </w:trPr>
        <w:tc>
          <w:tcPr>
            <w:tcW w:w="5038" w:type="dxa"/>
            <w:gridSpan w:val="3"/>
            <w:tcBorders>
              <w:top w:val="single" w:sz="4" w:space="0" w:color="auto"/>
              <w:bottom w:val="single" w:sz="4" w:space="0" w:color="auto"/>
            </w:tcBorders>
            <w:shd w:val="clear" w:color="auto" w:fill="auto"/>
          </w:tcPr>
          <w:p w14:paraId="2765E9A6" w14:textId="77777777" w:rsidR="00E71C69" w:rsidRPr="00550B1D" w:rsidRDefault="00E71C69" w:rsidP="007B269D">
            <w:pPr>
              <w:rPr>
                <w:rFonts w:ascii="Arial" w:hAnsi="Arial" w:cs="Arial"/>
              </w:rPr>
            </w:pPr>
            <w:r>
              <w:rPr>
                <w:rFonts w:ascii="Arial" w:hAnsi="Arial" w:cs="Arial"/>
              </w:rPr>
              <w:t>Is there a f</w:t>
            </w:r>
            <w:r w:rsidRPr="00550B1D">
              <w:rPr>
                <w:rFonts w:ascii="Arial" w:hAnsi="Arial" w:cs="Arial"/>
              </w:rPr>
              <w:t xml:space="preserve">unctional loading dock or adequate area to unload trucks away from the public? Please </w:t>
            </w:r>
            <w:r>
              <w:rPr>
                <w:rFonts w:ascii="Arial" w:hAnsi="Arial" w:cs="Arial"/>
              </w:rPr>
              <w:t>indicate</w:t>
            </w:r>
            <w:r w:rsidRPr="00550B1D">
              <w:rPr>
                <w:rFonts w:ascii="Arial" w:hAnsi="Arial" w:cs="Arial"/>
              </w:rPr>
              <w:t xml:space="preserve"> </w:t>
            </w:r>
            <w:r w:rsidRPr="00550B1D">
              <w:rPr>
                <w:rFonts w:ascii="Arial" w:hAnsi="Arial" w:cs="Arial"/>
                <w:b/>
              </w:rPr>
              <w:t xml:space="preserve">maximum </w:t>
            </w:r>
            <w:r w:rsidRPr="00550B1D">
              <w:rPr>
                <w:rFonts w:ascii="Arial" w:hAnsi="Arial" w:cs="Arial"/>
              </w:rPr>
              <w:t xml:space="preserve">truck length that can be accommodated. </w:t>
            </w:r>
            <w:r w:rsidRPr="00550B1D">
              <w:rPr>
                <w:rFonts w:ascii="Arial" w:hAnsi="Arial" w:cs="Arial"/>
                <w:i/>
              </w:rPr>
              <w:t>(The standard size</w:t>
            </w:r>
            <w:r w:rsidR="001C363F">
              <w:rPr>
                <w:rFonts w:ascii="Arial" w:hAnsi="Arial" w:cs="Arial"/>
                <w:i/>
              </w:rPr>
              <w:t>s</w:t>
            </w:r>
            <w:r w:rsidRPr="00550B1D">
              <w:rPr>
                <w:rFonts w:ascii="Arial" w:hAnsi="Arial" w:cs="Arial"/>
                <w:i/>
              </w:rPr>
              <w:t xml:space="preserve"> that the SNS Program plans to use </w:t>
            </w:r>
            <w:r w:rsidR="001C363F">
              <w:rPr>
                <w:rFonts w:ascii="Arial" w:hAnsi="Arial" w:cs="Arial"/>
                <w:i/>
              </w:rPr>
              <w:t>are</w:t>
            </w:r>
            <w:r w:rsidRPr="00550B1D">
              <w:rPr>
                <w:rFonts w:ascii="Arial" w:hAnsi="Arial" w:cs="Arial"/>
                <w:i/>
              </w:rPr>
              <w:t xml:space="preserve"> 26’ or 53’)</w:t>
            </w:r>
          </w:p>
        </w:tc>
        <w:tc>
          <w:tcPr>
            <w:tcW w:w="240" w:type="dxa"/>
            <w:tcBorders>
              <w:top w:val="single" w:sz="4" w:space="0" w:color="auto"/>
              <w:bottom w:val="single" w:sz="4" w:space="0" w:color="auto"/>
              <w:right w:val="single" w:sz="4" w:space="0" w:color="auto"/>
            </w:tcBorders>
            <w:shd w:val="clear" w:color="auto" w:fill="auto"/>
          </w:tcPr>
          <w:p w14:paraId="0BC140F3" w14:textId="77777777" w:rsidR="00E71C69" w:rsidRPr="00550B1D" w:rsidRDefault="00E71C69" w:rsidP="007B269D">
            <w:pPr>
              <w:rPr>
                <w:rFonts w:ascii="Arial" w:hAnsi="Arial" w:cs="Arial"/>
              </w:rPr>
            </w:pPr>
          </w:p>
        </w:tc>
        <w:tc>
          <w:tcPr>
            <w:tcW w:w="2851" w:type="dxa"/>
            <w:gridSpan w:val="2"/>
            <w:tcBorders>
              <w:top w:val="single" w:sz="4" w:space="0" w:color="auto"/>
              <w:left w:val="single" w:sz="4" w:space="0" w:color="auto"/>
              <w:bottom w:val="single" w:sz="4" w:space="0" w:color="auto"/>
              <w:right w:val="single" w:sz="4" w:space="0" w:color="auto"/>
            </w:tcBorders>
            <w:shd w:val="clear" w:color="auto" w:fill="auto"/>
          </w:tcPr>
          <w:p w14:paraId="0FE5743C" w14:textId="77777777" w:rsidR="00E71C69" w:rsidRPr="00550B1D" w:rsidRDefault="00E71C69" w:rsidP="007B269D">
            <w:pPr>
              <w:jc w:val="center"/>
              <w:rPr>
                <w:rFonts w:ascii="Arial" w:hAnsi="Arial" w:cs="Arial"/>
              </w:rPr>
            </w:pPr>
            <w:r w:rsidRPr="00550B1D">
              <w:rPr>
                <w:rFonts w:ascii="Arial" w:hAnsi="Arial" w:cs="Arial"/>
                <w:b/>
                <w:smallCaps/>
              </w:rPr>
              <w:t xml:space="preserve">Maximum Truck Length: </w:t>
            </w:r>
          </w:p>
        </w:tc>
        <w:tc>
          <w:tcPr>
            <w:tcW w:w="1230" w:type="dxa"/>
            <w:gridSpan w:val="2"/>
            <w:tcBorders>
              <w:top w:val="single" w:sz="4" w:space="0" w:color="auto"/>
              <w:left w:val="single" w:sz="4" w:space="0" w:color="auto"/>
              <w:bottom w:val="single" w:sz="4" w:space="0" w:color="auto"/>
            </w:tcBorders>
            <w:shd w:val="clear" w:color="auto" w:fill="auto"/>
          </w:tcPr>
          <w:p w14:paraId="70A8DFFC" w14:textId="77777777" w:rsidR="00E71C69" w:rsidRPr="00550B1D" w:rsidRDefault="00E71C69" w:rsidP="007B269D">
            <w:pPr>
              <w:jc w:val="center"/>
              <w:rPr>
                <w:rFonts w:ascii="Arial" w:hAnsi="Arial" w:cs="Arial"/>
              </w:rPr>
            </w:pPr>
            <w:r w:rsidRPr="00550B1D">
              <w:rPr>
                <w:rFonts w:ascii="Arial" w:hAnsi="Arial" w:cs="Arial"/>
                <w:b/>
                <w:smallCaps/>
              </w:rPr>
              <w:sym w:font="Wingdings 2" w:char="F0A3"/>
            </w:r>
            <w:r w:rsidRPr="00550B1D">
              <w:rPr>
                <w:rFonts w:ascii="Arial" w:hAnsi="Arial" w:cs="Arial"/>
                <w:b/>
                <w:smallCaps/>
              </w:rPr>
              <w:t xml:space="preserve"> Yes</w:t>
            </w:r>
          </w:p>
        </w:tc>
        <w:tc>
          <w:tcPr>
            <w:tcW w:w="1080" w:type="dxa"/>
            <w:gridSpan w:val="3"/>
            <w:tcBorders>
              <w:top w:val="single" w:sz="4" w:space="0" w:color="auto"/>
              <w:bottom w:val="single" w:sz="4" w:space="0" w:color="auto"/>
            </w:tcBorders>
            <w:shd w:val="clear" w:color="auto" w:fill="auto"/>
          </w:tcPr>
          <w:p w14:paraId="19A5BD9C" w14:textId="77777777" w:rsidR="00E71C69" w:rsidRPr="00550B1D" w:rsidRDefault="00E71C69" w:rsidP="007B269D">
            <w:pPr>
              <w:jc w:val="right"/>
              <w:rPr>
                <w:rFonts w:ascii="Arial" w:hAnsi="Arial" w:cs="Arial"/>
                <w:smallCaps/>
              </w:rPr>
            </w:pPr>
            <w:r w:rsidRPr="00550B1D">
              <w:rPr>
                <w:rFonts w:ascii="Arial" w:hAnsi="Arial" w:cs="Arial"/>
                <w:b/>
                <w:smallCaps/>
              </w:rPr>
              <w:sym w:font="Wingdings 2" w:char="F0A3"/>
            </w:r>
            <w:r w:rsidRPr="00550B1D">
              <w:rPr>
                <w:rFonts w:ascii="Arial" w:hAnsi="Arial" w:cs="Arial"/>
                <w:b/>
                <w:smallCaps/>
              </w:rPr>
              <w:t xml:space="preserve"> No</w:t>
            </w:r>
          </w:p>
          <w:p w14:paraId="0667D547" w14:textId="77777777" w:rsidR="00E71C69" w:rsidRPr="00550B1D" w:rsidRDefault="00E71C69" w:rsidP="007B269D">
            <w:pPr>
              <w:jc w:val="right"/>
              <w:rPr>
                <w:rFonts w:ascii="Arial" w:hAnsi="Arial" w:cs="Arial"/>
                <w:smallCaps/>
              </w:rPr>
            </w:pPr>
          </w:p>
        </w:tc>
      </w:tr>
      <w:tr w:rsidR="00E71C69" w:rsidRPr="00550B1D" w14:paraId="40C2210F" w14:textId="77777777" w:rsidTr="009C4927">
        <w:trPr>
          <w:gridAfter w:val="1"/>
          <w:wAfter w:w="32" w:type="dxa"/>
        </w:trPr>
        <w:tc>
          <w:tcPr>
            <w:tcW w:w="8129" w:type="dxa"/>
            <w:gridSpan w:val="6"/>
            <w:tcBorders>
              <w:top w:val="nil"/>
              <w:bottom w:val="single" w:sz="4" w:space="0" w:color="auto"/>
            </w:tcBorders>
            <w:shd w:val="clear" w:color="auto" w:fill="auto"/>
          </w:tcPr>
          <w:p w14:paraId="05D84E82" w14:textId="77777777" w:rsidR="00E71C69" w:rsidRPr="00550B1D" w:rsidRDefault="00E71C69" w:rsidP="007B269D">
            <w:pPr>
              <w:rPr>
                <w:rFonts w:ascii="Arial" w:hAnsi="Arial" w:cs="Arial"/>
              </w:rPr>
            </w:pPr>
            <w:r w:rsidRPr="00550B1D">
              <w:rPr>
                <w:rFonts w:ascii="Arial" w:hAnsi="Arial" w:cs="Arial"/>
              </w:rPr>
              <w:t xml:space="preserve">Is the building able to accommodate lines of people and multiple stations? (Stations may include: screening/triage, forms distribution, forms review, medical counseling area and/or first aid, special needs line, behavioral health area, command area, staff break area away from the public, dispensing area </w:t>
            </w:r>
            <w:r>
              <w:rPr>
                <w:rFonts w:ascii="Arial" w:hAnsi="Arial" w:cs="Arial"/>
              </w:rPr>
              <w:t>o</w:t>
            </w:r>
            <w:r w:rsidRPr="00550B1D">
              <w:rPr>
                <w:rFonts w:ascii="Arial" w:hAnsi="Arial" w:cs="Arial"/>
              </w:rPr>
              <w:t xml:space="preserve">r appropriate vaccination space, etc.) </w:t>
            </w:r>
          </w:p>
        </w:tc>
        <w:tc>
          <w:tcPr>
            <w:tcW w:w="1230" w:type="dxa"/>
            <w:gridSpan w:val="2"/>
            <w:tcBorders>
              <w:top w:val="nil"/>
              <w:bottom w:val="single" w:sz="4" w:space="0" w:color="auto"/>
            </w:tcBorders>
            <w:shd w:val="clear" w:color="auto" w:fill="auto"/>
          </w:tcPr>
          <w:p w14:paraId="56487EA2"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80" w:type="dxa"/>
            <w:gridSpan w:val="3"/>
            <w:tcBorders>
              <w:top w:val="nil"/>
              <w:bottom w:val="single" w:sz="4" w:space="0" w:color="auto"/>
            </w:tcBorders>
            <w:shd w:val="clear" w:color="auto" w:fill="auto"/>
          </w:tcPr>
          <w:p w14:paraId="362EE98A"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r w:rsidR="00E71C69" w:rsidRPr="00550B1D" w14:paraId="74B33120" w14:textId="77777777" w:rsidTr="009C4927">
        <w:trPr>
          <w:gridAfter w:val="1"/>
          <w:wAfter w:w="32" w:type="dxa"/>
        </w:trPr>
        <w:tc>
          <w:tcPr>
            <w:tcW w:w="8129" w:type="dxa"/>
            <w:gridSpan w:val="6"/>
            <w:tcBorders>
              <w:top w:val="single" w:sz="4" w:space="0" w:color="auto"/>
              <w:bottom w:val="single" w:sz="4" w:space="0" w:color="auto"/>
            </w:tcBorders>
            <w:shd w:val="clear" w:color="auto" w:fill="auto"/>
          </w:tcPr>
          <w:p w14:paraId="727B12B0" w14:textId="77777777" w:rsidR="00E71C69" w:rsidRPr="00550B1D" w:rsidRDefault="00E71C69" w:rsidP="007B269D">
            <w:pPr>
              <w:rPr>
                <w:rFonts w:ascii="Arial" w:hAnsi="Arial" w:cs="Arial"/>
              </w:rPr>
            </w:pPr>
            <w:r w:rsidRPr="00550B1D">
              <w:rPr>
                <w:rFonts w:ascii="Arial" w:hAnsi="Arial" w:cs="Arial"/>
              </w:rPr>
              <w:t>Is there an area available for individuals who become ill or severely anxious and/or need to be removed from the operations area and/or crowd?</w:t>
            </w:r>
          </w:p>
        </w:tc>
        <w:tc>
          <w:tcPr>
            <w:tcW w:w="1230" w:type="dxa"/>
            <w:gridSpan w:val="2"/>
            <w:tcBorders>
              <w:top w:val="single" w:sz="4" w:space="0" w:color="auto"/>
              <w:bottom w:val="single" w:sz="4" w:space="0" w:color="auto"/>
            </w:tcBorders>
            <w:shd w:val="clear" w:color="auto" w:fill="auto"/>
          </w:tcPr>
          <w:p w14:paraId="7688ECC2"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80" w:type="dxa"/>
            <w:gridSpan w:val="3"/>
            <w:tcBorders>
              <w:top w:val="single" w:sz="4" w:space="0" w:color="auto"/>
              <w:bottom w:val="single" w:sz="4" w:space="0" w:color="auto"/>
            </w:tcBorders>
            <w:shd w:val="clear" w:color="auto" w:fill="auto"/>
          </w:tcPr>
          <w:p w14:paraId="7DEFD45F"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r w:rsidR="00E71C69" w:rsidRPr="00550B1D" w14:paraId="350E0D75" w14:textId="77777777" w:rsidTr="009C4927">
        <w:trPr>
          <w:gridAfter w:val="1"/>
          <w:wAfter w:w="32" w:type="dxa"/>
          <w:trHeight w:val="908"/>
        </w:trPr>
        <w:tc>
          <w:tcPr>
            <w:tcW w:w="4198" w:type="dxa"/>
            <w:gridSpan w:val="2"/>
            <w:tcBorders>
              <w:top w:val="single" w:sz="4" w:space="0" w:color="auto"/>
              <w:bottom w:val="single" w:sz="4" w:space="0" w:color="auto"/>
            </w:tcBorders>
            <w:shd w:val="clear" w:color="auto" w:fill="auto"/>
          </w:tcPr>
          <w:p w14:paraId="19709921" w14:textId="77777777" w:rsidR="00E71C69" w:rsidRPr="00550B1D" w:rsidRDefault="00E71C69" w:rsidP="007B269D">
            <w:pPr>
              <w:rPr>
                <w:rFonts w:ascii="Arial" w:hAnsi="Arial" w:cs="Arial"/>
              </w:rPr>
            </w:pPr>
            <w:r w:rsidRPr="00550B1D">
              <w:rPr>
                <w:rFonts w:ascii="Arial" w:hAnsi="Arial" w:cs="Arial"/>
              </w:rPr>
              <w:t xml:space="preserve">Is adequate refrigeration available to store vaccines and food separately? </w:t>
            </w:r>
            <w:r w:rsidRPr="00853813">
              <w:rPr>
                <w:rFonts w:ascii="Arial" w:hAnsi="Arial" w:cs="Arial"/>
                <w:b/>
                <w:i/>
                <w:sz w:val="22"/>
                <w:szCs w:val="22"/>
              </w:rPr>
              <w:t>(vaccines cannot be stored in refrigerators containing food)</w:t>
            </w:r>
            <w:r w:rsidRPr="00550B1D">
              <w:rPr>
                <w:rFonts w:ascii="Arial" w:hAnsi="Arial" w:cs="Arial"/>
              </w:rPr>
              <w:t xml:space="preserve"> </w:t>
            </w:r>
          </w:p>
        </w:tc>
        <w:tc>
          <w:tcPr>
            <w:tcW w:w="3931" w:type="dxa"/>
            <w:gridSpan w:val="4"/>
            <w:tcBorders>
              <w:top w:val="single" w:sz="4" w:space="0" w:color="auto"/>
              <w:bottom w:val="single" w:sz="4" w:space="0" w:color="auto"/>
            </w:tcBorders>
            <w:shd w:val="clear" w:color="auto" w:fill="auto"/>
          </w:tcPr>
          <w:p w14:paraId="0FAF4E40" w14:textId="77777777" w:rsidR="00E71C69" w:rsidRPr="00550B1D" w:rsidRDefault="00E71C69" w:rsidP="007B269D">
            <w:pPr>
              <w:rPr>
                <w:rFonts w:ascii="Arial" w:hAnsi="Arial" w:cs="Arial"/>
              </w:rPr>
            </w:pPr>
          </w:p>
        </w:tc>
        <w:tc>
          <w:tcPr>
            <w:tcW w:w="1230" w:type="dxa"/>
            <w:gridSpan w:val="2"/>
            <w:tcBorders>
              <w:top w:val="single" w:sz="4" w:space="0" w:color="auto"/>
              <w:bottom w:val="single" w:sz="4" w:space="0" w:color="auto"/>
            </w:tcBorders>
            <w:shd w:val="clear" w:color="auto" w:fill="auto"/>
          </w:tcPr>
          <w:p w14:paraId="535996C2"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80" w:type="dxa"/>
            <w:gridSpan w:val="3"/>
            <w:tcBorders>
              <w:top w:val="single" w:sz="4" w:space="0" w:color="auto"/>
              <w:bottom w:val="single" w:sz="4" w:space="0" w:color="auto"/>
            </w:tcBorders>
            <w:shd w:val="clear" w:color="auto" w:fill="auto"/>
          </w:tcPr>
          <w:p w14:paraId="2EF98272"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 </w:t>
            </w:r>
          </w:p>
        </w:tc>
      </w:tr>
      <w:tr w:rsidR="00E71C69" w:rsidRPr="00550B1D" w14:paraId="690AC59B" w14:textId="77777777" w:rsidTr="009C4927">
        <w:trPr>
          <w:gridAfter w:val="1"/>
          <w:wAfter w:w="32" w:type="dxa"/>
        </w:trPr>
        <w:tc>
          <w:tcPr>
            <w:tcW w:w="8129" w:type="dxa"/>
            <w:gridSpan w:val="6"/>
            <w:tcBorders>
              <w:top w:val="single" w:sz="4" w:space="0" w:color="auto"/>
              <w:bottom w:val="single" w:sz="4" w:space="0" w:color="auto"/>
            </w:tcBorders>
            <w:shd w:val="clear" w:color="auto" w:fill="auto"/>
          </w:tcPr>
          <w:p w14:paraId="77270443" w14:textId="77777777" w:rsidR="00E71C69" w:rsidRPr="00550B1D" w:rsidRDefault="00E71C69" w:rsidP="007B269D">
            <w:pPr>
              <w:rPr>
                <w:rFonts w:ascii="Arial" w:hAnsi="Arial" w:cs="Arial"/>
              </w:rPr>
            </w:pPr>
            <w:r w:rsidRPr="00550B1D">
              <w:rPr>
                <w:rFonts w:ascii="Arial" w:hAnsi="Arial" w:cs="Arial"/>
              </w:rPr>
              <w:t>Is dispensing area temperature controlled between 68° and 77° F. (room temperature)</w:t>
            </w:r>
          </w:p>
        </w:tc>
        <w:tc>
          <w:tcPr>
            <w:tcW w:w="1230" w:type="dxa"/>
            <w:gridSpan w:val="2"/>
            <w:tcBorders>
              <w:top w:val="single" w:sz="4" w:space="0" w:color="auto"/>
              <w:bottom w:val="single" w:sz="4" w:space="0" w:color="auto"/>
            </w:tcBorders>
            <w:shd w:val="clear" w:color="auto" w:fill="auto"/>
          </w:tcPr>
          <w:p w14:paraId="2EDB7879"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80" w:type="dxa"/>
            <w:gridSpan w:val="3"/>
            <w:tcBorders>
              <w:top w:val="single" w:sz="4" w:space="0" w:color="auto"/>
              <w:bottom w:val="single" w:sz="4" w:space="0" w:color="auto"/>
            </w:tcBorders>
            <w:shd w:val="clear" w:color="auto" w:fill="auto"/>
          </w:tcPr>
          <w:p w14:paraId="34A996CB"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r w:rsidR="00E71C69" w:rsidRPr="00550B1D" w14:paraId="37860D1F" w14:textId="77777777" w:rsidTr="009C4927">
        <w:trPr>
          <w:gridAfter w:val="1"/>
          <w:wAfter w:w="32" w:type="dxa"/>
        </w:trPr>
        <w:tc>
          <w:tcPr>
            <w:tcW w:w="8129" w:type="dxa"/>
            <w:gridSpan w:val="6"/>
            <w:tcBorders>
              <w:top w:val="single" w:sz="4" w:space="0" w:color="auto"/>
              <w:bottom w:val="single" w:sz="4" w:space="0" w:color="auto"/>
            </w:tcBorders>
            <w:shd w:val="clear" w:color="auto" w:fill="auto"/>
          </w:tcPr>
          <w:p w14:paraId="5D4BBFAC" w14:textId="77777777" w:rsidR="00E71C69" w:rsidRPr="00550B1D" w:rsidRDefault="00E71C69" w:rsidP="007B269D">
            <w:pPr>
              <w:rPr>
                <w:rFonts w:ascii="Arial" w:hAnsi="Arial" w:cs="Arial"/>
              </w:rPr>
            </w:pPr>
            <w:r w:rsidRPr="00550B1D">
              <w:rPr>
                <w:rFonts w:ascii="Arial" w:hAnsi="Arial" w:cs="Arial"/>
              </w:rPr>
              <w:t>Is a back-up generator available that would, at a minimum, supply light and heat to the building?</w:t>
            </w:r>
          </w:p>
        </w:tc>
        <w:tc>
          <w:tcPr>
            <w:tcW w:w="1230" w:type="dxa"/>
            <w:gridSpan w:val="2"/>
            <w:tcBorders>
              <w:top w:val="single" w:sz="4" w:space="0" w:color="auto"/>
              <w:bottom w:val="single" w:sz="4" w:space="0" w:color="auto"/>
            </w:tcBorders>
            <w:shd w:val="clear" w:color="auto" w:fill="auto"/>
          </w:tcPr>
          <w:p w14:paraId="3E0506B2"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80" w:type="dxa"/>
            <w:gridSpan w:val="3"/>
            <w:tcBorders>
              <w:top w:val="single" w:sz="4" w:space="0" w:color="auto"/>
              <w:bottom w:val="single" w:sz="4" w:space="0" w:color="auto"/>
            </w:tcBorders>
            <w:shd w:val="clear" w:color="auto" w:fill="auto"/>
          </w:tcPr>
          <w:p w14:paraId="61DEB301"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r w:rsidR="00E71C69" w:rsidRPr="00550B1D" w14:paraId="4DC8924D" w14:textId="77777777" w:rsidTr="009C4927">
        <w:trPr>
          <w:gridAfter w:val="1"/>
          <w:wAfter w:w="32" w:type="dxa"/>
        </w:trPr>
        <w:tc>
          <w:tcPr>
            <w:tcW w:w="8129" w:type="dxa"/>
            <w:gridSpan w:val="6"/>
            <w:tcBorders>
              <w:top w:val="single" w:sz="4" w:space="0" w:color="auto"/>
              <w:bottom w:val="single" w:sz="4" w:space="0" w:color="auto"/>
            </w:tcBorders>
            <w:shd w:val="clear" w:color="auto" w:fill="auto"/>
          </w:tcPr>
          <w:p w14:paraId="2CB23D59" w14:textId="77777777" w:rsidR="00E71C69" w:rsidRPr="00550B1D" w:rsidRDefault="00E71C69" w:rsidP="007B269D">
            <w:pPr>
              <w:rPr>
                <w:rFonts w:ascii="Arial" w:hAnsi="Arial" w:cs="Arial"/>
              </w:rPr>
            </w:pPr>
            <w:r w:rsidRPr="00550B1D">
              <w:rPr>
                <w:rFonts w:ascii="Arial" w:hAnsi="Arial" w:cs="Arial"/>
              </w:rPr>
              <w:t>Is onsite parking available for staff and volunteers?</w:t>
            </w:r>
          </w:p>
        </w:tc>
        <w:tc>
          <w:tcPr>
            <w:tcW w:w="1230" w:type="dxa"/>
            <w:gridSpan w:val="2"/>
            <w:tcBorders>
              <w:top w:val="single" w:sz="4" w:space="0" w:color="auto"/>
              <w:bottom w:val="single" w:sz="4" w:space="0" w:color="auto"/>
            </w:tcBorders>
            <w:shd w:val="clear" w:color="auto" w:fill="auto"/>
          </w:tcPr>
          <w:p w14:paraId="4CE84610"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80" w:type="dxa"/>
            <w:gridSpan w:val="3"/>
            <w:tcBorders>
              <w:top w:val="single" w:sz="4" w:space="0" w:color="auto"/>
              <w:bottom w:val="single" w:sz="4" w:space="0" w:color="auto"/>
            </w:tcBorders>
            <w:shd w:val="clear" w:color="auto" w:fill="auto"/>
          </w:tcPr>
          <w:p w14:paraId="05D4BFA3"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r w:rsidR="00E71C69" w:rsidRPr="00550B1D" w14:paraId="41281628" w14:textId="77777777" w:rsidTr="009C4927">
        <w:trPr>
          <w:gridAfter w:val="1"/>
          <w:wAfter w:w="32" w:type="dxa"/>
        </w:trPr>
        <w:tc>
          <w:tcPr>
            <w:tcW w:w="8129" w:type="dxa"/>
            <w:gridSpan w:val="6"/>
            <w:tcBorders>
              <w:top w:val="single" w:sz="4" w:space="0" w:color="auto"/>
              <w:bottom w:val="single" w:sz="4" w:space="0" w:color="auto"/>
            </w:tcBorders>
            <w:shd w:val="clear" w:color="auto" w:fill="auto"/>
          </w:tcPr>
          <w:p w14:paraId="22A175C2" w14:textId="77777777" w:rsidR="00E71C69" w:rsidRPr="00550B1D" w:rsidRDefault="00E71C69" w:rsidP="007B269D">
            <w:pPr>
              <w:rPr>
                <w:rFonts w:ascii="Arial" w:hAnsi="Arial" w:cs="Arial"/>
              </w:rPr>
            </w:pPr>
            <w:r w:rsidRPr="00550B1D">
              <w:rPr>
                <w:rFonts w:ascii="Arial" w:hAnsi="Arial" w:cs="Arial"/>
              </w:rPr>
              <w:t>Is parking for staff and volunteers adequate to accommodate shift changes?</w:t>
            </w:r>
          </w:p>
        </w:tc>
        <w:tc>
          <w:tcPr>
            <w:tcW w:w="1230" w:type="dxa"/>
            <w:gridSpan w:val="2"/>
            <w:tcBorders>
              <w:top w:val="single" w:sz="4" w:space="0" w:color="auto"/>
              <w:bottom w:val="single" w:sz="4" w:space="0" w:color="auto"/>
            </w:tcBorders>
            <w:shd w:val="clear" w:color="auto" w:fill="auto"/>
          </w:tcPr>
          <w:p w14:paraId="272F4887"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80" w:type="dxa"/>
            <w:gridSpan w:val="3"/>
            <w:tcBorders>
              <w:top w:val="single" w:sz="4" w:space="0" w:color="auto"/>
              <w:bottom w:val="single" w:sz="4" w:space="0" w:color="auto"/>
            </w:tcBorders>
            <w:shd w:val="clear" w:color="auto" w:fill="auto"/>
          </w:tcPr>
          <w:p w14:paraId="5BFE2D98"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r w:rsidR="00E71C69" w:rsidRPr="00550B1D" w14:paraId="4E8EF951" w14:textId="77777777" w:rsidTr="009C4927">
        <w:trPr>
          <w:gridAfter w:val="1"/>
          <w:wAfter w:w="32" w:type="dxa"/>
        </w:trPr>
        <w:tc>
          <w:tcPr>
            <w:tcW w:w="8129" w:type="dxa"/>
            <w:gridSpan w:val="6"/>
            <w:tcBorders>
              <w:top w:val="single" w:sz="4" w:space="0" w:color="auto"/>
              <w:bottom w:val="thickThinSmallGap" w:sz="24" w:space="0" w:color="auto"/>
            </w:tcBorders>
            <w:shd w:val="clear" w:color="auto" w:fill="auto"/>
          </w:tcPr>
          <w:p w14:paraId="39E6D2A0" w14:textId="77777777" w:rsidR="00E71C69" w:rsidRPr="00550B1D" w:rsidRDefault="00E71C69" w:rsidP="007B269D">
            <w:pPr>
              <w:rPr>
                <w:rFonts w:ascii="Arial" w:hAnsi="Arial" w:cs="Arial"/>
              </w:rPr>
            </w:pPr>
            <w:r w:rsidRPr="00550B1D">
              <w:rPr>
                <w:rFonts w:ascii="Arial" w:hAnsi="Arial" w:cs="Arial"/>
              </w:rPr>
              <w:t>Is there a room av</w:t>
            </w:r>
            <w:r>
              <w:rPr>
                <w:rFonts w:ascii="Arial" w:hAnsi="Arial" w:cs="Arial"/>
              </w:rPr>
              <w:t>ailable for a staff break space</w:t>
            </w:r>
            <w:r w:rsidRPr="00550B1D">
              <w:rPr>
                <w:rFonts w:ascii="Arial" w:hAnsi="Arial" w:cs="Arial"/>
              </w:rPr>
              <w:t xml:space="preserve"> away from the dispensing operation and/or crowd?</w:t>
            </w:r>
          </w:p>
        </w:tc>
        <w:tc>
          <w:tcPr>
            <w:tcW w:w="1230" w:type="dxa"/>
            <w:gridSpan w:val="2"/>
            <w:tcBorders>
              <w:top w:val="single" w:sz="4" w:space="0" w:color="auto"/>
              <w:bottom w:val="thickThinSmallGap" w:sz="24" w:space="0" w:color="auto"/>
            </w:tcBorders>
            <w:shd w:val="clear" w:color="auto" w:fill="auto"/>
          </w:tcPr>
          <w:p w14:paraId="672B12A6"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80" w:type="dxa"/>
            <w:gridSpan w:val="3"/>
            <w:tcBorders>
              <w:top w:val="single" w:sz="4" w:space="0" w:color="auto"/>
              <w:bottom w:val="thickThinSmallGap" w:sz="24" w:space="0" w:color="auto"/>
            </w:tcBorders>
            <w:shd w:val="clear" w:color="auto" w:fill="auto"/>
          </w:tcPr>
          <w:p w14:paraId="7A7751ED"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r w:rsidR="00E71C69" w:rsidRPr="00550B1D" w14:paraId="47657395" w14:textId="77777777" w:rsidTr="009C4927">
        <w:tblPrEx>
          <w:tblBorders>
            <w:insideH w:val="single" w:sz="4" w:space="0" w:color="auto"/>
            <w:insideV w:val="single" w:sz="4" w:space="0" w:color="auto"/>
          </w:tblBorders>
        </w:tblPrEx>
        <w:trPr>
          <w:gridAfter w:val="2"/>
          <w:wAfter w:w="68" w:type="dxa"/>
        </w:trPr>
        <w:tc>
          <w:tcPr>
            <w:tcW w:w="8129" w:type="dxa"/>
            <w:gridSpan w:val="6"/>
            <w:tcBorders>
              <w:top w:val="thickThinSmallGap" w:sz="24" w:space="0" w:color="auto"/>
              <w:left w:val="single" w:sz="4" w:space="0" w:color="auto"/>
              <w:bottom w:val="nil"/>
              <w:right w:val="nil"/>
            </w:tcBorders>
            <w:shd w:val="clear" w:color="auto" w:fill="E0E0E0"/>
          </w:tcPr>
          <w:p w14:paraId="5DFF7AF4" w14:textId="77777777" w:rsidR="00E71C69" w:rsidRPr="00550B1D" w:rsidRDefault="00E71C69" w:rsidP="007B269D">
            <w:pPr>
              <w:spacing w:after="240"/>
              <w:rPr>
                <w:rFonts w:ascii="Arial" w:hAnsi="Arial" w:cs="Arial"/>
                <w:b/>
                <w:smallCaps/>
              </w:rPr>
            </w:pPr>
            <w:r w:rsidRPr="00550B1D">
              <w:rPr>
                <w:rFonts w:ascii="Arial" w:hAnsi="Arial" w:cs="Arial"/>
                <w:b/>
                <w:smallCaps/>
              </w:rPr>
              <w:t xml:space="preserve">B. Site and Supply Security </w:t>
            </w:r>
          </w:p>
        </w:tc>
        <w:tc>
          <w:tcPr>
            <w:tcW w:w="2274" w:type="dxa"/>
            <w:gridSpan w:val="4"/>
            <w:tcBorders>
              <w:top w:val="thickThinSmallGap" w:sz="24" w:space="0" w:color="auto"/>
              <w:left w:val="nil"/>
              <w:bottom w:val="nil"/>
              <w:right w:val="single" w:sz="4" w:space="0" w:color="auto"/>
            </w:tcBorders>
            <w:shd w:val="clear" w:color="auto" w:fill="E0E0E0"/>
          </w:tcPr>
          <w:p w14:paraId="2D1CDD60" w14:textId="77777777" w:rsidR="00E71C69" w:rsidRPr="00550B1D" w:rsidRDefault="00E71C69" w:rsidP="007B269D">
            <w:pPr>
              <w:spacing w:after="240"/>
              <w:jc w:val="center"/>
              <w:rPr>
                <w:rFonts w:ascii="Arial" w:hAnsi="Arial" w:cs="Arial"/>
                <w:b/>
                <w:smallCaps/>
              </w:rPr>
            </w:pPr>
            <w:r w:rsidRPr="00550B1D">
              <w:rPr>
                <w:rFonts w:ascii="Arial" w:hAnsi="Arial" w:cs="Arial"/>
                <w:b/>
                <w:smallCaps/>
              </w:rPr>
              <w:sym w:font="Wingdings 2" w:char="F052"/>
            </w:r>
            <w:r w:rsidRPr="00550B1D">
              <w:rPr>
                <w:rFonts w:ascii="Arial" w:hAnsi="Arial" w:cs="Arial"/>
                <w:b/>
                <w:smallCaps/>
              </w:rPr>
              <w:t xml:space="preserve"> Check One:</w:t>
            </w:r>
          </w:p>
        </w:tc>
      </w:tr>
      <w:tr w:rsidR="00E71C69" w:rsidRPr="00550B1D" w14:paraId="395782F4" w14:textId="77777777" w:rsidTr="009C4927">
        <w:tblPrEx>
          <w:tblBorders>
            <w:insideH w:val="single" w:sz="4" w:space="0" w:color="auto"/>
            <w:insideV w:val="single" w:sz="4" w:space="0" w:color="auto"/>
          </w:tblBorders>
        </w:tblPrEx>
        <w:trPr>
          <w:gridAfter w:val="2"/>
          <w:wAfter w:w="68" w:type="dxa"/>
        </w:trPr>
        <w:tc>
          <w:tcPr>
            <w:tcW w:w="8129" w:type="dxa"/>
            <w:gridSpan w:val="6"/>
            <w:tcBorders>
              <w:top w:val="nil"/>
              <w:left w:val="single" w:sz="4" w:space="0" w:color="auto"/>
              <w:bottom w:val="single" w:sz="4" w:space="0" w:color="auto"/>
              <w:right w:val="nil"/>
            </w:tcBorders>
            <w:shd w:val="clear" w:color="auto" w:fill="auto"/>
          </w:tcPr>
          <w:p w14:paraId="1A0FEE74" w14:textId="77777777" w:rsidR="00E71C69" w:rsidRPr="00550B1D" w:rsidRDefault="00E71C69" w:rsidP="007B269D">
            <w:pPr>
              <w:rPr>
                <w:rFonts w:ascii="Arial" w:hAnsi="Arial" w:cs="Arial"/>
              </w:rPr>
            </w:pPr>
            <w:r w:rsidRPr="00550B1D">
              <w:rPr>
                <w:rFonts w:ascii="Arial" w:hAnsi="Arial" w:cs="Arial"/>
              </w:rPr>
              <w:t>Has law enforcement agency participated in a vulnerability assessment of the site?</w:t>
            </w:r>
          </w:p>
        </w:tc>
        <w:tc>
          <w:tcPr>
            <w:tcW w:w="1230" w:type="dxa"/>
            <w:gridSpan w:val="2"/>
            <w:tcBorders>
              <w:top w:val="nil"/>
              <w:left w:val="nil"/>
              <w:bottom w:val="single" w:sz="4" w:space="0" w:color="auto"/>
              <w:right w:val="nil"/>
            </w:tcBorders>
            <w:shd w:val="clear" w:color="auto" w:fill="auto"/>
          </w:tcPr>
          <w:p w14:paraId="703B8B04"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44" w:type="dxa"/>
            <w:gridSpan w:val="2"/>
            <w:tcBorders>
              <w:top w:val="nil"/>
              <w:left w:val="nil"/>
              <w:bottom w:val="single" w:sz="4" w:space="0" w:color="auto"/>
              <w:right w:val="single" w:sz="4" w:space="0" w:color="auto"/>
            </w:tcBorders>
            <w:shd w:val="clear" w:color="auto" w:fill="auto"/>
          </w:tcPr>
          <w:p w14:paraId="3750FF1B"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r w:rsidR="00E71C69" w:rsidRPr="00550B1D" w14:paraId="28C89820" w14:textId="77777777" w:rsidTr="009C4927">
        <w:tblPrEx>
          <w:tblBorders>
            <w:insideH w:val="single" w:sz="4" w:space="0" w:color="auto"/>
            <w:insideV w:val="single" w:sz="4" w:space="0" w:color="auto"/>
          </w:tblBorders>
        </w:tblPrEx>
        <w:trPr>
          <w:gridAfter w:val="2"/>
          <w:wAfter w:w="68" w:type="dxa"/>
          <w:trHeight w:val="260"/>
        </w:trPr>
        <w:tc>
          <w:tcPr>
            <w:tcW w:w="8129" w:type="dxa"/>
            <w:gridSpan w:val="6"/>
            <w:tcBorders>
              <w:top w:val="nil"/>
              <w:left w:val="single" w:sz="4" w:space="0" w:color="auto"/>
              <w:bottom w:val="single" w:sz="4" w:space="0" w:color="auto"/>
              <w:right w:val="nil"/>
            </w:tcBorders>
            <w:shd w:val="clear" w:color="auto" w:fill="auto"/>
          </w:tcPr>
          <w:p w14:paraId="6D47A3CE" w14:textId="77777777" w:rsidR="00E71C69" w:rsidRPr="00550B1D" w:rsidRDefault="00E71C69" w:rsidP="007B269D">
            <w:pPr>
              <w:rPr>
                <w:rFonts w:ascii="Arial" w:hAnsi="Arial" w:cs="Arial"/>
              </w:rPr>
            </w:pPr>
            <w:r w:rsidRPr="00550B1D">
              <w:rPr>
                <w:rFonts w:ascii="Arial" w:hAnsi="Arial" w:cs="Arial"/>
              </w:rPr>
              <w:t>Is property or facility able to be locked down?</w:t>
            </w:r>
          </w:p>
        </w:tc>
        <w:tc>
          <w:tcPr>
            <w:tcW w:w="1230" w:type="dxa"/>
            <w:gridSpan w:val="2"/>
            <w:tcBorders>
              <w:top w:val="nil"/>
              <w:left w:val="nil"/>
              <w:bottom w:val="single" w:sz="4" w:space="0" w:color="auto"/>
              <w:right w:val="nil"/>
            </w:tcBorders>
            <w:shd w:val="clear" w:color="auto" w:fill="auto"/>
          </w:tcPr>
          <w:p w14:paraId="7063F584"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44" w:type="dxa"/>
            <w:gridSpan w:val="2"/>
            <w:tcBorders>
              <w:top w:val="nil"/>
              <w:left w:val="nil"/>
              <w:bottom w:val="single" w:sz="4" w:space="0" w:color="auto"/>
              <w:right w:val="single" w:sz="4" w:space="0" w:color="auto"/>
            </w:tcBorders>
            <w:shd w:val="clear" w:color="auto" w:fill="auto"/>
          </w:tcPr>
          <w:p w14:paraId="45CEC782"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r w:rsidR="00E71C69" w:rsidRPr="00550B1D" w14:paraId="088CA678" w14:textId="77777777" w:rsidTr="009C4927">
        <w:tblPrEx>
          <w:tblBorders>
            <w:insideH w:val="single" w:sz="4" w:space="0" w:color="auto"/>
            <w:insideV w:val="single" w:sz="4" w:space="0" w:color="auto"/>
          </w:tblBorders>
        </w:tblPrEx>
        <w:trPr>
          <w:gridAfter w:val="2"/>
          <w:wAfter w:w="68" w:type="dxa"/>
          <w:trHeight w:val="260"/>
        </w:trPr>
        <w:tc>
          <w:tcPr>
            <w:tcW w:w="8129" w:type="dxa"/>
            <w:gridSpan w:val="6"/>
            <w:tcBorders>
              <w:top w:val="nil"/>
              <w:left w:val="single" w:sz="4" w:space="0" w:color="auto"/>
              <w:bottom w:val="single" w:sz="4" w:space="0" w:color="auto"/>
              <w:right w:val="nil"/>
            </w:tcBorders>
            <w:shd w:val="clear" w:color="auto" w:fill="auto"/>
          </w:tcPr>
          <w:p w14:paraId="3280CB8F" w14:textId="77777777" w:rsidR="00E71C69" w:rsidRPr="00550B1D" w:rsidRDefault="00E71C69" w:rsidP="007B269D">
            <w:pPr>
              <w:rPr>
                <w:rFonts w:ascii="Arial" w:hAnsi="Arial" w:cs="Arial"/>
              </w:rPr>
            </w:pPr>
            <w:r w:rsidRPr="00550B1D">
              <w:rPr>
                <w:rFonts w:ascii="Arial" w:hAnsi="Arial" w:cs="Arial"/>
              </w:rPr>
              <w:t>Does the site have an appropriate area for a law enforcement command center?</w:t>
            </w:r>
          </w:p>
        </w:tc>
        <w:tc>
          <w:tcPr>
            <w:tcW w:w="1230" w:type="dxa"/>
            <w:gridSpan w:val="2"/>
            <w:tcBorders>
              <w:top w:val="nil"/>
              <w:left w:val="nil"/>
              <w:bottom w:val="single" w:sz="4" w:space="0" w:color="auto"/>
              <w:right w:val="nil"/>
            </w:tcBorders>
            <w:shd w:val="clear" w:color="auto" w:fill="auto"/>
          </w:tcPr>
          <w:p w14:paraId="120DEED0"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44" w:type="dxa"/>
            <w:gridSpan w:val="2"/>
            <w:tcBorders>
              <w:top w:val="nil"/>
              <w:left w:val="nil"/>
              <w:bottom w:val="single" w:sz="4" w:space="0" w:color="auto"/>
              <w:right w:val="single" w:sz="4" w:space="0" w:color="auto"/>
            </w:tcBorders>
            <w:shd w:val="clear" w:color="auto" w:fill="auto"/>
          </w:tcPr>
          <w:p w14:paraId="3B8F6E71"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r w:rsidR="00E71C69" w:rsidRPr="00550B1D" w14:paraId="79B7A08B" w14:textId="77777777" w:rsidTr="009C4927">
        <w:tblPrEx>
          <w:tblBorders>
            <w:insideH w:val="single" w:sz="4" w:space="0" w:color="auto"/>
            <w:insideV w:val="single" w:sz="4" w:space="0" w:color="auto"/>
          </w:tblBorders>
        </w:tblPrEx>
        <w:trPr>
          <w:gridAfter w:val="2"/>
          <w:wAfter w:w="68" w:type="dxa"/>
          <w:trHeight w:val="260"/>
        </w:trPr>
        <w:tc>
          <w:tcPr>
            <w:tcW w:w="8129" w:type="dxa"/>
            <w:gridSpan w:val="6"/>
            <w:tcBorders>
              <w:top w:val="nil"/>
              <w:left w:val="single" w:sz="4" w:space="0" w:color="auto"/>
              <w:bottom w:val="single" w:sz="4" w:space="0" w:color="auto"/>
              <w:right w:val="nil"/>
            </w:tcBorders>
            <w:shd w:val="clear" w:color="auto" w:fill="auto"/>
          </w:tcPr>
          <w:p w14:paraId="16DAECAA" w14:textId="77777777" w:rsidR="00E71C69" w:rsidRPr="00550B1D" w:rsidRDefault="00E71C69" w:rsidP="007B269D">
            <w:pPr>
              <w:rPr>
                <w:rFonts w:ascii="Arial" w:hAnsi="Arial" w:cs="Arial"/>
              </w:rPr>
            </w:pPr>
            <w:r w:rsidRPr="00550B1D">
              <w:rPr>
                <w:rFonts w:ascii="Arial" w:hAnsi="Arial" w:cs="Arial"/>
              </w:rPr>
              <w:t>Does site allow for officers, guards or security volunteers to coordinate the following?</w:t>
            </w:r>
          </w:p>
        </w:tc>
        <w:tc>
          <w:tcPr>
            <w:tcW w:w="1230" w:type="dxa"/>
            <w:gridSpan w:val="2"/>
            <w:tcBorders>
              <w:top w:val="nil"/>
              <w:left w:val="nil"/>
              <w:bottom w:val="single" w:sz="4" w:space="0" w:color="auto"/>
              <w:right w:val="nil"/>
            </w:tcBorders>
            <w:shd w:val="clear" w:color="auto" w:fill="auto"/>
          </w:tcPr>
          <w:p w14:paraId="67B5E988" w14:textId="77777777" w:rsidR="00E71C69" w:rsidRPr="00550B1D" w:rsidRDefault="00E71C69" w:rsidP="007B269D">
            <w:pPr>
              <w:jc w:val="center"/>
              <w:rPr>
                <w:rFonts w:ascii="Arial" w:hAnsi="Arial" w:cs="Arial"/>
                <w:b/>
                <w:smallCaps/>
              </w:rPr>
            </w:pPr>
          </w:p>
        </w:tc>
        <w:tc>
          <w:tcPr>
            <w:tcW w:w="1044" w:type="dxa"/>
            <w:gridSpan w:val="2"/>
            <w:tcBorders>
              <w:top w:val="nil"/>
              <w:left w:val="nil"/>
              <w:bottom w:val="single" w:sz="4" w:space="0" w:color="auto"/>
              <w:right w:val="single" w:sz="4" w:space="0" w:color="auto"/>
            </w:tcBorders>
            <w:shd w:val="clear" w:color="auto" w:fill="auto"/>
          </w:tcPr>
          <w:p w14:paraId="48CCF3F4" w14:textId="77777777" w:rsidR="00E71C69" w:rsidRPr="00550B1D" w:rsidRDefault="00E71C69" w:rsidP="007B269D">
            <w:pPr>
              <w:jc w:val="center"/>
              <w:rPr>
                <w:rFonts w:ascii="Arial" w:hAnsi="Arial" w:cs="Arial"/>
                <w:b/>
                <w:smallCaps/>
              </w:rPr>
            </w:pPr>
          </w:p>
        </w:tc>
      </w:tr>
      <w:tr w:rsidR="00E71C69" w:rsidRPr="00550B1D" w14:paraId="0F21D730" w14:textId="77777777" w:rsidTr="009C4927">
        <w:tblPrEx>
          <w:tblBorders>
            <w:insideH w:val="single" w:sz="4" w:space="0" w:color="auto"/>
            <w:insideV w:val="single" w:sz="4" w:space="0" w:color="auto"/>
          </w:tblBorders>
        </w:tblPrEx>
        <w:trPr>
          <w:gridAfter w:val="2"/>
          <w:wAfter w:w="68" w:type="dxa"/>
          <w:trHeight w:val="1871"/>
        </w:trPr>
        <w:tc>
          <w:tcPr>
            <w:tcW w:w="8129" w:type="dxa"/>
            <w:gridSpan w:val="6"/>
            <w:tcBorders>
              <w:top w:val="single" w:sz="4" w:space="0" w:color="auto"/>
              <w:left w:val="single" w:sz="4" w:space="0" w:color="auto"/>
              <w:bottom w:val="single" w:sz="4" w:space="0" w:color="auto"/>
              <w:right w:val="nil"/>
            </w:tcBorders>
            <w:shd w:val="clear" w:color="auto" w:fill="auto"/>
          </w:tcPr>
          <w:p w14:paraId="1496EA96" w14:textId="77777777" w:rsidR="00E71C69" w:rsidRPr="00550B1D" w:rsidRDefault="00E71C69" w:rsidP="000616C8">
            <w:pPr>
              <w:numPr>
                <w:ilvl w:val="0"/>
                <w:numId w:val="87"/>
              </w:numPr>
              <w:tabs>
                <w:tab w:val="clear" w:pos="720"/>
                <w:tab w:val="num" w:pos="1800"/>
              </w:tabs>
              <w:ind w:left="1800"/>
              <w:rPr>
                <w:rFonts w:ascii="Arial" w:hAnsi="Arial" w:cs="Arial"/>
              </w:rPr>
            </w:pPr>
            <w:r w:rsidRPr="00550B1D">
              <w:rPr>
                <w:rFonts w:ascii="Arial" w:hAnsi="Arial" w:cs="Arial"/>
              </w:rPr>
              <w:t>Ingress and egress of vehicular traffic</w:t>
            </w:r>
          </w:p>
          <w:p w14:paraId="7CB23A28" w14:textId="77777777" w:rsidR="00E71C69" w:rsidRPr="00550B1D" w:rsidRDefault="001C363F" w:rsidP="000616C8">
            <w:pPr>
              <w:numPr>
                <w:ilvl w:val="0"/>
                <w:numId w:val="87"/>
              </w:numPr>
              <w:tabs>
                <w:tab w:val="clear" w:pos="720"/>
                <w:tab w:val="num" w:pos="1800"/>
              </w:tabs>
              <w:ind w:left="1800"/>
              <w:rPr>
                <w:rFonts w:ascii="Arial" w:hAnsi="Arial" w:cs="Arial"/>
              </w:rPr>
            </w:pPr>
            <w:r>
              <w:rPr>
                <w:rFonts w:ascii="Arial" w:hAnsi="Arial" w:cs="Arial"/>
              </w:rPr>
              <w:t>P</w:t>
            </w:r>
            <w:r w:rsidR="00E71C69" w:rsidRPr="00550B1D">
              <w:rPr>
                <w:rFonts w:ascii="Arial" w:hAnsi="Arial" w:cs="Arial"/>
              </w:rPr>
              <w:t>arking</w:t>
            </w:r>
          </w:p>
          <w:p w14:paraId="5C6DFD2D" w14:textId="77777777" w:rsidR="00E71C69" w:rsidRPr="00550B1D" w:rsidRDefault="00E71C69" w:rsidP="000616C8">
            <w:pPr>
              <w:numPr>
                <w:ilvl w:val="0"/>
                <w:numId w:val="87"/>
              </w:numPr>
              <w:tabs>
                <w:tab w:val="clear" w:pos="720"/>
                <w:tab w:val="num" w:pos="1800"/>
              </w:tabs>
              <w:ind w:left="1800"/>
              <w:rPr>
                <w:rFonts w:ascii="Arial" w:hAnsi="Arial" w:cs="Arial"/>
              </w:rPr>
            </w:pPr>
            <w:r w:rsidRPr="00550B1D">
              <w:rPr>
                <w:rFonts w:ascii="Arial" w:hAnsi="Arial" w:cs="Arial"/>
              </w:rPr>
              <w:t>Crowd Control outside the facility</w:t>
            </w:r>
          </w:p>
          <w:p w14:paraId="02968FE0" w14:textId="77777777" w:rsidR="00E71C69" w:rsidRPr="00550B1D" w:rsidRDefault="00E71C69" w:rsidP="000616C8">
            <w:pPr>
              <w:numPr>
                <w:ilvl w:val="0"/>
                <w:numId w:val="87"/>
              </w:numPr>
              <w:tabs>
                <w:tab w:val="clear" w:pos="720"/>
                <w:tab w:val="num" w:pos="1800"/>
              </w:tabs>
              <w:ind w:left="1800"/>
              <w:rPr>
                <w:rFonts w:ascii="Arial" w:hAnsi="Arial" w:cs="Arial"/>
              </w:rPr>
            </w:pPr>
            <w:r w:rsidRPr="00550B1D">
              <w:rPr>
                <w:rFonts w:ascii="Arial" w:hAnsi="Arial" w:cs="Arial"/>
              </w:rPr>
              <w:t>Protection of staff and volunteers</w:t>
            </w:r>
          </w:p>
          <w:p w14:paraId="651A46C2" w14:textId="77777777" w:rsidR="00E71C69" w:rsidRPr="00550B1D" w:rsidRDefault="00E71C69" w:rsidP="000616C8">
            <w:pPr>
              <w:numPr>
                <w:ilvl w:val="0"/>
                <w:numId w:val="87"/>
              </w:numPr>
              <w:tabs>
                <w:tab w:val="clear" w:pos="720"/>
                <w:tab w:val="num" w:pos="1800"/>
              </w:tabs>
              <w:ind w:left="1800"/>
              <w:rPr>
                <w:rFonts w:ascii="Arial" w:hAnsi="Arial" w:cs="Arial"/>
              </w:rPr>
            </w:pPr>
            <w:r w:rsidRPr="00550B1D">
              <w:rPr>
                <w:rFonts w:ascii="Arial" w:hAnsi="Arial" w:cs="Arial"/>
              </w:rPr>
              <w:t>Access control to facility</w:t>
            </w:r>
          </w:p>
          <w:p w14:paraId="3C197E22" w14:textId="77777777" w:rsidR="009C4927" w:rsidRPr="00550B1D" w:rsidRDefault="00E71C69" w:rsidP="007B269D">
            <w:pPr>
              <w:rPr>
                <w:rFonts w:ascii="Arial" w:hAnsi="Arial" w:cs="Arial"/>
                <w:b/>
                <w:smallCaps/>
              </w:rPr>
            </w:pPr>
            <w:r w:rsidRPr="00550B1D">
              <w:rPr>
                <w:rFonts w:ascii="Arial" w:hAnsi="Arial" w:cs="Arial"/>
                <w:b/>
                <w:smallCaps/>
              </w:rPr>
              <w:t>Notes:</w:t>
            </w:r>
          </w:p>
          <w:p w14:paraId="3908C049" w14:textId="77777777" w:rsidR="00E71C69" w:rsidRPr="00550B1D" w:rsidRDefault="00E71C69" w:rsidP="007B269D">
            <w:pPr>
              <w:rPr>
                <w:rFonts w:ascii="Arial" w:hAnsi="Arial" w:cs="Arial"/>
              </w:rPr>
            </w:pPr>
          </w:p>
        </w:tc>
        <w:tc>
          <w:tcPr>
            <w:tcW w:w="1230" w:type="dxa"/>
            <w:gridSpan w:val="2"/>
            <w:tcBorders>
              <w:top w:val="single" w:sz="4" w:space="0" w:color="auto"/>
              <w:left w:val="nil"/>
              <w:bottom w:val="single" w:sz="4" w:space="0" w:color="auto"/>
              <w:right w:val="nil"/>
            </w:tcBorders>
            <w:shd w:val="clear" w:color="auto" w:fill="auto"/>
          </w:tcPr>
          <w:p w14:paraId="1FC57382"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p w14:paraId="74ED0489"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p w14:paraId="43D3F275"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p w14:paraId="3509418E"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p w14:paraId="3F24B044"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p w14:paraId="7D8AE5B5" w14:textId="77777777" w:rsidR="00E71C69" w:rsidRPr="00550B1D" w:rsidRDefault="00E71C69" w:rsidP="007B269D">
            <w:pPr>
              <w:jc w:val="center"/>
              <w:rPr>
                <w:rFonts w:ascii="Arial" w:hAnsi="Arial" w:cs="Arial"/>
                <w:b/>
                <w:smallCaps/>
              </w:rPr>
            </w:pPr>
          </w:p>
        </w:tc>
        <w:tc>
          <w:tcPr>
            <w:tcW w:w="1044" w:type="dxa"/>
            <w:gridSpan w:val="2"/>
            <w:tcBorders>
              <w:top w:val="single" w:sz="4" w:space="0" w:color="auto"/>
              <w:left w:val="nil"/>
              <w:bottom w:val="single" w:sz="4" w:space="0" w:color="auto"/>
              <w:right w:val="single" w:sz="4" w:space="0" w:color="auto"/>
            </w:tcBorders>
            <w:shd w:val="clear" w:color="auto" w:fill="auto"/>
          </w:tcPr>
          <w:p w14:paraId="549B5C1F"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p w14:paraId="6729E567"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p w14:paraId="4D529FF2"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p w14:paraId="75CEE698"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p w14:paraId="1D7153B3"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p w14:paraId="1FA4C4E2" w14:textId="77777777" w:rsidR="00E71C69" w:rsidRPr="00550B1D" w:rsidRDefault="00E71C69" w:rsidP="007B269D">
            <w:pPr>
              <w:jc w:val="center"/>
              <w:rPr>
                <w:rFonts w:ascii="Arial" w:hAnsi="Arial" w:cs="Arial"/>
                <w:b/>
                <w:smallCaps/>
              </w:rPr>
            </w:pPr>
          </w:p>
        </w:tc>
      </w:tr>
      <w:tr w:rsidR="00E71C69" w:rsidRPr="00550B1D" w14:paraId="038ADC3E" w14:textId="77777777" w:rsidTr="009C4927">
        <w:tblPrEx>
          <w:tblBorders>
            <w:insideH w:val="single" w:sz="4" w:space="0" w:color="auto"/>
            <w:insideV w:val="single" w:sz="4" w:space="0" w:color="auto"/>
          </w:tblBorders>
        </w:tblPrEx>
        <w:trPr>
          <w:gridAfter w:val="2"/>
          <w:wAfter w:w="68" w:type="dxa"/>
        </w:trPr>
        <w:tc>
          <w:tcPr>
            <w:tcW w:w="8129" w:type="dxa"/>
            <w:gridSpan w:val="6"/>
            <w:tcBorders>
              <w:top w:val="single" w:sz="4" w:space="0" w:color="auto"/>
              <w:left w:val="single" w:sz="4" w:space="0" w:color="auto"/>
              <w:bottom w:val="single" w:sz="4" w:space="0" w:color="auto"/>
              <w:right w:val="nil"/>
            </w:tcBorders>
            <w:shd w:val="clear" w:color="auto" w:fill="auto"/>
          </w:tcPr>
          <w:p w14:paraId="2049120C" w14:textId="77777777" w:rsidR="00E71C69" w:rsidRPr="00550B1D" w:rsidRDefault="00E71C69" w:rsidP="007B269D">
            <w:pPr>
              <w:rPr>
                <w:rFonts w:ascii="Arial" w:hAnsi="Arial" w:cs="Arial"/>
              </w:rPr>
            </w:pPr>
            <w:r w:rsidRPr="00550B1D">
              <w:rPr>
                <w:rFonts w:ascii="Arial" w:hAnsi="Arial" w:cs="Arial"/>
              </w:rPr>
              <w:t>Secure indoor storage area for medications or supplies?</w:t>
            </w:r>
          </w:p>
        </w:tc>
        <w:tc>
          <w:tcPr>
            <w:tcW w:w="1230" w:type="dxa"/>
            <w:gridSpan w:val="2"/>
            <w:tcBorders>
              <w:top w:val="single" w:sz="4" w:space="0" w:color="auto"/>
              <w:left w:val="nil"/>
              <w:bottom w:val="single" w:sz="4" w:space="0" w:color="auto"/>
              <w:right w:val="nil"/>
            </w:tcBorders>
            <w:shd w:val="clear" w:color="auto" w:fill="auto"/>
          </w:tcPr>
          <w:p w14:paraId="2E462662"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44" w:type="dxa"/>
            <w:gridSpan w:val="2"/>
            <w:tcBorders>
              <w:top w:val="single" w:sz="4" w:space="0" w:color="auto"/>
              <w:left w:val="nil"/>
              <w:bottom w:val="single" w:sz="4" w:space="0" w:color="auto"/>
              <w:right w:val="single" w:sz="4" w:space="0" w:color="auto"/>
            </w:tcBorders>
            <w:shd w:val="clear" w:color="auto" w:fill="auto"/>
          </w:tcPr>
          <w:p w14:paraId="543B5724"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r w:rsidR="00E71C69" w:rsidRPr="00550B1D" w14:paraId="6AB7E47E" w14:textId="77777777" w:rsidTr="009C4927">
        <w:tblPrEx>
          <w:tblBorders>
            <w:insideH w:val="single" w:sz="4" w:space="0" w:color="auto"/>
            <w:insideV w:val="single" w:sz="4" w:space="0" w:color="auto"/>
          </w:tblBorders>
        </w:tblPrEx>
        <w:trPr>
          <w:gridAfter w:val="2"/>
          <w:wAfter w:w="68" w:type="dxa"/>
        </w:trPr>
        <w:tc>
          <w:tcPr>
            <w:tcW w:w="8129" w:type="dxa"/>
            <w:gridSpan w:val="6"/>
            <w:tcBorders>
              <w:top w:val="single" w:sz="4" w:space="0" w:color="auto"/>
              <w:left w:val="single" w:sz="4" w:space="0" w:color="auto"/>
              <w:bottom w:val="single" w:sz="4" w:space="0" w:color="auto"/>
              <w:right w:val="nil"/>
            </w:tcBorders>
            <w:shd w:val="clear" w:color="auto" w:fill="auto"/>
          </w:tcPr>
          <w:p w14:paraId="012FFA0A" w14:textId="77777777" w:rsidR="00E71C69" w:rsidRPr="00550B1D" w:rsidRDefault="00E71C69" w:rsidP="007B269D">
            <w:pPr>
              <w:rPr>
                <w:rFonts w:ascii="Arial" w:hAnsi="Arial" w:cs="Arial"/>
              </w:rPr>
            </w:pPr>
            <w:r w:rsidRPr="00550B1D">
              <w:rPr>
                <w:rFonts w:ascii="Arial" w:hAnsi="Arial" w:cs="Arial"/>
              </w:rPr>
              <w:t>Is queuing (line) area adequate for anticipated use/throughput?</w:t>
            </w:r>
          </w:p>
        </w:tc>
        <w:tc>
          <w:tcPr>
            <w:tcW w:w="1230" w:type="dxa"/>
            <w:gridSpan w:val="2"/>
            <w:tcBorders>
              <w:top w:val="single" w:sz="4" w:space="0" w:color="auto"/>
              <w:left w:val="nil"/>
              <w:bottom w:val="single" w:sz="4" w:space="0" w:color="auto"/>
              <w:right w:val="nil"/>
            </w:tcBorders>
            <w:shd w:val="clear" w:color="auto" w:fill="auto"/>
          </w:tcPr>
          <w:p w14:paraId="2897F7FF"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44" w:type="dxa"/>
            <w:gridSpan w:val="2"/>
            <w:tcBorders>
              <w:top w:val="single" w:sz="4" w:space="0" w:color="auto"/>
              <w:left w:val="nil"/>
              <w:bottom w:val="single" w:sz="4" w:space="0" w:color="auto"/>
              <w:right w:val="single" w:sz="4" w:space="0" w:color="auto"/>
            </w:tcBorders>
            <w:shd w:val="clear" w:color="auto" w:fill="auto"/>
          </w:tcPr>
          <w:p w14:paraId="6911CB7A"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r w:rsidR="00E71C69" w:rsidRPr="00550B1D" w14:paraId="32F9E7FE" w14:textId="77777777" w:rsidTr="009C4927">
        <w:tblPrEx>
          <w:tblBorders>
            <w:insideH w:val="single" w:sz="4" w:space="0" w:color="auto"/>
            <w:insideV w:val="single" w:sz="4" w:space="0" w:color="auto"/>
          </w:tblBorders>
        </w:tblPrEx>
        <w:trPr>
          <w:gridAfter w:val="2"/>
          <w:wAfter w:w="68" w:type="dxa"/>
        </w:trPr>
        <w:tc>
          <w:tcPr>
            <w:tcW w:w="8129" w:type="dxa"/>
            <w:gridSpan w:val="6"/>
            <w:tcBorders>
              <w:top w:val="single" w:sz="4" w:space="0" w:color="auto"/>
              <w:left w:val="single" w:sz="4" w:space="0" w:color="auto"/>
              <w:bottom w:val="single" w:sz="4" w:space="0" w:color="auto"/>
              <w:right w:val="nil"/>
            </w:tcBorders>
            <w:shd w:val="clear" w:color="auto" w:fill="auto"/>
          </w:tcPr>
          <w:p w14:paraId="2BC59DC7" w14:textId="77777777" w:rsidR="00E71C69" w:rsidRPr="00550B1D" w:rsidRDefault="00E71C69" w:rsidP="007B269D">
            <w:pPr>
              <w:rPr>
                <w:rFonts w:ascii="Arial" w:hAnsi="Arial" w:cs="Arial"/>
              </w:rPr>
            </w:pPr>
            <w:r w:rsidRPr="00550B1D">
              <w:rPr>
                <w:rFonts w:ascii="Arial" w:hAnsi="Arial" w:cs="Arial"/>
              </w:rPr>
              <w:t>If the queue/line is expected to extend outdoors, is there adequate accommodation for inclement weather?</w:t>
            </w:r>
          </w:p>
        </w:tc>
        <w:tc>
          <w:tcPr>
            <w:tcW w:w="1230" w:type="dxa"/>
            <w:gridSpan w:val="2"/>
            <w:tcBorders>
              <w:top w:val="single" w:sz="4" w:space="0" w:color="auto"/>
              <w:left w:val="nil"/>
              <w:bottom w:val="single" w:sz="4" w:space="0" w:color="auto"/>
              <w:right w:val="nil"/>
            </w:tcBorders>
            <w:shd w:val="clear" w:color="auto" w:fill="auto"/>
          </w:tcPr>
          <w:p w14:paraId="57429343"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44" w:type="dxa"/>
            <w:gridSpan w:val="2"/>
            <w:tcBorders>
              <w:top w:val="single" w:sz="4" w:space="0" w:color="auto"/>
              <w:left w:val="nil"/>
              <w:bottom w:val="single" w:sz="4" w:space="0" w:color="auto"/>
              <w:right w:val="single" w:sz="4" w:space="0" w:color="auto"/>
            </w:tcBorders>
            <w:shd w:val="clear" w:color="auto" w:fill="auto"/>
          </w:tcPr>
          <w:p w14:paraId="3018657B"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r w:rsidR="00E71C69" w:rsidRPr="00550B1D" w14:paraId="468912C0" w14:textId="77777777" w:rsidTr="009C4927">
        <w:tblPrEx>
          <w:tblBorders>
            <w:insideH w:val="single" w:sz="4" w:space="0" w:color="auto"/>
            <w:insideV w:val="single" w:sz="4" w:space="0" w:color="auto"/>
          </w:tblBorders>
        </w:tblPrEx>
        <w:trPr>
          <w:gridAfter w:val="2"/>
          <w:wAfter w:w="68" w:type="dxa"/>
        </w:trPr>
        <w:tc>
          <w:tcPr>
            <w:tcW w:w="8129" w:type="dxa"/>
            <w:gridSpan w:val="6"/>
            <w:tcBorders>
              <w:top w:val="single" w:sz="4" w:space="0" w:color="auto"/>
              <w:left w:val="single" w:sz="4" w:space="0" w:color="auto"/>
              <w:bottom w:val="thickThinSmallGap" w:sz="24" w:space="0" w:color="auto"/>
              <w:right w:val="nil"/>
            </w:tcBorders>
            <w:shd w:val="clear" w:color="auto" w:fill="auto"/>
          </w:tcPr>
          <w:p w14:paraId="3845B99D" w14:textId="77777777" w:rsidR="00E71C69" w:rsidRPr="00550B1D" w:rsidRDefault="00E71C69" w:rsidP="007B269D">
            <w:pPr>
              <w:rPr>
                <w:rFonts w:ascii="Arial" w:hAnsi="Arial" w:cs="Arial"/>
              </w:rPr>
            </w:pPr>
            <w:r w:rsidRPr="00550B1D">
              <w:rPr>
                <w:rFonts w:ascii="Arial" w:hAnsi="Arial" w:cs="Arial"/>
              </w:rPr>
              <w:t>Is the loading dock or unloading area able to be secured?</w:t>
            </w:r>
          </w:p>
        </w:tc>
        <w:tc>
          <w:tcPr>
            <w:tcW w:w="1230" w:type="dxa"/>
            <w:gridSpan w:val="2"/>
            <w:tcBorders>
              <w:top w:val="single" w:sz="4" w:space="0" w:color="auto"/>
              <w:left w:val="nil"/>
              <w:bottom w:val="thickThinSmallGap" w:sz="24" w:space="0" w:color="auto"/>
              <w:right w:val="nil"/>
            </w:tcBorders>
            <w:shd w:val="clear" w:color="auto" w:fill="auto"/>
          </w:tcPr>
          <w:p w14:paraId="65EE9AAB"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44" w:type="dxa"/>
            <w:gridSpan w:val="2"/>
            <w:tcBorders>
              <w:top w:val="single" w:sz="4" w:space="0" w:color="auto"/>
              <w:left w:val="nil"/>
              <w:bottom w:val="thickThinSmallGap" w:sz="24" w:space="0" w:color="auto"/>
              <w:right w:val="single" w:sz="4" w:space="0" w:color="auto"/>
            </w:tcBorders>
            <w:shd w:val="clear" w:color="auto" w:fill="auto"/>
          </w:tcPr>
          <w:p w14:paraId="0DB07BC6"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r w:rsidR="00E71C69" w:rsidRPr="00550B1D" w14:paraId="491DEF64" w14:textId="77777777" w:rsidTr="009C4927">
        <w:tblPrEx>
          <w:tblBorders>
            <w:insideH w:val="single" w:sz="4" w:space="0" w:color="auto"/>
            <w:insideV w:val="single" w:sz="4" w:space="0" w:color="auto"/>
          </w:tblBorders>
        </w:tblPrEx>
        <w:trPr>
          <w:gridBefore w:val="1"/>
          <w:gridAfter w:val="1"/>
          <w:wBefore w:w="12" w:type="dxa"/>
          <w:wAfter w:w="32" w:type="dxa"/>
        </w:trPr>
        <w:tc>
          <w:tcPr>
            <w:tcW w:w="7936" w:type="dxa"/>
            <w:gridSpan w:val="4"/>
            <w:tcBorders>
              <w:top w:val="thickThinSmallGap" w:sz="24" w:space="0" w:color="auto"/>
              <w:left w:val="single" w:sz="4" w:space="0" w:color="auto"/>
              <w:bottom w:val="nil"/>
              <w:right w:val="nil"/>
            </w:tcBorders>
            <w:shd w:val="clear" w:color="auto" w:fill="E0E0E0"/>
          </w:tcPr>
          <w:p w14:paraId="13A135F5" w14:textId="77777777" w:rsidR="00E71C69" w:rsidRPr="00550B1D" w:rsidRDefault="00E71C69" w:rsidP="007B269D">
            <w:pPr>
              <w:rPr>
                <w:rFonts w:ascii="Arial" w:hAnsi="Arial" w:cs="Arial"/>
                <w:b/>
                <w:smallCaps/>
              </w:rPr>
            </w:pPr>
            <w:r w:rsidRPr="00550B1D">
              <w:rPr>
                <w:rFonts w:ascii="Arial" w:hAnsi="Arial" w:cs="Arial"/>
                <w:b/>
                <w:smallCaps/>
              </w:rPr>
              <w:t>C. Vehicular Traffic  Flow</w:t>
            </w:r>
          </w:p>
        </w:tc>
        <w:tc>
          <w:tcPr>
            <w:tcW w:w="2491" w:type="dxa"/>
            <w:gridSpan w:val="6"/>
            <w:tcBorders>
              <w:top w:val="thickThinSmallGap" w:sz="24" w:space="0" w:color="auto"/>
              <w:left w:val="nil"/>
              <w:bottom w:val="nil"/>
              <w:right w:val="single" w:sz="4" w:space="0" w:color="auto"/>
            </w:tcBorders>
            <w:shd w:val="clear" w:color="auto" w:fill="E0E0E0"/>
          </w:tcPr>
          <w:p w14:paraId="2A9FA231"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52"/>
            </w:r>
            <w:r w:rsidRPr="00550B1D">
              <w:rPr>
                <w:rFonts w:ascii="Arial" w:hAnsi="Arial" w:cs="Arial"/>
                <w:b/>
                <w:smallCaps/>
              </w:rPr>
              <w:t xml:space="preserve"> Check One</w:t>
            </w:r>
          </w:p>
        </w:tc>
      </w:tr>
      <w:tr w:rsidR="00E71C69" w:rsidRPr="00550B1D" w14:paraId="4C2DA17A" w14:textId="77777777" w:rsidTr="009C4927">
        <w:tblPrEx>
          <w:tblBorders>
            <w:insideH w:val="single" w:sz="4" w:space="0" w:color="auto"/>
            <w:insideV w:val="single" w:sz="4" w:space="0" w:color="auto"/>
          </w:tblBorders>
        </w:tblPrEx>
        <w:trPr>
          <w:gridBefore w:val="1"/>
          <w:wBefore w:w="12" w:type="dxa"/>
        </w:trPr>
        <w:tc>
          <w:tcPr>
            <w:tcW w:w="8117" w:type="dxa"/>
            <w:gridSpan w:val="5"/>
            <w:tcBorders>
              <w:top w:val="nil"/>
              <w:left w:val="single" w:sz="4" w:space="0" w:color="auto"/>
              <w:bottom w:val="single" w:sz="4" w:space="0" w:color="auto"/>
              <w:right w:val="nil"/>
            </w:tcBorders>
            <w:shd w:val="clear" w:color="auto" w:fill="auto"/>
          </w:tcPr>
          <w:p w14:paraId="1C75B502" w14:textId="77777777" w:rsidR="00E71C69" w:rsidRPr="00550B1D" w:rsidRDefault="00E71C69" w:rsidP="007B269D">
            <w:pPr>
              <w:rPr>
                <w:rFonts w:ascii="Arial" w:hAnsi="Arial" w:cs="Arial"/>
              </w:rPr>
            </w:pPr>
            <w:r w:rsidRPr="00550B1D">
              <w:rPr>
                <w:rFonts w:ascii="Arial" w:hAnsi="Arial" w:cs="Arial"/>
              </w:rPr>
              <w:t>Will normal traffic patterns be altered?</w:t>
            </w:r>
          </w:p>
        </w:tc>
        <w:tc>
          <w:tcPr>
            <w:tcW w:w="1299" w:type="dxa"/>
            <w:gridSpan w:val="3"/>
            <w:tcBorders>
              <w:top w:val="nil"/>
              <w:left w:val="nil"/>
              <w:bottom w:val="single" w:sz="4" w:space="0" w:color="auto"/>
              <w:right w:val="nil"/>
            </w:tcBorders>
            <w:shd w:val="clear" w:color="auto" w:fill="auto"/>
          </w:tcPr>
          <w:p w14:paraId="6AADD3DB"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43" w:type="dxa"/>
            <w:gridSpan w:val="3"/>
            <w:tcBorders>
              <w:top w:val="nil"/>
              <w:left w:val="nil"/>
              <w:bottom w:val="single" w:sz="4" w:space="0" w:color="auto"/>
              <w:right w:val="single" w:sz="4" w:space="0" w:color="auto"/>
            </w:tcBorders>
            <w:shd w:val="clear" w:color="auto" w:fill="auto"/>
          </w:tcPr>
          <w:p w14:paraId="29A5795D"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r w:rsidR="00E71C69" w:rsidRPr="00550B1D" w14:paraId="4AF80CC8" w14:textId="77777777" w:rsidTr="009C4927">
        <w:tblPrEx>
          <w:tblBorders>
            <w:insideH w:val="single" w:sz="4" w:space="0" w:color="auto"/>
            <w:insideV w:val="single" w:sz="4" w:space="0" w:color="auto"/>
          </w:tblBorders>
        </w:tblPrEx>
        <w:trPr>
          <w:gridBefore w:val="1"/>
          <w:wBefore w:w="12" w:type="dxa"/>
        </w:trPr>
        <w:tc>
          <w:tcPr>
            <w:tcW w:w="8117" w:type="dxa"/>
            <w:gridSpan w:val="5"/>
            <w:tcBorders>
              <w:top w:val="single" w:sz="4" w:space="0" w:color="auto"/>
              <w:left w:val="single" w:sz="4" w:space="0" w:color="auto"/>
              <w:bottom w:val="single" w:sz="4" w:space="0" w:color="auto"/>
              <w:right w:val="nil"/>
            </w:tcBorders>
            <w:shd w:val="clear" w:color="auto" w:fill="auto"/>
          </w:tcPr>
          <w:p w14:paraId="0D98A41C" w14:textId="77777777" w:rsidR="00E71C69" w:rsidRPr="00550B1D" w:rsidRDefault="00E71C69" w:rsidP="007B269D">
            <w:pPr>
              <w:rPr>
                <w:rFonts w:ascii="Arial" w:hAnsi="Arial" w:cs="Arial"/>
              </w:rPr>
            </w:pPr>
            <w:r>
              <w:rPr>
                <w:rFonts w:ascii="Arial" w:hAnsi="Arial" w:cs="Arial"/>
              </w:rPr>
              <w:t>Are there s</w:t>
            </w:r>
            <w:r w:rsidRPr="00550B1D">
              <w:rPr>
                <w:rFonts w:ascii="Arial" w:hAnsi="Arial" w:cs="Arial"/>
              </w:rPr>
              <w:t>eparate exit and entrance roads or driveways?</w:t>
            </w:r>
          </w:p>
        </w:tc>
        <w:tc>
          <w:tcPr>
            <w:tcW w:w="1299" w:type="dxa"/>
            <w:gridSpan w:val="3"/>
            <w:tcBorders>
              <w:top w:val="single" w:sz="4" w:space="0" w:color="auto"/>
              <w:left w:val="nil"/>
              <w:bottom w:val="single" w:sz="4" w:space="0" w:color="auto"/>
              <w:right w:val="nil"/>
            </w:tcBorders>
            <w:shd w:val="clear" w:color="auto" w:fill="auto"/>
          </w:tcPr>
          <w:p w14:paraId="33DC7108"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43" w:type="dxa"/>
            <w:gridSpan w:val="3"/>
            <w:tcBorders>
              <w:top w:val="single" w:sz="4" w:space="0" w:color="auto"/>
              <w:left w:val="nil"/>
              <w:bottom w:val="single" w:sz="4" w:space="0" w:color="auto"/>
              <w:right w:val="single" w:sz="4" w:space="0" w:color="auto"/>
            </w:tcBorders>
            <w:shd w:val="clear" w:color="auto" w:fill="auto"/>
          </w:tcPr>
          <w:p w14:paraId="2AE915DA"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r w:rsidR="00E71C69" w:rsidRPr="00550B1D" w14:paraId="101D77B2" w14:textId="77777777" w:rsidTr="009C4927">
        <w:tblPrEx>
          <w:tblBorders>
            <w:insideH w:val="single" w:sz="4" w:space="0" w:color="auto"/>
            <w:insideV w:val="single" w:sz="4" w:space="0" w:color="auto"/>
          </w:tblBorders>
        </w:tblPrEx>
        <w:trPr>
          <w:gridBefore w:val="1"/>
          <w:wBefore w:w="12" w:type="dxa"/>
        </w:trPr>
        <w:tc>
          <w:tcPr>
            <w:tcW w:w="8117" w:type="dxa"/>
            <w:gridSpan w:val="5"/>
            <w:tcBorders>
              <w:top w:val="single" w:sz="4" w:space="0" w:color="auto"/>
              <w:left w:val="single" w:sz="4" w:space="0" w:color="auto"/>
              <w:bottom w:val="single" w:sz="4" w:space="0" w:color="auto"/>
              <w:right w:val="nil"/>
            </w:tcBorders>
            <w:shd w:val="clear" w:color="auto" w:fill="auto"/>
          </w:tcPr>
          <w:p w14:paraId="290F4487" w14:textId="77777777" w:rsidR="00E71C69" w:rsidRPr="00550B1D" w:rsidRDefault="00E71C69" w:rsidP="007B269D">
            <w:pPr>
              <w:rPr>
                <w:rFonts w:ascii="Arial" w:hAnsi="Arial" w:cs="Arial"/>
              </w:rPr>
            </w:pPr>
            <w:r w:rsidRPr="00550B1D">
              <w:rPr>
                <w:rFonts w:ascii="Arial" w:hAnsi="Arial" w:cs="Arial"/>
              </w:rPr>
              <w:t>Dedicated emergency vehicle access, staging location, and/or entrance?</w:t>
            </w:r>
          </w:p>
        </w:tc>
        <w:tc>
          <w:tcPr>
            <w:tcW w:w="1299" w:type="dxa"/>
            <w:gridSpan w:val="3"/>
            <w:tcBorders>
              <w:top w:val="single" w:sz="4" w:space="0" w:color="auto"/>
              <w:left w:val="nil"/>
              <w:bottom w:val="single" w:sz="4" w:space="0" w:color="auto"/>
              <w:right w:val="nil"/>
            </w:tcBorders>
            <w:shd w:val="clear" w:color="auto" w:fill="auto"/>
          </w:tcPr>
          <w:p w14:paraId="49C4A9C9"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43" w:type="dxa"/>
            <w:gridSpan w:val="3"/>
            <w:tcBorders>
              <w:top w:val="single" w:sz="4" w:space="0" w:color="auto"/>
              <w:left w:val="nil"/>
              <w:bottom w:val="single" w:sz="4" w:space="0" w:color="auto"/>
              <w:right w:val="single" w:sz="4" w:space="0" w:color="auto"/>
            </w:tcBorders>
            <w:shd w:val="clear" w:color="auto" w:fill="auto"/>
          </w:tcPr>
          <w:p w14:paraId="18B26D72"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r w:rsidR="00E71C69" w:rsidRPr="00550B1D" w14:paraId="3208C638" w14:textId="77777777" w:rsidTr="009C4927">
        <w:tblPrEx>
          <w:tblBorders>
            <w:insideH w:val="single" w:sz="4" w:space="0" w:color="auto"/>
            <w:insideV w:val="single" w:sz="4" w:space="0" w:color="auto"/>
          </w:tblBorders>
        </w:tblPrEx>
        <w:trPr>
          <w:gridBefore w:val="1"/>
          <w:wBefore w:w="12" w:type="dxa"/>
        </w:trPr>
        <w:tc>
          <w:tcPr>
            <w:tcW w:w="8117" w:type="dxa"/>
            <w:gridSpan w:val="5"/>
            <w:tcBorders>
              <w:top w:val="single" w:sz="4" w:space="0" w:color="auto"/>
              <w:left w:val="single" w:sz="4" w:space="0" w:color="auto"/>
              <w:bottom w:val="single" w:sz="4" w:space="0" w:color="auto"/>
              <w:right w:val="nil"/>
            </w:tcBorders>
            <w:shd w:val="clear" w:color="auto" w:fill="auto"/>
          </w:tcPr>
          <w:p w14:paraId="5585B3DD" w14:textId="77777777" w:rsidR="00E71C69" w:rsidRPr="00550B1D" w:rsidRDefault="00E71C69" w:rsidP="007B269D">
            <w:pPr>
              <w:rPr>
                <w:rFonts w:ascii="Arial" w:hAnsi="Arial" w:cs="Arial"/>
              </w:rPr>
            </w:pPr>
            <w:r w:rsidRPr="00550B1D">
              <w:rPr>
                <w:rFonts w:ascii="Arial" w:hAnsi="Arial" w:cs="Arial"/>
              </w:rPr>
              <w:t>Is parking capacity at this site or a public staging/overflow area adequate for the expected throughput?</w:t>
            </w:r>
          </w:p>
        </w:tc>
        <w:tc>
          <w:tcPr>
            <w:tcW w:w="1299" w:type="dxa"/>
            <w:gridSpan w:val="3"/>
            <w:tcBorders>
              <w:top w:val="single" w:sz="4" w:space="0" w:color="auto"/>
              <w:left w:val="nil"/>
              <w:bottom w:val="single" w:sz="4" w:space="0" w:color="auto"/>
              <w:right w:val="nil"/>
            </w:tcBorders>
            <w:shd w:val="clear" w:color="auto" w:fill="auto"/>
          </w:tcPr>
          <w:p w14:paraId="05521B14"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43" w:type="dxa"/>
            <w:gridSpan w:val="3"/>
            <w:tcBorders>
              <w:top w:val="single" w:sz="4" w:space="0" w:color="auto"/>
              <w:left w:val="nil"/>
              <w:bottom w:val="single" w:sz="4" w:space="0" w:color="auto"/>
              <w:right w:val="single" w:sz="4" w:space="0" w:color="auto"/>
            </w:tcBorders>
            <w:shd w:val="clear" w:color="auto" w:fill="auto"/>
          </w:tcPr>
          <w:p w14:paraId="39E5700F"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r w:rsidR="00E71C69" w:rsidRPr="00550B1D" w14:paraId="30FAEBFC" w14:textId="77777777" w:rsidTr="009C4927">
        <w:tblPrEx>
          <w:tblBorders>
            <w:insideH w:val="single" w:sz="4" w:space="0" w:color="auto"/>
            <w:insideV w:val="single" w:sz="4" w:space="0" w:color="auto"/>
          </w:tblBorders>
        </w:tblPrEx>
        <w:trPr>
          <w:gridBefore w:val="1"/>
          <w:wBefore w:w="12" w:type="dxa"/>
          <w:trHeight w:val="377"/>
        </w:trPr>
        <w:tc>
          <w:tcPr>
            <w:tcW w:w="8117" w:type="dxa"/>
            <w:gridSpan w:val="5"/>
            <w:tcBorders>
              <w:top w:val="single" w:sz="4" w:space="0" w:color="auto"/>
              <w:left w:val="single" w:sz="4" w:space="0" w:color="auto"/>
              <w:bottom w:val="single" w:sz="4" w:space="0" w:color="auto"/>
              <w:right w:val="nil"/>
            </w:tcBorders>
            <w:shd w:val="clear" w:color="auto" w:fill="auto"/>
          </w:tcPr>
          <w:p w14:paraId="15A912DC" w14:textId="77777777" w:rsidR="00E71C69" w:rsidRPr="00550B1D" w:rsidRDefault="00E71C69" w:rsidP="007B269D">
            <w:pPr>
              <w:pStyle w:val="CommentText"/>
              <w:rPr>
                <w:rFonts w:ascii="Arial" w:hAnsi="Arial" w:cs="Arial"/>
              </w:rPr>
            </w:pPr>
            <w:r w:rsidRPr="00550B1D">
              <w:rPr>
                <w:rFonts w:ascii="Arial" w:hAnsi="Arial" w:cs="Arial"/>
              </w:rPr>
              <w:t>Is routine public transportation available?</w:t>
            </w:r>
          </w:p>
        </w:tc>
        <w:tc>
          <w:tcPr>
            <w:tcW w:w="1299" w:type="dxa"/>
            <w:gridSpan w:val="3"/>
            <w:tcBorders>
              <w:top w:val="single" w:sz="4" w:space="0" w:color="auto"/>
              <w:left w:val="nil"/>
              <w:bottom w:val="single" w:sz="4" w:space="0" w:color="auto"/>
              <w:right w:val="nil"/>
            </w:tcBorders>
            <w:shd w:val="clear" w:color="auto" w:fill="auto"/>
          </w:tcPr>
          <w:p w14:paraId="12454476"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43" w:type="dxa"/>
            <w:gridSpan w:val="3"/>
            <w:tcBorders>
              <w:top w:val="single" w:sz="4" w:space="0" w:color="auto"/>
              <w:left w:val="nil"/>
              <w:bottom w:val="single" w:sz="4" w:space="0" w:color="auto"/>
              <w:right w:val="single" w:sz="4" w:space="0" w:color="auto"/>
            </w:tcBorders>
            <w:shd w:val="clear" w:color="auto" w:fill="auto"/>
          </w:tcPr>
          <w:p w14:paraId="066021BC"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r w:rsidR="00E71C69" w:rsidRPr="00550B1D" w14:paraId="5940FE40" w14:textId="77777777" w:rsidTr="009C4927">
        <w:tblPrEx>
          <w:tblBorders>
            <w:insideH w:val="single" w:sz="4" w:space="0" w:color="auto"/>
            <w:insideV w:val="single" w:sz="4" w:space="0" w:color="auto"/>
          </w:tblBorders>
        </w:tblPrEx>
        <w:trPr>
          <w:gridBefore w:val="1"/>
          <w:wBefore w:w="12" w:type="dxa"/>
          <w:trHeight w:val="377"/>
        </w:trPr>
        <w:tc>
          <w:tcPr>
            <w:tcW w:w="8117" w:type="dxa"/>
            <w:gridSpan w:val="5"/>
            <w:tcBorders>
              <w:top w:val="single" w:sz="4" w:space="0" w:color="auto"/>
              <w:left w:val="single" w:sz="4" w:space="0" w:color="auto"/>
              <w:bottom w:val="single" w:sz="4" w:space="0" w:color="auto"/>
              <w:right w:val="nil"/>
            </w:tcBorders>
            <w:shd w:val="clear" w:color="auto" w:fill="auto"/>
          </w:tcPr>
          <w:p w14:paraId="253BEF5A" w14:textId="77777777" w:rsidR="00E71C69" w:rsidRPr="00550B1D" w:rsidRDefault="00E71C69" w:rsidP="007B269D">
            <w:pPr>
              <w:rPr>
                <w:rFonts w:ascii="Arial" w:hAnsi="Arial" w:cs="Arial"/>
              </w:rPr>
            </w:pPr>
            <w:r w:rsidRPr="00550B1D">
              <w:rPr>
                <w:rFonts w:ascii="Arial" w:hAnsi="Arial" w:cs="Arial"/>
              </w:rPr>
              <w:t>Is this building isolated by water, bridges, etc.?</w:t>
            </w:r>
          </w:p>
        </w:tc>
        <w:tc>
          <w:tcPr>
            <w:tcW w:w="1299" w:type="dxa"/>
            <w:gridSpan w:val="3"/>
            <w:tcBorders>
              <w:top w:val="single" w:sz="4" w:space="0" w:color="auto"/>
              <w:left w:val="nil"/>
              <w:bottom w:val="single" w:sz="4" w:space="0" w:color="auto"/>
              <w:right w:val="nil"/>
            </w:tcBorders>
            <w:shd w:val="clear" w:color="auto" w:fill="auto"/>
          </w:tcPr>
          <w:p w14:paraId="075A0A25"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43" w:type="dxa"/>
            <w:gridSpan w:val="3"/>
            <w:tcBorders>
              <w:top w:val="single" w:sz="4" w:space="0" w:color="auto"/>
              <w:left w:val="nil"/>
              <w:bottom w:val="single" w:sz="4" w:space="0" w:color="auto"/>
              <w:right w:val="single" w:sz="4" w:space="0" w:color="auto"/>
            </w:tcBorders>
            <w:shd w:val="clear" w:color="auto" w:fill="auto"/>
          </w:tcPr>
          <w:p w14:paraId="2443D4A2"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r w:rsidR="00E71C69" w:rsidRPr="00550B1D" w14:paraId="7296E5E7" w14:textId="77777777" w:rsidTr="009C4927">
        <w:tblPrEx>
          <w:tblBorders>
            <w:insideH w:val="single" w:sz="4" w:space="0" w:color="auto"/>
            <w:insideV w:val="single" w:sz="4" w:space="0" w:color="auto"/>
          </w:tblBorders>
        </w:tblPrEx>
        <w:trPr>
          <w:gridBefore w:val="1"/>
          <w:wBefore w:w="12" w:type="dxa"/>
          <w:trHeight w:val="377"/>
        </w:trPr>
        <w:tc>
          <w:tcPr>
            <w:tcW w:w="10458" w:type="dxa"/>
            <w:gridSpan w:val="11"/>
            <w:tcBorders>
              <w:top w:val="single" w:sz="4" w:space="0" w:color="auto"/>
              <w:left w:val="single" w:sz="4" w:space="0" w:color="auto"/>
              <w:bottom w:val="thickThinSmallGap" w:sz="24" w:space="0" w:color="auto"/>
              <w:right w:val="single" w:sz="4" w:space="0" w:color="auto"/>
            </w:tcBorders>
            <w:shd w:val="clear" w:color="auto" w:fill="auto"/>
          </w:tcPr>
          <w:p w14:paraId="2D66CE51" w14:textId="77777777" w:rsidR="00E71C69" w:rsidRPr="00550B1D" w:rsidRDefault="00E71C69" w:rsidP="007B269D">
            <w:pPr>
              <w:rPr>
                <w:rFonts w:ascii="Arial" w:hAnsi="Arial" w:cs="Arial"/>
              </w:rPr>
            </w:pPr>
            <w:r w:rsidRPr="00550B1D">
              <w:rPr>
                <w:rFonts w:ascii="Arial" w:hAnsi="Arial" w:cs="Arial"/>
              </w:rPr>
              <w:t>List any potential traffic bottlenecks or traffic hazards in the area surrounding the site given a large influx of traffic:</w:t>
            </w:r>
          </w:p>
          <w:p w14:paraId="5C05D6EF" w14:textId="77777777" w:rsidR="00E71C69" w:rsidRPr="00550B1D" w:rsidRDefault="00E71C69" w:rsidP="007B269D">
            <w:pPr>
              <w:rPr>
                <w:rFonts w:ascii="Arial" w:hAnsi="Arial" w:cs="Arial"/>
              </w:rPr>
            </w:pPr>
          </w:p>
          <w:p w14:paraId="67138309" w14:textId="77777777" w:rsidR="00E71C69" w:rsidRPr="00550B1D" w:rsidRDefault="00E71C69" w:rsidP="007B269D">
            <w:pPr>
              <w:rPr>
                <w:rFonts w:ascii="Arial" w:hAnsi="Arial" w:cs="Arial"/>
                <w:b/>
                <w:smallCaps/>
              </w:rPr>
            </w:pPr>
          </w:p>
        </w:tc>
      </w:tr>
      <w:tr w:rsidR="00E71C69" w:rsidRPr="00550B1D" w14:paraId="0DB4293F" w14:textId="77777777" w:rsidTr="009C4927">
        <w:tblPrEx>
          <w:tblBorders>
            <w:insideH w:val="single" w:sz="4" w:space="0" w:color="auto"/>
            <w:insideV w:val="single" w:sz="4" w:space="0" w:color="auto"/>
          </w:tblBorders>
        </w:tblPrEx>
        <w:trPr>
          <w:gridBefore w:val="1"/>
          <w:wBefore w:w="12" w:type="dxa"/>
        </w:trPr>
        <w:tc>
          <w:tcPr>
            <w:tcW w:w="7936" w:type="dxa"/>
            <w:gridSpan w:val="4"/>
            <w:tcBorders>
              <w:top w:val="thickThinSmallGap" w:sz="24" w:space="0" w:color="auto"/>
              <w:left w:val="single" w:sz="4" w:space="0" w:color="auto"/>
              <w:bottom w:val="nil"/>
              <w:right w:val="nil"/>
            </w:tcBorders>
            <w:shd w:val="clear" w:color="auto" w:fill="E0E0E0"/>
          </w:tcPr>
          <w:p w14:paraId="21FED5DE" w14:textId="77777777" w:rsidR="00E71C69" w:rsidRPr="00550B1D" w:rsidRDefault="00E71C69" w:rsidP="007B269D">
            <w:pPr>
              <w:rPr>
                <w:rFonts w:ascii="Arial" w:hAnsi="Arial" w:cs="Arial"/>
                <w:smallCaps/>
              </w:rPr>
            </w:pPr>
            <w:r w:rsidRPr="00550B1D">
              <w:rPr>
                <w:rFonts w:ascii="Arial" w:hAnsi="Arial" w:cs="Arial"/>
                <w:b/>
                <w:smallCaps/>
              </w:rPr>
              <w:t>D. Location</w:t>
            </w:r>
          </w:p>
        </w:tc>
        <w:tc>
          <w:tcPr>
            <w:tcW w:w="2522" w:type="dxa"/>
            <w:gridSpan w:val="7"/>
            <w:tcBorders>
              <w:top w:val="thickThinSmallGap" w:sz="24" w:space="0" w:color="auto"/>
              <w:left w:val="nil"/>
              <w:bottom w:val="nil"/>
              <w:right w:val="single" w:sz="4" w:space="0" w:color="auto"/>
            </w:tcBorders>
            <w:shd w:val="clear" w:color="auto" w:fill="E0E0E0"/>
          </w:tcPr>
          <w:p w14:paraId="485F5E5E" w14:textId="77777777" w:rsidR="00E71C69" w:rsidRPr="00550B1D" w:rsidRDefault="00E71C69" w:rsidP="007B269D">
            <w:pPr>
              <w:rPr>
                <w:rFonts w:ascii="Arial" w:hAnsi="Arial" w:cs="Arial"/>
                <w:b/>
                <w:smallCaps/>
              </w:rPr>
            </w:pPr>
            <w:r w:rsidRPr="00550B1D">
              <w:rPr>
                <w:rFonts w:ascii="Arial" w:hAnsi="Arial" w:cs="Arial"/>
                <w:b/>
                <w:smallCaps/>
              </w:rPr>
              <w:t>Notes</w:t>
            </w:r>
          </w:p>
        </w:tc>
      </w:tr>
      <w:tr w:rsidR="00E71C69" w:rsidRPr="00550B1D" w14:paraId="62CB4314" w14:textId="77777777" w:rsidTr="009C4927">
        <w:tblPrEx>
          <w:tblBorders>
            <w:insideH w:val="single" w:sz="4" w:space="0" w:color="auto"/>
            <w:insideV w:val="single" w:sz="4" w:space="0" w:color="auto"/>
          </w:tblBorders>
        </w:tblPrEx>
        <w:trPr>
          <w:gridBefore w:val="1"/>
          <w:wBefore w:w="12" w:type="dxa"/>
        </w:trPr>
        <w:tc>
          <w:tcPr>
            <w:tcW w:w="7936" w:type="dxa"/>
            <w:gridSpan w:val="4"/>
            <w:tcBorders>
              <w:top w:val="nil"/>
              <w:left w:val="single" w:sz="4" w:space="0" w:color="auto"/>
              <w:bottom w:val="single" w:sz="4" w:space="0" w:color="auto"/>
              <w:right w:val="nil"/>
            </w:tcBorders>
            <w:shd w:val="clear" w:color="auto" w:fill="auto"/>
          </w:tcPr>
          <w:p w14:paraId="539F1B58" w14:textId="77777777" w:rsidR="00E71C69" w:rsidRPr="00550B1D" w:rsidRDefault="001C363F" w:rsidP="007B269D">
            <w:pPr>
              <w:rPr>
                <w:rFonts w:ascii="Arial" w:hAnsi="Arial" w:cs="Arial"/>
              </w:rPr>
            </w:pPr>
            <w:r>
              <w:rPr>
                <w:rFonts w:ascii="Arial" w:hAnsi="Arial" w:cs="Arial"/>
              </w:rPr>
              <w:t>Are there o</w:t>
            </w:r>
            <w:r w:rsidR="00E71C69" w:rsidRPr="00550B1D">
              <w:rPr>
                <w:rFonts w:ascii="Arial" w:hAnsi="Arial" w:cs="Arial"/>
              </w:rPr>
              <w:t>ther planned uses for the facility during emergenc</w:t>
            </w:r>
            <w:r>
              <w:rPr>
                <w:rFonts w:ascii="Arial" w:hAnsi="Arial" w:cs="Arial"/>
              </w:rPr>
              <w:t>ies</w:t>
            </w:r>
            <w:r w:rsidR="00E71C69">
              <w:rPr>
                <w:rFonts w:ascii="Arial" w:hAnsi="Arial" w:cs="Arial"/>
              </w:rPr>
              <w:t xml:space="preserve">                  </w:t>
            </w:r>
            <w:r w:rsidR="00E71C69" w:rsidRPr="00550B1D">
              <w:rPr>
                <w:rFonts w:ascii="Arial" w:hAnsi="Arial" w:cs="Arial"/>
              </w:rPr>
              <w:t>(</w:t>
            </w:r>
            <w:r>
              <w:rPr>
                <w:rFonts w:ascii="Arial" w:hAnsi="Arial" w:cs="Arial"/>
              </w:rPr>
              <w:t>e.g.,</w:t>
            </w:r>
            <w:r w:rsidR="00E71C69" w:rsidRPr="00550B1D">
              <w:rPr>
                <w:rFonts w:ascii="Arial" w:hAnsi="Arial" w:cs="Arial"/>
              </w:rPr>
              <w:t xml:space="preserve"> shelter, EOC, Emergency Planning Zone Reception Center, etc.) Do any of these incidents or scenarios conflict with use as an EDS?</w:t>
            </w:r>
          </w:p>
          <w:p w14:paraId="19E8E76C" w14:textId="77777777" w:rsidR="00E71C69" w:rsidRPr="00550B1D" w:rsidRDefault="00E71C69" w:rsidP="007B269D">
            <w:pPr>
              <w:rPr>
                <w:rFonts w:ascii="Arial" w:hAnsi="Arial" w:cs="Arial"/>
              </w:rPr>
            </w:pPr>
          </w:p>
        </w:tc>
        <w:tc>
          <w:tcPr>
            <w:tcW w:w="2522" w:type="dxa"/>
            <w:gridSpan w:val="7"/>
            <w:tcBorders>
              <w:top w:val="nil"/>
              <w:left w:val="nil"/>
              <w:bottom w:val="single" w:sz="4" w:space="0" w:color="auto"/>
              <w:right w:val="single" w:sz="4" w:space="0" w:color="auto"/>
            </w:tcBorders>
            <w:shd w:val="clear" w:color="auto" w:fill="auto"/>
          </w:tcPr>
          <w:p w14:paraId="1702D5A8" w14:textId="77777777" w:rsidR="00E71C69" w:rsidRPr="00550B1D" w:rsidRDefault="00E71C69" w:rsidP="007B269D">
            <w:pPr>
              <w:jc w:val="right"/>
              <w:rPr>
                <w:rFonts w:ascii="Arial" w:hAnsi="Arial" w:cs="Arial"/>
              </w:rPr>
            </w:pPr>
          </w:p>
        </w:tc>
      </w:tr>
      <w:tr w:rsidR="00E71C69" w:rsidRPr="00550B1D" w14:paraId="3C11C2A8" w14:textId="77777777" w:rsidTr="009C4927">
        <w:tblPrEx>
          <w:tblBorders>
            <w:insideH w:val="single" w:sz="4" w:space="0" w:color="auto"/>
            <w:insideV w:val="single" w:sz="4" w:space="0" w:color="auto"/>
          </w:tblBorders>
        </w:tblPrEx>
        <w:trPr>
          <w:gridBefore w:val="1"/>
          <w:wBefore w:w="12" w:type="dxa"/>
        </w:trPr>
        <w:tc>
          <w:tcPr>
            <w:tcW w:w="7936" w:type="dxa"/>
            <w:gridSpan w:val="4"/>
            <w:tcBorders>
              <w:top w:val="single" w:sz="4" w:space="0" w:color="auto"/>
              <w:left w:val="single" w:sz="4" w:space="0" w:color="auto"/>
              <w:bottom w:val="single" w:sz="4" w:space="0" w:color="auto"/>
              <w:right w:val="nil"/>
            </w:tcBorders>
            <w:shd w:val="clear" w:color="auto" w:fill="auto"/>
          </w:tcPr>
          <w:p w14:paraId="2AD9472F" w14:textId="77777777" w:rsidR="00E71C69" w:rsidRPr="00550B1D" w:rsidRDefault="00E71C69" w:rsidP="007B269D">
            <w:pPr>
              <w:rPr>
                <w:rFonts w:ascii="Arial" w:hAnsi="Arial" w:cs="Arial"/>
              </w:rPr>
            </w:pPr>
            <w:r w:rsidRPr="00550B1D">
              <w:rPr>
                <w:rFonts w:ascii="Arial" w:hAnsi="Arial" w:cs="Arial"/>
              </w:rPr>
              <w:t>Proximity to nearest hospital?</w:t>
            </w:r>
          </w:p>
          <w:p w14:paraId="6C8CA5A5" w14:textId="77777777" w:rsidR="00E71C69" w:rsidRPr="00550B1D" w:rsidRDefault="00E71C69" w:rsidP="007B269D">
            <w:pPr>
              <w:rPr>
                <w:rFonts w:ascii="Arial" w:hAnsi="Arial" w:cs="Arial"/>
              </w:rPr>
            </w:pPr>
          </w:p>
        </w:tc>
        <w:tc>
          <w:tcPr>
            <w:tcW w:w="2522" w:type="dxa"/>
            <w:gridSpan w:val="7"/>
            <w:tcBorders>
              <w:top w:val="single" w:sz="4" w:space="0" w:color="auto"/>
              <w:left w:val="nil"/>
              <w:bottom w:val="single" w:sz="4" w:space="0" w:color="auto"/>
              <w:right w:val="single" w:sz="4" w:space="0" w:color="auto"/>
            </w:tcBorders>
            <w:shd w:val="clear" w:color="auto" w:fill="auto"/>
          </w:tcPr>
          <w:p w14:paraId="6ABBA765" w14:textId="77777777" w:rsidR="00E71C69" w:rsidRPr="00550B1D" w:rsidRDefault="00E71C69" w:rsidP="007B269D">
            <w:pPr>
              <w:jc w:val="right"/>
              <w:rPr>
                <w:rFonts w:ascii="Arial" w:hAnsi="Arial" w:cs="Arial"/>
              </w:rPr>
            </w:pPr>
          </w:p>
        </w:tc>
      </w:tr>
      <w:tr w:rsidR="00E71C69" w:rsidRPr="00550B1D" w14:paraId="1996584F" w14:textId="77777777" w:rsidTr="009C4927">
        <w:tblPrEx>
          <w:tblBorders>
            <w:insideH w:val="single" w:sz="4" w:space="0" w:color="auto"/>
            <w:insideV w:val="single" w:sz="4" w:space="0" w:color="auto"/>
          </w:tblBorders>
        </w:tblPrEx>
        <w:trPr>
          <w:gridBefore w:val="1"/>
          <w:wBefore w:w="12" w:type="dxa"/>
        </w:trPr>
        <w:tc>
          <w:tcPr>
            <w:tcW w:w="7936" w:type="dxa"/>
            <w:gridSpan w:val="4"/>
            <w:tcBorders>
              <w:top w:val="single" w:sz="4" w:space="0" w:color="auto"/>
              <w:left w:val="single" w:sz="4" w:space="0" w:color="auto"/>
              <w:bottom w:val="single" w:sz="4" w:space="0" w:color="auto"/>
              <w:right w:val="nil"/>
            </w:tcBorders>
            <w:shd w:val="clear" w:color="auto" w:fill="auto"/>
          </w:tcPr>
          <w:p w14:paraId="10656F44" w14:textId="77777777" w:rsidR="00E71C69" w:rsidRPr="00550B1D" w:rsidRDefault="00E71C69" w:rsidP="007B269D">
            <w:pPr>
              <w:rPr>
                <w:rFonts w:ascii="Arial" w:hAnsi="Arial" w:cs="Arial"/>
              </w:rPr>
            </w:pPr>
            <w:r w:rsidRPr="00550B1D">
              <w:rPr>
                <w:rFonts w:ascii="Arial" w:hAnsi="Arial" w:cs="Arial"/>
              </w:rPr>
              <w:t>Proximity to major access roads or highways (if applicable)?</w:t>
            </w:r>
          </w:p>
          <w:p w14:paraId="1E6A3B14" w14:textId="77777777" w:rsidR="00E71C69" w:rsidRPr="00550B1D" w:rsidRDefault="00E71C69" w:rsidP="007B269D">
            <w:pPr>
              <w:rPr>
                <w:rFonts w:ascii="Arial" w:hAnsi="Arial" w:cs="Arial"/>
              </w:rPr>
            </w:pPr>
          </w:p>
        </w:tc>
        <w:tc>
          <w:tcPr>
            <w:tcW w:w="2522" w:type="dxa"/>
            <w:gridSpan w:val="7"/>
            <w:tcBorders>
              <w:top w:val="single" w:sz="4" w:space="0" w:color="auto"/>
              <w:left w:val="nil"/>
              <w:bottom w:val="single" w:sz="4" w:space="0" w:color="auto"/>
              <w:right w:val="single" w:sz="4" w:space="0" w:color="auto"/>
            </w:tcBorders>
            <w:shd w:val="clear" w:color="auto" w:fill="auto"/>
          </w:tcPr>
          <w:p w14:paraId="6C692AA8" w14:textId="77777777" w:rsidR="00E71C69" w:rsidRPr="00550B1D" w:rsidRDefault="00E71C69" w:rsidP="007B269D">
            <w:pPr>
              <w:jc w:val="right"/>
              <w:rPr>
                <w:rFonts w:ascii="Arial" w:hAnsi="Arial" w:cs="Arial"/>
              </w:rPr>
            </w:pPr>
          </w:p>
        </w:tc>
      </w:tr>
      <w:tr w:rsidR="00E71C69" w:rsidRPr="00550B1D" w14:paraId="477123F9" w14:textId="77777777" w:rsidTr="009C4927">
        <w:tblPrEx>
          <w:tblBorders>
            <w:insideH w:val="single" w:sz="4" w:space="0" w:color="auto"/>
            <w:insideV w:val="single" w:sz="4" w:space="0" w:color="auto"/>
          </w:tblBorders>
        </w:tblPrEx>
        <w:trPr>
          <w:gridBefore w:val="1"/>
          <w:wBefore w:w="12" w:type="dxa"/>
        </w:trPr>
        <w:tc>
          <w:tcPr>
            <w:tcW w:w="7936" w:type="dxa"/>
            <w:gridSpan w:val="4"/>
            <w:tcBorders>
              <w:top w:val="single" w:sz="4" w:space="0" w:color="auto"/>
              <w:left w:val="single" w:sz="4" w:space="0" w:color="auto"/>
              <w:bottom w:val="single" w:sz="4" w:space="0" w:color="auto"/>
              <w:right w:val="nil"/>
            </w:tcBorders>
            <w:shd w:val="clear" w:color="auto" w:fill="auto"/>
          </w:tcPr>
          <w:p w14:paraId="37C68A1E" w14:textId="77777777" w:rsidR="00E71C69" w:rsidRPr="00550B1D" w:rsidRDefault="00E71C69" w:rsidP="007B269D">
            <w:pPr>
              <w:rPr>
                <w:rFonts w:ascii="Arial" w:hAnsi="Arial" w:cs="Arial"/>
              </w:rPr>
            </w:pPr>
            <w:r w:rsidRPr="00550B1D">
              <w:rPr>
                <w:rFonts w:ascii="Arial" w:hAnsi="Arial" w:cs="Arial"/>
              </w:rPr>
              <w:t>Proximity to a staging area or off-site parking?</w:t>
            </w:r>
          </w:p>
          <w:p w14:paraId="56AD7C4F" w14:textId="77777777" w:rsidR="00E71C69" w:rsidRPr="00550B1D" w:rsidRDefault="00E71C69" w:rsidP="007B269D">
            <w:pPr>
              <w:rPr>
                <w:rFonts w:ascii="Arial" w:hAnsi="Arial" w:cs="Arial"/>
              </w:rPr>
            </w:pPr>
          </w:p>
        </w:tc>
        <w:tc>
          <w:tcPr>
            <w:tcW w:w="2522" w:type="dxa"/>
            <w:gridSpan w:val="7"/>
            <w:tcBorders>
              <w:top w:val="single" w:sz="4" w:space="0" w:color="auto"/>
              <w:left w:val="nil"/>
              <w:bottom w:val="single" w:sz="4" w:space="0" w:color="auto"/>
              <w:right w:val="single" w:sz="4" w:space="0" w:color="auto"/>
            </w:tcBorders>
            <w:shd w:val="clear" w:color="auto" w:fill="auto"/>
          </w:tcPr>
          <w:p w14:paraId="5886D39D" w14:textId="77777777" w:rsidR="00E71C69" w:rsidRPr="00550B1D" w:rsidRDefault="00E71C69" w:rsidP="007B269D">
            <w:pPr>
              <w:jc w:val="right"/>
              <w:rPr>
                <w:rFonts w:ascii="Arial" w:hAnsi="Arial" w:cs="Arial"/>
              </w:rPr>
            </w:pPr>
          </w:p>
        </w:tc>
      </w:tr>
      <w:tr w:rsidR="00E71C69" w:rsidRPr="00550B1D" w14:paraId="5BF2DF03" w14:textId="77777777" w:rsidTr="009C4927">
        <w:tblPrEx>
          <w:tblBorders>
            <w:insideH w:val="single" w:sz="4" w:space="0" w:color="auto"/>
            <w:insideV w:val="single" w:sz="4" w:space="0" w:color="auto"/>
          </w:tblBorders>
        </w:tblPrEx>
        <w:trPr>
          <w:gridBefore w:val="1"/>
          <w:wBefore w:w="12" w:type="dxa"/>
        </w:trPr>
        <w:tc>
          <w:tcPr>
            <w:tcW w:w="7936" w:type="dxa"/>
            <w:gridSpan w:val="4"/>
            <w:tcBorders>
              <w:top w:val="single" w:sz="4" w:space="0" w:color="auto"/>
              <w:left w:val="single" w:sz="4" w:space="0" w:color="auto"/>
              <w:bottom w:val="nil"/>
              <w:right w:val="nil"/>
            </w:tcBorders>
            <w:shd w:val="clear" w:color="auto" w:fill="auto"/>
          </w:tcPr>
          <w:p w14:paraId="5A7DDD8C" w14:textId="77777777" w:rsidR="00E71C69" w:rsidRPr="00550B1D" w:rsidRDefault="00E71C69" w:rsidP="007B269D">
            <w:pPr>
              <w:rPr>
                <w:rFonts w:ascii="Arial" w:hAnsi="Arial" w:cs="Arial"/>
              </w:rPr>
            </w:pPr>
          </w:p>
        </w:tc>
        <w:tc>
          <w:tcPr>
            <w:tcW w:w="2522" w:type="dxa"/>
            <w:gridSpan w:val="7"/>
            <w:tcBorders>
              <w:top w:val="single" w:sz="4" w:space="0" w:color="auto"/>
              <w:left w:val="nil"/>
              <w:bottom w:val="nil"/>
              <w:right w:val="single" w:sz="4" w:space="0" w:color="auto"/>
            </w:tcBorders>
            <w:shd w:val="clear" w:color="auto" w:fill="E0E0E0"/>
          </w:tcPr>
          <w:p w14:paraId="29A938C0"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52"/>
            </w:r>
            <w:r w:rsidRPr="00550B1D">
              <w:rPr>
                <w:rFonts w:ascii="Arial" w:hAnsi="Arial" w:cs="Arial"/>
                <w:b/>
                <w:smallCaps/>
              </w:rPr>
              <w:t xml:space="preserve"> Check One:</w:t>
            </w:r>
          </w:p>
        </w:tc>
      </w:tr>
      <w:tr w:rsidR="00E71C69" w:rsidRPr="00550B1D" w14:paraId="5B9A40F1" w14:textId="77777777" w:rsidTr="009C4927">
        <w:tblPrEx>
          <w:tblBorders>
            <w:insideH w:val="single" w:sz="4" w:space="0" w:color="auto"/>
            <w:insideV w:val="single" w:sz="4" w:space="0" w:color="auto"/>
          </w:tblBorders>
        </w:tblPrEx>
        <w:trPr>
          <w:gridBefore w:val="1"/>
          <w:wBefore w:w="12" w:type="dxa"/>
        </w:trPr>
        <w:tc>
          <w:tcPr>
            <w:tcW w:w="7936" w:type="dxa"/>
            <w:gridSpan w:val="4"/>
            <w:tcBorders>
              <w:top w:val="nil"/>
              <w:left w:val="single" w:sz="4" w:space="0" w:color="auto"/>
              <w:bottom w:val="nil"/>
              <w:right w:val="nil"/>
            </w:tcBorders>
            <w:shd w:val="clear" w:color="auto" w:fill="auto"/>
          </w:tcPr>
          <w:p w14:paraId="0F6257F3" w14:textId="77777777" w:rsidR="00E71C69" w:rsidRPr="00550B1D" w:rsidRDefault="00E71C69" w:rsidP="007B269D">
            <w:pPr>
              <w:rPr>
                <w:rFonts w:ascii="Arial" w:hAnsi="Arial" w:cs="Arial"/>
              </w:rPr>
            </w:pPr>
            <w:r w:rsidRPr="00550B1D">
              <w:rPr>
                <w:rFonts w:ascii="Arial" w:hAnsi="Arial" w:cs="Arial"/>
              </w:rPr>
              <w:t>Is the site outside of flood plain?</w:t>
            </w:r>
          </w:p>
        </w:tc>
        <w:tc>
          <w:tcPr>
            <w:tcW w:w="1209" w:type="dxa"/>
            <w:gridSpan w:val="2"/>
            <w:tcBorders>
              <w:top w:val="nil"/>
              <w:left w:val="nil"/>
              <w:bottom w:val="nil"/>
              <w:right w:val="nil"/>
            </w:tcBorders>
            <w:shd w:val="clear" w:color="auto" w:fill="auto"/>
          </w:tcPr>
          <w:p w14:paraId="4AD4C14B" w14:textId="77777777" w:rsidR="00E71C69" w:rsidRPr="00550B1D" w:rsidRDefault="009C4927" w:rsidP="007B269D">
            <w:pPr>
              <w:jc w:val="center"/>
              <w:rPr>
                <w:rFonts w:ascii="Arial" w:hAnsi="Arial" w:cs="Arial"/>
                <w:b/>
                <w:smallCaps/>
              </w:rPr>
            </w:pPr>
            <w:r>
              <w:rPr>
                <w:rFonts w:ascii="Arial" w:hAnsi="Arial" w:cs="Arial"/>
                <w:b/>
                <w:smallCaps/>
              </w:rPr>
              <w:t xml:space="preserve">     </w:t>
            </w:r>
            <w:r w:rsidR="00E71C69" w:rsidRPr="00550B1D">
              <w:rPr>
                <w:rFonts w:ascii="Arial" w:hAnsi="Arial" w:cs="Arial"/>
                <w:b/>
                <w:smallCaps/>
              </w:rPr>
              <w:sym w:font="Wingdings 2" w:char="F0A3"/>
            </w:r>
            <w:r w:rsidR="00E71C69" w:rsidRPr="00550B1D">
              <w:rPr>
                <w:rFonts w:ascii="Arial" w:hAnsi="Arial" w:cs="Arial"/>
                <w:b/>
                <w:smallCaps/>
              </w:rPr>
              <w:t xml:space="preserve"> Yes</w:t>
            </w:r>
          </w:p>
        </w:tc>
        <w:tc>
          <w:tcPr>
            <w:tcW w:w="1313" w:type="dxa"/>
            <w:gridSpan w:val="5"/>
            <w:tcBorders>
              <w:top w:val="nil"/>
              <w:left w:val="nil"/>
              <w:bottom w:val="nil"/>
              <w:right w:val="single" w:sz="4" w:space="0" w:color="auto"/>
            </w:tcBorders>
            <w:shd w:val="clear" w:color="auto" w:fill="auto"/>
          </w:tcPr>
          <w:p w14:paraId="5F08470A" w14:textId="77777777" w:rsidR="00E71C69" w:rsidRPr="00550B1D" w:rsidRDefault="00E71C69" w:rsidP="007B269D">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r w:rsidR="00E71C69" w:rsidRPr="00550B1D" w14:paraId="2DB08704" w14:textId="77777777" w:rsidTr="009C4927">
        <w:tblPrEx>
          <w:tblBorders>
            <w:insideH w:val="single" w:sz="4" w:space="0" w:color="auto"/>
            <w:insideV w:val="single" w:sz="4" w:space="0" w:color="auto"/>
          </w:tblBorders>
        </w:tblPrEx>
        <w:trPr>
          <w:gridBefore w:val="1"/>
          <w:wBefore w:w="12" w:type="dxa"/>
        </w:trPr>
        <w:tc>
          <w:tcPr>
            <w:tcW w:w="7936" w:type="dxa"/>
            <w:gridSpan w:val="4"/>
            <w:tcBorders>
              <w:top w:val="thickThinSmallGap" w:sz="24" w:space="0" w:color="auto"/>
              <w:bottom w:val="nil"/>
              <w:right w:val="nil"/>
            </w:tcBorders>
            <w:shd w:val="clear" w:color="auto" w:fill="D9D9D9"/>
          </w:tcPr>
          <w:p w14:paraId="47BA567C" w14:textId="77777777" w:rsidR="00E71C69" w:rsidRPr="00550B1D" w:rsidRDefault="00E71C69" w:rsidP="007B269D">
            <w:pPr>
              <w:rPr>
                <w:rFonts w:ascii="Arial" w:hAnsi="Arial" w:cs="Arial"/>
                <w:b/>
                <w:smallCaps/>
              </w:rPr>
            </w:pPr>
            <w:r w:rsidRPr="00550B1D">
              <w:rPr>
                <w:rFonts w:ascii="Arial" w:hAnsi="Arial" w:cs="Arial"/>
                <w:b/>
                <w:smallCaps/>
              </w:rPr>
              <w:t>E. Facility Communication</w:t>
            </w:r>
          </w:p>
        </w:tc>
        <w:tc>
          <w:tcPr>
            <w:tcW w:w="2522" w:type="dxa"/>
            <w:gridSpan w:val="7"/>
            <w:tcBorders>
              <w:top w:val="thickThinSmallGap" w:sz="24" w:space="0" w:color="auto"/>
              <w:left w:val="nil"/>
              <w:bottom w:val="nil"/>
            </w:tcBorders>
            <w:shd w:val="clear" w:color="auto" w:fill="D9D9D9"/>
          </w:tcPr>
          <w:p w14:paraId="5294B354" w14:textId="77777777" w:rsidR="00E71C69" w:rsidRPr="00550B1D" w:rsidRDefault="00E71C69" w:rsidP="007B269D">
            <w:pPr>
              <w:rPr>
                <w:rFonts w:ascii="Arial" w:hAnsi="Arial" w:cs="Arial"/>
                <w:b/>
                <w:smallCaps/>
              </w:rPr>
            </w:pPr>
            <w:r w:rsidRPr="00550B1D">
              <w:rPr>
                <w:rFonts w:ascii="Arial" w:hAnsi="Arial" w:cs="Arial"/>
                <w:b/>
                <w:smallCaps/>
              </w:rPr>
              <w:t>Notes:</w:t>
            </w:r>
          </w:p>
        </w:tc>
      </w:tr>
      <w:tr w:rsidR="00E71C69" w:rsidRPr="00550B1D" w14:paraId="779B311C" w14:textId="77777777" w:rsidTr="009C4927">
        <w:tblPrEx>
          <w:tblBorders>
            <w:insideH w:val="single" w:sz="4" w:space="0" w:color="auto"/>
            <w:insideV w:val="single" w:sz="4" w:space="0" w:color="auto"/>
          </w:tblBorders>
        </w:tblPrEx>
        <w:trPr>
          <w:gridBefore w:val="1"/>
          <w:wBefore w:w="12" w:type="dxa"/>
        </w:trPr>
        <w:tc>
          <w:tcPr>
            <w:tcW w:w="7936" w:type="dxa"/>
            <w:gridSpan w:val="4"/>
            <w:tcBorders>
              <w:top w:val="nil"/>
              <w:left w:val="single" w:sz="4" w:space="0" w:color="auto"/>
              <w:bottom w:val="single" w:sz="4" w:space="0" w:color="auto"/>
              <w:right w:val="nil"/>
            </w:tcBorders>
            <w:shd w:val="clear" w:color="auto" w:fill="auto"/>
          </w:tcPr>
          <w:p w14:paraId="683874B3" w14:textId="77777777" w:rsidR="00E71C69" w:rsidRPr="00550B1D" w:rsidRDefault="00E71C69" w:rsidP="007B269D">
            <w:pPr>
              <w:rPr>
                <w:rFonts w:ascii="Arial" w:hAnsi="Arial" w:cs="Arial"/>
              </w:rPr>
            </w:pPr>
            <w:r w:rsidRPr="00550B1D">
              <w:rPr>
                <w:rFonts w:ascii="Arial" w:hAnsi="Arial" w:cs="Arial"/>
              </w:rPr>
              <w:t>How many phone lines could be made available during an emergency?</w:t>
            </w:r>
          </w:p>
        </w:tc>
        <w:tc>
          <w:tcPr>
            <w:tcW w:w="2522" w:type="dxa"/>
            <w:gridSpan w:val="7"/>
            <w:tcBorders>
              <w:top w:val="nil"/>
              <w:left w:val="nil"/>
              <w:bottom w:val="single" w:sz="4" w:space="0" w:color="auto"/>
              <w:right w:val="single" w:sz="4" w:space="0" w:color="auto"/>
            </w:tcBorders>
            <w:shd w:val="clear" w:color="auto" w:fill="auto"/>
          </w:tcPr>
          <w:p w14:paraId="58E1E578" w14:textId="77777777" w:rsidR="00E71C69" w:rsidRPr="00550B1D" w:rsidRDefault="00E71C69" w:rsidP="007B269D">
            <w:pPr>
              <w:rPr>
                <w:rFonts w:ascii="Arial" w:hAnsi="Arial" w:cs="Arial"/>
                <w:b/>
                <w:smallCaps/>
              </w:rPr>
            </w:pPr>
          </w:p>
          <w:p w14:paraId="6D2D22C1" w14:textId="77777777" w:rsidR="00E71C69" w:rsidRPr="00550B1D" w:rsidRDefault="00E71C69" w:rsidP="007B269D">
            <w:pPr>
              <w:rPr>
                <w:rFonts w:ascii="Arial" w:hAnsi="Arial" w:cs="Arial"/>
                <w:b/>
                <w:smallCaps/>
              </w:rPr>
            </w:pPr>
          </w:p>
        </w:tc>
      </w:tr>
      <w:tr w:rsidR="00E71C69" w:rsidRPr="00550B1D" w14:paraId="647BA24A" w14:textId="77777777" w:rsidTr="009C4927">
        <w:tblPrEx>
          <w:tblBorders>
            <w:insideH w:val="single" w:sz="4" w:space="0" w:color="auto"/>
            <w:insideV w:val="single" w:sz="4" w:space="0" w:color="auto"/>
          </w:tblBorders>
        </w:tblPrEx>
        <w:trPr>
          <w:gridBefore w:val="1"/>
          <w:wBefore w:w="12" w:type="dxa"/>
        </w:trPr>
        <w:tc>
          <w:tcPr>
            <w:tcW w:w="7936" w:type="dxa"/>
            <w:gridSpan w:val="4"/>
            <w:tcBorders>
              <w:top w:val="single" w:sz="4" w:space="0" w:color="auto"/>
              <w:left w:val="single" w:sz="4" w:space="0" w:color="auto"/>
              <w:bottom w:val="single" w:sz="4" w:space="0" w:color="auto"/>
              <w:right w:val="nil"/>
            </w:tcBorders>
            <w:shd w:val="clear" w:color="auto" w:fill="auto"/>
          </w:tcPr>
          <w:p w14:paraId="17B7E7B3" w14:textId="77777777" w:rsidR="00E71C69" w:rsidRPr="00550B1D" w:rsidRDefault="00E71C69" w:rsidP="007B269D">
            <w:pPr>
              <w:rPr>
                <w:rFonts w:ascii="Arial" w:hAnsi="Arial" w:cs="Arial"/>
              </w:rPr>
            </w:pPr>
            <w:r w:rsidRPr="00550B1D">
              <w:rPr>
                <w:rFonts w:ascii="Arial" w:hAnsi="Arial" w:cs="Arial"/>
              </w:rPr>
              <w:t>How many fax lines could be made available during an emergency?</w:t>
            </w:r>
          </w:p>
        </w:tc>
        <w:tc>
          <w:tcPr>
            <w:tcW w:w="2522" w:type="dxa"/>
            <w:gridSpan w:val="7"/>
            <w:tcBorders>
              <w:top w:val="single" w:sz="4" w:space="0" w:color="auto"/>
              <w:left w:val="nil"/>
              <w:bottom w:val="single" w:sz="4" w:space="0" w:color="auto"/>
              <w:right w:val="single" w:sz="4" w:space="0" w:color="auto"/>
            </w:tcBorders>
            <w:shd w:val="clear" w:color="auto" w:fill="auto"/>
          </w:tcPr>
          <w:p w14:paraId="0540807E" w14:textId="77777777" w:rsidR="00E71C69" w:rsidRPr="00550B1D" w:rsidRDefault="00E71C69" w:rsidP="007B269D">
            <w:pPr>
              <w:rPr>
                <w:rFonts w:ascii="Arial" w:hAnsi="Arial" w:cs="Arial"/>
                <w:b/>
                <w:smallCaps/>
              </w:rPr>
            </w:pPr>
          </w:p>
          <w:p w14:paraId="168E19AC" w14:textId="77777777" w:rsidR="00E71C69" w:rsidRPr="00550B1D" w:rsidRDefault="00E71C69" w:rsidP="007B269D">
            <w:pPr>
              <w:rPr>
                <w:rFonts w:ascii="Arial" w:hAnsi="Arial" w:cs="Arial"/>
                <w:b/>
                <w:smallCaps/>
              </w:rPr>
            </w:pPr>
          </w:p>
        </w:tc>
      </w:tr>
      <w:tr w:rsidR="00E71C69" w:rsidRPr="00550B1D" w14:paraId="03F20ACC" w14:textId="77777777" w:rsidTr="009C4927">
        <w:tblPrEx>
          <w:tblBorders>
            <w:insideH w:val="single" w:sz="4" w:space="0" w:color="auto"/>
            <w:insideV w:val="single" w:sz="4" w:space="0" w:color="auto"/>
          </w:tblBorders>
        </w:tblPrEx>
        <w:trPr>
          <w:gridBefore w:val="1"/>
          <w:wBefore w:w="12" w:type="dxa"/>
        </w:trPr>
        <w:tc>
          <w:tcPr>
            <w:tcW w:w="7936" w:type="dxa"/>
            <w:gridSpan w:val="4"/>
            <w:tcBorders>
              <w:top w:val="single" w:sz="4" w:space="0" w:color="auto"/>
              <w:left w:val="single" w:sz="4" w:space="0" w:color="auto"/>
              <w:bottom w:val="nil"/>
              <w:right w:val="nil"/>
            </w:tcBorders>
            <w:shd w:val="clear" w:color="auto" w:fill="auto"/>
          </w:tcPr>
          <w:p w14:paraId="760DE3AC" w14:textId="77777777" w:rsidR="00E71C69" w:rsidRPr="00550B1D" w:rsidRDefault="00E71C69" w:rsidP="007B269D">
            <w:pPr>
              <w:rPr>
                <w:rFonts w:ascii="Arial" w:hAnsi="Arial" w:cs="Arial"/>
              </w:rPr>
            </w:pPr>
          </w:p>
        </w:tc>
        <w:tc>
          <w:tcPr>
            <w:tcW w:w="2522" w:type="dxa"/>
            <w:gridSpan w:val="7"/>
            <w:tcBorders>
              <w:top w:val="single" w:sz="4" w:space="0" w:color="auto"/>
              <w:left w:val="nil"/>
              <w:bottom w:val="nil"/>
              <w:right w:val="single" w:sz="4" w:space="0" w:color="auto"/>
            </w:tcBorders>
            <w:shd w:val="clear" w:color="auto" w:fill="E0E0E0"/>
          </w:tcPr>
          <w:p w14:paraId="0DE421D1" w14:textId="77777777" w:rsidR="00E71C69" w:rsidRPr="00550B1D" w:rsidRDefault="00E71C69" w:rsidP="007B269D">
            <w:pPr>
              <w:jc w:val="center"/>
              <w:rPr>
                <w:rFonts w:ascii="Arial" w:hAnsi="Arial" w:cs="Arial"/>
                <w:b/>
                <w:smallCaps/>
              </w:rPr>
            </w:pPr>
            <w:r w:rsidRPr="00550B1D">
              <w:rPr>
                <w:rFonts w:ascii="Arial" w:hAnsi="Arial" w:cs="Arial"/>
                <w:b/>
                <w:smallCaps/>
                <w:shd w:val="clear" w:color="auto" w:fill="E0E0E0"/>
              </w:rPr>
              <w:sym w:font="Wingdings 2" w:char="F052"/>
            </w:r>
            <w:r w:rsidRPr="00550B1D">
              <w:rPr>
                <w:rFonts w:ascii="Arial" w:hAnsi="Arial" w:cs="Arial"/>
                <w:b/>
                <w:smallCaps/>
                <w:shd w:val="clear" w:color="auto" w:fill="E0E0E0"/>
              </w:rPr>
              <w:t xml:space="preserve"> Check One</w:t>
            </w:r>
            <w:r w:rsidRPr="00550B1D">
              <w:rPr>
                <w:rFonts w:ascii="Arial" w:hAnsi="Arial" w:cs="Arial"/>
                <w:b/>
                <w:smallCaps/>
              </w:rPr>
              <w:t>:</w:t>
            </w:r>
          </w:p>
        </w:tc>
      </w:tr>
      <w:tr w:rsidR="00E71C69" w:rsidRPr="00550B1D" w14:paraId="46A0CEFC" w14:textId="77777777" w:rsidTr="009C4927">
        <w:tblPrEx>
          <w:tblBorders>
            <w:insideH w:val="single" w:sz="4" w:space="0" w:color="auto"/>
            <w:insideV w:val="single" w:sz="4" w:space="0" w:color="auto"/>
          </w:tblBorders>
        </w:tblPrEx>
        <w:trPr>
          <w:gridBefore w:val="1"/>
          <w:wBefore w:w="12" w:type="dxa"/>
        </w:trPr>
        <w:tc>
          <w:tcPr>
            <w:tcW w:w="8117" w:type="dxa"/>
            <w:gridSpan w:val="5"/>
            <w:tcBorders>
              <w:top w:val="nil"/>
              <w:left w:val="single" w:sz="4" w:space="0" w:color="auto"/>
              <w:bottom w:val="single" w:sz="4" w:space="0" w:color="auto"/>
              <w:right w:val="nil"/>
            </w:tcBorders>
            <w:shd w:val="clear" w:color="auto" w:fill="auto"/>
          </w:tcPr>
          <w:p w14:paraId="7794EC9A" w14:textId="77777777" w:rsidR="00E71C69" w:rsidRPr="00550B1D" w:rsidRDefault="00E71C69" w:rsidP="007B269D">
            <w:pPr>
              <w:rPr>
                <w:rFonts w:ascii="Arial" w:hAnsi="Arial" w:cs="Arial"/>
              </w:rPr>
            </w:pPr>
            <w:r w:rsidRPr="00550B1D">
              <w:rPr>
                <w:rFonts w:ascii="Arial" w:hAnsi="Arial" w:cs="Arial"/>
              </w:rPr>
              <w:t>Does the facility have an internal PA system?</w:t>
            </w:r>
          </w:p>
        </w:tc>
        <w:tc>
          <w:tcPr>
            <w:tcW w:w="1299" w:type="dxa"/>
            <w:gridSpan w:val="3"/>
            <w:tcBorders>
              <w:top w:val="nil"/>
              <w:left w:val="nil"/>
              <w:bottom w:val="single" w:sz="4" w:space="0" w:color="auto"/>
              <w:right w:val="nil"/>
            </w:tcBorders>
            <w:shd w:val="clear" w:color="auto" w:fill="auto"/>
          </w:tcPr>
          <w:p w14:paraId="2745CE80" w14:textId="77777777" w:rsidR="00E71C69" w:rsidRPr="00550B1D" w:rsidRDefault="00E71C69" w:rsidP="009C4927">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43" w:type="dxa"/>
            <w:gridSpan w:val="3"/>
            <w:tcBorders>
              <w:top w:val="nil"/>
              <w:left w:val="nil"/>
              <w:bottom w:val="single" w:sz="4" w:space="0" w:color="auto"/>
              <w:right w:val="single" w:sz="4" w:space="0" w:color="auto"/>
            </w:tcBorders>
            <w:shd w:val="clear" w:color="auto" w:fill="auto"/>
          </w:tcPr>
          <w:p w14:paraId="3C0FD666" w14:textId="77777777" w:rsidR="00E71C69" w:rsidRPr="00550B1D" w:rsidRDefault="00E71C69" w:rsidP="009C4927">
            <w:pPr>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r w:rsidR="00E71C69" w:rsidRPr="00550B1D" w14:paraId="5B1EFB77" w14:textId="77777777" w:rsidTr="009C4927">
        <w:tblPrEx>
          <w:tblBorders>
            <w:insideH w:val="single" w:sz="4" w:space="0" w:color="auto"/>
            <w:insideV w:val="single" w:sz="4" w:space="0" w:color="auto"/>
          </w:tblBorders>
        </w:tblPrEx>
        <w:trPr>
          <w:gridBefore w:val="1"/>
          <w:wBefore w:w="12" w:type="dxa"/>
        </w:trPr>
        <w:tc>
          <w:tcPr>
            <w:tcW w:w="8117" w:type="dxa"/>
            <w:gridSpan w:val="5"/>
            <w:tcBorders>
              <w:top w:val="single" w:sz="4" w:space="0" w:color="auto"/>
              <w:left w:val="single" w:sz="4" w:space="0" w:color="auto"/>
              <w:bottom w:val="single" w:sz="4" w:space="0" w:color="auto"/>
              <w:right w:val="nil"/>
            </w:tcBorders>
            <w:shd w:val="clear" w:color="auto" w:fill="auto"/>
          </w:tcPr>
          <w:p w14:paraId="223181C6" w14:textId="77777777" w:rsidR="00E71C69" w:rsidRPr="00550B1D" w:rsidRDefault="00E71C69" w:rsidP="007B269D">
            <w:pPr>
              <w:rPr>
                <w:rFonts w:ascii="Arial" w:hAnsi="Arial" w:cs="Arial"/>
              </w:rPr>
            </w:pPr>
            <w:r w:rsidRPr="00550B1D">
              <w:rPr>
                <w:rFonts w:ascii="Arial" w:hAnsi="Arial" w:cs="Arial"/>
              </w:rPr>
              <w:t>Do cell phones work within the facility?</w:t>
            </w:r>
          </w:p>
        </w:tc>
        <w:tc>
          <w:tcPr>
            <w:tcW w:w="1299" w:type="dxa"/>
            <w:gridSpan w:val="3"/>
            <w:tcBorders>
              <w:top w:val="single" w:sz="4" w:space="0" w:color="auto"/>
              <w:left w:val="nil"/>
              <w:bottom w:val="single" w:sz="4" w:space="0" w:color="auto"/>
              <w:right w:val="nil"/>
            </w:tcBorders>
            <w:shd w:val="clear" w:color="auto" w:fill="auto"/>
          </w:tcPr>
          <w:p w14:paraId="604C55CE" w14:textId="77777777" w:rsidR="00E71C69" w:rsidRPr="00550B1D" w:rsidRDefault="00E71C69" w:rsidP="009C4927">
            <w:pPr>
              <w:ind w:left="-17" w:firstLine="17"/>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43" w:type="dxa"/>
            <w:gridSpan w:val="3"/>
            <w:tcBorders>
              <w:top w:val="single" w:sz="4" w:space="0" w:color="auto"/>
              <w:left w:val="nil"/>
              <w:bottom w:val="single" w:sz="4" w:space="0" w:color="auto"/>
              <w:right w:val="single" w:sz="4" w:space="0" w:color="auto"/>
            </w:tcBorders>
            <w:shd w:val="clear" w:color="auto" w:fill="auto"/>
          </w:tcPr>
          <w:p w14:paraId="6B84A79C" w14:textId="77777777" w:rsidR="00E71C69" w:rsidRPr="00550B1D" w:rsidRDefault="00E71C69" w:rsidP="009C4927">
            <w:pPr>
              <w:ind w:left="-17" w:firstLine="17"/>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r w:rsidR="00E71C69" w:rsidRPr="00550B1D" w14:paraId="42DBE2C3" w14:textId="77777777" w:rsidTr="009C4927">
        <w:tblPrEx>
          <w:tblBorders>
            <w:insideH w:val="single" w:sz="4" w:space="0" w:color="auto"/>
            <w:insideV w:val="single" w:sz="4" w:space="0" w:color="auto"/>
          </w:tblBorders>
        </w:tblPrEx>
        <w:trPr>
          <w:gridBefore w:val="1"/>
          <w:wBefore w:w="12" w:type="dxa"/>
        </w:trPr>
        <w:tc>
          <w:tcPr>
            <w:tcW w:w="8117" w:type="dxa"/>
            <w:gridSpan w:val="5"/>
            <w:tcBorders>
              <w:top w:val="single" w:sz="4" w:space="0" w:color="auto"/>
              <w:left w:val="single" w:sz="4" w:space="0" w:color="auto"/>
              <w:bottom w:val="single" w:sz="4" w:space="0" w:color="auto"/>
              <w:right w:val="nil"/>
            </w:tcBorders>
            <w:shd w:val="clear" w:color="auto" w:fill="auto"/>
          </w:tcPr>
          <w:p w14:paraId="4EA1DE5E" w14:textId="77777777" w:rsidR="00E71C69" w:rsidRPr="00550B1D" w:rsidRDefault="00E71C69" w:rsidP="007B269D">
            <w:pPr>
              <w:rPr>
                <w:rFonts w:ascii="Arial" w:hAnsi="Arial" w:cs="Arial"/>
              </w:rPr>
            </w:pPr>
            <w:r w:rsidRPr="00550B1D">
              <w:rPr>
                <w:rFonts w:ascii="Arial" w:hAnsi="Arial" w:cs="Arial"/>
              </w:rPr>
              <w:t>Do 2-way radios work within the facility?</w:t>
            </w:r>
          </w:p>
        </w:tc>
        <w:tc>
          <w:tcPr>
            <w:tcW w:w="1299" w:type="dxa"/>
            <w:gridSpan w:val="3"/>
            <w:tcBorders>
              <w:top w:val="single" w:sz="4" w:space="0" w:color="auto"/>
              <w:left w:val="nil"/>
              <w:bottom w:val="single" w:sz="4" w:space="0" w:color="auto"/>
              <w:right w:val="nil"/>
            </w:tcBorders>
            <w:shd w:val="clear" w:color="auto" w:fill="auto"/>
          </w:tcPr>
          <w:p w14:paraId="32DCA9B2" w14:textId="77777777" w:rsidR="00E71C69" w:rsidRPr="00550B1D" w:rsidRDefault="00E71C69" w:rsidP="009C4927">
            <w:pPr>
              <w:ind w:left="-17" w:firstLine="17"/>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43" w:type="dxa"/>
            <w:gridSpan w:val="3"/>
            <w:tcBorders>
              <w:top w:val="single" w:sz="4" w:space="0" w:color="auto"/>
              <w:left w:val="nil"/>
              <w:bottom w:val="single" w:sz="4" w:space="0" w:color="auto"/>
              <w:right w:val="single" w:sz="4" w:space="0" w:color="auto"/>
            </w:tcBorders>
            <w:shd w:val="clear" w:color="auto" w:fill="auto"/>
          </w:tcPr>
          <w:p w14:paraId="5666DA91" w14:textId="77777777" w:rsidR="00E71C69" w:rsidRPr="00550B1D" w:rsidRDefault="00E71C69" w:rsidP="009C4927">
            <w:pPr>
              <w:ind w:left="-17" w:firstLine="17"/>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r w:rsidR="00E71C69" w:rsidRPr="00550B1D" w14:paraId="57FDA693" w14:textId="77777777" w:rsidTr="009C4927">
        <w:tblPrEx>
          <w:tblBorders>
            <w:insideH w:val="single" w:sz="4" w:space="0" w:color="auto"/>
            <w:insideV w:val="single" w:sz="4" w:space="0" w:color="auto"/>
          </w:tblBorders>
        </w:tblPrEx>
        <w:trPr>
          <w:gridBefore w:val="1"/>
          <w:wBefore w:w="12" w:type="dxa"/>
        </w:trPr>
        <w:tc>
          <w:tcPr>
            <w:tcW w:w="8117" w:type="dxa"/>
            <w:gridSpan w:val="5"/>
            <w:tcBorders>
              <w:top w:val="single" w:sz="4" w:space="0" w:color="auto"/>
              <w:left w:val="single" w:sz="4" w:space="0" w:color="auto"/>
              <w:bottom w:val="single" w:sz="4" w:space="0" w:color="auto"/>
              <w:right w:val="nil"/>
            </w:tcBorders>
            <w:shd w:val="clear" w:color="auto" w:fill="auto"/>
          </w:tcPr>
          <w:p w14:paraId="089736DF" w14:textId="77777777" w:rsidR="00E71C69" w:rsidRPr="00550B1D" w:rsidRDefault="00E71C69" w:rsidP="007B269D">
            <w:pPr>
              <w:rPr>
                <w:rFonts w:ascii="Arial" w:hAnsi="Arial" w:cs="Arial"/>
              </w:rPr>
            </w:pPr>
            <w:r w:rsidRPr="00550B1D">
              <w:rPr>
                <w:rFonts w:ascii="Arial" w:hAnsi="Arial" w:cs="Arial"/>
              </w:rPr>
              <w:t>Is there high speed internet within the facility?</w:t>
            </w:r>
          </w:p>
        </w:tc>
        <w:tc>
          <w:tcPr>
            <w:tcW w:w="1299" w:type="dxa"/>
            <w:gridSpan w:val="3"/>
            <w:tcBorders>
              <w:top w:val="single" w:sz="4" w:space="0" w:color="auto"/>
              <w:left w:val="nil"/>
              <w:bottom w:val="single" w:sz="4" w:space="0" w:color="auto"/>
              <w:right w:val="nil"/>
            </w:tcBorders>
            <w:shd w:val="clear" w:color="auto" w:fill="auto"/>
          </w:tcPr>
          <w:p w14:paraId="2C20CF4C" w14:textId="77777777" w:rsidR="00E71C69" w:rsidRPr="00550B1D" w:rsidRDefault="00E71C69" w:rsidP="009C4927">
            <w:pPr>
              <w:ind w:left="-17" w:firstLine="17"/>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43" w:type="dxa"/>
            <w:gridSpan w:val="3"/>
            <w:tcBorders>
              <w:top w:val="single" w:sz="4" w:space="0" w:color="auto"/>
              <w:left w:val="nil"/>
              <w:bottom w:val="single" w:sz="4" w:space="0" w:color="auto"/>
              <w:right w:val="single" w:sz="4" w:space="0" w:color="auto"/>
            </w:tcBorders>
            <w:shd w:val="clear" w:color="auto" w:fill="auto"/>
          </w:tcPr>
          <w:p w14:paraId="01BD58A0" w14:textId="77777777" w:rsidR="00E71C69" w:rsidRPr="00550B1D" w:rsidRDefault="00E71C69" w:rsidP="009C4927">
            <w:pPr>
              <w:ind w:left="-17" w:firstLine="17"/>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r w:rsidR="00E71C69" w:rsidRPr="00550B1D" w14:paraId="08E563A9" w14:textId="77777777" w:rsidTr="009C4927">
        <w:tblPrEx>
          <w:tblBorders>
            <w:insideH w:val="single" w:sz="4" w:space="0" w:color="auto"/>
            <w:insideV w:val="single" w:sz="4" w:space="0" w:color="auto"/>
          </w:tblBorders>
        </w:tblPrEx>
        <w:trPr>
          <w:gridBefore w:val="1"/>
          <w:wBefore w:w="12" w:type="dxa"/>
        </w:trPr>
        <w:tc>
          <w:tcPr>
            <w:tcW w:w="8117" w:type="dxa"/>
            <w:gridSpan w:val="5"/>
            <w:tcBorders>
              <w:top w:val="single" w:sz="4" w:space="0" w:color="auto"/>
              <w:left w:val="single" w:sz="4" w:space="0" w:color="auto"/>
              <w:bottom w:val="single" w:sz="4" w:space="0" w:color="auto"/>
              <w:right w:val="nil"/>
            </w:tcBorders>
            <w:shd w:val="clear" w:color="auto" w:fill="auto"/>
          </w:tcPr>
          <w:p w14:paraId="38EC34F0" w14:textId="77777777" w:rsidR="00E71C69" w:rsidRPr="00550B1D" w:rsidRDefault="00E71C69" w:rsidP="007B269D">
            <w:pPr>
              <w:rPr>
                <w:rFonts w:ascii="Arial" w:hAnsi="Arial" w:cs="Arial"/>
              </w:rPr>
            </w:pPr>
            <w:r w:rsidRPr="00550B1D">
              <w:rPr>
                <w:rFonts w:ascii="Arial" w:hAnsi="Arial" w:cs="Arial"/>
              </w:rPr>
              <w:t xml:space="preserve">Does the facility have wireless internet capability? </w:t>
            </w:r>
          </w:p>
        </w:tc>
        <w:tc>
          <w:tcPr>
            <w:tcW w:w="1299" w:type="dxa"/>
            <w:gridSpan w:val="3"/>
            <w:tcBorders>
              <w:top w:val="single" w:sz="4" w:space="0" w:color="auto"/>
              <w:left w:val="nil"/>
              <w:bottom w:val="single" w:sz="4" w:space="0" w:color="auto"/>
              <w:right w:val="nil"/>
            </w:tcBorders>
            <w:shd w:val="clear" w:color="auto" w:fill="auto"/>
          </w:tcPr>
          <w:p w14:paraId="58B7BC5E" w14:textId="77777777" w:rsidR="00E71C69" w:rsidRPr="00550B1D" w:rsidRDefault="00E71C69" w:rsidP="009C4927">
            <w:pPr>
              <w:ind w:left="-17" w:firstLine="17"/>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Yes</w:t>
            </w:r>
          </w:p>
        </w:tc>
        <w:tc>
          <w:tcPr>
            <w:tcW w:w="1043" w:type="dxa"/>
            <w:gridSpan w:val="3"/>
            <w:tcBorders>
              <w:top w:val="single" w:sz="4" w:space="0" w:color="auto"/>
              <w:left w:val="nil"/>
              <w:bottom w:val="single" w:sz="4" w:space="0" w:color="auto"/>
              <w:right w:val="single" w:sz="4" w:space="0" w:color="auto"/>
            </w:tcBorders>
            <w:shd w:val="clear" w:color="auto" w:fill="auto"/>
          </w:tcPr>
          <w:p w14:paraId="1BC2528B" w14:textId="77777777" w:rsidR="00E71C69" w:rsidRPr="00550B1D" w:rsidRDefault="00E71C69" w:rsidP="009C4927">
            <w:pPr>
              <w:ind w:left="-17" w:firstLine="17"/>
              <w:jc w:val="center"/>
              <w:rPr>
                <w:rFonts w:ascii="Arial" w:hAnsi="Arial" w:cs="Arial"/>
                <w:b/>
                <w:smallCaps/>
              </w:rPr>
            </w:pPr>
            <w:r w:rsidRPr="00550B1D">
              <w:rPr>
                <w:rFonts w:ascii="Arial" w:hAnsi="Arial" w:cs="Arial"/>
                <w:b/>
                <w:smallCaps/>
              </w:rPr>
              <w:sym w:font="Wingdings 2" w:char="F0A3"/>
            </w:r>
            <w:r w:rsidRPr="00550B1D">
              <w:rPr>
                <w:rFonts w:ascii="Arial" w:hAnsi="Arial" w:cs="Arial"/>
                <w:b/>
                <w:smallCaps/>
              </w:rPr>
              <w:t xml:space="preserve"> No</w:t>
            </w:r>
          </w:p>
        </w:tc>
      </w:tr>
    </w:tbl>
    <w:p w14:paraId="632CF09B" w14:textId="77777777" w:rsidR="00F65D42" w:rsidRDefault="00F65D42" w:rsidP="006D0D34"/>
    <w:p w14:paraId="4E175C93" w14:textId="77777777" w:rsidR="00FA2A55" w:rsidRDefault="00FA2A55" w:rsidP="006D0D34"/>
    <w:p w14:paraId="71474D50" w14:textId="77777777" w:rsidR="00FA2A55" w:rsidRDefault="00FA2A55" w:rsidP="006D0D34"/>
    <w:p w14:paraId="576DF511" w14:textId="77777777" w:rsidR="00FA2A55" w:rsidRPr="00C023A6" w:rsidRDefault="00FA2A55" w:rsidP="006D0D34"/>
    <w:sectPr w:rsidR="00FA2A55" w:rsidRPr="00C023A6" w:rsidSect="002F6EF9">
      <w:pgSz w:w="12240" w:h="15840"/>
      <w:pgMar w:top="1440" w:right="99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ADF599" w14:textId="77777777" w:rsidR="00637775" w:rsidRDefault="00637775" w:rsidP="00D42071">
      <w:r>
        <w:separator/>
      </w:r>
    </w:p>
  </w:endnote>
  <w:endnote w:type="continuationSeparator" w:id="0">
    <w:p w14:paraId="6DE0201C" w14:textId="77777777" w:rsidR="00637775" w:rsidRDefault="00637775" w:rsidP="00D4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
    <w:altName w:val="Calibri"/>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2A418" w14:textId="3CDB57C8" w:rsidR="008A3AD2" w:rsidRDefault="008A3AD2" w:rsidP="0090186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C0528">
      <w:rPr>
        <w:rStyle w:val="PageNumber"/>
        <w:noProof/>
      </w:rPr>
      <w:t>1</w:t>
    </w:r>
    <w:r>
      <w:rPr>
        <w:rStyle w:val="PageNumber"/>
      </w:rPr>
      <w:fldChar w:fldCharType="end"/>
    </w:r>
  </w:p>
  <w:p w14:paraId="036E1014" w14:textId="77777777" w:rsidR="008A3AD2" w:rsidRPr="00D42071" w:rsidRDefault="008A3AD2" w:rsidP="000B71D6">
    <w:pPr>
      <w:pStyle w:val="Footer"/>
      <w:shd w:val="clear" w:color="auto" w:fill="FFC700"/>
      <w:tabs>
        <w:tab w:val="clear" w:pos="9360"/>
        <w:tab w:val="left" w:pos="6088"/>
        <w:tab w:val="left" w:pos="6289"/>
      </w:tabs>
      <w:ind w:right="360"/>
      <w:rPr>
        <w:sz w:val="21"/>
        <w:szCs w:val="21"/>
      </w:rPr>
    </w:pPr>
    <w:r>
      <w:rPr>
        <w:sz w:val="21"/>
        <w:szCs w:val="21"/>
      </w:rPr>
      <w:t xml:space="preserve">   </w:t>
    </w:r>
    <w:r w:rsidRPr="00D42071">
      <w:rPr>
        <w:sz w:val="21"/>
        <w:szCs w:val="21"/>
      </w:rPr>
      <w:t>EDS Planning Guide,</w:t>
    </w:r>
    <w:r>
      <w:rPr>
        <w:sz w:val="21"/>
        <w:szCs w:val="21"/>
      </w:rPr>
      <w:t xml:space="preserve"> Introduction </w:t>
    </w:r>
    <w:r w:rsidRPr="00D42071">
      <w:rPr>
        <w:color w:val="BF8F00" w:themeColor="accent4" w:themeShade="BF"/>
        <w:sz w:val="21"/>
        <w:szCs w:val="21"/>
      </w:rPr>
      <w:t>|</w:t>
    </w:r>
    <w:r>
      <w:rPr>
        <w:sz w:val="21"/>
        <w:szCs w:val="21"/>
      </w:rPr>
      <w:t xml:space="preserve">July 2019 </w:t>
    </w:r>
    <w:r>
      <w:rPr>
        <w:sz w:val="21"/>
        <w:szCs w:val="21"/>
      </w:rPr>
      <w:tab/>
    </w:r>
    <w:r>
      <w:rPr>
        <w:sz w:val="21"/>
        <w:szCs w:val="21"/>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ECE44" w14:textId="1BC54C5B" w:rsidR="008A3AD2" w:rsidRDefault="008A3AD2" w:rsidP="0090186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C0528">
      <w:rPr>
        <w:rStyle w:val="PageNumber"/>
        <w:noProof/>
      </w:rPr>
      <w:t>37</w:t>
    </w:r>
    <w:r>
      <w:rPr>
        <w:rStyle w:val="PageNumber"/>
      </w:rPr>
      <w:fldChar w:fldCharType="end"/>
    </w:r>
  </w:p>
  <w:p w14:paraId="1B2BDE26" w14:textId="77777777" w:rsidR="008A3AD2" w:rsidRPr="00D42071" w:rsidRDefault="008A3AD2" w:rsidP="000B71D6">
    <w:pPr>
      <w:pStyle w:val="Footer"/>
      <w:shd w:val="clear" w:color="auto" w:fill="FFC700"/>
      <w:tabs>
        <w:tab w:val="clear" w:pos="9360"/>
        <w:tab w:val="left" w:pos="6088"/>
        <w:tab w:val="left" w:pos="6289"/>
      </w:tabs>
      <w:ind w:right="360"/>
      <w:rPr>
        <w:sz w:val="21"/>
        <w:szCs w:val="21"/>
      </w:rPr>
    </w:pPr>
    <w:r>
      <w:rPr>
        <w:sz w:val="21"/>
        <w:szCs w:val="21"/>
      </w:rPr>
      <w:t xml:space="preserve">   </w:t>
    </w:r>
    <w:r w:rsidRPr="00D42071">
      <w:rPr>
        <w:sz w:val="21"/>
        <w:szCs w:val="21"/>
      </w:rPr>
      <w:t>EDS Planning Guide,</w:t>
    </w:r>
    <w:r>
      <w:rPr>
        <w:sz w:val="21"/>
        <w:szCs w:val="21"/>
      </w:rPr>
      <w:t xml:space="preserve"> Operations </w:t>
    </w:r>
    <w:r w:rsidRPr="00D42071">
      <w:rPr>
        <w:color w:val="BF8F00" w:themeColor="accent4" w:themeShade="BF"/>
        <w:sz w:val="21"/>
        <w:szCs w:val="21"/>
      </w:rPr>
      <w:t>|</w:t>
    </w:r>
    <w:r>
      <w:rPr>
        <w:sz w:val="21"/>
        <w:szCs w:val="21"/>
      </w:rPr>
      <w:t xml:space="preserve">July 2019 </w:t>
    </w:r>
    <w:r>
      <w:rPr>
        <w:sz w:val="21"/>
        <w:szCs w:val="21"/>
      </w:rPr>
      <w:tab/>
    </w:r>
    <w:r>
      <w:rPr>
        <w:sz w:val="21"/>
        <w:szCs w:val="21"/>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63C83" w14:textId="77777777" w:rsidR="008A3AD2" w:rsidRDefault="008A3AD2" w:rsidP="0090186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51</w:t>
    </w:r>
    <w:r>
      <w:rPr>
        <w:rStyle w:val="PageNumber"/>
      </w:rPr>
      <w:fldChar w:fldCharType="end"/>
    </w:r>
  </w:p>
  <w:p w14:paraId="527C2FE7" w14:textId="77777777" w:rsidR="008A3AD2" w:rsidRPr="00D42071" w:rsidRDefault="008A3AD2" w:rsidP="000B71D6">
    <w:pPr>
      <w:pStyle w:val="Footer"/>
      <w:shd w:val="clear" w:color="auto" w:fill="FFC700"/>
      <w:tabs>
        <w:tab w:val="clear" w:pos="9360"/>
        <w:tab w:val="left" w:pos="6088"/>
        <w:tab w:val="left" w:pos="6289"/>
      </w:tabs>
      <w:ind w:right="360"/>
      <w:rPr>
        <w:sz w:val="21"/>
        <w:szCs w:val="21"/>
      </w:rPr>
    </w:pPr>
    <w:r>
      <w:rPr>
        <w:sz w:val="21"/>
        <w:szCs w:val="21"/>
      </w:rPr>
      <w:t xml:space="preserve">   </w:t>
    </w:r>
    <w:r w:rsidRPr="00D42071">
      <w:rPr>
        <w:sz w:val="21"/>
        <w:szCs w:val="21"/>
      </w:rPr>
      <w:t>EDS Planning Guide,</w:t>
    </w:r>
    <w:r>
      <w:rPr>
        <w:sz w:val="21"/>
        <w:szCs w:val="21"/>
      </w:rPr>
      <w:t xml:space="preserve"> Demobilization and Recovery </w:t>
    </w:r>
    <w:r w:rsidRPr="00D42071">
      <w:rPr>
        <w:color w:val="BF8F00" w:themeColor="accent4" w:themeShade="BF"/>
        <w:sz w:val="21"/>
        <w:szCs w:val="21"/>
      </w:rPr>
      <w:t>|</w:t>
    </w:r>
    <w:r>
      <w:rPr>
        <w:sz w:val="21"/>
        <w:szCs w:val="21"/>
      </w:rPr>
      <w:t xml:space="preserve">July 2019 </w:t>
    </w:r>
    <w:r>
      <w:rPr>
        <w:sz w:val="21"/>
        <w:szCs w:val="21"/>
      </w:rPr>
      <w:tab/>
    </w:r>
    <w:r>
      <w:rPr>
        <w:sz w:val="21"/>
        <w:szCs w:val="21"/>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8F694" w14:textId="77777777" w:rsidR="008A3AD2" w:rsidRDefault="008A3AD2" w:rsidP="0090186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60</w:t>
    </w:r>
    <w:r>
      <w:rPr>
        <w:rStyle w:val="PageNumber"/>
      </w:rPr>
      <w:fldChar w:fldCharType="end"/>
    </w:r>
  </w:p>
  <w:p w14:paraId="06783116" w14:textId="77777777" w:rsidR="008A3AD2" w:rsidRPr="00D42071" w:rsidRDefault="008A3AD2" w:rsidP="000B71D6">
    <w:pPr>
      <w:pStyle w:val="Footer"/>
      <w:shd w:val="clear" w:color="auto" w:fill="FFC700"/>
      <w:tabs>
        <w:tab w:val="clear" w:pos="9360"/>
        <w:tab w:val="left" w:pos="6088"/>
        <w:tab w:val="left" w:pos="6289"/>
      </w:tabs>
      <w:ind w:right="360"/>
      <w:rPr>
        <w:sz w:val="21"/>
        <w:szCs w:val="21"/>
      </w:rPr>
    </w:pPr>
    <w:r>
      <w:rPr>
        <w:sz w:val="21"/>
        <w:szCs w:val="21"/>
      </w:rPr>
      <w:t xml:space="preserve">   </w:t>
    </w:r>
    <w:r w:rsidRPr="00D42071">
      <w:rPr>
        <w:sz w:val="21"/>
        <w:szCs w:val="21"/>
      </w:rPr>
      <w:t>EDS Planning Guide,</w:t>
    </w:r>
    <w:r>
      <w:rPr>
        <w:sz w:val="21"/>
        <w:szCs w:val="21"/>
      </w:rPr>
      <w:t xml:space="preserve"> Plan Development &amp; Maintenance </w:t>
    </w:r>
    <w:r w:rsidRPr="00D42071">
      <w:rPr>
        <w:color w:val="BF8F00" w:themeColor="accent4" w:themeShade="BF"/>
        <w:sz w:val="21"/>
        <w:szCs w:val="21"/>
      </w:rPr>
      <w:t>|</w:t>
    </w:r>
    <w:r>
      <w:rPr>
        <w:sz w:val="21"/>
        <w:szCs w:val="21"/>
      </w:rPr>
      <w:t xml:space="preserve">July 2019 </w:t>
    </w:r>
    <w:r>
      <w:rPr>
        <w:sz w:val="21"/>
        <w:szCs w:val="21"/>
      </w:rPr>
      <w:tab/>
    </w:r>
    <w:r>
      <w:rPr>
        <w:sz w:val="21"/>
        <w:szCs w:val="21"/>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E095E" w14:textId="77777777" w:rsidR="008A3AD2" w:rsidRDefault="008A3AD2" w:rsidP="0090186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62</w:t>
    </w:r>
    <w:r>
      <w:rPr>
        <w:rStyle w:val="PageNumber"/>
      </w:rPr>
      <w:fldChar w:fldCharType="end"/>
    </w:r>
  </w:p>
  <w:p w14:paraId="1FEA2FAB" w14:textId="77777777" w:rsidR="008A3AD2" w:rsidRPr="00D42071" w:rsidRDefault="008A3AD2" w:rsidP="000B71D6">
    <w:pPr>
      <w:pStyle w:val="Footer"/>
      <w:shd w:val="clear" w:color="auto" w:fill="FFC700"/>
      <w:tabs>
        <w:tab w:val="clear" w:pos="9360"/>
        <w:tab w:val="left" w:pos="6088"/>
        <w:tab w:val="left" w:pos="6289"/>
      </w:tabs>
      <w:ind w:right="360"/>
      <w:rPr>
        <w:sz w:val="21"/>
        <w:szCs w:val="21"/>
      </w:rPr>
    </w:pPr>
    <w:r>
      <w:rPr>
        <w:sz w:val="21"/>
        <w:szCs w:val="21"/>
      </w:rPr>
      <w:t xml:space="preserve">   </w:t>
    </w:r>
    <w:r w:rsidRPr="00D42071">
      <w:rPr>
        <w:sz w:val="21"/>
        <w:szCs w:val="21"/>
      </w:rPr>
      <w:t>EDS Planning Guide,</w:t>
    </w:r>
    <w:r>
      <w:rPr>
        <w:sz w:val="21"/>
        <w:szCs w:val="21"/>
      </w:rPr>
      <w:t xml:space="preserve"> Acronyms </w:t>
    </w:r>
    <w:r w:rsidRPr="00D42071">
      <w:rPr>
        <w:color w:val="BF8F00" w:themeColor="accent4" w:themeShade="BF"/>
        <w:sz w:val="21"/>
        <w:szCs w:val="21"/>
      </w:rPr>
      <w:t>|</w:t>
    </w:r>
    <w:r>
      <w:rPr>
        <w:sz w:val="21"/>
        <w:szCs w:val="21"/>
      </w:rPr>
      <w:t xml:space="preserve">July 2019 </w:t>
    </w:r>
    <w:r>
      <w:rPr>
        <w:sz w:val="21"/>
        <w:szCs w:val="21"/>
      </w:rPr>
      <w:tab/>
    </w:r>
    <w:r>
      <w:rPr>
        <w:sz w:val="21"/>
        <w:szCs w:val="21"/>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29248" w14:textId="77777777" w:rsidR="008A3AD2" w:rsidRDefault="008A3AD2" w:rsidP="0090186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81</w:t>
    </w:r>
    <w:r>
      <w:rPr>
        <w:rStyle w:val="PageNumber"/>
      </w:rPr>
      <w:fldChar w:fldCharType="end"/>
    </w:r>
  </w:p>
  <w:p w14:paraId="0D82AE4C" w14:textId="77777777" w:rsidR="008A3AD2" w:rsidRPr="00D42071" w:rsidRDefault="008A3AD2" w:rsidP="000B71D6">
    <w:pPr>
      <w:pStyle w:val="Footer"/>
      <w:shd w:val="clear" w:color="auto" w:fill="FFC700"/>
      <w:tabs>
        <w:tab w:val="clear" w:pos="9360"/>
        <w:tab w:val="left" w:pos="6088"/>
        <w:tab w:val="left" w:pos="6289"/>
      </w:tabs>
      <w:ind w:right="360"/>
      <w:rPr>
        <w:sz w:val="21"/>
        <w:szCs w:val="21"/>
      </w:rPr>
    </w:pPr>
    <w:r>
      <w:rPr>
        <w:sz w:val="21"/>
        <w:szCs w:val="21"/>
      </w:rPr>
      <w:t xml:space="preserve">   </w:t>
    </w:r>
    <w:r w:rsidRPr="00D42071">
      <w:rPr>
        <w:sz w:val="21"/>
        <w:szCs w:val="21"/>
      </w:rPr>
      <w:t>EDS Planning Guide,</w:t>
    </w:r>
    <w:r>
      <w:rPr>
        <w:sz w:val="21"/>
        <w:szCs w:val="21"/>
      </w:rPr>
      <w:t xml:space="preserve"> Resources </w:t>
    </w:r>
    <w:r w:rsidRPr="00D42071">
      <w:rPr>
        <w:color w:val="BF8F00" w:themeColor="accent4" w:themeShade="BF"/>
        <w:sz w:val="21"/>
        <w:szCs w:val="21"/>
      </w:rPr>
      <w:t>|</w:t>
    </w:r>
    <w:r>
      <w:rPr>
        <w:sz w:val="21"/>
        <w:szCs w:val="21"/>
      </w:rPr>
      <w:t xml:space="preserve">July 2019 </w:t>
    </w:r>
    <w:r>
      <w:rPr>
        <w:sz w:val="21"/>
        <w:szCs w:val="21"/>
      </w:rPr>
      <w:tab/>
    </w:r>
    <w:r>
      <w:rPr>
        <w:sz w:val="21"/>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A9DBA5" w14:textId="77777777" w:rsidR="00637775" w:rsidRDefault="00637775" w:rsidP="00D42071">
      <w:r>
        <w:separator/>
      </w:r>
    </w:p>
  </w:footnote>
  <w:footnote w:type="continuationSeparator" w:id="0">
    <w:p w14:paraId="32CF4570" w14:textId="77777777" w:rsidR="00637775" w:rsidRDefault="00637775" w:rsidP="00D42071">
      <w:r>
        <w:continuationSeparator/>
      </w:r>
    </w:p>
  </w:footnote>
  <w:footnote w:id="1">
    <w:p w14:paraId="1C081A65" w14:textId="4824C408" w:rsidR="008A3AD2" w:rsidRPr="00B13B9C" w:rsidRDefault="008A3AD2">
      <w:pPr>
        <w:pStyle w:val="FootnoteText"/>
        <w:rPr>
          <w:sz w:val="16"/>
          <w:szCs w:val="16"/>
        </w:rPr>
      </w:pPr>
      <w:r w:rsidRPr="00B13B9C">
        <w:rPr>
          <w:rStyle w:val="FootnoteReference"/>
          <w:sz w:val="16"/>
          <w:szCs w:val="16"/>
        </w:rPr>
        <w:footnoteRef/>
      </w:r>
      <w:r w:rsidRPr="00B13B9C">
        <w:rPr>
          <w:sz w:val="16"/>
          <w:szCs w:val="16"/>
        </w:rPr>
        <w:t xml:space="preserve">External link- </w:t>
      </w:r>
      <w:hyperlink r:id="rId1" w:history="1">
        <w:r w:rsidRPr="00CD1770">
          <w:rPr>
            <w:rStyle w:val="Hyperlink"/>
            <w:sz w:val="16"/>
            <w:szCs w:val="16"/>
          </w:rPr>
          <w:t xml:space="preserve">https://www.fda.gov/emergency-preparedness-and-response/about-mcmi/what-are-medical-countermeasures  </w:t>
        </w:r>
      </w:hyperlink>
      <w:r w:rsidRPr="00B13B9C">
        <w:rPr>
          <w:sz w:val="16"/>
          <w:szCs w:val="16"/>
        </w:rPr>
        <w:t xml:space="preserve"> </w:t>
      </w:r>
    </w:p>
  </w:footnote>
  <w:footnote w:id="2">
    <w:p w14:paraId="7DE9525B" w14:textId="77777777" w:rsidR="008A3AD2" w:rsidRPr="008561F0" w:rsidRDefault="008A3AD2">
      <w:pPr>
        <w:pStyle w:val="FootnoteText"/>
        <w:rPr>
          <w:sz w:val="16"/>
          <w:szCs w:val="16"/>
        </w:rPr>
      </w:pPr>
      <w:r w:rsidRPr="008561F0">
        <w:rPr>
          <w:rStyle w:val="FootnoteReference"/>
          <w:sz w:val="16"/>
          <w:szCs w:val="16"/>
        </w:rPr>
        <w:footnoteRef/>
      </w:r>
      <w:r w:rsidRPr="008561F0">
        <w:rPr>
          <w:sz w:val="16"/>
          <w:szCs w:val="16"/>
        </w:rPr>
        <w:t xml:space="preserve"> External link- </w:t>
      </w:r>
      <w:hyperlink r:id="rId2" w:history="1">
        <w:r w:rsidRPr="008561F0">
          <w:rPr>
            <w:rStyle w:val="Hyperlink"/>
            <w:sz w:val="16"/>
            <w:szCs w:val="16"/>
          </w:rPr>
          <w:t>https://www.cdc.gov/phpr/readiness/capabilities.htm</w:t>
        </w:r>
      </w:hyperlink>
      <w:r w:rsidRPr="008561F0">
        <w:rPr>
          <w:sz w:val="16"/>
          <w:szCs w:val="16"/>
        </w:rPr>
        <w:t xml:space="preserve"> </w:t>
      </w:r>
    </w:p>
  </w:footnote>
  <w:footnote w:id="3">
    <w:p w14:paraId="7B0959B4" w14:textId="77777777" w:rsidR="008A3AD2" w:rsidRPr="008561F0" w:rsidRDefault="008A3AD2">
      <w:pPr>
        <w:pStyle w:val="FootnoteText"/>
        <w:rPr>
          <w:sz w:val="16"/>
          <w:szCs w:val="16"/>
        </w:rPr>
      </w:pPr>
      <w:r w:rsidRPr="008561F0">
        <w:rPr>
          <w:rStyle w:val="FootnoteReference"/>
          <w:sz w:val="16"/>
          <w:szCs w:val="16"/>
        </w:rPr>
        <w:footnoteRef/>
      </w:r>
      <w:r w:rsidRPr="008561F0">
        <w:rPr>
          <w:sz w:val="16"/>
          <w:szCs w:val="16"/>
        </w:rPr>
        <w:t xml:space="preserve"> External link- </w:t>
      </w:r>
      <w:hyperlink r:id="rId3" w:history="1">
        <w:r w:rsidRPr="008561F0">
          <w:rPr>
            <w:rStyle w:val="Hyperlink"/>
            <w:sz w:val="16"/>
            <w:szCs w:val="16"/>
          </w:rPr>
          <w:t>https://www.phe.gov/Preparedness/planning/hpp/reports/Documents/2017-2022-healthcare-pr-capablities.pdf</w:t>
        </w:r>
      </w:hyperlink>
      <w:r w:rsidRPr="008561F0">
        <w:rPr>
          <w:sz w:val="16"/>
          <w:szCs w:val="16"/>
        </w:rPr>
        <w:t xml:space="preserve"> </w:t>
      </w:r>
    </w:p>
  </w:footnote>
  <w:footnote w:id="4">
    <w:p w14:paraId="30C336EB" w14:textId="77777777" w:rsidR="008A3AD2" w:rsidRPr="008561F0" w:rsidRDefault="008A3AD2">
      <w:pPr>
        <w:pStyle w:val="FootnoteText"/>
        <w:rPr>
          <w:sz w:val="16"/>
          <w:szCs w:val="16"/>
        </w:rPr>
      </w:pPr>
      <w:r w:rsidRPr="008561F0">
        <w:rPr>
          <w:rStyle w:val="FootnoteReference"/>
          <w:sz w:val="16"/>
          <w:szCs w:val="16"/>
        </w:rPr>
        <w:footnoteRef/>
      </w:r>
      <w:r w:rsidRPr="008561F0">
        <w:rPr>
          <w:sz w:val="16"/>
          <w:szCs w:val="16"/>
        </w:rPr>
        <w:t xml:space="preserve"> External link- </w:t>
      </w:r>
      <w:hyperlink r:id="rId4" w:history="1">
        <w:r w:rsidRPr="008561F0">
          <w:rPr>
            <w:rStyle w:val="Hyperlink"/>
            <w:sz w:val="16"/>
            <w:szCs w:val="16"/>
          </w:rPr>
          <w:t>http://www.mass.gov/eohhs/gov/departments/dph/programs/emergency-prep/health-medical-coord-coalitions.html</w:t>
        </w:r>
      </w:hyperlink>
      <w:r w:rsidRPr="008561F0">
        <w:rPr>
          <w:sz w:val="16"/>
          <w:szCs w:val="16"/>
        </w:rPr>
        <w:t xml:space="preserve"> </w:t>
      </w:r>
    </w:p>
  </w:footnote>
  <w:footnote w:id="5">
    <w:p w14:paraId="4C1E97D5" w14:textId="6041E19B" w:rsidR="008A3AD2" w:rsidRPr="00CD1770" w:rsidRDefault="008A3AD2">
      <w:pPr>
        <w:pStyle w:val="FootnoteText"/>
        <w:rPr>
          <w:sz w:val="16"/>
          <w:szCs w:val="16"/>
        </w:rPr>
      </w:pPr>
      <w:r w:rsidRPr="00CD1770">
        <w:rPr>
          <w:rStyle w:val="FootnoteReference"/>
          <w:sz w:val="16"/>
          <w:szCs w:val="16"/>
        </w:rPr>
        <w:footnoteRef/>
      </w:r>
      <w:r w:rsidRPr="00CD1770">
        <w:rPr>
          <w:sz w:val="16"/>
          <w:szCs w:val="16"/>
        </w:rPr>
        <w:t xml:space="preserve"> External link- </w:t>
      </w:r>
      <w:hyperlink r:id="rId5" w:history="1">
        <w:r w:rsidRPr="00225FAB">
          <w:rPr>
            <w:rStyle w:val="Hyperlink"/>
            <w:sz w:val="16"/>
            <w:szCs w:val="16"/>
          </w:rPr>
          <w:t>https://www.phe.gov/about/sns/Pages/default.aspx</w:t>
        </w:r>
      </w:hyperlink>
      <w:r w:rsidRPr="00CD1770">
        <w:rPr>
          <w:sz w:val="16"/>
          <w:szCs w:val="16"/>
        </w:rPr>
        <w:t xml:space="preserve"> </w:t>
      </w:r>
    </w:p>
  </w:footnote>
  <w:footnote w:id="6">
    <w:p w14:paraId="38291864" w14:textId="77777777" w:rsidR="008A3AD2" w:rsidRPr="00F17724" w:rsidRDefault="008A3AD2" w:rsidP="00E266B2">
      <w:pPr>
        <w:pStyle w:val="FootnoteText"/>
        <w:rPr>
          <w:sz w:val="16"/>
          <w:szCs w:val="16"/>
        </w:rPr>
      </w:pPr>
      <w:r w:rsidRPr="00F17724">
        <w:rPr>
          <w:rStyle w:val="FootnoteReference"/>
          <w:sz w:val="16"/>
          <w:szCs w:val="16"/>
        </w:rPr>
        <w:footnoteRef/>
      </w:r>
      <w:r w:rsidRPr="00F17724">
        <w:rPr>
          <w:sz w:val="16"/>
          <w:szCs w:val="16"/>
        </w:rPr>
        <w:t xml:space="preserve"> External Link-</w:t>
      </w:r>
      <w:r>
        <w:rPr>
          <w:sz w:val="16"/>
          <w:szCs w:val="16"/>
        </w:rPr>
        <w:t xml:space="preserve"> </w:t>
      </w:r>
      <w:hyperlink r:id="rId6" w:history="1">
        <w:r w:rsidRPr="00C6343B">
          <w:rPr>
            <w:rStyle w:val="Hyperlink"/>
            <w:sz w:val="16"/>
            <w:szCs w:val="16"/>
          </w:rPr>
          <w:t>https://malegislature.gov/Laws/GeneralLaws/PartI/TitleXVI/Chapter111/Section5A</w:t>
        </w:r>
      </w:hyperlink>
      <w:r>
        <w:rPr>
          <w:sz w:val="16"/>
          <w:szCs w:val="16"/>
        </w:rPr>
        <w:t xml:space="preserve"> </w:t>
      </w:r>
      <w:r w:rsidRPr="00F17724">
        <w:rPr>
          <w:sz w:val="16"/>
          <w:szCs w:val="16"/>
        </w:rPr>
        <w:t xml:space="preserve"> </w:t>
      </w:r>
    </w:p>
  </w:footnote>
  <w:footnote w:id="7">
    <w:p w14:paraId="1B9998A9" w14:textId="77777777" w:rsidR="008A3AD2" w:rsidRDefault="008A3AD2">
      <w:pPr>
        <w:pStyle w:val="FootnoteText"/>
      </w:pPr>
      <w:r w:rsidRPr="00F17724">
        <w:rPr>
          <w:rStyle w:val="FootnoteReference"/>
          <w:sz w:val="16"/>
          <w:szCs w:val="16"/>
        </w:rPr>
        <w:footnoteRef/>
      </w:r>
      <w:r w:rsidRPr="00F17724">
        <w:rPr>
          <w:sz w:val="16"/>
          <w:szCs w:val="16"/>
        </w:rPr>
        <w:t xml:space="preserve"> External link- </w:t>
      </w:r>
      <w:hyperlink r:id="rId7" w:history="1">
        <w:r w:rsidRPr="00C6343B">
          <w:rPr>
            <w:rStyle w:val="Hyperlink"/>
            <w:sz w:val="16"/>
            <w:szCs w:val="16"/>
          </w:rPr>
          <w:t>http://www.dispenseassist.net/default.html</w:t>
        </w:r>
      </w:hyperlink>
      <w:r>
        <w:rPr>
          <w:sz w:val="16"/>
          <w:szCs w:val="16"/>
        </w:rPr>
        <w:t xml:space="preserve"> </w:t>
      </w:r>
    </w:p>
  </w:footnote>
  <w:footnote w:id="8">
    <w:p w14:paraId="6E82472F" w14:textId="77777777" w:rsidR="008A3AD2" w:rsidRPr="00F17724" w:rsidRDefault="008A3AD2">
      <w:pPr>
        <w:pStyle w:val="FootnoteText"/>
        <w:rPr>
          <w:sz w:val="16"/>
          <w:szCs w:val="16"/>
        </w:rPr>
      </w:pPr>
      <w:r w:rsidRPr="00F17724">
        <w:rPr>
          <w:rStyle w:val="FootnoteReference"/>
          <w:sz w:val="16"/>
          <w:szCs w:val="16"/>
        </w:rPr>
        <w:footnoteRef/>
      </w:r>
      <w:r w:rsidRPr="00F17724">
        <w:rPr>
          <w:sz w:val="16"/>
          <w:szCs w:val="16"/>
        </w:rPr>
        <w:t xml:space="preserve"> External link- </w:t>
      </w:r>
      <w:hyperlink r:id="rId8" w:history="1">
        <w:r w:rsidRPr="00C6343B">
          <w:rPr>
            <w:rStyle w:val="Hyperlink"/>
            <w:sz w:val="16"/>
            <w:szCs w:val="16"/>
          </w:rPr>
          <w:t>https://factfinder.census.gov/faces/nav/jsf/pages/index.xhtml</w:t>
        </w:r>
      </w:hyperlink>
      <w:r>
        <w:rPr>
          <w:sz w:val="16"/>
          <w:szCs w:val="16"/>
        </w:rPr>
        <w:t xml:space="preserve"> </w:t>
      </w:r>
    </w:p>
  </w:footnote>
  <w:footnote w:id="9">
    <w:p w14:paraId="16F1D455" w14:textId="77777777" w:rsidR="008A3AD2" w:rsidRDefault="008A3AD2">
      <w:pPr>
        <w:pStyle w:val="FootnoteText"/>
      </w:pPr>
      <w:r w:rsidRPr="00F17724">
        <w:rPr>
          <w:rStyle w:val="FootnoteReference"/>
          <w:sz w:val="16"/>
          <w:szCs w:val="16"/>
        </w:rPr>
        <w:footnoteRef/>
      </w:r>
      <w:r w:rsidRPr="00F17724">
        <w:rPr>
          <w:sz w:val="16"/>
          <w:szCs w:val="16"/>
        </w:rPr>
        <w:t xml:space="preserve"> External link- </w:t>
      </w:r>
      <w:hyperlink r:id="rId9" w:history="1">
        <w:r w:rsidRPr="00C6343B">
          <w:rPr>
            <w:rStyle w:val="Hyperlink"/>
            <w:sz w:val="16"/>
            <w:szCs w:val="16"/>
          </w:rPr>
          <w:t>https://factfinder.census.gov/faces/nav/jsf/pages/index.xhtml</w:t>
        </w:r>
      </w:hyperlink>
      <w:r>
        <w:rPr>
          <w:sz w:val="16"/>
          <w:szCs w:val="16"/>
        </w:rPr>
        <w:t xml:space="preserve"> </w:t>
      </w:r>
    </w:p>
  </w:footnote>
  <w:footnote w:id="10">
    <w:p w14:paraId="73BD5455" w14:textId="781ABC69" w:rsidR="008A3AD2" w:rsidRPr="008561F0" w:rsidRDefault="008A3AD2" w:rsidP="00312E2F">
      <w:pPr>
        <w:pStyle w:val="FootnoteText"/>
        <w:rPr>
          <w:sz w:val="16"/>
          <w:szCs w:val="16"/>
        </w:rPr>
      </w:pPr>
      <w:r w:rsidRPr="008561F0">
        <w:rPr>
          <w:rStyle w:val="FootnoteReference"/>
          <w:sz w:val="16"/>
          <w:szCs w:val="16"/>
        </w:rPr>
        <w:footnoteRef/>
      </w:r>
      <w:r w:rsidRPr="008561F0">
        <w:rPr>
          <w:sz w:val="16"/>
          <w:szCs w:val="16"/>
        </w:rPr>
        <w:t xml:space="preserve"> External link- </w:t>
      </w:r>
      <w:hyperlink r:id="rId10" w:history="1">
        <w:r w:rsidRPr="008561F0">
          <w:rPr>
            <w:rStyle w:val="Hyperlink"/>
            <w:sz w:val="16"/>
            <w:szCs w:val="16"/>
          </w:rPr>
          <w:t>http://www.mass.gov/eohhs/docs/dph/emergency-prep/risk-communication/show-me-tool.pdf</w:t>
        </w:r>
      </w:hyperlink>
      <w:r w:rsidRPr="008561F0">
        <w:rPr>
          <w:sz w:val="16"/>
          <w:szCs w:val="16"/>
        </w:rPr>
        <w:t xml:space="preserve"> </w:t>
      </w:r>
    </w:p>
  </w:footnote>
  <w:footnote w:id="11">
    <w:p w14:paraId="4159279B" w14:textId="77777777" w:rsidR="008A3AD2" w:rsidRPr="008561F0" w:rsidRDefault="008A3AD2">
      <w:pPr>
        <w:pStyle w:val="FootnoteText"/>
        <w:rPr>
          <w:sz w:val="16"/>
          <w:szCs w:val="16"/>
        </w:rPr>
      </w:pPr>
      <w:r w:rsidRPr="008561F0">
        <w:rPr>
          <w:rStyle w:val="FootnoteReference"/>
          <w:sz w:val="16"/>
          <w:szCs w:val="16"/>
        </w:rPr>
        <w:footnoteRef/>
      </w:r>
      <w:r w:rsidRPr="008561F0">
        <w:rPr>
          <w:sz w:val="16"/>
          <w:szCs w:val="16"/>
        </w:rPr>
        <w:t xml:space="preserve"> External link- </w:t>
      </w:r>
      <w:hyperlink r:id="rId11" w:history="1">
        <w:r w:rsidRPr="008561F0">
          <w:rPr>
            <w:rStyle w:val="Hyperlink"/>
            <w:sz w:val="16"/>
            <w:szCs w:val="16"/>
          </w:rPr>
          <w:t>http://www.mass.gov/eohhs/docs/dph/cdc/immunization/mso-emergency-treatment.pdf</w:t>
        </w:r>
      </w:hyperlink>
      <w:r>
        <w:rPr>
          <w:sz w:val="16"/>
          <w:szCs w:val="16"/>
        </w:rPr>
        <w:t xml:space="preserve"> </w:t>
      </w:r>
    </w:p>
  </w:footnote>
  <w:footnote w:id="12">
    <w:p w14:paraId="14514059" w14:textId="77777777" w:rsidR="008A3AD2" w:rsidRPr="00F17724" w:rsidRDefault="008A3AD2">
      <w:pPr>
        <w:pStyle w:val="FootnoteText"/>
        <w:rPr>
          <w:sz w:val="16"/>
          <w:szCs w:val="16"/>
        </w:rPr>
      </w:pPr>
      <w:r w:rsidRPr="00F17724">
        <w:rPr>
          <w:rStyle w:val="FootnoteReference"/>
          <w:sz w:val="16"/>
          <w:szCs w:val="16"/>
        </w:rPr>
        <w:footnoteRef/>
      </w:r>
      <w:r w:rsidRPr="00F17724">
        <w:rPr>
          <w:sz w:val="16"/>
          <w:szCs w:val="16"/>
        </w:rPr>
        <w:t xml:space="preserve"> External link- </w:t>
      </w:r>
      <w:hyperlink r:id="rId12" w:history="1">
        <w:r w:rsidRPr="00C6343B">
          <w:rPr>
            <w:rStyle w:val="Hyperlink"/>
            <w:sz w:val="16"/>
            <w:szCs w:val="16"/>
          </w:rPr>
          <w:t>https://www.fda.gov/downloads/Drugs/EmergencyPreparedness/BioterrorismandDrugPreparedness/UCM131001.pdf</w:t>
        </w:r>
      </w:hyperlink>
      <w:r>
        <w:rPr>
          <w:sz w:val="16"/>
          <w:szCs w:val="16"/>
        </w:rPr>
        <w:t xml:space="preserve"> </w:t>
      </w:r>
    </w:p>
  </w:footnote>
  <w:footnote w:id="13">
    <w:p w14:paraId="0C1E6469" w14:textId="77777777" w:rsidR="008A3AD2" w:rsidRPr="00F00AFF" w:rsidRDefault="008A3AD2">
      <w:pPr>
        <w:pStyle w:val="FootnoteText"/>
        <w:rPr>
          <w:sz w:val="16"/>
          <w:szCs w:val="16"/>
        </w:rPr>
      </w:pPr>
      <w:r w:rsidRPr="00F00AFF">
        <w:rPr>
          <w:rStyle w:val="FootnoteReference"/>
          <w:sz w:val="16"/>
          <w:szCs w:val="16"/>
        </w:rPr>
        <w:footnoteRef/>
      </w:r>
      <w:r w:rsidRPr="00F00AFF">
        <w:rPr>
          <w:sz w:val="16"/>
          <w:szCs w:val="16"/>
        </w:rPr>
        <w:t xml:space="preserve"> External link- </w:t>
      </w:r>
      <w:hyperlink r:id="rId13" w:history="1">
        <w:r w:rsidRPr="00F00AFF">
          <w:rPr>
            <w:rStyle w:val="Hyperlink"/>
            <w:sz w:val="16"/>
            <w:szCs w:val="16"/>
          </w:rPr>
          <w:t>http://www.mass.gov/eohhs/gov/departments/dph/programs/id/epidemiology/rdiq/reporting-diseases-and-surveillance-information.html</w:t>
        </w:r>
      </w:hyperlink>
    </w:p>
  </w:footnote>
  <w:footnote w:id="14">
    <w:p w14:paraId="04FECDF7" w14:textId="77777777" w:rsidR="008A3AD2" w:rsidRPr="00F00AFF" w:rsidRDefault="008A3AD2" w:rsidP="00F00AFF">
      <w:pPr>
        <w:pStyle w:val="FootnoteText"/>
        <w:rPr>
          <w:sz w:val="16"/>
          <w:szCs w:val="16"/>
        </w:rPr>
      </w:pPr>
      <w:r w:rsidRPr="00F00AFF">
        <w:rPr>
          <w:rStyle w:val="FootnoteReference"/>
          <w:sz w:val="16"/>
          <w:szCs w:val="16"/>
        </w:rPr>
        <w:footnoteRef/>
      </w:r>
      <w:r w:rsidRPr="00F00AFF">
        <w:rPr>
          <w:sz w:val="16"/>
          <w:szCs w:val="16"/>
        </w:rPr>
        <w:t xml:space="preserve"> External link- </w:t>
      </w:r>
      <w:hyperlink r:id="rId14" w:history="1">
        <w:r w:rsidRPr="00F00AFF">
          <w:rPr>
            <w:rStyle w:val="Hyperlink"/>
            <w:sz w:val="16"/>
            <w:szCs w:val="16"/>
          </w:rPr>
          <w:t>http://www.mass.gov/eohhs/gov/departments/dph/programs/id/epidemiology/rdiq/public-health-cdc-surveillance-and-reporting.html</w:t>
        </w:r>
      </w:hyperlink>
    </w:p>
    <w:p w14:paraId="3E302A96" w14:textId="77777777" w:rsidR="008A3AD2" w:rsidRDefault="008A3AD2">
      <w:pPr>
        <w:pStyle w:val="FootnoteText"/>
      </w:pPr>
    </w:p>
  </w:footnote>
  <w:footnote w:id="15">
    <w:p w14:paraId="58DE9CA0" w14:textId="77777777" w:rsidR="008A3AD2" w:rsidRPr="00B15E7F" w:rsidRDefault="008A3AD2">
      <w:pPr>
        <w:pStyle w:val="FootnoteText"/>
        <w:rPr>
          <w:sz w:val="16"/>
          <w:szCs w:val="16"/>
        </w:rPr>
      </w:pPr>
      <w:r w:rsidRPr="00B15E7F">
        <w:rPr>
          <w:rStyle w:val="FootnoteReference"/>
          <w:sz w:val="16"/>
          <w:szCs w:val="16"/>
        </w:rPr>
        <w:footnoteRef/>
      </w:r>
      <w:r w:rsidRPr="00B15E7F">
        <w:rPr>
          <w:sz w:val="16"/>
          <w:szCs w:val="16"/>
        </w:rPr>
        <w:t xml:space="preserve"> External link- </w:t>
      </w:r>
      <w:hyperlink r:id="rId15" w:history="1">
        <w:r w:rsidRPr="00C6343B">
          <w:rPr>
            <w:rStyle w:val="Hyperlink"/>
            <w:sz w:val="16"/>
            <w:szCs w:val="16"/>
          </w:rPr>
          <w:t>http://www.maventrainingsite.com/maven-help/EvalTraining_2014/EvalTrainingTool_2014/index.html</w:t>
        </w:r>
      </w:hyperlink>
      <w:r>
        <w:rPr>
          <w:sz w:val="16"/>
          <w:szCs w:val="16"/>
        </w:rPr>
        <w:t xml:space="preserve"> </w:t>
      </w:r>
    </w:p>
  </w:footnote>
  <w:footnote w:id="16">
    <w:p w14:paraId="6F2B81AF" w14:textId="77777777" w:rsidR="008A3AD2" w:rsidRPr="00B15E7F" w:rsidRDefault="008A3AD2">
      <w:pPr>
        <w:pStyle w:val="FootnoteText"/>
        <w:rPr>
          <w:sz w:val="16"/>
          <w:szCs w:val="16"/>
        </w:rPr>
      </w:pPr>
      <w:r w:rsidRPr="00B15E7F">
        <w:rPr>
          <w:rStyle w:val="FootnoteReference"/>
          <w:sz w:val="16"/>
          <w:szCs w:val="16"/>
        </w:rPr>
        <w:footnoteRef/>
      </w:r>
      <w:r w:rsidRPr="00B15E7F">
        <w:rPr>
          <w:sz w:val="16"/>
          <w:szCs w:val="16"/>
        </w:rPr>
        <w:t xml:space="preserve"> External link- </w:t>
      </w:r>
      <w:hyperlink r:id="rId16" w:history="1">
        <w:r w:rsidRPr="00C6343B">
          <w:rPr>
            <w:rStyle w:val="Hyperlink"/>
            <w:sz w:val="16"/>
            <w:szCs w:val="16"/>
          </w:rPr>
          <w:t>https://www.cdc.gov/nssp/biosense/</w:t>
        </w:r>
      </w:hyperlink>
      <w:r>
        <w:rPr>
          <w:sz w:val="16"/>
          <w:szCs w:val="16"/>
        </w:rPr>
        <w:t xml:space="preserve"> </w:t>
      </w:r>
    </w:p>
  </w:footnote>
  <w:footnote w:id="17">
    <w:p w14:paraId="731B156D" w14:textId="77777777" w:rsidR="008A3AD2" w:rsidRPr="00B15E7F" w:rsidRDefault="008A3AD2" w:rsidP="006D0D34">
      <w:pPr>
        <w:pStyle w:val="FootnoteText"/>
        <w:rPr>
          <w:sz w:val="16"/>
          <w:szCs w:val="16"/>
        </w:rPr>
      </w:pPr>
      <w:r w:rsidRPr="00B15E7F">
        <w:rPr>
          <w:rStyle w:val="FootnoteReference"/>
          <w:sz w:val="16"/>
          <w:szCs w:val="16"/>
        </w:rPr>
        <w:footnoteRef/>
      </w:r>
      <w:r>
        <w:rPr>
          <w:sz w:val="16"/>
          <w:szCs w:val="16"/>
        </w:rPr>
        <w:t xml:space="preserve"> External link-</w:t>
      </w:r>
      <w:r w:rsidRPr="00B15E7F">
        <w:rPr>
          <w:sz w:val="16"/>
          <w:szCs w:val="16"/>
        </w:rPr>
        <w:t xml:space="preserve"> </w:t>
      </w:r>
      <w:hyperlink r:id="rId17" w:history="1">
        <w:r w:rsidRPr="00B15E7F">
          <w:rPr>
            <w:rStyle w:val="Hyperlink"/>
            <w:sz w:val="16"/>
            <w:szCs w:val="16"/>
          </w:rPr>
          <w:t>https://www.phe.gov/Preparedness/legal/Pages/phedeclaration.aspx</w:t>
        </w:r>
      </w:hyperlink>
    </w:p>
  </w:footnote>
  <w:footnote w:id="18">
    <w:p w14:paraId="7111E45D" w14:textId="77777777" w:rsidR="008A3AD2" w:rsidRDefault="008A3AD2">
      <w:pPr>
        <w:pStyle w:val="FootnoteText"/>
      </w:pPr>
      <w:r w:rsidRPr="00B15E7F">
        <w:rPr>
          <w:rStyle w:val="FootnoteReference"/>
          <w:sz w:val="16"/>
          <w:szCs w:val="16"/>
        </w:rPr>
        <w:footnoteRef/>
      </w:r>
      <w:r w:rsidRPr="00B15E7F">
        <w:rPr>
          <w:sz w:val="16"/>
          <w:szCs w:val="16"/>
        </w:rPr>
        <w:t xml:space="preserve"> External link- </w:t>
      </w:r>
      <w:hyperlink r:id="rId18" w:history="1">
        <w:r w:rsidRPr="00C6343B">
          <w:rPr>
            <w:rStyle w:val="Hyperlink"/>
            <w:sz w:val="16"/>
            <w:szCs w:val="16"/>
          </w:rPr>
          <w:t>http://www.who.int/csr/disease/swineflu/phase/en/</w:t>
        </w:r>
      </w:hyperlink>
      <w:r>
        <w:rPr>
          <w:sz w:val="16"/>
          <w:szCs w:val="16"/>
        </w:rPr>
        <w:t xml:space="preserve"> </w:t>
      </w:r>
    </w:p>
  </w:footnote>
  <w:footnote w:id="19">
    <w:p w14:paraId="5672C808" w14:textId="34BAEDF9" w:rsidR="008A3AD2" w:rsidRPr="008561F0" w:rsidRDefault="008A3AD2">
      <w:pPr>
        <w:pStyle w:val="FootnoteText"/>
        <w:rPr>
          <w:sz w:val="16"/>
          <w:szCs w:val="16"/>
        </w:rPr>
      </w:pPr>
      <w:r w:rsidRPr="008561F0">
        <w:rPr>
          <w:rStyle w:val="FootnoteReference"/>
          <w:sz w:val="16"/>
          <w:szCs w:val="16"/>
        </w:rPr>
        <w:footnoteRef/>
      </w:r>
      <w:r w:rsidRPr="008561F0">
        <w:rPr>
          <w:sz w:val="16"/>
          <w:szCs w:val="16"/>
        </w:rPr>
        <w:t xml:space="preserve"> External link</w:t>
      </w:r>
      <w:r>
        <w:rPr>
          <w:sz w:val="16"/>
          <w:szCs w:val="16"/>
        </w:rPr>
        <w:t>-</w:t>
      </w:r>
      <w:r w:rsidRPr="008561F0">
        <w:rPr>
          <w:sz w:val="16"/>
          <w:szCs w:val="16"/>
        </w:rPr>
        <w:t xml:space="preserve"> </w:t>
      </w:r>
      <w:hyperlink r:id="rId19" w:history="1">
        <w:r w:rsidRPr="008561F0">
          <w:rPr>
            <w:rStyle w:val="Hyperlink"/>
            <w:sz w:val="16"/>
            <w:szCs w:val="16"/>
          </w:rPr>
          <w:t>http://www.mass.gov/eohhs/gov/departments/dph/programs/emergency-prep/health-and-homeland-alert-network.html</w:t>
        </w:r>
      </w:hyperlink>
      <w:r w:rsidRPr="008561F0">
        <w:rPr>
          <w:sz w:val="16"/>
          <w:szCs w:val="16"/>
        </w:rPr>
        <w:t xml:space="preserve"> </w:t>
      </w:r>
    </w:p>
  </w:footnote>
  <w:footnote w:id="20">
    <w:p w14:paraId="0C70CBAD" w14:textId="02483D9B" w:rsidR="008A3AD2" w:rsidRPr="008561F0" w:rsidRDefault="008A3AD2" w:rsidP="006D0D34">
      <w:pPr>
        <w:pStyle w:val="FootnoteText"/>
        <w:rPr>
          <w:sz w:val="16"/>
          <w:szCs w:val="16"/>
        </w:rPr>
      </w:pPr>
      <w:r w:rsidRPr="008561F0">
        <w:rPr>
          <w:rStyle w:val="FootnoteReference"/>
          <w:sz w:val="16"/>
          <w:szCs w:val="16"/>
        </w:rPr>
        <w:footnoteRef/>
      </w:r>
      <w:r w:rsidRPr="008561F0">
        <w:rPr>
          <w:sz w:val="16"/>
          <w:szCs w:val="16"/>
        </w:rPr>
        <w:t xml:space="preserve"> External Link</w:t>
      </w:r>
      <w:r>
        <w:rPr>
          <w:sz w:val="16"/>
          <w:szCs w:val="16"/>
        </w:rPr>
        <w:t>-</w:t>
      </w:r>
      <w:r w:rsidRPr="008561F0">
        <w:rPr>
          <w:sz w:val="16"/>
          <w:szCs w:val="16"/>
        </w:rPr>
        <w:t xml:space="preserve"> </w:t>
      </w:r>
      <w:hyperlink r:id="rId20" w:history="1">
        <w:r w:rsidRPr="008561F0">
          <w:rPr>
            <w:rStyle w:val="Hyperlink"/>
            <w:sz w:val="16"/>
            <w:szCs w:val="16"/>
          </w:rPr>
          <w:t>https://www.phe.gov/Preparedness/planning/mscc/handbook/Pages/appendixc.aspx</w:t>
        </w:r>
      </w:hyperlink>
    </w:p>
  </w:footnote>
  <w:footnote w:id="21">
    <w:p w14:paraId="5E426D7C" w14:textId="1CEF0203" w:rsidR="008A3AD2" w:rsidRPr="008561F0" w:rsidRDefault="008A3AD2" w:rsidP="006D0D34">
      <w:pPr>
        <w:pStyle w:val="FootnoteText"/>
        <w:rPr>
          <w:sz w:val="16"/>
          <w:szCs w:val="16"/>
        </w:rPr>
      </w:pPr>
      <w:r w:rsidRPr="008561F0">
        <w:rPr>
          <w:rStyle w:val="FootnoteReference"/>
          <w:sz w:val="16"/>
          <w:szCs w:val="16"/>
        </w:rPr>
        <w:footnoteRef/>
      </w:r>
      <w:r w:rsidRPr="008561F0">
        <w:rPr>
          <w:sz w:val="16"/>
          <w:szCs w:val="16"/>
        </w:rPr>
        <w:t xml:space="preserve"> External link to FEMA ICS Forms</w:t>
      </w:r>
      <w:r>
        <w:rPr>
          <w:sz w:val="16"/>
          <w:szCs w:val="16"/>
        </w:rPr>
        <w:t>-</w:t>
      </w:r>
      <w:r w:rsidRPr="008561F0">
        <w:rPr>
          <w:sz w:val="16"/>
          <w:szCs w:val="16"/>
        </w:rPr>
        <w:t xml:space="preserve"> </w:t>
      </w:r>
      <w:hyperlink r:id="rId21" w:history="1">
        <w:r w:rsidRPr="008561F0">
          <w:rPr>
            <w:rStyle w:val="Hyperlink"/>
            <w:sz w:val="16"/>
            <w:szCs w:val="16"/>
          </w:rPr>
          <w:t>https://training.fema.gov/emiweb/is/icsresource/icsforms.htm</w:t>
        </w:r>
      </w:hyperlink>
    </w:p>
  </w:footnote>
  <w:footnote w:id="22">
    <w:p w14:paraId="356F0C62" w14:textId="77777777" w:rsidR="008A3AD2" w:rsidRPr="008561F0" w:rsidRDefault="008A3AD2">
      <w:pPr>
        <w:pStyle w:val="FootnoteText"/>
        <w:rPr>
          <w:sz w:val="16"/>
          <w:szCs w:val="16"/>
        </w:rPr>
      </w:pPr>
      <w:r w:rsidRPr="008561F0">
        <w:rPr>
          <w:rStyle w:val="FootnoteReference"/>
          <w:sz w:val="16"/>
          <w:szCs w:val="16"/>
        </w:rPr>
        <w:footnoteRef/>
      </w:r>
      <w:r w:rsidRPr="008561F0">
        <w:rPr>
          <w:sz w:val="16"/>
          <w:szCs w:val="16"/>
        </w:rPr>
        <w:t xml:space="preserve"> External link- </w:t>
      </w:r>
      <w:hyperlink r:id="rId22" w:history="1">
        <w:r w:rsidRPr="008561F0">
          <w:rPr>
            <w:rStyle w:val="Hyperlink"/>
            <w:sz w:val="16"/>
            <w:szCs w:val="16"/>
          </w:rPr>
          <w:t>https://www.dhs.gov/government-emergency-telecommunications-service-gets</w:t>
        </w:r>
      </w:hyperlink>
      <w:r w:rsidRPr="008561F0">
        <w:rPr>
          <w:sz w:val="16"/>
          <w:szCs w:val="16"/>
        </w:rPr>
        <w:t xml:space="preserve"> </w:t>
      </w:r>
    </w:p>
  </w:footnote>
  <w:footnote w:id="23">
    <w:p w14:paraId="003AD962" w14:textId="373CC4DF" w:rsidR="008A3AD2" w:rsidRPr="00455400" w:rsidRDefault="008A3AD2" w:rsidP="006D0D34">
      <w:pPr>
        <w:pStyle w:val="FootnoteText"/>
        <w:rPr>
          <w:sz w:val="16"/>
          <w:szCs w:val="16"/>
        </w:rPr>
      </w:pPr>
      <w:r w:rsidRPr="00455400">
        <w:rPr>
          <w:rStyle w:val="FootnoteReference"/>
          <w:sz w:val="16"/>
          <w:szCs w:val="16"/>
        </w:rPr>
        <w:footnoteRef/>
      </w:r>
      <w:r>
        <w:rPr>
          <w:sz w:val="16"/>
          <w:szCs w:val="16"/>
        </w:rPr>
        <w:t xml:space="preserve"> External link-</w:t>
      </w:r>
      <w:r w:rsidRPr="00455400">
        <w:rPr>
          <w:sz w:val="16"/>
          <w:szCs w:val="16"/>
        </w:rPr>
        <w:t xml:space="preserve"> </w:t>
      </w:r>
      <w:hyperlink r:id="rId23" w:history="1">
        <w:r w:rsidRPr="00455400">
          <w:rPr>
            <w:rStyle w:val="Hyperlink"/>
            <w:sz w:val="16"/>
            <w:szCs w:val="16"/>
          </w:rPr>
          <w:t>http://en.wikipedia.org/wiki/People-first_language</w:t>
        </w:r>
      </w:hyperlink>
    </w:p>
  </w:footnote>
  <w:footnote w:id="24">
    <w:p w14:paraId="6CB2268B" w14:textId="315963DF" w:rsidR="008A3AD2" w:rsidRPr="00455400" w:rsidRDefault="008A3AD2" w:rsidP="006D0D34">
      <w:pPr>
        <w:pStyle w:val="FootnoteText"/>
        <w:rPr>
          <w:sz w:val="16"/>
          <w:szCs w:val="16"/>
        </w:rPr>
      </w:pPr>
      <w:r w:rsidRPr="00455400">
        <w:rPr>
          <w:rStyle w:val="FootnoteReference"/>
          <w:sz w:val="16"/>
          <w:szCs w:val="16"/>
        </w:rPr>
        <w:footnoteRef/>
      </w:r>
      <w:r>
        <w:rPr>
          <w:sz w:val="16"/>
          <w:szCs w:val="16"/>
        </w:rPr>
        <w:t xml:space="preserve"> External link-</w:t>
      </w:r>
      <w:r w:rsidRPr="00455400">
        <w:rPr>
          <w:sz w:val="16"/>
          <w:szCs w:val="16"/>
        </w:rPr>
        <w:t xml:space="preserve"> </w:t>
      </w:r>
      <w:hyperlink r:id="rId24" w:history="1">
        <w:r w:rsidRPr="00455400">
          <w:rPr>
            <w:rStyle w:val="Hyperlink"/>
            <w:sz w:val="16"/>
            <w:szCs w:val="16"/>
          </w:rPr>
          <w:t>http://www.mass.gov/eohhs/gov/departments/mcdhh/</w:t>
        </w:r>
      </w:hyperlink>
    </w:p>
  </w:footnote>
  <w:footnote w:id="25">
    <w:p w14:paraId="2FB89C8D" w14:textId="7E485416" w:rsidR="008A3AD2" w:rsidRPr="008561F0" w:rsidRDefault="008A3AD2">
      <w:pPr>
        <w:pStyle w:val="FootnoteText"/>
        <w:rPr>
          <w:sz w:val="16"/>
          <w:szCs w:val="16"/>
        </w:rPr>
      </w:pPr>
      <w:r w:rsidRPr="008561F0">
        <w:rPr>
          <w:rStyle w:val="FootnoteReference"/>
          <w:sz w:val="16"/>
          <w:szCs w:val="16"/>
        </w:rPr>
        <w:footnoteRef/>
      </w:r>
      <w:r w:rsidRPr="008561F0">
        <w:rPr>
          <w:sz w:val="16"/>
          <w:szCs w:val="16"/>
        </w:rPr>
        <w:t xml:space="preserve"> External link- </w:t>
      </w:r>
      <w:hyperlink r:id="rId25" w:history="1">
        <w:r w:rsidRPr="008561F0">
          <w:rPr>
            <w:rStyle w:val="Hyperlink"/>
            <w:sz w:val="16"/>
            <w:szCs w:val="16"/>
          </w:rPr>
          <w:t>http://www.mass.gov/eohhs/docs/dph/emergency-prep/risk-communication/show-me-tool.pdf</w:t>
        </w:r>
      </w:hyperlink>
      <w:r w:rsidRPr="008561F0">
        <w:rPr>
          <w:sz w:val="16"/>
          <w:szCs w:val="16"/>
        </w:rPr>
        <w:t xml:space="preserve"> </w:t>
      </w:r>
    </w:p>
  </w:footnote>
  <w:footnote w:id="26">
    <w:p w14:paraId="585A8BB6" w14:textId="37CED823" w:rsidR="008A3AD2" w:rsidRPr="008561F0" w:rsidRDefault="008A3AD2">
      <w:pPr>
        <w:pStyle w:val="FootnoteText"/>
        <w:rPr>
          <w:sz w:val="16"/>
          <w:szCs w:val="16"/>
        </w:rPr>
      </w:pPr>
      <w:r w:rsidRPr="008561F0">
        <w:rPr>
          <w:rStyle w:val="FootnoteReference"/>
          <w:sz w:val="16"/>
          <w:szCs w:val="16"/>
        </w:rPr>
        <w:footnoteRef/>
      </w:r>
      <w:r w:rsidRPr="008561F0">
        <w:rPr>
          <w:sz w:val="16"/>
          <w:szCs w:val="16"/>
        </w:rPr>
        <w:t xml:space="preserve"> External link- </w:t>
      </w:r>
      <w:hyperlink r:id="rId26" w:history="1">
        <w:r w:rsidRPr="008561F0">
          <w:rPr>
            <w:rStyle w:val="Hyperlink"/>
            <w:sz w:val="16"/>
            <w:szCs w:val="16"/>
          </w:rPr>
          <w:t>https://maresponds.org/</w:t>
        </w:r>
      </w:hyperlink>
    </w:p>
  </w:footnote>
  <w:footnote w:id="27">
    <w:p w14:paraId="24AEB1B1" w14:textId="15469235" w:rsidR="008A3AD2" w:rsidRPr="008561F0" w:rsidRDefault="008A3AD2" w:rsidP="006D0D34">
      <w:pPr>
        <w:pStyle w:val="FootnoteText"/>
        <w:rPr>
          <w:sz w:val="16"/>
          <w:szCs w:val="16"/>
        </w:rPr>
      </w:pPr>
      <w:r w:rsidRPr="008561F0">
        <w:rPr>
          <w:rStyle w:val="FootnoteReference"/>
          <w:sz w:val="16"/>
          <w:szCs w:val="16"/>
        </w:rPr>
        <w:footnoteRef/>
      </w:r>
      <w:r w:rsidRPr="008561F0">
        <w:rPr>
          <w:sz w:val="16"/>
          <w:szCs w:val="16"/>
        </w:rPr>
        <w:t xml:space="preserve"> External link- </w:t>
      </w:r>
      <w:hyperlink r:id="rId27" w:history="1">
        <w:r w:rsidRPr="008561F0">
          <w:rPr>
            <w:rStyle w:val="Hyperlink"/>
            <w:sz w:val="16"/>
            <w:szCs w:val="16"/>
          </w:rPr>
          <w:t>http://www.mamedicalreservecorps.org</w:t>
        </w:r>
      </w:hyperlink>
    </w:p>
  </w:footnote>
  <w:footnote w:id="28">
    <w:p w14:paraId="5CE38E58" w14:textId="4F63A669" w:rsidR="008A3AD2" w:rsidRPr="008561F0" w:rsidRDefault="008A3AD2" w:rsidP="006D0D34">
      <w:pPr>
        <w:pStyle w:val="FootnoteText"/>
        <w:rPr>
          <w:sz w:val="16"/>
          <w:szCs w:val="16"/>
        </w:rPr>
      </w:pPr>
      <w:r w:rsidRPr="008561F0">
        <w:rPr>
          <w:rStyle w:val="FootnoteReference"/>
          <w:sz w:val="16"/>
          <w:szCs w:val="16"/>
        </w:rPr>
        <w:footnoteRef/>
      </w:r>
      <w:r w:rsidRPr="008561F0">
        <w:rPr>
          <w:sz w:val="16"/>
          <w:szCs w:val="16"/>
        </w:rPr>
        <w:t xml:space="preserve"> External link- </w:t>
      </w:r>
      <w:hyperlink r:id="rId28" w:history="1">
        <w:r w:rsidRPr="008561F0">
          <w:rPr>
            <w:rStyle w:val="Hyperlink"/>
            <w:sz w:val="16"/>
            <w:szCs w:val="16"/>
          </w:rPr>
          <w:t>https://www.ready.gov/citizen-corps</w:t>
        </w:r>
      </w:hyperlink>
    </w:p>
  </w:footnote>
  <w:footnote w:id="29">
    <w:p w14:paraId="20D8A4E8" w14:textId="3CF3FBF6" w:rsidR="008A3AD2" w:rsidRPr="008561F0" w:rsidRDefault="008A3AD2">
      <w:pPr>
        <w:pStyle w:val="FootnoteText"/>
        <w:rPr>
          <w:sz w:val="16"/>
          <w:szCs w:val="16"/>
        </w:rPr>
      </w:pPr>
      <w:r w:rsidRPr="008561F0">
        <w:rPr>
          <w:rStyle w:val="FootnoteReference"/>
          <w:sz w:val="16"/>
          <w:szCs w:val="16"/>
        </w:rPr>
        <w:footnoteRef/>
      </w:r>
      <w:r w:rsidRPr="008561F0">
        <w:rPr>
          <w:sz w:val="16"/>
          <w:szCs w:val="16"/>
        </w:rPr>
        <w:t xml:space="preserve"> External link- </w:t>
      </w:r>
      <w:hyperlink r:id="rId29" w:history="1">
        <w:r w:rsidRPr="008561F0">
          <w:rPr>
            <w:rStyle w:val="Hyperlink"/>
            <w:sz w:val="16"/>
            <w:szCs w:val="16"/>
          </w:rPr>
          <w:t>http://www2.isye.gatech.edu/medicalor/realopt/research.php</w:t>
        </w:r>
      </w:hyperlink>
      <w:r>
        <w:rPr>
          <w:sz w:val="16"/>
          <w:szCs w:val="16"/>
        </w:rPr>
        <w:t xml:space="preserve"> </w:t>
      </w:r>
    </w:p>
  </w:footnote>
  <w:footnote w:id="30">
    <w:p w14:paraId="323B1114" w14:textId="72EF90A6" w:rsidR="008A3AD2" w:rsidRPr="008561F0" w:rsidRDefault="008A3AD2" w:rsidP="006D0D34">
      <w:pPr>
        <w:pStyle w:val="FootnoteText"/>
        <w:rPr>
          <w:sz w:val="16"/>
          <w:szCs w:val="16"/>
        </w:rPr>
      </w:pPr>
      <w:r w:rsidRPr="008561F0">
        <w:rPr>
          <w:rStyle w:val="FootnoteReference"/>
          <w:sz w:val="16"/>
          <w:szCs w:val="16"/>
        </w:rPr>
        <w:footnoteRef/>
      </w:r>
      <w:r w:rsidRPr="008561F0">
        <w:rPr>
          <w:sz w:val="16"/>
          <w:szCs w:val="16"/>
        </w:rPr>
        <w:t xml:space="preserve"> External link- </w:t>
      </w:r>
      <w:hyperlink r:id="rId30" w:history="1">
        <w:r w:rsidRPr="008561F0">
          <w:rPr>
            <w:rStyle w:val="Hyperlink"/>
            <w:sz w:val="16"/>
            <w:szCs w:val="16"/>
          </w:rPr>
          <w:t>https://www.cdc.gov/vaccines/hcp/admin/storage/toolkit/index.html</w:t>
        </w:r>
      </w:hyperlink>
    </w:p>
  </w:footnote>
  <w:footnote w:id="31">
    <w:p w14:paraId="1F0AF9F8" w14:textId="7715E2D5" w:rsidR="008A3AD2" w:rsidRPr="008561F0" w:rsidRDefault="008A3AD2">
      <w:pPr>
        <w:pStyle w:val="FootnoteText"/>
        <w:rPr>
          <w:sz w:val="16"/>
          <w:szCs w:val="16"/>
        </w:rPr>
      </w:pPr>
      <w:r w:rsidRPr="008561F0">
        <w:rPr>
          <w:rStyle w:val="FootnoteReference"/>
          <w:sz w:val="16"/>
          <w:szCs w:val="16"/>
        </w:rPr>
        <w:footnoteRef/>
      </w:r>
      <w:r w:rsidRPr="008561F0">
        <w:rPr>
          <w:sz w:val="16"/>
          <w:szCs w:val="16"/>
        </w:rPr>
        <w:t xml:space="preserve"> External link- </w:t>
      </w:r>
      <w:hyperlink r:id="rId31" w:history="1">
        <w:r w:rsidRPr="008561F0">
          <w:rPr>
            <w:rStyle w:val="Hyperlink"/>
            <w:sz w:val="16"/>
            <w:szCs w:val="16"/>
          </w:rPr>
          <w:t>https://vaers.hhs.gov/index.html</w:t>
        </w:r>
      </w:hyperlink>
      <w:r>
        <w:rPr>
          <w:sz w:val="16"/>
          <w:szCs w:val="16"/>
        </w:rPr>
        <w:t xml:space="preserve"> </w:t>
      </w:r>
    </w:p>
  </w:footnote>
  <w:footnote w:id="32">
    <w:p w14:paraId="0324606F" w14:textId="6ABBE961" w:rsidR="008A3AD2" w:rsidRPr="008561F0" w:rsidRDefault="008A3AD2" w:rsidP="006D0D34">
      <w:pPr>
        <w:pStyle w:val="FootnoteText"/>
        <w:rPr>
          <w:sz w:val="16"/>
          <w:szCs w:val="16"/>
        </w:rPr>
      </w:pPr>
      <w:r w:rsidRPr="008561F0">
        <w:rPr>
          <w:rStyle w:val="FootnoteReference"/>
          <w:sz w:val="16"/>
          <w:szCs w:val="16"/>
        </w:rPr>
        <w:footnoteRef/>
      </w:r>
      <w:r w:rsidRPr="008561F0">
        <w:rPr>
          <w:sz w:val="16"/>
          <w:szCs w:val="16"/>
        </w:rPr>
        <w:t xml:space="preserve"> External link-</w:t>
      </w:r>
      <w:r>
        <w:rPr>
          <w:sz w:val="16"/>
          <w:szCs w:val="16"/>
        </w:rPr>
        <w:t xml:space="preserve"> </w:t>
      </w:r>
      <w:hyperlink r:id="rId32" w:history="1">
        <w:r>
          <w:rPr>
            <w:rStyle w:val="Hyperlink"/>
            <w:sz w:val="16"/>
            <w:szCs w:val="16"/>
          </w:rPr>
          <w:t>http://nationalmasscarestrategy.org/wp-content/uploads/2016/08/FacilityShelterOpenCloseInspectionForm.pdf</w:t>
        </w:r>
      </w:hyperlink>
    </w:p>
  </w:footnote>
  <w:footnote w:id="33">
    <w:p w14:paraId="259444CA" w14:textId="6B8D2F15" w:rsidR="008A3AD2" w:rsidRPr="0046728B" w:rsidRDefault="008A3AD2" w:rsidP="006D0D34">
      <w:pPr>
        <w:pStyle w:val="FootnoteText"/>
        <w:rPr>
          <w:sz w:val="20"/>
          <w:szCs w:val="20"/>
        </w:rPr>
      </w:pPr>
      <w:r w:rsidRPr="0046728B">
        <w:rPr>
          <w:rStyle w:val="FootnoteReference"/>
          <w:sz w:val="20"/>
          <w:szCs w:val="20"/>
        </w:rPr>
        <w:footnoteRef/>
      </w:r>
      <w:r w:rsidRPr="0046728B">
        <w:rPr>
          <w:sz w:val="20"/>
          <w:szCs w:val="20"/>
        </w:rPr>
        <w:t xml:space="preserve"> The CDC </w:t>
      </w:r>
      <w:hyperlink r:id="rId33" w:history="1">
        <w:r w:rsidRPr="0046728B">
          <w:rPr>
            <w:rStyle w:val="Hyperlink"/>
            <w:color w:val="0070C0"/>
            <w:sz w:val="20"/>
            <w:szCs w:val="20"/>
          </w:rPr>
          <w:t>Community Preparedness capability</w:t>
        </w:r>
      </w:hyperlink>
      <w:r w:rsidRPr="0046728B">
        <w:rPr>
          <w:sz w:val="20"/>
          <w:szCs w:val="20"/>
        </w:rPr>
        <w:t xml:space="preserve"> identifies the following 11 community sectors as essential to public health preparedness: business, community leadership, cultural and faith-based organizations, emergency management, healthcare, social services, housing and sheltering, media, behavioral health, elder services, and education and childcare.</w:t>
      </w:r>
    </w:p>
  </w:footnote>
  <w:footnote w:id="34">
    <w:p w14:paraId="441FB148" w14:textId="77777777" w:rsidR="008A3AD2" w:rsidRPr="008561F0" w:rsidRDefault="008A3AD2">
      <w:pPr>
        <w:pStyle w:val="FootnoteText"/>
        <w:rPr>
          <w:sz w:val="16"/>
          <w:szCs w:val="16"/>
        </w:rPr>
      </w:pPr>
      <w:r w:rsidRPr="003833FB">
        <w:rPr>
          <w:rStyle w:val="FootnoteReference"/>
          <w:sz w:val="16"/>
          <w:szCs w:val="16"/>
        </w:rPr>
        <w:footnoteRef/>
      </w:r>
      <w:r w:rsidRPr="003833FB">
        <w:rPr>
          <w:sz w:val="16"/>
          <w:szCs w:val="16"/>
        </w:rPr>
        <w:t xml:space="preserve"> External link- </w:t>
      </w:r>
      <w:hyperlink r:id="rId34" w:history="1">
        <w:r w:rsidRPr="003833FB">
          <w:rPr>
            <w:rStyle w:val="Hyperlink"/>
            <w:sz w:val="16"/>
            <w:szCs w:val="16"/>
          </w:rPr>
          <w:t>https://www.fema.gov/pdf/about/divisions/npd/CPG_101_V2.pdf</w:t>
        </w:r>
      </w:hyperlink>
      <w:r>
        <w:rPr>
          <w:sz w:val="16"/>
          <w:szCs w:val="16"/>
        </w:rPr>
        <w:t xml:space="preserve"> </w:t>
      </w:r>
    </w:p>
  </w:footnote>
  <w:footnote w:id="35">
    <w:p w14:paraId="0EE0F4F8" w14:textId="13A6F961" w:rsidR="008A3AD2" w:rsidRPr="008561F0" w:rsidRDefault="008A3AD2">
      <w:pPr>
        <w:pStyle w:val="FootnoteText"/>
        <w:rPr>
          <w:sz w:val="16"/>
          <w:szCs w:val="16"/>
        </w:rPr>
      </w:pPr>
      <w:r w:rsidRPr="008561F0">
        <w:rPr>
          <w:rStyle w:val="FootnoteReference"/>
          <w:sz w:val="16"/>
          <w:szCs w:val="16"/>
        </w:rPr>
        <w:footnoteRef/>
      </w:r>
      <w:r w:rsidRPr="008561F0">
        <w:rPr>
          <w:sz w:val="16"/>
          <w:szCs w:val="16"/>
        </w:rPr>
        <w:t xml:space="preserve"> External link- </w:t>
      </w:r>
      <w:hyperlink r:id="rId35" w:history="1">
        <w:r w:rsidRPr="008561F0">
          <w:rPr>
            <w:rStyle w:val="Hyperlink"/>
            <w:sz w:val="16"/>
            <w:szCs w:val="16"/>
          </w:rPr>
          <w:t>https://matracking.ehs.state.ma.us</w:t>
        </w:r>
        <w:r w:rsidRPr="00C6343B">
          <w:rPr>
            <w:rStyle w:val="Hyperlink"/>
            <w:sz w:val="16"/>
            <w:szCs w:val="16"/>
          </w:rPr>
          <w:t>/</w:t>
        </w:r>
      </w:hyperlink>
      <w:r>
        <w:rPr>
          <w:sz w:val="16"/>
          <w:szCs w:val="16"/>
        </w:rPr>
        <w:t xml:space="preserve"> </w:t>
      </w:r>
    </w:p>
  </w:footnote>
  <w:footnote w:id="36">
    <w:p w14:paraId="67229174" w14:textId="2AB1EE81" w:rsidR="008A3AD2" w:rsidRPr="008561F0" w:rsidRDefault="008A3AD2">
      <w:pPr>
        <w:pStyle w:val="FootnoteText"/>
        <w:rPr>
          <w:sz w:val="16"/>
          <w:szCs w:val="16"/>
        </w:rPr>
      </w:pPr>
      <w:r w:rsidRPr="003833FB">
        <w:rPr>
          <w:rStyle w:val="FootnoteReference"/>
          <w:sz w:val="16"/>
          <w:szCs w:val="16"/>
        </w:rPr>
        <w:footnoteRef/>
      </w:r>
      <w:r w:rsidRPr="003833FB">
        <w:rPr>
          <w:sz w:val="16"/>
          <w:szCs w:val="16"/>
        </w:rPr>
        <w:t xml:space="preserve"> External link- </w:t>
      </w:r>
      <w:hyperlink r:id="rId36" w:history="1">
        <w:r w:rsidRPr="003833FB">
          <w:rPr>
            <w:rStyle w:val="Hyperlink"/>
            <w:sz w:val="16"/>
            <w:szCs w:val="16"/>
          </w:rPr>
          <w:t>https://www.maresponds.org/</w:t>
        </w:r>
      </w:hyperlink>
      <w:r>
        <w:rPr>
          <w:sz w:val="16"/>
          <w:szCs w:val="16"/>
        </w:rPr>
        <w:t xml:space="preserve"> </w:t>
      </w:r>
    </w:p>
  </w:footnote>
  <w:footnote w:id="37">
    <w:p w14:paraId="3432F44B" w14:textId="57E570FD" w:rsidR="008A3AD2" w:rsidRPr="008561F0" w:rsidRDefault="008A3AD2">
      <w:pPr>
        <w:pStyle w:val="FootnoteText"/>
        <w:rPr>
          <w:sz w:val="16"/>
          <w:szCs w:val="16"/>
        </w:rPr>
      </w:pPr>
      <w:r w:rsidRPr="008561F0">
        <w:rPr>
          <w:rStyle w:val="FootnoteReference"/>
          <w:sz w:val="16"/>
          <w:szCs w:val="16"/>
        </w:rPr>
        <w:footnoteRef/>
      </w:r>
      <w:r w:rsidRPr="008561F0">
        <w:rPr>
          <w:sz w:val="16"/>
          <w:szCs w:val="16"/>
        </w:rPr>
        <w:t xml:space="preserve"> External link- </w:t>
      </w:r>
      <w:hyperlink r:id="rId37" w:history="1">
        <w:r w:rsidRPr="008561F0">
          <w:rPr>
            <w:rStyle w:val="Hyperlink"/>
            <w:sz w:val="16"/>
            <w:szCs w:val="16"/>
          </w:rPr>
          <w:t>https://preptoolkit.fema.gov/web/hseep-resources</w:t>
        </w:r>
      </w:hyperlink>
      <w:r>
        <w:rPr>
          <w:sz w:val="16"/>
          <w:szCs w:val="16"/>
        </w:rPr>
        <w:t xml:space="preserve"> </w:t>
      </w:r>
    </w:p>
  </w:footnote>
  <w:footnote w:id="38">
    <w:p w14:paraId="21D2C354" w14:textId="77777777" w:rsidR="008A3AD2" w:rsidRPr="003833FB" w:rsidRDefault="008A3AD2">
      <w:pPr>
        <w:pStyle w:val="FootnoteText"/>
        <w:rPr>
          <w:sz w:val="16"/>
          <w:szCs w:val="16"/>
        </w:rPr>
      </w:pPr>
      <w:r w:rsidRPr="008561F0">
        <w:rPr>
          <w:rStyle w:val="FootnoteReference"/>
          <w:sz w:val="16"/>
          <w:szCs w:val="16"/>
        </w:rPr>
        <w:footnoteRef/>
      </w:r>
      <w:r w:rsidRPr="008561F0">
        <w:rPr>
          <w:sz w:val="16"/>
          <w:szCs w:val="16"/>
        </w:rPr>
        <w:t xml:space="preserve"> External link- </w:t>
      </w:r>
      <w:hyperlink r:id="rId38" w:history="1">
        <w:r w:rsidRPr="003833FB">
          <w:rPr>
            <w:rStyle w:val="Hyperlink"/>
            <w:sz w:val="16"/>
            <w:szCs w:val="16"/>
          </w:rPr>
          <w:t>https://mematraining.chs.state.ma.us/TRS/home.do</w:t>
        </w:r>
      </w:hyperlink>
      <w:r>
        <w:rPr>
          <w:sz w:val="16"/>
          <w:szCs w:val="16"/>
        </w:rPr>
        <w:t xml:space="preserve"> </w:t>
      </w:r>
    </w:p>
  </w:footnote>
  <w:footnote w:id="39">
    <w:p w14:paraId="2D9C3E71" w14:textId="77777777" w:rsidR="008A3AD2" w:rsidRPr="003833FB" w:rsidRDefault="008A3AD2">
      <w:pPr>
        <w:pStyle w:val="FootnoteText"/>
        <w:rPr>
          <w:sz w:val="16"/>
          <w:szCs w:val="16"/>
        </w:rPr>
      </w:pPr>
      <w:r w:rsidRPr="003833FB">
        <w:rPr>
          <w:rStyle w:val="FootnoteReference"/>
          <w:sz w:val="16"/>
          <w:szCs w:val="16"/>
        </w:rPr>
        <w:footnoteRef/>
      </w:r>
      <w:r w:rsidRPr="003833FB">
        <w:rPr>
          <w:sz w:val="16"/>
          <w:szCs w:val="16"/>
        </w:rPr>
        <w:t xml:space="preserve"> External link- </w:t>
      </w:r>
      <w:hyperlink r:id="rId39" w:history="1">
        <w:r w:rsidRPr="003833FB">
          <w:rPr>
            <w:rStyle w:val="Hyperlink"/>
            <w:sz w:val="16"/>
            <w:szCs w:val="16"/>
          </w:rPr>
          <w:t>https://training.fema.gov/is/courseoverview.aspx?code=IS-100.b</w:t>
        </w:r>
      </w:hyperlink>
      <w:r>
        <w:rPr>
          <w:sz w:val="16"/>
          <w:szCs w:val="16"/>
        </w:rPr>
        <w:t xml:space="preserve"> </w:t>
      </w:r>
    </w:p>
  </w:footnote>
  <w:footnote w:id="40">
    <w:p w14:paraId="5E142F1E" w14:textId="77777777" w:rsidR="008A3AD2" w:rsidRPr="003833FB" w:rsidRDefault="008A3AD2">
      <w:pPr>
        <w:pStyle w:val="FootnoteText"/>
        <w:rPr>
          <w:sz w:val="16"/>
          <w:szCs w:val="16"/>
        </w:rPr>
      </w:pPr>
      <w:r w:rsidRPr="003833FB">
        <w:rPr>
          <w:rStyle w:val="FootnoteReference"/>
          <w:sz w:val="16"/>
          <w:szCs w:val="16"/>
        </w:rPr>
        <w:footnoteRef/>
      </w:r>
      <w:r w:rsidRPr="003833FB">
        <w:rPr>
          <w:sz w:val="16"/>
          <w:szCs w:val="16"/>
        </w:rPr>
        <w:t xml:space="preserve"> External link- </w:t>
      </w:r>
      <w:hyperlink r:id="rId40" w:history="1">
        <w:r w:rsidRPr="003833FB">
          <w:rPr>
            <w:rStyle w:val="Hyperlink"/>
            <w:sz w:val="16"/>
            <w:szCs w:val="16"/>
          </w:rPr>
          <w:t>https://training.fema.gov/is/courseoverview.aspx?code=IS-200.b</w:t>
        </w:r>
      </w:hyperlink>
      <w:r>
        <w:rPr>
          <w:sz w:val="16"/>
          <w:szCs w:val="16"/>
        </w:rPr>
        <w:t xml:space="preserve"> </w:t>
      </w:r>
    </w:p>
  </w:footnote>
  <w:footnote w:id="41">
    <w:p w14:paraId="47608956" w14:textId="77777777" w:rsidR="008A3AD2" w:rsidRPr="003833FB" w:rsidRDefault="008A3AD2">
      <w:pPr>
        <w:pStyle w:val="FootnoteText"/>
        <w:rPr>
          <w:sz w:val="16"/>
          <w:szCs w:val="16"/>
        </w:rPr>
      </w:pPr>
      <w:r w:rsidRPr="003833FB">
        <w:rPr>
          <w:rStyle w:val="FootnoteReference"/>
          <w:sz w:val="16"/>
          <w:szCs w:val="16"/>
        </w:rPr>
        <w:footnoteRef/>
      </w:r>
      <w:r w:rsidRPr="003833FB">
        <w:rPr>
          <w:sz w:val="16"/>
          <w:szCs w:val="16"/>
        </w:rPr>
        <w:t xml:space="preserve"> External link- </w:t>
      </w:r>
      <w:hyperlink r:id="rId41" w:history="1">
        <w:r w:rsidRPr="003833FB">
          <w:rPr>
            <w:rStyle w:val="Hyperlink"/>
            <w:sz w:val="16"/>
            <w:szCs w:val="16"/>
          </w:rPr>
          <w:t>https://training.fema.gov/is/courseoverview.aspx?code=IS-700.a</w:t>
        </w:r>
      </w:hyperlink>
      <w:r>
        <w:rPr>
          <w:sz w:val="16"/>
          <w:szCs w:val="16"/>
        </w:rPr>
        <w:t xml:space="preserve"> </w:t>
      </w:r>
    </w:p>
  </w:footnote>
  <w:footnote w:id="42">
    <w:p w14:paraId="5D81703F" w14:textId="77777777" w:rsidR="008A3AD2" w:rsidRPr="003833FB" w:rsidRDefault="008A3AD2">
      <w:pPr>
        <w:pStyle w:val="FootnoteText"/>
        <w:rPr>
          <w:sz w:val="16"/>
          <w:szCs w:val="16"/>
        </w:rPr>
      </w:pPr>
      <w:r w:rsidRPr="003833FB">
        <w:rPr>
          <w:rStyle w:val="FootnoteReference"/>
          <w:sz w:val="16"/>
          <w:szCs w:val="16"/>
        </w:rPr>
        <w:footnoteRef/>
      </w:r>
      <w:r w:rsidRPr="003833FB">
        <w:rPr>
          <w:sz w:val="16"/>
          <w:szCs w:val="16"/>
        </w:rPr>
        <w:t xml:space="preserve"> External link- </w:t>
      </w:r>
      <w:hyperlink r:id="rId42" w:history="1">
        <w:r w:rsidRPr="003833FB">
          <w:rPr>
            <w:rStyle w:val="Hyperlink"/>
            <w:sz w:val="16"/>
            <w:szCs w:val="16"/>
          </w:rPr>
          <w:t>https://training.fema.gov/is/courseoverview.aspx?code=IS-800.b</w:t>
        </w:r>
      </w:hyperlink>
      <w:r>
        <w:rPr>
          <w:sz w:val="16"/>
          <w:szCs w:val="16"/>
        </w:rPr>
        <w:t xml:space="preserve"> </w:t>
      </w:r>
    </w:p>
  </w:footnote>
  <w:footnote w:id="43">
    <w:p w14:paraId="49BC1014" w14:textId="77777777" w:rsidR="008A3AD2" w:rsidRPr="003833FB" w:rsidRDefault="008A3AD2">
      <w:pPr>
        <w:pStyle w:val="FootnoteText"/>
        <w:rPr>
          <w:sz w:val="16"/>
          <w:szCs w:val="16"/>
        </w:rPr>
      </w:pPr>
      <w:r w:rsidRPr="003833FB">
        <w:rPr>
          <w:rStyle w:val="FootnoteReference"/>
          <w:sz w:val="16"/>
          <w:szCs w:val="16"/>
        </w:rPr>
        <w:footnoteRef/>
      </w:r>
      <w:r w:rsidRPr="003833FB">
        <w:rPr>
          <w:sz w:val="16"/>
          <w:szCs w:val="16"/>
        </w:rPr>
        <w:t xml:space="preserve"> External link- </w:t>
      </w:r>
      <w:hyperlink r:id="rId43" w:history="1">
        <w:r w:rsidRPr="003833FB">
          <w:rPr>
            <w:rStyle w:val="Hyperlink"/>
            <w:sz w:val="16"/>
            <w:szCs w:val="16"/>
          </w:rPr>
          <w:t>http://sites.bu.edu/masslocalinstitute/2014/11/06/emergency-dispensing-site-management/</w:t>
        </w:r>
      </w:hyperlink>
      <w:r>
        <w:rPr>
          <w:sz w:val="16"/>
          <w:szCs w:val="16"/>
        </w:rPr>
        <w:t xml:space="preserve"> </w:t>
      </w:r>
    </w:p>
  </w:footnote>
  <w:footnote w:id="44">
    <w:p w14:paraId="2DFDBB06" w14:textId="77777777" w:rsidR="008A3AD2" w:rsidRPr="003833FB" w:rsidRDefault="008A3AD2">
      <w:pPr>
        <w:pStyle w:val="FootnoteText"/>
        <w:rPr>
          <w:sz w:val="16"/>
          <w:szCs w:val="16"/>
        </w:rPr>
      </w:pPr>
      <w:r w:rsidRPr="003833FB">
        <w:rPr>
          <w:rStyle w:val="FootnoteReference"/>
          <w:sz w:val="16"/>
          <w:szCs w:val="16"/>
        </w:rPr>
        <w:footnoteRef/>
      </w:r>
      <w:r w:rsidRPr="003833FB">
        <w:rPr>
          <w:sz w:val="16"/>
          <w:szCs w:val="16"/>
        </w:rPr>
        <w:t xml:space="preserve"> External link- </w:t>
      </w:r>
      <w:hyperlink r:id="rId44" w:history="1">
        <w:r w:rsidRPr="003833FB">
          <w:rPr>
            <w:rStyle w:val="Hyperlink"/>
            <w:sz w:val="16"/>
            <w:szCs w:val="16"/>
          </w:rPr>
          <w:t>https://training.fema.gov/is/courseoverview.aspx?code=IS-702.a</w:t>
        </w:r>
      </w:hyperlink>
      <w:r>
        <w:rPr>
          <w:sz w:val="16"/>
          <w:szCs w:val="16"/>
        </w:rPr>
        <w:t xml:space="preserve"> </w:t>
      </w:r>
    </w:p>
  </w:footnote>
  <w:footnote w:id="45">
    <w:p w14:paraId="79FC9AC9" w14:textId="77777777" w:rsidR="008A3AD2" w:rsidRPr="003833FB" w:rsidRDefault="008A3AD2">
      <w:pPr>
        <w:pStyle w:val="FootnoteText"/>
        <w:rPr>
          <w:sz w:val="16"/>
          <w:szCs w:val="16"/>
        </w:rPr>
      </w:pPr>
      <w:r w:rsidRPr="003833FB">
        <w:rPr>
          <w:rStyle w:val="FootnoteReference"/>
          <w:sz w:val="16"/>
          <w:szCs w:val="16"/>
        </w:rPr>
        <w:footnoteRef/>
      </w:r>
      <w:r w:rsidRPr="003833FB">
        <w:rPr>
          <w:sz w:val="16"/>
          <w:szCs w:val="16"/>
        </w:rPr>
        <w:t xml:space="preserve"> External link- </w:t>
      </w:r>
      <w:hyperlink r:id="rId45" w:history="1">
        <w:r w:rsidRPr="003833FB">
          <w:rPr>
            <w:rStyle w:val="Hyperlink"/>
            <w:sz w:val="16"/>
            <w:szCs w:val="16"/>
          </w:rPr>
          <w:t>https://emergency.cdc.gov/cerc/training/basic/index.asp</w:t>
        </w:r>
      </w:hyperlink>
      <w:r>
        <w:rPr>
          <w:sz w:val="16"/>
          <w:szCs w:val="16"/>
        </w:rPr>
        <w:t xml:space="preserve"> </w:t>
      </w:r>
    </w:p>
  </w:footnote>
  <w:footnote w:id="46">
    <w:p w14:paraId="6ACB0767" w14:textId="5AD3CBC0" w:rsidR="008A3AD2" w:rsidRPr="003833FB" w:rsidRDefault="008A3AD2">
      <w:pPr>
        <w:pStyle w:val="FootnoteText"/>
        <w:rPr>
          <w:sz w:val="16"/>
          <w:szCs w:val="16"/>
        </w:rPr>
      </w:pPr>
      <w:r w:rsidRPr="003833FB">
        <w:rPr>
          <w:rStyle w:val="FootnoteReference"/>
          <w:sz w:val="16"/>
          <w:szCs w:val="16"/>
        </w:rPr>
        <w:footnoteRef/>
      </w:r>
      <w:r w:rsidRPr="003833FB">
        <w:rPr>
          <w:sz w:val="16"/>
          <w:szCs w:val="16"/>
        </w:rPr>
        <w:t xml:space="preserve"> External link- </w:t>
      </w:r>
      <w:hyperlink r:id="rId46" w:history="1">
        <w:r w:rsidRPr="003833FB">
          <w:rPr>
            <w:rStyle w:val="Hyperlink"/>
            <w:sz w:val="16"/>
            <w:szCs w:val="16"/>
          </w:rPr>
          <w:t>https://emergency.cdc.gov/cerc/training/panflu/index.asp</w:t>
        </w:r>
      </w:hyperlink>
      <w:r>
        <w:rPr>
          <w:sz w:val="16"/>
          <w:szCs w:val="16"/>
        </w:rPr>
        <w:t xml:space="preserve"> </w:t>
      </w:r>
    </w:p>
  </w:footnote>
  <w:footnote w:id="47">
    <w:p w14:paraId="09E7FA53" w14:textId="77777777" w:rsidR="008A3AD2" w:rsidRPr="003833FB" w:rsidRDefault="008A3AD2">
      <w:pPr>
        <w:pStyle w:val="FootnoteText"/>
        <w:rPr>
          <w:sz w:val="16"/>
          <w:szCs w:val="16"/>
        </w:rPr>
      </w:pPr>
      <w:r w:rsidRPr="003833FB">
        <w:rPr>
          <w:rStyle w:val="FootnoteReference"/>
          <w:sz w:val="16"/>
          <w:szCs w:val="16"/>
        </w:rPr>
        <w:footnoteRef/>
      </w:r>
      <w:r w:rsidRPr="003833FB">
        <w:rPr>
          <w:sz w:val="16"/>
          <w:szCs w:val="16"/>
        </w:rPr>
        <w:t xml:space="preserve"> External link- </w:t>
      </w:r>
      <w:hyperlink r:id="rId47" w:history="1">
        <w:r w:rsidRPr="003833FB">
          <w:rPr>
            <w:rStyle w:val="Hyperlink"/>
            <w:sz w:val="16"/>
            <w:szCs w:val="16"/>
          </w:rPr>
          <w:t>http://sites.bu.edu/masslocalinstitute/2012/09/21/emergency-risk-communication-for-public-health-professionals/</w:t>
        </w:r>
      </w:hyperlink>
      <w:r>
        <w:rPr>
          <w:sz w:val="16"/>
          <w:szCs w:val="16"/>
        </w:rPr>
        <w:t xml:space="preserve"> </w:t>
      </w:r>
    </w:p>
  </w:footnote>
  <w:footnote w:id="48">
    <w:p w14:paraId="237AF807" w14:textId="77777777" w:rsidR="008A3AD2" w:rsidRPr="003833FB" w:rsidRDefault="008A3AD2">
      <w:pPr>
        <w:pStyle w:val="FootnoteText"/>
        <w:rPr>
          <w:sz w:val="16"/>
          <w:szCs w:val="16"/>
        </w:rPr>
      </w:pPr>
      <w:r w:rsidRPr="003833FB">
        <w:rPr>
          <w:rStyle w:val="FootnoteReference"/>
          <w:sz w:val="16"/>
          <w:szCs w:val="16"/>
        </w:rPr>
        <w:footnoteRef/>
      </w:r>
      <w:r w:rsidRPr="003833FB">
        <w:rPr>
          <w:sz w:val="16"/>
          <w:szCs w:val="16"/>
        </w:rPr>
        <w:t xml:space="preserve"> External link- </w:t>
      </w:r>
      <w:hyperlink r:id="rId48" w:history="1">
        <w:r w:rsidRPr="003833FB">
          <w:rPr>
            <w:rStyle w:val="Hyperlink"/>
            <w:sz w:val="16"/>
            <w:szCs w:val="16"/>
          </w:rPr>
          <w:t>http://sites.bu.edu/masslocalinstitute/training/classroom-trainings/emergency-risk-communication-in-practice/</w:t>
        </w:r>
      </w:hyperlink>
      <w:r>
        <w:rPr>
          <w:sz w:val="16"/>
          <w:szCs w:val="16"/>
        </w:rPr>
        <w:t xml:space="preserve"> </w:t>
      </w:r>
    </w:p>
  </w:footnote>
  <w:footnote w:id="49">
    <w:p w14:paraId="29A381C9" w14:textId="77777777" w:rsidR="008A3AD2" w:rsidRPr="003833FB" w:rsidRDefault="008A3AD2">
      <w:pPr>
        <w:pStyle w:val="FootnoteText"/>
        <w:rPr>
          <w:sz w:val="16"/>
          <w:szCs w:val="16"/>
        </w:rPr>
      </w:pPr>
      <w:r w:rsidRPr="003833FB">
        <w:rPr>
          <w:rStyle w:val="FootnoteReference"/>
          <w:sz w:val="16"/>
          <w:szCs w:val="16"/>
        </w:rPr>
        <w:footnoteRef/>
      </w:r>
      <w:r w:rsidRPr="003833FB">
        <w:rPr>
          <w:sz w:val="16"/>
          <w:szCs w:val="16"/>
        </w:rPr>
        <w:t xml:space="preserve"> External link- </w:t>
      </w:r>
      <w:hyperlink r:id="rId49" w:history="1">
        <w:r w:rsidRPr="003833FB">
          <w:rPr>
            <w:rStyle w:val="Hyperlink"/>
            <w:sz w:val="16"/>
            <w:szCs w:val="16"/>
          </w:rPr>
          <w:t>https://training.fema.gov/programs/pio/</w:t>
        </w:r>
      </w:hyperlink>
      <w:r>
        <w:rPr>
          <w:sz w:val="16"/>
          <w:szCs w:val="16"/>
        </w:rPr>
        <w:t xml:space="preserve"> </w:t>
      </w:r>
    </w:p>
  </w:footnote>
  <w:footnote w:id="50">
    <w:p w14:paraId="00B6D63D" w14:textId="47FB009F" w:rsidR="008A3AD2" w:rsidRPr="003833FB" w:rsidRDefault="008A3AD2">
      <w:pPr>
        <w:pStyle w:val="FootnoteText"/>
        <w:rPr>
          <w:sz w:val="16"/>
          <w:szCs w:val="16"/>
        </w:rPr>
      </w:pPr>
      <w:r w:rsidRPr="003833FB">
        <w:rPr>
          <w:rStyle w:val="FootnoteReference"/>
          <w:sz w:val="16"/>
          <w:szCs w:val="16"/>
        </w:rPr>
        <w:footnoteRef/>
      </w:r>
      <w:r w:rsidRPr="003833FB">
        <w:rPr>
          <w:sz w:val="16"/>
          <w:szCs w:val="16"/>
        </w:rPr>
        <w:t xml:space="preserve"> External link- </w:t>
      </w:r>
      <w:hyperlink r:id="rId50" w:history="1">
        <w:r w:rsidRPr="003833FB">
          <w:rPr>
            <w:rStyle w:val="Hyperlink"/>
            <w:sz w:val="16"/>
            <w:szCs w:val="16"/>
          </w:rPr>
          <w:t>https://www.cdc.gov/phpr/readiness/capabilities.htm</w:t>
        </w:r>
      </w:hyperlink>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A6DB6" w14:textId="77777777" w:rsidR="008A3AD2" w:rsidRPr="000724D5" w:rsidRDefault="008A3AD2" w:rsidP="000724D5">
    <w:pPr>
      <w:pStyle w:val="Header"/>
      <w:shd w:val="clear" w:color="auto" w:fill="4EA686"/>
      <w:jc w:val="center"/>
      <w:rPr>
        <w:rFonts w:ascii="Calibri" w:eastAsia="Calibri" w:hAnsi="Calibri" w:cs="Times New Roman"/>
        <w:color w:val="FFFFFF"/>
        <w:sz w:val="21"/>
        <w:szCs w:val="21"/>
      </w:rPr>
    </w:pPr>
    <w:r w:rsidRPr="000724D5">
      <w:rPr>
        <w:rFonts w:ascii="Calibri" w:eastAsia="Calibri" w:hAnsi="Calibri" w:cs="Times New Roman"/>
        <w:color w:val="FFFFFF"/>
        <w:sz w:val="21"/>
        <w:szCs w:val="21"/>
      </w:rPr>
      <w:t>MASSACHUSETTS DEPARTMENT OF PUBLIC HEALTH | Office of Preparedness &amp; Emergency Management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004D"/>
    <w:multiLevelType w:val="hybridMultilevel"/>
    <w:tmpl w:val="8736A4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0CE03C4"/>
    <w:multiLevelType w:val="hybridMultilevel"/>
    <w:tmpl w:val="6FCEBAEC"/>
    <w:lvl w:ilvl="0" w:tplc="A5D0B9CE">
      <w:start w:val="1"/>
      <w:numFmt w:val="upperLetter"/>
      <w:lvlText w:val="%1"/>
      <w:lvlJc w:val="left"/>
      <w:pPr>
        <w:ind w:left="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79E8A34">
      <w:start w:val="1"/>
      <w:numFmt w:val="lowerLetter"/>
      <w:lvlText w:val="%2"/>
      <w:lvlJc w:val="left"/>
      <w:pPr>
        <w:ind w:left="10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67A9618">
      <w:start w:val="1"/>
      <w:numFmt w:val="lowerRoman"/>
      <w:lvlText w:val="%3"/>
      <w:lvlJc w:val="left"/>
      <w:pPr>
        <w:ind w:left="18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DEE2BE">
      <w:start w:val="1"/>
      <w:numFmt w:val="decimal"/>
      <w:lvlText w:val="%4"/>
      <w:lvlJc w:val="left"/>
      <w:pPr>
        <w:ind w:left="25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A5EC714">
      <w:start w:val="1"/>
      <w:numFmt w:val="lowerLetter"/>
      <w:lvlText w:val="%5"/>
      <w:lvlJc w:val="left"/>
      <w:pPr>
        <w:ind w:left="32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64AB178">
      <w:start w:val="1"/>
      <w:numFmt w:val="lowerRoman"/>
      <w:lvlText w:val="%6"/>
      <w:lvlJc w:val="left"/>
      <w:pPr>
        <w:ind w:left="39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B703452">
      <w:start w:val="1"/>
      <w:numFmt w:val="decimal"/>
      <w:lvlText w:val="%7"/>
      <w:lvlJc w:val="left"/>
      <w:pPr>
        <w:ind w:left="46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D7AB9BA">
      <w:start w:val="1"/>
      <w:numFmt w:val="lowerLetter"/>
      <w:lvlText w:val="%8"/>
      <w:lvlJc w:val="left"/>
      <w:pPr>
        <w:ind w:left="54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DDA0C8A">
      <w:start w:val="1"/>
      <w:numFmt w:val="lowerRoman"/>
      <w:lvlText w:val="%9"/>
      <w:lvlJc w:val="left"/>
      <w:pPr>
        <w:ind w:left="61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1751EAB"/>
    <w:multiLevelType w:val="hybridMultilevel"/>
    <w:tmpl w:val="6CE29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B07410"/>
    <w:multiLevelType w:val="hybridMultilevel"/>
    <w:tmpl w:val="CE760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E246C1"/>
    <w:multiLevelType w:val="hybridMultilevel"/>
    <w:tmpl w:val="5D144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F911D3"/>
    <w:multiLevelType w:val="hybridMultilevel"/>
    <w:tmpl w:val="D03C2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1A02A5"/>
    <w:multiLevelType w:val="hybridMultilevel"/>
    <w:tmpl w:val="68061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A81F6C"/>
    <w:multiLevelType w:val="hybridMultilevel"/>
    <w:tmpl w:val="5DB8BD0C"/>
    <w:lvl w:ilvl="0" w:tplc="4F9A461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12053A"/>
    <w:multiLevelType w:val="hybridMultilevel"/>
    <w:tmpl w:val="59E66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F3438A"/>
    <w:multiLevelType w:val="hybridMultilevel"/>
    <w:tmpl w:val="B296D8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04013A0"/>
    <w:multiLevelType w:val="hybridMultilevel"/>
    <w:tmpl w:val="4E8A6A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482775B"/>
    <w:multiLevelType w:val="multilevel"/>
    <w:tmpl w:val="D438066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90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rPr>
        <w:color w:val="auto"/>
      </w:r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15F04BC9"/>
    <w:multiLevelType w:val="hybridMultilevel"/>
    <w:tmpl w:val="5E44D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43555C"/>
    <w:multiLevelType w:val="hybridMultilevel"/>
    <w:tmpl w:val="DAE29D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F65CC7"/>
    <w:multiLevelType w:val="hybridMultilevel"/>
    <w:tmpl w:val="040C8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367BA1"/>
    <w:multiLevelType w:val="hybridMultilevel"/>
    <w:tmpl w:val="55B21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B72C2D"/>
    <w:multiLevelType w:val="hybridMultilevel"/>
    <w:tmpl w:val="0B4A85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E2D6B87"/>
    <w:multiLevelType w:val="hybridMultilevel"/>
    <w:tmpl w:val="CCE4E6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E3E5FAC"/>
    <w:multiLevelType w:val="hybridMultilevel"/>
    <w:tmpl w:val="32403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EF7275"/>
    <w:multiLevelType w:val="hybridMultilevel"/>
    <w:tmpl w:val="EA86C1F6"/>
    <w:lvl w:ilvl="0" w:tplc="B06CA46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B167A9"/>
    <w:multiLevelType w:val="hybridMultilevel"/>
    <w:tmpl w:val="FD540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0C4CBB"/>
    <w:multiLevelType w:val="hybridMultilevel"/>
    <w:tmpl w:val="A3DEEBEA"/>
    <w:lvl w:ilvl="0" w:tplc="2D0CAB68">
      <w:start w:val="1"/>
      <w:numFmt w:val="decimal"/>
      <w:lvlText w:val="%1."/>
      <w:lvlJc w:val="left"/>
      <w:pPr>
        <w:tabs>
          <w:tab w:val="num" w:pos="360"/>
        </w:tabs>
        <w:ind w:left="360" w:hanging="360"/>
      </w:pPr>
      <w:rPr>
        <w:rFonts w:asciiTheme="minorHAnsi" w:eastAsiaTheme="minorHAnsi" w:hAnsiTheme="minorHAnsi" w:cstheme="minorBidi"/>
      </w:rPr>
    </w:lvl>
    <w:lvl w:ilvl="1" w:tplc="DD524A6C" w:tentative="1">
      <w:start w:val="1"/>
      <w:numFmt w:val="bullet"/>
      <w:lvlText w:val="•"/>
      <w:lvlJc w:val="left"/>
      <w:pPr>
        <w:tabs>
          <w:tab w:val="num" w:pos="1080"/>
        </w:tabs>
        <w:ind w:left="1080" w:hanging="360"/>
      </w:pPr>
      <w:rPr>
        <w:rFonts w:ascii="Times New Roman" w:hAnsi="Times New Roman" w:hint="default"/>
      </w:rPr>
    </w:lvl>
    <w:lvl w:ilvl="2" w:tplc="728E3F08" w:tentative="1">
      <w:start w:val="1"/>
      <w:numFmt w:val="bullet"/>
      <w:lvlText w:val="•"/>
      <w:lvlJc w:val="left"/>
      <w:pPr>
        <w:tabs>
          <w:tab w:val="num" w:pos="1800"/>
        </w:tabs>
        <w:ind w:left="1800" w:hanging="360"/>
      </w:pPr>
      <w:rPr>
        <w:rFonts w:ascii="Times New Roman" w:hAnsi="Times New Roman" w:hint="default"/>
      </w:rPr>
    </w:lvl>
    <w:lvl w:ilvl="3" w:tplc="6DE8D466" w:tentative="1">
      <w:start w:val="1"/>
      <w:numFmt w:val="bullet"/>
      <w:lvlText w:val="•"/>
      <w:lvlJc w:val="left"/>
      <w:pPr>
        <w:tabs>
          <w:tab w:val="num" w:pos="2520"/>
        </w:tabs>
        <w:ind w:left="2520" w:hanging="360"/>
      </w:pPr>
      <w:rPr>
        <w:rFonts w:ascii="Times New Roman" w:hAnsi="Times New Roman" w:hint="default"/>
      </w:rPr>
    </w:lvl>
    <w:lvl w:ilvl="4" w:tplc="0DC0BF5C" w:tentative="1">
      <w:start w:val="1"/>
      <w:numFmt w:val="bullet"/>
      <w:lvlText w:val="•"/>
      <w:lvlJc w:val="left"/>
      <w:pPr>
        <w:tabs>
          <w:tab w:val="num" w:pos="3240"/>
        </w:tabs>
        <w:ind w:left="3240" w:hanging="360"/>
      </w:pPr>
      <w:rPr>
        <w:rFonts w:ascii="Times New Roman" w:hAnsi="Times New Roman" w:hint="default"/>
      </w:rPr>
    </w:lvl>
    <w:lvl w:ilvl="5" w:tplc="E66EA450" w:tentative="1">
      <w:start w:val="1"/>
      <w:numFmt w:val="bullet"/>
      <w:lvlText w:val="•"/>
      <w:lvlJc w:val="left"/>
      <w:pPr>
        <w:tabs>
          <w:tab w:val="num" w:pos="3960"/>
        </w:tabs>
        <w:ind w:left="3960" w:hanging="360"/>
      </w:pPr>
      <w:rPr>
        <w:rFonts w:ascii="Times New Roman" w:hAnsi="Times New Roman" w:hint="default"/>
      </w:rPr>
    </w:lvl>
    <w:lvl w:ilvl="6" w:tplc="0C6ABE1A" w:tentative="1">
      <w:start w:val="1"/>
      <w:numFmt w:val="bullet"/>
      <w:lvlText w:val="•"/>
      <w:lvlJc w:val="left"/>
      <w:pPr>
        <w:tabs>
          <w:tab w:val="num" w:pos="4680"/>
        </w:tabs>
        <w:ind w:left="4680" w:hanging="360"/>
      </w:pPr>
      <w:rPr>
        <w:rFonts w:ascii="Times New Roman" w:hAnsi="Times New Roman" w:hint="default"/>
      </w:rPr>
    </w:lvl>
    <w:lvl w:ilvl="7" w:tplc="A6CEA07A" w:tentative="1">
      <w:start w:val="1"/>
      <w:numFmt w:val="bullet"/>
      <w:lvlText w:val="•"/>
      <w:lvlJc w:val="left"/>
      <w:pPr>
        <w:tabs>
          <w:tab w:val="num" w:pos="5400"/>
        </w:tabs>
        <w:ind w:left="5400" w:hanging="360"/>
      </w:pPr>
      <w:rPr>
        <w:rFonts w:ascii="Times New Roman" w:hAnsi="Times New Roman" w:hint="default"/>
      </w:rPr>
    </w:lvl>
    <w:lvl w:ilvl="8" w:tplc="D24E8916" w:tentative="1">
      <w:start w:val="1"/>
      <w:numFmt w:val="bullet"/>
      <w:lvlText w:val="•"/>
      <w:lvlJc w:val="left"/>
      <w:pPr>
        <w:tabs>
          <w:tab w:val="num" w:pos="6120"/>
        </w:tabs>
        <w:ind w:left="6120" w:hanging="360"/>
      </w:pPr>
      <w:rPr>
        <w:rFonts w:ascii="Times New Roman" w:hAnsi="Times New Roman" w:hint="default"/>
      </w:rPr>
    </w:lvl>
  </w:abstractNum>
  <w:abstractNum w:abstractNumId="22" w15:restartNumberingAfterBreak="0">
    <w:nsid w:val="220F6395"/>
    <w:multiLevelType w:val="hybridMultilevel"/>
    <w:tmpl w:val="1E9C9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3F0FA1"/>
    <w:multiLevelType w:val="hybridMultilevel"/>
    <w:tmpl w:val="7CA64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3B4C36"/>
    <w:multiLevelType w:val="hybridMultilevel"/>
    <w:tmpl w:val="0A3610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76B5C4A"/>
    <w:multiLevelType w:val="hybridMultilevel"/>
    <w:tmpl w:val="2C342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A22F64"/>
    <w:multiLevelType w:val="hybridMultilevel"/>
    <w:tmpl w:val="75560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7BE697F"/>
    <w:multiLevelType w:val="hybridMultilevel"/>
    <w:tmpl w:val="E2A2FA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84B7274"/>
    <w:multiLevelType w:val="hybridMultilevel"/>
    <w:tmpl w:val="52247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9276E3C"/>
    <w:multiLevelType w:val="hybridMultilevel"/>
    <w:tmpl w:val="E8FED8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9723393"/>
    <w:multiLevelType w:val="hybridMultilevel"/>
    <w:tmpl w:val="A4C22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9985923"/>
    <w:multiLevelType w:val="hybridMultilevel"/>
    <w:tmpl w:val="AF2C9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A372D8E"/>
    <w:multiLevelType w:val="hybridMultilevel"/>
    <w:tmpl w:val="CAE41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AC3385D"/>
    <w:multiLevelType w:val="hybridMultilevel"/>
    <w:tmpl w:val="F2DC7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AD15800"/>
    <w:multiLevelType w:val="hybridMultilevel"/>
    <w:tmpl w:val="BF468778"/>
    <w:lvl w:ilvl="0" w:tplc="67FCCDD4">
      <w:start w:val="1"/>
      <w:numFmt w:val="low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5" w15:restartNumberingAfterBreak="0">
    <w:nsid w:val="2BC25EAA"/>
    <w:multiLevelType w:val="hybridMultilevel"/>
    <w:tmpl w:val="C7EA1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D4574E1"/>
    <w:multiLevelType w:val="hybridMultilevel"/>
    <w:tmpl w:val="671E5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F192076"/>
    <w:multiLevelType w:val="hybridMultilevel"/>
    <w:tmpl w:val="226A7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F940B8B"/>
    <w:multiLevelType w:val="hybridMultilevel"/>
    <w:tmpl w:val="E9EC8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05F7535"/>
    <w:multiLevelType w:val="hybridMultilevel"/>
    <w:tmpl w:val="EDB85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2674BE9"/>
    <w:multiLevelType w:val="hybridMultilevel"/>
    <w:tmpl w:val="F6F250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32715542"/>
    <w:multiLevelType w:val="hybridMultilevel"/>
    <w:tmpl w:val="01045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29B33FC"/>
    <w:multiLevelType w:val="hybridMultilevel"/>
    <w:tmpl w:val="30B63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3AD2192"/>
    <w:multiLevelType w:val="hybridMultilevel"/>
    <w:tmpl w:val="32F68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4F83BDD"/>
    <w:multiLevelType w:val="hybridMultilevel"/>
    <w:tmpl w:val="9E7EE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5326D1B"/>
    <w:multiLevelType w:val="hybridMultilevel"/>
    <w:tmpl w:val="FBFEE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5FB25A6"/>
    <w:multiLevelType w:val="hybridMultilevel"/>
    <w:tmpl w:val="0B807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6BF78B9"/>
    <w:multiLevelType w:val="hybridMultilevel"/>
    <w:tmpl w:val="4BC09E24"/>
    <w:lvl w:ilvl="0" w:tplc="04090001">
      <w:start w:val="1"/>
      <w:numFmt w:val="bullet"/>
      <w:lvlText w:val=""/>
      <w:lvlJc w:val="left"/>
      <w:pPr>
        <w:ind w:left="2204" w:hanging="360"/>
      </w:pPr>
      <w:rPr>
        <w:rFonts w:ascii="Symbol" w:hAnsi="Symbol" w:hint="default"/>
      </w:rPr>
    </w:lvl>
    <w:lvl w:ilvl="1" w:tplc="04090003" w:tentative="1">
      <w:start w:val="1"/>
      <w:numFmt w:val="bullet"/>
      <w:lvlText w:val="o"/>
      <w:lvlJc w:val="left"/>
      <w:pPr>
        <w:ind w:left="2924" w:hanging="360"/>
      </w:pPr>
      <w:rPr>
        <w:rFonts w:ascii="Courier New" w:hAnsi="Courier New" w:cs="Courier New" w:hint="default"/>
      </w:rPr>
    </w:lvl>
    <w:lvl w:ilvl="2" w:tplc="04090005" w:tentative="1">
      <w:start w:val="1"/>
      <w:numFmt w:val="bullet"/>
      <w:lvlText w:val=""/>
      <w:lvlJc w:val="left"/>
      <w:pPr>
        <w:ind w:left="3644" w:hanging="360"/>
      </w:pPr>
      <w:rPr>
        <w:rFonts w:ascii="Wingdings" w:hAnsi="Wingdings" w:hint="default"/>
      </w:rPr>
    </w:lvl>
    <w:lvl w:ilvl="3" w:tplc="04090001" w:tentative="1">
      <w:start w:val="1"/>
      <w:numFmt w:val="bullet"/>
      <w:lvlText w:val=""/>
      <w:lvlJc w:val="left"/>
      <w:pPr>
        <w:ind w:left="4364" w:hanging="360"/>
      </w:pPr>
      <w:rPr>
        <w:rFonts w:ascii="Symbol" w:hAnsi="Symbol" w:hint="default"/>
      </w:rPr>
    </w:lvl>
    <w:lvl w:ilvl="4" w:tplc="04090003" w:tentative="1">
      <w:start w:val="1"/>
      <w:numFmt w:val="bullet"/>
      <w:lvlText w:val="o"/>
      <w:lvlJc w:val="left"/>
      <w:pPr>
        <w:ind w:left="5084" w:hanging="360"/>
      </w:pPr>
      <w:rPr>
        <w:rFonts w:ascii="Courier New" w:hAnsi="Courier New" w:cs="Courier New" w:hint="default"/>
      </w:rPr>
    </w:lvl>
    <w:lvl w:ilvl="5" w:tplc="04090005" w:tentative="1">
      <w:start w:val="1"/>
      <w:numFmt w:val="bullet"/>
      <w:lvlText w:val=""/>
      <w:lvlJc w:val="left"/>
      <w:pPr>
        <w:ind w:left="5804" w:hanging="360"/>
      </w:pPr>
      <w:rPr>
        <w:rFonts w:ascii="Wingdings" w:hAnsi="Wingdings" w:hint="default"/>
      </w:rPr>
    </w:lvl>
    <w:lvl w:ilvl="6" w:tplc="04090001" w:tentative="1">
      <w:start w:val="1"/>
      <w:numFmt w:val="bullet"/>
      <w:lvlText w:val=""/>
      <w:lvlJc w:val="left"/>
      <w:pPr>
        <w:ind w:left="6524" w:hanging="360"/>
      </w:pPr>
      <w:rPr>
        <w:rFonts w:ascii="Symbol" w:hAnsi="Symbol" w:hint="default"/>
      </w:rPr>
    </w:lvl>
    <w:lvl w:ilvl="7" w:tplc="04090003" w:tentative="1">
      <w:start w:val="1"/>
      <w:numFmt w:val="bullet"/>
      <w:lvlText w:val="o"/>
      <w:lvlJc w:val="left"/>
      <w:pPr>
        <w:ind w:left="7244" w:hanging="360"/>
      </w:pPr>
      <w:rPr>
        <w:rFonts w:ascii="Courier New" w:hAnsi="Courier New" w:cs="Courier New" w:hint="default"/>
      </w:rPr>
    </w:lvl>
    <w:lvl w:ilvl="8" w:tplc="04090005" w:tentative="1">
      <w:start w:val="1"/>
      <w:numFmt w:val="bullet"/>
      <w:lvlText w:val=""/>
      <w:lvlJc w:val="left"/>
      <w:pPr>
        <w:ind w:left="7964" w:hanging="360"/>
      </w:pPr>
      <w:rPr>
        <w:rFonts w:ascii="Wingdings" w:hAnsi="Wingdings" w:hint="default"/>
      </w:rPr>
    </w:lvl>
  </w:abstractNum>
  <w:abstractNum w:abstractNumId="48" w15:restartNumberingAfterBreak="0">
    <w:nsid w:val="37C40CF1"/>
    <w:multiLevelType w:val="hybridMultilevel"/>
    <w:tmpl w:val="73BC6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9F7728C"/>
    <w:multiLevelType w:val="hybridMultilevel"/>
    <w:tmpl w:val="6FBA9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A546019"/>
    <w:multiLevelType w:val="hybridMultilevel"/>
    <w:tmpl w:val="CD446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A9762D1"/>
    <w:multiLevelType w:val="hybridMultilevel"/>
    <w:tmpl w:val="D35276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3AFA3C88"/>
    <w:multiLevelType w:val="hybridMultilevel"/>
    <w:tmpl w:val="B59EE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C960EDB"/>
    <w:multiLevelType w:val="hybridMultilevel"/>
    <w:tmpl w:val="3D76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D1B69AC"/>
    <w:multiLevelType w:val="hybridMultilevel"/>
    <w:tmpl w:val="81D42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E335CE7"/>
    <w:multiLevelType w:val="hybridMultilevel"/>
    <w:tmpl w:val="948E8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E451DF1"/>
    <w:multiLevelType w:val="hybridMultilevel"/>
    <w:tmpl w:val="CE982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0942F67"/>
    <w:multiLevelType w:val="hybridMultilevel"/>
    <w:tmpl w:val="8D662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2C42471"/>
    <w:multiLevelType w:val="hybridMultilevel"/>
    <w:tmpl w:val="8360A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3473E9C"/>
    <w:multiLevelType w:val="hybridMultilevel"/>
    <w:tmpl w:val="215E994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437B0D1B"/>
    <w:multiLevelType w:val="hybridMultilevel"/>
    <w:tmpl w:val="F74CB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3D511C1"/>
    <w:multiLevelType w:val="hybridMultilevel"/>
    <w:tmpl w:val="84AEB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54D4FCB"/>
    <w:multiLevelType w:val="hybridMultilevel"/>
    <w:tmpl w:val="D1EE2B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477400CE"/>
    <w:multiLevelType w:val="hybridMultilevel"/>
    <w:tmpl w:val="223813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483D2018"/>
    <w:multiLevelType w:val="hybridMultilevel"/>
    <w:tmpl w:val="EEFA6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B8D2A79"/>
    <w:multiLevelType w:val="hybridMultilevel"/>
    <w:tmpl w:val="188C1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C6910FD"/>
    <w:multiLevelType w:val="hybridMultilevel"/>
    <w:tmpl w:val="D8885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F651701"/>
    <w:multiLevelType w:val="hybridMultilevel"/>
    <w:tmpl w:val="79FAD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FB5135C"/>
    <w:multiLevelType w:val="hybridMultilevel"/>
    <w:tmpl w:val="B53A1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0923B3E"/>
    <w:multiLevelType w:val="hybridMultilevel"/>
    <w:tmpl w:val="E7C4F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0D30708"/>
    <w:multiLevelType w:val="hybridMultilevel"/>
    <w:tmpl w:val="C0BC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10F6AB2"/>
    <w:multiLevelType w:val="hybridMultilevel"/>
    <w:tmpl w:val="1AB85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2083510"/>
    <w:multiLevelType w:val="hybridMultilevel"/>
    <w:tmpl w:val="BE6E19F6"/>
    <w:lvl w:ilvl="0" w:tplc="A50A105A">
      <w:start w:val="1"/>
      <w:numFmt w:val="bullet"/>
      <w:pStyle w:val="ListBullet"/>
      <w:lvlText w:val=""/>
      <w:lvlJc w:val="left"/>
      <w:pPr>
        <w:tabs>
          <w:tab w:val="num" w:pos="749"/>
        </w:tabs>
        <w:ind w:left="749" w:hanging="259"/>
      </w:pPr>
      <w:rPr>
        <w:rFonts w:ascii="Symbol" w:hAnsi="Symbol" w:hint="default"/>
        <w:color w:val="000000" w:themeColor="text1"/>
        <w:w w:val="1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3594A13"/>
    <w:multiLevelType w:val="hybridMultilevel"/>
    <w:tmpl w:val="FAAA0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7202C22"/>
    <w:multiLevelType w:val="hybridMultilevel"/>
    <w:tmpl w:val="427E4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75E6FDE"/>
    <w:multiLevelType w:val="hybridMultilevel"/>
    <w:tmpl w:val="C62C4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935212F"/>
    <w:multiLevelType w:val="hybridMultilevel"/>
    <w:tmpl w:val="697646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59AA2ADE"/>
    <w:multiLevelType w:val="hybridMultilevel"/>
    <w:tmpl w:val="76E23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C6968F4"/>
    <w:multiLevelType w:val="hybridMultilevel"/>
    <w:tmpl w:val="D1761A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648A42C7"/>
    <w:multiLevelType w:val="hybridMultilevel"/>
    <w:tmpl w:val="FF005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68E2A09"/>
    <w:multiLevelType w:val="hybridMultilevel"/>
    <w:tmpl w:val="BFEEA59C"/>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6BC151C"/>
    <w:multiLevelType w:val="hybridMultilevel"/>
    <w:tmpl w:val="519AF1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6D37087"/>
    <w:multiLevelType w:val="hybridMultilevel"/>
    <w:tmpl w:val="9BEAE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8597E41"/>
    <w:multiLevelType w:val="hybridMultilevel"/>
    <w:tmpl w:val="CD04C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9606222"/>
    <w:multiLevelType w:val="hybridMultilevel"/>
    <w:tmpl w:val="E0DE5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993781A"/>
    <w:multiLevelType w:val="hybridMultilevel"/>
    <w:tmpl w:val="C3C87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BAD1786"/>
    <w:multiLevelType w:val="hybridMultilevel"/>
    <w:tmpl w:val="6B6EE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F5F4C00"/>
    <w:multiLevelType w:val="hybridMultilevel"/>
    <w:tmpl w:val="BA143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F747428"/>
    <w:multiLevelType w:val="hybridMultilevel"/>
    <w:tmpl w:val="DC8ED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0471DFC"/>
    <w:multiLevelType w:val="hybridMultilevel"/>
    <w:tmpl w:val="29645C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719C40E3"/>
    <w:multiLevelType w:val="hybridMultilevel"/>
    <w:tmpl w:val="FED622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15:restartNumberingAfterBreak="0">
    <w:nsid w:val="71FD4495"/>
    <w:multiLevelType w:val="hybridMultilevel"/>
    <w:tmpl w:val="71D8FE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74C7455B"/>
    <w:multiLevelType w:val="hybridMultilevel"/>
    <w:tmpl w:val="F672F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C1B5864"/>
    <w:multiLevelType w:val="hybridMultilevel"/>
    <w:tmpl w:val="65DAB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CF338D9"/>
    <w:multiLevelType w:val="hybridMultilevel"/>
    <w:tmpl w:val="1F205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D2C5A1D"/>
    <w:multiLevelType w:val="hybridMultilevel"/>
    <w:tmpl w:val="97BEC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D35218B"/>
    <w:multiLevelType w:val="hybridMultilevel"/>
    <w:tmpl w:val="21D8B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75"/>
  </w:num>
  <w:num w:numId="3">
    <w:abstractNumId w:val="79"/>
  </w:num>
  <w:num w:numId="4">
    <w:abstractNumId w:val="72"/>
  </w:num>
  <w:num w:numId="5">
    <w:abstractNumId w:val="40"/>
  </w:num>
  <w:num w:numId="6">
    <w:abstractNumId w:val="63"/>
  </w:num>
  <w:num w:numId="7">
    <w:abstractNumId w:val="62"/>
  </w:num>
  <w:num w:numId="8">
    <w:abstractNumId w:val="86"/>
  </w:num>
  <w:num w:numId="9">
    <w:abstractNumId w:val="38"/>
  </w:num>
  <w:num w:numId="10">
    <w:abstractNumId w:val="4"/>
  </w:num>
  <w:num w:numId="11">
    <w:abstractNumId w:val="26"/>
  </w:num>
  <w:num w:numId="12">
    <w:abstractNumId w:val="23"/>
  </w:num>
  <w:num w:numId="13">
    <w:abstractNumId w:val="37"/>
  </w:num>
  <w:num w:numId="14">
    <w:abstractNumId w:val="30"/>
  </w:num>
  <w:num w:numId="15">
    <w:abstractNumId w:val="41"/>
  </w:num>
  <w:num w:numId="16">
    <w:abstractNumId w:val="19"/>
  </w:num>
  <w:num w:numId="17">
    <w:abstractNumId w:val="7"/>
  </w:num>
  <w:num w:numId="18">
    <w:abstractNumId w:val="66"/>
  </w:num>
  <w:num w:numId="19">
    <w:abstractNumId w:val="73"/>
  </w:num>
  <w:num w:numId="20">
    <w:abstractNumId w:val="2"/>
  </w:num>
  <w:num w:numId="21">
    <w:abstractNumId w:val="55"/>
  </w:num>
  <w:num w:numId="22">
    <w:abstractNumId w:val="70"/>
  </w:num>
  <w:num w:numId="23">
    <w:abstractNumId w:val="45"/>
  </w:num>
  <w:num w:numId="24">
    <w:abstractNumId w:val="87"/>
  </w:num>
  <w:num w:numId="25">
    <w:abstractNumId w:val="83"/>
  </w:num>
  <w:num w:numId="26">
    <w:abstractNumId w:val="31"/>
  </w:num>
  <w:num w:numId="27">
    <w:abstractNumId w:val="74"/>
  </w:num>
  <w:num w:numId="28">
    <w:abstractNumId w:val="15"/>
  </w:num>
  <w:num w:numId="29">
    <w:abstractNumId w:val="54"/>
  </w:num>
  <w:num w:numId="30">
    <w:abstractNumId w:val="64"/>
  </w:num>
  <w:num w:numId="31">
    <w:abstractNumId w:val="82"/>
  </w:num>
  <w:num w:numId="32">
    <w:abstractNumId w:val="35"/>
  </w:num>
  <w:num w:numId="33">
    <w:abstractNumId w:val="68"/>
  </w:num>
  <w:num w:numId="34">
    <w:abstractNumId w:val="58"/>
  </w:num>
  <w:num w:numId="35">
    <w:abstractNumId w:val="33"/>
  </w:num>
  <w:num w:numId="36">
    <w:abstractNumId w:val="18"/>
  </w:num>
  <w:num w:numId="37">
    <w:abstractNumId w:val="56"/>
  </w:num>
  <w:num w:numId="38">
    <w:abstractNumId w:val="96"/>
  </w:num>
  <w:num w:numId="39">
    <w:abstractNumId w:val="3"/>
  </w:num>
  <w:num w:numId="40">
    <w:abstractNumId w:val="5"/>
  </w:num>
  <w:num w:numId="41">
    <w:abstractNumId w:val="61"/>
  </w:num>
  <w:num w:numId="42">
    <w:abstractNumId w:val="94"/>
  </w:num>
  <w:num w:numId="43">
    <w:abstractNumId w:val="6"/>
  </w:num>
  <w:num w:numId="44">
    <w:abstractNumId w:val="57"/>
  </w:num>
  <w:num w:numId="45">
    <w:abstractNumId w:val="22"/>
  </w:num>
  <w:num w:numId="46">
    <w:abstractNumId w:val="49"/>
  </w:num>
  <w:num w:numId="47">
    <w:abstractNumId w:val="69"/>
  </w:num>
  <w:num w:numId="48">
    <w:abstractNumId w:val="44"/>
  </w:num>
  <w:num w:numId="49">
    <w:abstractNumId w:val="71"/>
  </w:num>
  <w:num w:numId="50">
    <w:abstractNumId w:val="60"/>
  </w:num>
  <w:num w:numId="51">
    <w:abstractNumId w:val="32"/>
  </w:num>
  <w:num w:numId="52">
    <w:abstractNumId w:val="52"/>
  </w:num>
  <w:num w:numId="53">
    <w:abstractNumId w:val="25"/>
  </w:num>
  <w:num w:numId="54">
    <w:abstractNumId w:val="50"/>
  </w:num>
  <w:num w:numId="55">
    <w:abstractNumId w:val="14"/>
  </w:num>
  <w:num w:numId="56">
    <w:abstractNumId w:val="65"/>
  </w:num>
  <w:num w:numId="57">
    <w:abstractNumId w:val="48"/>
  </w:num>
  <w:num w:numId="58">
    <w:abstractNumId w:val="85"/>
  </w:num>
  <w:num w:numId="59">
    <w:abstractNumId w:val="12"/>
  </w:num>
  <w:num w:numId="60">
    <w:abstractNumId w:val="47"/>
  </w:num>
  <w:num w:numId="61">
    <w:abstractNumId w:val="95"/>
  </w:num>
  <w:num w:numId="62">
    <w:abstractNumId w:val="39"/>
  </w:num>
  <w:num w:numId="63">
    <w:abstractNumId w:val="28"/>
  </w:num>
  <w:num w:numId="64">
    <w:abstractNumId w:val="20"/>
  </w:num>
  <w:num w:numId="65">
    <w:abstractNumId w:val="67"/>
  </w:num>
  <w:num w:numId="66">
    <w:abstractNumId w:val="84"/>
  </w:num>
  <w:num w:numId="67">
    <w:abstractNumId w:val="36"/>
  </w:num>
  <w:num w:numId="68">
    <w:abstractNumId w:val="88"/>
  </w:num>
  <w:num w:numId="69">
    <w:abstractNumId w:val="17"/>
  </w:num>
  <w:num w:numId="70">
    <w:abstractNumId w:val="27"/>
  </w:num>
  <w:num w:numId="71">
    <w:abstractNumId w:val="24"/>
  </w:num>
  <w:num w:numId="72">
    <w:abstractNumId w:val="51"/>
  </w:num>
  <w:num w:numId="73">
    <w:abstractNumId w:val="10"/>
  </w:num>
  <w:num w:numId="74">
    <w:abstractNumId w:val="76"/>
  </w:num>
  <w:num w:numId="75">
    <w:abstractNumId w:val="16"/>
  </w:num>
  <w:num w:numId="76">
    <w:abstractNumId w:val="89"/>
  </w:num>
  <w:num w:numId="77">
    <w:abstractNumId w:val="8"/>
  </w:num>
  <w:num w:numId="78">
    <w:abstractNumId w:val="78"/>
  </w:num>
  <w:num w:numId="79">
    <w:abstractNumId w:val="90"/>
  </w:num>
  <w:num w:numId="80">
    <w:abstractNumId w:val="77"/>
  </w:num>
  <w:num w:numId="81">
    <w:abstractNumId w:val="53"/>
  </w:num>
  <w:num w:numId="82">
    <w:abstractNumId w:val="0"/>
  </w:num>
  <w:num w:numId="83">
    <w:abstractNumId w:val="42"/>
  </w:num>
  <w:num w:numId="84">
    <w:abstractNumId w:val="43"/>
  </w:num>
  <w:num w:numId="85">
    <w:abstractNumId w:val="46"/>
  </w:num>
  <w:num w:numId="86">
    <w:abstractNumId w:val="34"/>
  </w:num>
  <w:num w:numId="87">
    <w:abstractNumId w:val="9"/>
  </w:num>
  <w:num w:numId="88">
    <w:abstractNumId w:val="29"/>
  </w:num>
  <w:num w:numId="89">
    <w:abstractNumId w:val="91"/>
  </w:num>
  <w:num w:numId="90">
    <w:abstractNumId w:val="81"/>
  </w:num>
  <w:num w:numId="91">
    <w:abstractNumId w:val="59"/>
  </w:num>
  <w:num w:numId="92">
    <w:abstractNumId w:val="92"/>
  </w:num>
  <w:num w:numId="93">
    <w:abstractNumId w:val="80"/>
  </w:num>
  <w:num w:numId="94">
    <w:abstractNumId w:val="93"/>
  </w:num>
  <w:num w:numId="95">
    <w:abstractNumId w:val="21"/>
  </w:num>
  <w:num w:numId="96">
    <w:abstractNumId w:val="1"/>
  </w:num>
  <w:num w:numId="97">
    <w:abstractNumId w:val="13"/>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071"/>
    <w:rsid w:val="00002A8F"/>
    <w:rsid w:val="00003BF3"/>
    <w:rsid w:val="00005BB0"/>
    <w:rsid w:val="00007131"/>
    <w:rsid w:val="0001035C"/>
    <w:rsid w:val="00021ACE"/>
    <w:rsid w:val="00043648"/>
    <w:rsid w:val="000616C8"/>
    <w:rsid w:val="000618CC"/>
    <w:rsid w:val="000700CE"/>
    <w:rsid w:val="00071B9E"/>
    <w:rsid w:val="00071FEB"/>
    <w:rsid w:val="000724D5"/>
    <w:rsid w:val="00075F4E"/>
    <w:rsid w:val="00080CE9"/>
    <w:rsid w:val="00081D9E"/>
    <w:rsid w:val="000A0731"/>
    <w:rsid w:val="000A2A3C"/>
    <w:rsid w:val="000A531B"/>
    <w:rsid w:val="000A5398"/>
    <w:rsid w:val="000B364C"/>
    <w:rsid w:val="000B42C2"/>
    <w:rsid w:val="000B71D6"/>
    <w:rsid w:val="000C1997"/>
    <w:rsid w:val="000E51F9"/>
    <w:rsid w:val="000E6F5B"/>
    <w:rsid w:val="0011044C"/>
    <w:rsid w:val="00110EAD"/>
    <w:rsid w:val="0012096D"/>
    <w:rsid w:val="00123D2F"/>
    <w:rsid w:val="001335D3"/>
    <w:rsid w:val="00133B4F"/>
    <w:rsid w:val="00136C9D"/>
    <w:rsid w:val="00137B27"/>
    <w:rsid w:val="0014013B"/>
    <w:rsid w:val="001505D0"/>
    <w:rsid w:val="00155BE3"/>
    <w:rsid w:val="00157A63"/>
    <w:rsid w:val="00174347"/>
    <w:rsid w:val="00177354"/>
    <w:rsid w:val="00181454"/>
    <w:rsid w:val="001837F4"/>
    <w:rsid w:val="00186EB6"/>
    <w:rsid w:val="001946B8"/>
    <w:rsid w:val="00195543"/>
    <w:rsid w:val="001A036C"/>
    <w:rsid w:val="001A4872"/>
    <w:rsid w:val="001C363F"/>
    <w:rsid w:val="001D2342"/>
    <w:rsid w:val="001D41B6"/>
    <w:rsid w:val="001D6CFA"/>
    <w:rsid w:val="001F30D4"/>
    <w:rsid w:val="00202F96"/>
    <w:rsid w:val="0020609F"/>
    <w:rsid w:val="00206FE6"/>
    <w:rsid w:val="00213FF0"/>
    <w:rsid w:val="00214A8B"/>
    <w:rsid w:val="00214AB2"/>
    <w:rsid w:val="00225FAB"/>
    <w:rsid w:val="00235AEF"/>
    <w:rsid w:val="00240708"/>
    <w:rsid w:val="002442B8"/>
    <w:rsid w:val="00246A6A"/>
    <w:rsid w:val="00252A55"/>
    <w:rsid w:val="00273B88"/>
    <w:rsid w:val="002757CF"/>
    <w:rsid w:val="0028132E"/>
    <w:rsid w:val="00292AA8"/>
    <w:rsid w:val="002936BD"/>
    <w:rsid w:val="00294F11"/>
    <w:rsid w:val="002C3303"/>
    <w:rsid w:val="002D43E9"/>
    <w:rsid w:val="002E2EA2"/>
    <w:rsid w:val="002E319B"/>
    <w:rsid w:val="002F395E"/>
    <w:rsid w:val="002F4D78"/>
    <w:rsid w:val="002F6EF9"/>
    <w:rsid w:val="003067CA"/>
    <w:rsid w:val="00311266"/>
    <w:rsid w:val="00311637"/>
    <w:rsid w:val="00312E2F"/>
    <w:rsid w:val="0031695C"/>
    <w:rsid w:val="003216CA"/>
    <w:rsid w:val="00323C4C"/>
    <w:rsid w:val="0033037B"/>
    <w:rsid w:val="0033554E"/>
    <w:rsid w:val="00340EA8"/>
    <w:rsid w:val="00340FF3"/>
    <w:rsid w:val="00345AD5"/>
    <w:rsid w:val="003466DD"/>
    <w:rsid w:val="00346778"/>
    <w:rsid w:val="0034734C"/>
    <w:rsid w:val="00354795"/>
    <w:rsid w:val="0036445C"/>
    <w:rsid w:val="00365E75"/>
    <w:rsid w:val="00370F23"/>
    <w:rsid w:val="003713AB"/>
    <w:rsid w:val="0037393B"/>
    <w:rsid w:val="0038191F"/>
    <w:rsid w:val="00381A6D"/>
    <w:rsid w:val="003820A0"/>
    <w:rsid w:val="003833FB"/>
    <w:rsid w:val="003A0363"/>
    <w:rsid w:val="003B24C0"/>
    <w:rsid w:val="003B33C2"/>
    <w:rsid w:val="003B5DB9"/>
    <w:rsid w:val="003C1445"/>
    <w:rsid w:val="003C73A7"/>
    <w:rsid w:val="003D28AE"/>
    <w:rsid w:val="003D67A5"/>
    <w:rsid w:val="003F79EE"/>
    <w:rsid w:val="00421E5F"/>
    <w:rsid w:val="0043181B"/>
    <w:rsid w:val="00431B0F"/>
    <w:rsid w:val="00440618"/>
    <w:rsid w:val="00450B4F"/>
    <w:rsid w:val="0045336B"/>
    <w:rsid w:val="00455400"/>
    <w:rsid w:val="00464AFA"/>
    <w:rsid w:val="00467A7C"/>
    <w:rsid w:val="00467F80"/>
    <w:rsid w:val="00475B27"/>
    <w:rsid w:val="00481E52"/>
    <w:rsid w:val="00484331"/>
    <w:rsid w:val="00485A8E"/>
    <w:rsid w:val="004948F9"/>
    <w:rsid w:val="004B2F4F"/>
    <w:rsid w:val="004B46CC"/>
    <w:rsid w:val="004C0F49"/>
    <w:rsid w:val="004C1A74"/>
    <w:rsid w:val="004D3FF8"/>
    <w:rsid w:val="004D5098"/>
    <w:rsid w:val="004E7686"/>
    <w:rsid w:val="004F2EAE"/>
    <w:rsid w:val="00501CB4"/>
    <w:rsid w:val="00511797"/>
    <w:rsid w:val="005205F2"/>
    <w:rsid w:val="0052332A"/>
    <w:rsid w:val="005244AD"/>
    <w:rsid w:val="005600FD"/>
    <w:rsid w:val="00584862"/>
    <w:rsid w:val="00591B56"/>
    <w:rsid w:val="00591F45"/>
    <w:rsid w:val="00592CA7"/>
    <w:rsid w:val="005936DB"/>
    <w:rsid w:val="005A0F5F"/>
    <w:rsid w:val="005B074B"/>
    <w:rsid w:val="005B47DF"/>
    <w:rsid w:val="005C60F3"/>
    <w:rsid w:val="005D077C"/>
    <w:rsid w:val="005D2754"/>
    <w:rsid w:val="005D6129"/>
    <w:rsid w:val="005E1B2B"/>
    <w:rsid w:val="005F38F4"/>
    <w:rsid w:val="005F7077"/>
    <w:rsid w:val="005F7883"/>
    <w:rsid w:val="00600A92"/>
    <w:rsid w:val="00613109"/>
    <w:rsid w:val="00614501"/>
    <w:rsid w:val="00617ADA"/>
    <w:rsid w:val="00621935"/>
    <w:rsid w:val="00632BC6"/>
    <w:rsid w:val="0063356B"/>
    <w:rsid w:val="00633935"/>
    <w:rsid w:val="00633F3A"/>
    <w:rsid w:val="006351C2"/>
    <w:rsid w:val="00637775"/>
    <w:rsid w:val="00646F75"/>
    <w:rsid w:val="006519AB"/>
    <w:rsid w:val="00653284"/>
    <w:rsid w:val="00660032"/>
    <w:rsid w:val="006605E5"/>
    <w:rsid w:val="006657D6"/>
    <w:rsid w:val="006708B4"/>
    <w:rsid w:val="00687D64"/>
    <w:rsid w:val="00691EFE"/>
    <w:rsid w:val="0069462C"/>
    <w:rsid w:val="006A041B"/>
    <w:rsid w:val="006A6728"/>
    <w:rsid w:val="006B0E17"/>
    <w:rsid w:val="006B0F4E"/>
    <w:rsid w:val="006B1122"/>
    <w:rsid w:val="006B5F3D"/>
    <w:rsid w:val="006D0D34"/>
    <w:rsid w:val="006D242F"/>
    <w:rsid w:val="006D78E0"/>
    <w:rsid w:val="006E4FD1"/>
    <w:rsid w:val="006E776C"/>
    <w:rsid w:val="006F522E"/>
    <w:rsid w:val="0070094E"/>
    <w:rsid w:val="0070226E"/>
    <w:rsid w:val="0070672C"/>
    <w:rsid w:val="00722DC2"/>
    <w:rsid w:val="00750011"/>
    <w:rsid w:val="00750917"/>
    <w:rsid w:val="00751613"/>
    <w:rsid w:val="00760D1D"/>
    <w:rsid w:val="00761A0F"/>
    <w:rsid w:val="007638E5"/>
    <w:rsid w:val="00764E4D"/>
    <w:rsid w:val="007719D1"/>
    <w:rsid w:val="00772D8F"/>
    <w:rsid w:val="0077689E"/>
    <w:rsid w:val="00783682"/>
    <w:rsid w:val="00787241"/>
    <w:rsid w:val="0079472F"/>
    <w:rsid w:val="00797971"/>
    <w:rsid w:val="007A54D1"/>
    <w:rsid w:val="007A614C"/>
    <w:rsid w:val="007A6FD0"/>
    <w:rsid w:val="007B269D"/>
    <w:rsid w:val="007B752B"/>
    <w:rsid w:val="007C4ED1"/>
    <w:rsid w:val="007D5E53"/>
    <w:rsid w:val="007E082B"/>
    <w:rsid w:val="007E2E7B"/>
    <w:rsid w:val="007E7D7F"/>
    <w:rsid w:val="007F33FA"/>
    <w:rsid w:val="008021E6"/>
    <w:rsid w:val="00804EF1"/>
    <w:rsid w:val="008127B1"/>
    <w:rsid w:val="00821B91"/>
    <w:rsid w:val="0082234C"/>
    <w:rsid w:val="0083653A"/>
    <w:rsid w:val="008369F3"/>
    <w:rsid w:val="008409C7"/>
    <w:rsid w:val="00852FEC"/>
    <w:rsid w:val="00853956"/>
    <w:rsid w:val="008539AB"/>
    <w:rsid w:val="008561F0"/>
    <w:rsid w:val="008636F2"/>
    <w:rsid w:val="008867A4"/>
    <w:rsid w:val="00892D2F"/>
    <w:rsid w:val="00897251"/>
    <w:rsid w:val="008A3AD2"/>
    <w:rsid w:val="008C07D1"/>
    <w:rsid w:val="008D4CE8"/>
    <w:rsid w:val="008E6E8D"/>
    <w:rsid w:val="008E784A"/>
    <w:rsid w:val="008F1635"/>
    <w:rsid w:val="008F29E0"/>
    <w:rsid w:val="008F5C3B"/>
    <w:rsid w:val="0090186A"/>
    <w:rsid w:val="009101D9"/>
    <w:rsid w:val="009131A6"/>
    <w:rsid w:val="009170AC"/>
    <w:rsid w:val="00917C5A"/>
    <w:rsid w:val="00921334"/>
    <w:rsid w:val="00927450"/>
    <w:rsid w:val="00934631"/>
    <w:rsid w:val="00936339"/>
    <w:rsid w:val="009410EA"/>
    <w:rsid w:val="00944063"/>
    <w:rsid w:val="00961461"/>
    <w:rsid w:val="00961D53"/>
    <w:rsid w:val="00963463"/>
    <w:rsid w:val="00967245"/>
    <w:rsid w:val="00973BCA"/>
    <w:rsid w:val="00981568"/>
    <w:rsid w:val="00983299"/>
    <w:rsid w:val="009B437D"/>
    <w:rsid w:val="009B6DBA"/>
    <w:rsid w:val="009C2FF7"/>
    <w:rsid w:val="009C3FCB"/>
    <w:rsid w:val="009C4927"/>
    <w:rsid w:val="009D0FE4"/>
    <w:rsid w:val="009D750B"/>
    <w:rsid w:val="009E4FA5"/>
    <w:rsid w:val="009E6EF9"/>
    <w:rsid w:val="009E6FF5"/>
    <w:rsid w:val="009F212E"/>
    <w:rsid w:val="00A01102"/>
    <w:rsid w:val="00A05D30"/>
    <w:rsid w:val="00A10A11"/>
    <w:rsid w:val="00A122FF"/>
    <w:rsid w:val="00A16C29"/>
    <w:rsid w:val="00A26309"/>
    <w:rsid w:val="00A31626"/>
    <w:rsid w:val="00A53A32"/>
    <w:rsid w:val="00A630CB"/>
    <w:rsid w:val="00A8225F"/>
    <w:rsid w:val="00A9698A"/>
    <w:rsid w:val="00A9780B"/>
    <w:rsid w:val="00AB5545"/>
    <w:rsid w:val="00AB7598"/>
    <w:rsid w:val="00AC5B4D"/>
    <w:rsid w:val="00AC687C"/>
    <w:rsid w:val="00AC7B1D"/>
    <w:rsid w:val="00AF45A8"/>
    <w:rsid w:val="00B027A7"/>
    <w:rsid w:val="00B05665"/>
    <w:rsid w:val="00B0797D"/>
    <w:rsid w:val="00B13B9C"/>
    <w:rsid w:val="00B15E7F"/>
    <w:rsid w:val="00B21654"/>
    <w:rsid w:val="00B25D88"/>
    <w:rsid w:val="00B275F5"/>
    <w:rsid w:val="00B31247"/>
    <w:rsid w:val="00B328F0"/>
    <w:rsid w:val="00B32E7C"/>
    <w:rsid w:val="00B332AC"/>
    <w:rsid w:val="00B36C48"/>
    <w:rsid w:val="00B4350E"/>
    <w:rsid w:val="00B552BA"/>
    <w:rsid w:val="00B60603"/>
    <w:rsid w:val="00B60E81"/>
    <w:rsid w:val="00B64DA8"/>
    <w:rsid w:val="00B657AC"/>
    <w:rsid w:val="00B71779"/>
    <w:rsid w:val="00B91727"/>
    <w:rsid w:val="00BA2CF1"/>
    <w:rsid w:val="00BA4CAD"/>
    <w:rsid w:val="00BA6C48"/>
    <w:rsid w:val="00BB3BE6"/>
    <w:rsid w:val="00BB44AF"/>
    <w:rsid w:val="00BB494B"/>
    <w:rsid w:val="00BC1412"/>
    <w:rsid w:val="00BC256C"/>
    <w:rsid w:val="00BD18B7"/>
    <w:rsid w:val="00BD55F4"/>
    <w:rsid w:val="00BE306D"/>
    <w:rsid w:val="00BE6105"/>
    <w:rsid w:val="00C01809"/>
    <w:rsid w:val="00C03E36"/>
    <w:rsid w:val="00C12BC2"/>
    <w:rsid w:val="00C1528E"/>
    <w:rsid w:val="00C20789"/>
    <w:rsid w:val="00C23CD3"/>
    <w:rsid w:val="00C27B6A"/>
    <w:rsid w:val="00C41915"/>
    <w:rsid w:val="00C4228C"/>
    <w:rsid w:val="00C45BFD"/>
    <w:rsid w:val="00C61552"/>
    <w:rsid w:val="00C66CA3"/>
    <w:rsid w:val="00C67BEA"/>
    <w:rsid w:val="00C76E82"/>
    <w:rsid w:val="00C77647"/>
    <w:rsid w:val="00C92EE8"/>
    <w:rsid w:val="00C9331C"/>
    <w:rsid w:val="00C96266"/>
    <w:rsid w:val="00C96EC4"/>
    <w:rsid w:val="00C975FF"/>
    <w:rsid w:val="00CA6787"/>
    <w:rsid w:val="00CB25FE"/>
    <w:rsid w:val="00CD1770"/>
    <w:rsid w:val="00CD22FF"/>
    <w:rsid w:val="00D12E32"/>
    <w:rsid w:val="00D211F1"/>
    <w:rsid w:val="00D42071"/>
    <w:rsid w:val="00D46766"/>
    <w:rsid w:val="00D5154C"/>
    <w:rsid w:val="00D5316B"/>
    <w:rsid w:val="00D54BD9"/>
    <w:rsid w:val="00D5607A"/>
    <w:rsid w:val="00D56864"/>
    <w:rsid w:val="00D577C8"/>
    <w:rsid w:val="00D60ED1"/>
    <w:rsid w:val="00D62A92"/>
    <w:rsid w:val="00D65C63"/>
    <w:rsid w:val="00D70DD9"/>
    <w:rsid w:val="00D71D34"/>
    <w:rsid w:val="00D728CC"/>
    <w:rsid w:val="00D915B2"/>
    <w:rsid w:val="00D91B20"/>
    <w:rsid w:val="00DC0528"/>
    <w:rsid w:val="00DC255E"/>
    <w:rsid w:val="00DC2BD1"/>
    <w:rsid w:val="00DD0DEF"/>
    <w:rsid w:val="00DD1B3A"/>
    <w:rsid w:val="00DD31FE"/>
    <w:rsid w:val="00DD5155"/>
    <w:rsid w:val="00DF5A3E"/>
    <w:rsid w:val="00E0767B"/>
    <w:rsid w:val="00E13CBC"/>
    <w:rsid w:val="00E228D7"/>
    <w:rsid w:val="00E266B2"/>
    <w:rsid w:val="00E27AE7"/>
    <w:rsid w:val="00E31089"/>
    <w:rsid w:val="00E6469F"/>
    <w:rsid w:val="00E65621"/>
    <w:rsid w:val="00E65B40"/>
    <w:rsid w:val="00E67614"/>
    <w:rsid w:val="00E71C69"/>
    <w:rsid w:val="00E74E4F"/>
    <w:rsid w:val="00E767F2"/>
    <w:rsid w:val="00E8024C"/>
    <w:rsid w:val="00E81E4E"/>
    <w:rsid w:val="00E96FB1"/>
    <w:rsid w:val="00EA1541"/>
    <w:rsid w:val="00EA2CBC"/>
    <w:rsid w:val="00EA65DA"/>
    <w:rsid w:val="00EC1F19"/>
    <w:rsid w:val="00ED3413"/>
    <w:rsid w:val="00EE4F49"/>
    <w:rsid w:val="00EE5BB8"/>
    <w:rsid w:val="00EE73D1"/>
    <w:rsid w:val="00F00AFF"/>
    <w:rsid w:val="00F07914"/>
    <w:rsid w:val="00F104F7"/>
    <w:rsid w:val="00F11EEA"/>
    <w:rsid w:val="00F17724"/>
    <w:rsid w:val="00F272F5"/>
    <w:rsid w:val="00F27526"/>
    <w:rsid w:val="00F27AA0"/>
    <w:rsid w:val="00F36E6D"/>
    <w:rsid w:val="00F476E1"/>
    <w:rsid w:val="00F55137"/>
    <w:rsid w:val="00F60EC2"/>
    <w:rsid w:val="00F65D42"/>
    <w:rsid w:val="00F66755"/>
    <w:rsid w:val="00F66F69"/>
    <w:rsid w:val="00F763F8"/>
    <w:rsid w:val="00F76533"/>
    <w:rsid w:val="00F771E2"/>
    <w:rsid w:val="00F774AC"/>
    <w:rsid w:val="00F77522"/>
    <w:rsid w:val="00F8124E"/>
    <w:rsid w:val="00F85813"/>
    <w:rsid w:val="00F86F01"/>
    <w:rsid w:val="00F945A6"/>
    <w:rsid w:val="00F961E2"/>
    <w:rsid w:val="00FA2A55"/>
    <w:rsid w:val="00FA72EE"/>
    <w:rsid w:val="00FB3032"/>
    <w:rsid w:val="00FB45E9"/>
    <w:rsid w:val="00FC3ED0"/>
    <w:rsid w:val="00FC7B6A"/>
    <w:rsid w:val="00FD6857"/>
    <w:rsid w:val="00FE5C16"/>
    <w:rsid w:val="00FF2039"/>
    <w:rsid w:val="00FF2074"/>
    <w:rsid w:val="00FF2317"/>
    <w:rsid w:val="00FF3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1099D"/>
  <w15:docId w15:val="{47CF3AAC-153E-43F3-BB29-A5AEBB417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54795"/>
  </w:style>
  <w:style w:type="paragraph" w:styleId="Heading1">
    <w:name w:val="heading 1"/>
    <w:basedOn w:val="Normal"/>
    <w:next w:val="Normal"/>
    <w:link w:val="Heading1Char"/>
    <w:uiPriority w:val="9"/>
    <w:qFormat/>
    <w:rsid w:val="00B328F0"/>
    <w:pPr>
      <w:keepNext/>
      <w:keepLines/>
      <w:numPr>
        <w:numId w:val="1"/>
      </w:numPr>
      <w:pBdr>
        <w:bottom w:val="single" w:sz="4" w:space="1" w:color="595959" w:themeColor="text1" w:themeTint="A6"/>
      </w:pBdr>
      <w:spacing w:before="360" w:after="160" w:line="259" w:lineRule="auto"/>
      <w:outlineLvl w:val="0"/>
    </w:pPr>
    <w:rPr>
      <w:rFonts w:asciiTheme="majorHAnsi" w:eastAsiaTheme="majorEastAsia" w:hAnsiTheme="majorHAnsi" w:cstheme="majorBidi"/>
      <w:b/>
      <w:bCs/>
      <w:smallCaps/>
      <w:color w:val="000000" w:themeColor="text1"/>
      <w:sz w:val="36"/>
      <w:szCs w:val="36"/>
      <w:lang w:eastAsia="ja-JP"/>
    </w:rPr>
  </w:style>
  <w:style w:type="paragraph" w:styleId="Heading2">
    <w:name w:val="heading 2"/>
    <w:basedOn w:val="Normal"/>
    <w:next w:val="Normal"/>
    <w:link w:val="Heading2Char"/>
    <w:uiPriority w:val="9"/>
    <w:unhideWhenUsed/>
    <w:qFormat/>
    <w:rsid w:val="00B328F0"/>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eastAsia="ja-JP"/>
    </w:rPr>
  </w:style>
  <w:style w:type="paragraph" w:styleId="Heading3">
    <w:name w:val="heading 3"/>
    <w:basedOn w:val="Normal"/>
    <w:next w:val="Normal"/>
    <w:link w:val="Heading3Char"/>
    <w:uiPriority w:val="9"/>
    <w:unhideWhenUsed/>
    <w:qFormat/>
    <w:rsid w:val="00B328F0"/>
    <w:pPr>
      <w:keepNext/>
      <w:keepLines/>
      <w:numPr>
        <w:ilvl w:val="2"/>
        <w:numId w:val="1"/>
      </w:numPr>
      <w:spacing w:before="200" w:line="259" w:lineRule="auto"/>
      <w:ind w:left="720"/>
      <w:outlineLvl w:val="2"/>
    </w:pPr>
    <w:rPr>
      <w:rFonts w:asciiTheme="majorHAnsi" w:eastAsiaTheme="majorEastAsia" w:hAnsiTheme="majorHAnsi" w:cstheme="majorBidi"/>
      <w:b/>
      <w:bCs/>
      <w:color w:val="000000" w:themeColor="text1"/>
      <w:sz w:val="22"/>
      <w:szCs w:val="22"/>
      <w:lang w:eastAsia="ja-JP"/>
    </w:rPr>
  </w:style>
  <w:style w:type="paragraph" w:styleId="Heading4">
    <w:name w:val="heading 4"/>
    <w:basedOn w:val="Normal"/>
    <w:next w:val="Normal"/>
    <w:link w:val="Heading4Char"/>
    <w:uiPriority w:val="9"/>
    <w:unhideWhenUsed/>
    <w:qFormat/>
    <w:rsid w:val="00B328F0"/>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eastAsia="ja-JP"/>
    </w:rPr>
  </w:style>
  <w:style w:type="paragraph" w:styleId="Heading5">
    <w:name w:val="heading 5"/>
    <w:basedOn w:val="Normal"/>
    <w:next w:val="Normal"/>
    <w:link w:val="Heading5Char"/>
    <w:uiPriority w:val="9"/>
    <w:unhideWhenUsed/>
    <w:qFormat/>
    <w:rsid w:val="00B328F0"/>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 w:val="22"/>
      <w:szCs w:val="22"/>
      <w:lang w:eastAsia="ja-JP"/>
    </w:rPr>
  </w:style>
  <w:style w:type="paragraph" w:styleId="Heading6">
    <w:name w:val="heading 6"/>
    <w:basedOn w:val="Normal"/>
    <w:next w:val="Normal"/>
    <w:link w:val="Heading6Char"/>
    <w:uiPriority w:val="9"/>
    <w:unhideWhenUsed/>
    <w:qFormat/>
    <w:rsid w:val="00B328F0"/>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 w:val="22"/>
      <w:szCs w:val="22"/>
      <w:lang w:eastAsia="ja-JP"/>
    </w:rPr>
  </w:style>
  <w:style w:type="paragraph" w:styleId="Heading7">
    <w:name w:val="heading 7"/>
    <w:basedOn w:val="Normal"/>
    <w:next w:val="Normal"/>
    <w:link w:val="Heading7Char"/>
    <w:uiPriority w:val="9"/>
    <w:unhideWhenUsed/>
    <w:qFormat/>
    <w:rsid w:val="00B328F0"/>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eastAsia="ja-JP"/>
    </w:rPr>
  </w:style>
  <w:style w:type="paragraph" w:styleId="Heading8">
    <w:name w:val="heading 8"/>
    <w:basedOn w:val="Normal"/>
    <w:next w:val="Normal"/>
    <w:link w:val="Heading8Char"/>
    <w:uiPriority w:val="9"/>
    <w:semiHidden/>
    <w:unhideWhenUsed/>
    <w:qFormat/>
    <w:rsid w:val="00B328F0"/>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eastAsia="ja-JP"/>
    </w:rPr>
  </w:style>
  <w:style w:type="paragraph" w:styleId="Heading9">
    <w:name w:val="heading 9"/>
    <w:basedOn w:val="Normal"/>
    <w:next w:val="Normal"/>
    <w:link w:val="Heading9Char"/>
    <w:uiPriority w:val="9"/>
    <w:semiHidden/>
    <w:unhideWhenUsed/>
    <w:qFormat/>
    <w:rsid w:val="00B328F0"/>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2071"/>
    <w:pPr>
      <w:tabs>
        <w:tab w:val="center" w:pos="4680"/>
        <w:tab w:val="right" w:pos="9360"/>
      </w:tabs>
    </w:pPr>
  </w:style>
  <w:style w:type="character" w:customStyle="1" w:styleId="HeaderChar">
    <w:name w:val="Header Char"/>
    <w:basedOn w:val="DefaultParagraphFont"/>
    <w:link w:val="Header"/>
    <w:uiPriority w:val="99"/>
    <w:rsid w:val="00D42071"/>
  </w:style>
  <w:style w:type="paragraph" w:styleId="Footer">
    <w:name w:val="footer"/>
    <w:basedOn w:val="Normal"/>
    <w:link w:val="FooterChar"/>
    <w:unhideWhenUsed/>
    <w:rsid w:val="00D42071"/>
    <w:pPr>
      <w:tabs>
        <w:tab w:val="center" w:pos="4680"/>
        <w:tab w:val="right" w:pos="9360"/>
      </w:tabs>
    </w:pPr>
  </w:style>
  <w:style w:type="character" w:customStyle="1" w:styleId="FooterChar">
    <w:name w:val="Footer Char"/>
    <w:basedOn w:val="DefaultParagraphFont"/>
    <w:link w:val="Footer"/>
    <w:uiPriority w:val="99"/>
    <w:rsid w:val="00D42071"/>
  </w:style>
  <w:style w:type="character" w:styleId="PageNumber">
    <w:name w:val="page number"/>
    <w:basedOn w:val="DefaultParagraphFont"/>
    <w:uiPriority w:val="99"/>
    <w:semiHidden/>
    <w:unhideWhenUsed/>
    <w:rsid w:val="00D42071"/>
  </w:style>
  <w:style w:type="paragraph" w:styleId="NoSpacing">
    <w:name w:val="No Spacing"/>
    <w:link w:val="NoSpacingChar"/>
    <w:uiPriority w:val="1"/>
    <w:qFormat/>
    <w:rsid w:val="00D42071"/>
    <w:rPr>
      <w:rFonts w:eastAsiaTheme="minorEastAsia"/>
      <w:sz w:val="22"/>
      <w:szCs w:val="22"/>
      <w:lang w:eastAsia="zh-CN"/>
    </w:rPr>
  </w:style>
  <w:style w:type="character" w:customStyle="1" w:styleId="NoSpacingChar">
    <w:name w:val="No Spacing Char"/>
    <w:basedOn w:val="DefaultParagraphFont"/>
    <w:link w:val="NoSpacing"/>
    <w:uiPriority w:val="1"/>
    <w:rsid w:val="00D42071"/>
    <w:rPr>
      <w:rFonts w:eastAsiaTheme="minorEastAsia"/>
      <w:sz w:val="22"/>
      <w:szCs w:val="22"/>
      <w:lang w:eastAsia="zh-CN"/>
    </w:rPr>
  </w:style>
  <w:style w:type="character" w:customStyle="1" w:styleId="Heading1Char">
    <w:name w:val="Heading 1 Char"/>
    <w:basedOn w:val="DefaultParagraphFont"/>
    <w:link w:val="Heading1"/>
    <w:rsid w:val="00B328F0"/>
    <w:rPr>
      <w:rFonts w:asciiTheme="majorHAnsi" w:eastAsiaTheme="majorEastAsia" w:hAnsiTheme="majorHAnsi" w:cstheme="majorBidi"/>
      <w:b/>
      <w:bCs/>
      <w:smallCaps/>
      <w:color w:val="000000" w:themeColor="text1"/>
      <w:sz w:val="36"/>
      <w:szCs w:val="36"/>
      <w:lang w:eastAsia="ja-JP"/>
    </w:rPr>
  </w:style>
  <w:style w:type="character" w:customStyle="1" w:styleId="Heading2Char">
    <w:name w:val="Heading 2 Char"/>
    <w:basedOn w:val="DefaultParagraphFont"/>
    <w:link w:val="Heading2"/>
    <w:uiPriority w:val="9"/>
    <w:rsid w:val="00B328F0"/>
    <w:rPr>
      <w:rFonts w:asciiTheme="majorHAnsi" w:eastAsiaTheme="majorEastAsia" w:hAnsiTheme="majorHAnsi" w:cstheme="majorBidi"/>
      <w:b/>
      <w:bCs/>
      <w:smallCaps/>
      <w:color w:val="000000" w:themeColor="text1"/>
      <w:sz w:val="28"/>
      <w:szCs w:val="28"/>
      <w:lang w:eastAsia="ja-JP"/>
    </w:rPr>
  </w:style>
  <w:style w:type="character" w:customStyle="1" w:styleId="Heading3Char">
    <w:name w:val="Heading 3 Char"/>
    <w:basedOn w:val="DefaultParagraphFont"/>
    <w:link w:val="Heading3"/>
    <w:uiPriority w:val="9"/>
    <w:rsid w:val="00B328F0"/>
    <w:rPr>
      <w:rFonts w:asciiTheme="majorHAnsi" w:eastAsiaTheme="majorEastAsia" w:hAnsiTheme="majorHAnsi" w:cstheme="majorBidi"/>
      <w:b/>
      <w:bCs/>
      <w:color w:val="000000" w:themeColor="text1"/>
      <w:sz w:val="22"/>
      <w:szCs w:val="22"/>
      <w:lang w:eastAsia="ja-JP"/>
    </w:rPr>
  </w:style>
  <w:style w:type="character" w:customStyle="1" w:styleId="Heading4Char">
    <w:name w:val="Heading 4 Char"/>
    <w:basedOn w:val="DefaultParagraphFont"/>
    <w:link w:val="Heading4"/>
    <w:uiPriority w:val="9"/>
    <w:rsid w:val="00B328F0"/>
    <w:rPr>
      <w:rFonts w:asciiTheme="majorHAnsi" w:eastAsiaTheme="majorEastAsia" w:hAnsiTheme="majorHAnsi" w:cstheme="majorBidi"/>
      <w:b/>
      <w:bCs/>
      <w:i/>
      <w:iCs/>
      <w:color w:val="000000" w:themeColor="text1"/>
      <w:sz w:val="22"/>
      <w:szCs w:val="22"/>
      <w:lang w:eastAsia="ja-JP"/>
    </w:rPr>
  </w:style>
  <w:style w:type="character" w:customStyle="1" w:styleId="Heading5Char">
    <w:name w:val="Heading 5 Char"/>
    <w:basedOn w:val="DefaultParagraphFont"/>
    <w:link w:val="Heading5"/>
    <w:uiPriority w:val="9"/>
    <w:rsid w:val="00B328F0"/>
    <w:rPr>
      <w:rFonts w:asciiTheme="majorHAnsi" w:eastAsiaTheme="majorEastAsia" w:hAnsiTheme="majorHAnsi" w:cstheme="majorBidi"/>
      <w:color w:val="323E4F" w:themeColor="text2" w:themeShade="BF"/>
      <w:sz w:val="22"/>
      <w:szCs w:val="22"/>
      <w:lang w:eastAsia="ja-JP"/>
    </w:rPr>
  </w:style>
  <w:style w:type="character" w:customStyle="1" w:styleId="Heading6Char">
    <w:name w:val="Heading 6 Char"/>
    <w:basedOn w:val="DefaultParagraphFont"/>
    <w:link w:val="Heading6"/>
    <w:uiPriority w:val="9"/>
    <w:rsid w:val="00B328F0"/>
    <w:rPr>
      <w:rFonts w:asciiTheme="majorHAnsi" w:eastAsiaTheme="majorEastAsia" w:hAnsiTheme="majorHAnsi" w:cstheme="majorBidi"/>
      <w:i/>
      <w:iCs/>
      <w:color w:val="323E4F" w:themeColor="text2" w:themeShade="BF"/>
      <w:sz w:val="22"/>
      <w:szCs w:val="22"/>
      <w:lang w:eastAsia="ja-JP"/>
    </w:rPr>
  </w:style>
  <w:style w:type="character" w:customStyle="1" w:styleId="Heading7Char">
    <w:name w:val="Heading 7 Char"/>
    <w:basedOn w:val="DefaultParagraphFont"/>
    <w:link w:val="Heading7"/>
    <w:uiPriority w:val="9"/>
    <w:rsid w:val="00B328F0"/>
    <w:rPr>
      <w:rFonts w:asciiTheme="majorHAnsi" w:eastAsiaTheme="majorEastAsia" w:hAnsiTheme="majorHAnsi" w:cstheme="majorBidi"/>
      <w:i/>
      <w:iCs/>
      <w:color w:val="404040" w:themeColor="text1" w:themeTint="BF"/>
      <w:sz w:val="22"/>
      <w:szCs w:val="22"/>
      <w:lang w:eastAsia="ja-JP"/>
    </w:rPr>
  </w:style>
  <w:style w:type="character" w:customStyle="1" w:styleId="Heading8Char">
    <w:name w:val="Heading 8 Char"/>
    <w:basedOn w:val="DefaultParagraphFont"/>
    <w:link w:val="Heading8"/>
    <w:uiPriority w:val="9"/>
    <w:semiHidden/>
    <w:rsid w:val="00B328F0"/>
    <w:rPr>
      <w:rFonts w:asciiTheme="majorHAnsi" w:eastAsiaTheme="majorEastAsia" w:hAnsiTheme="majorHAnsi" w:cstheme="majorBidi"/>
      <w:color w:val="404040" w:themeColor="text1" w:themeTint="BF"/>
      <w:sz w:val="20"/>
      <w:szCs w:val="20"/>
      <w:lang w:eastAsia="ja-JP"/>
    </w:rPr>
  </w:style>
  <w:style w:type="character" w:customStyle="1" w:styleId="Heading9Char">
    <w:name w:val="Heading 9 Char"/>
    <w:basedOn w:val="DefaultParagraphFont"/>
    <w:link w:val="Heading9"/>
    <w:uiPriority w:val="9"/>
    <w:semiHidden/>
    <w:rsid w:val="00B328F0"/>
    <w:rPr>
      <w:rFonts w:asciiTheme="majorHAnsi" w:eastAsiaTheme="majorEastAsia" w:hAnsiTheme="majorHAnsi" w:cstheme="majorBidi"/>
      <w:i/>
      <w:iCs/>
      <w:color w:val="404040" w:themeColor="text1" w:themeTint="BF"/>
      <w:sz w:val="20"/>
      <w:szCs w:val="20"/>
      <w:lang w:eastAsia="ja-JP"/>
    </w:rPr>
  </w:style>
  <w:style w:type="paragraph" w:styleId="ListParagraph">
    <w:name w:val="List Paragraph"/>
    <w:basedOn w:val="Normal"/>
    <w:uiPriority w:val="34"/>
    <w:qFormat/>
    <w:rsid w:val="00B328F0"/>
    <w:pPr>
      <w:spacing w:after="160" w:line="259" w:lineRule="auto"/>
      <w:ind w:left="720"/>
      <w:contextualSpacing/>
    </w:pPr>
    <w:rPr>
      <w:rFonts w:eastAsiaTheme="minorEastAsia"/>
      <w:sz w:val="22"/>
      <w:szCs w:val="22"/>
      <w:lang w:eastAsia="ja-JP"/>
    </w:rPr>
  </w:style>
  <w:style w:type="character" w:styleId="Hyperlink">
    <w:name w:val="Hyperlink"/>
    <w:basedOn w:val="DefaultParagraphFont"/>
    <w:uiPriority w:val="99"/>
    <w:unhideWhenUsed/>
    <w:rsid w:val="00B328F0"/>
    <w:rPr>
      <w:color w:val="0563C1" w:themeColor="hyperlink"/>
      <w:u w:val="single"/>
    </w:rPr>
  </w:style>
  <w:style w:type="character" w:styleId="CommentReference">
    <w:name w:val="annotation reference"/>
    <w:basedOn w:val="DefaultParagraphFont"/>
    <w:uiPriority w:val="99"/>
    <w:semiHidden/>
    <w:unhideWhenUsed/>
    <w:rsid w:val="00B328F0"/>
    <w:rPr>
      <w:sz w:val="18"/>
      <w:szCs w:val="18"/>
    </w:rPr>
  </w:style>
  <w:style w:type="paragraph" w:styleId="CommentText">
    <w:name w:val="annotation text"/>
    <w:basedOn w:val="Normal"/>
    <w:link w:val="CommentTextChar"/>
    <w:unhideWhenUsed/>
    <w:rsid w:val="00B328F0"/>
    <w:pPr>
      <w:spacing w:after="160"/>
    </w:pPr>
    <w:rPr>
      <w:rFonts w:eastAsiaTheme="minorEastAsia"/>
      <w:lang w:eastAsia="ja-JP"/>
    </w:rPr>
  </w:style>
  <w:style w:type="character" w:customStyle="1" w:styleId="CommentTextChar">
    <w:name w:val="Comment Text Char"/>
    <w:basedOn w:val="DefaultParagraphFont"/>
    <w:link w:val="CommentText"/>
    <w:rsid w:val="00B328F0"/>
    <w:rPr>
      <w:rFonts w:eastAsiaTheme="minorEastAsia"/>
      <w:lang w:eastAsia="ja-JP"/>
    </w:rPr>
  </w:style>
  <w:style w:type="paragraph" w:styleId="BalloonText">
    <w:name w:val="Balloon Text"/>
    <w:basedOn w:val="Normal"/>
    <w:link w:val="BalloonTextChar"/>
    <w:uiPriority w:val="99"/>
    <w:semiHidden/>
    <w:unhideWhenUsed/>
    <w:rsid w:val="00B328F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328F0"/>
    <w:rPr>
      <w:rFonts w:ascii="Times New Roman" w:hAnsi="Times New Roman" w:cs="Times New Roman"/>
      <w:sz w:val="18"/>
      <w:szCs w:val="18"/>
    </w:rPr>
  </w:style>
  <w:style w:type="paragraph" w:styleId="TOCHeading">
    <w:name w:val="TOC Heading"/>
    <w:basedOn w:val="Heading1"/>
    <w:next w:val="Normal"/>
    <w:uiPriority w:val="39"/>
    <w:unhideWhenUsed/>
    <w:qFormat/>
    <w:rsid w:val="006D0D34"/>
    <w:pPr>
      <w:numPr>
        <w:numId w:val="0"/>
      </w:numPr>
      <w:pBdr>
        <w:bottom w:val="none" w:sz="0" w:space="0" w:color="auto"/>
      </w:pBdr>
      <w:spacing w:before="240" w:after="0"/>
      <w:outlineLvl w:val="9"/>
    </w:pPr>
    <w:rPr>
      <w:b w:val="0"/>
      <w:bCs w:val="0"/>
      <w:smallCaps w:val="0"/>
      <w:color w:val="2F5496" w:themeColor="accent1" w:themeShade="BF"/>
      <w:sz w:val="32"/>
      <w:szCs w:val="32"/>
      <w:lang w:eastAsia="en-US"/>
    </w:rPr>
  </w:style>
  <w:style w:type="paragraph" w:styleId="TOC1">
    <w:name w:val="toc 1"/>
    <w:basedOn w:val="Normal"/>
    <w:next w:val="Normal"/>
    <w:autoRedefine/>
    <w:uiPriority w:val="39"/>
    <w:unhideWhenUsed/>
    <w:rsid w:val="006D0D34"/>
    <w:pPr>
      <w:spacing w:before="360" w:line="259" w:lineRule="auto"/>
    </w:pPr>
    <w:rPr>
      <w:rFonts w:asciiTheme="majorHAnsi" w:eastAsiaTheme="minorEastAsia" w:hAnsiTheme="majorHAnsi"/>
      <w:b/>
      <w:bCs/>
      <w:caps/>
      <w:lang w:eastAsia="ja-JP"/>
    </w:rPr>
  </w:style>
  <w:style w:type="paragraph" w:styleId="TOC2">
    <w:name w:val="toc 2"/>
    <w:basedOn w:val="Normal"/>
    <w:next w:val="Normal"/>
    <w:autoRedefine/>
    <w:uiPriority w:val="39"/>
    <w:unhideWhenUsed/>
    <w:rsid w:val="006D0D34"/>
    <w:pPr>
      <w:spacing w:before="240" w:line="259" w:lineRule="auto"/>
    </w:pPr>
    <w:rPr>
      <w:rFonts w:eastAsiaTheme="minorEastAsia"/>
      <w:b/>
      <w:bCs/>
      <w:sz w:val="20"/>
      <w:szCs w:val="20"/>
      <w:lang w:eastAsia="ja-JP"/>
    </w:rPr>
  </w:style>
  <w:style w:type="paragraph" w:styleId="TOC3">
    <w:name w:val="toc 3"/>
    <w:basedOn w:val="Normal"/>
    <w:next w:val="Normal"/>
    <w:autoRedefine/>
    <w:uiPriority w:val="39"/>
    <w:unhideWhenUsed/>
    <w:rsid w:val="006D0D34"/>
    <w:pPr>
      <w:spacing w:line="259" w:lineRule="auto"/>
      <w:ind w:left="220"/>
    </w:pPr>
    <w:rPr>
      <w:rFonts w:eastAsiaTheme="minorEastAsia"/>
      <w:sz w:val="20"/>
      <w:szCs w:val="20"/>
      <w:lang w:eastAsia="ja-JP"/>
    </w:rPr>
  </w:style>
  <w:style w:type="paragraph" w:styleId="TOC4">
    <w:name w:val="toc 4"/>
    <w:basedOn w:val="Normal"/>
    <w:next w:val="Normal"/>
    <w:autoRedefine/>
    <w:uiPriority w:val="39"/>
    <w:unhideWhenUsed/>
    <w:rsid w:val="006D0D34"/>
    <w:pPr>
      <w:spacing w:line="259" w:lineRule="auto"/>
      <w:ind w:left="440"/>
    </w:pPr>
    <w:rPr>
      <w:rFonts w:eastAsiaTheme="minorEastAsia"/>
      <w:sz w:val="20"/>
      <w:szCs w:val="20"/>
      <w:lang w:eastAsia="ja-JP"/>
    </w:rPr>
  </w:style>
  <w:style w:type="paragraph" w:styleId="TOC5">
    <w:name w:val="toc 5"/>
    <w:basedOn w:val="Normal"/>
    <w:next w:val="Normal"/>
    <w:autoRedefine/>
    <w:uiPriority w:val="39"/>
    <w:unhideWhenUsed/>
    <w:rsid w:val="006D0D34"/>
    <w:pPr>
      <w:spacing w:line="259" w:lineRule="auto"/>
      <w:ind w:left="660"/>
    </w:pPr>
    <w:rPr>
      <w:rFonts w:eastAsiaTheme="minorEastAsia"/>
      <w:sz w:val="20"/>
      <w:szCs w:val="20"/>
      <w:lang w:eastAsia="ja-JP"/>
    </w:rPr>
  </w:style>
  <w:style w:type="paragraph" w:styleId="TOC6">
    <w:name w:val="toc 6"/>
    <w:basedOn w:val="Normal"/>
    <w:next w:val="Normal"/>
    <w:autoRedefine/>
    <w:uiPriority w:val="39"/>
    <w:unhideWhenUsed/>
    <w:rsid w:val="006D0D34"/>
    <w:pPr>
      <w:spacing w:line="259" w:lineRule="auto"/>
      <w:ind w:left="880"/>
    </w:pPr>
    <w:rPr>
      <w:rFonts w:eastAsiaTheme="minorEastAsia"/>
      <w:sz w:val="20"/>
      <w:szCs w:val="20"/>
      <w:lang w:eastAsia="ja-JP"/>
    </w:rPr>
  </w:style>
  <w:style w:type="paragraph" w:styleId="TOC7">
    <w:name w:val="toc 7"/>
    <w:basedOn w:val="Normal"/>
    <w:next w:val="Normal"/>
    <w:autoRedefine/>
    <w:uiPriority w:val="39"/>
    <w:unhideWhenUsed/>
    <w:rsid w:val="006D0D34"/>
    <w:pPr>
      <w:spacing w:line="259" w:lineRule="auto"/>
      <w:ind w:left="1100"/>
    </w:pPr>
    <w:rPr>
      <w:rFonts w:eastAsiaTheme="minorEastAsia"/>
      <w:sz w:val="20"/>
      <w:szCs w:val="20"/>
      <w:lang w:eastAsia="ja-JP"/>
    </w:rPr>
  </w:style>
  <w:style w:type="paragraph" w:styleId="TOC8">
    <w:name w:val="toc 8"/>
    <w:basedOn w:val="Normal"/>
    <w:next w:val="Normal"/>
    <w:autoRedefine/>
    <w:uiPriority w:val="39"/>
    <w:unhideWhenUsed/>
    <w:rsid w:val="006D0D34"/>
    <w:pPr>
      <w:spacing w:line="259" w:lineRule="auto"/>
      <w:ind w:left="1320"/>
    </w:pPr>
    <w:rPr>
      <w:rFonts w:eastAsiaTheme="minorEastAsia"/>
      <w:sz w:val="20"/>
      <w:szCs w:val="20"/>
      <w:lang w:eastAsia="ja-JP"/>
    </w:rPr>
  </w:style>
  <w:style w:type="paragraph" w:styleId="TOC9">
    <w:name w:val="toc 9"/>
    <w:basedOn w:val="Normal"/>
    <w:next w:val="Normal"/>
    <w:autoRedefine/>
    <w:uiPriority w:val="39"/>
    <w:unhideWhenUsed/>
    <w:rsid w:val="006D0D34"/>
    <w:pPr>
      <w:spacing w:line="259" w:lineRule="auto"/>
      <w:ind w:left="1540"/>
    </w:pPr>
    <w:rPr>
      <w:rFonts w:eastAsiaTheme="minorEastAsia"/>
      <w:sz w:val="20"/>
      <w:szCs w:val="20"/>
      <w:lang w:eastAsia="ja-JP"/>
    </w:rPr>
  </w:style>
  <w:style w:type="paragraph" w:styleId="Title">
    <w:name w:val="Title"/>
    <w:basedOn w:val="Normal"/>
    <w:next w:val="Normal"/>
    <w:link w:val="TitleChar"/>
    <w:qFormat/>
    <w:rsid w:val="006D0D34"/>
    <w:pPr>
      <w:contextualSpacing/>
    </w:pPr>
    <w:rPr>
      <w:rFonts w:asciiTheme="majorHAnsi" w:eastAsiaTheme="majorEastAsia" w:hAnsiTheme="majorHAnsi" w:cstheme="majorBidi"/>
      <w:spacing w:val="-10"/>
      <w:kern w:val="28"/>
      <w:sz w:val="56"/>
      <w:szCs w:val="56"/>
      <w:lang w:eastAsia="ja-JP"/>
    </w:rPr>
  </w:style>
  <w:style w:type="character" w:customStyle="1" w:styleId="TitleChar">
    <w:name w:val="Title Char"/>
    <w:basedOn w:val="DefaultParagraphFont"/>
    <w:link w:val="Title"/>
    <w:rsid w:val="006D0D34"/>
    <w:rPr>
      <w:rFonts w:asciiTheme="majorHAnsi" w:eastAsiaTheme="majorEastAsia" w:hAnsiTheme="majorHAnsi" w:cstheme="majorBidi"/>
      <w:spacing w:val="-10"/>
      <w:kern w:val="28"/>
      <w:sz w:val="56"/>
      <w:szCs w:val="56"/>
      <w:lang w:eastAsia="ja-JP"/>
    </w:rPr>
  </w:style>
  <w:style w:type="paragraph" w:styleId="Subtitle">
    <w:name w:val="Subtitle"/>
    <w:basedOn w:val="Normal"/>
    <w:next w:val="Normal"/>
    <w:link w:val="SubtitleChar"/>
    <w:uiPriority w:val="11"/>
    <w:qFormat/>
    <w:rsid w:val="006D0D34"/>
    <w:pPr>
      <w:numPr>
        <w:ilvl w:val="1"/>
      </w:numPr>
      <w:spacing w:after="160" w:line="259" w:lineRule="auto"/>
    </w:pPr>
    <w:rPr>
      <w:rFonts w:eastAsiaTheme="minorEastAsia"/>
      <w:color w:val="5A5A5A" w:themeColor="text1" w:themeTint="A5"/>
      <w:spacing w:val="15"/>
      <w:sz w:val="22"/>
      <w:szCs w:val="22"/>
      <w:lang w:eastAsia="ja-JP"/>
    </w:rPr>
  </w:style>
  <w:style w:type="character" w:customStyle="1" w:styleId="SubtitleChar">
    <w:name w:val="Subtitle Char"/>
    <w:basedOn w:val="DefaultParagraphFont"/>
    <w:link w:val="Subtitle"/>
    <w:uiPriority w:val="11"/>
    <w:rsid w:val="006D0D34"/>
    <w:rPr>
      <w:rFonts w:eastAsiaTheme="minorEastAsia"/>
      <w:color w:val="5A5A5A" w:themeColor="text1" w:themeTint="A5"/>
      <w:spacing w:val="15"/>
      <w:sz w:val="22"/>
      <w:szCs w:val="22"/>
      <w:lang w:eastAsia="ja-JP"/>
    </w:rPr>
  </w:style>
  <w:style w:type="paragraph" w:styleId="ListBullet">
    <w:name w:val="List Bullet"/>
    <w:basedOn w:val="Normal"/>
    <w:uiPriority w:val="12"/>
    <w:qFormat/>
    <w:rsid w:val="006D0D34"/>
    <w:pPr>
      <w:numPr>
        <w:numId w:val="4"/>
      </w:numPr>
      <w:spacing w:after="240" w:line="312" w:lineRule="auto"/>
    </w:pPr>
    <w:rPr>
      <w:color w:val="000000" w:themeColor="text1"/>
      <w:lang w:eastAsia="ja-JP"/>
    </w:rPr>
  </w:style>
  <w:style w:type="paragraph" w:styleId="FootnoteText">
    <w:name w:val="footnote text"/>
    <w:basedOn w:val="Normal"/>
    <w:link w:val="FootnoteTextChar"/>
    <w:uiPriority w:val="99"/>
    <w:unhideWhenUsed/>
    <w:rsid w:val="006D0D34"/>
    <w:rPr>
      <w:color w:val="000000" w:themeColor="text1"/>
      <w:lang w:eastAsia="ja-JP"/>
    </w:rPr>
  </w:style>
  <w:style w:type="character" w:customStyle="1" w:styleId="FootnoteTextChar">
    <w:name w:val="Footnote Text Char"/>
    <w:basedOn w:val="DefaultParagraphFont"/>
    <w:link w:val="FootnoteText"/>
    <w:uiPriority w:val="99"/>
    <w:rsid w:val="006D0D34"/>
    <w:rPr>
      <w:color w:val="000000" w:themeColor="text1"/>
      <w:lang w:eastAsia="ja-JP"/>
    </w:rPr>
  </w:style>
  <w:style w:type="character" w:styleId="FootnoteReference">
    <w:name w:val="footnote reference"/>
    <w:basedOn w:val="DefaultParagraphFont"/>
    <w:uiPriority w:val="99"/>
    <w:unhideWhenUsed/>
    <w:rsid w:val="006D0D34"/>
    <w:rPr>
      <w:vertAlign w:val="superscript"/>
    </w:rPr>
  </w:style>
  <w:style w:type="paragraph" w:styleId="CommentSubject">
    <w:name w:val="annotation subject"/>
    <w:basedOn w:val="CommentText"/>
    <w:next w:val="CommentText"/>
    <w:link w:val="CommentSubjectChar"/>
    <w:uiPriority w:val="99"/>
    <w:semiHidden/>
    <w:unhideWhenUsed/>
    <w:rsid w:val="006D0D34"/>
    <w:rPr>
      <w:b/>
      <w:bCs/>
      <w:sz w:val="20"/>
      <w:szCs w:val="20"/>
    </w:rPr>
  </w:style>
  <w:style w:type="character" w:customStyle="1" w:styleId="CommentSubjectChar">
    <w:name w:val="Comment Subject Char"/>
    <w:basedOn w:val="CommentTextChar"/>
    <w:link w:val="CommentSubject"/>
    <w:uiPriority w:val="99"/>
    <w:semiHidden/>
    <w:rsid w:val="006D0D34"/>
    <w:rPr>
      <w:rFonts w:eastAsiaTheme="minorEastAsia"/>
      <w:b/>
      <w:bCs/>
      <w:sz w:val="20"/>
      <w:szCs w:val="20"/>
      <w:lang w:eastAsia="ja-JP"/>
    </w:rPr>
  </w:style>
  <w:style w:type="table" w:customStyle="1" w:styleId="GridTable1Light-Accent51">
    <w:name w:val="Grid Table 1 Light - Accent 51"/>
    <w:basedOn w:val="TableNormal"/>
    <w:uiPriority w:val="46"/>
    <w:rsid w:val="006D0D34"/>
    <w:rPr>
      <w:sz w:val="22"/>
      <w:szCs w:val="22"/>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6D0D34"/>
    <w:pPr>
      <w:spacing w:after="200"/>
    </w:pPr>
    <w:rPr>
      <w:rFonts w:eastAsiaTheme="minorEastAsia"/>
      <w:i/>
      <w:iCs/>
      <w:color w:val="44546A" w:themeColor="text2"/>
      <w:sz w:val="18"/>
      <w:szCs w:val="18"/>
      <w:lang w:eastAsia="ja-JP"/>
    </w:rPr>
  </w:style>
  <w:style w:type="table" w:styleId="TableGrid">
    <w:name w:val="Table Grid"/>
    <w:basedOn w:val="TableNormal"/>
    <w:uiPriority w:val="39"/>
    <w:rsid w:val="006D0D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D0D34"/>
    <w:rPr>
      <w:color w:val="954F72" w:themeColor="followedHyperlink"/>
      <w:u w:val="single"/>
    </w:rPr>
  </w:style>
  <w:style w:type="table" w:customStyle="1" w:styleId="GridTable1Light-Accent11">
    <w:name w:val="Grid Table 1 Light - Accent 11"/>
    <w:basedOn w:val="TableNormal"/>
    <w:uiPriority w:val="46"/>
    <w:rsid w:val="006D0D34"/>
    <w:rPr>
      <w:color w:val="000000" w:themeColor="text1"/>
      <w:lang w:eastAsia="ja-JP"/>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rsid w:val="006D0D34"/>
    <w:pPr>
      <w:autoSpaceDE w:val="0"/>
      <w:autoSpaceDN w:val="0"/>
      <w:adjustRightInd w:val="0"/>
    </w:pPr>
    <w:rPr>
      <w:rFonts w:ascii="TimesNewRoman" w:eastAsia="Times New Roman" w:hAnsi="TimesNewRoman" w:cs="Times New Roman"/>
      <w:i/>
      <w:iCs/>
    </w:rPr>
  </w:style>
  <w:style w:type="character" w:customStyle="1" w:styleId="BodyTextChar">
    <w:name w:val="Body Text Char"/>
    <w:basedOn w:val="DefaultParagraphFont"/>
    <w:link w:val="BodyText"/>
    <w:rsid w:val="006D0D34"/>
    <w:rPr>
      <w:rFonts w:ascii="TimesNewRoman" w:eastAsia="Times New Roman" w:hAnsi="TimesNewRoman" w:cs="Times New Roman"/>
      <w:i/>
      <w:iCs/>
    </w:rPr>
  </w:style>
  <w:style w:type="paragraph" w:styleId="PlainText">
    <w:name w:val="Plain Text"/>
    <w:basedOn w:val="Normal"/>
    <w:link w:val="PlainTextChar"/>
    <w:uiPriority w:val="99"/>
    <w:unhideWhenUsed/>
    <w:rsid w:val="006D0D34"/>
    <w:rPr>
      <w:rFonts w:ascii="Calibri" w:hAnsi="Calibri" w:cs="Consolas"/>
      <w:sz w:val="22"/>
      <w:szCs w:val="21"/>
    </w:rPr>
  </w:style>
  <w:style w:type="character" w:customStyle="1" w:styleId="PlainTextChar">
    <w:name w:val="Plain Text Char"/>
    <w:basedOn w:val="DefaultParagraphFont"/>
    <w:link w:val="PlainText"/>
    <w:uiPriority w:val="99"/>
    <w:rsid w:val="006D0D34"/>
    <w:rPr>
      <w:rFonts w:ascii="Calibri" w:hAnsi="Calibri" w:cs="Consolas"/>
      <w:sz w:val="22"/>
      <w:szCs w:val="21"/>
    </w:rPr>
  </w:style>
  <w:style w:type="table" w:customStyle="1" w:styleId="GridTable1Light-Accent111">
    <w:name w:val="Grid Table 1 Light - Accent 111"/>
    <w:basedOn w:val="TableNormal"/>
    <w:uiPriority w:val="46"/>
    <w:rsid w:val="006D0D34"/>
    <w:rPr>
      <w:color w:val="000000" w:themeColor="text1"/>
      <w:lang w:eastAsia="ja-JP"/>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blueten1">
    <w:name w:val="blueten1"/>
    <w:rsid w:val="006D0D34"/>
    <w:rPr>
      <w:rFonts w:ascii="Verdana" w:hAnsi="Verdana" w:hint="default"/>
      <w:color w:val="003399"/>
      <w:sz w:val="19"/>
      <w:szCs w:val="19"/>
    </w:rPr>
  </w:style>
  <w:style w:type="paragraph" w:customStyle="1" w:styleId="Columns">
    <w:name w:val="Columns"/>
    <w:basedOn w:val="Normal"/>
    <w:rsid w:val="006D0D34"/>
    <w:rPr>
      <w:rFonts w:ascii="Times New Roman" w:eastAsia="Times New Roman" w:hAnsi="Times New Roman" w:cs="Times New Roman"/>
      <w:sz w:val="22"/>
      <w:szCs w:val="20"/>
    </w:rPr>
  </w:style>
  <w:style w:type="character" w:customStyle="1" w:styleId="UnresolvedMention1">
    <w:name w:val="Unresolved Mention1"/>
    <w:basedOn w:val="DefaultParagraphFont"/>
    <w:uiPriority w:val="99"/>
    <w:semiHidden/>
    <w:unhideWhenUsed/>
    <w:rsid w:val="00354795"/>
    <w:rPr>
      <w:color w:val="808080"/>
      <w:shd w:val="clear" w:color="auto" w:fill="E6E6E6"/>
    </w:rPr>
  </w:style>
  <w:style w:type="character" w:customStyle="1" w:styleId="UnresolvedMention2">
    <w:name w:val="Unresolved Mention2"/>
    <w:basedOn w:val="DefaultParagraphFont"/>
    <w:uiPriority w:val="99"/>
    <w:semiHidden/>
    <w:unhideWhenUsed/>
    <w:rsid w:val="0033037B"/>
    <w:rPr>
      <w:color w:val="808080"/>
      <w:shd w:val="clear" w:color="auto" w:fill="E6E6E6"/>
    </w:rPr>
  </w:style>
  <w:style w:type="character" w:customStyle="1" w:styleId="UnresolvedMention3">
    <w:name w:val="Unresolved Mention3"/>
    <w:basedOn w:val="DefaultParagraphFont"/>
    <w:uiPriority w:val="99"/>
    <w:semiHidden/>
    <w:unhideWhenUsed/>
    <w:rsid w:val="00BC256C"/>
    <w:rPr>
      <w:color w:val="808080"/>
      <w:shd w:val="clear" w:color="auto" w:fill="E6E6E6"/>
    </w:rPr>
  </w:style>
  <w:style w:type="paragraph" w:styleId="EndnoteText">
    <w:name w:val="endnote text"/>
    <w:basedOn w:val="Normal"/>
    <w:link w:val="EndnoteTextChar"/>
    <w:uiPriority w:val="99"/>
    <w:semiHidden/>
    <w:unhideWhenUsed/>
    <w:rsid w:val="00FF3E23"/>
    <w:rPr>
      <w:sz w:val="20"/>
      <w:szCs w:val="20"/>
    </w:rPr>
  </w:style>
  <w:style w:type="character" w:customStyle="1" w:styleId="EndnoteTextChar">
    <w:name w:val="Endnote Text Char"/>
    <w:basedOn w:val="DefaultParagraphFont"/>
    <w:link w:val="EndnoteText"/>
    <w:uiPriority w:val="99"/>
    <w:semiHidden/>
    <w:rsid w:val="00FF3E23"/>
    <w:rPr>
      <w:sz w:val="20"/>
      <w:szCs w:val="20"/>
    </w:rPr>
  </w:style>
  <w:style w:type="character" w:styleId="EndnoteReference">
    <w:name w:val="endnote reference"/>
    <w:basedOn w:val="DefaultParagraphFont"/>
    <w:uiPriority w:val="99"/>
    <w:semiHidden/>
    <w:unhideWhenUsed/>
    <w:rsid w:val="00FF3E23"/>
    <w:rPr>
      <w:vertAlign w:val="superscript"/>
    </w:rPr>
  </w:style>
  <w:style w:type="table" w:customStyle="1" w:styleId="TableGrid0">
    <w:name w:val="TableGrid"/>
    <w:rsid w:val="00B71779"/>
    <w:rPr>
      <w:rFonts w:eastAsiaTheme="minorEastAsia"/>
      <w:sz w:val="22"/>
      <w:szCs w:val="22"/>
    </w:rPr>
    <w:tblPr>
      <w:tblCellMar>
        <w:top w:w="0" w:type="dxa"/>
        <w:left w:w="0" w:type="dxa"/>
        <w:bottom w:w="0" w:type="dxa"/>
        <w:right w:w="0" w:type="dxa"/>
      </w:tblCellMar>
    </w:tblPr>
  </w:style>
  <w:style w:type="paragraph" w:customStyle="1" w:styleId="Default">
    <w:name w:val="Default"/>
    <w:rsid w:val="008C07D1"/>
    <w:pPr>
      <w:autoSpaceDE w:val="0"/>
      <w:autoSpaceDN w:val="0"/>
      <w:adjustRightInd w:val="0"/>
    </w:pPr>
    <w:rPr>
      <w:rFonts w:ascii="Arial" w:hAnsi="Arial" w:cs="Arial"/>
      <w:color w:val="000000"/>
    </w:rPr>
  </w:style>
  <w:style w:type="character" w:styleId="PlaceholderText">
    <w:name w:val="Placeholder Text"/>
    <w:basedOn w:val="DefaultParagraphFont"/>
    <w:uiPriority w:val="99"/>
    <w:semiHidden/>
    <w:rsid w:val="008C07D1"/>
    <w:rPr>
      <w:color w:val="808080"/>
    </w:rPr>
  </w:style>
  <w:style w:type="character" w:customStyle="1" w:styleId="UnresolvedMention4">
    <w:name w:val="Unresolved Mention4"/>
    <w:basedOn w:val="DefaultParagraphFont"/>
    <w:uiPriority w:val="99"/>
    <w:semiHidden/>
    <w:unhideWhenUsed/>
    <w:rsid w:val="00E27AE7"/>
    <w:rPr>
      <w:color w:val="605E5C"/>
      <w:shd w:val="clear" w:color="auto" w:fill="E1DFDD"/>
    </w:rPr>
  </w:style>
  <w:style w:type="paragraph" w:styleId="Revision">
    <w:name w:val="Revision"/>
    <w:hidden/>
    <w:uiPriority w:val="99"/>
    <w:semiHidden/>
    <w:rsid w:val="008561F0"/>
  </w:style>
  <w:style w:type="character" w:customStyle="1" w:styleId="UnresolvedMention5">
    <w:name w:val="Unresolved Mention5"/>
    <w:basedOn w:val="DefaultParagraphFont"/>
    <w:uiPriority w:val="99"/>
    <w:semiHidden/>
    <w:unhideWhenUsed/>
    <w:rsid w:val="00CD17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42840">
      <w:bodyDiv w:val="1"/>
      <w:marLeft w:val="0"/>
      <w:marRight w:val="0"/>
      <w:marTop w:val="0"/>
      <w:marBottom w:val="0"/>
      <w:divBdr>
        <w:top w:val="none" w:sz="0" w:space="0" w:color="auto"/>
        <w:left w:val="none" w:sz="0" w:space="0" w:color="auto"/>
        <w:bottom w:val="none" w:sz="0" w:space="0" w:color="auto"/>
        <w:right w:val="none" w:sz="0" w:space="0" w:color="auto"/>
      </w:divBdr>
    </w:div>
    <w:div w:id="66076996">
      <w:bodyDiv w:val="1"/>
      <w:marLeft w:val="0"/>
      <w:marRight w:val="0"/>
      <w:marTop w:val="0"/>
      <w:marBottom w:val="0"/>
      <w:divBdr>
        <w:top w:val="none" w:sz="0" w:space="0" w:color="auto"/>
        <w:left w:val="none" w:sz="0" w:space="0" w:color="auto"/>
        <w:bottom w:val="none" w:sz="0" w:space="0" w:color="auto"/>
        <w:right w:val="none" w:sz="0" w:space="0" w:color="auto"/>
      </w:divBdr>
    </w:div>
    <w:div w:id="211960575">
      <w:bodyDiv w:val="1"/>
      <w:marLeft w:val="0"/>
      <w:marRight w:val="0"/>
      <w:marTop w:val="0"/>
      <w:marBottom w:val="0"/>
      <w:divBdr>
        <w:top w:val="none" w:sz="0" w:space="0" w:color="auto"/>
        <w:left w:val="none" w:sz="0" w:space="0" w:color="auto"/>
        <w:bottom w:val="none" w:sz="0" w:space="0" w:color="auto"/>
        <w:right w:val="none" w:sz="0" w:space="0" w:color="auto"/>
      </w:divBdr>
    </w:div>
    <w:div w:id="343943566">
      <w:bodyDiv w:val="1"/>
      <w:marLeft w:val="0"/>
      <w:marRight w:val="0"/>
      <w:marTop w:val="0"/>
      <w:marBottom w:val="0"/>
      <w:divBdr>
        <w:top w:val="none" w:sz="0" w:space="0" w:color="auto"/>
        <w:left w:val="none" w:sz="0" w:space="0" w:color="auto"/>
        <w:bottom w:val="none" w:sz="0" w:space="0" w:color="auto"/>
        <w:right w:val="none" w:sz="0" w:space="0" w:color="auto"/>
      </w:divBdr>
    </w:div>
    <w:div w:id="362050389">
      <w:bodyDiv w:val="1"/>
      <w:marLeft w:val="0"/>
      <w:marRight w:val="0"/>
      <w:marTop w:val="0"/>
      <w:marBottom w:val="0"/>
      <w:divBdr>
        <w:top w:val="none" w:sz="0" w:space="0" w:color="auto"/>
        <w:left w:val="none" w:sz="0" w:space="0" w:color="auto"/>
        <w:bottom w:val="none" w:sz="0" w:space="0" w:color="auto"/>
        <w:right w:val="none" w:sz="0" w:space="0" w:color="auto"/>
      </w:divBdr>
    </w:div>
    <w:div w:id="569660060">
      <w:bodyDiv w:val="1"/>
      <w:marLeft w:val="0"/>
      <w:marRight w:val="0"/>
      <w:marTop w:val="0"/>
      <w:marBottom w:val="0"/>
      <w:divBdr>
        <w:top w:val="none" w:sz="0" w:space="0" w:color="auto"/>
        <w:left w:val="none" w:sz="0" w:space="0" w:color="auto"/>
        <w:bottom w:val="none" w:sz="0" w:space="0" w:color="auto"/>
        <w:right w:val="none" w:sz="0" w:space="0" w:color="auto"/>
      </w:divBdr>
    </w:div>
    <w:div w:id="637494673">
      <w:bodyDiv w:val="1"/>
      <w:marLeft w:val="0"/>
      <w:marRight w:val="0"/>
      <w:marTop w:val="0"/>
      <w:marBottom w:val="0"/>
      <w:divBdr>
        <w:top w:val="none" w:sz="0" w:space="0" w:color="auto"/>
        <w:left w:val="none" w:sz="0" w:space="0" w:color="auto"/>
        <w:bottom w:val="none" w:sz="0" w:space="0" w:color="auto"/>
        <w:right w:val="none" w:sz="0" w:space="0" w:color="auto"/>
      </w:divBdr>
    </w:div>
    <w:div w:id="685980350">
      <w:bodyDiv w:val="1"/>
      <w:marLeft w:val="0"/>
      <w:marRight w:val="0"/>
      <w:marTop w:val="0"/>
      <w:marBottom w:val="0"/>
      <w:divBdr>
        <w:top w:val="none" w:sz="0" w:space="0" w:color="auto"/>
        <w:left w:val="none" w:sz="0" w:space="0" w:color="auto"/>
        <w:bottom w:val="none" w:sz="0" w:space="0" w:color="auto"/>
        <w:right w:val="none" w:sz="0" w:space="0" w:color="auto"/>
      </w:divBdr>
    </w:div>
    <w:div w:id="745567007">
      <w:bodyDiv w:val="1"/>
      <w:marLeft w:val="0"/>
      <w:marRight w:val="0"/>
      <w:marTop w:val="0"/>
      <w:marBottom w:val="0"/>
      <w:divBdr>
        <w:top w:val="none" w:sz="0" w:space="0" w:color="auto"/>
        <w:left w:val="none" w:sz="0" w:space="0" w:color="auto"/>
        <w:bottom w:val="none" w:sz="0" w:space="0" w:color="auto"/>
        <w:right w:val="none" w:sz="0" w:space="0" w:color="auto"/>
      </w:divBdr>
    </w:div>
    <w:div w:id="829566368">
      <w:bodyDiv w:val="1"/>
      <w:marLeft w:val="0"/>
      <w:marRight w:val="0"/>
      <w:marTop w:val="0"/>
      <w:marBottom w:val="0"/>
      <w:divBdr>
        <w:top w:val="none" w:sz="0" w:space="0" w:color="auto"/>
        <w:left w:val="none" w:sz="0" w:space="0" w:color="auto"/>
        <w:bottom w:val="none" w:sz="0" w:space="0" w:color="auto"/>
        <w:right w:val="none" w:sz="0" w:space="0" w:color="auto"/>
      </w:divBdr>
    </w:div>
    <w:div w:id="853106890">
      <w:bodyDiv w:val="1"/>
      <w:marLeft w:val="0"/>
      <w:marRight w:val="0"/>
      <w:marTop w:val="0"/>
      <w:marBottom w:val="0"/>
      <w:divBdr>
        <w:top w:val="none" w:sz="0" w:space="0" w:color="auto"/>
        <w:left w:val="none" w:sz="0" w:space="0" w:color="auto"/>
        <w:bottom w:val="none" w:sz="0" w:space="0" w:color="auto"/>
        <w:right w:val="none" w:sz="0" w:space="0" w:color="auto"/>
      </w:divBdr>
    </w:div>
    <w:div w:id="1019042670">
      <w:bodyDiv w:val="1"/>
      <w:marLeft w:val="0"/>
      <w:marRight w:val="0"/>
      <w:marTop w:val="0"/>
      <w:marBottom w:val="0"/>
      <w:divBdr>
        <w:top w:val="none" w:sz="0" w:space="0" w:color="auto"/>
        <w:left w:val="none" w:sz="0" w:space="0" w:color="auto"/>
        <w:bottom w:val="none" w:sz="0" w:space="0" w:color="auto"/>
        <w:right w:val="none" w:sz="0" w:space="0" w:color="auto"/>
      </w:divBdr>
    </w:div>
    <w:div w:id="1061367714">
      <w:bodyDiv w:val="1"/>
      <w:marLeft w:val="0"/>
      <w:marRight w:val="0"/>
      <w:marTop w:val="0"/>
      <w:marBottom w:val="0"/>
      <w:divBdr>
        <w:top w:val="none" w:sz="0" w:space="0" w:color="auto"/>
        <w:left w:val="none" w:sz="0" w:space="0" w:color="auto"/>
        <w:bottom w:val="none" w:sz="0" w:space="0" w:color="auto"/>
        <w:right w:val="none" w:sz="0" w:space="0" w:color="auto"/>
      </w:divBdr>
    </w:div>
    <w:div w:id="1108508395">
      <w:bodyDiv w:val="1"/>
      <w:marLeft w:val="0"/>
      <w:marRight w:val="0"/>
      <w:marTop w:val="0"/>
      <w:marBottom w:val="0"/>
      <w:divBdr>
        <w:top w:val="none" w:sz="0" w:space="0" w:color="auto"/>
        <w:left w:val="none" w:sz="0" w:space="0" w:color="auto"/>
        <w:bottom w:val="none" w:sz="0" w:space="0" w:color="auto"/>
        <w:right w:val="none" w:sz="0" w:space="0" w:color="auto"/>
      </w:divBdr>
    </w:div>
    <w:div w:id="1229072538">
      <w:bodyDiv w:val="1"/>
      <w:marLeft w:val="0"/>
      <w:marRight w:val="0"/>
      <w:marTop w:val="0"/>
      <w:marBottom w:val="0"/>
      <w:divBdr>
        <w:top w:val="none" w:sz="0" w:space="0" w:color="auto"/>
        <w:left w:val="none" w:sz="0" w:space="0" w:color="auto"/>
        <w:bottom w:val="none" w:sz="0" w:space="0" w:color="auto"/>
        <w:right w:val="none" w:sz="0" w:space="0" w:color="auto"/>
      </w:divBdr>
    </w:div>
    <w:div w:id="1232275275">
      <w:bodyDiv w:val="1"/>
      <w:marLeft w:val="0"/>
      <w:marRight w:val="0"/>
      <w:marTop w:val="0"/>
      <w:marBottom w:val="0"/>
      <w:divBdr>
        <w:top w:val="none" w:sz="0" w:space="0" w:color="auto"/>
        <w:left w:val="none" w:sz="0" w:space="0" w:color="auto"/>
        <w:bottom w:val="none" w:sz="0" w:space="0" w:color="auto"/>
        <w:right w:val="none" w:sz="0" w:space="0" w:color="auto"/>
      </w:divBdr>
    </w:div>
    <w:div w:id="1294288021">
      <w:bodyDiv w:val="1"/>
      <w:marLeft w:val="0"/>
      <w:marRight w:val="0"/>
      <w:marTop w:val="0"/>
      <w:marBottom w:val="0"/>
      <w:divBdr>
        <w:top w:val="none" w:sz="0" w:space="0" w:color="auto"/>
        <w:left w:val="none" w:sz="0" w:space="0" w:color="auto"/>
        <w:bottom w:val="none" w:sz="0" w:space="0" w:color="auto"/>
        <w:right w:val="none" w:sz="0" w:space="0" w:color="auto"/>
      </w:divBdr>
    </w:div>
    <w:div w:id="1306205480">
      <w:bodyDiv w:val="1"/>
      <w:marLeft w:val="0"/>
      <w:marRight w:val="0"/>
      <w:marTop w:val="0"/>
      <w:marBottom w:val="0"/>
      <w:divBdr>
        <w:top w:val="none" w:sz="0" w:space="0" w:color="auto"/>
        <w:left w:val="none" w:sz="0" w:space="0" w:color="auto"/>
        <w:bottom w:val="none" w:sz="0" w:space="0" w:color="auto"/>
        <w:right w:val="none" w:sz="0" w:space="0" w:color="auto"/>
      </w:divBdr>
    </w:div>
    <w:div w:id="1355352034">
      <w:bodyDiv w:val="1"/>
      <w:marLeft w:val="0"/>
      <w:marRight w:val="0"/>
      <w:marTop w:val="0"/>
      <w:marBottom w:val="0"/>
      <w:divBdr>
        <w:top w:val="none" w:sz="0" w:space="0" w:color="auto"/>
        <w:left w:val="none" w:sz="0" w:space="0" w:color="auto"/>
        <w:bottom w:val="none" w:sz="0" w:space="0" w:color="auto"/>
        <w:right w:val="none" w:sz="0" w:space="0" w:color="auto"/>
      </w:divBdr>
    </w:div>
    <w:div w:id="1436050150">
      <w:bodyDiv w:val="1"/>
      <w:marLeft w:val="0"/>
      <w:marRight w:val="0"/>
      <w:marTop w:val="0"/>
      <w:marBottom w:val="0"/>
      <w:divBdr>
        <w:top w:val="none" w:sz="0" w:space="0" w:color="auto"/>
        <w:left w:val="none" w:sz="0" w:space="0" w:color="auto"/>
        <w:bottom w:val="none" w:sz="0" w:space="0" w:color="auto"/>
        <w:right w:val="none" w:sz="0" w:space="0" w:color="auto"/>
      </w:divBdr>
    </w:div>
    <w:div w:id="1463619101">
      <w:bodyDiv w:val="1"/>
      <w:marLeft w:val="0"/>
      <w:marRight w:val="0"/>
      <w:marTop w:val="0"/>
      <w:marBottom w:val="0"/>
      <w:divBdr>
        <w:top w:val="none" w:sz="0" w:space="0" w:color="auto"/>
        <w:left w:val="none" w:sz="0" w:space="0" w:color="auto"/>
        <w:bottom w:val="none" w:sz="0" w:space="0" w:color="auto"/>
        <w:right w:val="none" w:sz="0" w:space="0" w:color="auto"/>
      </w:divBdr>
    </w:div>
    <w:div w:id="1471898308">
      <w:bodyDiv w:val="1"/>
      <w:marLeft w:val="0"/>
      <w:marRight w:val="0"/>
      <w:marTop w:val="0"/>
      <w:marBottom w:val="0"/>
      <w:divBdr>
        <w:top w:val="none" w:sz="0" w:space="0" w:color="auto"/>
        <w:left w:val="none" w:sz="0" w:space="0" w:color="auto"/>
        <w:bottom w:val="none" w:sz="0" w:space="0" w:color="auto"/>
        <w:right w:val="none" w:sz="0" w:space="0" w:color="auto"/>
      </w:divBdr>
    </w:div>
    <w:div w:id="1479687494">
      <w:bodyDiv w:val="1"/>
      <w:marLeft w:val="0"/>
      <w:marRight w:val="0"/>
      <w:marTop w:val="0"/>
      <w:marBottom w:val="0"/>
      <w:divBdr>
        <w:top w:val="none" w:sz="0" w:space="0" w:color="auto"/>
        <w:left w:val="none" w:sz="0" w:space="0" w:color="auto"/>
        <w:bottom w:val="none" w:sz="0" w:space="0" w:color="auto"/>
        <w:right w:val="none" w:sz="0" w:space="0" w:color="auto"/>
      </w:divBdr>
    </w:div>
    <w:div w:id="1558782790">
      <w:bodyDiv w:val="1"/>
      <w:marLeft w:val="0"/>
      <w:marRight w:val="0"/>
      <w:marTop w:val="0"/>
      <w:marBottom w:val="0"/>
      <w:divBdr>
        <w:top w:val="none" w:sz="0" w:space="0" w:color="auto"/>
        <w:left w:val="none" w:sz="0" w:space="0" w:color="auto"/>
        <w:bottom w:val="none" w:sz="0" w:space="0" w:color="auto"/>
        <w:right w:val="none" w:sz="0" w:space="0" w:color="auto"/>
      </w:divBdr>
    </w:div>
    <w:div w:id="1628510485">
      <w:bodyDiv w:val="1"/>
      <w:marLeft w:val="0"/>
      <w:marRight w:val="0"/>
      <w:marTop w:val="0"/>
      <w:marBottom w:val="0"/>
      <w:divBdr>
        <w:top w:val="none" w:sz="0" w:space="0" w:color="auto"/>
        <w:left w:val="none" w:sz="0" w:space="0" w:color="auto"/>
        <w:bottom w:val="none" w:sz="0" w:space="0" w:color="auto"/>
        <w:right w:val="none" w:sz="0" w:space="0" w:color="auto"/>
      </w:divBdr>
    </w:div>
    <w:div w:id="1664620620">
      <w:bodyDiv w:val="1"/>
      <w:marLeft w:val="0"/>
      <w:marRight w:val="0"/>
      <w:marTop w:val="0"/>
      <w:marBottom w:val="0"/>
      <w:divBdr>
        <w:top w:val="none" w:sz="0" w:space="0" w:color="auto"/>
        <w:left w:val="none" w:sz="0" w:space="0" w:color="auto"/>
        <w:bottom w:val="none" w:sz="0" w:space="0" w:color="auto"/>
        <w:right w:val="none" w:sz="0" w:space="0" w:color="auto"/>
      </w:divBdr>
      <w:divsChild>
        <w:div w:id="923144266">
          <w:marLeft w:val="547"/>
          <w:marRight w:val="0"/>
          <w:marTop w:val="0"/>
          <w:marBottom w:val="0"/>
          <w:divBdr>
            <w:top w:val="none" w:sz="0" w:space="0" w:color="auto"/>
            <w:left w:val="none" w:sz="0" w:space="0" w:color="auto"/>
            <w:bottom w:val="none" w:sz="0" w:space="0" w:color="auto"/>
            <w:right w:val="none" w:sz="0" w:space="0" w:color="auto"/>
          </w:divBdr>
        </w:div>
      </w:divsChild>
    </w:div>
    <w:div w:id="1754820108">
      <w:bodyDiv w:val="1"/>
      <w:marLeft w:val="0"/>
      <w:marRight w:val="0"/>
      <w:marTop w:val="0"/>
      <w:marBottom w:val="0"/>
      <w:divBdr>
        <w:top w:val="none" w:sz="0" w:space="0" w:color="auto"/>
        <w:left w:val="none" w:sz="0" w:space="0" w:color="auto"/>
        <w:bottom w:val="none" w:sz="0" w:space="0" w:color="auto"/>
        <w:right w:val="none" w:sz="0" w:space="0" w:color="auto"/>
      </w:divBdr>
    </w:div>
    <w:div w:id="1990473983">
      <w:bodyDiv w:val="1"/>
      <w:marLeft w:val="0"/>
      <w:marRight w:val="0"/>
      <w:marTop w:val="0"/>
      <w:marBottom w:val="0"/>
      <w:divBdr>
        <w:top w:val="none" w:sz="0" w:space="0" w:color="auto"/>
        <w:left w:val="none" w:sz="0" w:space="0" w:color="auto"/>
        <w:bottom w:val="none" w:sz="0" w:space="0" w:color="auto"/>
        <w:right w:val="none" w:sz="0" w:space="0" w:color="auto"/>
      </w:divBdr>
    </w:div>
    <w:div w:id="2116047515">
      <w:bodyDiv w:val="1"/>
      <w:marLeft w:val="0"/>
      <w:marRight w:val="0"/>
      <w:marTop w:val="0"/>
      <w:marBottom w:val="0"/>
      <w:divBdr>
        <w:top w:val="none" w:sz="0" w:space="0" w:color="auto"/>
        <w:left w:val="none" w:sz="0" w:space="0" w:color="auto"/>
        <w:bottom w:val="none" w:sz="0" w:space="0" w:color="auto"/>
        <w:right w:val="none" w:sz="0" w:space="0" w:color="auto"/>
      </w:divBdr>
    </w:div>
    <w:div w:id="2116561542">
      <w:bodyDiv w:val="1"/>
      <w:marLeft w:val="0"/>
      <w:marRight w:val="0"/>
      <w:marTop w:val="0"/>
      <w:marBottom w:val="0"/>
      <w:divBdr>
        <w:top w:val="none" w:sz="0" w:space="0" w:color="auto"/>
        <w:left w:val="none" w:sz="0" w:space="0" w:color="auto"/>
        <w:bottom w:val="none" w:sz="0" w:space="0" w:color="auto"/>
        <w:right w:val="none" w:sz="0" w:space="0" w:color="auto"/>
      </w:divBdr>
    </w:div>
    <w:div w:id="2142846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he.gov/about/sns/Pages/default.aspx" TargetMode="External"/><Relationship Id="rId18" Type="http://schemas.openxmlformats.org/officeDocument/2006/relationships/hyperlink" Target="https://matracking.ehs.state.ma.us/" TargetMode="External"/><Relationship Id="rId26" Type="http://schemas.openxmlformats.org/officeDocument/2006/relationships/hyperlink" Target="http://www.mass.gov/eohhs/gov/departments/dph/programs/id/epidemiology/rdiq/reporting-diseases-and-surveillance-information.html" TargetMode="External"/><Relationship Id="rId39" Type="http://schemas.openxmlformats.org/officeDocument/2006/relationships/hyperlink" Target="http://www.mass.gov/eohhs/docs/dph/emergency-prep/risk-communication/show-me-tool.pdf" TargetMode="External"/><Relationship Id="rId21" Type="http://schemas.openxmlformats.org/officeDocument/2006/relationships/hyperlink" Target="http://www.mass.gov/eohhs/docs/dph/cdc/immunization/mso-emergency-treatment.pdf" TargetMode="External"/><Relationship Id="rId34" Type="http://schemas.openxmlformats.org/officeDocument/2006/relationships/hyperlink" Target="https://www.phe.gov/Preparedness/planning/mscc/handbook/Pages/appendixc.aspx" TargetMode="External"/><Relationship Id="rId42" Type="http://schemas.openxmlformats.org/officeDocument/2006/relationships/hyperlink" Target="https://www.ready.gov/citizen-corps" TargetMode="External"/><Relationship Id="rId47" Type="http://schemas.openxmlformats.org/officeDocument/2006/relationships/hyperlink" Target="http://nationalmasscarestrategy.org/wp-content/uploads/2016/08/FacilityShelterOpenCloseInspectionForm.pdf" TargetMode="External"/><Relationship Id="rId50" Type="http://schemas.openxmlformats.org/officeDocument/2006/relationships/hyperlink" Target="https://matracking.ehs.state.ma.us/" TargetMode="External"/><Relationship Id="rId55" Type="http://schemas.openxmlformats.org/officeDocument/2006/relationships/hyperlink" Target="https://training.fema.gov/is/courseoverview.aspx?code=IS-200.b" TargetMode="External"/><Relationship Id="rId63" Type="http://schemas.openxmlformats.org/officeDocument/2006/relationships/hyperlink" Target="http://sites.bu.edu/masslocalinstitute/training/classroom-trainings/emergency-risk-communication-in-practice/" TargetMode="External"/><Relationship Id="rId68" Type="http://schemas.openxmlformats.org/officeDocument/2006/relationships/hyperlink" Target="http://www.naccho.org/programs/public-health-preparedness/medical-countermeasures" TargetMode="External"/><Relationship Id="rId76" Type="http://schemas.openxmlformats.org/officeDocument/2006/relationships/image" Target="media/image10.jpeg"/><Relationship Id="rId84" Type="http://schemas.openxmlformats.org/officeDocument/2006/relationships/image" Target="media/image15.emf"/><Relationship Id="rId89" Type="http://schemas.openxmlformats.org/officeDocument/2006/relationships/oleObject" Target="embeddings/oleObject5.bin"/><Relationship Id="rId7" Type="http://schemas.openxmlformats.org/officeDocument/2006/relationships/endnotes" Target="endnotes.xml"/><Relationship Id="rId71" Type="http://schemas.openxmlformats.org/officeDocument/2006/relationships/image" Target="media/image6.jpeg"/><Relationship Id="rId92" Type="http://schemas.openxmlformats.org/officeDocument/2006/relationships/image" Target="media/image19.emf"/><Relationship Id="rId2" Type="http://schemas.openxmlformats.org/officeDocument/2006/relationships/numbering" Target="numbering.xml"/><Relationship Id="rId16" Type="http://schemas.openxmlformats.org/officeDocument/2006/relationships/hyperlink" Target="https://factfinder.census.gov/faces/nav/jsf/pages/index.xhtml" TargetMode="External"/><Relationship Id="rId29" Type="http://schemas.openxmlformats.org/officeDocument/2006/relationships/hyperlink" Target="https://www.cdc.gov/nssp/biosense/" TargetMode="External"/><Relationship Id="rId11" Type="http://schemas.openxmlformats.org/officeDocument/2006/relationships/hyperlink" Target="https://www.phe.gov/Preparedness/planning/hpp/reports/Documents/2017-2022-healthcare-pr-capablities.pdf" TargetMode="External"/><Relationship Id="rId24" Type="http://schemas.openxmlformats.org/officeDocument/2006/relationships/header" Target="header1.xml"/><Relationship Id="rId32" Type="http://schemas.openxmlformats.org/officeDocument/2006/relationships/image" Target="media/image3.png"/><Relationship Id="rId37" Type="http://schemas.openxmlformats.org/officeDocument/2006/relationships/hyperlink" Target="http://en.wikipedia.org/wiki/People-first_language" TargetMode="External"/><Relationship Id="rId40" Type="http://schemas.openxmlformats.org/officeDocument/2006/relationships/hyperlink" Target="https://maresponds.org/" TargetMode="External"/><Relationship Id="rId45" Type="http://schemas.openxmlformats.org/officeDocument/2006/relationships/hyperlink" Target="https://vaers.hhs.gov/index" TargetMode="External"/><Relationship Id="rId53" Type="http://schemas.openxmlformats.org/officeDocument/2006/relationships/hyperlink" Target="https://mematraining.chs.state.ma.us/TRS/home.do" TargetMode="External"/><Relationship Id="rId58" Type="http://schemas.openxmlformats.org/officeDocument/2006/relationships/hyperlink" Target="http://sites.bu.edu/masslocalinstitute/2014/11/06/emergency-dispensing-site-management/" TargetMode="External"/><Relationship Id="rId66" Type="http://schemas.openxmlformats.org/officeDocument/2006/relationships/footer" Target="footer4.xml"/><Relationship Id="rId74" Type="http://schemas.openxmlformats.org/officeDocument/2006/relationships/image" Target="media/image9.jpg"/><Relationship Id="rId79" Type="http://schemas.openxmlformats.org/officeDocument/2006/relationships/package" Target="embeddings/Microsoft_Excel_Worksheet.xlsx"/><Relationship Id="rId87" Type="http://schemas.openxmlformats.org/officeDocument/2006/relationships/oleObject" Target="embeddings/oleObject4.bin"/><Relationship Id="rId5" Type="http://schemas.openxmlformats.org/officeDocument/2006/relationships/webSettings" Target="webSettings.xml"/><Relationship Id="rId61" Type="http://schemas.openxmlformats.org/officeDocument/2006/relationships/hyperlink" Target="https://emergency.cdc.gov/cerc/training/panflu/index.asp" TargetMode="External"/><Relationship Id="rId82" Type="http://schemas.openxmlformats.org/officeDocument/2006/relationships/image" Target="media/image14.emf"/><Relationship Id="rId90" Type="http://schemas.openxmlformats.org/officeDocument/2006/relationships/image" Target="media/image18.emf"/><Relationship Id="rId95" Type="http://schemas.openxmlformats.org/officeDocument/2006/relationships/theme" Target="theme/theme1.xml"/><Relationship Id="rId19" Type="http://schemas.openxmlformats.org/officeDocument/2006/relationships/hyperlink" Target="https://www.mass.gov/orgs/office-of-preparedness-and-emergency-management" TargetMode="External"/><Relationship Id="rId14" Type="http://schemas.openxmlformats.org/officeDocument/2006/relationships/hyperlink" Target="https://malegislature.gov/Laws/GeneralLaws/PartI/TitleXVI/Chapter111/Section5A" TargetMode="External"/><Relationship Id="rId22" Type="http://schemas.openxmlformats.org/officeDocument/2006/relationships/image" Target="media/image2.png"/><Relationship Id="rId27" Type="http://schemas.openxmlformats.org/officeDocument/2006/relationships/hyperlink" Target="http://www.mass.gov/eohhs/gov/departments/dph/programs/id/epidemiology/rdiq/public-health-cdc-surveillance-and-reporting.html" TargetMode="External"/><Relationship Id="rId30" Type="http://schemas.openxmlformats.org/officeDocument/2006/relationships/hyperlink" Target="https://www.phe.gov/Preparedness/legal/Pages/phedeclaration.aspx" TargetMode="External"/><Relationship Id="rId35" Type="http://schemas.openxmlformats.org/officeDocument/2006/relationships/hyperlink" Target="https://training.fema.gov/emiweb/is/icsresource/icsforms.htm" TargetMode="External"/><Relationship Id="rId43" Type="http://schemas.openxmlformats.org/officeDocument/2006/relationships/hyperlink" Target="http://www2.isye.gatech.edu/medicalor/realopt/research.php" TargetMode="External"/><Relationship Id="rId48" Type="http://schemas.openxmlformats.org/officeDocument/2006/relationships/footer" Target="footer3.xml"/><Relationship Id="rId56" Type="http://schemas.openxmlformats.org/officeDocument/2006/relationships/hyperlink" Target="https://training.fema.gov/is/courseoverview.aspx?code=IS-700.a" TargetMode="External"/><Relationship Id="rId64" Type="http://schemas.openxmlformats.org/officeDocument/2006/relationships/hyperlink" Target="https://training.fema.gov/programs/pio/" TargetMode="External"/><Relationship Id="rId69" Type="http://schemas.openxmlformats.org/officeDocument/2006/relationships/image" Target="media/image4.jpeg"/><Relationship Id="rId77" Type="http://schemas.openxmlformats.org/officeDocument/2006/relationships/image" Target="media/image11.jpeg"/><Relationship Id="rId8" Type="http://schemas.openxmlformats.org/officeDocument/2006/relationships/image" Target="media/image1.jpeg"/><Relationship Id="rId51" Type="http://schemas.openxmlformats.org/officeDocument/2006/relationships/hyperlink" Target="https://www.maresponds.org/" TargetMode="External"/><Relationship Id="rId72" Type="http://schemas.openxmlformats.org/officeDocument/2006/relationships/image" Target="media/image7.jpg"/><Relationship Id="rId80" Type="http://schemas.openxmlformats.org/officeDocument/2006/relationships/image" Target="media/image13.emf"/><Relationship Id="rId85" Type="http://schemas.openxmlformats.org/officeDocument/2006/relationships/oleObject" Target="embeddings/oleObject3.bin"/><Relationship Id="rId93" Type="http://schemas.openxmlformats.org/officeDocument/2006/relationships/oleObject" Target="embeddings/oleObject7.bin"/><Relationship Id="rId3" Type="http://schemas.openxmlformats.org/officeDocument/2006/relationships/styles" Target="styles.xml"/><Relationship Id="rId12" Type="http://schemas.openxmlformats.org/officeDocument/2006/relationships/hyperlink" Target="http://www.mass.gov/eohhs/gov/departments/dph/programs/emergency-prep/health-medical-coord-coalitions.html" TargetMode="External"/><Relationship Id="rId17" Type="http://schemas.openxmlformats.org/officeDocument/2006/relationships/hyperlink" Target="https://factfinder.census.gov/faces/nav/jsf/pages/index.xhtml" TargetMode="External"/><Relationship Id="rId25" Type="http://schemas.openxmlformats.org/officeDocument/2006/relationships/footer" Target="footer1.xml"/><Relationship Id="rId33" Type="http://schemas.openxmlformats.org/officeDocument/2006/relationships/hyperlink" Target="http://www.mass.gov/eohhs/gov/departments/dph/programs/emergency-prep/health-and-homeland-alert-network.html" TargetMode="External"/><Relationship Id="rId38" Type="http://schemas.openxmlformats.org/officeDocument/2006/relationships/hyperlink" Target="http://www.mass.gov/eohhs/gov/departments/mcdhh/" TargetMode="External"/><Relationship Id="rId46" Type="http://schemas.openxmlformats.org/officeDocument/2006/relationships/footer" Target="footer2.xml"/><Relationship Id="rId59" Type="http://schemas.openxmlformats.org/officeDocument/2006/relationships/hyperlink" Target="https://training.fema.gov/is/courseoverview.aspx?code=IS-702.a" TargetMode="External"/><Relationship Id="rId67" Type="http://schemas.openxmlformats.org/officeDocument/2006/relationships/footer" Target="footer5.xml"/><Relationship Id="rId20" Type="http://schemas.openxmlformats.org/officeDocument/2006/relationships/hyperlink" Target="http://www.mass.gov/eohhs/docs/dph/emergency-prep/risk-communication/show-me-tool.pdf" TargetMode="External"/><Relationship Id="rId41" Type="http://schemas.openxmlformats.org/officeDocument/2006/relationships/hyperlink" Target="http://www.mamedicalreservecorps.org/" TargetMode="External"/><Relationship Id="rId54" Type="http://schemas.openxmlformats.org/officeDocument/2006/relationships/hyperlink" Target="https://training.fema.gov/is/courseoverview.aspx?code=IS-100.b" TargetMode="External"/><Relationship Id="rId62" Type="http://schemas.openxmlformats.org/officeDocument/2006/relationships/hyperlink" Target="http://sites.bu.edu/masslocalinstitute/2012/09/21/emergency-risk-communication-for-public-health-professionals/" TargetMode="External"/><Relationship Id="rId70" Type="http://schemas.openxmlformats.org/officeDocument/2006/relationships/image" Target="media/image5.jpeg"/><Relationship Id="rId75" Type="http://schemas.openxmlformats.org/officeDocument/2006/relationships/footer" Target="footer6.xml"/><Relationship Id="rId83" Type="http://schemas.openxmlformats.org/officeDocument/2006/relationships/oleObject" Target="embeddings/oleObject2.bin"/><Relationship Id="rId88" Type="http://schemas.openxmlformats.org/officeDocument/2006/relationships/image" Target="media/image17.emf"/><Relationship Id="rId91"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dispenseassist.net/default.html" TargetMode="External"/><Relationship Id="rId23" Type="http://schemas.openxmlformats.org/officeDocument/2006/relationships/hyperlink" Target="https://www.fda.gov/downloads/Drugs/EmergencyPreparedness/BioterrorismandDrugPreparedness/UCM131001.pdf" TargetMode="External"/><Relationship Id="rId28" Type="http://schemas.openxmlformats.org/officeDocument/2006/relationships/hyperlink" Target="http://www.maventrainingsite.com/maven-help/EvalTraining_2014/EvalTrainingTool_2014/index.html" TargetMode="External"/><Relationship Id="rId36" Type="http://schemas.openxmlformats.org/officeDocument/2006/relationships/hyperlink" Target="https://www.dhs.gov/government-emergency-telecommunications-service-gets" TargetMode="External"/><Relationship Id="rId49" Type="http://schemas.openxmlformats.org/officeDocument/2006/relationships/hyperlink" Target="https://www.fema.gov/pdf/about/divisions/npd/CPG_101_V2.pdf" TargetMode="External"/><Relationship Id="rId57" Type="http://schemas.openxmlformats.org/officeDocument/2006/relationships/hyperlink" Target="https://training.fema.gov/is/courseoverview.aspx?code=IS-800.b" TargetMode="External"/><Relationship Id="rId10" Type="http://schemas.openxmlformats.org/officeDocument/2006/relationships/hyperlink" Target="https://www.cdc.gov/phpr/capabilities/" TargetMode="External"/><Relationship Id="rId31" Type="http://schemas.openxmlformats.org/officeDocument/2006/relationships/hyperlink" Target="http://www.who.int/csr/disease/swineflu/phase/en/" TargetMode="External"/><Relationship Id="rId44" Type="http://schemas.openxmlformats.org/officeDocument/2006/relationships/hyperlink" Target="https://www.cdc.gov/vaccines/hcp/admin/storage/toolkit/index.html" TargetMode="External"/><Relationship Id="rId52" Type="http://schemas.openxmlformats.org/officeDocument/2006/relationships/hyperlink" Target="https://preptoolkit.fema.gov/web/hseep-resources" TargetMode="External"/><Relationship Id="rId60" Type="http://schemas.openxmlformats.org/officeDocument/2006/relationships/hyperlink" Target="https://emergency.cdc.gov/cerc/training/basic/index.asp" TargetMode="External"/><Relationship Id="rId65" Type="http://schemas.openxmlformats.org/officeDocument/2006/relationships/hyperlink" Target="https://www.cdc.gov/phpr/capabilities/" TargetMode="External"/><Relationship Id="rId73" Type="http://schemas.openxmlformats.org/officeDocument/2006/relationships/image" Target="media/image8.png"/><Relationship Id="rId78" Type="http://schemas.openxmlformats.org/officeDocument/2006/relationships/image" Target="media/image12.emf"/><Relationship Id="rId81" Type="http://schemas.openxmlformats.org/officeDocument/2006/relationships/oleObject" Target="embeddings/oleObject1.bin"/><Relationship Id="rId86" Type="http://schemas.openxmlformats.org/officeDocument/2006/relationships/image" Target="media/image16.emf"/><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da.gov/EmergencyPreparedness/Counterterrorism/MedicalCountermeasures/AboutMCMi/ucm431268.htm"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mass.gov/eohhs/gov/departments/dph/programs/id/epidemiology/rdiq/reporting-diseases-and-surveillance-information.html" TargetMode="External"/><Relationship Id="rId18" Type="http://schemas.openxmlformats.org/officeDocument/2006/relationships/hyperlink" Target="http://www.who.int/csr/disease/swineflu/phase/en/" TargetMode="External"/><Relationship Id="rId26" Type="http://schemas.openxmlformats.org/officeDocument/2006/relationships/hyperlink" Target="https://maresponds.org/" TargetMode="External"/><Relationship Id="rId39" Type="http://schemas.openxmlformats.org/officeDocument/2006/relationships/hyperlink" Target="https://training.fema.gov/is/courseoverview.aspx?code=IS-100.b" TargetMode="External"/><Relationship Id="rId3" Type="http://schemas.openxmlformats.org/officeDocument/2006/relationships/hyperlink" Target="https://www.phe.gov/Preparedness/planning/hpp/reports/Documents/2017-2022-healthcare-pr-capablities.pdf" TargetMode="External"/><Relationship Id="rId21" Type="http://schemas.openxmlformats.org/officeDocument/2006/relationships/hyperlink" Target="https://training.fema.gov/emiweb/is/icsresource/icsforms.htm" TargetMode="External"/><Relationship Id="rId34" Type="http://schemas.openxmlformats.org/officeDocument/2006/relationships/hyperlink" Target="https://www.fema.gov/pdf/about/divisions/npd/CPG_101_V2.pdf" TargetMode="External"/><Relationship Id="rId42" Type="http://schemas.openxmlformats.org/officeDocument/2006/relationships/hyperlink" Target="https://training.fema.gov/is/courseoverview.aspx?code=IS-800.b" TargetMode="External"/><Relationship Id="rId47" Type="http://schemas.openxmlformats.org/officeDocument/2006/relationships/hyperlink" Target="http://sites.bu.edu/masslocalinstitute/2012/09/21/emergency-risk-communication-for-public-health-professionals/" TargetMode="External"/><Relationship Id="rId50" Type="http://schemas.openxmlformats.org/officeDocument/2006/relationships/hyperlink" Target="https://www.cdc.gov/phpr/readiness/capabilities.htm" TargetMode="External"/><Relationship Id="rId7" Type="http://schemas.openxmlformats.org/officeDocument/2006/relationships/hyperlink" Target="http://www.dispenseassist.net/default.html" TargetMode="External"/><Relationship Id="rId12" Type="http://schemas.openxmlformats.org/officeDocument/2006/relationships/hyperlink" Target="https://www.fda.gov/downloads/Drugs/EmergencyPreparedness/BioterrorismandDrugPreparedness/UCM131001.pdf" TargetMode="External"/><Relationship Id="rId17" Type="http://schemas.openxmlformats.org/officeDocument/2006/relationships/hyperlink" Target="https://www.phe.gov/Preparedness/legal/Pages/phedeclaration.aspx" TargetMode="External"/><Relationship Id="rId25" Type="http://schemas.openxmlformats.org/officeDocument/2006/relationships/hyperlink" Target="http://www.mass.gov/eohhs/docs/dph/emergency-prep/risk-communication/show-me-tool.pdf" TargetMode="External"/><Relationship Id="rId33" Type="http://schemas.openxmlformats.org/officeDocument/2006/relationships/hyperlink" Target="https://www.cdc.gov/cpr/readiness/00_docs/capability1.pdf" TargetMode="External"/><Relationship Id="rId38" Type="http://schemas.openxmlformats.org/officeDocument/2006/relationships/hyperlink" Target="https://mematraining.chs.state.ma.us/TRS/home.do" TargetMode="External"/><Relationship Id="rId46" Type="http://schemas.openxmlformats.org/officeDocument/2006/relationships/hyperlink" Target="https://emergency.cdc.gov/cerc/training/panflu/index.asp" TargetMode="External"/><Relationship Id="rId2" Type="http://schemas.openxmlformats.org/officeDocument/2006/relationships/hyperlink" Target="https://www.cdc.gov/phpr/readiness/capabilities.htm" TargetMode="External"/><Relationship Id="rId16" Type="http://schemas.openxmlformats.org/officeDocument/2006/relationships/hyperlink" Target="https://www.cdc.gov/nssp/biosense/" TargetMode="External"/><Relationship Id="rId20" Type="http://schemas.openxmlformats.org/officeDocument/2006/relationships/hyperlink" Target="https://www.phe.gov/Preparedness/planning/mscc/handbook/Pages/appendixc.aspx" TargetMode="External"/><Relationship Id="rId29" Type="http://schemas.openxmlformats.org/officeDocument/2006/relationships/hyperlink" Target="http://www2.isye.gatech.edu/medicalor/realopt/research.php" TargetMode="External"/><Relationship Id="rId41" Type="http://schemas.openxmlformats.org/officeDocument/2006/relationships/hyperlink" Target="https://training.fema.gov/is/courseoverview.aspx?code=IS-700.a" TargetMode="External"/><Relationship Id="rId1" Type="http://schemas.openxmlformats.org/officeDocument/2006/relationships/hyperlink" Target="https://www.fda.gov/emergency-preparedness-and-response/about-mcmi/what-are-medical-countermeasures" TargetMode="External"/><Relationship Id="rId6" Type="http://schemas.openxmlformats.org/officeDocument/2006/relationships/hyperlink" Target="https://malegislature.gov/Laws/GeneralLaws/PartI/TitleXVI/Chapter111/Section5A" TargetMode="External"/><Relationship Id="rId11" Type="http://schemas.openxmlformats.org/officeDocument/2006/relationships/hyperlink" Target="http://www.mass.gov/eohhs/docs/dph/cdc/immunization/mso-emergency-treatment.pdf" TargetMode="External"/><Relationship Id="rId24" Type="http://schemas.openxmlformats.org/officeDocument/2006/relationships/hyperlink" Target="http://www.mass.gov/eohhs/gov/departments/mcdhh/" TargetMode="External"/><Relationship Id="rId32" Type="http://schemas.openxmlformats.org/officeDocument/2006/relationships/hyperlink" Target="http://nationalmasscarestrategy.org/wp-content/uploads/2016/08/FacilityShelterOpenCloseInspectionForm.pdf" TargetMode="External"/><Relationship Id="rId37" Type="http://schemas.openxmlformats.org/officeDocument/2006/relationships/hyperlink" Target="https://preptoolkit.fema.gov/web/hseep-resources" TargetMode="External"/><Relationship Id="rId40" Type="http://schemas.openxmlformats.org/officeDocument/2006/relationships/hyperlink" Target="https://training.fema.gov/is/courseoverview.aspx?code=IS-200.b" TargetMode="External"/><Relationship Id="rId45" Type="http://schemas.openxmlformats.org/officeDocument/2006/relationships/hyperlink" Target="https://emergency.cdc.gov/cerc/training/basic/index.asp" TargetMode="External"/><Relationship Id="rId5" Type="http://schemas.openxmlformats.org/officeDocument/2006/relationships/hyperlink" Target="https://www.phe.gov/about/sns/Pages/default.aspx" TargetMode="External"/><Relationship Id="rId15" Type="http://schemas.openxmlformats.org/officeDocument/2006/relationships/hyperlink" Target="http://www.maventrainingsite.com/maven-help/EvalTraining_2014/EvalTrainingTool_2014/index.html" TargetMode="External"/><Relationship Id="rId23" Type="http://schemas.openxmlformats.org/officeDocument/2006/relationships/hyperlink" Target="http://en.wikipedia.org/wiki/People-first_language" TargetMode="External"/><Relationship Id="rId28" Type="http://schemas.openxmlformats.org/officeDocument/2006/relationships/hyperlink" Target="https://www.ready.gov/citizen-corps" TargetMode="External"/><Relationship Id="rId36" Type="http://schemas.openxmlformats.org/officeDocument/2006/relationships/hyperlink" Target="https://www.maresponds.org/" TargetMode="External"/><Relationship Id="rId49" Type="http://schemas.openxmlformats.org/officeDocument/2006/relationships/hyperlink" Target="https://training.fema.gov/programs/pio/" TargetMode="External"/><Relationship Id="rId10" Type="http://schemas.openxmlformats.org/officeDocument/2006/relationships/hyperlink" Target="http://www.mass.gov/eohhs/docs/dph/emergency-prep/risk-communication/show-me-tool.pdf" TargetMode="External"/><Relationship Id="rId19" Type="http://schemas.openxmlformats.org/officeDocument/2006/relationships/hyperlink" Target="http://www.mass.gov/eohhs/gov/departments/dph/programs/emergency-prep/health-and-homeland-alert-network.html" TargetMode="External"/><Relationship Id="rId31" Type="http://schemas.openxmlformats.org/officeDocument/2006/relationships/hyperlink" Target="https://vaers.hhs.gov/index.html" TargetMode="External"/><Relationship Id="rId44" Type="http://schemas.openxmlformats.org/officeDocument/2006/relationships/hyperlink" Target="https://training.fema.gov/is/courseoverview.aspx?code=IS-702.a" TargetMode="External"/><Relationship Id="rId4" Type="http://schemas.openxmlformats.org/officeDocument/2006/relationships/hyperlink" Target="http://www.mass.gov/eohhs/gov/departments/dph/programs/emergency-prep/health-medical-coord-coalitions.html" TargetMode="External"/><Relationship Id="rId9" Type="http://schemas.openxmlformats.org/officeDocument/2006/relationships/hyperlink" Target="https://factfinder.census.gov/faces/nav/jsf/pages/index.xhtml" TargetMode="External"/><Relationship Id="rId14" Type="http://schemas.openxmlformats.org/officeDocument/2006/relationships/hyperlink" Target="http://www.mass.gov/eohhs/gov/departments/dph/programs/id/epidemiology/rdiq/public-health-cdc-surveillance-and-reporting.html" TargetMode="External"/><Relationship Id="rId22" Type="http://schemas.openxmlformats.org/officeDocument/2006/relationships/hyperlink" Target="https://www.dhs.gov/government-emergency-telecommunications-service-gets" TargetMode="External"/><Relationship Id="rId27" Type="http://schemas.openxmlformats.org/officeDocument/2006/relationships/hyperlink" Target="http://www.mamedicalreservecorps.org" TargetMode="External"/><Relationship Id="rId30" Type="http://schemas.openxmlformats.org/officeDocument/2006/relationships/hyperlink" Target="https://www.cdc.gov/vaccines/hcp/admin/storage/toolkit/index.html" TargetMode="External"/><Relationship Id="rId35" Type="http://schemas.openxmlformats.org/officeDocument/2006/relationships/hyperlink" Target="https://matracking.ehs.state.ma.us/" TargetMode="External"/><Relationship Id="rId43" Type="http://schemas.openxmlformats.org/officeDocument/2006/relationships/hyperlink" Target="http://sites.bu.edu/masslocalinstitute/2014/11/06/emergency-dispensing-site-management/" TargetMode="External"/><Relationship Id="rId48" Type="http://schemas.openxmlformats.org/officeDocument/2006/relationships/hyperlink" Target="http://sites.bu.edu/masslocalinstitute/training/classroom-trainings/emergency-risk-communication-in-practice/" TargetMode="External"/><Relationship Id="rId8" Type="http://schemas.openxmlformats.org/officeDocument/2006/relationships/hyperlink" Target="https://factfinder.census.gov/faces/nav/jsf/pages/index.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27BF68-5EFD-4DCD-BD13-3D1A73760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27338</Words>
  <Characters>155828</Characters>
  <Application>Microsoft Office Word</Application>
  <DocSecurity>0</DocSecurity>
  <Lines>1298</Lines>
  <Paragraphs>365</Paragraphs>
  <ScaleCrop>false</ScaleCrop>
  <HeadingPairs>
    <vt:vector size="2" baseType="variant">
      <vt:variant>
        <vt:lpstr>Title</vt:lpstr>
      </vt:variant>
      <vt:variant>
        <vt:i4>1</vt:i4>
      </vt:variant>
    </vt:vector>
  </HeadingPairs>
  <TitlesOfParts>
    <vt:vector size="1" baseType="lpstr">
      <vt:lpstr/>
    </vt:vector>
  </TitlesOfParts>
  <Company>Unum</Company>
  <LinksUpToDate>false</LinksUpToDate>
  <CharactersWithSpaces>182801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Allen</dc:creator>
  <cp:lastModifiedBy>Woo, Karl (EHS)</cp:lastModifiedBy>
  <cp:revision>3</cp:revision>
  <cp:lastPrinted>2019-06-12T15:40:00Z</cp:lastPrinted>
  <dcterms:created xsi:type="dcterms:W3CDTF">2019-08-01T20:09:00Z</dcterms:created>
  <dcterms:modified xsi:type="dcterms:W3CDTF">2019-08-05T13:48:00Z</dcterms:modified>
</cp:coreProperties>
</file>