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023484" y="1359027"/>
                            <a:ext cx="121285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2017</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7911;top:2140;width:1910;height:180" type="#_x0000_t202" id="docshape5"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2017</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v:textbox>
                  <v:stroke dashstyle="solid"/>
                  <w10:wrap type="none"/>
                </v:shape>
              </v:group>
            </w:pict>
          </mc:Fallback>
        </mc:AlternateContent>
      </w:r>
      <w:r>
        <w:rPr>
          <w:rFonts w:ascii="Times New Roman"/>
          <w:sz w:val="20"/>
        </w:rPr>
      </w:r>
    </w:p>
    <w:p>
      <w:pPr>
        <w:pStyle w:val="Heading1"/>
        <w:spacing w:before="109"/>
      </w:pPr>
      <w:r>
        <w:rPr/>
        <w:t>Enhancement</w:t>
      </w:r>
      <w:r>
        <w:rPr>
          <w:spacing w:val="-5"/>
        </w:rPr>
        <w:t> </w:t>
      </w:r>
      <w:r>
        <w:rPr/>
        <w:t>of</w:t>
      </w:r>
      <w:r>
        <w:rPr>
          <w:spacing w:val="-5"/>
        </w:rPr>
        <w:t> </w:t>
      </w:r>
      <w:r>
        <w:rPr/>
        <w:t>Opioid</w:t>
      </w:r>
      <w:r>
        <w:rPr>
          <w:spacing w:val="-6"/>
        </w:rPr>
        <w:t> </w:t>
      </w:r>
      <w:r>
        <w:rPr/>
        <w:t>Overdose</w:t>
      </w:r>
      <w:r>
        <w:rPr>
          <w:spacing w:val="-4"/>
        </w:rPr>
        <w:t> </w:t>
      </w:r>
      <w:r>
        <w:rPr>
          <w:spacing w:val="-2"/>
        </w:rPr>
        <w:t>Surveillance</w:t>
      </w:r>
    </w:p>
    <w:p>
      <w:pPr>
        <w:pStyle w:val="BodyText"/>
        <w:ind w:left="371" w:right="409"/>
      </w:pPr>
      <w:r>
        <w:rPr/>
        <w:t>MATRIS, the Massachusetts Ambulance Trip Reporting Information System, is a statewide database for collecting</w:t>
      </w:r>
      <w:r>
        <w:rPr>
          <w:spacing w:val="-2"/>
        </w:rPr>
        <w:t> </w:t>
      </w:r>
      <w:r>
        <w:rPr/>
        <w:t>emergency</w:t>
      </w:r>
      <w:r>
        <w:rPr>
          <w:spacing w:val="-3"/>
        </w:rPr>
        <w:t> </w:t>
      </w:r>
      <w:r>
        <w:rPr/>
        <w:t>medical</w:t>
      </w:r>
      <w:r>
        <w:rPr>
          <w:spacing w:val="-2"/>
        </w:rPr>
        <w:t> </w:t>
      </w:r>
      <w:r>
        <w:rPr/>
        <w:t>service</w:t>
      </w:r>
      <w:r>
        <w:rPr>
          <w:spacing w:val="-3"/>
        </w:rPr>
        <w:t> </w:t>
      </w:r>
      <w:r>
        <w:rPr/>
        <w:t>data</w:t>
      </w:r>
      <w:r>
        <w:rPr>
          <w:spacing w:val="-2"/>
        </w:rPr>
        <w:t> </w:t>
      </w:r>
      <w:r>
        <w:rPr/>
        <w:t>from</w:t>
      </w:r>
      <w:r>
        <w:rPr>
          <w:spacing w:val="-1"/>
        </w:rPr>
        <w:t> </w:t>
      </w:r>
      <w:r>
        <w:rPr/>
        <w:t>licensed</w:t>
      </w:r>
      <w:r>
        <w:rPr>
          <w:spacing w:val="-2"/>
        </w:rPr>
        <w:t> </w:t>
      </w:r>
      <w:r>
        <w:rPr/>
        <w:t>ambulance</w:t>
      </w:r>
      <w:r>
        <w:rPr>
          <w:spacing w:val="-2"/>
        </w:rPr>
        <w:t> </w:t>
      </w:r>
      <w:r>
        <w:rPr/>
        <w:t>services.</w:t>
      </w:r>
      <w:r>
        <w:rPr>
          <w:spacing w:val="40"/>
        </w:rPr>
        <w:t> </w:t>
      </w:r>
      <w:r>
        <w:rPr/>
        <w:t>It</w:t>
      </w:r>
      <w:r>
        <w:rPr>
          <w:spacing w:val="-6"/>
        </w:rPr>
        <w:t> </w:t>
      </w:r>
      <w:r>
        <w:rPr/>
        <w:t>was</w:t>
      </w:r>
      <w:r>
        <w:rPr>
          <w:spacing w:val="-2"/>
        </w:rPr>
        <w:t> </w:t>
      </w:r>
      <w:r>
        <w:rPr/>
        <w:t>not</w:t>
      </w:r>
      <w:r>
        <w:rPr>
          <w:spacing w:val="-2"/>
        </w:rPr>
        <w:t> </w:t>
      </w:r>
      <w:r>
        <w:rPr/>
        <w:t>specifically</w:t>
      </w:r>
      <w:r>
        <w:rPr>
          <w:spacing w:val="-3"/>
        </w:rPr>
        <w:t> </w:t>
      </w:r>
      <w:r>
        <w:rPr/>
        <w:t>designed to track opioid overdose incidents. DPH is currently working with all Emergency Medical Services (EMS) providers to improve 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w:t>
      </w:r>
      <w:r>
        <w:rPr>
          <w:spacing w:val="-5"/>
        </w:rPr>
        <w:t> </w:t>
      </w:r>
      <w:r>
        <w:rPr/>
        <w:t>of</w:t>
      </w:r>
      <w:r>
        <w:rPr>
          <w:spacing w:val="-2"/>
        </w:rPr>
        <w:t> </w:t>
      </w:r>
      <w:r>
        <w:rPr/>
        <w:t>naloxone,</w:t>
      </w:r>
      <w:r>
        <w:rPr>
          <w:spacing w:val="-2"/>
        </w:rPr>
        <w:t> </w:t>
      </w:r>
      <w:r>
        <w:rPr/>
        <w:t>or</w:t>
      </w:r>
      <w:r>
        <w:rPr>
          <w:spacing w:val="-4"/>
        </w:rPr>
        <w:t> </w:t>
      </w:r>
      <w:r>
        <w:rPr/>
        <w:t>that</w:t>
      </w:r>
      <w:r>
        <w:rPr>
          <w:spacing w:val="-2"/>
        </w:rPr>
        <w:t> </w:t>
      </w:r>
      <w:r>
        <w:rPr/>
        <w:t>the</w:t>
      </w:r>
      <w:r>
        <w:rPr>
          <w:spacing w:val="-2"/>
        </w:rPr>
        <w:t> </w:t>
      </w:r>
      <w:r>
        <w:rPr/>
        <w:t>patient</w:t>
      </w:r>
      <w:r>
        <w:rPr>
          <w:spacing w:val="-2"/>
        </w:rPr>
        <w:t> </w:t>
      </w:r>
      <w:r>
        <w:rPr/>
        <w:t>admitted</w:t>
      </w:r>
      <w:r>
        <w:rPr>
          <w:spacing w:val="-2"/>
        </w:rPr>
        <w:t> </w:t>
      </w:r>
      <w:r>
        <w:rPr/>
        <w:t>to</w:t>
      </w:r>
      <w:r>
        <w:rPr>
          <w:spacing w:val="-2"/>
        </w:rPr>
        <w:t> </w:t>
      </w:r>
      <w:r>
        <w:rPr/>
        <w:t>drug</w:t>
      </w:r>
      <w:r>
        <w:rPr>
          <w:spacing w:val="-3"/>
        </w:rPr>
        <w:t> </w:t>
      </w:r>
      <w:r>
        <w:rPr/>
        <w:t>use.</w:t>
      </w:r>
      <w:r>
        <w:rPr>
          <w:spacing w:val="40"/>
        </w:rPr>
        <w:t> </w:t>
      </w:r>
      <w:r>
        <w:rPr/>
        <w:t>In</w:t>
      </w:r>
      <w:r>
        <w:rPr>
          <w:spacing w:val="-6"/>
        </w:rPr>
        <w:t> </w:t>
      </w:r>
      <w:r>
        <w:rPr/>
        <w:t>combination,</w:t>
      </w:r>
      <w:r>
        <w:rPr>
          <w:spacing w:val="-2"/>
        </w:rPr>
        <w:t> </w:t>
      </w:r>
      <w:r>
        <w:rPr/>
        <w:t>this</w:t>
      </w:r>
      <w:r>
        <w:rPr>
          <w:spacing w:val="-5"/>
        </w:rPr>
        <w:t> </w:t>
      </w:r>
      <w:r>
        <w:rPr/>
        <w:t>information</w:t>
      </w:r>
      <w:r>
        <w:rPr>
          <w:spacing w:val="-3"/>
        </w:rPr>
        <w:t> </w:t>
      </w:r>
      <w:r>
        <w:rPr/>
        <w:t>allows DPH to more accurately count opioid overdose incidents. Data for Boston came from applying this algorithm to</w:t>
      </w:r>
      <w:r>
        <w:rPr>
          <w:spacing w:val="-2"/>
        </w:rPr>
        <w:t> </w:t>
      </w:r>
      <w:r>
        <w:rPr/>
        <w:t>events</w:t>
      </w:r>
      <w:r>
        <w:rPr>
          <w:spacing w:val="-1"/>
        </w:rPr>
        <w:t> </w:t>
      </w:r>
      <w:r>
        <w:rPr/>
        <w:t>identified</w:t>
      </w:r>
      <w:r>
        <w:rPr>
          <w:spacing w:val="-1"/>
        </w:rPr>
        <w:t> </w:t>
      </w:r>
      <w:r>
        <w:rPr/>
        <w:t>by</w:t>
      </w:r>
      <w:r>
        <w:rPr>
          <w:spacing w:val="-3"/>
        </w:rPr>
        <w:t> </w:t>
      </w:r>
      <w:r>
        <w:rPr/>
        <w:t>Boston</w:t>
      </w:r>
      <w:r>
        <w:rPr>
          <w:spacing w:val="-2"/>
        </w:rPr>
        <w:t> </w:t>
      </w:r>
      <w:r>
        <w:rPr/>
        <w:t>EMS</w:t>
      </w:r>
      <w:r>
        <w:rPr>
          <w:spacing w:val="-1"/>
        </w:rPr>
        <w:t> </w:t>
      </w:r>
      <w:r>
        <w:rPr/>
        <w:t>as</w:t>
      </w:r>
      <w:r>
        <w:rPr>
          <w:spacing w:val="-3"/>
        </w:rPr>
        <w:t> </w:t>
      </w:r>
      <w:r>
        <w:rPr/>
        <w:t>“Narcotic</w:t>
      </w:r>
      <w:r>
        <w:rPr>
          <w:spacing w:val="-4"/>
        </w:rPr>
        <w:t> </w:t>
      </w:r>
      <w:r>
        <w:rPr/>
        <w:t>Related</w:t>
      </w:r>
      <w:r>
        <w:rPr>
          <w:spacing w:val="-2"/>
        </w:rPr>
        <w:t> </w:t>
      </w:r>
      <w:r>
        <w:rPr/>
        <w:t>Incidents”</w:t>
      </w:r>
      <w:r>
        <w:rPr>
          <w:spacing w:val="-2"/>
        </w:rPr>
        <w:t> </w:t>
      </w:r>
      <w:r>
        <w:rPr/>
        <w:t>(NRI).</w:t>
      </w:r>
      <w:r>
        <w:rPr>
          <w:spacing w:val="40"/>
        </w:rPr>
        <w:t> </w:t>
      </w:r>
      <w:r>
        <w:rPr/>
        <w:t>Not</w:t>
      </w:r>
      <w:r>
        <w:rPr>
          <w:spacing w:val="-1"/>
        </w:rPr>
        <w:t> </w:t>
      </w:r>
      <w:r>
        <w:rPr/>
        <w:t>all</w:t>
      </w:r>
      <w:r>
        <w:rPr>
          <w:spacing w:val="-5"/>
        </w:rPr>
        <w:t> </w:t>
      </w:r>
      <w:r>
        <w:rPr/>
        <w:t>services have</w:t>
      </w:r>
      <w:r>
        <w:rPr>
          <w:spacing w:val="-1"/>
        </w:rPr>
        <w:t> </w:t>
      </w:r>
      <w:r>
        <w:rPr/>
        <w:t>reported</w:t>
      </w:r>
      <w:r>
        <w:rPr>
          <w:spacing w:val="-1"/>
        </w:rPr>
        <w:t> </w:t>
      </w:r>
      <w:r>
        <w:rPr/>
        <w:t>their 2016 Q1-Q3 data yet so the numbers cited here are underestimates.</w:t>
      </w:r>
      <w:r>
        <w:rPr>
          <w:spacing w:val="40"/>
        </w:rPr>
        <w:t> </w:t>
      </w:r>
      <w:r>
        <w:rPr/>
        <w:t>Counts will be updated on a quarterly </w:t>
      </w:r>
      <w:r>
        <w:rPr>
          <w:spacing w:val="-2"/>
        </w:rPr>
        <w:t>basis.</w:t>
      </w:r>
    </w:p>
    <w:p>
      <w:pPr>
        <w:pStyle w:val="BodyText"/>
        <w:spacing w:before="1"/>
      </w:pPr>
    </w:p>
    <w:p>
      <w:pPr>
        <w:pStyle w:val="Heading1"/>
      </w:pPr>
      <w:r>
        <w:rPr>
          <w:spacing w:val="-2"/>
        </w:rPr>
        <w:t>Results</w:t>
      </w:r>
    </w:p>
    <w:p>
      <w:pPr>
        <w:pStyle w:val="BodyText"/>
        <w:rPr>
          <w:b/>
        </w:rPr>
      </w:pPr>
    </w:p>
    <w:p>
      <w:pPr>
        <w:pStyle w:val="BodyText"/>
        <w:spacing w:before="1"/>
        <w:ind w:left="371" w:right="409"/>
      </w:pPr>
      <w:r>
        <w:rPr/>
        <w:t>Since 2013,</w:t>
      </w:r>
      <w:r>
        <w:rPr>
          <w:spacing w:val="-1"/>
        </w:rPr>
        <w:t> </w:t>
      </w:r>
      <w:r>
        <w:rPr/>
        <w:t>there has</w:t>
      </w:r>
      <w:r>
        <w:rPr>
          <w:spacing w:val="-4"/>
        </w:rPr>
        <w:t> </w:t>
      </w:r>
      <w:r>
        <w:rPr/>
        <w:t>been</w:t>
      </w:r>
      <w:r>
        <w:rPr>
          <w:spacing w:val="-5"/>
        </w:rPr>
        <w:t> </w:t>
      </w:r>
      <w:r>
        <w:rPr/>
        <w:t>an</w:t>
      </w:r>
      <w:r>
        <w:rPr>
          <w:spacing w:val="-1"/>
        </w:rPr>
        <w:t> </w:t>
      </w:r>
      <w:r>
        <w:rPr/>
        <w:t>increasing</w:t>
      </w:r>
      <w:r>
        <w:rPr>
          <w:spacing w:val="-2"/>
        </w:rPr>
        <w:t> </w:t>
      </w:r>
      <w:r>
        <w:rPr/>
        <w:t>trend</w:t>
      </w:r>
      <w:r>
        <w:rPr>
          <w:spacing w:val="-3"/>
        </w:rPr>
        <w:t> </w:t>
      </w:r>
      <w:r>
        <w:rPr/>
        <w:t>in</w:t>
      </w:r>
      <w:r>
        <w:rPr>
          <w:spacing w:val="-1"/>
        </w:rPr>
        <w:t> </w:t>
      </w:r>
      <w:r>
        <w:rPr/>
        <w:t>the</w:t>
      </w:r>
      <w:r>
        <w:rPr>
          <w:spacing w:val="-6"/>
        </w:rPr>
        <w:t> </w:t>
      </w:r>
      <w:r>
        <w:rPr/>
        <w:t>percentage</w:t>
      </w:r>
      <w:r>
        <w:rPr>
          <w:spacing w:val="-4"/>
        </w:rPr>
        <w:t> </w:t>
      </w:r>
      <w:r>
        <w:rPr/>
        <w:t>of</w:t>
      </w:r>
      <w:r>
        <w:rPr>
          <w:spacing w:val="-4"/>
        </w:rPr>
        <w:t> </w:t>
      </w:r>
      <w:r>
        <w:rPr/>
        <w:t>EMS</w:t>
      </w:r>
      <w:r>
        <w:rPr>
          <w:spacing w:val="-4"/>
        </w:rPr>
        <w:t> </w:t>
      </w:r>
      <w:r>
        <w:rPr/>
        <w:t>incidents that</w:t>
      </w:r>
      <w:r>
        <w:rPr>
          <w:spacing w:val="-3"/>
        </w:rPr>
        <w:t> </w:t>
      </w:r>
      <w:r>
        <w:rPr/>
        <w:t>are</w:t>
      </w:r>
      <w:r>
        <w:rPr>
          <w:spacing w:val="-3"/>
        </w:rPr>
        <w:t> </w:t>
      </w:r>
      <w:r>
        <w:rPr/>
        <w:t>considered</w:t>
      </w:r>
      <w:r>
        <w:rPr>
          <w:spacing w:val="-4"/>
        </w:rPr>
        <w:t> </w:t>
      </w:r>
      <w:r>
        <w:rPr/>
        <w:t>opioid- related. In the first three quarters of 2016 EMS services reported an opioid-related incident in 280 of the 351 MA cities and towns (80%). Overall, there was a 37% increase in the number of opioid-related EMS transport incidents compared with the first three quarters of 2015.</w:t>
      </w:r>
    </w:p>
    <w:p>
      <w:pPr>
        <w:pStyle w:val="BodyText"/>
        <w:spacing w:before="267"/>
        <w:ind w:left="371" w:right="570"/>
      </w:pPr>
      <w:r>
        <w:rPr/>
        <w:t>In the first three quarters of 2016, the greatest number of suspected opioid overdose incidents was among males</w:t>
      </w:r>
      <w:r>
        <w:rPr>
          <w:spacing w:val="-4"/>
        </w:rPr>
        <w:t> </w:t>
      </w:r>
      <w:r>
        <w:rPr/>
        <w:t>aged</w:t>
      </w:r>
      <w:r>
        <w:rPr>
          <w:spacing w:val="-4"/>
        </w:rPr>
        <w:t> </w:t>
      </w:r>
      <w:r>
        <w:rPr/>
        <w:t>25-34</w:t>
      </w:r>
      <w:r>
        <w:rPr>
          <w:spacing w:val="-2"/>
        </w:rPr>
        <w:t> </w:t>
      </w:r>
      <w:r>
        <w:rPr/>
        <w:t>(25%</w:t>
      </w:r>
      <w:r>
        <w:rPr>
          <w:spacing w:val="-2"/>
        </w:rPr>
        <w:t> </w:t>
      </w:r>
      <w:r>
        <w:rPr/>
        <w:t>of</w:t>
      </w:r>
      <w:r>
        <w:rPr>
          <w:spacing w:val="-3"/>
        </w:rPr>
        <w:t> </w:t>
      </w:r>
      <w:r>
        <w:rPr/>
        <w:t>opioid-related</w:t>
      </w:r>
      <w:r>
        <w:rPr>
          <w:spacing w:val="-2"/>
        </w:rPr>
        <w:t> </w:t>
      </w:r>
      <w:r>
        <w:rPr/>
        <w:t>incidents).</w:t>
      </w:r>
      <w:r>
        <w:rPr>
          <w:spacing w:val="40"/>
        </w:rPr>
        <w:t> </w:t>
      </w:r>
      <w:r>
        <w:rPr/>
        <w:t>There</w:t>
      </w:r>
      <w:r>
        <w:rPr>
          <w:spacing w:val="-1"/>
        </w:rPr>
        <w:t> </w:t>
      </w:r>
      <w:r>
        <w:rPr/>
        <w:t>is</w:t>
      </w:r>
      <w:r>
        <w:rPr>
          <w:spacing w:val="-4"/>
        </w:rPr>
        <w:t> </w:t>
      </w:r>
      <w:r>
        <w:rPr/>
        <w:t>an</w:t>
      </w:r>
      <w:r>
        <w:rPr>
          <w:spacing w:val="-1"/>
        </w:rPr>
        <w:t> </w:t>
      </w:r>
      <w:r>
        <w:rPr/>
        <w:t>increasing</w:t>
      </w:r>
      <w:r>
        <w:rPr>
          <w:spacing w:val="-2"/>
        </w:rPr>
        <w:t> </w:t>
      </w:r>
      <w:r>
        <w:rPr/>
        <w:t>trend</w:t>
      </w:r>
      <w:r>
        <w:rPr>
          <w:spacing w:val="-2"/>
        </w:rPr>
        <w:t> </w:t>
      </w:r>
      <w:r>
        <w:rPr/>
        <w:t>in</w:t>
      </w:r>
      <w:r>
        <w:rPr>
          <w:spacing w:val="-1"/>
        </w:rPr>
        <w:t> </w:t>
      </w:r>
      <w:r>
        <w:rPr/>
        <w:t>the</w:t>
      </w:r>
      <w:r>
        <w:rPr>
          <w:spacing w:val="-1"/>
        </w:rPr>
        <w:t> </w:t>
      </w:r>
      <w:r>
        <w:rPr/>
        <w:t>quantity</w:t>
      </w:r>
      <w:r>
        <w:rPr>
          <w:spacing w:val="-3"/>
        </w:rPr>
        <w:t> </w:t>
      </w:r>
      <w:r>
        <w:rPr/>
        <w:t>of</w:t>
      </w:r>
      <w:r>
        <w:rPr>
          <w:spacing w:val="-1"/>
        </w:rPr>
        <w:t> </w:t>
      </w:r>
      <w:r>
        <w:rPr/>
        <w:t>Naloxone being dispensed during each opioid-related incident.</w:t>
      </w:r>
      <w:r>
        <w:rPr>
          <w:spacing w:val="-1"/>
        </w:rPr>
        <w:t> </w:t>
      </w:r>
      <w:r>
        <w:rPr/>
        <w:t>On average, EMS administered Naloxone 1.4</w:t>
      </w:r>
      <w:r>
        <w:rPr>
          <w:spacing w:val="-1"/>
        </w:rPr>
        <w:t> </w:t>
      </w:r>
      <w:r>
        <w:rPr/>
        <w:t>times per opioid-related incident in the first three quarters of 2016. Almost one third of opioid-related incidents required more than one dose of Naloxone.</w:t>
      </w:r>
    </w:p>
    <w:p>
      <w:pPr>
        <w:pStyle w:val="BodyText"/>
        <w:rPr>
          <w:sz w:val="20"/>
        </w:rPr>
      </w:pPr>
    </w:p>
    <w:p>
      <w:pPr>
        <w:pStyle w:val="BodyText"/>
        <w:spacing w:before="51" w:after="1"/>
        <w:rPr>
          <w:sz w:val="20"/>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3"/>
        <w:gridCol w:w="1209"/>
        <w:gridCol w:w="1116"/>
        <w:gridCol w:w="1115"/>
        <w:gridCol w:w="1115"/>
        <w:gridCol w:w="1115"/>
        <w:gridCol w:w="1068"/>
        <w:gridCol w:w="829"/>
        <w:gridCol w:w="983"/>
      </w:tblGrid>
      <w:tr>
        <w:trPr>
          <w:trHeight w:val="325" w:hRule="atLeast"/>
        </w:trPr>
        <w:tc>
          <w:tcPr>
            <w:tcW w:w="9853"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54"/>
              <w:ind w:left="2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1)</w:t>
            </w:r>
          </w:p>
        </w:tc>
      </w:tr>
      <w:tr>
        <w:trPr>
          <w:trHeight w:val="362" w:hRule="atLeast"/>
        </w:trPr>
        <w:tc>
          <w:tcPr>
            <w:tcW w:w="1303" w:type="dxa"/>
            <w:tcBorders>
              <w:top w:val="double" w:sz="6" w:space="0" w:color="000000"/>
              <w:left w:val="single" w:sz="4" w:space="0" w:color="000000"/>
            </w:tcBorders>
          </w:tcPr>
          <w:p>
            <w:pPr>
              <w:pStyle w:val="TableParagraph"/>
              <w:spacing w:before="0"/>
              <w:ind w:left="0"/>
              <w:jc w:val="left"/>
              <w:rPr>
                <w:rFonts w:ascii="Times New Roman"/>
                <w:sz w:val="22"/>
              </w:rPr>
            </w:pPr>
          </w:p>
        </w:tc>
        <w:tc>
          <w:tcPr>
            <w:tcW w:w="1209" w:type="dxa"/>
            <w:tcBorders>
              <w:top w:val="double" w:sz="6" w:space="0" w:color="000000"/>
            </w:tcBorders>
          </w:tcPr>
          <w:p>
            <w:pPr>
              <w:pStyle w:val="TableParagraph"/>
              <w:spacing w:before="53"/>
              <w:ind w:left="105"/>
              <w:rPr>
                <w:b/>
                <w:sz w:val="22"/>
              </w:rPr>
            </w:pPr>
            <w:r>
              <w:rPr>
                <w:b/>
                <w:spacing w:val="-2"/>
                <w:sz w:val="22"/>
              </w:rPr>
              <w:t>11-</w:t>
            </w:r>
            <w:r>
              <w:rPr>
                <w:b/>
                <w:spacing w:val="-5"/>
                <w:sz w:val="22"/>
              </w:rPr>
              <w:t>14</w:t>
            </w:r>
          </w:p>
        </w:tc>
        <w:tc>
          <w:tcPr>
            <w:tcW w:w="1116" w:type="dxa"/>
            <w:tcBorders>
              <w:top w:val="double" w:sz="6" w:space="0" w:color="000000"/>
            </w:tcBorders>
          </w:tcPr>
          <w:p>
            <w:pPr>
              <w:pStyle w:val="TableParagraph"/>
              <w:spacing w:before="53"/>
              <w:ind w:left="13" w:right="1"/>
              <w:rPr>
                <w:b/>
                <w:sz w:val="22"/>
              </w:rPr>
            </w:pPr>
            <w:r>
              <w:rPr>
                <w:b/>
                <w:spacing w:val="-2"/>
                <w:sz w:val="22"/>
              </w:rPr>
              <w:t>15-</w:t>
            </w:r>
            <w:r>
              <w:rPr>
                <w:b/>
                <w:spacing w:val="-7"/>
                <w:sz w:val="22"/>
              </w:rPr>
              <w:t>24</w:t>
            </w:r>
          </w:p>
        </w:tc>
        <w:tc>
          <w:tcPr>
            <w:tcW w:w="1115" w:type="dxa"/>
            <w:tcBorders>
              <w:top w:val="double" w:sz="6" w:space="0" w:color="000000"/>
            </w:tcBorders>
          </w:tcPr>
          <w:p>
            <w:pPr>
              <w:pStyle w:val="TableParagraph"/>
              <w:spacing w:before="53"/>
              <w:ind w:left="0" w:right="290"/>
              <w:jc w:val="right"/>
              <w:rPr>
                <w:b/>
                <w:sz w:val="22"/>
              </w:rPr>
            </w:pPr>
            <w:r>
              <w:rPr>
                <w:b/>
                <w:spacing w:val="-2"/>
                <w:sz w:val="22"/>
              </w:rPr>
              <w:t>25-</w:t>
            </w:r>
            <w:r>
              <w:rPr>
                <w:b/>
                <w:spacing w:val="-5"/>
                <w:sz w:val="22"/>
              </w:rPr>
              <w:t>34</w:t>
            </w:r>
          </w:p>
        </w:tc>
        <w:tc>
          <w:tcPr>
            <w:tcW w:w="1115" w:type="dxa"/>
            <w:tcBorders>
              <w:top w:val="double" w:sz="6" w:space="0" w:color="000000"/>
            </w:tcBorders>
          </w:tcPr>
          <w:p>
            <w:pPr>
              <w:pStyle w:val="TableParagraph"/>
              <w:spacing w:before="53"/>
              <w:ind w:left="0" w:right="289"/>
              <w:jc w:val="right"/>
              <w:rPr>
                <w:b/>
                <w:sz w:val="22"/>
              </w:rPr>
            </w:pPr>
            <w:r>
              <w:rPr>
                <w:b/>
                <w:spacing w:val="-2"/>
                <w:sz w:val="22"/>
              </w:rPr>
              <w:t>35-</w:t>
            </w:r>
            <w:r>
              <w:rPr>
                <w:b/>
                <w:spacing w:val="-5"/>
                <w:sz w:val="22"/>
              </w:rPr>
              <w:t>44</w:t>
            </w:r>
          </w:p>
        </w:tc>
        <w:tc>
          <w:tcPr>
            <w:tcW w:w="1115" w:type="dxa"/>
            <w:tcBorders>
              <w:top w:val="double" w:sz="6" w:space="0" w:color="000000"/>
            </w:tcBorders>
          </w:tcPr>
          <w:p>
            <w:pPr>
              <w:pStyle w:val="TableParagraph"/>
              <w:spacing w:before="53"/>
              <w:ind w:left="20" w:right="1"/>
              <w:rPr>
                <w:b/>
                <w:sz w:val="22"/>
              </w:rPr>
            </w:pPr>
            <w:r>
              <w:rPr>
                <w:b/>
                <w:spacing w:val="-2"/>
                <w:sz w:val="22"/>
              </w:rPr>
              <w:t>45-</w:t>
            </w:r>
            <w:r>
              <w:rPr>
                <w:b/>
                <w:spacing w:val="-5"/>
                <w:sz w:val="22"/>
              </w:rPr>
              <w:t>54</w:t>
            </w:r>
          </w:p>
        </w:tc>
        <w:tc>
          <w:tcPr>
            <w:tcW w:w="1068" w:type="dxa"/>
            <w:tcBorders>
              <w:top w:val="double" w:sz="6" w:space="0" w:color="000000"/>
            </w:tcBorders>
          </w:tcPr>
          <w:p>
            <w:pPr>
              <w:pStyle w:val="TableParagraph"/>
              <w:spacing w:before="53"/>
              <w:ind w:left="69" w:right="1"/>
              <w:rPr>
                <w:b/>
                <w:sz w:val="22"/>
              </w:rPr>
            </w:pPr>
            <w:r>
              <w:rPr>
                <w:b/>
                <w:spacing w:val="-2"/>
                <w:sz w:val="22"/>
              </w:rPr>
              <w:t>55-</w:t>
            </w:r>
            <w:r>
              <w:rPr>
                <w:b/>
                <w:spacing w:val="-5"/>
                <w:sz w:val="22"/>
              </w:rPr>
              <w:t>64</w:t>
            </w:r>
          </w:p>
        </w:tc>
        <w:tc>
          <w:tcPr>
            <w:tcW w:w="829" w:type="dxa"/>
            <w:tcBorders>
              <w:top w:val="double" w:sz="6" w:space="0" w:color="000000"/>
            </w:tcBorders>
          </w:tcPr>
          <w:p>
            <w:pPr>
              <w:pStyle w:val="TableParagraph"/>
              <w:spacing w:before="53"/>
              <w:ind w:left="37"/>
              <w:rPr>
                <w:b/>
                <w:sz w:val="22"/>
              </w:rPr>
            </w:pPr>
            <w:r>
              <w:rPr>
                <w:b/>
                <w:spacing w:val="-5"/>
                <w:sz w:val="22"/>
              </w:rPr>
              <w:t>65+</w:t>
            </w:r>
          </w:p>
        </w:tc>
        <w:tc>
          <w:tcPr>
            <w:tcW w:w="983" w:type="dxa"/>
            <w:tcBorders>
              <w:top w:val="double" w:sz="6" w:space="0" w:color="000000"/>
              <w:right w:val="single" w:sz="4" w:space="0" w:color="000000"/>
            </w:tcBorders>
          </w:tcPr>
          <w:p>
            <w:pPr>
              <w:pStyle w:val="TableParagraph"/>
              <w:spacing w:before="53"/>
              <w:ind w:left="0"/>
              <w:rPr>
                <w:b/>
                <w:sz w:val="22"/>
              </w:rPr>
            </w:pPr>
            <w:r>
              <w:rPr>
                <w:b/>
                <w:spacing w:val="-2"/>
                <w:sz w:val="22"/>
              </w:rPr>
              <w:t>Total</w:t>
            </w:r>
          </w:p>
        </w:tc>
      </w:tr>
      <w:tr>
        <w:trPr>
          <w:trHeight w:val="309" w:hRule="atLeast"/>
        </w:trPr>
        <w:tc>
          <w:tcPr>
            <w:tcW w:w="1303" w:type="dxa"/>
            <w:tcBorders>
              <w:left w:val="single" w:sz="4" w:space="0" w:color="000000"/>
            </w:tcBorders>
          </w:tcPr>
          <w:p>
            <w:pPr>
              <w:pStyle w:val="TableParagraph"/>
              <w:spacing w:before="0"/>
              <w:ind w:left="107"/>
              <w:jc w:val="left"/>
              <w:rPr>
                <w:sz w:val="22"/>
              </w:rPr>
            </w:pPr>
            <w:r>
              <w:rPr>
                <w:spacing w:val="-4"/>
                <w:sz w:val="22"/>
              </w:rPr>
              <w:t>Male</w:t>
            </w:r>
          </w:p>
        </w:tc>
        <w:tc>
          <w:tcPr>
            <w:tcW w:w="1209" w:type="dxa"/>
          </w:tcPr>
          <w:p>
            <w:pPr>
              <w:pStyle w:val="TableParagraph"/>
              <w:spacing w:before="0"/>
              <w:ind w:left="105" w:right="1"/>
              <w:rPr>
                <w:sz w:val="22"/>
              </w:rPr>
            </w:pPr>
            <w:r>
              <w:rPr>
                <w:spacing w:val="-5"/>
                <w:sz w:val="22"/>
              </w:rPr>
              <w:t>&lt;7</w:t>
            </w:r>
          </w:p>
        </w:tc>
        <w:tc>
          <w:tcPr>
            <w:tcW w:w="1116" w:type="dxa"/>
          </w:tcPr>
          <w:p>
            <w:pPr>
              <w:pStyle w:val="TableParagraph"/>
              <w:spacing w:before="0"/>
              <w:ind w:left="13"/>
              <w:rPr>
                <w:sz w:val="22"/>
              </w:rPr>
            </w:pPr>
            <w:r>
              <w:rPr>
                <w:spacing w:val="-5"/>
                <w:sz w:val="22"/>
              </w:rPr>
              <w:t>384</w:t>
            </w:r>
          </w:p>
        </w:tc>
        <w:tc>
          <w:tcPr>
            <w:tcW w:w="1115" w:type="dxa"/>
          </w:tcPr>
          <w:p>
            <w:pPr>
              <w:pStyle w:val="TableParagraph"/>
              <w:spacing w:before="0"/>
              <w:ind w:left="0" w:right="325"/>
              <w:jc w:val="right"/>
              <w:rPr>
                <w:sz w:val="22"/>
              </w:rPr>
            </w:pPr>
            <w:r>
              <w:rPr>
                <w:spacing w:val="-4"/>
                <w:sz w:val="22"/>
              </w:rPr>
              <w:t>1268</w:t>
            </w:r>
          </w:p>
        </w:tc>
        <w:tc>
          <w:tcPr>
            <w:tcW w:w="1115" w:type="dxa"/>
          </w:tcPr>
          <w:p>
            <w:pPr>
              <w:pStyle w:val="TableParagraph"/>
              <w:spacing w:before="0"/>
              <w:ind w:left="0" w:right="379"/>
              <w:jc w:val="right"/>
              <w:rPr>
                <w:sz w:val="22"/>
              </w:rPr>
            </w:pPr>
            <w:r>
              <w:rPr>
                <w:spacing w:val="-5"/>
                <w:sz w:val="22"/>
              </w:rPr>
              <w:t>767</w:t>
            </w:r>
          </w:p>
        </w:tc>
        <w:tc>
          <w:tcPr>
            <w:tcW w:w="1115" w:type="dxa"/>
          </w:tcPr>
          <w:p>
            <w:pPr>
              <w:pStyle w:val="TableParagraph"/>
              <w:spacing w:before="0"/>
              <w:ind w:left="20"/>
              <w:rPr>
                <w:sz w:val="22"/>
              </w:rPr>
            </w:pPr>
            <w:r>
              <w:rPr>
                <w:spacing w:val="-5"/>
                <w:sz w:val="22"/>
              </w:rPr>
              <w:t>488</w:t>
            </w:r>
          </w:p>
        </w:tc>
        <w:tc>
          <w:tcPr>
            <w:tcW w:w="1068" w:type="dxa"/>
          </w:tcPr>
          <w:p>
            <w:pPr>
              <w:pStyle w:val="TableParagraph"/>
              <w:spacing w:before="0"/>
              <w:ind w:left="69"/>
              <w:rPr>
                <w:sz w:val="22"/>
              </w:rPr>
            </w:pPr>
            <w:r>
              <w:rPr>
                <w:spacing w:val="-5"/>
                <w:sz w:val="22"/>
              </w:rPr>
              <w:t>315</w:t>
            </w:r>
          </w:p>
        </w:tc>
        <w:tc>
          <w:tcPr>
            <w:tcW w:w="829" w:type="dxa"/>
          </w:tcPr>
          <w:p>
            <w:pPr>
              <w:pStyle w:val="TableParagraph"/>
              <w:spacing w:before="0"/>
              <w:ind w:left="37" w:right="2"/>
              <w:rPr>
                <w:sz w:val="22"/>
              </w:rPr>
            </w:pPr>
            <w:r>
              <w:rPr>
                <w:spacing w:val="-5"/>
                <w:sz w:val="22"/>
              </w:rPr>
              <w:t>136</w:t>
            </w:r>
          </w:p>
        </w:tc>
        <w:tc>
          <w:tcPr>
            <w:tcW w:w="983" w:type="dxa"/>
            <w:tcBorders>
              <w:right w:val="single" w:sz="4" w:space="0" w:color="000000"/>
            </w:tcBorders>
          </w:tcPr>
          <w:p>
            <w:pPr>
              <w:pStyle w:val="TableParagraph"/>
              <w:spacing w:before="0"/>
              <w:ind w:left="0"/>
              <w:rPr>
                <w:sz w:val="22"/>
              </w:rPr>
            </w:pPr>
            <w:r>
              <w:rPr>
                <w:spacing w:val="-4"/>
                <w:sz w:val="22"/>
              </w:rPr>
              <w:t>3359</w:t>
            </w:r>
          </w:p>
        </w:tc>
      </w:tr>
      <w:tr>
        <w:trPr>
          <w:trHeight w:val="308" w:hRule="atLeast"/>
        </w:trPr>
        <w:tc>
          <w:tcPr>
            <w:tcW w:w="1303" w:type="dxa"/>
            <w:tcBorders>
              <w:left w:val="single" w:sz="4" w:space="0" w:color="000000"/>
            </w:tcBorders>
          </w:tcPr>
          <w:p>
            <w:pPr>
              <w:pStyle w:val="TableParagraph"/>
              <w:spacing w:before="1"/>
              <w:ind w:left="107"/>
              <w:jc w:val="left"/>
              <w:rPr>
                <w:sz w:val="22"/>
              </w:rPr>
            </w:pPr>
            <w:r>
              <w:rPr>
                <w:spacing w:val="-2"/>
                <w:sz w:val="22"/>
              </w:rPr>
              <w:t>Female</w:t>
            </w:r>
          </w:p>
        </w:tc>
        <w:tc>
          <w:tcPr>
            <w:tcW w:w="1209" w:type="dxa"/>
          </w:tcPr>
          <w:p>
            <w:pPr>
              <w:pStyle w:val="TableParagraph"/>
              <w:spacing w:before="1"/>
              <w:ind w:left="105" w:right="1"/>
              <w:rPr>
                <w:sz w:val="22"/>
              </w:rPr>
            </w:pPr>
            <w:r>
              <w:rPr>
                <w:spacing w:val="-5"/>
                <w:sz w:val="22"/>
              </w:rPr>
              <w:t>&lt;7</w:t>
            </w:r>
          </w:p>
        </w:tc>
        <w:tc>
          <w:tcPr>
            <w:tcW w:w="1116" w:type="dxa"/>
          </w:tcPr>
          <w:p>
            <w:pPr>
              <w:pStyle w:val="TableParagraph"/>
              <w:spacing w:before="1"/>
              <w:ind w:left="13"/>
              <w:rPr>
                <w:sz w:val="22"/>
              </w:rPr>
            </w:pPr>
            <w:r>
              <w:rPr>
                <w:spacing w:val="-5"/>
                <w:sz w:val="22"/>
              </w:rPr>
              <w:t>235</w:t>
            </w:r>
          </w:p>
        </w:tc>
        <w:tc>
          <w:tcPr>
            <w:tcW w:w="1115" w:type="dxa"/>
          </w:tcPr>
          <w:p>
            <w:pPr>
              <w:pStyle w:val="TableParagraph"/>
              <w:spacing w:before="1"/>
              <w:ind w:left="0" w:right="380"/>
              <w:jc w:val="right"/>
              <w:rPr>
                <w:sz w:val="22"/>
              </w:rPr>
            </w:pPr>
            <w:r>
              <w:rPr>
                <w:spacing w:val="-5"/>
                <w:sz w:val="22"/>
              </w:rPr>
              <w:t>560</w:t>
            </w:r>
          </w:p>
        </w:tc>
        <w:tc>
          <w:tcPr>
            <w:tcW w:w="1115" w:type="dxa"/>
          </w:tcPr>
          <w:p>
            <w:pPr>
              <w:pStyle w:val="TableParagraph"/>
              <w:spacing w:before="1"/>
              <w:ind w:left="0" w:right="379"/>
              <w:jc w:val="right"/>
              <w:rPr>
                <w:sz w:val="22"/>
              </w:rPr>
            </w:pPr>
            <w:r>
              <w:rPr>
                <w:spacing w:val="-5"/>
                <w:sz w:val="22"/>
              </w:rPr>
              <w:t>313</w:t>
            </w:r>
          </w:p>
        </w:tc>
        <w:tc>
          <w:tcPr>
            <w:tcW w:w="1115" w:type="dxa"/>
          </w:tcPr>
          <w:p>
            <w:pPr>
              <w:pStyle w:val="TableParagraph"/>
              <w:spacing w:before="1"/>
              <w:ind w:left="20"/>
              <w:rPr>
                <w:sz w:val="22"/>
              </w:rPr>
            </w:pPr>
            <w:r>
              <w:rPr>
                <w:spacing w:val="-5"/>
                <w:sz w:val="22"/>
              </w:rPr>
              <w:t>239</w:t>
            </w:r>
          </w:p>
        </w:tc>
        <w:tc>
          <w:tcPr>
            <w:tcW w:w="1068" w:type="dxa"/>
          </w:tcPr>
          <w:p>
            <w:pPr>
              <w:pStyle w:val="TableParagraph"/>
              <w:spacing w:before="1"/>
              <w:ind w:left="69"/>
              <w:rPr>
                <w:sz w:val="22"/>
              </w:rPr>
            </w:pPr>
            <w:r>
              <w:rPr>
                <w:spacing w:val="-5"/>
                <w:sz w:val="22"/>
              </w:rPr>
              <w:t>156</w:t>
            </w:r>
          </w:p>
        </w:tc>
        <w:tc>
          <w:tcPr>
            <w:tcW w:w="829" w:type="dxa"/>
          </w:tcPr>
          <w:p>
            <w:pPr>
              <w:pStyle w:val="TableParagraph"/>
              <w:spacing w:before="1"/>
              <w:ind w:left="37" w:right="2"/>
              <w:rPr>
                <w:sz w:val="22"/>
              </w:rPr>
            </w:pPr>
            <w:r>
              <w:rPr>
                <w:spacing w:val="-5"/>
                <w:sz w:val="22"/>
              </w:rPr>
              <w:t>107</w:t>
            </w:r>
          </w:p>
        </w:tc>
        <w:tc>
          <w:tcPr>
            <w:tcW w:w="983" w:type="dxa"/>
            <w:tcBorders>
              <w:right w:val="single" w:sz="4" w:space="0" w:color="000000"/>
            </w:tcBorders>
          </w:tcPr>
          <w:p>
            <w:pPr>
              <w:pStyle w:val="TableParagraph"/>
              <w:spacing w:before="1"/>
              <w:ind w:left="0"/>
              <w:rPr>
                <w:sz w:val="22"/>
              </w:rPr>
            </w:pPr>
            <w:r>
              <w:rPr>
                <w:spacing w:val="-4"/>
                <w:sz w:val="22"/>
              </w:rPr>
              <w:t>1614</w:t>
            </w:r>
          </w:p>
        </w:tc>
      </w:tr>
      <w:tr>
        <w:trPr>
          <w:trHeight w:val="273" w:hRule="atLeast"/>
        </w:trPr>
        <w:tc>
          <w:tcPr>
            <w:tcW w:w="1303" w:type="dxa"/>
            <w:tcBorders>
              <w:left w:val="single" w:sz="4" w:space="0" w:color="000000"/>
              <w:bottom w:val="single" w:sz="4" w:space="0" w:color="000000"/>
            </w:tcBorders>
          </w:tcPr>
          <w:p>
            <w:pPr>
              <w:pStyle w:val="TableParagraph"/>
              <w:spacing w:line="253" w:lineRule="exact" w:before="0"/>
              <w:ind w:left="107"/>
              <w:jc w:val="left"/>
              <w:rPr>
                <w:b/>
                <w:sz w:val="22"/>
              </w:rPr>
            </w:pPr>
            <w:r>
              <w:rPr>
                <w:b/>
                <w:spacing w:val="-2"/>
                <w:sz w:val="22"/>
              </w:rPr>
              <w:t>Total</w:t>
            </w:r>
          </w:p>
        </w:tc>
        <w:tc>
          <w:tcPr>
            <w:tcW w:w="1209" w:type="dxa"/>
            <w:tcBorders>
              <w:bottom w:val="single" w:sz="4" w:space="0" w:color="000000"/>
            </w:tcBorders>
          </w:tcPr>
          <w:p>
            <w:pPr>
              <w:pStyle w:val="TableParagraph"/>
              <w:spacing w:line="253" w:lineRule="exact" w:before="0"/>
              <w:ind w:left="105" w:right="1"/>
              <w:rPr>
                <w:b/>
                <w:sz w:val="22"/>
              </w:rPr>
            </w:pPr>
            <w:r>
              <w:rPr>
                <w:b/>
                <w:spacing w:val="-5"/>
                <w:sz w:val="22"/>
              </w:rPr>
              <w:t>&lt;7</w:t>
            </w:r>
          </w:p>
        </w:tc>
        <w:tc>
          <w:tcPr>
            <w:tcW w:w="1116" w:type="dxa"/>
            <w:tcBorders>
              <w:bottom w:val="single" w:sz="4" w:space="0" w:color="000000"/>
            </w:tcBorders>
          </w:tcPr>
          <w:p>
            <w:pPr>
              <w:pStyle w:val="TableParagraph"/>
              <w:spacing w:line="253" w:lineRule="exact" w:before="0"/>
              <w:ind w:left="13"/>
              <w:rPr>
                <w:b/>
                <w:sz w:val="22"/>
              </w:rPr>
            </w:pPr>
            <w:r>
              <w:rPr>
                <w:b/>
                <w:spacing w:val="-5"/>
                <w:sz w:val="22"/>
              </w:rPr>
              <w:t>619</w:t>
            </w:r>
          </w:p>
        </w:tc>
        <w:tc>
          <w:tcPr>
            <w:tcW w:w="1115" w:type="dxa"/>
            <w:tcBorders>
              <w:bottom w:val="single" w:sz="4" w:space="0" w:color="000000"/>
            </w:tcBorders>
          </w:tcPr>
          <w:p>
            <w:pPr>
              <w:pStyle w:val="TableParagraph"/>
              <w:spacing w:line="253" w:lineRule="exact" w:before="0"/>
              <w:ind w:left="0" w:right="325"/>
              <w:jc w:val="right"/>
              <w:rPr>
                <w:b/>
                <w:sz w:val="22"/>
              </w:rPr>
            </w:pPr>
            <w:r>
              <w:rPr>
                <w:b/>
                <w:spacing w:val="-4"/>
                <w:sz w:val="22"/>
              </w:rPr>
              <w:t>1828</w:t>
            </w:r>
          </w:p>
        </w:tc>
        <w:tc>
          <w:tcPr>
            <w:tcW w:w="1115" w:type="dxa"/>
            <w:tcBorders>
              <w:bottom w:val="single" w:sz="4" w:space="0" w:color="000000"/>
            </w:tcBorders>
          </w:tcPr>
          <w:p>
            <w:pPr>
              <w:pStyle w:val="TableParagraph"/>
              <w:spacing w:line="253" w:lineRule="exact" w:before="0"/>
              <w:ind w:left="0" w:right="324"/>
              <w:jc w:val="right"/>
              <w:rPr>
                <w:b/>
                <w:sz w:val="22"/>
              </w:rPr>
            </w:pPr>
            <w:r>
              <w:rPr>
                <w:b/>
                <w:spacing w:val="-4"/>
                <w:sz w:val="22"/>
              </w:rPr>
              <w:t>1080</w:t>
            </w:r>
          </w:p>
        </w:tc>
        <w:tc>
          <w:tcPr>
            <w:tcW w:w="1115" w:type="dxa"/>
            <w:tcBorders>
              <w:bottom w:val="single" w:sz="4" w:space="0" w:color="000000"/>
            </w:tcBorders>
          </w:tcPr>
          <w:p>
            <w:pPr>
              <w:pStyle w:val="TableParagraph"/>
              <w:spacing w:line="253" w:lineRule="exact" w:before="0"/>
              <w:ind w:left="20"/>
              <w:rPr>
                <w:b/>
                <w:sz w:val="22"/>
              </w:rPr>
            </w:pPr>
            <w:r>
              <w:rPr>
                <w:b/>
                <w:spacing w:val="-5"/>
                <w:sz w:val="22"/>
              </w:rPr>
              <w:t>727</w:t>
            </w:r>
          </w:p>
        </w:tc>
        <w:tc>
          <w:tcPr>
            <w:tcW w:w="1068" w:type="dxa"/>
            <w:tcBorders>
              <w:bottom w:val="single" w:sz="4" w:space="0" w:color="000000"/>
            </w:tcBorders>
          </w:tcPr>
          <w:p>
            <w:pPr>
              <w:pStyle w:val="TableParagraph"/>
              <w:spacing w:line="253" w:lineRule="exact" w:before="0"/>
              <w:ind w:left="69"/>
              <w:rPr>
                <w:b/>
                <w:sz w:val="22"/>
              </w:rPr>
            </w:pPr>
            <w:r>
              <w:rPr>
                <w:b/>
                <w:spacing w:val="-5"/>
                <w:sz w:val="22"/>
              </w:rPr>
              <w:t>471</w:t>
            </w:r>
          </w:p>
        </w:tc>
        <w:tc>
          <w:tcPr>
            <w:tcW w:w="829" w:type="dxa"/>
            <w:tcBorders>
              <w:bottom w:val="single" w:sz="4" w:space="0" w:color="000000"/>
            </w:tcBorders>
          </w:tcPr>
          <w:p>
            <w:pPr>
              <w:pStyle w:val="TableParagraph"/>
              <w:spacing w:line="253" w:lineRule="exact" w:before="0"/>
              <w:ind w:left="37" w:right="2"/>
              <w:rPr>
                <w:b/>
                <w:sz w:val="22"/>
              </w:rPr>
            </w:pPr>
            <w:r>
              <w:rPr>
                <w:b/>
                <w:spacing w:val="-5"/>
                <w:sz w:val="22"/>
              </w:rPr>
              <w:t>243</w:t>
            </w:r>
          </w:p>
        </w:tc>
        <w:tc>
          <w:tcPr>
            <w:tcW w:w="983" w:type="dxa"/>
            <w:tcBorders>
              <w:bottom w:val="single" w:sz="4" w:space="0" w:color="000000"/>
              <w:right w:val="single" w:sz="4" w:space="0" w:color="000000"/>
            </w:tcBorders>
          </w:tcPr>
          <w:p>
            <w:pPr>
              <w:pStyle w:val="TableParagraph"/>
              <w:spacing w:line="253" w:lineRule="exact" w:before="0"/>
              <w:ind w:left="0"/>
              <w:rPr>
                <w:b/>
                <w:sz w:val="22"/>
              </w:rPr>
            </w:pPr>
            <w:r>
              <w:rPr>
                <w:b/>
                <w:spacing w:val="-4"/>
                <w:sz w:val="22"/>
              </w:rPr>
              <w:t>4973</w:t>
            </w:r>
          </w:p>
        </w:tc>
      </w:tr>
    </w:tbl>
    <w:p>
      <w:pPr>
        <w:spacing w:after="0" w:line="253" w:lineRule="exact"/>
        <w:rPr>
          <w:sz w:val="22"/>
        </w:rPr>
        <w:sectPr>
          <w:footerReference w:type="default" r:id="rId5"/>
          <w:type w:val="continuous"/>
          <w:pgSz w:w="12240" w:h="15840"/>
          <w:pgMar w:header="0" w:footer="922" w:top="1200" w:bottom="1120" w:left="620" w:right="1000"/>
          <w:pgNumType w:start="1"/>
        </w:sect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
        <w:gridCol w:w="1221"/>
        <w:gridCol w:w="1124"/>
        <w:gridCol w:w="1122"/>
        <w:gridCol w:w="1122"/>
        <w:gridCol w:w="1123"/>
        <w:gridCol w:w="1075"/>
        <w:gridCol w:w="835"/>
        <w:gridCol w:w="989"/>
      </w:tblGrid>
      <w:tr>
        <w:trPr>
          <w:trHeight w:val="334" w:hRule="atLeast"/>
        </w:trPr>
        <w:tc>
          <w:tcPr>
            <w:tcW w:w="9922"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64"/>
              <w:ind w:left="1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2)</w:t>
            </w:r>
          </w:p>
        </w:tc>
      </w:tr>
      <w:tr>
        <w:trPr>
          <w:trHeight w:val="379" w:hRule="atLeast"/>
        </w:trPr>
        <w:tc>
          <w:tcPr>
            <w:tcW w:w="1311" w:type="dxa"/>
            <w:tcBorders>
              <w:top w:val="double" w:sz="6" w:space="0" w:color="000000"/>
              <w:left w:val="single" w:sz="4" w:space="0" w:color="000000"/>
            </w:tcBorders>
          </w:tcPr>
          <w:p>
            <w:pPr>
              <w:pStyle w:val="TableParagraph"/>
              <w:spacing w:before="0"/>
              <w:ind w:left="0"/>
              <w:jc w:val="left"/>
              <w:rPr>
                <w:rFonts w:ascii="Times New Roman"/>
                <w:sz w:val="20"/>
              </w:rPr>
            </w:pPr>
          </w:p>
        </w:tc>
        <w:tc>
          <w:tcPr>
            <w:tcW w:w="1221" w:type="dxa"/>
            <w:tcBorders>
              <w:top w:val="double" w:sz="6" w:space="0" w:color="000000"/>
            </w:tcBorders>
          </w:tcPr>
          <w:p>
            <w:pPr>
              <w:pStyle w:val="TableParagraph"/>
              <w:spacing w:before="66"/>
              <w:ind w:left="105"/>
              <w:rPr>
                <w:b/>
                <w:sz w:val="22"/>
              </w:rPr>
            </w:pPr>
            <w:r>
              <w:rPr>
                <w:b/>
                <w:spacing w:val="-2"/>
                <w:sz w:val="22"/>
              </w:rPr>
              <w:t>11-</w:t>
            </w:r>
            <w:r>
              <w:rPr>
                <w:b/>
                <w:spacing w:val="-5"/>
                <w:sz w:val="22"/>
              </w:rPr>
              <w:t>14</w:t>
            </w:r>
          </w:p>
        </w:tc>
        <w:tc>
          <w:tcPr>
            <w:tcW w:w="1124" w:type="dxa"/>
            <w:tcBorders>
              <w:top w:val="double" w:sz="6" w:space="0" w:color="000000"/>
            </w:tcBorders>
          </w:tcPr>
          <w:p>
            <w:pPr>
              <w:pStyle w:val="TableParagraph"/>
              <w:spacing w:before="66"/>
              <w:ind w:left="9" w:right="2"/>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6"/>
              <w:ind w:right="2"/>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6"/>
              <w:ind w:right="4"/>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6"/>
              <w:ind w:right="2"/>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6"/>
              <w:ind w:left="59" w:right="2"/>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6"/>
              <w:ind w:left="24" w:right="2"/>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6"/>
              <w:ind w:left="0" w:right="17"/>
              <w:rPr>
                <w:b/>
                <w:sz w:val="22"/>
              </w:rPr>
            </w:pPr>
            <w:r>
              <w:rPr>
                <w:b/>
                <w:spacing w:val="-2"/>
                <w:sz w:val="22"/>
              </w:rPr>
              <w:t>Total</w:t>
            </w:r>
          </w:p>
        </w:tc>
      </w:tr>
      <w:tr>
        <w:trPr>
          <w:trHeight w:val="319" w:hRule="atLeast"/>
        </w:trPr>
        <w:tc>
          <w:tcPr>
            <w:tcW w:w="1311" w:type="dxa"/>
            <w:tcBorders>
              <w:left w:val="single" w:sz="4" w:space="0" w:color="000000"/>
            </w:tcBorders>
          </w:tcPr>
          <w:p>
            <w:pPr>
              <w:pStyle w:val="TableParagraph"/>
              <w:ind w:left="107"/>
              <w:jc w:val="left"/>
              <w:rPr>
                <w:sz w:val="22"/>
              </w:rPr>
            </w:pPr>
            <w:r>
              <w:rPr>
                <w:spacing w:val="-4"/>
                <w:sz w:val="22"/>
              </w:rPr>
              <w:t>Male</w:t>
            </w:r>
          </w:p>
        </w:tc>
        <w:tc>
          <w:tcPr>
            <w:tcW w:w="1221" w:type="dxa"/>
          </w:tcPr>
          <w:p>
            <w:pPr>
              <w:pStyle w:val="TableParagraph"/>
              <w:ind w:left="105"/>
              <w:rPr>
                <w:sz w:val="22"/>
              </w:rPr>
            </w:pPr>
            <w:r>
              <w:rPr>
                <w:spacing w:val="-5"/>
                <w:sz w:val="22"/>
              </w:rPr>
              <w:t>&lt;7</w:t>
            </w:r>
          </w:p>
        </w:tc>
        <w:tc>
          <w:tcPr>
            <w:tcW w:w="1124" w:type="dxa"/>
          </w:tcPr>
          <w:p>
            <w:pPr>
              <w:pStyle w:val="TableParagraph"/>
              <w:ind w:left="9" w:right="5"/>
              <w:rPr>
                <w:sz w:val="22"/>
              </w:rPr>
            </w:pPr>
            <w:r>
              <w:rPr>
                <w:spacing w:val="-5"/>
                <w:sz w:val="22"/>
              </w:rPr>
              <w:t>438</w:t>
            </w:r>
          </w:p>
        </w:tc>
        <w:tc>
          <w:tcPr>
            <w:tcW w:w="1122" w:type="dxa"/>
          </w:tcPr>
          <w:p>
            <w:pPr>
              <w:pStyle w:val="TableParagraph"/>
              <w:ind w:right="3"/>
              <w:rPr>
                <w:sz w:val="22"/>
              </w:rPr>
            </w:pPr>
            <w:r>
              <w:rPr>
                <w:spacing w:val="-4"/>
                <w:sz w:val="22"/>
              </w:rPr>
              <w:t>1603</w:t>
            </w:r>
          </w:p>
        </w:tc>
        <w:tc>
          <w:tcPr>
            <w:tcW w:w="1122" w:type="dxa"/>
          </w:tcPr>
          <w:p>
            <w:pPr>
              <w:pStyle w:val="TableParagraph"/>
              <w:ind w:right="8"/>
              <w:rPr>
                <w:sz w:val="22"/>
              </w:rPr>
            </w:pPr>
            <w:r>
              <w:rPr>
                <w:spacing w:val="-5"/>
                <w:sz w:val="22"/>
              </w:rPr>
              <w:t>904</w:t>
            </w:r>
          </w:p>
        </w:tc>
        <w:tc>
          <w:tcPr>
            <w:tcW w:w="1123" w:type="dxa"/>
          </w:tcPr>
          <w:p>
            <w:pPr>
              <w:pStyle w:val="TableParagraph"/>
              <w:ind w:right="5"/>
              <w:rPr>
                <w:sz w:val="22"/>
              </w:rPr>
            </w:pPr>
            <w:r>
              <w:rPr>
                <w:spacing w:val="-5"/>
                <w:sz w:val="22"/>
              </w:rPr>
              <w:t>724</w:t>
            </w:r>
          </w:p>
        </w:tc>
        <w:tc>
          <w:tcPr>
            <w:tcW w:w="1075" w:type="dxa"/>
          </w:tcPr>
          <w:p>
            <w:pPr>
              <w:pStyle w:val="TableParagraph"/>
              <w:ind w:left="59" w:right="6"/>
              <w:rPr>
                <w:sz w:val="22"/>
              </w:rPr>
            </w:pPr>
            <w:r>
              <w:rPr>
                <w:spacing w:val="-5"/>
                <w:sz w:val="22"/>
              </w:rPr>
              <w:t>401</w:t>
            </w:r>
          </w:p>
        </w:tc>
        <w:tc>
          <w:tcPr>
            <w:tcW w:w="835" w:type="dxa"/>
          </w:tcPr>
          <w:p>
            <w:pPr>
              <w:pStyle w:val="TableParagraph"/>
              <w:ind w:left="24" w:right="3"/>
              <w:rPr>
                <w:sz w:val="22"/>
              </w:rPr>
            </w:pPr>
            <w:r>
              <w:rPr>
                <w:spacing w:val="-5"/>
                <w:sz w:val="22"/>
              </w:rPr>
              <w:t>178</w:t>
            </w:r>
          </w:p>
        </w:tc>
        <w:tc>
          <w:tcPr>
            <w:tcW w:w="989" w:type="dxa"/>
            <w:tcBorders>
              <w:right w:val="single" w:sz="4" w:space="0" w:color="000000"/>
            </w:tcBorders>
          </w:tcPr>
          <w:p>
            <w:pPr>
              <w:pStyle w:val="TableParagraph"/>
              <w:ind w:left="0" w:right="17"/>
              <w:rPr>
                <w:sz w:val="22"/>
              </w:rPr>
            </w:pPr>
            <w:r>
              <w:rPr>
                <w:spacing w:val="-4"/>
                <w:sz w:val="22"/>
              </w:rPr>
              <w:t>4250</w:t>
            </w:r>
          </w:p>
        </w:tc>
      </w:tr>
      <w:tr>
        <w:trPr>
          <w:trHeight w:val="320" w:hRule="atLeast"/>
        </w:trPr>
        <w:tc>
          <w:tcPr>
            <w:tcW w:w="1311" w:type="dxa"/>
            <w:tcBorders>
              <w:left w:val="single" w:sz="4" w:space="0" w:color="000000"/>
            </w:tcBorders>
          </w:tcPr>
          <w:p>
            <w:pPr>
              <w:pStyle w:val="TableParagraph"/>
              <w:ind w:left="107"/>
              <w:jc w:val="left"/>
              <w:rPr>
                <w:sz w:val="22"/>
              </w:rPr>
            </w:pPr>
            <w:r>
              <w:rPr>
                <w:spacing w:val="-2"/>
                <w:sz w:val="22"/>
              </w:rPr>
              <w:t>Female</w:t>
            </w:r>
          </w:p>
        </w:tc>
        <w:tc>
          <w:tcPr>
            <w:tcW w:w="1221" w:type="dxa"/>
          </w:tcPr>
          <w:p>
            <w:pPr>
              <w:pStyle w:val="TableParagraph"/>
              <w:ind w:left="105"/>
              <w:rPr>
                <w:sz w:val="22"/>
              </w:rPr>
            </w:pPr>
            <w:r>
              <w:rPr>
                <w:spacing w:val="-5"/>
                <w:sz w:val="22"/>
              </w:rPr>
              <w:t>&lt;7</w:t>
            </w:r>
          </w:p>
        </w:tc>
        <w:tc>
          <w:tcPr>
            <w:tcW w:w="1124" w:type="dxa"/>
          </w:tcPr>
          <w:p>
            <w:pPr>
              <w:pStyle w:val="TableParagraph"/>
              <w:ind w:left="9" w:right="5"/>
              <w:rPr>
                <w:sz w:val="22"/>
              </w:rPr>
            </w:pPr>
            <w:r>
              <w:rPr>
                <w:spacing w:val="-5"/>
                <w:sz w:val="22"/>
              </w:rPr>
              <w:t>244</w:t>
            </w:r>
          </w:p>
        </w:tc>
        <w:tc>
          <w:tcPr>
            <w:tcW w:w="1122" w:type="dxa"/>
          </w:tcPr>
          <w:p>
            <w:pPr>
              <w:pStyle w:val="TableParagraph"/>
              <w:ind w:right="5"/>
              <w:rPr>
                <w:sz w:val="22"/>
              </w:rPr>
            </w:pPr>
            <w:r>
              <w:rPr>
                <w:spacing w:val="-5"/>
                <w:sz w:val="22"/>
              </w:rPr>
              <w:t>730</w:t>
            </w:r>
          </w:p>
        </w:tc>
        <w:tc>
          <w:tcPr>
            <w:tcW w:w="1122" w:type="dxa"/>
          </w:tcPr>
          <w:p>
            <w:pPr>
              <w:pStyle w:val="TableParagraph"/>
              <w:ind w:right="8"/>
              <w:rPr>
                <w:sz w:val="22"/>
              </w:rPr>
            </w:pPr>
            <w:r>
              <w:rPr>
                <w:spacing w:val="-5"/>
                <w:sz w:val="22"/>
              </w:rPr>
              <w:t>424</w:t>
            </w:r>
          </w:p>
        </w:tc>
        <w:tc>
          <w:tcPr>
            <w:tcW w:w="1123" w:type="dxa"/>
          </w:tcPr>
          <w:p>
            <w:pPr>
              <w:pStyle w:val="TableParagraph"/>
              <w:ind w:right="5"/>
              <w:rPr>
                <w:sz w:val="22"/>
              </w:rPr>
            </w:pPr>
            <w:r>
              <w:rPr>
                <w:spacing w:val="-5"/>
                <w:sz w:val="22"/>
              </w:rPr>
              <w:t>302</w:t>
            </w:r>
          </w:p>
        </w:tc>
        <w:tc>
          <w:tcPr>
            <w:tcW w:w="1075" w:type="dxa"/>
          </w:tcPr>
          <w:p>
            <w:pPr>
              <w:pStyle w:val="TableParagraph"/>
              <w:ind w:left="59" w:right="6"/>
              <w:rPr>
                <w:sz w:val="22"/>
              </w:rPr>
            </w:pPr>
            <w:r>
              <w:rPr>
                <w:spacing w:val="-5"/>
                <w:sz w:val="22"/>
              </w:rPr>
              <w:t>178</w:t>
            </w:r>
          </w:p>
        </w:tc>
        <w:tc>
          <w:tcPr>
            <w:tcW w:w="835" w:type="dxa"/>
          </w:tcPr>
          <w:p>
            <w:pPr>
              <w:pStyle w:val="TableParagraph"/>
              <w:ind w:left="24" w:right="3"/>
              <w:rPr>
                <w:sz w:val="22"/>
              </w:rPr>
            </w:pPr>
            <w:r>
              <w:rPr>
                <w:spacing w:val="-5"/>
                <w:sz w:val="22"/>
              </w:rPr>
              <w:t>141</w:t>
            </w:r>
          </w:p>
        </w:tc>
        <w:tc>
          <w:tcPr>
            <w:tcW w:w="989" w:type="dxa"/>
            <w:tcBorders>
              <w:right w:val="single" w:sz="4" w:space="0" w:color="000000"/>
            </w:tcBorders>
          </w:tcPr>
          <w:p>
            <w:pPr>
              <w:pStyle w:val="TableParagraph"/>
              <w:ind w:left="0" w:right="17"/>
              <w:rPr>
                <w:sz w:val="22"/>
              </w:rPr>
            </w:pPr>
            <w:r>
              <w:rPr>
                <w:spacing w:val="-4"/>
                <w:sz w:val="22"/>
              </w:rPr>
              <w:t>2024</w:t>
            </w:r>
          </w:p>
        </w:tc>
      </w:tr>
      <w:tr>
        <w:trPr>
          <w:trHeight w:val="278" w:hRule="atLeast"/>
        </w:trPr>
        <w:tc>
          <w:tcPr>
            <w:tcW w:w="1311"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221" w:type="dxa"/>
            <w:tcBorders>
              <w:bottom w:val="single" w:sz="4" w:space="0" w:color="000000"/>
            </w:tcBorders>
          </w:tcPr>
          <w:p>
            <w:pPr>
              <w:pStyle w:val="TableParagraph"/>
              <w:spacing w:line="252" w:lineRule="exact" w:before="6"/>
              <w:ind w:left="105" w:right="1"/>
              <w:rPr>
                <w:b/>
                <w:sz w:val="22"/>
              </w:rPr>
            </w:pPr>
            <w:r>
              <w:rPr>
                <w:b/>
                <w:spacing w:val="-10"/>
                <w:sz w:val="22"/>
              </w:rPr>
              <w:t>7</w:t>
            </w:r>
          </w:p>
        </w:tc>
        <w:tc>
          <w:tcPr>
            <w:tcW w:w="1124" w:type="dxa"/>
            <w:tcBorders>
              <w:bottom w:val="single" w:sz="4" w:space="0" w:color="000000"/>
            </w:tcBorders>
          </w:tcPr>
          <w:p>
            <w:pPr>
              <w:pStyle w:val="TableParagraph"/>
              <w:spacing w:line="252" w:lineRule="exact" w:before="6"/>
              <w:ind w:left="9" w:right="5"/>
              <w:rPr>
                <w:b/>
                <w:sz w:val="22"/>
              </w:rPr>
            </w:pPr>
            <w:r>
              <w:rPr>
                <w:b/>
                <w:spacing w:val="-5"/>
                <w:sz w:val="22"/>
              </w:rPr>
              <w:t>682</w:t>
            </w:r>
          </w:p>
        </w:tc>
        <w:tc>
          <w:tcPr>
            <w:tcW w:w="1122" w:type="dxa"/>
            <w:tcBorders>
              <w:bottom w:val="single" w:sz="4" w:space="0" w:color="000000"/>
            </w:tcBorders>
          </w:tcPr>
          <w:p>
            <w:pPr>
              <w:pStyle w:val="TableParagraph"/>
              <w:spacing w:line="252" w:lineRule="exact" w:before="6"/>
              <w:ind w:right="3"/>
              <w:rPr>
                <w:b/>
                <w:sz w:val="22"/>
              </w:rPr>
            </w:pPr>
            <w:r>
              <w:rPr>
                <w:b/>
                <w:spacing w:val="-4"/>
                <w:sz w:val="22"/>
              </w:rPr>
              <w:t>2333</w:t>
            </w:r>
          </w:p>
        </w:tc>
        <w:tc>
          <w:tcPr>
            <w:tcW w:w="1122" w:type="dxa"/>
            <w:tcBorders>
              <w:bottom w:val="single" w:sz="4" w:space="0" w:color="000000"/>
            </w:tcBorders>
          </w:tcPr>
          <w:p>
            <w:pPr>
              <w:pStyle w:val="TableParagraph"/>
              <w:spacing w:line="252" w:lineRule="exact" w:before="6"/>
              <w:ind w:right="5"/>
              <w:rPr>
                <w:b/>
                <w:sz w:val="22"/>
              </w:rPr>
            </w:pPr>
            <w:r>
              <w:rPr>
                <w:b/>
                <w:spacing w:val="-4"/>
                <w:sz w:val="22"/>
              </w:rPr>
              <w:t>1328</w:t>
            </w:r>
          </w:p>
        </w:tc>
        <w:tc>
          <w:tcPr>
            <w:tcW w:w="1123" w:type="dxa"/>
            <w:tcBorders>
              <w:bottom w:val="single" w:sz="4" w:space="0" w:color="000000"/>
            </w:tcBorders>
          </w:tcPr>
          <w:p>
            <w:pPr>
              <w:pStyle w:val="TableParagraph"/>
              <w:spacing w:line="252" w:lineRule="exact" w:before="6"/>
              <w:ind w:right="3"/>
              <w:rPr>
                <w:b/>
                <w:sz w:val="22"/>
              </w:rPr>
            </w:pPr>
            <w:r>
              <w:rPr>
                <w:b/>
                <w:spacing w:val="-4"/>
                <w:sz w:val="22"/>
              </w:rPr>
              <w:t>1026</w:t>
            </w:r>
          </w:p>
        </w:tc>
        <w:tc>
          <w:tcPr>
            <w:tcW w:w="1075" w:type="dxa"/>
            <w:tcBorders>
              <w:bottom w:val="single" w:sz="4" w:space="0" w:color="000000"/>
            </w:tcBorders>
          </w:tcPr>
          <w:p>
            <w:pPr>
              <w:pStyle w:val="TableParagraph"/>
              <w:spacing w:line="252" w:lineRule="exact" w:before="6"/>
              <w:ind w:left="59" w:right="6"/>
              <w:rPr>
                <w:b/>
                <w:sz w:val="22"/>
              </w:rPr>
            </w:pPr>
            <w:r>
              <w:rPr>
                <w:b/>
                <w:spacing w:val="-5"/>
                <w:sz w:val="22"/>
              </w:rPr>
              <w:t>579</w:t>
            </w:r>
          </w:p>
        </w:tc>
        <w:tc>
          <w:tcPr>
            <w:tcW w:w="835" w:type="dxa"/>
            <w:tcBorders>
              <w:bottom w:val="single" w:sz="4" w:space="0" w:color="000000"/>
            </w:tcBorders>
          </w:tcPr>
          <w:p>
            <w:pPr>
              <w:pStyle w:val="TableParagraph"/>
              <w:spacing w:line="252" w:lineRule="exact" w:before="6"/>
              <w:ind w:left="24" w:right="3"/>
              <w:rPr>
                <w:b/>
                <w:sz w:val="22"/>
              </w:rPr>
            </w:pPr>
            <w:r>
              <w:rPr>
                <w:b/>
                <w:spacing w:val="-5"/>
                <w:sz w:val="22"/>
              </w:rPr>
              <w:t>319</w:t>
            </w:r>
          </w:p>
        </w:tc>
        <w:tc>
          <w:tcPr>
            <w:tcW w:w="989" w:type="dxa"/>
            <w:tcBorders>
              <w:bottom w:val="single" w:sz="4" w:space="0" w:color="000000"/>
              <w:right w:val="single" w:sz="4" w:space="0" w:color="000000"/>
            </w:tcBorders>
          </w:tcPr>
          <w:p>
            <w:pPr>
              <w:pStyle w:val="TableParagraph"/>
              <w:spacing w:line="252" w:lineRule="exact" w:before="6"/>
              <w:ind w:left="0" w:right="17"/>
              <w:rPr>
                <w:b/>
                <w:sz w:val="22"/>
              </w:rPr>
            </w:pPr>
            <w:r>
              <w:rPr>
                <w:b/>
                <w:spacing w:val="-4"/>
                <w:sz w:val="22"/>
              </w:rPr>
              <w:t>6274</w:t>
            </w:r>
          </w:p>
        </w:tc>
      </w:tr>
    </w:tbl>
    <w:p>
      <w:pPr>
        <w:pStyle w:val="BodyText"/>
        <w:rPr>
          <w:sz w:val="20"/>
        </w:rPr>
      </w:pPr>
    </w:p>
    <w:p>
      <w:pPr>
        <w:pStyle w:val="BodyText"/>
        <w:rPr>
          <w:sz w:val="20"/>
        </w:rPr>
      </w:pPr>
    </w:p>
    <w:p>
      <w:pPr>
        <w:pStyle w:val="BodyText"/>
        <w:spacing w:before="16" w:after="1"/>
        <w:rPr>
          <w:sz w:val="20"/>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8"/>
        <w:gridCol w:w="1193"/>
        <w:gridCol w:w="1124"/>
        <w:gridCol w:w="1122"/>
        <w:gridCol w:w="1122"/>
        <w:gridCol w:w="1123"/>
        <w:gridCol w:w="1075"/>
        <w:gridCol w:w="835"/>
        <w:gridCol w:w="989"/>
      </w:tblGrid>
      <w:tr>
        <w:trPr>
          <w:trHeight w:val="267" w:hRule="atLeast"/>
        </w:trPr>
        <w:tc>
          <w:tcPr>
            <w:tcW w:w="9921" w:type="dxa"/>
            <w:gridSpan w:val="9"/>
            <w:tcBorders>
              <w:top w:val="single" w:sz="4" w:space="0" w:color="000000"/>
              <w:left w:val="single" w:sz="4" w:space="0" w:color="000000"/>
              <w:bottom w:val="double" w:sz="6" w:space="0" w:color="000000"/>
              <w:right w:val="single" w:sz="4" w:space="0" w:color="000000"/>
            </w:tcBorders>
          </w:tcPr>
          <w:p>
            <w:pPr>
              <w:pStyle w:val="TableParagraph"/>
              <w:spacing w:line="248" w:lineRule="exact" w:before="0"/>
              <w:ind w:left="12"/>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3)</w:t>
            </w:r>
          </w:p>
        </w:tc>
      </w:tr>
      <w:tr>
        <w:trPr>
          <w:trHeight w:val="379" w:hRule="atLeast"/>
        </w:trPr>
        <w:tc>
          <w:tcPr>
            <w:tcW w:w="1338" w:type="dxa"/>
            <w:tcBorders>
              <w:top w:val="double" w:sz="6" w:space="0" w:color="000000"/>
              <w:left w:val="single" w:sz="4" w:space="0" w:color="000000"/>
            </w:tcBorders>
          </w:tcPr>
          <w:p>
            <w:pPr>
              <w:pStyle w:val="TableParagraph"/>
              <w:spacing w:before="0"/>
              <w:ind w:left="0"/>
              <w:jc w:val="left"/>
              <w:rPr>
                <w:rFonts w:ascii="Times New Roman"/>
                <w:sz w:val="20"/>
              </w:rPr>
            </w:pPr>
          </w:p>
        </w:tc>
        <w:tc>
          <w:tcPr>
            <w:tcW w:w="1193" w:type="dxa"/>
            <w:tcBorders>
              <w:top w:val="double" w:sz="6" w:space="0" w:color="000000"/>
            </w:tcBorders>
          </w:tcPr>
          <w:p>
            <w:pPr>
              <w:pStyle w:val="TableParagraph"/>
              <w:spacing w:before="65"/>
              <w:ind w:left="79"/>
              <w:rPr>
                <w:b/>
                <w:sz w:val="22"/>
              </w:rPr>
            </w:pPr>
            <w:r>
              <w:rPr>
                <w:b/>
                <w:spacing w:val="-2"/>
                <w:sz w:val="22"/>
              </w:rPr>
              <w:t>11-</w:t>
            </w:r>
            <w:r>
              <w:rPr>
                <w:b/>
                <w:spacing w:val="-5"/>
                <w:sz w:val="22"/>
              </w:rPr>
              <w:t>14</w:t>
            </w:r>
          </w:p>
        </w:tc>
        <w:tc>
          <w:tcPr>
            <w:tcW w:w="1124" w:type="dxa"/>
            <w:tcBorders>
              <w:top w:val="double" w:sz="6" w:space="0" w:color="000000"/>
            </w:tcBorders>
          </w:tcPr>
          <w:p>
            <w:pPr>
              <w:pStyle w:val="TableParagraph"/>
              <w:spacing w:before="65"/>
              <w:ind w:left="9"/>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5"/>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5"/>
              <w:ind w:right="2"/>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5"/>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5"/>
              <w:ind w:left="59"/>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5"/>
              <w:ind w:left="24"/>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5"/>
              <w:ind w:left="2" w:right="17"/>
              <w:rPr>
                <w:b/>
                <w:sz w:val="22"/>
              </w:rPr>
            </w:pPr>
            <w:r>
              <w:rPr>
                <w:b/>
                <w:spacing w:val="-2"/>
                <w:sz w:val="22"/>
              </w:rPr>
              <w:t>Total</w:t>
            </w:r>
          </w:p>
        </w:tc>
      </w:tr>
      <w:tr>
        <w:trPr>
          <w:trHeight w:val="319" w:hRule="atLeast"/>
        </w:trPr>
        <w:tc>
          <w:tcPr>
            <w:tcW w:w="1338" w:type="dxa"/>
            <w:tcBorders>
              <w:left w:val="single" w:sz="4" w:space="0" w:color="000000"/>
            </w:tcBorders>
          </w:tcPr>
          <w:p>
            <w:pPr>
              <w:pStyle w:val="TableParagraph"/>
              <w:ind w:left="107"/>
              <w:jc w:val="left"/>
              <w:rPr>
                <w:sz w:val="22"/>
              </w:rPr>
            </w:pPr>
            <w:r>
              <w:rPr>
                <w:spacing w:val="-4"/>
                <w:sz w:val="22"/>
              </w:rPr>
              <w:t>Male</w:t>
            </w:r>
          </w:p>
        </w:tc>
        <w:tc>
          <w:tcPr>
            <w:tcW w:w="1193" w:type="dxa"/>
          </w:tcPr>
          <w:p>
            <w:pPr>
              <w:pStyle w:val="TableParagraph"/>
              <w:ind w:left="79" w:right="1"/>
              <w:rPr>
                <w:sz w:val="22"/>
              </w:rPr>
            </w:pPr>
            <w:r>
              <w:rPr>
                <w:spacing w:val="-10"/>
                <w:sz w:val="22"/>
              </w:rPr>
              <w:t>1</w:t>
            </w:r>
          </w:p>
        </w:tc>
        <w:tc>
          <w:tcPr>
            <w:tcW w:w="1124" w:type="dxa"/>
          </w:tcPr>
          <w:p>
            <w:pPr>
              <w:pStyle w:val="TableParagraph"/>
              <w:ind w:left="9" w:right="3"/>
              <w:rPr>
                <w:sz w:val="22"/>
              </w:rPr>
            </w:pPr>
            <w:r>
              <w:rPr>
                <w:spacing w:val="-5"/>
                <w:sz w:val="22"/>
              </w:rPr>
              <w:t>499</w:t>
            </w:r>
          </w:p>
        </w:tc>
        <w:tc>
          <w:tcPr>
            <w:tcW w:w="1122" w:type="dxa"/>
          </w:tcPr>
          <w:p>
            <w:pPr>
              <w:pStyle w:val="TableParagraph"/>
              <w:ind w:right="1"/>
              <w:rPr>
                <w:sz w:val="22"/>
              </w:rPr>
            </w:pPr>
            <w:r>
              <w:rPr>
                <w:spacing w:val="-4"/>
                <w:sz w:val="22"/>
              </w:rPr>
              <w:t>1553</w:t>
            </w:r>
          </w:p>
        </w:tc>
        <w:tc>
          <w:tcPr>
            <w:tcW w:w="1122" w:type="dxa"/>
          </w:tcPr>
          <w:p>
            <w:pPr>
              <w:pStyle w:val="TableParagraph"/>
              <w:ind w:right="6"/>
              <w:rPr>
                <w:sz w:val="22"/>
              </w:rPr>
            </w:pPr>
            <w:r>
              <w:rPr>
                <w:spacing w:val="-5"/>
                <w:sz w:val="22"/>
              </w:rPr>
              <w:t>948</w:t>
            </w:r>
          </w:p>
        </w:tc>
        <w:tc>
          <w:tcPr>
            <w:tcW w:w="1123" w:type="dxa"/>
          </w:tcPr>
          <w:p>
            <w:pPr>
              <w:pStyle w:val="TableParagraph"/>
              <w:ind w:right="3"/>
              <w:rPr>
                <w:sz w:val="22"/>
              </w:rPr>
            </w:pPr>
            <w:r>
              <w:rPr>
                <w:spacing w:val="-5"/>
                <w:sz w:val="22"/>
              </w:rPr>
              <w:t>610</w:t>
            </w:r>
          </w:p>
        </w:tc>
        <w:tc>
          <w:tcPr>
            <w:tcW w:w="1075" w:type="dxa"/>
          </w:tcPr>
          <w:p>
            <w:pPr>
              <w:pStyle w:val="TableParagraph"/>
              <w:ind w:left="59" w:right="4"/>
              <w:rPr>
                <w:sz w:val="22"/>
              </w:rPr>
            </w:pPr>
            <w:r>
              <w:rPr>
                <w:spacing w:val="-5"/>
                <w:sz w:val="22"/>
              </w:rPr>
              <w:t>389</w:t>
            </w:r>
          </w:p>
        </w:tc>
        <w:tc>
          <w:tcPr>
            <w:tcW w:w="835" w:type="dxa"/>
          </w:tcPr>
          <w:p>
            <w:pPr>
              <w:pStyle w:val="TableParagraph"/>
              <w:ind w:left="24" w:right="1"/>
              <w:rPr>
                <w:sz w:val="22"/>
              </w:rPr>
            </w:pPr>
            <w:r>
              <w:rPr>
                <w:spacing w:val="-5"/>
                <w:sz w:val="22"/>
              </w:rPr>
              <w:t>186</w:t>
            </w:r>
          </w:p>
        </w:tc>
        <w:tc>
          <w:tcPr>
            <w:tcW w:w="989" w:type="dxa"/>
            <w:tcBorders>
              <w:right w:val="single" w:sz="4" w:space="0" w:color="000000"/>
            </w:tcBorders>
          </w:tcPr>
          <w:p>
            <w:pPr>
              <w:pStyle w:val="TableParagraph"/>
              <w:ind w:left="2" w:right="17"/>
              <w:rPr>
                <w:sz w:val="22"/>
              </w:rPr>
            </w:pPr>
            <w:r>
              <w:rPr>
                <w:spacing w:val="-4"/>
                <w:sz w:val="22"/>
              </w:rPr>
              <w:t>4187</w:t>
            </w:r>
          </w:p>
        </w:tc>
      </w:tr>
      <w:tr>
        <w:trPr>
          <w:trHeight w:val="320" w:hRule="atLeast"/>
        </w:trPr>
        <w:tc>
          <w:tcPr>
            <w:tcW w:w="1338" w:type="dxa"/>
            <w:tcBorders>
              <w:left w:val="single" w:sz="4" w:space="0" w:color="000000"/>
            </w:tcBorders>
          </w:tcPr>
          <w:p>
            <w:pPr>
              <w:pStyle w:val="TableParagraph"/>
              <w:ind w:left="107"/>
              <w:jc w:val="left"/>
              <w:rPr>
                <w:sz w:val="22"/>
              </w:rPr>
            </w:pPr>
            <w:r>
              <w:rPr>
                <w:spacing w:val="-2"/>
                <w:sz w:val="22"/>
              </w:rPr>
              <w:t>Female</w:t>
            </w:r>
          </w:p>
        </w:tc>
        <w:tc>
          <w:tcPr>
            <w:tcW w:w="1193" w:type="dxa"/>
          </w:tcPr>
          <w:p>
            <w:pPr>
              <w:pStyle w:val="TableParagraph"/>
              <w:ind w:left="79" w:right="1"/>
              <w:rPr>
                <w:sz w:val="22"/>
              </w:rPr>
            </w:pPr>
            <w:r>
              <w:rPr>
                <w:spacing w:val="-10"/>
                <w:sz w:val="22"/>
              </w:rPr>
              <w:t>0</w:t>
            </w:r>
          </w:p>
        </w:tc>
        <w:tc>
          <w:tcPr>
            <w:tcW w:w="1124" w:type="dxa"/>
          </w:tcPr>
          <w:p>
            <w:pPr>
              <w:pStyle w:val="TableParagraph"/>
              <w:ind w:left="9" w:right="3"/>
              <w:rPr>
                <w:sz w:val="22"/>
              </w:rPr>
            </w:pPr>
            <w:r>
              <w:rPr>
                <w:spacing w:val="-5"/>
                <w:sz w:val="22"/>
              </w:rPr>
              <w:t>278</w:t>
            </w:r>
          </w:p>
        </w:tc>
        <w:tc>
          <w:tcPr>
            <w:tcW w:w="1122" w:type="dxa"/>
          </w:tcPr>
          <w:p>
            <w:pPr>
              <w:pStyle w:val="TableParagraph"/>
              <w:ind w:right="3"/>
              <w:rPr>
                <w:sz w:val="22"/>
              </w:rPr>
            </w:pPr>
            <w:r>
              <w:rPr>
                <w:spacing w:val="-5"/>
                <w:sz w:val="22"/>
              </w:rPr>
              <w:t>838</w:t>
            </w:r>
          </w:p>
        </w:tc>
        <w:tc>
          <w:tcPr>
            <w:tcW w:w="1122" w:type="dxa"/>
          </w:tcPr>
          <w:p>
            <w:pPr>
              <w:pStyle w:val="TableParagraph"/>
              <w:ind w:right="6"/>
              <w:rPr>
                <w:sz w:val="22"/>
              </w:rPr>
            </w:pPr>
            <w:r>
              <w:rPr>
                <w:spacing w:val="-5"/>
                <w:sz w:val="22"/>
              </w:rPr>
              <w:t>441</w:t>
            </w:r>
          </w:p>
        </w:tc>
        <w:tc>
          <w:tcPr>
            <w:tcW w:w="1123" w:type="dxa"/>
          </w:tcPr>
          <w:p>
            <w:pPr>
              <w:pStyle w:val="TableParagraph"/>
              <w:ind w:right="3"/>
              <w:rPr>
                <w:sz w:val="22"/>
              </w:rPr>
            </w:pPr>
            <w:r>
              <w:rPr>
                <w:spacing w:val="-5"/>
                <w:sz w:val="22"/>
              </w:rPr>
              <w:t>295</w:t>
            </w:r>
          </w:p>
        </w:tc>
        <w:tc>
          <w:tcPr>
            <w:tcW w:w="1075" w:type="dxa"/>
          </w:tcPr>
          <w:p>
            <w:pPr>
              <w:pStyle w:val="TableParagraph"/>
              <w:ind w:left="59" w:right="4"/>
              <w:rPr>
                <w:sz w:val="22"/>
              </w:rPr>
            </w:pPr>
            <w:r>
              <w:rPr>
                <w:spacing w:val="-5"/>
                <w:sz w:val="22"/>
              </w:rPr>
              <w:t>189</w:t>
            </w:r>
          </w:p>
        </w:tc>
        <w:tc>
          <w:tcPr>
            <w:tcW w:w="835" w:type="dxa"/>
          </w:tcPr>
          <w:p>
            <w:pPr>
              <w:pStyle w:val="TableParagraph"/>
              <w:ind w:left="24" w:right="1"/>
              <w:rPr>
                <w:sz w:val="22"/>
              </w:rPr>
            </w:pPr>
            <w:r>
              <w:rPr>
                <w:spacing w:val="-5"/>
                <w:sz w:val="22"/>
              </w:rPr>
              <w:t>118</w:t>
            </w:r>
          </w:p>
        </w:tc>
        <w:tc>
          <w:tcPr>
            <w:tcW w:w="989" w:type="dxa"/>
            <w:tcBorders>
              <w:right w:val="single" w:sz="4" w:space="0" w:color="000000"/>
            </w:tcBorders>
          </w:tcPr>
          <w:p>
            <w:pPr>
              <w:pStyle w:val="TableParagraph"/>
              <w:ind w:left="2" w:right="17"/>
              <w:rPr>
                <w:sz w:val="22"/>
              </w:rPr>
            </w:pPr>
            <w:r>
              <w:rPr>
                <w:spacing w:val="-4"/>
                <w:sz w:val="22"/>
              </w:rPr>
              <w:t>2159</w:t>
            </w:r>
          </w:p>
        </w:tc>
      </w:tr>
      <w:tr>
        <w:trPr>
          <w:trHeight w:val="278" w:hRule="atLeast"/>
        </w:trPr>
        <w:tc>
          <w:tcPr>
            <w:tcW w:w="1338"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193" w:type="dxa"/>
            <w:tcBorders>
              <w:bottom w:val="single" w:sz="4" w:space="0" w:color="000000"/>
            </w:tcBorders>
          </w:tcPr>
          <w:p>
            <w:pPr>
              <w:pStyle w:val="TableParagraph"/>
              <w:spacing w:line="252" w:lineRule="exact" w:before="6"/>
              <w:ind w:left="79" w:right="1"/>
              <w:rPr>
                <w:b/>
                <w:sz w:val="22"/>
              </w:rPr>
            </w:pPr>
            <w:r>
              <w:rPr>
                <w:b/>
                <w:spacing w:val="-10"/>
                <w:sz w:val="22"/>
              </w:rPr>
              <w:t>1</w:t>
            </w:r>
          </w:p>
        </w:tc>
        <w:tc>
          <w:tcPr>
            <w:tcW w:w="1124" w:type="dxa"/>
            <w:tcBorders>
              <w:bottom w:val="single" w:sz="4" w:space="0" w:color="000000"/>
            </w:tcBorders>
          </w:tcPr>
          <w:p>
            <w:pPr>
              <w:pStyle w:val="TableParagraph"/>
              <w:spacing w:line="252" w:lineRule="exact" w:before="6"/>
              <w:ind w:left="9" w:right="3"/>
              <w:rPr>
                <w:b/>
                <w:sz w:val="22"/>
              </w:rPr>
            </w:pPr>
            <w:r>
              <w:rPr>
                <w:b/>
                <w:spacing w:val="-5"/>
                <w:sz w:val="22"/>
              </w:rPr>
              <w:t>777</w:t>
            </w:r>
          </w:p>
        </w:tc>
        <w:tc>
          <w:tcPr>
            <w:tcW w:w="1122" w:type="dxa"/>
            <w:tcBorders>
              <w:bottom w:val="single" w:sz="4" w:space="0" w:color="000000"/>
            </w:tcBorders>
          </w:tcPr>
          <w:p>
            <w:pPr>
              <w:pStyle w:val="TableParagraph"/>
              <w:spacing w:line="252" w:lineRule="exact" w:before="6"/>
              <w:ind w:right="1"/>
              <w:rPr>
                <w:b/>
                <w:sz w:val="22"/>
              </w:rPr>
            </w:pPr>
            <w:r>
              <w:rPr>
                <w:b/>
                <w:spacing w:val="-4"/>
                <w:sz w:val="22"/>
              </w:rPr>
              <w:t>2391</w:t>
            </w:r>
          </w:p>
        </w:tc>
        <w:tc>
          <w:tcPr>
            <w:tcW w:w="1122" w:type="dxa"/>
            <w:tcBorders>
              <w:bottom w:val="single" w:sz="4" w:space="0" w:color="000000"/>
            </w:tcBorders>
          </w:tcPr>
          <w:p>
            <w:pPr>
              <w:pStyle w:val="TableParagraph"/>
              <w:spacing w:line="252" w:lineRule="exact" w:before="6"/>
              <w:ind w:right="3"/>
              <w:rPr>
                <w:b/>
                <w:sz w:val="22"/>
              </w:rPr>
            </w:pPr>
            <w:r>
              <w:rPr>
                <w:b/>
                <w:spacing w:val="-4"/>
                <w:sz w:val="22"/>
              </w:rPr>
              <w:t>1389</w:t>
            </w:r>
          </w:p>
        </w:tc>
        <w:tc>
          <w:tcPr>
            <w:tcW w:w="1123" w:type="dxa"/>
            <w:tcBorders>
              <w:bottom w:val="single" w:sz="4" w:space="0" w:color="000000"/>
            </w:tcBorders>
          </w:tcPr>
          <w:p>
            <w:pPr>
              <w:pStyle w:val="TableParagraph"/>
              <w:spacing w:line="252" w:lineRule="exact" w:before="6"/>
              <w:ind w:right="3"/>
              <w:rPr>
                <w:b/>
                <w:sz w:val="22"/>
              </w:rPr>
            </w:pPr>
            <w:r>
              <w:rPr>
                <w:b/>
                <w:spacing w:val="-5"/>
                <w:sz w:val="22"/>
              </w:rPr>
              <w:t>905</w:t>
            </w:r>
          </w:p>
        </w:tc>
        <w:tc>
          <w:tcPr>
            <w:tcW w:w="1075" w:type="dxa"/>
            <w:tcBorders>
              <w:bottom w:val="single" w:sz="4" w:space="0" w:color="000000"/>
            </w:tcBorders>
          </w:tcPr>
          <w:p>
            <w:pPr>
              <w:pStyle w:val="TableParagraph"/>
              <w:spacing w:line="252" w:lineRule="exact" w:before="6"/>
              <w:ind w:left="59" w:right="4"/>
              <w:rPr>
                <w:b/>
                <w:sz w:val="22"/>
              </w:rPr>
            </w:pPr>
            <w:r>
              <w:rPr>
                <w:b/>
                <w:spacing w:val="-5"/>
                <w:sz w:val="22"/>
              </w:rPr>
              <w:t>578</w:t>
            </w:r>
          </w:p>
        </w:tc>
        <w:tc>
          <w:tcPr>
            <w:tcW w:w="835" w:type="dxa"/>
            <w:tcBorders>
              <w:bottom w:val="single" w:sz="4" w:space="0" w:color="000000"/>
            </w:tcBorders>
          </w:tcPr>
          <w:p>
            <w:pPr>
              <w:pStyle w:val="TableParagraph"/>
              <w:spacing w:line="252" w:lineRule="exact" w:before="6"/>
              <w:ind w:left="24" w:right="1"/>
              <w:rPr>
                <w:b/>
                <w:sz w:val="22"/>
              </w:rPr>
            </w:pPr>
            <w:r>
              <w:rPr>
                <w:b/>
                <w:spacing w:val="-5"/>
                <w:sz w:val="22"/>
              </w:rPr>
              <w:t>304</w:t>
            </w:r>
          </w:p>
        </w:tc>
        <w:tc>
          <w:tcPr>
            <w:tcW w:w="989" w:type="dxa"/>
            <w:tcBorders>
              <w:bottom w:val="single" w:sz="4" w:space="0" w:color="000000"/>
              <w:right w:val="single" w:sz="4" w:space="0" w:color="000000"/>
            </w:tcBorders>
          </w:tcPr>
          <w:p>
            <w:pPr>
              <w:pStyle w:val="TableParagraph"/>
              <w:spacing w:line="252" w:lineRule="exact" w:before="6"/>
              <w:ind w:left="2" w:right="17"/>
              <w:rPr>
                <w:b/>
                <w:sz w:val="22"/>
              </w:rPr>
            </w:pPr>
            <w:r>
              <w:rPr>
                <w:b/>
                <w:spacing w:val="-4"/>
                <w:sz w:val="22"/>
              </w:rPr>
              <w:t>6346</w:t>
            </w:r>
          </w:p>
        </w:tc>
      </w:tr>
    </w:tbl>
    <w:p>
      <w:pPr>
        <w:pStyle w:val="BodyText"/>
        <w:rPr>
          <w:sz w:val="20"/>
        </w:rPr>
      </w:pPr>
    </w:p>
    <w:p>
      <w:pPr>
        <w:pStyle w:val="BodyText"/>
        <w:spacing w:before="220"/>
        <w:rPr>
          <w:sz w:val="20"/>
        </w:rPr>
      </w:pPr>
      <w:r>
        <w:rPr/>
        <w:drawing>
          <wp:anchor distT="0" distB="0" distL="0" distR="0" allowOverlap="1" layoutInCell="1" locked="0" behindDoc="1" simplePos="0" relativeHeight="487588352">
            <wp:simplePos x="0" y="0"/>
            <wp:positionH relativeFrom="page">
              <wp:posOffset>685800</wp:posOffset>
            </wp:positionH>
            <wp:positionV relativeFrom="paragraph">
              <wp:posOffset>310552</wp:posOffset>
            </wp:positionV>
            <wp:extent cx="6320285" cy="278434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6320285" cy="2784348"/>
                    </a:xfrm>
                    <a:prstGeom prst="rect">
                      <a:avLst/>
                    </a:prstGeom>
                  </pic:spPr>
                </pic:pic>
              </a:graphicData>
            </a:graphic>
          </wp:anchor>
        </w:drawing>
      </w:r>
    </w:p>
    <w:p>
      <w:pPr>
        <w:tabs>
          <w:tab w:pos="820" w:val="left" w:leader="none"/>
        </w:tabs>
        <w:spacing w:before="3"/>
        <w:ind w:left="460" w:right="0" w:firstLine="0"/>
        <w:jc w:val="left"/>
        <w:rPr>
          <w:sz w:val="20"/>
        </w:rPr>
      </w:pPr>
      <w:r>
        <w:rPr>
          <w:spacing w:val="-5"/>
          <w:sz w:val="20"/>
        </w:rPr>
        <w:t>1.</w:t>
      </w:r>
      <w:r>
        <w:rPr>
          <w:sz w:val="20"/>
        </w:rPr>
        <w:tab/>
        <w:t>Includes</w:t>
      </w:r>
      <w:r>
        <w:rPr>
          <w:spacing w:val="-7"/>
          <w:sz w:val="20"/>
        </w:rPr>
        <w:t> </w:t>
      </w:r>
      <w:r>
        <w:rPr>
          <w:sz w:val="20"/>
        </w:rPr>
        <w:t>all</w:t>
      </w:r>
      <w:r>
        <w:rPr>
          <w:spacing w:val="-6"/>
          <w:sz w:val="20"/>
        </w:rPr>
        <w:t> </w:t>
      </w:r>
      <w:r>
        <w:rPr>
          <w:sz w:val="20"/>
        </w:rPr>
        <w:t>incidents</w:t>
      </w:r>
      <w:r>
        <w:rPr>
          <w:spacing w:val="-4"/>
          <w:sz w:val="20"/>
        </w:rPr>
        <w:t> </w:t>
      </w:r>
      <w:r>
        <w:rPr>
          <w:sz w:val="20"/>
        </w:rPr>
        <w:t>where</w:t>
      </w:r>
      <w:r>
        <w:rPr>
          <w:spacing w:val="-6"/>
          <w:sz w:val="20"/>
        </w:rPr>
        <w:t> </w:t>
      </w:r>
      <w:r>
        <w:rPr>
          <w:sz w:val="20"/>
        </w:rPr>
        <w:t>the</w:t>
      </w:r>
      <w:r>
        <w:rPr>
          <w:spacing w:val="-6"/>
          <w:sz w:val="20"/>
        </w:rPr>
        <w:t> </w:t>
      </w:r>
      <w:r>
        <w:rPr>
          <w:sz w:val="20"/>
        </w:rPr>
        <w:t>patient</w:t>
      </w:r>
      <w:r>
        <w:rPr>
          <w:spacing w:val="-5"/>
          <w:sz w:val="20"/>
        </w:rPr>
        <w:t> </w:t>
      </w:r>
      <w:r>
        <w:rPr>
          <w:sz w:val="20"/>
        </w:rPr>
        <w:t>was</w:t>
      </w:r>
      <w:r>
        <w:rPr>
          <w:spacing w:val="-6"/>
          <w:sz w:val="20"/>
        </w:rPr>
        <w:t> </w:t>
      </w:r>
      <w:r>
        <w:rPr>
          <w:sz w:val="20"/>
        </w:rPr>
        <w:t>11</w:t>
      </w:r>
      <w:r>
        <w:rPr>
          <w:spacing w:val="-5"/>
          <w:sz w:val="20"/>
        </w:rPr>
        <w:t> </w:t>
      </w:r>
      <w:r>
        <w:rPr>
          <w:sz w:val="20"/>
        </w:rPr>
        <w:t>years</w:t>
      </w:r>
      <w:r>
        <w:rPr>
          <w:spacing w:val="-7"/>
          <w:sz w:val="20"/>
        </w:rPr>
        <w:t> </w:t>
      </w:r>
      <w:r>
        <w:rPr>
          <w:sz w:val="20"/>
        </w:rPr>
        <w:t>old</w:t>
      </w:r>
      <w:r>
        <w:rPr>
          <w:spacing w:val="-5"/>
          <w:sz w:val="20"/>
        </w:rPr>
        <w:t> </w:t>
      </w:r>
      <w:r>
        <w:rPr>
          <w:sz w:val="20"/>
        </w:rPr>
        <w:t>or</w:t>
      </w:r>
      <w:r>
        <w:rPr>
          <w:spacing w:val="-5"/>
          <w:sz w:val="20"/>
        </w:rPr>
        <w:t> </w:t>
      </w:r>
      <w:r>
        <w:rPr>
          <w:spacing w:val="-2"/>
          <w:sz w:val="20"/>
        </w:rPr>
        <w:t>older.</w:t>
      </w:r>
    </w:p>
    <w:p>
      <w:pPr>
        <w:spacing w:after="0"/>
        <w:jc w:val="left"/>
        <w:rPr>
          <w:sz w:val="20"/>
        </w:rPr>
        <w:sectPr>
          <w:pgSz w:w="12240" w:h="15840"/>
          <w:pgMar w:header="0" w:footer="922" w:top="1180" w:bottom="1120" w:left="620" w:right="1000"/>
        </w:sectPr>
      </w:pPr>
    </w:p>
    <w:p>
      <w:pPr>
        <w:pStyle w:val="BodyText"/>
        <w:ind w:left="100"/>
        <w:rPr>
          <w:sz w:val="20"/>
        </w:rPr>
      </w:pPr>
      <w:r>
        <w:rPr>
          <w:sz w:val="20"/>
        </w:rPr>
        <w:drawing>
          <wp:inline distT="0" distB="0" distL="0" distR="0">
            <wp:extent cx="6623274" cy="3014662"/>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623274" cy="3014662"/>
                    </a:xfrm>
                    <a:prstGeom prst="rect">
                      <a:avLst/>
                    </a:prstGeom>
                  </pic:spPr>
                </pic:pic>
              </a:graphicData>
            </a:graphic>
          </wp:inline>
        </w:drawing>
      </w:r>
      <w:r>
        <w:rPr>
          <w:sz w:val="20"/>
        </w:rPr>
      </w:r>
    </w:p>
    <w:p>
      <w:pPr>
        <w:pStyle w:val="BodyText"/>
      </w:pPr>
    </w:p>
    <w:p>
      <w:pPr>
        <w:pStyle w:val="BodyText"/>
      </w:pPr>
    </w:p>
    <w:p>
      <w:pPr>
        <w:pStyle w:val="BodyText"/>
        <w:spacing w:before="9"/>
      </w:pPr>
    </w:p>
    <w:p>
      <w:pPr>
        <w:pStyle w:val="Heading1"/>
        <w:spacing w:before="1"/>
        <w:ind w:left="100"/>
      </w:pPr>
      <w:r>
        <w:rPr>
          <w:u w:val="single"/>
        </w:rPr>
        <w:t>Technical</w:t>
      </w:r>
      <w:r>
        <w:rPr>
          <w:spacing w:val="-9"/>
          <w:u w:val="single"/>
        </w:rPr>
        <w:t> </w:t>
      </w:r>
      <w:r>
        <w:rPr>
          <w:spacing w:val="-2"/>
          <w:u w:val="single"/>
        </w:rPr>
        <w:t>Notes</w:t>
      </w:r>
    </w:p>
    <w:p>
      <w:pPr>
        <w:pStyle w:val="BodyText"/>
        <w:spacing w:before="201"/>
        <w:rPr>
          <w:b/>
        </w:rPr>
      </w:pPr>
    </w:p>
    <w:p>
      <w:pPr>
        <w:pStyle w:val="BodyText"/>
        <w:spacing w:before="1"/>
        <w:ind w:left="100" w:right="409"/>
      </w:pPr>
      <w:r>
        <w:rPr/>
        <w:t>This data brief was supported by funds made available from the Centers for Disease Control and Prevention, Office for State, Tribal, Local and Territorial Support, under B01OT009024. The findings of this data brief are those</w:t>
      </w:r>
      <w:r>
        <w:rPr>
          <w:spacing w:val="-3"/>
        </w:rPr>
        <w:t> </w:t>
      </w:r>
      <w:r>
        <w:rPr/>
        <w:t>of</w:t>
      </w:r>
      <w:r>
        <w:rPr>
          <w:spacing w:val="-4"/>
        </w:rPr>
        <w:t> </w:t>
      </w:r>
      <w:r>
        <w:rPr/>
        <w:t>the</w:t>
      </w:r>
      <w:r>
        <w:rPr>
          <w:spacing w:val="-1"/>
        </w:rPr>
        <w:t> </w:t>
      </w:r>
      <w:r>
        <w:rPr/>
        <w:t>authors</w:t>
      </w:r>
      <w:r>
        <w:rPr>
          <w:spacing w:val="-4"/>
        </w:rPr>
        <w:t> </w:t>
      </w:r>
      <w:r>
        <w:rPr/>
        <w:t>and</w:t>
      </w:r>
      <w:r>
        <w:rPr>
          <w:spacing w:val="-3"/>
        </w:rPr>
        <w:t> </w:t>
      </w:r>
      <w:r>
        <w:rPr/>
        <w:t>do</w:t>
      </w:r>
      <w:r>
        <w:rPr>
          <w:spacing w:val="-1"/>
        </w:rPr>
        <w:t> </w:t>
      </w:r>
      <w:r>
        <w:rPr/>
        <w:t>not</w:t>
      </w:r>
      <w:r>
        <w:rPr>
          <w:spacing w:val="-1"/>
        </w:rPr>
        <w:t> </w:t>
      </w:r>
      <w:r>
        <w:rPr/>
        <w:t>necessarily</w:t>
      </w:r>
      <w:r>
        <w:rPr>
          <w:spacing w:val="-1"/>
        </w:rPr>
        <w:t> </w:t>
      </w:r>
      <w:r>
        <w:rPr/>
        <w:t>represent</w:t>
      </w:r>
      <w:r>
        <w:rPr>
          <w:spacing w:val="-3"/>
        </w:rPr>
        <w:t> </w:t>
      </w:r>
      <w:r>
        <w:rPr/>
        <w:t>the official</w:t>
      </w:r>
      <w:r>
        <w:rPr>
          <w:spacing w:val="-2"/>
        </w:rPr>
        <w:t> </w:t>
      </w:r>
      <w:r>
        <w:rPr/>
        <w:t>position</w:t>
      </w:r>
      <w:r>
        <w:rPr>
          <w:spacing w:val="-4"/>
        </w:rPr>
        <w:t> </w:t>
      </w:r>
      <w:r>
        <w:rPr/>
        <w:t>of</w:t>
      </w:r>
      <w:r>
        <w:rPr>
          <w:spacing w:val="-1"/>
        </w:rPr>
        <w:t> </w:t>
      </w:r>
      <w:r>
        <w:rPr/>
        <w:t>or</w:t>
      </w:r>
      <w:r>
        <w:rPr>
          <w:spacing w:val="-1"/>
        </w:rPr>
        <w:t> </w:t>
      </w:r>
      <w:r>
        <w:rPr/>
        <w:t>endorsement</w:t>
      </w:r>
      <w:r>
        <w:rPr>
          <w:spacing w:val="-1"/>
        </w:rPr>
        <w:t> </w:t>
      </w:r>
      <w:r>
        <w:rPr/>
        <w:t>by</w:t>
      </w:r>
      <w:r>
        <w:rPr>
          <w:spacing w:val="-1"/>
        </w:rPr>
        <w:t> </w:t>
      </w:r>
      <w:r>
        <w:rPr/>
        <w:t>the</w:t>
      </w:r>
      <w:r>
        <w:rPr>
          <w:spacing w:val="-1"/>
        </w:rPr>
        <w:t> </w:t>
      </w:r>
      <w:r>
        <w:rPr/>
        <w:t>Centers</w:t>
      </w:r>
      <w:r>
        <w:rPr>
          <w:spacing w:val="-4"/>
        </w:rPr>
        <w:t> </w:t>
      </w:r>
      <w:r>
        <w:rPr/>
        <w:t>for Disease Control and Prevention.</w:t>
      </w:r>
    </w:p>
    <w:sectPr>
      <w:pgSz w:w="12240" w:h="15840"/>
      <w:pgMar w:header="0" w:footer="922" w:top="960" w:bottom="1120" w:left="6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5360">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15941120"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7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
      <w:ind w:left="10"/>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2024-12-31T15:58:30Z</dcterms:created>
  <dcterms:modified xsi:type="dcterms:W3CDTF">2024-12-31T15:58:30Z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