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73B" w:rsidRDefault="002161A8">
      <w:pPr>
        <w:pStyle w:val="Body"/>
        <w:rPr>
          <w:sz w:val="28"/>
          <w:szCs w:val="28"/>
        </w:rPr>
      </w:pPr>
      <w:bookmarkStart w:id="0" w:name="_GoBack"/>
      <w:bookmarkEnd w:id="0"/>
      <w:r>
        <w:rPr>
          <w:noProof/>
        </w:rPr>
        <w:drawing>
          <wp:anchor distT="0" distB="0" distL="114300" distR="114300" simplePos="0" relativeHeight="251659264" behindDoc="1" locked="0" layoutInCell="1" allowOverlap="1" wp14:anchorId="08509E62" wp14:editId="17D8CCFA">
            <wp:simplePos x="0" y="0"/>
            <wp:positionH relativeFrom="column">
              <wp:posOffset>-927100</wp:posOffset>
            </wp:positionH>
            <wp:positionV relativeFrom="paragraph">
              <wp:posOffset>-371475</wp:posOffset>
            </wp:positionV>
            <wp:extent cx="7356768" cy="9520704"/>
            <wp:effectExtent l="514350" t="438150" r="796925" b="8045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_report.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356768" cy="9520704"/>
                    </a:xfrm>
                    <a:prstGeom prst="rect">
                      <a:avLst/>
                    </a:prstGeom>
                    <a:solidFill>
                      <a:srgbClr val="000000">
                        <a:shade val="95000"/>
                      </a:srgbClr>
                    </a:solidFill>
                    <a:ln w="444500" cap="sq">
                      <a:solidFill>
                        <a:schemeClr val="bg1"/>
                      </a:solidFill>
                      <a:miter lim="800000"/>
                    </a:ln>
                    <a:effectLst>
                      <a:outerShdw blurRad="254000" dist="190500" dir="2700000" sy="90000" algn="bl" rotWithShape="0">
                        <a:srgbClr val="000000">
                          <a:alpha val="40000"/>
                        </a:srgbClr>
                      </a:outerShdw>
                    </a:effectLst>
                  </pic:spPr>
                </pic:pic>
              </a:graphicData>
            </a:graphic>
            <wp14:sizeRelH relativeFrom="page">
              <wp14:pctWidth>0</wp14:pctWidth>
            </wp14:sizeRelH>
            <wp14:sizeRelV relativeFrom="page">
              <wp14:pctHeight>0</wp14:pctHeight>
            </wp14:sizeRelV>
          </wp:anchor>
        </w:drawing>
      </w:r>
    </w:p>
    <w:p w:rsidR="002161A8" w:rsidRDefault="002161A8" w:rsidP="002161A8">
      <w:pPr>
        <w:spacing w:before="100" w:beforeAutospacing="1" w:after="480"/>
        <w:ind w:left="-1584"/>
      </w:pPr>
    </w:p>
    <w:p w:rsidR="002161A8" w:rsidRDefault="002161A8" w:rsidP="002161A8">
      <w:pPr>
        <w:spacing w:before="100" w:beforeAutospacing="1" w:after="480"/>
        <w:ind w:left="-1584"/>
      </w:pPr>
    </w:p>
    <w:p w:rsidR="002161A8" w:rsidRDefault="002161A8" w:rsidP="002161A8">
      <w:pPr>
        <w:spacing w:before="100" w:beforeAutospacing="1" w:after="480"/>
        <w:ind w:left="-1584"/>
      </w:pPr>
    </w:p>
    <w:p w:rsidR="002161A8" w:rsidRDefault="002161A8" w:rsidP="002161A8">
      <w:pPr>
        <w:spacing w:before="100" w:beforeAutospacing="1" w:after="480"/>
        <w:ind w:left="-1584"/>
      </w:pPr>
    </w:p>
    <w:p w:rsidR="002161A8" w:rsidRDefault="00E16161" w:rsidP="002161A8">
      <w:pPr>
        <w:tabs>
          <w:tab w:val="left" w:pos="2913"/>
        </w:tabs>
        <w:spacing w:before="100" w:beforeAutospacing="1" w:after="480"/>
        <w:ind w:left="-1584"/>
      </w:pPr>
      <w:r>
        <w:rPr>
          <w:noProof/>
        </w:rPr>
        <mc:AlternateContent>
          <mc:Choice Requires="wps">
            <w:drawing>
              <wp:anchor distT="0" distB="0" distL="114300" distR="114300" simplePos="0" relativeHeight="251660288" behindDoc="0" locked="0" layoutInCell="1" allowOverlap="1" wp14:anchorId="7BF47FCB" wp14:editId="6DD777F1">
                <wp:simplePos x="0" y="0"/>
                <wp:positionH relativeFrom="column">
                  <wp:posOffset>-209550</wp:posOffset>
                </wp:positionH>
                <wp:positionV relativeFrom="paragraph">
                  <wp:posOffset>414020</wp:posOffset>
                </wp:positionV>
                <wp:extent cx="5791200" cy="3046095"/>
                <wp:effectExtent l="0" t="0" r="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3046095"/>
                        </a:xfrm>
                        <a:prstGeom prst="rect">
                          <a:avLst/>
                        </a:prstGeom>
                        <a:solidFill>
                          <a:srgbClr val="FFFFFF"/>
                        </a:solidFill>
                        <a:ln w="9525">
                          <a:noFill/>
                          <a:miter lim="800000"/>
                          <a:headEnd/>
                          <a:tailEnd/>
                        </a:ln>
                      </wps:spPr>
                      <wps:txbx>
                        <w:txbxContent>
                          <w:p w:rsidR="00EA5029" w:rsidRDefault="00EA5029" w:rsidP="002161A8">
                            <w:pPr>
                              <w:spacing w:line="800" w:lineRule="exact"/>
                              <w:jc w:val="center"/>
                              <w:rPr>
                                <w:rFonts w:ascii="Adobe Garamond Pro Bold" w:hAnsi="Adobe Garamond Pro Bold"/>
                                <w:b/>
                                <w:color w:val="043064"/>
                                <w:sz w:val="72"/>
                                <w:szCs w:val="72"/>
                              </w:rPr>
                            </w:pPr>
                          </w:p>
                          <w:p w:rsidR="00EA5029" w:rsidRDefault="00EA5029" w:rsidP="002161A8">
                            <w:pPr>
                              <w:spacing w:line="800" w:lineRule="exact"/>
                              <w:jc w:val="center"/>
                              <w:rPr>
                                <w:rFonts w:ascii="Adobe Garamond Pro Bold" w:hAnsi="Adobe Garamond Pro Bold"/>
                                <w:b/>
                                <w:color w:val="043064"/>
                                <w:sz w:val="72"/>
                                <w:szCs w:val="72"/>
                              </w:rPr>
                            </w:pPr>
                          </w:p>
                          <w:p w:rsidR="00EA5029" w:rsidRDefault="00EA5029" w:rsidP="002161A8">
                            <w:pPr>
                              <w:spacing w:line="800" w:lineRule="exact"/>
                              <w:jc w:val="center"/>
                            </w:pPr>
                            <w:r>
                              <w:rPr>
                                <w:rFonts w:ascii="Adobe Garamond Pro Bold" w:hAnsi="Adobe Garamond Pro Bold"/>
                                <w:b/>
                                <w:color w:val="043064"/>
                                <w:sz w:val="72"/>
                                <w:szCs w:val="72"/>
                              </w:rPr>
                              <w:t>Employment Services Program Report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6.5pt;margin-top:32.6pt;width:456pt;height:23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" stroked="f">
                <v:textbox>
                  <w:txbxContent>
                    <w:p w:rsidR="00EA5029" w:rsidRDefault="00EA5029" w:rsidP="002161A8">
                      <w:pPr>
                        <w:spacing w:line="800" w:lineRule="exact"/>
                        <w:jc w:val="center"/>
                        <w:rPr>
                          <w:rFonts w:ascii="Adobe Garamond Pro Bold" w:hAnsi="Adobe Garamond Pro Bold"/>
                          <w:b/>
                          <w:color w:val="043064"/>
                          <w:sz w:val="72"/>
                          <w:szCs w:val="72"/>
                        </w:rPr>
                      </w:pPr>
                    </w:p>
                    <w:p w:rsidR="00EA5029" w:rsidRDefault="00EA5029" w:rsidP="002161A8">
                      <w:pPr>
                        <w:spacing w:line="800" w:lineRule="exact"/>
                        <w:jc w:val="center"/>
                        <w:rPr>
                          <w:rFonts w:ascii="Adobe Garamond Pro Bold" w:hAnsi="Adobe Garamond Pro Bold"/>
                          <w:b/>
                          <w:color w:val="043064"/>
                          <w:sz w:val="72"/>
                          <w:szCs w:val="72"/>
                        </w:rPr>
                      </w:pPr>
                    </w:p>
                    <w:p w:rsidR="00EA5029" w:rsidRDefault="00EA5029" w:rsidP="002161A8">
                      <w:pPr>
                        <w:spacing w:line="800" w:lineRule="exact"/>
                        <w:jc w:val="center"/>
                      </w:pPr>
                      <w:r>
                        <w:rPr>
                          <w:rFonts w:ascii="Adobe Garamond Pro Bold" w:hAnsi="Adobe Garamond Pro Bold"/>
                          <w:b/>
                          <w:color w:val="043064"/>
                          <w:sz w:val="72"/>
                          <w:szCs w:val="72"/>
                        </w:rPr>
                        <w:t>Employment Services Program Report</w:t>
                      </w:r>
                    </w:p>
                  </w:txbxContent>
                </v:textbox>
              </v:shape>
            </w:pict>
          </mc:Fallback>
        </mc:AlternateContent>
      </w:r>
      <w:r w:rsidR="002161A8">
        <w:tab/>
      </w:r>
    </w:p>
    <w:p w:rsidR="002161A8" w:rsidRDefault="002161A8" w:rsidP="002161A8">
      <w:pPr>
        <w:spacing w:before="100" w:beforeAutospacing="1" w:after="480"/>
        <w:ind w:left="-1584"/>
      </w:pPr>
    </w:p>
    <w:p w:rsidR="002161A8" w:rsidRDefault="002161A8" w:rsidP="002161A8">
      <w:pPr>
        <w:spacing w:before="100" w:beforeAutospacing="1" w:after="480"/>
        <w:ind w:left="-1584"/>
      </w:pPr>
    </w:p>
    <w:p w:rsidR="002161A8" w:rsidRDefault="002161A8" w:rsidP="002161A8">
      <w:pPr>
        <w:tabs>
          <w:tab w:val="left" w:pos="3433"/>
        </w:tabs>
        <w:spacing w:before="100" w:beforeAutospacing="1" w:after="480"/>
        <w:ind w:left="-1584"/>
      </w:pPr>
    </w:p>
    <w:p w:rsidR="002161A8" w:rsidRDefault="002161A8" w:rsidP="002161A8">
      <w:pPr>
        <w:spacing w:before="100" w:beforeAutospacing="1" w:after="480"/>
        <w:ind w:left="-1584"/>
      </w:pPr>
    </w:p>
    <w:p w:rsidR="002161A8" w:rsidRDefault="002161A8" w:rsidP="002161A8">
      <w:pPr>
        <w:spacing w:before="100" w:beforeAutospacing="1" w:after="480"/>
        <w:ind w:left="-1584"/>
      </w:pPr>
    </w:p>
    <w:p w:rsidR="002161A8" w:rsidRPr="00E02475" w:rsidRDefault="002161A8" w:rsidP="002161A8"/>
    <w:p w:rsidR="00AF273B" w:rsidRDefault="002161A8" w:rsidP="008E5EFF">
      <w:pPr>
        <w:pStyle w:val="Body"/>
        <w:spacing w:after="0" w:line="240" w:lineRule="auto"/>
        <w:sectPr w:rsidR="00AF273B">
          <w:headerReference w:type="default" r:id="rId10"/>
          <w:footerReference w:type="default" r:id="rId11"/>
          <w:pgSz w:w="12240" w:h="15840"/>
          <w:pgMar w:top="1440" w:right="1800" w:bottom="1440" w:left="1800" w:header="720" w:footer="720" w:gutter="0"/>
          <w:cols w:space="720"/>
          <w:titlePg/>
        </w:sectPr>
      </w:pPr>
      <w:r>
        <w:rPr>
          <w:noProof/>
        </w:rPr>
        <mc:AlternateContent>
          <mc:Choice Requires="wps">
            <w:drawing>
              <wp:anchor distT="0" distB="0" distL="114300" distR="114300" simplePos="0" relativeHeight="251661312" behindDoc="0" locked="0" layoutInCell="1" allowOverlap="1" wp14:anchorId="0E6A245F" wp14:editId="19021752">
                <wp:simplePos x="0" y="0"/>
                <wp:positionH relativeFrom="column">
                  <wp:posOffset>1616710</wp:posOffset>
                </wp:positionH>
                <wp:positionV relativeFrom="paragraph">
                  <wp:posOffset>1118235</wp:posOffset>
                </wp:positionV>
                <wp:extent cx="2481580" cy="967105"/>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1580" cy="967105"/>
                        </a:xfrm>
                        <a:prstGeom prst="rect">
                          <a:avLst/>
                        </a:prstGeom>
                        <a:solidFill>
                          <a:srgbClr val="FFFFFF"/>
                        </a:solidFill>
                        <a:ln w="9525">
                          <a:noFill/>
                          <a:miter lim="800000"/>
                          <a:headEnd/>
                          <a:tailEnd/>
                        </a:ln>
                      </wps:spPr>
                      <wps:txbx>
                        <w:txbxContent>
                          <w:p w:rsidR="00EA5029" w:rsidRPr="00E02475" w:rsidRDefault="00385781" w:rsidP="002161A8">
                            <w:pPr>
                              <w:jc w:val="center"/>
                              <w:rPr>
                                <w:rFonts w:ascii="Adobe Garamond Pro Bold" w:hAnsi="Adobe Garamond Pro Bold"/>
                                <w:sz w:val="48"/>
                                <w:szCs w:val="48"/>
                              </w:rPr>
                            </w:pPr>
                            <w:r>
                              <w:rPr>
                                <w:rFonts w:ascii="Adobe Garamond Pro Bold" w:hAnsi="Adobe Garamond Pro Bold"/>
                                <w:b/>
                                <w:color w:val="043064"/>
                                <w:sz w:val="48"/>
                                <w:szCs w:val="48"/>
                              </w:rPr>
                              <w:t>April</w:t>
                            </w:r>
                            <w:r w:rsidR="00EA5029">
                              <w:rPr>
                                <w:rFonts w:ascii="Adobe Garamond Pro Bold" w:hAnsi="Adobe Garamond Pro Bold"/>
                                <w:b/>
                                <w:color w:val="043064"/>
                                <w:sz w:val="48"/>
                                <w:szCs w:val="48"/>
                              </w:rPr>
                              <w:t xml:space="preserve"> 201</w:t>
                            </w:r>
                            <w:r w:rsidR="008324FC">
                              <w:rPr>
                                <w:rFonts w:ascii="Adobe Garamond Pro Bold" w:hAnsi="Adobe Garamond Pro Bold"/>
                                <w:b/>
                                <w:color w:val="043064"/>
                                <w:sz w:val="48"/>
                                <w:szCs w:val="48"/>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27.3pt;margin-top:88.05pt;width:195.4pt;height:7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" stroked="f">
                <v:textbox>
                  <w:txbxContent>
                    <w:p w:rsidR="00EA5029" w:rsidRPr="00E02475" w:rsidRDefault="00385781" w:rsidP="002161A8">
                      <w:pPr>
                        <w:jc w:val="center"/>
                        <w:rPr>
                          <w:rFonts w:ascii="Adobe Garamond Pro Bold" w:hAnsi="Adobe Garamond Pro Bold"/>
                          <w:sz w:val="48"/>
                          <w:szCs w:val="48"/>
                        </w:rPr>
                      </w:pPr>
                      <w:r>
                        <w:rPr>
                          <w:rFonts w:ascii="Adobe Garamond Pro Bold" w:hAnsi="Adobe Garamond Pro Bold"/>
                          <w:b/>
                          <w:color w:val="043064"/>
                          <w:sz w:val="48"/>
                          <w:szCs w:val="48"/>
                        </w:rPr>
                        <w:t>April</w:t>
                      </w:r>
                      <w:r w:rsidR="00EA5029">
                        <w:rPr>
                          <w:rFonts w:ascii="Adobe Garamond Pro Bold" w:hAnsi="Adobe Garamond Pro Bold"/>
                          <w:b/>
                          <w:color w:val="043064"/>
                          <w:sz w:val="48"/>
                          <w:szCs w:val="48"/>
                        </w:rPr>
                        <w:t xml:space="preserve"> 201</w:t>
                      </w:r>
                      <w:r w:rsidR="008324FC">
                        <w:rPr>
                          <w:rFonts w:ascii="Adobe Garamond Pro Bold" w:hAnsi="Adobe Garamond Pro Bold"/>
                          <w:b/>
                          <w:color w:val="043064"/>
                          <w:sz w:val="48"/>
                          <w:szCs w:val="48"/>
                        </w:rPr>
                        <w:t>8</w:t>
                      </w:r>
                    </w:p>
                  </w:txbxContent>
                </v:textbox>
              </v:shape>
            </w:pict>
          </mc:Fallback>
        </mc:AlternateContent>
      </w:r>
    </w:p>
    <w:p w:rsidR="00A7240C" w:rsidRPr="00B6148E" w:rsidRDefault="00B6148E" w:rsidP="00B6148E">
      <w:pPr>
        <w:pStyle w:val="Header"/>
        <w:pBdr>
          <w:top w:val="none" w:sz="0" w:space="0" w:color="auto"/>
          <w:left w:val="none" w:sz="0" w:space="0" w:color="auto"/>
          <w:bottom w:val="none" w:sz="0" w:space="0" w:color="auto"/>
          <w:right w:val="none" w:sz="0" w:space="0" w:color="auto"/>
          <w:between w:val="none" w:sz="0" w:space="0" w:color="auto"/>
          <w:bar w:val="none" w:sz="0" w:color="auto"/>
        </w:pBdr>
        <w:tabs>
          <w:tab w:val="center" w:pos="5490"/>
          <w:tab w:val="right" w:pos="8820"/>
        </w:tabs>
        <w:spacing w:after="0" w:line="240" w:lineRule="auto"/>
        <w:ind w:right="720"/>
        <w:jc w:val="center"/>
        <w:rPr>
          <w:rFonts w:ascii="Times New Roman" w:hAnsi="Times New Roman" w:cs="Times New Roman"/>
          <w:b/>
          <w:smallCaps/>
          <w:sz w:val="24"/>
          <w:szCs w:val="24"/>
        </w:rPr>
      </w:pPr>
      <w:r>
        <w:rPr>
          <w:rFonts w:ascii="Times New Roman" w:hAnsi="Times New Roman" w:cs="Times New Roman"/>
          <w:b/>
          <w:smallCaps/>
          <w:sz w:val="24"/>
          <w:szCs w:val="24"/>
        </w:rPr>
        <w:lastRenderedPageBreak/>
        <w:t>Report on Employm</w:t>
      </w:r>
      <w:r w:rsidR="00A7240C" w:rsidRPr="00B6148E">
        <w:rPr>
          <w:rFonts w:ascii="Times New Roman" w:hAnsi="Times New Roman" w:cs="Times New Roman"/>
          <w:b/>
          <w:smallCaps/>
          <w:sz w:val="24"/>
          <w:szCs w:val="24"/>
        </w:rPr>
        <w:t>ent Services Program</w:t>
      </w:r>
    </w:p>
    <w:p w:rsidR="00A7240C" w:rsidRPr="00B6148E" w:rsidRDefault="00A7240C" w:rsidP="00F7078B">
      <w:pPr>
        <w:pStyle w:val="Header"/>
        <w:pBdr>
          <w:top w:val="none" w:sz="0" w:space="0" w:color="auto"/>
          <w:left w:val="none" w:sz="0" w:space="0" w:color="auto"/>
          <w:bottom w:val="none" w:sz="0" w:space="0" w:color="auto"/>
          <w:right w:val="none" w:sz="0" w:space="0" w:color="auto"/>
          <w:between w:val="none" w:sz="0" w:space="0" w:color="auto"/>
          <w:bar w:val="none" w:sz="0" w:color="auto"/>
        </w:pBdr>
        <w:tabs>
          <w:tab w:val="center" w:pos="5490"/>
          <w:tab w:val="right" w:pos="8820"/>
        </w:tabs>
        <w:spacing w:after="0" w:line="240" w:lineRule="auto"/>
        <w:ind w:right="720"/>
        <w:jc w:val="center"/>
        <w:rPr>
          <w:rFonts w:ascii="Times New Roman" w:hAnsi="Times New Roman" w:cs="Times New Roman"/>
        </w:rPr>
      </w:pPr>
      <w:r w:rsidRPr="00B6148E">
        <w:rPr>
          <w:rFonts w:ascii="Times New Roman" w:hAnsi="Times New Roman" w:cs="Times New Roman"/>
          <w:i/>
        </w:rPr>
        <w:t>April 2018</w:t>
      </w:r>
    </w:p>
    <w:p w:rsidR="00A7240C" w:rsidRPr="0062259C" w:rsidRDefault="00A7240C" w:rsidP="00DC58F1">
      <w:pPr>
        <w:pStyle w:val="Body"/>
        <w:spacing w:after="0" w:line="240" w:lineRule="auto"/>
        <w:rPr>
          <w:rFonts w:ascii="Times New Roman" w:eastAsia="Times New Roman" w:hAnsi="Times New Roman" w:cs="Times New Roman"/>
          <w:b/>
          <w:bCs/>
          <w:smallCaps/>
          <w:sz w:val="24"/>
          <w:szCs w:val="24"/>
          <w:u w:val="single"/>
        </w:rPr>
      </w:pPr>
    </w:p>
    <w:p w:rsidR="00A7240C" w:rsidRDefault="00A7240C" w:rsidP="00DC58F1">
      <w:pPr>
        <w:pStyle w:val="NormalWeb"/>
        <w:shd w:val="clear" w:color="auto" w:fill="FFFFFF"/>
        <w:spacing w:after="0"/>
        <w:rPr>
          <w:b/>
          <w:smallCaps/>
          <w:lang w:val="en"/>
        </w:rPr>
      </w:pPr>
      <w:r>
        <w:rPr>
          <w:b/>
          <w:smallCaps/>
          <w:lang w:val="en"/>
        </w:rPr>
        <w:t>Overview</w:t>
      </w:r>
    </w:p>
    <w:p w:rsidR="00A7240C" w:rsidRDefault="00A7240C" w:rsidP="00DC58F1">
      <w:pPr>
        <w:pStyle w:val="NormalWeb"/>
        <w:shd w:val="clear" w:color="auto" w:fill="FFFFFF"/>
        <w:spacing w:after="0"/>
        <w:rPr>
          <w:b/>
          <w:smallCaps/>
          <w:lang w:val="en"/>
        </w:rPr>
      </w:pPr>
    </w:p>
    <w:p w:rsidR="00A7240C" w:rsidRDefault="00A7240C" w:rsidP="00DC58F1">
      <w:pPr>
        <w:pStyle w:val="NormalWeb"/>
        <w:shd w:val="clear" w:color="auto" w:fill="FFFFFF"/>
        <w:spacing w:after="0"/>
        <w:rPr>
          <w:lang w:val="en"/>
        </w:rPr>
      </w:pPr>
      <w:r>
        <w:rPr>
          <w:lang w:val="en"/>
        </w:rPr>
        <w:t xml:space="preserve">Pursuant to line item </w:t>
      </w:r>
      <w:r>
        <w:t>4401-1000</w:t>
      </w:r>
      <w:r>
        <w:rPr>
          <w:lang w:val="en"/>
        </w:rPr>
        <w:t xml:space="preserve"> of the FY2018 General Appropriations Act</w:t>
      </w:r>
      <w:r w:rsidR="00744C8F">
        <w:rPr>
          <w:lang w:val="en"/>
        </w:rPr>
        <w:t xml:space="preserve"> (GAA)</w:t>
      </w:r>
      <w:r>
        <w:rPr>
          <w:lang w:val="en"/>
        </w:rPr>
        <w:t>, the Department of Transitional Assistance</w:t>
      </w:r>
      <w:r w:rsidR="00744C8F">
        <w:rPr>
          <w:lang w:val="en"/>
        </w:rPr>
        <w:t xml:space="preserve"> (DTA)</w:t>
      </w:r>
      <w:r>
        <w:rPr>
          <w:lang w:val="en"/>
        </w:rPr>
        <w:t xml:space="preserve"> is required to report on the status of its Employment Services Program as follows:</w:t>
      </w:r>
    </w:p>
    <w:p w:rsidR="00A7240C" w:rsidRDefault="00A7240C" w:rsidP="0062259C">
      <w:pPr>
        <w:pStyle w:val="NormalWeb"/>
        <w:shd w:val="clear" w:color="auto" w:fill="FFFFFF"/>
        <w:spacing w:after="0"/>
        <w:rPr>
          <w:lang w:val="en"/>
        </w:rPr>
      </w:pPr>
    </w:p>
    <w:p w:rsidR="00A7240C" w:rsidRPr="00F7078B" w:rsidRDefault="00A7240C" w:rsidP="00F7078B">
      <w:pPr>
        <w:pStyle w:val="NormalWeb"/>
        <w:shd w:val="clear" w:color="auto" w:fill="FFFFFF"/>
        <w:spacing w:after="0"/>
        <w:ind w:left="720"/>
        <w:rPr>
          <w:lang w:val="en"/>
        </w:rPr>
      </w:pPr>
      <w:r>
        <w:rPr>
          <w:lang w:val="en"/>
        </w:rPr>
        <w:t>“</w:t>
      </w:r>
      <w:r w:rsidRPr="00F7078B">
        <w:rPr>
          <w:lang w:val="en"/>
        </w:rPr>
        <w:t>the department of transitional assistance shall file a report with the house and senate committees on ways and means not later than March 1, 2018 on: (i) the number of clients served by these programs; (ii) the number of clients who transition into employment, when applicable; (iii) the number of clients who remain in employment after 90 days, when applicable; (iv) the number of clients who remain in employment after 1 year, when applicable; and (v) other quantifiable data related to client outcomes as designed by these programs</w:t>
      </w:r>
      <w:r>
        <w:rPr>
          <w:lang w:val="en"/>
        </w:rPr>
        <w:t>”</w:t>
      </w:r>
    </w:p>
    <w:p w:rsidR="00A7240C" w:rsidRDefault="00A7240C" w:rsidP="00DC58F1">
      <w:pPr>
        <w:pStyle w:val="NormalWeb"/>
        <w:shd w:val="clear" w:color="auto" w:fill="FFFFFF"/>
        <w:spacing w:after="0"/>
        <w:rPr>
          <w:b/>
          <w:smallCaps/>
          <w:lang w:val="en"/>
        </w:rPr>
      </w:pPr>
    </w:p>
    <w:p w:rsidR="00A7240C" w:rsidRDefault="00A7240C" w:rsidP="00DC58F1">
      <w:pPr>
        <w:pStyle w:val="NormalWeb"/>
        <w:shd w:val="clear" w:color="auto" w:fill="FFFFFF"/>
        <w:spacing w:after="0"/>
        <w:rPr>
          <w:b/>
          <w:smallCaps/>
          <w:lang w:val="en"/>
        </w:rPr>
      </w:pPr>
    </w:p>
    <w:p w:rsidR="009F2EB3" w:rsidRDefault="00A7240C" w:rsidP="00DC58F1">
      <w:pPr>
        <w:pStyle w:val="NormalWeb"/>
        <w:shd w:val="clear" w:color="auto" w:fill="FFFFFF"/>
        <w:spacing w:after="0"/>
        <w:rPr>
          <w:b/>
          <w:smallCaps/>
          <w:lang w:val="en"/>
        </w:rPr>
      </w:pPr>
      <w:r>
        <w:rPr>
          <w:b/>
          <w:smallCaps/>
          <w:lang w:val="en"/>
        </w:rPr>
        <w:t>Department of Transitional Assistance</w:t>
      </w:r>
    </w:p>
    <w:p w:rsidR="00A7240C" w:rsidRPr="00F7078B" w:rsidRDefault="00A7240C" w:rsidP="00DC58F1">
      <w:pPr>
        <w:pStyle w:val="NormalWeb"/>
        <w:shd w:val="clear" w:color="auto" w:fill="FFFFFF"/>
        <w:spacing w:after="0"/>
        <w:rPr>
          <w:b/>
          <w:smallCaps/>
          <w:lang w:val="en"/>
        </w:rPr>
      </w:pPr>
    </w:p>
    <w:p w:rsidR="00AF6752" w:rsidRDefault="00A47A50" w:rsidP="00DC58F1">
      <w:pPr>
        <w:autoSpaceDE w:val="0"/>
        <w:autoSpaceDN w:val="0"/>
        <w:adjustRightInd w:val="0"/>
        <w:rPr>
          <w:rFonts w:eastAsia="Times New Roman"/>
          <w:bdr w:val="none" w:sz="0" w:space="0" w:color="auto"/>
          <w:lang w:val="en"/>
        </w:rPr>
      </w:pPr>
      <w:r w:rsidRPr="00A47A50">
        <w:rPr>
          <w:rFonts w:eastAsia="Times New Roman"/>
          <w:bdr w:val="none" w:sz="0" w:space="0" w:color="auto"/>
          <w:lang w:val="en"/>
        </w:rPr>
        <w:t>The mission of the Department of Transitional Assistance (DTA) is to assist and empower low-income individuals and families to meet their basic needs, improve their quality of life, and achieve long-term economic self-sufficiency. DTA offers a comprehensive system of programs and supports to achieve this mission, including food and nutritional assistance, economic assistance, and employment supports. DTA serves one out of every eight people in the Commonwealth including working families, children, elders, and people with disabilities.</w:t>
      </w:r>
    </w:p>
    <w:p w:rsidR="00A47A50" w:rsidRPr="00A7240C" w:rsidRDefault="00A47A50" w:rsidP="00DC58F1">
      <w:pPr>
        <w:autoSpaceDE w:val="0"/>
        <w:autoSpaceDN w:val="0"/>
        <w:adjustRightInd w:val="0"/>
      </w:pPr>
    </w:p>
    <w:p w:rsidR="001E62AC" w:rsidRPr="00A7240C" w:rsidRDefault="00AF6752" w:rsidP="00DC58F1">
      <w:pPr>
        <w:autoSpaceDE w:val="0"/>
        <w:autoSpaceDN w:val="0"/>
        <w:adjustRightInd w:val="0"/>
        <w:rPr>
          <w:color w:val="000000"/>
        </w:rPr>
      </w:pPr>
      <w:r w:rsidRPr="00A7240C">
        <w:rPr>
          <w:color w:val="000000"/>
        </w:rPr>
        <w:t xml:space="preserve">Over the past </w:t>
      </w:r>
      <w:r w:rsidR="000F48C7" w:rsidRPr="00A7240C">
        <w:rPr>
          <w:color w:val="000000"/>
        </w:rPr>
        <w:t>three</w:t>
      </w:r>
      <w:r w:rsidRPr="00A7240C">
        <w:rPr>
          <w:color w:val="000000"/>
        </w:rPr>
        <w:t xml:space="preserve"> years, DTA has focused its efforts on implementing the 2014 Welfare Reform Law and </w:t>
      </w:r>
      <w:r w:rsidR="00E74FA2" w:rsidRPr="00A7240C">
        <w:rPr>
          <w:color w:val="000000"/>
        </w:rPr>
        <w:t xml:space="preserve">with that </w:t>
      </w:r>
      <w:r w:rsidRPr="00A7240C">
        <w:rPr>
          <w:color w:val="000000"/>
        </w:rPr>
        <w:t>placing a renewed emphasis on our employment programs</w:t>
      </w:r>
      <w:r w:rsidR="00385781" w:rsidRPr="00A7240C">
        <w:rPr>
          <w:color w:val="000000"/>
        </w:rPr>
        <w:t xml:space="preserve">. </w:t>
      </w:r>
      <w:r w:rsidR="0098070C" w:rsidRPr="00A7240C">
        <w:rPr>
          <w:color w:val="000000"/>
        </w:rPr>
        <w:t>In June of 2016 DTA formally launched Pathway</w:t>
      </w:r>
      <w:r w:rsidR="00557AC8">
        <w:rPr>
          <w:color w:val="000000"/>
        </w:rPr>
        <w:t>s</w:t>
      </w:r>
      <w:r w:rsidR="0098070C" w:rsidRPr="00A7240C">
        <w:rPr>
          <w:color w:val="000000"/>
        </w:rPr>
        <w:t xml:space="preserve"> to Self Sufficiency (PSS)</w:t>
      </w:r>
      <w:r w:rsidR="00385781" w:rsidRPr="00A7240C">
        <w:rPr>
          <w:color w:val="000000"/>
        </w:rPr>
        <w:t xml:space="preserve">. </w:t>
      </w:r>
      <w:r w:rsidR="0098070C" w:rsidRPr="00A7240C">
        <w:t>The goal of PSS is positive client engagement and targeted supports that lead to employment, career pathways</w:t>
      </w:r>
      <w:r w:rsidR="00F2016C">
        <w:t>,</w:t>
      </w:r>
      <w:r w:rsidR="0098070C" w:rsidRPr="0062259C">
        <w:t xml:space="preserve"> and long term economic self-sufficiency</w:t>
      </w:r>
      <w:r w:rsidR="00385781" w:rsidRPr="00A7240C">
        <w:t xml:space="preserve">. </w:t>
      </w:r>
      <w:r w:rsidR="001E62AC" w:rsidRPr="00A7240C">
        <w:rPr>
          <w:color w:val="000000"/>
        </w:rPr>
        <w:t>DTA is also an essential partner in the state’s efforts to implement a broader workforce development strategy through the Workforce Innovation and Opportunity Act (WIOA)</w:t>
      </w:r>
      <w:r w:rsidR="00086C16" w:rsidRPr="00A7240C">
        <w:rPr>
          <w:color w:val="000000"/>
        </w:rPr>
        <w:t xml:space="preserve"> and the Governor’s </w:t>
      </w:r>
      <w:r w:rsidR="00086C16" w:rsidRPr="00A7240C">
        <w:rPr>
          <w:i/>
          <w:color w:val="000000"/>
        </w:rPr>
        <w:t>Learn to Earn</w:t>
      </w:r>
      <w:r w:rsidR="00086C16" w:rsidRPr="00A7240C">
        <w:rPr>
          <w:color w:val="000000"/>
        </w:rPr>
        <w:t xml:space="preserve"> Initiative</w:t>
      </w:r>
      <w:r w:rsidR="001E62AC" w:rsidRPr="00A7240C">
        <w:rPr>
          <w:color w:val="000000"/>
        </w:rPr>
        <w:t>.</w:t>
      </w:r>
    </w:p>
    <w:p w:rsidR="00B42B47" w:rsidRDefault="00B42B47" w:rsidP="00DC58F1">
      <w:pPr>
        <w:autoSpaceDE w:val="0"/>
        <w:autoSpaceDN w:val="0"/>
        <w:adjustRightInd w:val="0"/>
        <w:rPr>
          <w:b/>
          <w:u w:val="single"/>
        </w:rPr>
      </w:pPr>
    </w:p>
    <w:p w:rsidR="00A7240C" w:rsidRPr="0062259C" w:rsidRDefault="00A7240C" w:rsidP="00DC58F1">
      <w:pPr>
        <w:autoSpaceDE w:val="0"/>
        <w:autoSpaceDN w:val="0"/>
        <w:adjustRightInd w:val="0"/>
        <w:rPr>
          <w:b/>
          <w:u w:val="single"/>
        </w:rPr>
      </w:pPr>
    </w:p>
    <w:p w:rsidR="00B42B47" w:rsidRPr="00A7240C" w:rsidRDefault="00A7240C" w:rsidP="00DC58F1">
      <w:pPr>
        <w:pStyle w:val="Body"/>
        <w:spacing w:after="0" w:line="240" w:lineRule="auto"/>
        <w:rPr>
          <w:rFonts w:ascii="Times New Roman" w:eastAsia="Times New Roman" w:hAnsi="Times New Roman" w:cs="Times New Roman"/>
          <w:b/>
          <w:bCs/>
          <w:smallCaps/>
          <w:sz w:val="24"/>
          <w:szCs w:val="24"/>
        </w:rPr>
      </w:pPr>
      <w:r w:rsidRPr="0062259C">
        <w:rPr>
          <w:rFonts w:ascii="Times New Roman" w:eastAsia="Times New Roman" w:hAnsi="Times New Roman" w:cs="Times New Roman"/>
          <w:b/>
          <w:bCs/>
          <w:smallCaps/>
          <w:sz w:val="24"/>
          <w:szCs w:val="24"/>
        </w:rPr>
        <w:t>Employment Services Program</w:t>
      </w:r>
    </w:p>
    <w:p w:rsidR="00A7240C" w:rsidRPr="00F7078B" w:rsidRDefault="00A7240C" w:rsidP="00DC58F1">
      <w:pPr>
        <w:pStyle w:val="Body"/>
        <w:spacing w:after="0" w:line="240" w:lineRule="auto"/>
        <w:rPr>
          <w:rFonts w:ascii="Times New Roman" w:eastAsia="Times New Roman" w:hAnsi="Times New Roman" w:cs="Times New Roman"/>
          <w:b/>
          <w:bCs/>
          <w:smallCaps/>
          <w:sz w:val="24"/>
          <w:szCs w:val="24"/>
        </w:rPr>
      </w:pPr>
    </w:p>
    <w:p w:rsidR="001A0151" w:rsidRPr="00A7240C" w:rsidRDefault="00B42B47" w:rsidP="00DC58F1">
      <w:pPr>
        <w:autoSpaceDE w:val="0"/>
        <w:autoSpaceDN w:val="0"/>
        <w:adjustRightInd w:val="0"/>
      </w:pPr>
      <w:r w:rsidRPr="0062259C">
        <w:t xml:space="preserve">The Employment Services Program (ESP) is an integral part of the </w:t>
      </w:r>
      <w:r w:rsidR="00E74FA2" w:rsidRPr="0062259C">
        <w:t xml:space="preserve">DTA’s </w:t>
      </w:r>
      <w:r w:rsidRPr="00A7240C">
        <w:t>efforts to move clients to work and self-sufficiency</w:t>
      </w:r>
      <w:r w:rsidR="00E16161" w:rsidRPr="00A7240C">
        <w:t xml:space="preserve">. </w:t>
      </w:r>
      <w:r w:rsidRPr="00A7240C">
        <w:t>Each year, the Legislature allocates funding for employment services for Transitional Aid to Families with Dependent Children (TAFDC) clients through the ESP line item. The primary goal of ESP is to assist TAFDC clients in finding jobs, resolving barriers to employment</w:t>
      </w:r>
      <w:r w:rsidR="00744C8F">
        <w:t>,</w:t>
      </w:r>
      <w:r w:rsidRPr="0062259C">
        <w:t xml:space="preserve"> and providing a means to gain</w:t>
      </w:r>
      <w:r w:rsidR="00FC5F75" w:rsidRPr="0062259C">
        <w:t xml:space="preserve"> a pathway to s</w:t>
      </w:r>
      <w:r w:rsidRPr="0062259C">
        <w:t>elf-sufficiency</w:t>
      </w:r>
      <w:r w:rsidR="00E16161" w:rsidRPr="00A7240C">
        <w:t xml:space="preserve">. </w:t>
      </w:r>
      <w:r w:rsidRPr="00A7240C">
        <w:t>Case managers assist TAFDC clients to meet their work program requirements primarily by referring</w:t>
      </w:r>
      <w:r w:rsidR="00B371BE" w:rsidRPr="00A7240C">
        <w:t xml:space="preserve"> them to appropriate activities </w:t>
      </w:r>
      <w:r w:rsidRPr="00A7240C">
        <w:t>for their skill level and goals.</w:t>
      </w:r>
      <w:r w:rsidR="00E74FA2" w:rsidRPr="00A7240C">
        <w:t xml:space="preserve"> </w:t>
      </w:r>
    </w:p>
    <w:p w:rsidR="001A0151" w:rsidRPr="00A7240C" w:rsidRDefault="001A0151" w:rsidP="00DC58F1">
      <w:pPr>
        <w:autoSpaceDE w:val="0"/>
        <w:autoSpaceDN w:val="0"/>
        <w:adjustRightInd w:val="0"/>
      </w:pPr>
    </w:p>
    <w:p w:rsidR="00B42B47" w:rsidRPr="0062259C" w:rsidRDefault="001D365D" w:rsidP="00DC58F1">
      <w:pPr>
        <w:autoSpaceDE w:val="0"/>
        <w:autoSpaceDN w:val="0"/>
        <w:adjustRightInd w:val="0"/>
        <w:rPr>
          <w:b/>
          <w:i/>
        </w:rPr>
      </w:pPr>
      <w:r>
        <w:lastRenderedPageBreak/>
        <w:t>ESP is comprised of a</w:t>
      </w:r>
      <w:r w:rsidR="00B42B47" w:rsidRPr="0062259C">
        <w:t xml:space="preserve"> number of outcome driven (pay-for-performance) programs</w:t>
      </w:r>
      <w:r w:rsidR="00AF6752" w:rsidRPr="0062259C">
        <w:t xml:space="preserve"> </w:t>
      </w:r>
      <w:r>
        <w:t xml:space="preserve">funded </w:t>
      </w:r>
      <w:r w:rsidR="00AF6752" w:rsidRPr="0062259C">
        <w:t>through</w:t>
      </w:r>
      <w:r w:rsidR="00AF6752" w:rsidRPr="00A7240C">
        <w:t xml:space="preserve"> line-item</w:t>
      </w:r>
      <w:r>
        <w:t xml:space="preserve"> 4001-1000 in the FY18 GAA, which</w:t>
      </w:r>
      <w:r w:rsidR="00B42B47" w:rsidRPr="0062259C">
        <w:t xml:space="preserve"> </w:t>
      </w:r>
      <w:r w:rsidR="00B42B47" w:rsidRPr="00A7240C">
        <w:t>include</w:t>
      </w:r>
      <w:r>
        <w:t>s</w:t>
      </w:r>
      <w:r w:rsidR="00B42B47" w:rsidRPr="0062259C">
        <w:t>:</w:t>
      </w:r>
    </w:p>
    <w:p w:rsidR="00CE1563" w:rsidRPr="00A7240C" w:rsidRDefault="00CE1563" w:rsidP="00DC58F1">
      <w:pPr>
        <w:autoSpaceDE w:val="0"/>
        <w:autoSpaceDN w:val="0"/>
        <w:adjustRightInd w:val="0"/>
      </w:pPr>
    </w:p>
    <w:p w:rsidR="00B42B47" w:rsidRPr="0062259C" w:rsidRDefault="00B42B47" w:rsidP="00DC58F1">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 w:rsidRPr="00F7078B">
        <w:t>Competitive Integrated Employment Services (CIES)</w:t>
      </w:r>
      <w:r w:rsidRPr="0062259C">
        <w:t>;</w:t>
      </w:r>
    </w:p>
    <w:p w:rsidR="00FC06C0" w:rsidRPr="00F7078B" w:rsidRDefault="00B42B47" w:rsidP="00DC58F1">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 w:rsidRPr="00F7078B">
        <w:t xml:space="preserve">Office for Refugees and Immigrants (ORI); </w:t>
      </w:r>
    </w:p>
    <w:p w:rsidR="0069682A" w:rsidRPr="00F7078B" w:rsidRDefault="000F48C7" w:rsidP="00DC58F1">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 w:rsidRPr="00F7078B">
        <w:t>Secure</w:t>
      </w:r>
      <w:r w:rsidR="0069682A" w:rsidRPr="00F7078B">
        <w:t xml:space="preserve"> Jobs Program</w:t>
      </w:r>
      <w:r w:rsidR="00A7240C" w:rsidRPr="0062259C">
        <w:t>;</w:t>
      </w:r>
    </w:p>
    <w:p w:rsidR="00B42B47" w:rsidRPr="00F7078B" w:rsidRDefault="002B47D2" w:rsidP="00DC58F1">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
        <w:t>DTA Works Program;</w:t>
      </w:r>
    </w:p>
    <w:p w:rsidR="00B42B47" w:rsidRDefault="002B47D2" w:rsidP="00DC58F1">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
        <w:t>Young Parents Program (YPP); and</w:t>
      </w:r>
    </w:p>
    <w:p w:rsidR="002B47D2" w:rsidRPr="00F7078B" w:rsidRDefault="002B47D2" w:rsidP="00DC58F1">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
        <w:t>Work Participant Program</w:t>
      </w:r>
    </w:p>
    <w:p w:rsidR="00B42B47" w:rsidRPr="0062259C" w:rsidRDefault="00B42B47" w:rsidP="00DC58F1">
      <w:pPr>
        <w:autoSpaceDE w:val="0"/>
        <w:autoSpaceDN w:val="0"/>
        <w:adjustRightInd w:val="0"/>
      </w:pPr>
    </w:p>
    <w:p w:rsidR="000F48C7" w:rsidRPr="00A7240C" w:rsidRDefault="00744C8F" w:rsidP="00DC58F1">
      <w:pPr>
        <w:autoSpaceDE w:val="0"/>
        <w:autoSpaceDN w:val="0"/>
        <w:adjustRightInd w:val="0"/>
      </w:pPr>
      <w:r>
        <w:t xml:space="preserve">Additionally, </w:t>
      </w:r>
      <w:r w:rsidR="000F48C7" w:rsidRPr="00A7240C">
        <w:t xml:space="preserve">funding was included in the </w:t>
      </w:r>
      <w:r>
        <w:t>FY18 GAA</w:t>
      </w:r>
      <w:r w:rsidR="000F48C7" w:rsidRPr="0062259C">
        <w:t xml:space="preserve"> for </w:t>
      </w:r>
      <w:r w:rsidR="005908A2" w:rsidRPr="00A7240C">
        <w:t xml:space="preserve">DTA </w:t>
      </w:r>
      <w:r w:rsidR="000F48C7" w:rsidRPr="00A7240C">
        <w:t xml:space="preserve">to </w:t>
      </w:r>
      <w:r w:rsidR="009F2EB3" w:rsidRPr="00A7240C">
        <w:t>initiate</w:t>
      </w:r>
      <w:r w:rsidR="005908A2" w:rsidRPr="00A7240C">
        <w:t xml:space="preserve"> pilot program</w:t>
      </w:r>
      <w:r w:rsidR="0069682A" w:rsidRPr="00A7240C">
        <w:t xml:space="preserve">s </w:t>
      </w:r>
      <w:r>
        <w:t xml:space="preserve">aimed at </w:t>
      </w:r>
      <w:r w:rsidR="000F48C7" w:rsidRPr="0062259C">
        <w:t>supporting t</w:t>
      </w:r>
      <w:r w:rsidR="0069682A" w:rsidRPr="0062259C">
        <w:t>ransportation</w:t>
      </w:r>
      <w:r w:rsidR="000F48C7" w:rsidRPr="0062259C">
        <w:t xml:space="preserve"> for clients to employment activities</w:t>
      </w:r>
      <w:r w:rsidR="0069682A" w:rsidRPr="00A7240C">
        <w:t xml:space="preserve"> in two areas of Massachusetts.</w:t>
      </w:r>
      <w:r w:rsidR="000F48C7" w:rsidRPr="00A7240C">
        <w:t xml:space="preserve"> </w:t>
      </w:r>
      <w:r w:rsidR="005908A2" w:rsidRPr="00A7240C">
        <w:t>Th</w:t>
      </w:r>
      <w:r w:rsidR="0069682A" w:rsidRPr="00A7240C">
        <w:t xml:space="preserve">e </w:t>
      </w:r>
      <w:r w:rsidR="005908A2" w:rsidRPr="00A7240C">
        <w:t>pilo</w:t>
      </w:r>
      <w:r w:rsidR="0069682A" w:rsidRPr="00A7240C">
        <w:t xml:space="preserve">ts are being performed in Framingham and Worcester, </w:t>
      </w:r>
      <w:r w:rsidR="000F48C7" w:rsidRPr="00A7240C">
        <w:t>and depending upon the outcome of these efforts and availability of funding, they may be expanded.</w:t>
      </w:r>
    </w:p>
    <w:p w:rsidR="00A51BC6" w:rsidRPr="00A7240C" w:rsidRDefault="000F48C7" w:rsidP="00DC58F1">
      <w:pPr>
        <w:autoSpaceDE w:val="0"/>
        <w:autoSpaceDN w:val="0"/>
        <w:adjustRightInd w:val="0"/>
        <w:rPr>
          <w:b/>
          <w:u w:val="single"/>
        </w:rPr>
      </w:pPr>
      <w:r w:rsidRPr="00A7240C">
        <w:rPr>
          <w:b/>
          <w:u w:val="single"/>
        </w:rPr>
        <w:t xml:space="preserve"> </w:t>
      </w:r>
    </w:p>
    <w:p w:rsidR="00A7240C" w:rsidRPr="00A7240C" w:rsidRDefault="00A7240C" w:rsidP="00DC58F1">
      <w:pPr>
        <w:autoSpaceDE w:val="0"/>
        <w:autoSpaceDN w:val="0"/>
        <w:adjustRightInd w:val="0"/>
        <w:rPr>
          <w:b/>
          <w:u w:val="single"/>
        </w:rPr>
      </w:pPr>
    </w:p>
    <w:p w:rsidR="00B42B47" w:rsidRPr="0062259C" w:rsidRDefault="00B42B47" w:rsidP="00DC58F1">
      <w:pPr>
        <w:autoSpaceDE w:val="0"/>
        <w:autoSpaceDN w:val="0"/>
        <w:adjustRightInd w:val="0"/>
        <w:rPr>
          <w:b/>
          <w:smallCaps/>
        </w:rPr>
      </w:pPr>
      <w:r w:rsidRPr="00F7078B">
        <w:rPr>
          <w:b/>
          <w:smallCaps/>
        </w:rPr>
        <w:t>Competitive Integrated Employment Services Program</w:t>
      </w:r>
    </w:p>
    <w:p w:rsidR="00A7240C" w:rsidRPr="00F7078B" w:rsidRDefault="00A7240C" w:rsidP="00DC58F1">
      <w:pPr>
        <w:autoSpaceDE w:val="0"/>
        <w:autoSpaceDN w:val="0"/>
        <w:adjustRightInd w:val="0"/>
        <w:rPr>
          <w:b/>
          <w:smallCaps/>
        </w:rPr>
      </w:pPr>
    </w:p>
    <w:p w:rsidR="001A0151" w:rsidRPr="00A7240C" w:rsidRDefault="001A0151" w:rsidP="00DC58F1">
      <w:pPr>
        <w:autoSpaceDE w:val="0"/>
        <w:autoSpaceDN w:val="0"/>
        <w:adjustRightInd w:val="0"/>
      </w:pPr>
      <w:r w:rsidRPr="0062259C">
        <w:t>In FY10, DTA convert</w:t>
      </w:r>
      <w:r w:rsidR="00A03155" w:rsidRPr="0062259C">
        <w:t>ed</w:t>
      </w:r>
      <w:r w:rsidRPr="0062259C">
        <w:t xml:space="preserve"> much of its funded employment services programs to the Competitive Integrated Employment Services (CIES) program. Under </w:t>
      </w:r>
      <w:r w:rsidRPr="00A7240C">
        <w:t>CIES procurement, overseen by E</w:t>
      </w:r>
      <w:r w:rsidR="00744C8F">
        <w:t>xecutive Office of Health and Human Services (E</w:t>
      </w:r>
      <w:r w:rsidRPr="0062259C">
        <w:t>OHHS</w:t>
      </w:r>
      <w:r w:rsidR="00744C8F">
        <w:t>)</w:t>
      </w:r>
      <w:r w:rsidRPr="0062259C">
        <w:t xml:space="preserve">, new proposals for services are solicited from all potential providers. </w:t>
      </w:r>
    </w:p>
    <w:p w:rsidR="001A0151" w:rsidRPr="00A7240C" w:rsidRDefault="001A0151" w:rsidP="00DC58F1">
      <w:pPr>
        <w:autoSpaceDE w:val="0"/>
        <w:autoSpaceDN w:val="0"/>
        <w:adjustRightInd w:val="0"/>
      </w:pPr>
    </w:p>
    <w:p w:rsidR="00B42B47" w:rsidRPr="00A7240C" w:rsidRDefault="00B42B47" w:rsidP="00DC58F1">
      <w:pPr>
        <w:autoSpaceDE w:val="0"/>
        <w:autoSpaceDN w:val="0"/>
        <w:adjustRightInd w:val="0"/>
      </w:pPr>
      <w:r w:rsidRPr="00A7240C">
        <w:t xml:space="preserve">The </w:t>
      </w:r>
      <w:r w:rsidR="00791A4D" w:rsidRPr="00A7240C">
        <w:t xml:space="preserve">CIES </w:t>
      </w:r>
      <w:r w:rsidRPr="00A7240C">
        <w:t>program is focused upon achieving positive client outcomes</w:t>
      </w:r>
      <w:r w:rsidR="00E16161" w:rsidRPr="00A7240C">
        <w:t xml:space="preserve">. </w:t>
      </w:r>
      <w:r w:rsidRPr="00A7240C">
        <w:t>Service providers are reimbursed as clients pass through a recognized combination of milestones with the goal of successfully obtaining and maintaining employment</w:t>
      </w:r>
      <w:r w:rsidR="00E16161" w:rsidRPr="00A7240C">
        <w:t xml:space="preserve">. </w:t>
      </w:r>
      <w:r w:rsidRPr="00A7240C">
        <w:t xml:space="preserve">The CIES model organizes these milestones into a service continuum marked by outcome benchmarks such as obtaining a job or achieving 90 days of employment as the client moves along the path to permanent employment. Moving forward, providers will be required to </w:t>
      </w:r>
      <w:r w:rsidR="002B47D2">
        <w:t>monitor</w:t>
      </w:r>
      <w:r w:rsidRPr="00A7240C">
        <w:t xml:space="preserve"> clients</w:t>
      </w:r>
      <w:r w:rsidR="002B47D2">
        <w:t>’ progress</w:t>
      </w:r>
      <w:r w:rsidRPr="00A7240C">
        <w:t xml:space="preserve"> for one year after receiving a job. </w:t>
      </w:r>
    </w:p>
    <w:p w:rsidR="00B42B47" w:rsidRPr="00A7240C" w:rsidRDefault="00B42B47" w:rsidP="00DC58F1">
      <w:pPr>
        <w:autoSpaceDE w:val="0"/>
        <w:autoSpaceDN w:val="0"/>
        <w:adjustRightInd w:val="0"/>
      </w:pPr>
    </w:p>
    <w:p w:rsidR="001A0151" w:rsidRDefault="00B42B47" w:rsidP="00DC58F1">
      <w:pPr>
        <w:autoSpaceDE w:val="0"/>
        <w:autoSpaceDN w:val="0"/>
        <w:adjustRightInd w:val="0"/>
      </w:pPr>
      <w:r w:rsidRPr="00A7240C">
        <w:t>There are four levels of CIES Models</w:t>
      </w:r>
      <w:r w:rsidR="001A0151" w:rsidRPr="00A7240C">
        <w:t xml:space="preserve">: </w:t>
      </w:r>
    </w:p>
    <w:p w:rsidR="001D365D" w:rsidRPr="0062259C" w:rsidRDefault="001D365D" w:rsidP="00DC58F1">
      <w:pPr>
        <w:autoSpaceDE w:val="0"/>
        <w:autoSpaceDN w:val="0"/>
        <w:adjustRightInd w:val="0"/>
      </w:pPr>
    </w:p>
    <w:p w:rsidR="001A0151" w:rsidRPr="00A7240C" w:rsidRDefault="001A0151" w:rsidP="00F7078B">
      <w:pPr>
        <w:autoSpaceDE w:val="0"/>
        <w:autoSpaceDN w:val="0"/>
        <w:adjustRightInd w:val="0"/>
        <w:ind w:left="720"/>
      </w:pPr>
      <w:r w:rsidRPr="0062259C">
        <w:rPr>
          <w:b/>
        </w:rPr>
        <w:t>Model I:</w:t>
      </w:r>
      <w:r w:rsidRPr="0062259C">
        <w:t xml:space="preserve">  </w:t>
      </w:r>
      <w:r w:rsidRPr="0062259C">
        <w:tab/>
      </w:r>
      <w:r w:rsidR="00B42B47" w:rsidRPr="00A7240C">
        <w:t>Employment Ready</w:t>
      </w:r>
    </w:p>
    <w:p w:rsidR="001A0151" w:rsidRPr="00A7240C" w:rsidRDefault="001A0151" w:rsidP="00F7078B">
      <w:pPr>
        <w:autoSpaceDE w:val="0"/>
        <w:autoSpaceDN w:val="0"/>
        <w:adjustRightInd w:val="0"/>
        <w:ind w:left="720"/>
      </w:pPr>
      <w:r w:rsidRPr="00A7240C">
        <w:rPr>
          <w:b/>
        </w:rPr>
        <w:t>Model II:</w:t>
      </w:r>
      <w:r w:rsidRPr="00A7240C">
        <w:t xml:space="preserve">  </w:t>
      </w:r>
      <w:r w:rsidRPr="00A7240C">
        <w:tab/>
      </w:r>
      <w:r w:rsidR="00B42B47" w:rsidRPr="00A7240C">
        <w:t>Emp</w:t>
      </w:r>
      <w:r w:rsidRPr="00A7240C">
        <w:t xml:space="preserve">loyment Training and Education </w:t>
      </w:r>
      <w:r w:rsidR="00B42B47" w:rsidRPr="00A7240C">
        <w:t xml:space="preserve"> </w:t>
      </w:r>
    </w:p>
    <w:p w:rsidR="001A0151" w:rsidRPr="00A7240C" w:rsidRDefault="001A0151" w:rsidP="00F7078B">
      <w:pPr>
        <w:autoSpaceDE w:val="0"/>
        <w:autoSpaceDN w:val="0"/>
        <w:adjustRightInd w:val="0"/>
        <w:ind w:left="720"/>
      </w:pPr>
      <w:r w:rsidRPr="00A7240C">
        <w:rPr>
          <w:b/>
        </w:rPr>
        <w:t>Model III:</w:t>
      </w:r>
      <w:r w:rsidRPr="00A7240C">
        <w:t xml:space="preserve">  </w:t>
      </w:r>
      <w:r w:rsidRPr="00A7240C">
        <w:tab/>
      </w:r>
      <w:r w:rsidR="00B42B47" w:rsidRPr="00A7240C">
        <w:t>Employ</w:t>
      </w:r>
      <w:r w:rsidRPr="00A7240C">
        <w:t xml:space="preserve">ment Supports </w:t>
      </w:r>
    </w:p>
    <w:p w:rsidR="001A0151" w:rsidRPr="00A7240C" w:rsidRDefault="001A0151" w:rsidP="00F7078B">
      <w:pPr>
        <w:autoSpaceDE w:val="0"/>
        <w:autoSpaceDN w:val="0"/>
        <w:adjustRightInd w:val="0"/>
        <w:ind w:left="720"/>
      </w:pPr>
      <w:r w:rsidRPr="00A7240C">
        <w:rPr>
          <w:b/>
        </w:rPr>
        <w:t>Model IV:</w:t>
      </w:r>
      <w:r w:rsidRPr="00A7240C">
        <w:tab/>
        <w:t>Enhanced Employment Supports</w:t>
      </w:r>
    </w:p>
    <w:p w:rsidR="001A0151" w:rsidRPr="00A7240C" w:rsidRDefault="001A0151" w:rsidP="00DC58F1">
      <w:pPr>
        <w:autoSpaceDE w:val="0"/>
        <w:autoSpaceDN w:val="0"/>
        <w:adjustRightInd w:val="0"/>
      </w:pPr>
    </w:p>
    <w:p w:rsidR="00B42B47" w:rsidRPr="00A7240C" w:rsidRDefault="00B42B47" w:rsidP="00DC58F1">
      <w:pPr>
        <w:autoSpaceDE w:val="0"/>
        <w:autoSpaceDN w:val="0"/>
        <w:adjustRightInd w:val="0"/>
      </w:pPr>
      <w:r w:rsidRPr="00A7240C">
        <w:t>The CIES program is offered statewide</w:t>
      </w:r>
      <w:r w:rsidR="00E16161" w:rsidRPr="00A7240C">
        <w:t xml:space="preserve">. </w:t>
      </w:r>
      <w:r w:rsidR="00A51BC6" w:rsidRPr="00A7240C">
        <w:t>C</w:t>
      </w:r>
      <w:r w:rsidRPr="00A7240C">
        <w:t>urrent</w:t>
      </w:r>
      <w:r w:rsidR="00A51BC6" w:rsidRPr="00A7240C">
        <w:t>ly,</w:t>
      </w:r>
      <w:r w:rsidRPr="00A7240C">
        <w:t xml:space="preserve"> </w:t>
      </w:r>
      <w:r w:rsidR="00E74FA2" w:rsidRPr="00A7240C">
        <w:t>DTA</w:t>
      </w:r>
      <w:r w:rsidRPr="00A7240C">
        <w:t xml:space="preserve"> is only offer</w:t>
      </w:r>
      <w:r w:rsidR="00A51BC6" w:rsidRPr="00A7240C">
        <w:t>ing</w:t>
      </w:r>
      <w:r w:rsidRPr="00A7240C">
        <w:t xml:space="preserve"> Model II and Model III</w:t>
      </w:r>
      <w:r w:rsidR="00FC5F75" w:rsidRPr="00A7240C">
        <w:t>,</w:t>
      </w:r>
      <w:r w:rsidRPr="00A7240C">
        <w:t xml:space="preserve"> which provide the following employment related services:</w:t>
      </w:r>
    </w:p>
    <w:p w:rsidR="00B42B47" w:rsidRDefault="00B42B47" w:rsidP="00DC58F1">
      <w:pPr>
        <w:autoSpaceDE w:val="0"/>
        <w:autoSpaceDN w:val="0"/>
        <w:adjustRightInd w:val="0"/>
      </w:pPr>
    </w:p>
    <w:p w:rsidR="001D365D" w:rsidRPr="0062259C" w:rsidRDefault="001D365D" w:rsidP="00DC58F1">
      <w:pPr>
        <w:autoSpaceDE w:val="0"/>
        <w:autoSpaceDN w:val="0"/>
        <w:adjustRightInd w:val="0"/>
      </w:pPr>
    </w:p>
    <w:p w:rsidR="00B42B47" w:rsidRPr="00A7240C" w:rsidRDefault="00B42B47" w:rsidP="00DC58F1">
      <w:pPr>
        <w:autoSpaceDE w:val="0"/>
        <w:autoSpaceDN w:val="0"/>
        <w:adjustRightInd w:val="0"/>
        <w:ind w:firstLine="720"/>
        <w:rPr>
          <w:u w:val="single"/>
        </w:rPr>
      </w:pPr>
      <w:r w:rsidRPr="00A7240C">
        <w:rPr>
          <w:u w:val="single"/>
        </w:rPr>
        <w:t>Employment Training and Education (CIES Model II)</w:t>
      </w:r>
    </w:p>
    <w:p w:rsidR="00B42B47" w:rsidRPr="00A7240C" w:rsidRDefault="00B42B47" w:rsidP="00DC58F1">
      <w:pPr>
        <w:autoSpaceDE w:val="0"/>
        <w:autoSpaceDN w:val="0"/>
        <w:adjustRightInd w:val="0"/>
        <w:ind w:left="720"/>
      </w:pPr>
      <w:r w:rsidRPr="00A7240C">
        <w:t>Model II is designed to best serve clients with minimal barriers to employment. The range of services may include initial training or certificate programs</w:t>
      </w:r>
      <w:r w:rsidR="001D365D">
        <w:t>,</w:t>
      </w:r>
      <w:r w:rsidRPr="0062259C">
        <w:t xml:space="preserve"> which are </w:t>
      </w:r>
      <w:r w:rsidRPr="0062259C">
        <w:lastRenderedPageBreak/>
        <w:t>predominantly short-term (average 4-12 weeks in duration) and are targeted for specified sectors of labor markets with growth in their service area. Examples include training for business skills, Certified Nurse’s Aides (CNA), child care,</w:t>
      </w:r>
      <w:r w:rsidRPr="00A7240C">
        <w:t xml:space="preserve"> clerical employment, computer/data entry clerks, customer service, dental assistants, electronics assembly, food services, home health aides, legal secretaries</w:t>
      </w:r>
      <w:r w:rsidR="001D365D">
        <w:t>,</w:t>
      </w:r>
      <w:r w:rsidRPr="0062259C">
        <w:t xml:space="preserve"> and medical office skills. These trainings are then followed by a job search component</w:t>
      </w:r>
      <w:r w:rsidR="00E16161" w:rsidRPr="00A7240C">
        <w:t xml:space="preserve">. </w:t>
      </w:r>
      <w:r w:rsidRPr="00A7240C">
        <w:t>Clients may then be placed in work sites where they can earn wages</w:t>
      </w:r>
      <w:r w:rsidR="00E16161" w:rsidRPr="00A7240C">
        <w:t xml:space="preserve">. </w:t>
      </w:r>
      <w:r w:rsidRPr="00A7240C">
        <w:t xml:space="preserve">Clients also receive post-employment support services. </w:t>
      </w:r>
    </w:p>
    <w:p w:rsidR="00B42B47" w:rsidRPr="00A7240C" w:rsidRDefault="00B42B47" w:rsidP="00DC58F1">
      <w:pPr>
        <w:autoSpaceDE w:val="0"/>
        <w:autoSpaceDN w:val="0"/>
        <w:adjustRightInd w:val="0"/>
      </w:pPr>
    </w:p>
    <w:p w:rsidR="00B42B47" w:rsidRPr="00A7240C" w:rsidRDefault="00B42B47" w:rsidP="00DC58F1">
      <w:pPr>
        <w:autoSpaceDE w:val="0"/>
        <w:autoSpaceDN w:val="0"/>
        <w:adjustRightInd w:val="0"/>
        <w:ind w:firstLine="720"/>
        <w:rPr>
          <w:u w:val="single"/>
        </w:rPr>
      </w:pPr>
      <w:r w:rsidRPr="00A7240C">
        <w:rPr>
          <w:u w:val="single"/>
        </w:rPr>
        <w:t>Employment Supports (CIES Model III)</w:t>
      </w:r>
    </w:p>
    <w:p w:rsidR="00B42B47" w:rsidRPr="00A7240C" w:rsidRDefault="00B42B47" w:rsidP="00DC58F1">
      <w:pPr>
        <w:autoSpaceDE w:val="0"/>
        <w:autoSpaceDN w:val="0"/>
        <w:adjustRightInd w:val="0"/>
        <w:ind w:left="720"/>
      </w:pPr>
      <w:r w:rsidRPr="00A7240C">
        <w:t>Model III is designed to best serve clients with moderate barriers to employment. The range of services provided may include initial training and certificate programs</w:t>
      </w:r>
      <w:r w:rsidR="001D365D">
        <w:t>,</w:t>
      </w:r>
      <w:r w:rsidRPr="0062259C">
        <w:t xml:space="preserve"> which are short-term (average 4-12 weeks in duration) and are targeted for specified sectors of labor markets with growth in their service area</w:t>
      </w:r>
      <w:r w:rsidR="00E16161" w:rsidRPr="00A7240C">
        <w:t xml:space="preserve">. </w:t>
      </w:r>
      <w:r w:rsidRPr="00A7240C">
        <w:t>Depending on the vendor, clients may be placed in highly supportive work sites where they can earn wages in addition to receiving a reduced TAFDC grant while transitioning into an unsubsidized job</w:t>
      </w:r>
      <w:r w:rsidR="00E16161" w:rsidRPr="00A7240C">
        <w:t xml:space="preserve">. </w:t>
      </w:r>
      <w:r w:rsidRPr="00A7240C">
        <w:t xml:space="preserve">Clients receive support to apply for, obtain, and maintain employment. </w:t>
      </w:r>
    </w:p>
    <w:p w:rsidR="00B42B47" w:rsidRPr="00A7240C" w:rsidRDefault="00B42B47" w:rsidP="00DC58F1">
      <w:pPr>
        <w:autoSpaceDE w:val="0"/>
        <w:autoSpaceDN w:val="0"/>
        <w:adjustRightInd w:val="0"/>
      </w:pPr>
    </w:p>
    <w:tbl>
      <w:tblPr>
        <w:tblW w:w="9820" w:type="dxa"/>
        <w:tblInd w:w="93" w:type="dxa"/>
        <w:tblLook w:val="04A0" w:firstRow="1" w:lastRow="0" w:firstColumn="1" w:lastColumn="0" w:noHBand="0" w:noVBand="1"/>
      </w:tblPr>
      <w:tblGrid>
        <w:gridCol w:w="1307"/>
        <w:gridCol w:w="1444"/>
        <w:gridCol w:w="1350"/>
        <w:gridCol w:w="2067"/>
        <w:gridCol w:w="2000"/>
        <w:gridCol w:w="1722"/>
      </w:tblGrid>
      <w:tr w:rsidR="00CA7613" w:rsidRPr="00A7240C" w:rsidTr="00CA7613">
        <w:trPr>
          <w:trHeight w:val="300"/>
        </w:trPr>
        <w:tc>
          <w:tcPr>
            <w:tcW w:w="9820"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CA7613" w:rsidRPr="00F7078B" w:rsidRDefault="00CA7613" w:rsidP="00F7078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bdr w:val="none" w:sz="0" w:space="0" w:color="auto"/>
              </w:rPr>
            </w:pPr>
            <w:r w:rsidRPr="00F7078B">
              <w:rPr>
                <w:rFonts w:eastAsia="Times New Roman"/>
                <w:b/>
                <w:bCs/>
                <w:color w:val="000000"/>
                <w:bdr w:val="none" w:sz="0" w:space="0" w:color="auto"/>
              </w:rPr>
              <w:t>CIES FY1</w:t>
            </w:r>
            <w:r w:rsidR="0069682A" w:rsidRPr="00F7078B">
              <w:rPr>
                <w:rFonts w:eastAsia="Times New Roman"/>
                <w:b/>
                <w:bCs/>
                <w:color w:val="000000"/>
                <w:bdr w:val="none" w:sz="0" w:space="0" w:color="auto"/>
              </w:rPr>
              <w:t>6</w:t>
            </w:r>
          </w:p>
        </w:tc>
      </w:tr>
      <w:tr w:rsidR="00CA7613" w:rsidRPr="00A7240C" w:rsidTr="00CA7613">
        <w:trPr>
          <w:trHeight w:val="300"/>
        </w:trPr>
        <w:tc>
          <w:tcPr>
            <w:tcW w:w="1307" w:type="dxa"/>
            <w:tcBorders>
              <w:top w:val="nil"/>
              <w:left w:val="single" w:sz="8" w:space="0" w:color="auto"/>
              <w:bottom w:val="single" w:sz="4" w:space="0" w:color="auto"/>
              <w:right w:val="single" w:sz="4" w:space="0" w:color="auto"/>
            </w:tcBorders>
            <w:shd w:val="clear" w:color="auto" w:fill="auto"/>
            <w:noWrap/>
            <w:vAlign w:val="bottom"/>
            <w:hideMark/>
          </w:tcPr>
          <w:p w:rsidR="00CA7613" w:rsidRPr="00F7078B" w:rsidRDefault="00CA7613" w:rsidP="00DC58F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i/>
                <w:color w:val="000000"/>
                <w:bdr w:val="none" w:sz="0" w:space="0" w:color="auto"/>
              </w:rPr>
            </w:pPr>
            <w:r w:rsidRPr="00F7078B">
              <w:rPr>
                <w:rFonts w:eastAsia="Times New Roman"/>
                <w:b/>
                <w:i/>
                <w:color w:val="000000"/>
                <w:bdr w:val="none" w:sz="0" w:space="0" w:color="auto"/>
              </w:rPr>
              <w:t>CIES Model</w:t>
            </w:r>
          </w:p>
        </w:tc>
        <w:tc>
          <w:tcPr>
            <w:tcW w:w="1390" w:type="dxa"/>
            <w:tcBorders>
              <w:top w:val="nil"/>
              <w:left w:val="nil"/>
              <w:bottom w:val="single" w:sz="4" w:space="0" w:color="auto"/>
              <w:right w:val="single" w:sz="4" w:space="0" w:color="auto"/>
            </w:tcBorders>
            <w:shd w:val="clear" w:color="auto" w:fill="auto"/>
            <w:noWrap/>
            <w:vAlign w:val="bottom"/>
            <w:hideMark/>
          </w:tcPr>
          <w:p w:rsidR="00CA7613" w:rsidRPr="00F7078B" w:rsidRDefault="00CA7613" w:rsidP="00DC58F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i/>
                <w:color w:val="000000"/>
                <w:bdr w:val="none" w:sz="0" w:space="0" w:color="auto"/>
              </w:rPr>
            </w:pPr>
            <w:r w:rsidRPr="00F7078B">
              <w:rPr>
                <w:rFonts w:eastAsia="Times New Roman"/>
                <w:b/>
                <w:i/>
                <w:color w:val="000000"/>
                <w:bdr w:val="none" w:sz="0" w:space="0" w:color="auto"/>
              </w:rPr>
              <w:t>Enrollments</w:t>
            </w:r>
          </w:p>
        </w:tc>
        <w:tc>
          <w:tcPr>
            <w:tcW w:w="1334" w:type="dxa"/>
            <w:tcBorders>
              <w:top w:val="nil"/>
              <w:left w:val="nil"/>
              <w:bottom w:val="single" w:sz="4" w:space="0" w:color="auto"/>
              <w:right w:val="single" w:sz="4" w:space="0" w:color="auto"/>
            </w:tcBorders>
            <w:shd w:val="clear" w:color="auto" w:fill="auto"/>
            <w:noWrap/>
            <w:vAlign w:val="bottom"/>
            <w:hideMark/>
          </w:tcPr>
          <w:p w:rsidR="00CA7613" w:rsidRPr="00F7078B" w:rsidRDefault="00CA7613" w:rsidP="00DC58F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i/>
                <w:color w:val="000000"/>
                <w:bdr w:val="none" w:sz="0" w:space="0" w:color="auto"/>
              </w:rPr>
            </w:pPr>
            <w:r w:rsidRPr="00F7078B">
              <w:rPr>
                <w:rFonts w:eastAsia="Times New Roman"/>
                <w:b/>
                <w:i/>
                <w:color w:val="000000"/>
                <w:bdr w:val="none" w:sz="0" w:space="0" w:color="auto"/>
              </w:rPr>
              <w:t>Placements</w:t>
            </w:r>
          </w:p>
        </w:tc>
        <w:tc>
          <w:tcPr>
            <w:tcW w:w="2067" w:type="dxa"/>
            <w:tcBorders>
              <w:top w:val="nil"/>
              <w:left w:val="nil"/>
              <w:bottom w:val="single" w:sz="4" w:space="0" w:color="auto"/>
              <w:right w:val="single" w:sz="4" w:space="0" w:color="auto"/>
            </w:tcBorders>
            <w:shd w:val="clear" w:color="auto" w:fill="auto"/>
            <w:noWrap/>
            <w:vAlign w:val="bottom"/>
            <w:hideMark/>
          </w:tcPr>
          <w:p w:rsidR="00CA7613" w:rsidRPr="00F7078B" w:rsidRDefault="00CA7613" w:rsidP="00DC58F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i/>
                <w:color w:val="000000"/>
                <w:bdr w:val="none" w:sz="0" w:space="0" w:color="auto"/>
              </w:rPr>
            </w:pPr>
            <w:r w:rsidRPr="00F7078B">
              <w:rPr>
                <w:rFonts w:eastAsia="Times New Roman"/>
                <w:b/>
                <w:i/>
                <w:color w:val="000000"/>
                <w:bdr w:val="none" w:sz="0" w:space="0" w:color="auto"/>
              </w:rPr>
              <w:t>Performance Rate</w:t>
            </w:r>
          </w:p>
        </w:tc>
        <w:tc>
          <w:tcPr>
            <w:tcW w:w="2000" w:type="dxa"/>
            <w:tcBorders>
              <w:top w:val="nil"/>
              <w:left w:val="nil"/>
              <w:bottom w:val="single" w:sz="4" w:space="0" w:color="auto"/>
              <w:right w:val="single" w:sz="4" w:space="0" w:color="auto"/>
            </w:tcBorders>
            <w:shd w:val="clear" w:color="auto" w:fill="auto"/>
            <w:noWrap/>
            <w:vAlign w:val="bottom"/>
            <w:hideMark/>
          </w:tcPr>
          <w:p w:rsidR="00CA7613" w:rsidRPr="00F7078B" w:rsidRDefault="00CA7613" w:rsidP="00DC58F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i/>
                <w:color w:val="000000"/>
                <w:bdr w:val="none" w:sz="0" w:space="0" w:color="auto"/>
              </w:rPr>
            </w:pPr>
            <w:r w:rsidRPr="00F7078B">
              <w:rPr>
                <w:rFonts w:eastAsia="Times New Roman"/>
                <w:b/>
                <w:i/>
                <w:color w:val="000000"/>
                <w:bdr w:val="none" w:sz="0" w:space="0" w:color="auto"/>
              </w:rPr>
              <w:t>90-Day Retention</w:t>
            </w:r>
          </w:p>
        </w:tc>
        <w:tc>
          <w:tcPr>
            <w:tcW w:w="1722" w:type="dxa"/>
            <w:tcBorders>
              <w:top w:val="nil"/>
              <w:left w:val="nil"/>
              <w:bottom w:val="single" w:sz="4" w:space="0" w:color="auto"/>
              <w:right w:val="single" w:sz="8" w:space="0" w:color="auto"/>
            </w:tcBorders>
            <w:shd w:val="clear" w:color="auto" w:fill="auto"/>
            <w:noWrap/>
            <w:vAlign w:val="bottom"/>
            <w:hideMark/>
          </w:tcPr>
          <w:p w:rsidR="00CA7613" w:rsidRPr="00F7078B" w:rsidRDefault="00CA7613" w:rsidP="00DC58F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i/>
                <w:color w:val="000000"/>
                <w:bdr w:val="none" w:sz="0" w:space="0" w:color="auto"/>
              </w:rPr>
            </w:pPr>
            <w:r w:rsidRPr="00F7078B">
              <w:rPr>
                <w:rFonts w:eastAsia="Times New Roman"/>
                <w:b/>
                <w:i/>
                <w:color w:val="000000"/>
                <w:bdr w:val="none" w:sz="0" w:space="0" w:color="auto"/>
              </w:rPr>
              <w:t>Retention Rate</w:t>
            </w:r>
          </w:p>
        </w:tc>
      </w:tr>
      <w:tr w:rsidR="0069682A" w:rsidRPr="00A7240C" w:rsidTr="00CA7613">
        <w:trPr>
          <w:trHeight w:val="300"/>
        </w:trPr>
        <w:tc>
          <w:tcPr>
            <w:tcW w:w="1307" w:type="dxa"/>
            <w:tcBorders>
              <w:top w:val="nil"/>
              <w:left w:val="single" w:sz="8" w:space="0" w:color="auto"/>
              <w:bottom w:val="single" w:sz="4" w:space="0" w:color="auto"/>
              <w:right w:val="single" w:sz="4" w:space="0" w:color="auto"/>
            </w:tcBorders>
            <w:shd w:val="clear" w:color="auto" w:fill="auto"/>
            <w:noWrap/>
            <w:vAlign w:val="bottom"/>
            <w:hideMark/>
          </w:tcPr>
          <w:p w:rsidR="0069682A" w:rsidRPr="00F7078B" w:rsidRDefault="0069682A" w:rsidP="00DC58F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rPr>
            </w:pPr>
            <w:r w:rsidRPr="00F7078B">
              <w:rPr>
                <w:rFonts w:eastAsia="Times New Roman"/>
                <w:color w:val="000000"/>
                <w:bdr w:val="none" w:sz="0" w:space="0" w:color="auto"/>
              </w:rPr>
              <w:t>Model II</w:t>
            </w:r>
          </w:p>
        </w:tc>
        <w:tc>
          <w:tcPr>
            <w:tcW w:w="1390" w:type="dxa"/>
            <w:tcBorders>
              <w:top w:val="nil"/>
              <w:left w:val="nil"/>
              <w:bottom w:val="single" w:sz="4" w:space="0" w:color="auto"/>
              <w:right w:val="single" w:sz="4" w:space="0" w:color="auto"/>
            </w:tcBorders>
            <w:shd w:val="clear" w:color="auto" w:fill="auto"/>
            <w:noWrap/>
            <w:vAlign w:val="bottom"/>
            <w:hideMark/>
          </w:tcPr>
          <w:p w:rsidR="0069682A" w:rsidRPr="00F7078B" w:rsidRDefault="0069682A" w:rsidP="00DC58F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rPr>
            </w:pPr>
            <w:r w:rsidRPr="00F7078B">
              <w:rPr>
                <w:rFonts w:eastAsia="Times New Roman"/>
                <w:color w:val="000000"/>
                <w:bdr w:val="none" w:sz="0" w:space="0" w:color="auto"/>
              </w:rPr>
              <w:t>1</w:t>
            </w:r>
            <w:r w:rsidR="00AE326D" w:rsidRPr="00F7078B">
              <w:rPr>
                <w:rFonts w:eastAsia="Times New Roman"/>
                <w:color w:val="000000"/>
                <w:bdr w:val="none" w:sz="0" w:space="0" w:color="auto"/>
              </w:rPr>
              <w:t>,</w:t>
            </w:r>
            <w:r w:rsidRPr="00F7078B">
              <w:rPr>
                <w:rFonts w:eastAsia="Times New Roman"/>
                <w:color w:val="000000"/>
                <w:bdr w:val="none" w:sz="0" w:space="0" w:color="auto"/>
              </w:rPr>
              <w:t>459</w:t>
            </w:r>
          </w:p>
        </w:tc>
        <w:tc>
          <w:tcPr>
            <w:tcW w:w="1334" w:type="dxa"/>
            <w:tcBorders>
              <w:top w:val="nil"/>
              <w:left w:val="nil"/>
              <w:bottom w:val="single" w:sz="4" w:space="0" w:color="auto"/>
              <w:right w:val="single" w:sz="4" w:space="0" w:color="auto"/>
            </w:tcBorders>
            <w:shd w:val="clear" w:color="auto" w:fill="auto"/>
            <w:noWrap/>
            <w:vAlign w:val="bottom"/>
            <w:hideMark/>
          </w:tcPr>
          <w:p w:rsidR="0069682A" w:rsidRPr="00F7078B" w:rsidRDefault="0069682A" w:rsidP="00DC58F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rPr>
            </w:pPr>
            <w:r w:rsidRPr="00F7078B">
              <w:rPr>
                <w:rFonts w:eastAsia="Times New Roman"/>
                <w:color w:val="000000"/>
                <w:bdr w:val="none" w:sz="0" w:space="0" w:color="auto"/>
              </w:rPr>
              <w:t>854</w:t>
            </w:r>
          </w:p>
        </w:tc>
        <w:tc>
          <w:tcPr>
            <w:tcW w:w="2067" w:type="dxa"/>
            <w:tcBorders>
              <w:top w:val="nil"/>
              <w:left w:val="nil"/>
              <w:bottom w:val="single" w:sz="4" w:space="0" w:color="auto"/>
              <w:right w:val="single" w:sz="4" w:space="0" w:color="auto"/>
            </w:tcBorders>
            <w:shd w:val="clear" w:color="auto" w:fill="auto"/>
            <w:noWrap/>
            <w:vAlign w:val="bottom"/>
            <w:hideMark/>
          </w:tcPr>
          <w:p w:rsidR="0069682A" w:rsidRPr="00F7078B" w:rsidRDefault="0069682A" w:rsidP="00DC58F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rPr>
            </w:pPr>
            <w:r w:rsidRPr="00F7078B">
              <w:rPr>
                <w:rFonts w:eastAsia="Times New Roman"/>
                <w:color w:val="000000"/>
                <w:bdr w:val="none" w:sz="0" w:space="0" w:color="auto"/>
              </w:rPr>
              <w:t>58.5%</w:t>
            </w:r>
          </w:p>
        </w:tc>
        <w:tc>
          <w:tcPr>
            <w:tcW w:w="2000" w:type="dxa"/>
            <w:tcBorders>
              <w:top w:val="nil"/>
              <w:left w:val="nil"/>
              <w:bottom w:val="single" w:sz="4" w:space="0" w:color="auto"/>
              <w:right w:val="single" w:sz="4" w:space="0" w:color="auto"/>
            </w:tcBorders>
            <w:shd w:val="clear" w:color="auto" w:fill="auto"/>
            <w:noWrap/>
            <w:vAlign w:val="bottom"/>
            <w:hideMark/>
          </w:tcPr>
          <w:p w:rsidR="0069682A" w:rsidRPr="00F7078B" w:rsidRDefault="0069682A" w:rsidP="00DC58F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rPr>
            </w:pPr>
            <w:r w:rsidRPr="00F7078B">
              <w:rPr>
                <w:rFonts w:eastAsia="Times New Roman"/>
                <w:color w:val="000000"/>
                <w:bdr w:val="none" w:sz="0" w:space="0" w:color="auto"/>
              </w:rPr>
              <w:t>733</w:t>
            </w:r>
          </w:p>
        </w:tc>
        <w:tc>
          <w:tcPr>
            <w:tcW w:w="1722" w:type="dxa"/>
            <w:tcBorders>
              <w:top w:val="nil"/>
              <w:left w:val="nil"/>
              <w:bottom w:val="single" w:sz="4" w:space="0" w:color="auto"/>
              <w:right w:val="single" w:sz="8" w:space="0" w:color="auto"/>
            </w:tcBorders>
            <w:shd w:val="clear" w:color="auto" w:fill="auto"/>
            <w:noWrap/>
            <w:vAlign w:val="bottom"/>
            <w:hideMark/>
          </w:tcPr>
          <w:p w:rsidR="0069682A" w:rsidRPr="00F7078B" w:rsidRDefault="0069682A" w:rsidP="00DC58F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rPr>
            </w:pPr>
            <w:r w:rsidRPr="00F7078B">
              <w:rPr>
                <w:rFonts w:eastAsia="Times New Roman"/>
                <w:color w:val="000000"/>
                <w:bdr w:val="none" w:sz="0" w:space="0" w:color="auto"/>
              </w:rPr>
              <w:t>85.8%</w:t>
            </w:r>
          </w:p>
        </w:tc>
      </w:tr>
      <w:tr w:rsidR="0069682A" w:rsidRPr="00A7240C" w:rsidTr="00CA7613">
        <w:trPr>
          <w:trHeight w:val="300"/>
        </w:trPr>
        <w:tc>
          <w:tcPr>
            <w:tcW w:w="1307" w:type="dxa"/>
            <w:tcBorders>
              <w:top w:val="nil"/>
              <w:left w:val="single" w:sz="8" w:space="0" w:color="auto"/>
              <w:bottom w:val="single" w:sz="4" w:space="0" w:color="auto"/>
              <w:right w:val="single" w:sz="4" w:space="0" w:color="auto"/>
            </w:tcBorders>
            <w:shd w:val="clear" w:color="auto" w:fill="auto"/>
            <w:noWrap/>
            <w:vAlign w:val="bottom"/>
            <w:hideMark/>
          </w:tcPr>
          <w:p w:rsidR="0069682A" w:rsidRPr="00F7078B" w:rsidRDefault="0069682A" w:rsidP="00DC58F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rPr>
            </w:pPr>
            <w:r w:rsidRPr="00F7078B">
              <w:rPr>
                <w:rFonts w:eastAsia="Times New Roman"/>
                <w:color w:val="000000"/>
                <w:bdr w:val="none" w:sz="0" w:space="0" w:color="auto"/>
              </w:rPr>
              <w:t>Model III</w:t>
            </w:r>
          </w:p>
        </w:tc>
        <w:tc>
          <w:tcPr>
            <w:tcW w:w="1390" w:type="dxa"/>
            <w:tcBorders>
              <w:top w:val="nil"/>
              <w:left w:val="nil"/>
              <w:bottom w:val="single" w:sz="4" w:space="0" w:color="auto"/>
              <w:right w:val="single" w:sz="4" w:space="0" w:color="auto"/>
            </w:tcBorders>
            <w:shd w:val="clear" w:color="auto" w:fill="auto"/>
            <w:noWrap/>
            <w:vAlign w:val="bottom"/>
            <w:hideMark/>
          </w:tcPr>
          <w:p w:rsidR="0069682A" w:rsidRPr="00F7078B" w:rsidRDefault="0069682A" w:rsidP="00DC58F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rPr>
            </w:pPr>
            <w:r w:rsidRPr="00F7078B">
              <w:rPr>
                <w:rFonts w:eastAsia="Times New Roman"/>
                <w:color w:val="000000"/>
                <w:bdr w:val="none" w:sz="0" w:space="0" w:color="auto"/>
              </w:rPr>
              <w:t>1</w:t>
            </w:r>
            <w:r w:rsidR="00AE326D" w:rsidRPr="00F7078B">
              <w:rPr>
                <w:rFonts w:eastAsia="Times New Roman"/>
                <w:color w:val="000000"/>
                <w:bdr w:val="none" w:sz="0" w:space="0" w:color="auto"/>
              </w:rPr>
              <w:t>,</w:t>
            </w:r>
            <w:r w:rsidRPr="00F7078B">
              <w:rPr>
                <w:rFonts w:eastAsia="Times New Roman"/>
                <w:color w:val="000000"/>
                <w:bdr w:val="none" w:sz="0" w:space="0" w:color="auto"/>
              </w:rPr>
              <w:t>124</w:t>
            </w:r>
          </w:p>
        </w:tc>
        <w:tc>
          <w:tcPr>
            <w:tcW w:w="1334" w:type="dxa"/>
            <w:tcBorders>
              <w:top w:val="nil"/>
              <w:left w:val="nil"/>
              <w:bottom w:val="single" w:sz="4" w:space="0" w:color="auto"/>
              <w:right w:val="single" w:sz="4" w:space="0" w:color="auto"/>
            </w:tcBorders>
            <w:shd w:val="clear" w:color="auto" w:fill="auto"/>
            <w:noWrap/>
            <w:vAlign w:val="bottom"/>
            <w:hideMark/>
          </w:tcPr>
          <w:p w:rsidR="0069682A" w:rsidRPr="00F7078B" w:rsidRDefault="0069682A" w:rsidP="00DC58F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rPr>
            </w:pPr>
            <w:r w:rsidRPr="00F7078B">
              <w:rPr>
                <w:rFonts w:eastAsia="Times New Roman"/>
                <w:color w:val="000000"/>
                <w:bdr w:val="none" w:sz="0" w:space="0" w:color="auto"/>
              </w:rPr>
              <w:t>796</w:t>
            </w:r>
          </w:p>
        </w:tc>
        <w:tc>
          <w:tcPr>
            <w:tcW w:w="2067" w:type="dxa"/>
            <w:tcBorders>
              <w:top w:val="nil"/>
              <w:left w:val="nil"/>
              <w:bottom w:val="single" w:sz="4" w:space="0" w:color="auto"/>
              <w:right w:val="single" w:sz="4" w:space="0" w:color="auto"/>
            </w:tcBorders>
            <w:shd w:val="clear" w:color="auto" w:fill="auto"/>
            <w:noWrap/>
            <w:vAlign w:val="bottom"/>
            <w:hideMark/>
          </w:tcPr>
          <w:p w:rsidR="0069682A" w:rsidRPr="00F7078B" w:rsidRDefault="0069682A" w:rsidP="00DC58F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rPr>
            </w:pPr>
            <w:r w:rsidRPr="00F7078B">
              <w:rPr>
                <w:rFonts w:eastAsia="Times New Roman"/>
                <w:color w:val="000000"/>
                <w:bdr w:val="none" w:sz="0" w:space="0" w:color="auto"/>
              </w:rPr>
              <w:t>70.8%</w:t>
            </w:r>
          </w:p>
        </w:tc>
        <w:tc>
          <w:tcPr>
            <w:tcW w:w="2000" w:type="dxa"/>
            <w:tcBorders>
              <w:top w:val="nil"/>
              <w:left w:val="nil"/>
              <w:bottom w:val="single" w:sz="4" w:space="0" w:color="auto"/>
              <w:right w:val="single" w:sz="4" w:space="0" w:color="auto"/>
            </w:tcBorders>
            <w:shd w:val="clear" w:color="auto" w:fill="auto"/>
            <w:noWrap/>
            <w:vAlign w:val="bottom"/>
            <w:hideMark/>
          </w:tcPr>
          <w:p w:rsidR="0069682A" w:rsidRPr="00F7078B" w:rsidRDefault="0069682A" w:rsidP="00DC58F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rPr>
            </w:pPr>
            <w:r w:rsidRPr="00F7078B">
              <w:rPr>
                <w:rFonts w:eastAsia="Times New Roman"/>
                <w:color w:val="000000"/>
                <w:bdr w:val="none" w:sz="0" w:space="0" w:color="auto"/>
              </w:rPr>
              <w:t>703</w:t>
            </w:r>
          </w:p>
        </w:tc>
        <w:tc>
          <w:tcPr>
            <w:tcW w:w="1722" w:type="dxa"/>
            <w:tcBorders>
              <w:top w:val="nil"/>
              <w:left w:val="nil"/>
              <w:bottom w:val="single" w:sz="4" w:space="0" w:color="auto"/>
              <w:right w:val="single" w:sz="8" w:space="0" w:color="auto"/>
            </w:tcBorders>
            <w:shd w:val="clear" w:color="auto" w:fill="auto"/>
            <w:noWrap/>
            <w:vAlign w:val="bottom"/>
            <w:hideMark/>
          </w:tcPr>
          <w:p w:rsidR="0069682A" w:rsidRPr="00F7078B" w:rsidRDefault="0069682A" w:rsidP="00DC58F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rPr>
            </w:pPr>
            <w:r w:rsidRPr="00F7078B">
              <w:rPr>
                <w:rFonts w:eastAsia="Times New Roman"/>
                <w:color w:val="000000"/>
                <w:bdr w:val="none" w:sz="0" w:space="0" w:color="auto"/>
              </w:rPr>
              <w:t>88.3%</w:t>
            </w:r>
          </w:p>
        </w:tc>
      </w:tr>
      <w:tr w:rsidR="0069682A" w:rsidRPr="00A7240C" w:rsidTr="00CA7613">
        <w:trPr>
          <w:trHeight w:val="315"/>
        </w:trPr>
        <w:tc>
          <w:tcPr>
            <w:tcW w:w="1307" w:type="dxa"/>
            <w:tcBorders>
              <w:top w:val="nil"/>
              <w:left w:val="single" w:sz="8" w:space="0" w:color="auto"/>
              <w:bottom w:val="single" w:sz="8" w:space="0" w:color="auto"/>
              <w:right w:val="single" w:sz="4" w:space="0" w:color="auto"/>
            </w:tcBorders>
            <w:shd w:val="clear" w:color="auto" w:fill="auto"/>
            <w:noWrap/>
            <w:vAlign w:val="bottom"/>
            <w:hideMark/>
          </w:tcPr>
          <w:p w:rsidR="0069682A" w:rsidRPr="00F7078B" w:rsidRDefault="0069682A" w:rsidP="00DC58F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rPr>
            </w:pPr>
            <w:r w:rsidRPr="00F7078B">
              <w:rPr>
                <w:rFonts w:eastAsia="Times New Roman"/>
                <w:color w:val="000000"/>
                <w:bdr w:val="none" w:sz="0" w:space="0" w:color="auto"/>
              </w:rPr>
              <w:t>Total</w:t>
            </w:r>
          </w:p>
        </w:tc>
        <w:tc>
          <w:tcPr>
            <w:tcW w:w="1390" w:type="dxa"/>
            <w:tcBorders>
              <w:top w:val="nil"/>
              <w:left w:val="nil"/>
              <w:bottom w:val="single" w:sz="8" w:space="0" w:color="auto"/>
              <w:right w:val="single" w:sz="4" w:space="0" w:color="auto"/>
            </w:tcBorders>
            <w:shd w:val="clear" w:color="auto" w:fill="auto"/>
            <w:noWrap/>
            <w:vAlign w:val="bottom"/>
            <w:hideMark/>
          </w:tcPr>
          <w:p w:rsidR="0069682A" w:rsidRPr="00F7078B" w:rsidRDefault="0069682A" w:rsidP="00DC58F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rPr>
            </w:pPr>
            <w:r w:rsidRPr="00F7078B">
              <w:rPr>
                <w:rFonts w:eastAsia="Times New Roman"/>
                <w:color w:val="000000"/>
                <w:bdr w:val="none" w:sz="0" w:space="0" w:color="auto"/>
              </w:rPr>
              <w:t>2</w:t>
            </w:r>
            <w:r w:rsidR="00AE326D" w:rsidRPr="00F7078B">
              <w:rPr>
                <w:rFonts w:eastAsia="Times New Roman"/>
                <w:color w:val="000000"/>
                <w:bdr w:val="none" w:sz="0" w:space="0" w:color="auto"/>
              </w:rPr>
              <w:t>,</w:t>
            </w:r>
            <w:r w:rsidRPr="00F7078B">
              <w:rPr>
                <w:rFonts w:eastAsia="Times New Roman"/>
                <w:color w:val="000000"/>
                <w:bdr w:val="none" w:sz="0" w:space="0" w:color="auto"/>
              </w:rPr>
              <w:t>583</w:t>
            </w:r>
          </w:p>
        </w:tc>
        <w:tc>
          <w:tcPr>
            <w:tcW w:w="1334" w:type="dxa"/>
            <w:tcBorders>
              <w:top w:val="nil"/>
              <w:left w:val="nil"/>
              <w:bottom w:val="single" w:sz="8" w:space="0" w:color="auto"/>
              <w:right w:val="single" w:sz="4" w:space="0" w:color="auto"/>
            </w:tcBorders>
            <w:shd w:val="clear" w:color="auto" w:fill="auto"/>
            <w:noWrap/>
            <w:vAlign w:val="bottom"/>
            <w:hideMark/>
          </w:tcPr>
          <w:p w:rsidR="0069682A" w:rsidRPr="00F7078B" w:rsidRDefault="0069682A" w:rsidP="00DC58F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rPr>
            </w:pPr>
            <w:r w:rsidRPr="00F7078B">
              <w:rPr>
                <w:rFonts w:eastAsia="Times New Roman"/>
                <w:color w:val="000000"/>
                <w:bdr w:val="none" w:sz="0" w:space="0" w:color="auto"/>
              </w:rPr>
              <w:t>1650</w:t>
            </w:r>
          </w:p>
        </w:tc>
        <w:tc>
          <w:tcPr>
            <w:tcW w:w="2067" w:type="dxa"/>
            <w:tcBorders>
              <w:top w:val="nil"/>
              <w:left w:val="nil"/>
              <w:bottom w:val="single" w:sz="8" w:space="0" w:color="auto"/>
              <w:right w:val="single" w:sz="4" w:space="0" w:color="auto"/>
            </w:tcBorders>
            <w:shd w:val="clear" w:color="auto" w:fill="auto"/>
            <w:noWrap/>
            <w:vAlign w:val="bottom"/>
            <w:hideMark/>
          </w:tcPr>
          <w:p w:rsidR="0069682A" w:rsidRPr="00F7078B" w:rsidRDefault="0069682A" w:rsidP="00DC58F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rPr>
            </w:pPr>
            <w:r w:rsidRPr="00F7078B">
              <w:rPr>
                <w:rFonts w:eastAsia="Times New Roman"/>
                <w:color w:val="000000"/>
                <w:bdr w:val="none" w:sz="0" w:space="0" w:color="auto"/>
              </w:rPr>
              <w:t>63.9%</w:t>
            </w:r>
          </w:p>
        </w:tc>
        <w:tc>
          <w:tcPr>
            <w:tcW w:w="2000" w:type="dxa"/>
            <w:tcBorders>
              <w:top w:val="nil"/>
              <w:left w:val="nil"/>
              <w:bottom w:val="single" w:sz="8" w:space="0" w:color="auto"/>
              <w:right w:val="single" w:sz="4" w:space="0" w:color="auto"/>
            </w:tcBorders>
            <w:shd w:val="clear" w:color="auto" w:fill="auto"/>
            <w:noWrap/>
            <w:vAlign w:val="bottom"/>
            <w:hideMark/>
          </w:tcPr>
          <w:p w:rsidR="0069682A" w:rsidRPr="00F7078B" w:rsidRDefault="0069682A" w:rsidP="00DC58F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rPr>
            </w:pPr>
            <w:r w:rsidRPr="00F7078B">
              <w:rPr>
                <w:rFonts w:eastAsia="Times New Roman"/>
                <w:color w:val="000000"/>
                <w:bdr w:val="none" w:sz="0" w:space="0" w:color="auto"/>
              </w:rPr>
              <w:t>1</w:t>
            </w:r>
            <w:r w:rsidR="00AE326D" w:rsidRPr="00F7078B">
              <w:rPr>
                <w:rFonts w:eastAsia="Times New Roman"/>
                <w:color w:val="000000"/>
                <w:bdr w:val="none" w:sz="0" w:space="0" w:color="auto"/>
              </w:rPr>
              <w:t>,</w:t>
            </w:r>
            <w:r w:rsidRPr="00F7078B">
              <w:rPr>
                <w:rFonts w:eastAsia="Times New Roman"/>
                <w:color w:val="000000"/>
                <w:bdr w:val="none" w:sz="0" w:space="0" w:color="auto"/>
              </w:rPr>
              <w:t>436</w:t>
            </w:r>
          </w:p>
        </w:tc>
        <w:tc>
          <w:tcPr>
            <w:tcW w:w="1722" w:type="dxa"/>
            <w:tcBorders>
              <w:top w:val="nil"/>
              <w:left w:val="nil"/>
              <w:bottom w:val="single" w:sz="8" w:space="0" w:color="auto"/>
              <w:right w:val="single" w:sz="8" w:space="0" w:color="auto"/>
            </w:tcBorders>
            <w:shd w:val="clear" w:color="auto" w:fill="auto"/>
            <w:noWrap/>
            <w:vAlign w:val="bottom"/>
            <w:hideMark/>
          </w:tcPr>
          <w:p w:rsidR="0069682A" w:rsidRPr="00F7078B" w:rsidRDefault="00A13B18" w:rsidP="00DC58F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rPr>
            </w:pPr>
            <w:r w:rsidRPr="00F7078B">
              <w:rPr>
                <w:rFonts w:eastAsia="Times New Roman"/>
                <w:color w:val="000000"/>
                <w:bdr w:val="none" w:sz="0" w:space="0" w:color="auto"/>
              </w:rPr>
              <w:t>87.0</w:t>
            </w:r>
            <w:r w:rsidR="0069682A" w:rsidRPr="00F7078B">
              <w:rPr>
                <w:rFonts w:eastAsia="Times New Roman"/>
                <w:color w:val="000000"/>
                <w:bdr w:val="none" w:sz="0" w:space="0" w:color="auto"/>
              </w:rPr>
              <w:t>%</w:t>
            </w:r>
          </w:p>
        </w:tc>
      </w:tr>
      <w:tr w:rsidR="00CA7613" w:rsidRPr="00A7240C" w:rsidTr="00CA7613">
        <w:trPr>
          <w:trHeight w:val="315"/>
        </w:trPr>
        <w:tc>
          <w:tcPr>
            <w:tcW w:w="1307" w:type="dxa"/>
            <w:tcBorders>
              <w:top w:val="nil"/>
              <w:left w:val="single" w:sz="8" w:space="0" w:color="auto"/>
              <w:bottom w:val="nil"/>
              <w:right w:val="nil"/>
            </w:tcBorders>
            <w:shd w:val="clear" w:color="auto" w:fill="auto"/>
            <w:noWrap/>
            <w:vAlign w:val="bottom"/>
            <w:hideMark/>
          </w:tcPr>
          <w:p w:rsidR="00CA7613" w:rsidRPr="00F7078B" w:rsidRDefault="00CA7613" w:rsidP="00DC58F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rPr>
            </w:pPr>
            <w:r w:rsidRPr="00F7078B">
              <w:rPr>
                <w:rFonts w:eastAsia="Times New Roman"/>
                <w:color w:val="000000"/>
                <w:bdr w:val="none" w:sz="0" w:space="0" w:color="auto"/>
              </w:rPr>
              <w:t> </w:t>
            </w:r>
          </w:p>
        </w:tc>
        <w:tc>
          <w:tcPr>
            <w:tcW w:w="1390" w:type="dxa"/>
            <w:tcBorders>
              <w:top w:val="nil"/>
              <w:left w:val="nil"/>
              <w:bottom w:val="nil"/>
              <w:right w:val="nil"/>
            </w:tcBorders>
            <w:shd w:val="clear" w:color="auto" w:fill="auto"/>
            <w:noWrap/>
            <w:vAlign w:val="bottom"/>
            <w:hideMark/>
          </w:tcPr>
          <w:p w:rsidR="00CA7613" w:rsidRPr="00F7078B" w:rsidRDefault="00CA7613" w:rsidP="00DC58F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rPr>
            </w:pPr>
          </w:p>
        </w:tc>
        <w:tc>
          <w:tcPr>
            <w:tcW w:w="1334" w:type="dxa"/>
            <w:tcBorders>
              <w:top w:val="nil"/>
              <w:left w:val="nil"/>
              <w:bottom w:val="nil"/>
              <w:right w:val="nil"/>
            </w:tcBorders>
            <w:shd w:val="clear" w:color="auto" w:fill="auto"/>
            <w:noWrap/>
            <w:vAlign w:val="bottom"/>
            <w:hideMark/>
          </w:tcPr>
          <w:p w:rsidR="00CA7613" w:rsidRPr="00F7078B" w:rsidRDefault="00CA7613" w:rsidP="00DC58F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rPr>
            </w:pPr>
          </w:p>
        </w:tc>
        <w:tc>
          <w:tcPr>
            <w:tcW w:w="2067" w:type="dxa"/>
            <w:tcBorders>
              <w:top w:val="nil"/>
              <w:left w:val="nil"/>
              <w:bottom w:val="nil"/>
              <w:right w:val="nil"/>
            </w:tcBorders>
            <w:shd w:val="clear" w:color="auto" w:fill="auto"/>
            <w:noWrap/>
            <w:vAlign w:val="bottom"/>
            <w:hideMark/>
          </w:tcPr>
          <w:p w:rsidR="00CA7613" w:rsidRPr="00F7078B" w:rsidRDefault="00CA7613" w:rsidP="00DC58F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rPr>
            </w:pPr>
          </w:p>
        </w:tc>
        <w:tc>
          <w:tcPr>
            <w:tcW w:w="2000" w:type="dxa"/>
            <w:tcBorders>
              <w:top w:val="nil"/>
              <w:left w:val="nil"/>
              <w:bottom w:val="nil"/>
              <w:right w:val="nil"/>
            </w:tcBorders>
            <w:shd w:val="clear" w:color="auto" w:fill="auto"/>
            <w:noWrap/>
            <w:vAlign w:val="bottom"/>
            <w:hideMark/>
          </w:tcPr>
          <w:p w:rsidR="00CA7613" w:rsidRPr="00F7078B" w:rsidRDefault="00CA7613" w:rsidP="00DC58F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rPr>
            </w:pPr>
          </w:p>
        </w:tc>
        <w:tc>
          <w:tcPr>
            <w:tcW w:w="1722" w:type="dxa"/>
            <w:tcBorders>
              <w:top w:val="nil"/>
              <w:left w:val="nil"/>
              <w:bottom w:val="nil"/>
              <w:right w:val="single" w:sz="8" w:space="0" w:color="auto"/>
            </w:tcBorders>
            <w:shd w:val="clear" w:color="auto" w:fill="auto"/>
            <w:noWrap/>
            <w:vAlign w:val="bottom"/>
            <w:hideMark/>
          </w:tcPr>
          <w:p w:rsidR="00CA7613" w:rsidRPr="00F7078B" w:rsidRDefault="00CA7613" w:rsidP="00DC58F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rPr>
            </w:pPr>
            <w:r w:rsidRPr="00F7078B">
              <w:rPr>
                <w:rFonts w:eastAsia="Times New Roman"/>
                <w:color w:val="000000"/>
                <w:bdr w:val="none" w:sz="0" w:space="0" w:color="auto"/>
              </w:rPr>
              <w:t> </w:t>
            </w:r>
          </w:p>
        </w:tc>
      </w:tr>
      <w:tr w:rsidR="00CA7613" w:rsidRPr="00A7240C" w:rsidTr="00CA7613">
        <w:trPr>
          <w:trHeight w:val="300"/>
        </w:trPr>
        <w:tc>
          <w:tcPr>
            <w:tcW w:w="9820"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CA7613" w:rsidRPr="00F7078B" w:rsidRDefault="00CA7613" w:rsidP="00F7078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bdr w:val="none" w:sz="0" w:space="0" w:color="auto"/>
              </w:rPr>
            </w:pPr>
            <w:r w:rsidRPr="00F7078B">
              <w:rPr>
                <w:rFonts w:eastAsia="Times New Roman"/>
                <w:b/>
                <w:bCs/>
                <w:color w:val="000000"/>
                <w:bdr w:val="none" w:sz="0" w:space="0" w:color="auto"/>
              </w:rPr>
              <w:t>CIES FY1</w:t>
            </w:r>
            <w:r w:rsidR="00A13B18" w:rsidRPr="00F7078B">
              <w:rPr>
                <w:rFonts w:eastAsia="Times New Roman"/>
                <w:b/>
                <w:bCs/>
                <w:color w:val="000000"/>
                <w:bdr w:val="none" w:sz="0" w:space="0" w:color="auto"/>
              </w:rPr>
              <w:t>7</w:t>
            </w:r>
          </w:p>
        </w:tc>
      </w:tr>
      <w:tr w:rsidR="00CA7613" w:rsidRPr="00A7240C" w:rsidTr="00CA7613">
        <w:trPr>
          <w:trHeight w:val="300"/>
        </w:trPr>
        <w:tc>
          <w:tcPr>
            <w:tcW w:w="1307" w:type="dxa"/>
            <w:tcBorders>
              <w:top w:val="nil"/>
              <w:left w:val="single" w:sz="8" w:space="0" w:color="auto"/>
              <w:bottom w:val="single" w:sz="4" w:space="0" w:color="auto"/>
              <w:right w:val="single" w:sz="4" w:space="0" w:color="auto"/>
            </w:tcBorders>
            <w:shd w:val="clear" w:color="auto" w:fill="auto"/>
            <w:noWrap/>
            <w:vAlign w:val="bottom"/>
            <w:hideMark/>
          </w:tcPr>
          <w:p w:rsidR="00CA7613" w:rsidRPr="00F7078B" w:rsidRDefault="00A7240C" w:rsidP="00DC58F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i/>
                <w:color w:val="000000"/>
                <w:bdr w:val="none" w:sz="0" w:space="0" w:color="auto"/>
              </w:rPr>
            </w:pPr>
            <w:r w:rsidRPr="00F7078B">
              <w:rPr>
                <w:rFonts w:eastAsia="Times New Roman"/>
                <w:b/>
                <w:i/>
                <w:color w:val="000000"/>
                <w:bdr w:val="none" w:sz="0" w:space="0" w:color="auto"/>
              </w:rPr>
              <w:t>CIES Model</w:t>
            </w:r>
          </w:p>
        </w:tc>
        <w:tc>
          <w:tcPr>
            <w:tcW w:w="1390" w:type="dxa"/>
            <w:tcBorders>
              <w:top w:val="nil"/>
              <w:left w:val="nil"/>
              <w:bottom w:val="single" w:sz="4" w:space="0" w:color="auto"/>
              <w:right w:val="single" w:sz="4" w:space="0" w:color="auto"/>
            </w:tcBorders>
            <w:shd w:val="clear" w:color="auto" w:fill="auto"/>
            <w:noWrap/>
            <w:vAlign w:val="bottom"/>
            <w:hideMark/>
          </w:tcPr>
          <w:p w:rsidR="00CA7613" w:rsidRPr="00F7078B" w:rsidRDefault="00CA7613" w:rsidP="00DC58F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i/>
                <w:color w:val="000000"/>
                <w:bdr w:val="none" w:sz="0" w:space="0" w:color="auto"/>
              </w:rPr>
            </w:pPr>
            <w:r w:rsidRPr="00F7078B">
              <w:rPr>
                <w:rFonts w:eastAsia="Times New Roman"/>
                <w:b/>
                <w:i/>
                <w:color w:val="000000"/>
                <w:bdr w:val="none" w:sz="0" w:space="0" w:color="auto"/>
              </w:rPr>
              <w:t>Enrollments</w:t>
            </w:r>
          </w:p>
        </w:tc>
        <w:tc>
          <w:tcPr>
            <w:tcW w:w="1334" w:type="dxa"/>
            <w:tcBorders>
              <w:top w:val="nil"/>
              <w:left w:val="nil"/>
              <w:bottom w:val="single" w:sz="4" w:space="0" w:color="auto"/>
              <w:right w:val="single" w:sz="4" w:space="0" w:color="auto"/>
            </w:tcBorders>
            <w:shd w:val="clear" w:color="auto" w:fill="auto"/>
            <w:noWrap/>
            <w:vAlign w:val="bottom"/>
            <w:hideMark/>
          </w:tcPr>
          <w:p w:rsidR="00CA7613" w:rsidRPr="00F7078B" w:rsidRDefault="00CA7613" w:rsidP="00DC58F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i/>
                <w:color w:val="000000"/>
                <w:bdr w:val="none" w:sz="0" w:space="0" w:color="auto"/>
              </w:rPr>
            </w:pPr>
            <w:r w:rsidRPr="00F7078B">
              <w:rPr>
                <w:rFonts w:eastAsia="Times New Roman"/>
                <w:b/>
                <w:i/>
                <w:color w:val="000000"/>
                <w:bdr w:val="none" w:sz="0" w:space="0" w:color="auto"/>
              </w:rPr>
              <w:t>Placements</w:t>
            </w:r>
          </w:p>
        </w:tc>
        <w:tc>
          <w:tcPr>
            <w:tcW w:w="2067" w:type="dxa"/>
            <w:tcBorders>
              <w:top w:val="nil"/>
              <w:left w:val="nil"/>
              <w:bottom w:val="single" w:sz="4" w:space="0" w:color="auto"/>
              <w:right w:val="single" w:sz="4" w:space="0" w:color="auto"/>
            </w:tcBorders>
            <w:shd w:val="clear" w:color="auto" w:fill="auto"/>
            <w:noWrap/>
            <w:vAlign w:val="bottom"/>
            <w:hideMark/>
          </w:tcPr>
          <w:p w:rsidR="00CA7613" w:rsidRPr="00F7078B" w:rsidRDefault="00CA7613" w:rsidP="00DC58F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i/>
                <w:color w:val="000000"/>
                <w:bdr w:val="none" w:sz="0" w:space="0" w:color="auto"/>
              </w:rPr>
            </w:pPr>
            <w:r w:rsidRPr="00F7078B">
              <w:rPr>
                <w:rFonts w:eastAsia="Times New Roman"/>
                <w:b/>
                <w:i/>
                <w:color w:val="000000"/>
                <w:bdr w:val="none" w:sz="0" w:space="0" w:color="auto"/>
              </w:rPr>
              <w:t>Performance Rate</w:t>
            </w:r>
          </w:p>
        </w:tc>
        <w:tc>
          <w:tcPr>
            <w:tcW w:w="2000" w:type="dxa"/>
            <w:tcBorders>
              <w:top w:val="nil"/>
              <w:left w:val="nil"/>
              <w:bottom w:val="single" w:sz="4" w:space="0" w:color="auto"/>
              <w:right w:val="single" w:sz="4" w:space="0" w:color="auto"/>
            </w:tcBorders>
            <w:shd w:val="clear" w:color="auto" w:fill="auto"/>
            <w:noWrap/>
            <w:vAlign w:val="bottom"/>
            <w:hideMark/>
          </w:tcPr>
          <w:p w:rsidR="00CA7613" w:rsidRPr="00F7078B" w:rsidRDefault="00CA7613" w:rsidP="00DC58F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i/>
                <w:color w:val="000000"/>
                <w:bdr w:val="none" w:sz="0" w:space="0" w:color="auto"/>
              </w:rPr>
            </w:pPr>
            <w:r w:rsidRPr="00F7078B">
              <w:rPr>
                <w:rFonts w:eastAsia="Times New Roman"/>
                <w:b/>
                <w:i/>
                <w:color w:val="000000"/>
                <w:bdr w:val="none" w:sz="0" w:space="0" w:color="auto"/>
              </w:rPr>
              <w:t>90-Day Retention</w:t>
            </w:r>
          </w:p>
        </w:tc>
        <w:tc>
          <w:tcPr>
            <w:tcW w:w="1722" w:type="dxa"/>
            <w:tcBorders>
              <w:top w:val="nil"/>
              <w:left w:val="nil"/>
              <w:bottom w:val="single" w:sz="4" w:space="0" w:color="auto"/>
              <w:right w:val="single" w:sz="8" w:space="0" w:color="auto"/>
            </w:tcBorders>
            <w:shd w:val="clear" w:color="auto" w:fill="auto"/>
            <w:noWrap/>
            <w:vAlign w:val="bottom"/>
            <w:hideMark/>
          </w:tcPr>
          <w:p w:rsidR="00CA7613" w:rsidRPr="00F7078B" w:rsidRDefault="00CA7613" w:rsidP="00DC58F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i/>
                <w:color w:val="000000"/>
                <w:bdr w:val="none" w:sz="0" w:space="0" w:color="auto"/>
              </w:rPr>
            </w:pPr>
            <w:r w:rsidRPr="00F7078B">
              <w:rPr>
                <w:rFonts w:eastAsia="Times New Roman"/>
                <w:b/>
                <w:i/>
                <w:color w:val="000000"/>
                <w:bdr w:val="none" w:sz="0" w:space="0" w:color="auto"/>
              </w:rPr>
              <w:t>Retention Rate</w:t>
            </w:r>
          </w:p>
        </w:tc>
      </w:tr>
      <w:tr w:rsidR="00CA7613" w:rsidRPr="00A7240C" w:rsidTr="0069682A">
        <w:trPr>
          <w:trHeight w:val="300"/>
        </w:trPr>
        <w:tc>
          <w:tcPr>
            <w:tcW w:w="1307" w:type="dxa"/>
            <w:tcBorders>
              <w:top w:val="nil"/>
              <w:left w:val="single" w:sz="8" w:space="0" w:color="auto"/>
              <w:bottom w:val="single" w:sz="4" w:space="0" w:color="auto"/>
              <w:right w:val="single" w:sz="4" w:space="0" w:color="auto"/>
            </w:tcBorders>
            <w:shd w:val="clear" w:color="auto" w:fill="auto"/>
            <w:noWrap/>
            <w:vAlign w:val="bottom"/>
            <w:hideMark/>
          </w:tcPr>
          <w:p w:rsidR="00CA7613" w:rsidRPr="00F7078B" w:rsidRDefault="00CA7613" w:rsidP="00DC58F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rPr>
            </w:pPr>
            <w:r w:rsidRPr="00F7078B">
              <w:rPr>
                <w:rFonts w:eastAsia="Times New Roman"/>
                <w:color w:val="000000"/>
                <w:bdr w:val="none" w:sz="0" w:space="0" w:color="auto"/>
              </w:rPr>
              <w:t>Model II</w:t>
            </w:r>
          </w:p>
        </w:tc>
        <w:tc>
          <w:tcPr>
            <w:tcW w:w="1390" w:type="dxa"/>
            <w:tcBorders>
              <w:top w:val="nil"/>
              <w:left w:val="nil"/>
              <w:bottom w:val="single" w:sz="4" w:space="0" w:color="auto"/>
              <w:right w:val="single" w:sz="4" w:space="0" w:color="auto"/>
            </w:tcBorders>
            <w:shd w:val="clear" w:color="auto" w:fill="auto"/>
            <w:noWrap/>
            <w:vAlign w:val="bottom"/>
          </w:tcPr>
          <w:p w:rsidR="00CA7613" w:rsidRPr="00F7078B" w:rsidRDefault="00AE326D" w:rsidP="00DC58F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rPr>
            </w:pPr>
            <w:r w:rsidRPr="00F7078B">
              <w:rPr>
                <w:rFonts w:eastAsia="Times New Roman"/>
                <w:color w:val="000000"/>
                <w:bdr w:val="none" w:sz="0" w:space="0" w:color="auto"/>
              </w:rPr>
              <w:t>1,396</w:t>
            </w:r>
          </w:p>
        </w:tc>
        <w:tc>
          <w:tcPr>
            <w:tcW w:w="1334" w:type="dxa"/>
            <w:tcBorders>
              <w:top w:val="nil"/>
              <w:left w:val="nil"/>
              <w:bottom w:val="single" w:sz="4" w:space="0" w:color="auto"/>
              <w:right w:val="single" w:sz="4" w:space="0" w:color="auto"/>
            </w:tcBorders>
            <w:shd w:val="clear" w:color="auto" w:fill="auto"/>
            <w:noWrap/>
            <w:vAlign w:val="bottom"/>
          </w:tcPr>
          <w:p w:rsidR="00CA7613" w:rsidRPr="00F7078B" w:rsidRDefault="00AE326D" w:rsidP="00DC58F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rPr>
            </w:pPr>
            <w:r w:rsidRPr="00F7078B">
              <w:rPr>
                <w:rFonts w:eastAsia="Times New Roman"/>
                <w:color w:val="000000"/>
                <w:bdr w:val="none" w:sz="0" w:space="0" w:color="auto"/>
              </w:rPr>
              <w:t>879</w:t>
            </w:r>
          </w:p>
        </w:tc>
        <w:tc>
          <w:tcPr>
            <w:tcW w:w="2067" w:type="dxa"/>
            <w:tcBorders>
              <w:top w:val="nil"/>
              <w:left w:val="nil"/>
              <w:bottom w:val="single" w:sz="4" w:space="0" w:color="auto"/>
              <w:right w:val="single" w:sz="4" w:space="0" w:color="auto"/>
            </w:tcBorders>
            <w:shd w:val="clear" w:color="auto" w:fill="auto"/>
            <w:noWrap/>
            <w:vAlign w:val="bottom"/>
          </w:tcPr>
          <w:p w:rsidR="00CA7613" w:rsidRPr="00F7078B" w:rsidRDefault="00AE326D" w:rsidP="00DC58F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rPr>
            </w:pPr>
            <w:r w:rsidRPr="00F7078B">
              <w:rPr>
                <w:rFonts w:eastAsia="Times New Roman"/>
                <w:color w:val="000000"/>
                <w:bdr w:val="none" w:sz="0" w:space="0" w:color="auto"/>
              </w:rPr>
              <w:t>63.0%</w:t>
            </w:r>
          </w:p>
        </w:tc>
        <w:tc>
          <w:tcPr>
            <w:tcW w:w="2000" w:type="dxa"/>
            <w:tcBorders>
              <w:top w:val="nil"/>
              <w:left w:val="nil"/>
              <w:bottom w:val="single" w:sz="4" w:space="0" w:color="auto"/>
              <w:right w:val="single" w:sz="4" w:space="0" w:color="auto"/>
            </w:tcBorders>
            <w:shd w:val="clear" w:color="auto" w:fill="auto"/>
            <w:noWrap/>
            <w:vAlign w:val="bottom"/>
          </w:tcPr>
          <w:p w:rsidR="00CA7613" w:rsidRPr="00F7078B" w:rsidRDefault="00AE326D" w:rsidP="00DC58F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rPr>
            </w:pPr>
            <w:r w:rsidRPr="00F7078B">
              <w:rPr>
                <w:rFonts w:eastAsia="Times New Roman"/>
                <w:color w:val="000000"/>
                <w:bdr w:val="none" w:sz="0" w:space="0" w:color="auto"/>
              </w:rPr>
              <w:t>794</w:t>
            </w:r>
          </w:p>
        </w:tc>
        <w:tc>
          <w:tcPr>
            <w:tcW w:w="1722" w:type="dxa"/>
            <w:tcBorders>
              <w:top w:val="nil"/>
              <w:left w:val="nil"/>
              <w:bottom w:val="single" w:sz="4" w:space="0" w:color="auto"/>
              <w:right w:val="single" w:sz="8" w:space="0" w:color="auto"/>
            </w:tcBorders>
            <w:shd w:val="clear" w:color="auto" w:fill="auto"/>
            <w:noWrap/>
            <w:vAlign w:val="bottom"/>
          </w:tcPr>
          <w:p w:rsidR="00CA7613" w:rsidRPr="00F7078B" w:rsidRDefault="00294F7D" w:rsidP="00DC58F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rPr>
            </w:pPr>
            <w:r w:rsidRPr="00F7078B">
              <w:rPr>
                <w:rFonts w:eastAsia="Times New Roman"/>
                <w:color w:val="000000"/>
                <w:bdr w:val="none" w:sz="0" w:space="0" w:color="auto"/>
              </w:rPr>
              <w:t>90.3%</w:t>
            </w:r>
          </w:p>
        </w:tc>
      </w:tr>
      <w:tr w:rsidR="00CA7613" w:rsidRPr="00A7240C" w:rsidTr="0069682A">
        <w:trPr>
          <w:trHeight w:val="300"/>
        </w:trPr>
        <w:tc>
          <w:tcPr>
            <w:tcW w:w="1307" w:type="dxa"/>
            <w:tcBorders>
              <w:top w:val="nil"/>
              <w:left w:val="single" w:sz="8" w:space="0" w:color="auto"/>
              <w:bottom w:val="single" w:sz="4" w:space="0" w:color="auto"/>
              <w:right w:val="single" w:sz="4" w:space="0" w:color="auto"/>
            </w:tcBorders>
            <w:shd w:val="clear" w:color="auto" w:fill="auto"/>
            <w:noWrap/>
            <w:vAlign w:val="bottom"/>
            <w:hideMark/>
          </w:tcPr>
          <w:p w:rsidR="00CA7613" w:rsidRPr="00F7078B" w:rsidRDefault="00CA7613" w:rsidP="00DC58F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rPr>
            </w:pPr>
            <w:r w:rsidRPr="00F7078B">
              <w:rPr>
                <w:rFonts w:eastAsia="Times New Roman"/>
                <w:color w:val="000000"/>
                <w:bdr w:val="none" w:sz="0" w:space="0" w:color="auto"/>
              </w:rPr>
              <w:t>Model III</w:t>
            </w:r>
          </w:p>
        </w:tc>
        <w:tc>
          <w:tcPr>
            <w:tcW w:w="1390" w:type="dxa"/>
            <w:tcBorders>
              <w:top w:val="nil"/>
              <w:left w:val="nil"/>
              <w:bottom w:val="single" w:sz="4" w:space="0" w:color="auto"/>
              <w:right w:val="single" w:sz="4" w:space="0" w:color="auto"/>
            </w:tcBorders>
            <w:shd w:val="clear" w:color="auto" w:fill="auto"/>
            <w:noWrap/>
            <w:vAlign w:val="bottom"/>
          </w:tcPr>
          <w:p w:rsidR="00CA7613" w:rsidRPr="00F7078B" w:rsidRDefault="00AE326D" w:rsidP="00DC58F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rPr>
            </w:pPr>
            <w:r w:rsidRPr="00F7078B">
              <w:rPr>
                <w:rFonts w:eastAsia="Times New Roman"/>
                <w:color w:val="000000"/>
                <w:bdr w:val="none" w:sz="0" w:space="0" w:color="auto"/>
              </w:rPr>
              <w:t>1,050</w:t>
            </w:r>
          </w:p>
        </w:tc>
        <w:tc>
          <w:tcPr>
            <w:tcW w:w="1334" w:type="dxa"/>
            <w:tcBorders>
              <w:top w:val="nil"/>
              <w:left w:val="nil"/>
              <w:bottom w:val="single" w:sz="4" w:space="0" w:color="auto"/>
              <w:right w:val="single" w:sz="4" w:space="0" w:color="auto"/>
            </w:tcBorders>
            <w:shd w:val="clear" w:color="auto" w:fill="auto"/>
            <w:noWrap/>
            <w:vAlign w:val="bottom"/>
          </w:tcPr>
          <w:p w:rsidR="00CA7613" w:rsidRPr="00F7078B" w:rsidRDefault="00AE326D" w:rsidP="00DC58F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rPr>
            </w:pPr>
            <w:r w:rsidRPr="00F7078B">
              <w:rPr>
                <w:rFonts w:eastAsia="Times New Roman"/>
                <w:color w:val="000000"/>
                <w:bdr w:val="none" w:sz="0" w:space="0" w:color="auto"/>
              </w:rPr>
              <w:t>624</w:t>
            </w:r>
          </w:p>
        </w:tc>
        <w:tc>
          <w:tcPr>
            <w:tcW w:w="2067" w:type="dxa"/>
            <w:tcBorders>
              <w:top w:val="nil"/>
              <w:left w:val="nil"/>
              <w:bottom w:val="single" w:sz="4" w:space="0" w:color="auto"/>
              <w:right w:val="single" w:sz="4" w:space="0" w:color="auto"/>
            </w:tcBorders>
            <w:shd w:val="clear" w:color="auto" w:fill="auto"/>
            <w:noWrap/>
            <w:vAlign w:val="bottom"/>
          </w:tcPr>
          <w:p w:rsidR="00CA7613" w:rsidRPr="00F7078B" w:rsidRDefault="00AE326D" w:rsidP="00DC58F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rPr>
            </w:pPr>
            <w:r w:rsidRPr="00F7078B">
              <w:rPr>
                <w:rFonts w:eastAsia="Times New Roman"/>
                <w:color w:val="000000"/>
                <w:bdr w:val="none" w:sz="0" w:space="0" w:color="auto"/>
              </w:rPr>
              <w:t>59.4%</w:t>
            </w:r>
          </w:p>
        </w:tc>
        <w:tc>
          <w:tcPr>
            <w:tcW w:w="2000" w:type="dxa"/>
            <w:tcBorders>
              <w:top w:val="nil"/>
              <w:left w:val="nil"/>
              <w:bottom w:val="single" w:sz="4" w:space="0" w:color="auto"/>
              <w:right w:val="single" w:sz="4" w:space="0" w:color="auto"/>
            </w:tcBorders>
            <w:shd w:val="clear" w:color="auto" w:fill="auto"/>
            <w:noWrap/>
            <w:vAlign w:val="bottom"/>
          </w:tcPr>
          <w:p w:rsidR="00CA7613" w:rsidRPr="00F7078B" w:rsidRDefault="00AE326D" w:rsidP="00DC58F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rPr>
            </w:pPr>
            <w:r w:rsidRPr="00F7078B">
              <w:rPr>
                <w:rFonts w:eastAsia="Times New Roman"/>
                <w:color w:val="000000"/>
                <w:bdr w:val="none" w:sz="0" w:space="0" w:color="auto"/>
              </w:rPr>
              <w:t>575</w:t>
            </w:r>
          </w:p>
        </w:tc>
        <w:tc>
          <w:tcPr>
            <w:tcW w:w="1722" w:type="dxa"/>
            <w:tcBorders>
              <w:top w:val="nil"/>
              <w:left w:val="nil"/>
              <w:bottom w:val="single" w:sz="4" w:space="0" w:color="auto"/>
              <w:right w:val="single" w:sz="8" w:space="0" w:color="auto"/>
            </w:tcBorders>
            <w:shd w:val="clear" w:color="auto" w:fill="auto"/>
            <w:noWrap/>
            <w:vAlign w:val="bottom"/>
          </w:tcPr>
          <w:p w:rsidR="00CA7613" w:rsidRPr="00F7078B" w:rsidRDefault="00294F7D" w:rsidP="00DC58F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rPr>
            </w:pPr>
            <w:r w:rsidRPr="00F7078B">
              <w:rPr>
                <w:rFonts w:eastAsia="Times New Roman"/>
                <w:color w:val="000000"/>
                <w:bdr w:val="none" w:sz="0" w:space="0" w:color="auto"/>
              </w:rPr>
              <w:t>92.2%</w:t>
            </w:r>
          </w:p>
        </w:tc>
      </w:tr>
      <w:tr w:rsidR="00CA7613" w:rsidRPr="00A7240C" w:rsidTr="0069682A">
        <w:trPr>
          <w:trHeight w:val="315"/>
        </w:trPr>
        <w:tc>
          <w:tcPr>
            <w:tcW w:w="1307" w:type="dxa"/>
            <w:tcBorders>
              <w:top w:val="nil"/>
              <w:left w:val="single" w:sz="8" w:space="0" w:color="auto"/>
              <w:bottom w:val="single" w:sz="8" w:space="0" w:color="auto"/>
              <w:right w:val="single" w:sz="4" w:space="0" w:color="auto"/>
            </w:tcBorders>
            <w:shd w:val="clear" w:color="auto" w:fill="auto"/>
            <w:noWrap/>
            <w:vAlign w:val="bottom"/>
            <w:hideMark/>
          </w:tcPr>
          <w:p w:rsidR="00CA7613" w:rsidRPr="00F7078B" w:rsidRDefault="00CA7613" w:rsidP="00DC58F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rPr>
            </w:pPr>
            <w:r w:rsidRPr="00F7078B">
              <w:rPr>
                <w:rFonts w:eastAsia="Times New Roman"/>
                <w:color w:val="000000"/>
                <w:bdr w:val="none" w:sz="0" w:space="0" w:color="auto"/>
              </w:rPr>
              <w:t>Total</w:t>
            </w:r>
          </w:p>
        </w:tc>
        <w:tc>
          <w:tcPr>
            <w:tcW w:w="1390" w:type="dxa"/>
            <w:tcBorders>
              <w:top w:val="nil"/>
              <w:left w:val="nil"/>
              <w:bottom w:val="single" w:sz="8" w:space="0" w:color="auto"/>
              <w:right w:val="single" w:sz="4" w:space="0" w:color="auto"/>
            </w:tcBorders>
            <w:shd w:val="clear" w:color="auto" w:fill="auto"/>
            <w:noWrap/>
            <w:vAlign w:val="bottom"/>
          </w:tcPr>
          <w:p w:rsidR="00CA7613" w:rsidRPr="00F7078B" w:rsidRDefault="00AE326D" w:rsidP="00DC58F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rPr>
            </w:pPr>
            <w:r w:rsidRPr="00F7078B">
              <w:rPr>
                <w:rFonts w:eastAsia="Times New Roman"/>
                <w:color w:val="000000"/>
                <w:bdr w:val="none" w:sz="0" w:space="0" w:color="auto"/>
              </w:rPr>
              <w:t>2,446</w:t>
            </w:r>
          </w:p>
        </w:tc>
        <w:tc>
          <w:tcPr>
            <w:tcW w:w="1334" w:type="dxa"/>
            <w:tcBorders>
              <w:top w:val="nil"/>
              <w:left w:val="nil"/>
              <w:bottom w:val="single" w:sz="8" w:space="0" w:color="auto"/>
              <w:right w:val="single" w:sz="4" w:space="0" w:color="auto"/>
            </w:tcBorders>
            <w:shd w:val="clear" w:color="auto" w:fill="auto"/>
            <w:noWrap/>
            <w:vAlign w:val="bottom"/>
          </w:tcPr>
          <w:p w:rsidR="00CA7613" w:rsidRPr="00F7078B" w:rsidRDefault="00AE326D" w:rsidP="00DC58F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rPr>
            </w:pPr>
            <w:r w:rsidRPr="00F7078B">
              <w:rPr>
                <w:rFonts w:eastAsia="Times New Roman"/>
                <w:color w:val="000000"/>
                <w:bdr w:val="none" w:sz="0" w:space="0" w:color="auto"/>
              </w:rPr>
              <w:t>1,503</w:t>
            </w:r>
          </w:p>
        </w:tc>
        <w:tc>
          <w:tcPr>
            <w:tcW w:w="2067" w:type="dxa"/>
            <w:tcBorders>
              <w:top w:val="nil"/>
              <w:left w:val="nil"/>
              <w:bottom w:val="single" w:sz="8" w:space="0" w:color="auto"/>
              <w:right w:val="single" w:sz="4" w:space="0" w:color="auto"/>
            </w:tcBorders>
            <w:shd w:val="clear" w:color="auto" w:fill="auto"/>
            <w:noWrap/>
            <w:vAlign w:val="bottom"/>
          </w:tcPr>
          <w:p w:rsidR="00CA7613" w:rsidRPr="00F7078B" w:rsidRDefault="00AE326D" w:rsidP="00DC58F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rPr>
            </w:pPr>
            <w:r w:rsidRPr="00F7078B">
              <w:rPr>
                <w:rFonts w:eastAsia="Times New Roman"/>
                <w:color w:val="000000"/>
                <w:bdr w:val="none" w:sz="0" w:space="0" w:color="auto"/>
              </w:rPr>
              <w:t>61.</w:t>
            </w:r>
            <w:r w:rsidR="00294F7D" w:rsidRPr="00F7078B">
              <w:rPr>
                <w:rFonts w:eastAsia="Times New Roman"/>
                <w:color w:val="000000"/>
                <w:bdr w:val="none" w:sz="0" w:space="0" w:color="auto"/>
              </w:rPr>
              <w:t>4%</w:t>
            </w:r>
          </w:p>
        </w:tc>
        <w:tc>
          <w:tcPr>
            <w:tcW w:w="2000" w:type="dxa"/>
            <w:tcBorders>
              <w:top w:val="nil"/>
              <w:left w:val="nil"/>
              <w:bottom w:val="single" w:sz="8" w:space="0" w:color="auto"/>
              <w:right w:val="single" w:sz="4" w:space="0" w:color="auto"/>
            </w:tcBorders>
            <w:shd w:val="clear" w:color="auto" w:fill="auto"/>
            <w:noWrap/>
            <w:vAlign w:val="bottom"/>
          </w:tcPr>
          <w:p w:rsidR="00CA7613" w:rsidRPr="00F7078B" w:rsidRDefault="00AE326D" w:rsidP="00DC58F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rPr>
            </w:pPr>
            <w:r w:rsidRPr="00F7078B">
              <w:rPr>
                <w:rFonts w:eastAsia="Times New Roman"/>
                <w:color w:val="000000"/>
                <w:bdr w:val="none" w:sz="0" w:space="0" w:color="auto"/>
              </w:rPr>
              <w:t>1,396</w:t>
            </w:r>
          </w:p>
        </w:tc>
        <w:tc>
          <w:tcPr>
            <w:tcW w:w="1722" w:type="dxa"/>
            <w:tcBorders>
              <w:top w:val="nil"/>
              <w:left w:val="nil"/>
              <w:bottom w:val="single" w:sz="8" w:space="0" w:color="auto"/>
              <w:right w:val="single" w:sz="8" w:space="0" w:color="auto"/>
            </w:tcBorders>
            <w:shd w:val="clear" w:color="auto" w:fill="auto"/>
            <w:noWrap/>
            <w:vAlign w:val="bottom"/>
          </w:tcPr>
          <w:p w:rsidR="00CA7613" w:rsidRPr="00F7078B" w:rsidRDefault="00294F7D" w:rsidP="00DC58F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rPr>
            </w:pPr>
            <w:r w:rsidRPr="00F7078B">
              <w:rPr>
                <w:rFonts w:eastAsia="Times New Roman"/>
                <w:color w:val="000000"/>
                <w:bdr w:val="none" w:sz="0" w:space="0" w:color="auto"/>
              </w:rPr>
              <w:t>92.9%</w:t>
            </w:r>
          </w:p>
        </w:tc>
      </w:tr>
    </w:tbl>
    <w:p w:rsidR="00B42B47" w:rsidRDefault="00B42B47" w:rsidP="00DC58F1">
      <w:pPr>
        <w:autoSpaceDE w:val="0"/>
        <w:autoSpaceDN w:val="0"/>
        <w:adjustRightInd w:val="0"/>
      </w:pPr>
    </w:p>
    <w:p w:rsidR="00A7240C" w:rsidRPr="0062259C" w:rsidRDefault="00A7240C" w:rsidP="00DC58F1">
      <w:pPr>
        <w:autoSpaceDE w:val="0"/>
        <w:autoSpaceDN w:val="0"/>
        <w:adjustRightInd w:val="0"/>
      </w:pPr>
    </w:p>
    <w:p w:rsidR="00B42B47" w:rsidRDefault="00B42B47" w:rsidP="0062259C">
      <w:pPr>
        <w:rPr>
          <w:b/>
          <w:smallCaps/>
        </w:rPr>
      </w:pPr>
      <w:r w:rsidRPr="00F7078B">
        <w:rPr>
          <w:b/>
          <w:smallCaps/>
        </w:rPr>
        <w:t>Massachusetts Office for Refugees and Immigrants (</w:t>
      </w:r>
      <w:r w:rsidR="001D365D">
        <w:rPr>
          <w:b/>
          <w:smallCaps/>
        </w:rPr>
        <w:t>M</w:t>
      </w:r>
      <w:r w:rsidRPr="00F7078B">
        <w:rPr>
          <w:b/>
          <w:smallCaps/>
        </w:rPr>
        <w:t>ORI)</w:t>
      </w:r>
    </w:p>
    <w:p w:rsidR="00A7240C" w:rsidRPr="00F7078B" w:rsidRDefault="00A7240C" w:rsidP="0062259C">
      <w:pPr>
        <w:rPr>
          <w:b/>
          <w:smallCaps/>
        </w:rPr>
      </w:pPr>
    </w:p>
    <w:p w:rsidR="00B42B47" w:rsidRPr="00A7240C" w:rsidRDefault="00B42B47" w:rsidP="0062259C">
      <w:pPr>
        <w:autoSpaceDE w:val="0"/>
        <w:autoSpaceDN w:val="0"/>
        <w:adjustRightInd w:val="0"/>
      </w:pPr>
      <w:r w:rsidRPr="0062259C">
        <w:t>The Office for Refugees and Immigrants (</w:t>
      </w:r>
      <w:r w:rsidR="001D365D">
        <w:t>M</w:t>
      </w:r>
      <w:r w:rsidRPr="0062259C">
        <w:t>ORI) offers services to employment authorized noncitizens who are also TAFDC clients</w:t>
      </w:r>
      <w:r w:rsidR="00E16161" w:rsidRPr="00A7240C">
        <w:t xml:space="preserve">. </w:t>
      </w:r>
      <w:r w:rsidRPr="00A7240C">
        <w:t xml:space="preserve">Noncitizen TAFDC clients in need of assistance to overcome cultural and linguistic </w:t>
      </w:r>
      <w:r w:rsidR="000E1BE8" w:rsidRPr="00A7240C">
        <w:t>barriers, which hinder them from obtaining and maintaining employment,</w:t>
      </w:r>
      <w:r w:rsidRPr="00A7240C">
        <w:t xml:space="preserve"> are served through the </w:t>
      </w:r>
      <w:r w:rsidR="001D365D">
        <w:t>M</w:t>
      </w:r>
      <w:r w:rsidRPr="0062259C">
        <w:t>ORI model</w:t>
      </w:r>
      <w:r w:rsidR="00E16161" w:rsidRPr="00A7240C">
        <w:t xml:space="preserve">. </w:t>
      </w:r>
      <w:r w:rsidRPr="00A7240C">
        <w:t>Services include a comprehensive assessment of client needs, job search skills, and ongoing follow-up services once the client is employed</w:t>
      </w:r>
      <w:r w:rsidR="00E16161" w:rsidRPr="00A7240C">
        <w:t xml:space="preserve">. </w:t>
      </w:r>
      <w:r w:rsidRPr="00A7240C">
        <w:t xml:space="preserve">Services are provided in the client’s primary language as clients work to build English skills and make it possible for </w:t>
      </w:r>
      <w:r w:rsidR="00E74FA2" w:rsidRPr="00A7240C">
        <w:t>DTA</w:t>
      </w:r>
      <w:r w:rsidRPr="00A7240C">
        <w:t xml:space="preserve"> to serve recent immigrants that have a wide range of cultural and linguistic barriers to employment</w:t>
      </w:r>
      <w:r w:rsidR="00E16161" w:rsidRPr="00A7240C">
        <w:t xml:space="preserve">. </w:t>
      </w:r>
      <w:r w:rsidRPr="00A7240C">
        <w:t xml:space="preserve">Currently, </w:t>
      </w:r>
      <w:r w:rsidR="001D365D">
        <w:t>M</w:t>
      </w:r>
      <w:r w:rsidRPr="0062259C">
        <w:t xml:space="preserve">ORI services are offered in the Boston, Lynn, Worcester and West Springfield areas. </w:t>
      </w:r>
    </w:p>
    <w:p w:rsidR="00B42B47" w:rsidRPr="00A7240C" w:rsidRDefault="00B42B47">
      <w:pPr>
        <w:autoSpaceDE w:val="0"/>
        <w:autoSpaceDN w:val="0"/>
        <w:adjustRightInd w:val="0"/>
        <w:rPr>
          <w:u w:val="single"/>
        </w:rPr>
      </w:pPr>
    </w:p>
    <w:p w:rsidR="00086C16" w:rsidRPr="00A7240C" w:rsidRDefault="005A16FC" w:rsidP="00DC58F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 w:rsidRPr="00A7240C">
        <w:t>In FY17</w:t>
      </w:r>
      <w:r w:rsidR="00A235B5" w:rsidRPr="00A7240C">
        <w:t>,</w:t>
      </w:r>
      <w:r w:rsidRPr="00A7240C">
        <w:t xml:space="preserve"> </w:t>
      </w:r>
      <w:r w:rsidR="00376A67" w:rsidRPr="00A7240C">
        <w:t xml:space="preserve">two hundred and </w:t>
      </w:r>
      <w:r w:rsidR="005E4503" w:rsidRPr="00A7240C">
        <w:t>sixty-six</w:t>
      </w:r>
      <w:r w:rsidR="00376A67" w:rsidRPr="00A7240C">
        <w:t xml:space="preserve"> (2</w:t>
      </w:r>
      <w:r w:rsidR="005E4503" w:rsidRPr="00A7240C">
        <w:t>66</w:t>
      </w:r>
      <w:r w:rsidR="00376A67" w:rsidRPr="00A7240C">
        <w:t xml:space="preserve">) clients were placed through the ORI program. </w:t>
      </w:r>
      <w:r w:rsidR="001D365D">
        <w:t>M</w:t>
      </w:r>
      <w:r w:rsidR="00376A67" w:rsidRPr="0062259C">
        <w:t>ORI met</w:t>
      </w:r>
      <w:r w:rsidR="001D365D">
        <w:t xml:space="preserve"> </w:t>
      </w:r>
      <w:r w:rsidR="00376A67" w:rsidRPr="00A7240C">
        <w:t>88.3% of their job placement goal.  MORI spent $</w:t>
      </w:r>
      <w:r w:rsidR="005E4503" w:rsidRPr="00A7240C">
        <w:t>943,544</w:t>
      </w:r>
      <w:r w:rsidR="00376A67" w:rsidRPr="00A7240C">
        <w:t xml:space="preserve"> which was </w:t>
      </w:r>
      <w:r w:rsidR="005E4503" w:rsidRPr="00A7240C">
        <w:t>94.3</w:t>
      </w:r>
      <w:r w:rsidR="00376A67" w:rsidRPr="00A7240C">
        <w:t xml:space="preserve">% of their </w:t>
      </w:r>
      <w:r w:rsidR="005E4503" w:rsidRPr="00A7240C">
        <w:t xml:space="preserve">FY17 </w:t>
      </w:r>
      <w:r w:rsidR="00376A67" w:rsidRPr="00A7240C">
        <w:t>funding</w:t>
      </w:r>
      <w:r w:rsidR="00557AC8">
        <w:t>.</w:t>
      </w:r>
    </w:p>
    <w:p w:rsidR="009E39BD" w:rsidRDefault="009E39BD" w:rsidP="00DC58F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b/>
          <w:u w:val="single"/>
        </w:rPr>
      </w:pPr>
    </w:p>
    <w:p w:rsidR="00F2016C" w:rsidRPr="0062259C" w:rsidRDefault="00F2016C" w:rsidP="00DC58F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b/>
          <w:u w:val="single"/>
        </w:rPr>
      </w:pPr>
    </w:p>
    <w:p w:rsidR="009E39BD" w:rsidRDefault="009E39BD" w:rsidP="006225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b/>
          <w:smallCaps/>
        </w:rPr>
      </w:pPr>
      <w:r w:rsidRPr="00F7078B">
        <w:rPr>
          <w:b/>
          <w:smallCaps/>
        </w:rPr>
        <w:t>Secure Jobs Program</w:t>
      </w:r>
    </w:p>
    <w:p w:rsidR="00F2016C" w:rsidRPr="00F7078B" w:rsidRDefault="00F2016C" w:rsidP="006225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smallCaps/>
        </w:rPr>
      </w:pPr>
    </w:p>
    <w:p w:rsidR="00C36FA4" w:rsidRPr="00A7240C" w:rsidRDefault="00C36FA4">
      <w:r w:rsidRPr="0062259C">
        <w:t>Secure Jobs was created through a partnership between the Firemen Fund and the Massachusetts Interagency Council on Housing and Homelessness to address both homelessness and joblessness by bringing together employment and housin</w:t>
      </w:r>
      <w:r w:rsidRPr="00A7240C">
        <w:t>g agencies across the state to help homeless families increase their level of economic self-sufficiency. Through state and local a</w:t>
      </w:r>
      <w:r w:rsidR="001D365D">
        <w:t>gency</w:t>
      </w:r>
      <w:r w:rsidRPr="0062259C">
        <w:t xml:space="preserve"> collaboration, Secure Jobs offers access to real solutions and supports that help families regain stability as they s</w:t>
      </w:r>
      <w:r w:rsidRPr="00A7240C">
        <w:t>ecure employment.</w:t>
      </w:r>
      <w:r w:rsidR="001D365D">
        <w:t xml:space="preserve"> </w:t>
      </w:r>
      <w:r w:rsidRPr="00A7240C">
        <w:t>These partnerships provide integrated housing and employment services using the Secure Jobs case management model of providing families long term personalized support tailored to their needs as they find financial stability and a home.</w:t>
      </w:r>
    </w:p>
    <w:p w:rsidR="00C36FA4" w:rsidRPr="00A7240C" w:rsidRDefault="00C36FA4"/>
    <w:p w:rsidR="000F48C7" w:rsidRPr="00A7240C" w:rsidRDefault="00C36FA4">
      <w:r w:rsidRPr="00A7240C">
        <w:t>The Secure Jobs model assesses families to find employable parents residing in shelter, short term rapid rehousing</w:t>
      </w:r>
      <w:r w:rsidR="001D365D">
        <w:t>,</w:t>
      </w:r>
      <w:r w:rsidRPr="0062259C">
        <w:t xml:space="preserve"> or rental voucher programs and assesses their career plans and skills, as well as the barriers they face to employment.</w:t>
      </w:r>
      <w:r w:rsidRPr="00A7240C">
        <w:t xml:space="preserve"> Families are then matched to the services that will help them to overcome these barriers and connected with suitable employers in jobs with career pathways. After job placement, families are provided a year of support services.</w:t>
      </w:r>
      <w:r w:rsidR="000F48C7" w:rsidRPr="00A7240C">
        <w:t xml:space="preserve"> Thus far in FY2018, there have been 203 clients enrolled and 70 participating clients employed.</w:t>
      </w:r>
    </w:p>
    <w:p w:rsidR="00C36FA4" w:rsidRPr="00A7240C" w:rsidRDefault="00C36FA4"/>
    <w:p w:rsidR="00557AC8" w:rsidRPr="00557AC8" w:rsidRDefault="00557AC8" w:rsidP="00557AC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
        <w:t xml:space="preserve">Between FY15 and FY17, the Legislature appropriated funding for the Department of Housing and Community Development (DHCD) to execute contracts with provider agencies to deliver requisite services for individuals and families receiving support from DHCD’s Emergency </w:t>
      </w:r>
      <w:r w:rsidRPr="00557AC8">
        <w:t xml:space="preserve">Assistance (EA) program, the Massachusetts Rental Voucher Program (MRVP), the </w:t>
      </w:r>
      <w:proofErr w:type="spellStart"/>
      <w:r w:rsidRPr="00557AC8">
        <w:t>HomeBASE</w:t>
      </w:r>
      <w:proofErr w:type="spellEnd"/>
      <w:r w:rsidRPr="00557AC8">
        <w:t xml:space="preserve"> program, or Residential Assistance for Families in Transition (RAFT).</w:t>
      </w:r>
    </w:p>
    <w:p w:rsidR="00557AC8" w:rsidRPr="00557AC8" w:rsidRDefault="00557AC8" w:rsidP="00557AC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p>
    <w:p w:rsidR="00557AC8" w:rsidRPr="00557AC8" w:rsidRDefault="00557AC8" w:rsidP="00557AC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 w:rsidRPr="00557AC8">
        <w:t xml:space="preserve">In the FY18 </w:t>
      </w:r>
      <w:r>
        <w:t>budget</w:t>
      </w:r>
      <w:r w:rsidRPr="00557AC8">
        <w:t xml:space="preserve">, administration of the program was </w:t>
      </w:r>
      <w:r>
        <w:t xml:space="preserve">subsequently </w:t>
      </w:r>
      <w:r w:rsidRPr="00557AC8">
        <w:t>assigned to DTA. Working collaboratively with DHCD, the program continues to serve individuals and families that are served by DHCD programs.</w:t>
      </w:r>
    </w:p>
    <w:p w:rsidR="00557AC8" w:rsidRPr="00557AC8" w:rsidRDefault="00557AC8" w:rsidP="00557AC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p>
    <w:p w:rsidR="00557AC8" w:rsidRPr="00557AC8" w:rsidRDefault="00557AC8" w:rsidP="00557AC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 w:rsidRPr="00557AC8">
        <w:t xml:space="preserve">DTA is focused on creating partnerships to provide a comprehensive and integrated array of employment supports, job training, and related services to homeless or previously homeless families receiving housing assistance from DHCD. Participants in Secure Jobs are expected to achieve outcomes across the following three key domains: </w:t>
      </w:r>
    </w:p>
    <w:p w:rsidR="00557AC8" w:rsidRPr="00557AC8" w:rsidRDefault="00557AC8" w:rsidP="00557AC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p>
    <w:p w:rsidR="00557AC8" w:rsidRPr="00784898" w:rsidRDefault="00557AC8" w:rsidP="00557AC8">
      <w:pPr>
        <w:pStyle w:val="ListParagraph"/>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200" w:line="300" w:lineRule="auto"/>
        <w:contextualSpacing/>
        <w:rPr>
          <w:rStyle w:val="normalchar1"/>
          <w:rFonts w:eastAsia="Arial Unicode MS"/>
          <w:color w:val="auto"/>
        </w:rPr>
      </w:pPr>
      <w:r w:rsidRPr="00784898">
        <w:rPr>
          <w:rStyle w:val="normalchar1"/>
        </w:rPr>
        <w:t xml:space="preserve">Education and Career </w:t>
      </w:r>
    </w:p>
    <w:p w:rsidR="00557AC8" w:rsidRPr="00302849" w:rsidRDefault="00557AC8" w:rsidP="00557AC8">
      <w:pPr>
        <w:pStyle w:val="ListParagraph"/>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200" w:line="300" w:lineRule="auto"/>
        <w:contextualSpacing/>
        <w:rPr>
          <w:rStyle w:val="normalchar1"/>
          <w:rFonts w:eastAsia="Arial Unicode MS"/>
          <w:color w:val="auto"/>
        </w:rPr>
      </w:pPr>
      <w:r w:rsidRPr="00302849">
        <w:rPr>
          <w:rStyle w:val="normalchar1"/>
        </w:rPr>
        <w:t xml:space="preserve">Housing and Economic Stability </w:t>
      </w:r>
    </w:p>
    <w:p w:rsidR="00557AC8" w:rsidRPr="005B1E79" w:rsidRDefault="00557AC8" w:rsidP="00557AC8">
      <w:pPr>
        <w:pStyle w:val="ListParagraph"/>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200" w:line="300" w:lineRule="auto"/>
        <w:contextualSpacing/>
        <w:rPr>
          <w:rStyle w:val="normalchar1"/>
          <w:rFonts w:eastAsia="Arial Unicode MS"/>
          <w:color w:val="auto"/>
        </w:rPr>
      </w:pPr>
      <w:r w:rsidRPr="005B1E79">
        <w:rPr>
          <w:rStyle w:val="normalchar1"/>
        </w:rPr>
        <w:t>Family Stability and Well Being</w:t>
      </w:r>
    </w:p>
    <w:p w:rsidR="00557AC8" w:rsidRPr="00557AC8" w:rsidRDefault="00557AC8" w:rsidP="00557AC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 w:rsidRPr="00557AC8">
        <w:lastRenderedPageBreak/>
        <w:t>The theory of change for Secure Jobs is that a focus on employment can shorten the length of stay in shelter and expedite the attainment of permanent housing, contributing to upward economic mobility and family stability.</w:t>
      </w:r>
    </w:p>
    <w:p w:rsidR="002B47D2" w:rsidRDefault="002B47D2" w:rsidP="00DC58F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b/>
          <w:smallCaps/>
        </w:rPr>
      </w:pPr>
    </w:p>
    <w:p w:rsidR="002B47D2" w:rsidRDefault="002B47D2" w:rsidP="00DC58F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b/>
          <w:smallCaps/>
        </w:rPr>
      </w:pPr>
    </w:p>
    <w:p w:rsidR="00B42B47" w:rsidRDefault="00B42B47" w:rsidP="00DC58F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b/>
          <w:smallCaps/>
        </w:rPr>
      </w:pPr>
      <w:r w:rsidRPr="00F7078B">
        <w:rPr>
          <w:b/>
          <w:smallCaps/>
        </w:rPr>
        <w:t>DTA Works</w:t>
      </w:r>
    </w:p>
    <w:p w:rsidR="00F2016C" w:rsidRPr="00F7078B" w:rsidRDefault="00F2016C" w:rsidP="00DC58F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smallCaps/>
        </w:rPr>
      </w:pPr>
    </w:p>
    <w:p w:rsidR="00B42B47" w:rsidRPr="00A7240C" w:rsidRDefault="00B42B47" w:rsidP="00DC58F1">
      <w:pPr>
        <w:autoSpaceDE w:val="0"/>
        <w:autoSpaceDN w:val="0"/>
        <w:adjustRightInd w:val="0"/>
      </w:pPr>
      <w:r w:rsidRPr="0062259C">
        <w:t xml:space="preserve">The DTA Works program is designed to help TAFDC </w:t>
      </w:r>
      <w:r w:rsidR="00E74FA2" w:rsidRPr="0062259C">
        <w:t>clients in</w:t>
      </w:r>
      <w:r w:rsidRPr="0062259C">
        <w:t xml:space="preserve"> need of work experience and mentors</w:t>
      </w:r>
      <w:r w:rsidRPr="00A7240C">
        <w:t xml:space="preserve">hip by providing </w:t>
      </w:r>
      <w:r w:rsidR="00E74FA2" w:rsidRPr="00A7240C">
        <w:t xml:space="preserve">internship </w:t>
      </w:r>
      <w:r w:rsidRPr="00A7240C">
        <w:t>placement</w:t>
      </w:r>
      <w:r w:rsidR="00E74FA2" w:rsidRPr="00A7240C">
        <w:t>s</w:t>
      </w:r>
      <w:r w:rsidRPr="00A7240C">
        <w:t xml:space="preserve"> </w:t>
      </w:r>
      <w:r w:rsidR="00E74FA2" w:rsidRPr="00A7240C">
        <w:t>throughout DTA’s</w:t>
      </w:r>
      <w:r w:rsidRPr="00A7240C">
        <w:t xml:space="preserve"> </w:t>
      </w:r>
      <w:r w:rsidR="00E74FA2" w:rsidRPr="00A7240C">
        <w:t>2</w:t>
      </w:r>
      <w:r w:rsidR="001D365D">
        <w:t>3</w:t>
      </w:r>
      <w:r w:rsidR="00E74FA2" w:rsidRPr="0062259C">
        <w:t xml:space="preserve"> </w:t>
      </w:r>
      <w:r w:rsidRPr="0062259C">
        <w:t>Transitional Assistance Offices (TAOs)</w:t>
      </w:r>
      <w:r w:rsidR="001D365D">
        <w:t>,</w:t>
      </w:r>
      <w:r w:rsidRPr="0062259C">
        <w:t xml:space="preserve"> </w:t>
      </w:r>
      <w:r w:rsidR="00E74FA2" w:rsidRPr="0062259C">
        <w:t xml:space="preserve">as well as at </w:t>
      </w:r>
      <w:r w:rsidRPr="0062259C">
        <w:t>partner agencies</w:t>
      </w:r>
      <w:r w:rsidR="00E16161" w:rsidRPr="00A7240C">
        <w:t xml:space="preserve">. </w:t>
      </w:r>
      <w:r w:rsidRPr="00A7240C">
        <w:t>Under this initiative, clients not only gain professional skills and work experience, but are given “on the job” support to develop the soft skills necessary to obtain and maintain employment</w:t>
      </w:r>
      <w:r w:rsidR="00E16161" w:rsidRPr="00A7240C">
        <w:t xml:space="preserve">. </w:t>
      </w:r>
      <w:r w:rsidRPr="00A7240C">
        <w:t>Clients enrolled in the DTA Works program are eligible to participate for up to six months and receive a small stipend</w:t>
      </w:r>
      <w:r w:rsidR="00E16161" w:rsidRPr="00A7240C">
        <w:t xml:space="preserve">. </w:t>
      </w:r>
      <w:r w:rsidRPr="00A7240C">
        <w:t xml:space="preserve">Additionally, clients at the end of their six-month internship are evaluated for skills matching current job openings at </w:t>
      </w:r>
      <w:r w:rsidR="00E16161" w:rsidRPr="00A7240C">
        <w:t>DTA</w:t>
      </w:r>
      <w:r w:rsidRPr="00A7240C">
        <w:t xml:space="preserve"> and with other state agencies</w:t>
      </w:r>
      <w:r w:rsidR="00E16161" w:rsidRPr="00A7240C">
        <w:t xml:space="preserve">. </w:t>
      </w:r>
      <w:r w:rsidRPr="00A7240C">
        <w:t>Clients are required to conduct independent job search during their enrollment in DTA Works</w:t>
      </w:r>
      <w:r w:rsidR="00E16161" w:rsidRPr="00A7240C">
        <w:t xml:space="preserve">. </w:t>
      </w:r>
      <w:r w:rsidRPr="00A7240C">
        <w:t>Participating clients are overseen by a program manager who meets with each intern one-on-one on a bi-weekly basis to evaluate the placement and provide job development services.</w:t>
      </w:r>
    </w:p>
    <w:p w:rsidR="000F4399" w:rsidRPr="00A7240C" w:rsidRDefault="000F4399" w:rsidP="00DC58F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p>
    <w:tbl>
      <w:tblPr>
        <w:tblW w:w="9285" w:type="dxa"/>
        <w:tblInd w:w="93" w:type="dxa"/>
        <w:tblLook w:val="04A0" w:firstRow="1" w:lastRow="0" w:firstColumn="1" w:lastColumn="0" w:noHBand="0" w:noVBand="1"/>
      </w:tblPr>
      <w:tblGrid>
        <w:gridCol w:w="1815"/>
        <w:gridCol w:w="1710"/>
        <w:gridCol w:w="4050"/>
        <w:gridCol w:w="1710"/>
      </w:tblGrid>
      <w:tr w:rsidR="00594645" w:rsidRPr="00A7240C" w:rsidTr="00594645">
        <w:trPr>
          <w:trHeight w:val="300"/>
        </w:trPr>
        <w:tc>
          <w:tcPr>
            <w:tcW w:w="9285" w:type="dxa"/>
            <w:gridSpan w:val="4"/>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594645" w:rsidRPr="00F7078B" w:rsidRDefault="00594645" w:rsidP="00DC58F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color w:val="000000"/>
                <w:bdr w:val="none" w:sz="0" w:space="0" w:color="auto"/>
              </w:rPr>
            </w:pPr>
            <w:r w:rsidRPr="00F7078B">
              <w:rPr>
                <w:rFonts w:eastAsia="Times New Roman"/>
                <w:b/>
                <w:color w:val="000000"/>
                <w:bdr w:val="none" w:sz="0" w:space="0" w:color="auto"/>
              </w:rPr>
              <w:t>DTA Works</w:t>
            </w:r>
          </w:p>
        </w:tc>
      </w:tr>
      <w:tr w:rsidR="00594645" w:rsidRPr="00A7240C" w:rsidTr="00B6148E">
        <w:trPr>
          <w:trHeight w:val="288"/>
        </w:trPr>
        <w:tc>
          <w:tcPr>
            <w:tcW w:w="1815" w:type="dxa"/>
            <w:tcBorders>
              <w:top w:val="nil"/>
              <w:left w:val="single" w:sz="8" w:space="0" w:color="auto"/>
              <w:bottom w:val="single" w:sz="4" w:space="0" w:color="auto"/>
              <w:right w:val="single" w:sz="4" w:space="0" w:color="auto"/>
            </w:tcBorders>
            <w:shd w:val="clear" w:color="auto" w:fill="auto"/>
            <w:noWrap/>
            <w:vAlign w:val="bottom"/>
            <w:hideMark/>
          </w:tcPr>
          <w:p w:rsidR="00594645" w:rsidRPr="00F7078B" w:rsidRDefault="00594645" w:rsidP="00DC58F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rPr>
            </w:pPr>
            <w:r w:rsidRPr="00F7078B">
              <w:rPr>
                <w:rFonts w:eastAsia="Times New Roman"/>
                <w:color w:val="000000"/>
                <w:bdr w:val="none" w:sz="0" w:space="0" w:color="auto"/>
              </w:rPr>
              <w:t>Fiscal Year</w:t>
            </w:r>
          </w:p>
        </w:tc>
        <w:tc>
          <w:tcPr>
            <w:tcW w:w="1710" w:type="dxa"/>
            <w:tcBorders>
              <w:top w:val="nil"/>
              <w:left w:val="nil"/>
              <w:bottom w:val="single" w:sz="4" w:space="0" w:color="auto"/>
              <w:right w:val="single" w:sz="4" w:space="0" w:color="auto"/>
            </w:tcBorders>
            <w:shd w:val="clear" w:color="auto" w:fill="auto"/>
            <w:noWrap/>
            <w:vAlign w:val="bottom"/>
            <w:hideMark/>
          </w:tcPr>
          <w:p w:rsidR="00594645" w:rsidRPr="00F7078B" w:rsidRDefault="00594645" w:rsidP="00DC58F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rPr>
            </w:pPr>
            <w:r w:rsidRPr="00F7078B">
              <w:rPr>
                <w:rFonts w:eastAsia="Times New Roman"/>
                <w:color w:val="000000"/>
                <w:bdr w:val="none" w:sz="0" w:space="0" w:color="auto"/>
              </w:rPr>
              <w:t># Enrolled</w:t>
            </w:r>
          </w:p>
        </w:tc>
        <w:tc>
          <w:tcPr>
            <w:tcW w:w="4050" w:type="dxa"/>
            <w:tcBorders>
              <w:top w:val="nil"/>
              <w:left w:val="nil"/>
              <w:bottom w:val="single" w:sz="4" w:space="0" w:color="auto"/>
              <w:right w:val="single" w:sz="4" w:space="0" w:color="auto"/>
            </w:tcBorders>
            <w:shd w:val="clear" w:color="auto" w:fill="auto"/>
            <w:vAlign w:val="bottom"/>
            <w:hideMark/>
          </w:tcPr>
          <w:p w:rsidR="00594645" w:rsidRPr="00F7078B" w:rsidRDefault="00594645" w:rsidP="00557AC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rPr>
            </w:pPr>
            <w:r w:rsidRPr="00F7078B">
              <w:rPr>
                <w:rFonts w:eastAsia="Times New Roman"/>
                <w:color w:val="000000"/>
                <w:bdr w:val="none" w:sz="0" w:space="0" w:color="auto"/>
              </w:rPr>
              <w:t xml:space="preserve"># </w:t>
            </w:r>
            <w:r w:rsidR="00557AC8">
              <w:rPr>
                <w:rFonts w:eastAsia="Times New Roman"/>
                <w:color w:val="000000"/>
                <w:bdr w:val="none" w:sz="0" w:space="0" w:color="auto"/>
              </w:rPr>
              <w:t>Attained</w:t>
            </w:r>
            <w:r w:rsidRPr="00F7078B">
              <w:rPr>
                <w:rFonts w:eastAsia="Times New Roman"/>
                <w:color w:val="000000"/>
                <w:bdr w:val="none" w:sz="0" w:space="0" w:color="auto"/>
              </w:rPr>
              <w:t xml:space="preserve"> </w:t>
            </w:r>
            <w:r w:rsidR="00B6148E">
              <w:rPr>
                <w:rFonts w:eastAsia="Times New Roman"/>
                <w:color w:val="000000"/>
                <w:bdr w:val="none" w:sz="0" w:space="0" w:color="auto"/>
              </w:rPr>
              <w:t xml:space="preserve">Post-Internship </w:t>
            </w:r>
            <w:r w:rsidRPr="00F7078B">
              <w:rPr>
                <w:rFonts w:eastAsia="Times New Roman"/>
                <w:color w:val="000000"/>
                <w:bdr w:val="none" w:sz="0" w:space="0" w:color="auto"/>
              </w:rPr>
              <w:t>Employment</w:t>
            </w:r>
          </w:p>
        </w:tc>
        <w:tc>
          <w:tcPr>
            <w:tcW w:w="1710" w:type="dxa"/>
            <w:tcBorders>
              <w:top w:val="nil"/>
              <w:left w:val="nil"/>
              <w:bottom w:val="single" w:sz="4" w:space="0" w:color="auto"/>
              <w:right w:val="single" w:sz="8" w:space="0" w:color="auto"/>
            </w:tcBorders>
            <w:shd w:val="clear" w:color="auto" w:fill="auto"/>
            <w:noWrap/>
            <w:vAlign w:val="bottom"/>
            <w:hideMark/>
          </w:tcPr>
          <w:p w:rsidR="00594645" w:rsidRPr="00F7078B" w:rsidRDefault="00594645" w:rsidP="00DC58F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rPr>
            </w:pPr>
            <w:r w:rsidRPr="00F7078B">
              <w:rPr>
                <w:rFonts w:eastAsia="Times New Roman"/>
                <w:color w:val="000000"/>
                <w:bdr w:val="none" w:sz="0" w:space="0" w:color="auto"/>
              </w:rPr>
              <w:t>% Performance</w:t>
            </w:r>
          </w:p>
        </w:tc>
      </w:tr>
      <w:tr w:rsidR="000F4399" w:rsidRPr="00A7240C" w:rsidTr="00B6148E">
        <w:trPr>
          <w:trHeight w:val="288"/>
        </w:trPr>
        <w:tc>
          <w:tcPr>
            <w:tcW w:w="1815" w:type="dxa"/>
            <w:tcBorders>
              <w:top w:val="nil"/>
              <w:left w:val="single" w:sz="8" w:space="0" w:color="auto"/>
              <w:bottom w:val="single" w:sz="4" w:space="0" w:color="auto"/>
              <w:right w:val="single" w:sz="4" w:space="0" w:color="auto"/>
            </w:tcBorders>
            <w:shd w:val="clear" w:color="auto" w:fill="auto"/>
            <w:noWrap/>
            <w:vAlign w:val="bottom"/>
          </w:tcPr>
          <w:p w:rsidR="000F4399" w:rsidRPr="00F7078B" w:rsidRDefault="000F4399" w:rsidP="00DC58F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rPr>
            </w:pPr>
            <w:r w:rsidRPr="00F7078B">
              <w:rPr>
                <w:rFonts w:eastAsia="Times New Roman"/>
                <w:color w:val="000000"/>
                <w:bdr w:val="none" w:sz="0" w:space="0" w:color="auto"/>
              </w:rPr>
              <w:t>FY201</w:t>
            </w:r>
            <w:r w:rsidR="001751C5" w:rsidRPr="00F7078B">
              <w:rPr>
                <w:rFonts w:eastAsia="Times New Roman"/>
                <w:color w:val="000000"/>
                <w:bdr w:val="none" w:sz="0" w:space="0" w:color="auto"/>
              </w:rPr>
              <w:t>6</w:t>
            </w:r>
          </w:p>
        </w:tc>
        <w:tc>
          <w:tcPr>
            <w:tcW w:w="1710" w:type="dxa"/>
            <w:tcBorders>
              <w:top w:val="nil"/>
              <w:left w:val="nil"/>
              <w:bottom w:val="single" w:sz="4" w:space="0" w:color="auto"/>
              <w:right w:val="single" w:sz="4" w:space="0" w:color="auto"/>
            </w:tcBorders>
            <w:shd w:val="clear" w:color="auto" w:fill="auto"/>
            <w:noWrap/>
            <w:vAlign w:val="bottom"/>
          </w:tcPr>
          <w:p w:rsidR="000F4399" w:rsidRPr="00F7078B" w:rsidRDefault="001751C5" w:rsidP="00DC58F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rPr>
            </w:pPr>
            <w:r w:rsidRPr="00F7078B">
              <w:rPr>
                <w:rFonts w:eastAsia="Times New Roman"/>
                <w:color w:val="000000"/>
                <w:bdr w:val="none" w:sz="0" w:space="0" w:color="auto"/>
              </w:rPr>
              <w:t>72</w:t>
            </w:r>
          </w:p>
        </w:tc>
        <w:tc>
          <w:tcPr>
            <w:tcW w:w="4050" w:type="dxa"/>
            <w:tcBorders>
              <w:top w:val="nil"/>
              <w:left w:val="nil"/>
              <w:bottom w:val="single" w:sz="4" w:space="0" w:color="auto"/>
              <w:right w:val="single" w:sz="4" w:space="0" w:color="auto"/>
            </w:tcBorders>
            <w:shd w:val="clear" w:color="auto" w:fill="auto"/>
            <w:vAlign w:val="bottom"/>
          </w:tcPr>
          <w:p w:rsidR="000F4399" w:rsidRPr="00F7078B" w:rsidRDefault="001751C5" w:rsidP="00DC58F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rPr>
            </w:pPr>
            <w:r w:rsidRPr="00F7078B">
              <w:rPr>
                <w:rFonts w:eastAsia="Times New Roman"/>
                <w:color w:val="000000"/>
                <w:bdr w:val="none" w:sz="0" w:space="0" w:color="auto"/>
              </w:rPr>
              <w:t>48</w:t>
            </w:r>
          </w:p>
        </w:tc>
        <w:tc>
          <w:tcPr>
            <w:tcW w:w="1710" w:type="dxa"/>
            <w:tcBorders>
              <w:top w:val="nil"/>
              <w:left w:val="nil"/>
              <w:bottom w:val="single" w:sz="4" w:space="0" w:color="auto"/>
              <w:right w:val="single" w:sz="8" w:space="0" w:color="auto"/>
            </w:tcBorders>
            <w:shd w:val="clear" w:color="auto" w:fill="auto"/>
            <w:noWrap/>
            <w:vAlign w:val="bottom"/>
          </w:tcPr>
          <w:p w:rsidR="000F4399" w:rsidRPr="00F7078B" w:rsidRDefault="001751C5" w:rsidP="00DC58F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rPr>
            </w:pPr>
            <w:r w:rsidRPr="00F7078B">
              <w:rPr>
                <w:rFonts w:eastAsia="Times New Roman"/>
                <w:color w:val="000000"/>
                <w:bdr w:val="none" w:sz="0" w:space="0" w:color="auto"/>
              </w:rPr>
              <w:t>66.7%</w:t>
            </w:r>
          </w:p>
        </w:tc>
      </w:tr>
      <w:tr w:rsidR="00594645" w:rsidRPr="00A7240C" w:rsidTr="00B6148E">
        <w:trPr>
          <w:trHeight w:val="315"/>
        </w:trPr>
        <w:tc>
          <w:tcPr>
            <w:tcW w:w="1815" w:type="dxa"/>
            <w:tcBorders>
              <w:top w:val="nil"/>
              <w:left w:val="single" w:sz="8" w:space="0" w:color="auto"/>
              <w:bottom w:val="single" w:sz="8" w:space="0" w:color="auto"/>
              <w:right w:val="single" w:sz="4" w:space="0" w:color="auto"/>
            </w:tcBorders>
            <w:shd w:val="clear" w:color="auto" w:fill="auto"/>
            <w:noWrap/>
            <w:vAlign w:val="bottom"/>
            <w:hideMark/>
          </w:tcPr>
          <w:p w:rsidR="00594645" w:rsidRPr="00F7078B" w:rsidRDefault="001751C5" w:rsidP="00DC58F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rPr>
            </w:pPr>
            <w:r w:rsidRPr="00F7078B">
              <w:rPr>
                <w:rFonts w:eastAsia="Times New Roman"/>
                <w:color w:val="000000"/>
                <w:bdr w:val="none" w:sz="0" w:space="0" w:color="auto"/>
              </w:rPr>
              <w:t>FY2017</w:t>
            </w:r>
          </w:p>
        </w:tc>
        <w:tc>
          <w:tcPr>
            <w:tcW w:w="1710" w:type="dxa"/>
            <w:tcBorders>
              <w:top w:val="nil"/>
              <w:left w:val="nil"/>
              <w:bottom w:val="single" w:sz="8" w:space="0" w:color="auto"/>
              <w:right w:val="single" w:sz="4" w:space="0" w:color="auto"/>
            </w:tcBorders>
            <w:shd w:val="clear" w:color="auto" w:fill="auto"/>
            <w:noWrap/>
            <w:vAlign w:val="bottom"/>
            <w:hideMark/>
          </w:tcPr>
          <w:p w:rsidR="00594645" w:rsidRPr="00F7078B" w:rsidRDefault="001751C5" w:rsidP="00DC58F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rPr>
            </w:pPr>
            <w:r w:rsidRPr="00F7078B">
              <w:rPr>
                <w:rFonts w:eastAsia="Times New Roman"/>
                <w:color w:val="000000"/>
                <w:bdr w:val="none" w:sz="0" w:space="0" w:color="auto"/>
              </w:rPr>
              <w:t>97</w:t>
            </w:r>
          </w:p>
        </w:tc>
        <w:tc>
          <w:tcPr>
            <w:tcW w:w="4050" w:type="dxa"/>
            <w:tcBorders>
              <w:top w:val="nil"/>
              <w:left w:val="nil"/>
              <w:bottom w:val="single" w:sz="8" w:space="0" w:color="auto"/>
              <w:right w:val="single" w:sz="4" w:space="0" w:color="auto"/>
            </w:tcBorders>
            <w:shd w:val="clear" w:color="auto" w:fill="auto"/>
            <w:noWrap/>
            <w:vAlign w:val="bottom"/>
            <w:hideMark/>
          </w:tcPr>
          <w:p w:rsidR="00594645" w:rsidRPr="00F7078B" w:rsidRDefault="001751C5" w:rsidP="00DC58F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rPr>
            </w:pPr>
            <w:r w:rsidRPr="00F7078B">
              <w:rPr>
                <w:rFonts w:eastAsia="Times New Roman"/>
                <w:color w:val="000000"/>
                <w:bdr w:val="none" w:sz="0" w:space="0" w:color="auto"/>
              </w:rPr>
              <w:t>76</w:t>
            </w:r>
          </w:p>
        </w:tc>
        <w:tc>
          <w:tcPr>
            <w:tcW w:w="1710" w:type="dxa"/>
            <w:tcBorders>
              <w:top w:val="nil"/>
              <w:left w:val="nil"/>
              <w:bottom w:val="single" w:sz="8" w:space="0" w:color="auto"/>
              <w:right w:val="single" w:sz="8" w:space="0" w:color="auto"/>
            </w:tcBorders>
            <w:shd w:val="clear" w:color="auto" w:fill="auto"/>
            <w:noWrap/>
            <w:vAlign w:val="bottom"/>
            <w:hideMark/>
          </w:tcPr>
          <w:p w:rsidR="00594645" w:rsidRPr="00F7078B" w:rsidRDefault="001751C5" w:rsidP="00DC58F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rPr>
            </w:pPr>
            <w:r w:rsidRPr="00F7078B">
              <w:rPr>
                <w:rFonts w:eastAsia="Times New Roman"/>
                <w:color w:val="000000"/>
                <w:bdr w:val="none" w:sz="0" w:space="0" w:color="auto"/>
              </w:rPr>
              <w:t>78.4</w:t>
            </w:r>
            <w:r w:rsidR="00594645" w:rsidRPr="00F7078B">
              <w:rPr>
                <w:rFonts w:eastAsia="Times New Roman"/>
                <w:color w:val="000000"/>
                <w:bdr w:val="none" w:sz="0" w:space="0" w:color="auto"/>
              </w:rPr>
              <w:t>%</w:t>
            </w:r>
          </w:p>
        </w:tc>
      </w:tr>
    </w:tbl>
    <w:p w:rsidR="00F05987" w:rsidRDefault="00F05987" w:rsidP="00DC58F1">
      <w:pPr>
        <w:autoSpaceDE w:val="0"/>
        <w:autoSpaceDN w:val="0"/>
        <w:adjustRightInd w:val="0"/>
        <w:rPr>
          <w:b/>
          <w:u w:val="single"/>
        </w:rPr>
      </w:pPr>
    </w:p>
    <w:p w:rsidR="00F2016C" w:rsidRPr="0062259C" w:rsidRDefault="00F2016C" w:rsidP="00DC58F1">
      <w:pPr>
        <w:autoSpaceDE w:val="0"/>
        <w:autoSpaceDN w:val="0"/>
        <w:adjustRightInd w:val="0"/>
        <w:rPr>
          <w:b/>
          <w:u w:val="single"/>
        </w:rPr>
      </w:pPr>
    </w:p>
    <w:p w:rsidR="00B42B47" w:rsidRDefault="00B42B47" w:rsidP="00DC58F1">
      <w:pPr>
        <w:autoSpaceDE w:val="0"/>
        <w:autoSpaceDN w:val="0"/>
        <w:adjustRightInd w:val="0"/>
        <w:rPr>
          <w:b/>
          <w:smallCaps/>
        </w:rPr>
      </w:pPr>
      <w:r w:rsidRPr="00F7078B">
        <w:rPr>
          <w:b/>
          <w:smallCaps/>
        </w:rPr>
        <w:t xml:space="preserve">Young Parents Program </w:t>
      </w:r>
    </w:p>
    <w:p w:rsidR="00F2016C" w:rsidRPr="00F7078B" w:rsidRDefault="00F2016C" w:rsidP="00DC58F1">
      <w:pPr>
        <w:autoSpaceDE w:val="0"/>
        <w:autoSpaceDN w:val="0"/>
        <w:adjustRightInd w:val="0"/>
        <w:rPr>
          <w:b/>
          <w:smallCaps/>
        </w:rPr>
      </w:pPr>
    </w:p>
    <w:p w:rsidR="00F05987" w:rsidRPr="0062259C" w:rsidRDefault="00F05987" w:rsidP="0062259C">
      <w:r w:rsidRPr="0062259C">
        <w:t xml:space="preserve">YPP is an integral part of the DTA’s Employment Services Program (ESP) which serves TAFDC recipients. </w:t>
      </w:r>
      <w:r w:rsidR="001D365D">
        <w:t>The program runs full-time, year round and</w:t>
      </w:r>
      <w:r w:rsidRPr="0062259C">
        <w:t xml:space="preserve"> seeks to help reduce long-term</w:t>
      </w:r>
      <w:r w:rsidRPr="00744C8F">
        <w:t xml:space="preserve"> welfare dependency among </w:t>
      </w:r>
      <w:r w:rsidR="001D365D">
        <w:t>y</w:t>
      </w:r>
      <w:r w:rsidRPr="0062259C">
        <w:t xml:space="preserve">oung </w:t>
      </w:r>
      <w:r w:rsidR="001D365D">
        <w:t>p</w:t>
      </w:r>
      <w:r w:rsidRPr="0062259C">
        <w:t>arents, ages 14 through 24</w:t>
      </w:r>
      <w:r w:rsidR="001D365D">
        <w:t>,</w:t>
      </w:r>
      <w:r w:rsidRPr="0062259C">
        <w:t xml:space="preserve"> by support</w:t>
      </w:r>
      <w:r w:rsidR="001D365D">
        <w:t>ing</w:t>
      </w:r>
      <w:r w:rsidRPr="0062259C">
        <w:t xml:space="preserve"> outcomes across three domains:</w:t>
      </w:r>
    </w:p>
    <w:p w:rsidR="00F05987" w:rsidRPr="00744C8F" w:rsidRDefault="00F05987"/>
    <w:p w:rsidR="00F05987" w:rsidRPr="00744C8F" w:rsidRDefault="00F05987" w:rsidP="00F7078B">
      <w:pPr>
        <w:pStyle w:val="ListParagraph"/>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200"/>
        <w:contextualSpacing/>
        <w:rPr>
          <w:rFonts w:ascii="Times New Roman" w:hAnsi="Times New Roman" w:cs="Times New Roman"/>
          <w:sz w:val="24"/>
          <w:szCs w:val="24"/>
        </w:rPr>
      </w:pPr>
      <w:r w:rsidRPr="00744C8F">
        <w:rPr>
          <w:rFonts w:ascii="Times New Roman" w:hAnsi="Times New Roman" w:cs="Times New Roman"/>
          <w:sz w:val="24"/>
          <w:szCs w:val="24"/>
        </w:rPr>
        <w:t>Education and Career</w:t>
      </w:r>
    </w:p>
    <w:p w:rsidR="00F05987" w:rsidRPr="00744C8F" w:rsidRDefault="00F05987" w:rsidP="00F7078B">
      <w:pPr>
        <w:pStyle w:val="ListParagraph"/>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200"/>
        <w:contextualSpacing/>
        <w:rPr>
          <w:rFonts w:ascii="Times New Roman" w:hAnsi="Times New Roman" w:cs="Times New Roman"/>
          <w:sz w:val="24"/>
          <w:szCs w:val="24"/>
        </w:rPr>
      </w:pPr>
      <w:r w:rsidRPr="00744C8F">
        <w:rPr>
          <w:rFonts w:ascii="Times New Roman" w:hAnsi="Times New Roman" w:cs="Times New Roman"/>
          <w:sz w:val="24"/>
          <w:szCs w:val="24"/>
        </w:rPr>
        <w:t>Life and Personal</w:t>
      </w:r>
    </w:p>
    <w:p w:rsidR="00F05987" w:rsidRPr="00744C8F" w:rsidRDefault="00F05987" w:rsidP="00F7078B">
      <w:pPr>
        <w:pStyle w:val="ListParagraph"/>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200"/>
        <w:contextualSpacing/>
        <w:rPr>
          <w:rFonts w:ascii="Times New Roman" w:hAnsi="Times New Roman" w:cs="Times New Roman"/>
          <w:sz w:val="24"/>
          <w:szCs w:val="24"/>
        </w:rPr>
      </w:pPr>
      <w:r w:rsidRPr="00744C8F">
        <w:rPr>
          <w:rFonts w:ascii="Times New Roman" w:hAnsi="Times New Roman" w:cs="Times New Roman"/>
          <w:sz w:val="24"/>
          <w:szCs w:val="24"/>
        </w:rPr>
        <w:t>Parenting and Family</w:t>
      </w:r>
    </w:p>
    <w:p w:rsidR="00F05987" w:rsidRPr="0062259C" w:rsidRDefault="00F05987" w:rsidP="0062259C">
      <w:pPr>
        <w:pStyle w:val="FootnoteText"/>
        <w:spacing w:line="240" w:lineRule="auto"/>
        <w:rPr>
          <w:rFonts w:ascii="Times New Roman" w:hAnsi="Times New Roman" w:cs="Times New Roman"/>
          <w:sz w:val="24"/>
          <w:szCs w:val="24"/>
        </w:rPr>
      </w:pPr>
      <w:r w:rsidRPr="00744C8F">
        <w:rPr>
          <w:rFonts w:ascii="Times New Roman" w:hAnsi="Times New Roman" w:cs="Times New Roman"/>
          <w:sz w:val="24"/>
          <w:szCs w:val="24"/>
        </w:rPr>
        <w:t>The Department is taking a two-generation (2Gen) approach to increasing economic security for families by focusing on creating opportunities for and addressing the needs of both parents and children together. The 2Gen approach recognizes that outcomes for parents and children are intertwined and cannot develop independently of one another. Research has documented the impact of a parent’s education, economic stability</w:t>
      </w:r>
      <w:r w:rsidR="00537F78">
        <w:rPr>
          <w:rFonts w:ascii="Times New Roman" w:hAnsi="Times New Roman" w:cs="Times New Roman"/>
          <w:sz w:val="24"/>
          <w:szCs w:val="24"/>
        </w:rPr>
        <w:t>,</w:t>
      </w:r>
      <w:r w:rsidRPr="0062259C">
        <w:rPr>
          <w:rFonts w:ascii="Times New Roman" w:hAnsi="Times New Roman" w:cs="Times New Roman"/>
          <w:sz w:val="24"/>
          <w:szCs w:val="24"/>
        </w:rPr>
        <w:t xml:space="preserve"> and overall health on a child’s trajectory.  Similarly, children’s education and healthy development are powerful catalysts for parents. By promoting education and supports for children along with </w:t>
      </w:r>
      <w:r w:rsidRPr="00744C8F">
        <w:rPr>
          <w:rFonts w:ascii="Times New Roman" w:hAnsi="Times New Roman" w:cs="Times New Roman"/>
          <w:sz w:val="24"/>
          <w:szCs w:val="24"/>
        </w:rPr>
        <w:t xml:space="preserve">tools to improve parents’ economic situation outcomes for both the parent and child will improve. The theory of change for the YPP </w:t>
      </w:r>
      <w:r w:rsidRPr="00744C8F">
        <w:rPr>
          <w:rFonts w:ascii="Times New Roman" w:hAnsi="Times New Roman" w:cs="Times New Roman"/>
          <w:sz w:val="24"/>
          <w:szCs w:val="24"/>
        </w:rPr>
        <w:lastRenderedPageBreak/>
        <w:t>is that a two-generation approach helps both generations make progress together and provides interventions that can break the cycle of multi-generation poverty.</w:t>
      </w:r>
      <w:r w:rsidRPr="0062259C">
        <w:rPr>
          <w:rStyle w:val="FootnoteReference"/>
          <w:rFonts w:ascii="Times New Roman" w:hAnsi="Times New Roman" w:cs="Times New Roman"/>
          <w:sz w:val="24"/>
          <w:szCs w:val="24"/>
        </w:rPr>
        <w:footnoteReference w:id="2"/>
      </w:r>
    </w:p>
    <w:p w:rsidR="00B42B47" w:rsidRPr="00744C8F" w:rsidRDefault="00F05987">
      <w:pPr>
        <w:autoSpaceDE w:val="0"/>
        <w:autoSpaceDN w:val="0"/>
        <w:adjustRightInd w:val="0"/>
      </w:pPr>
      <w:r w:rsidRPr="00744C8F">
        <w:t>DTA currently has contracts with multiple providers pursuant to a 2008 RFR.  As that RFR is expiring</w:t>
      </w:r>
      <w:r w:rsidR="00F2016C" w:rsidRPr="00744C8F">
        <w:t>,</w:t>
      </w:r>
      <w:r w:rsidRPr="00744C8F">
        <w:t xml:space="preserve"> services are being re-procured.</w:t>
      </w:r>
    </w:p>
    <w:p w:rsidR="00981E6C" w:rsidRPr="00A7240C" w:rsidRDefault="00981E6C" w:rsidP="00F7078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p>
    <w:tbl>
      <w:tblPr>
        <w:tblW w:w="10620" w:type="dxa"/>
        <w:jc w:val="center"/>
        <w:tblInd w:w="-252" w:type="dxa"/>
        <w:tblLayout w:type="fixed"/>
        <w:tblLook w:val="04A0" w:firstRow="1" w:lastRow="0" w:firstColumn="1" w:lastColumn="0" w:noHBand="0" w:noVBand="1"/>
      </w:tblPr>
      <w:tblGrid>
        <w:gridCol w:w="900"/>
        <w:gridCol w:w="1440"/>
        <w:gridCol w:w="1170"/>
        <w:gridCol w:w="1260"/>
        <w:gridCol w:w="1260"/>
        <w:gridCol w:w="1080"/>
        <w:gridCol w:w="1170"/>
        <w:gridCol w:w="1170"/>
        <w:gridCol w:w="1170"/>
      </w:tblGrid>
      <w:tr w:rsidR="00594645" w:rsidRPr="00A7240C" w:rsidTr="00F7078B">
        <w:trPr>
          <w:trHeight w:val="300"/>
          <w:jc w:val="center"/>
        </w:trPr>
        <w:tc>
          <w:tcPr>
            <w:tcW w:w="10620"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594645" w:rsidRPr="00F7078B" w:rsidRDefault="00594645" w:rsidP="00F7078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color w:val="000000"/>
                <w:bdr w:val="none" w:sz="0" w:space="0" w:color="auto"/>
              </w:rPr>
            </w:pPr>
            <w:r w:rsidRPr="00F7078B">
              <w:rPr>
                <w:rFonts w:eastAsia="Times New Roman"/>
                <w:b/>
                <w:color w:val="000000"/>
                <w:bdr w:val="none" w:sz="0" w:space="0" w:color="auto"/>
              </w:rPr>
              <w:t>Young Parents Program (YPP)</w:t>
            </w:r>
          </w:p>
        </w:tc>
      </w:tr>
      <w:tr w:rsidR="00744C8F" w:rsidRPr="00A7240C" w:rsidTr="00F7078B">
        <w:trPr>
          <w:trHeight w:val="600"/>
          <w:jc w:val="cent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4C8F" w:rsidRPr="00F7078B" w:rsidRDefault="00744C8F" w:rsidP="00F7078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bdr w:val="none" w:sz="0" w:space="0" w:color="auto"/>
              </w:rPr>
            </w:pPr>
            <w:r w:rsidRPr="00FF2A8C">
              <w:rPr>
                <w:rFonts w:eastAsia="Times New Roman"/>
                <w:b/>
                <w:bCs/>
                <w:color w:val="000000"/>
                <w:bdr w:val="none" w:sz="0" w:space="0" w:color="auto"/>
              </w:rPr>
              <w:t>Fiscal Year</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744C8F" w:rsidRPr="00F7078B" w:rsidRDefault="00744C8F" w:rsidP="00F7078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bdr w:val="none" w:sz="0" w:space="0" w:color="auto"/>
              </w:rPr>
            </w:pPr>
            <w:r w:rsidRPr="00F7078B">
              <w:rPr>
                <w:rFonts w:eastAsia="Times New Roman"/>
                <w:b/>
                <w:bCs/>
                <w:color w:val="000000"/>
                <w:sz w:val="22"/>
                <w:bdr w:val="none" w:sz="0" w:space="0" w:color="auto"/>
              </w:rPr>
              <w:t>Enrollments</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744C8F" w:rsidRPr="00F7078B" w:rsidRDefault="00744C8F" w:rsidP="00F7078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bdr w:val="none" w:sz="0" w:space="0" w:color="auto"/>
              </w:rPr>
            </w:pPr>
            <w:r w:rsidRPr="00F7078B">
              <w:rPr>
                <w:rFonts w:eastAsia="Times New Roman"/>
                <w:b/>
                <w:bCs/>
                <w:color w:val="000000"/>
                <w:sz w:val="22"/>
                <w:bdr w:val="none" w:sz="0" w:space="0" w:color="auto"/>
              </w:rPr>
              <w:t>Outcomes</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744C8F" w:rsidRPr="00F7078B" w:rsidRDefault="00744C8F" w:rsidP="00F7078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bdr w:val="none" w:sz="0" w:space="0" w:color="auto"/>
              </w:rPr>
            </w:pPr>
            <w:r w:rsidRPr="00F7078B">
              <w:rPr>
                <w:rFonts w:eastAsia="Times New Roman"/>
                <w:b/>
                <w:bCs/>
                <w:color w:val="000000"/>
                <w:sz w:val="22"/>
                <w:bdr w:val="none" w:sz="0" w:space="0" w:color="auto"/>
              </w:rPr>
              <w:t>HiSET/HS Diploma</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744C8F" w:rsidRPr="00F7078B" w:rsidRDefault="00744C8F" w:rsidP="00F7078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bdr w:val="none" w:sz="0" w:space="0" w:color="auto"/>
              </w:rPr>
            </w:pPr>
            <w:r w:rsidRPr="00F7078B">
              <w:rPr>
                <w:rFonts w:eastAsia="Times New Roman"/>
                <w:b/>
                <w:bCs/>
                <w:color w:val="000000"/>
                <w:sz w:val="22"/>
                <w:bdr w:val="none" w:sz="0" w:space="0" w:color="auto"/>
              </w:rPr>
              <w:t>% HiSET Outcomes</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744C8F" w:rsidRPr="00F7078B" w:rsidRDefault="00744C8F" w:rsidP="00F7078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bdr w:val="none" w:sz="0" w:space="0" w:color="auto"/>
              </w:rPr>
            </w:pPr>
            <w:r w:rsidRPr="00F7078B">
              <w:rPr>
                <w:rFonts w:eastAsia="Times New Roman"/>
                <w:b/>
                <w:bCs/>
                <w:color w:val="000000"/>
                <w:sz w:val="22"/>
                <w:bdr w:val="none" w:sz="0" w:space="0" w:color="auto"/>
              </w:rPr>
              <w:t>Added Training</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744C8F" w:rsidRPr="00F7078B" w:rsidRDefault="00744C8F" w:rsidP="00F7078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bdr w:val="none" w:sz="0" w:space="0" w:color="auto"/>
              </w:rPr>
            </w:pPr>
            <w:r w:rsidRPr="00F7078B">
              <w:rPr>
                <w:rFonts w:eastAsia="Times New Roman"/>
                <w:b/>
                <w:bCs/>
                <w:color w:val="000000"/>
                <w:sz w:val="22"/>
                <w:bdr w:val="none" w:sz="0" w:space="0" w:color="auto"/>
              </w:rPr>
              <w:t>% Added Training</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744C8F" w:rsidRPr="00F7078B" w:rsidRDefault="00744C8F" w:rsidP="00F7078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bdr w:val="none" w:sz="0" w:space="0" w:color="auto"/>
              </w:rPr>
            </w:pPr>
            <w:r w:rsidRPr="00F7078B">
              <w:rPr>
                <w:rFonts w:eastAsia="Times New Roman"/>
                <w:b/>
                <w:bCs/>
                <w:color w:val="000000"/>
                <w:sz w:val="22"/>
                <w:bdr w:val="none" w:sz="0" w:space="0" w:color="auto"/>
              </w:rPr>
              <w:t>Employed</w:t>
            </w:r>
          </w:p>
        </w:tc>
        <w:tc>
          <w:tcPr>
            <w:tcW w:w="1170" w:type="dxa"/>
            <w:tcBorders>
              <w:top w:val="single" w:sz="4" w:space="0" w:color="auto"/>
              <w:left w:val="nil"/>
              <w:bottom w:val="single" w:sz="4" w:space="0" w:color="auto"/>
              <w:right w:val="single" w:sz="8" w:space="0" w:color="auto"/>
            </w:tcBorders>
            <w:shd w:val="clear" w:color="auto" w:fill="auto"/>
            <w:vAlign w:val="center"/>
            <w:hideMark/>
          </w:tcPr>
          <w:p w:rsidR="00744C8F" w:rsidRPr="00F7078B" w:rsidRDefault="00744C8F" w:rsidP="00F7078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bdr w:val="none" w:sz="0" w:space="0" w:color="auto"/>
              </w:rPr>
            </w:pPr>
            <w:r w:rsidRPr="00F7078B">
              <w:rPr>
                <w:rFonts w:eastAsia="Times New Roman"/>
                <w:b/>
                <w:bCs/>
                <w:color w:val="000000"/>
                <w:sz w:val="22"/>
                <w:bdr w:val="none" w:sz="0" w:space="0" w:color="auto"/>
              </w:rPr>
              <w:t>% Employed</w:t>
            </w:r>
          </w:p>
        </w:tc>
      </w:tr>
      <w:tr w:rsidR="00744C8F" w:rsidRPr="00A7240C" w:rsidTr="00F7078B">
        <w:trPr>
          <w:trHeight w:val="300"/>
          <w:jc w:val="center"/>
        </w:trPr>
        <w:tc>
          <w:tcPr>
            <w:tcW w:w="900" w:type="dxa"/>
            <w:tcBorders>
              <w:top w:val="nil"/>
              <w:left w:val="single" w:sz="8" w:space="0" w:color="auto"/>
              <w:bottom w:val="single" w:sz="4" w:space="0" w:color="auto"/>
              <w:right w:val="single" w:sz="4" w:space="0" w:color="auto"/>
            </w:tcBorders>
            <w:shd w:val="clear" w:color="auto" w:fill="auto"/>
            <w:noWrap/>
            <w:hideMark/>
          </w:tcPr>
          <w:p w:rsidR="001751C5" w:rsidRPr="00F7078B" w:rsidRDefault="001751C5" w:rsidP="00F7078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rPr>
            </w:pPr>
            <w:r w:rsidRPr="00F7078B">
              <w:rPr>
                <w:rFonts w:eastAsia="Times New Roman"/>
                <w:color w:val="000000"/>
                <w:bdr w:val="none" w:sz="0" w:space="0" w:color="auto"/>
              </w:rPr>
              <w:t>FY16</w:t>
            </w:r>
          </w:p>
        </w:tc>
        <w:tc>
          <w:tcPr>
            <w:tcW w:w="1440" w:type="dxa"/>
            <w:tcBorders>
              <w:top w:val="nil"/>
              <w:left w:val="nil"/>
              <w:bottom w:val="single" w:sz="4" w:space="0" w:color="auto"/>
              <w:right w:val="single" w:sz="4" w:space="0" w:color="auto"/>
            </w:tcBorders>
            <w:shd w:val="clear" w:color="auto" w:fill="auto"/>
            <w:noWrap/>
            <w:hideMark/>
          </w:tcPr>
          <w:p w:rsidR="001751C5" w:rsidRPr="00F7078B" w:rsidRDefault="001751C5" w:rsidP="00F7078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rPr>
            </w:pPr>
            <w:r w:rsidRPr="00F7078B">
              <w:rPr>
                <w:rFonts w:eastAsia="Times New Roman"/>
                <w:color w:val="000000"/>
                <w:bdr w:val="none" w:sz="0" w:space="0" w:color="auto"/>
              </w:rPr>
              <w:t>626</w:t>
            </w:r>
          </w:p>
        </w:tc>
        <w:tc>
          <w:tcPr>
            <w:tcW w:w="1170" w:type="dxa"/>
            <w:tcBorders>
              <w:top w:val="nil"/>
              <w:left w:val="nil"/>
              <w:bottom w:val="single" w:sz="4" w:space="0" w:color="auto"/>
              <w:right w:val="single" w:sz="4" w:space="0" w:color="auto"/>
            </w:tcBorders>
            <w:shd w:val="clear" w:color="auto" w:fill="auto"/>
            <w:noWrap/>
            <w:hideMark/>
          </w:tcPr>
          <w:p w:rsidR="001751C5" w:rsidRPr="00F7078B" w:rsidRDefault="001751C5" w:rsidP="00F7078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rPr>
            </w:pPr>
            <w:r w:rsidRPr="00F7078B">
              <w:rPr>
                <w:rFonts w:eastAsia="Times New Roman"/>
                <w:color w:val="000000"/>
                <w:bdr w:val="none" w:sz="0" w:space="0" w:color="auto"/>
              </w:rPr>
              <w:t>471</w:t>
            </w:r>
          </w:p>
        </w:tc>
        <w:tc>
          <w:tcPr>
            <w:tcW w:w="1260" w:type="dxa"/>
            <w:tcBorders>
              <w:top w:val="nil"/>
              <w:left w:val="nil"/>
              <w:bottom w:val="single" w:sz="4" w:space="0" w:color="auto"/>
              <w:right w:val="single" w:sz="4" w:space="0" w:color="auto"/>
            </w:tcBorders>
            <w:shd w:val="clear" w:color="auto" w:fill="auto"/>
            <w:noWrap/>
            <w:hideMark/>
          </w:tcPr>
          <w:p w:rsidR="001751C5" w:rsidRPr="00F7078B" w:rsidRDefault="001751C5" w:rsidP="00F7078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rPr>
            </w:pPr>
            <w:r w:rsidRPr="00F7078B">
              <w:rPr>
                <w:rFonts w:eastAsia="Times New Roman"/>
                <w:color w:val="000000"/>
                <w:bdr w:val="none" w:sz="0" w:space="0" w:color="auto"/>
              </w:rPr>
              <w:t>154</w:t>
            </w:r>
          </w:p>
        </w:tc>
        <w:tc>
          <w:tcPr>
            <w:tcW w:w="1260" w:type="dxa"/>
            <w:tcBorders>
              <w:top w:val="nil"/>
              <w:left w:val="nil"/>
              <w:bottom w:val="single" w:sz="4" w:space="0" w:color="auto"/>
              <w:right w:val="single" w:sz="4" w:space="0" w:color="auto"/>
            </w:tcBorders>
            <w:shd w:val="clear" w:color="auto" w:fill="auto"/>
            <w:noWrap/>
            <w:hideMark/>
          </w:tcPr>
          <w:p w:rsidR="001751C5" w:rsidRPr="00F7078B" w:rsidRDefault="001751C5" w:rsidP="00F7078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rPr>
            </w:pPr>
            <w:r w:rsidRPr="00F7078B">
              <w:rPr>
                <w:rFonts w:eastAsia="Times New Roman"/>
                <w:color w:val="000000"/>
                <w:bdr w:val="none" w:sz="0" w:space="0" w:color="auto"/>
              </w:rPr>
              <w:t>32.7%</w:t>
            </w:r>
          </w:p>
        </w:tc>
        <w:tc>
          <w:tcPr>
            <w:tcW w:w="1080" w:type="dxa"/>
            <w:tcBorders>
              <w:top w:val="nil"/>
              <w:left w:val="nil"/>
              <w:bottom w:val="single" w:sz="4" w:space="0" w:color="auto"/>
              <w:right w:val="single" w:sz="4" w:space="0" w:color="auto"/>
            </w:tcBorders>
            <w:shd w:val="clear" w:color="auto" w:fill="auto"/>
            <w:noWrap/>
            <w:hideMark/>
          </w:tcPr>
          <w:p w:rsidR="001751C5" w:rsidRPr="00F7078B" w:rsidRDefault="001751C5" w:rsidP="00F7078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rPr>
            </w:pPr>
            <w:r w:rsidRPr="00F7078B">
              <w:rPr>
                <w:rFonts w:eastAsia="Times New Roman"/>
                <w:color w:val="000000"/>
                <w:bdr w:val="none" w:sz="0" w:space="0" w:color="auto"/>
              </w:rPr>
              <w:t>94</w:t>
            </w:r>
          </w:p>
        </w:tc>
        <w:tc>
          <w:tcPr>
            <w:tcW w:w="1170" w:type="dxa"/>
            <w:tcBorders>
              <w:top w:val="nil"/>
              <w:left w:val="nil"/>
              <w:bottom w:val="single" w:sz="4" w:space="0" w:color="auto"/>
              <w:right w:val="single" w:sz="4" w:space="0" w:color="auto"/>
            </w:tcBorders>
            <w:shd w:val="clear" w:color="auto" w:fill="auto"/>
            <w:noWrap/>
            <w:hideMark/>
          </w:tcPr>
          <w:p w:rsidR="001751C5" w:rsidRPr="00F7078B" w:rsidRDefault="001751C5" w:rsidP="00F7078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rPr>
            </w:pPr>
            <w:r w:rsidRPr="00F7078B">
              <w:rPr>
                <w:rFonts w:eastAsia="Times New Roman"/>
                <w:color w:val="000000"/>
                <w:bdr w:val="none" w:sz="0" w:space="0" w:color="auto"/>
              </w:rPr>
              <w:t>20.0%</w:t>
            </w:r>
          </w:p>
        </w:tc>
        <w:tc>
          <w:tcPr>
            <w:tcW w:w="1170" w:type="dxa"/>
            <w:tcBorders>
              <w:top w:val="nil"/>
              <w:left w:val="nil"/>
              <w:bottom w:val="single" w:sz="4" w:space="0" w:color="auto"/>
              <w:right w:val="single" w:sz="4" w:space="0" w:color="auto"/>
            </w:tcBorders>
            <w:shd w:val="clear" w:color="auto" w:fill="auto"/>
            <w:noWrap/>
            <w:hideMark/>
          </w:tcPr>
          <w:p w:rsidR="001751C5" w:rsidRPr="00F7078B" w:rsidRDefault="001751C5" w:rsidP="00F7078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rPr>
            </w:pPr>
            <w:r w:rsidRPr="00F7078B">
              <w:rPr>
                <w:rFonts w:eastAsia="Times New Roman"/>
                <w:color w:val="000000"/>
                <w:bdr w:val="none" w:sz="0" w:space="0" w:color="auto"/>
              </w:rPr>
              <w:t>114</w:t>
            </w:r>
          </w:p>
        </w:tc>
        <w:tc>
          <w:tcPr>
            <w:tcW w:w="1170" w:type="dxa"/>
            <w:tcBorders>
              <w:top w:val="nil"/>
              <w:left w:val="nil"/>
              <w:bottom w:val="single" w:sz="4" w:space="0" w:color="auto"/>
              <w:right w:val="single" w:sz="8" w:space="0" w:color="auto"/>
            </w:tcBorders>
            <w:shd w:val="clear" w:color="auto" w:fill="auto"/>
            <w:noWrap/>
            <w:hideMark/>
          </w:tcPr>
          <w:p w:rsidR="001751C5" w:rsidRPr="00F7078B" w:rsidRDefault="001751C5" w:rsidP="00F7078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rPr>
            </w:pPr>
            <w:r w:rsidRPr="00F7078B">
              <w:rPr>
                <w:rFonts w:eastAsia="Times New Roman"/>
                <w:color w:val="000000"/>
                <w:bdr w:val="none" w:sz="0" w:space="0" w:color="auto"/>
              </w:rPr>
              <w:t>24.20%</w:t>
            </w:r>
          </w:p>
        </w:tc>
      </w:tr>
      <w:tr w:rsidR="00744C8F" w:rsidRPr="00A7240C" w:rsidTr="00F7078B">
        <w:trPr>
          <w:trHeight w:val="315"/>
          <w:jc w:val="center"/>
        </w:trPr>
        <w:tc>
          <w:tcPr>
            <w:tcW w:w="900" w:type="dxa"/>
            <w:tcBorders>
              <w:top w:val="nil"/>
              <w:left w:val="single" w:sz="8" w:space="0" w:color="auto"/>
              <w:bottom w:val="single" w:sz="8" w:space="0" w:color="auto"/>
              <w:right w:val="single" w:sz="4" w:space="0" w:color="auto"/>
            </w:tcBorders>
            <w:shd w:val="clear" w:color="auto" w:fill="auto"/>
            <w:noWrap/>
            <w:hideMark/>
          </w:tcPr>
          <w:p w:rsidR="00594645" w:rsidRPr="00F7078B" w:rsidRDefault="00594645" w:rsidP="00F7078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rPr>
            </w:pPr>
            <w:r w:rsidRPr="00F7078B">
              <w:rPr>
                <w:rFonts w:eastAsia="Times New Roman"/>
                <w:color w:val="000000"/>
                <w:bdr w:val="none" w:sz="0" w:space="0" w:color="auto"/>
              </w:rPr>
              <w:t>FY1</w:t>
            </w:r>
            <w:r w:rsidR="00A539CA" w:rsidRPr="00F7078B">
              <w:rPr>
                <w:rFonts w:eastAsia="Times New Roman"/>
                <w:color w:val="000000"/>
                <w:bdr w:val="none" w:sz="0" w:space="0" w:color="auto"/>
              </w:rPr>
              <w:t>7</w:t>
            </w:r>
          </w:p>
        </w:tc>
        <w:tc>
          <w:tcPr>
            <w:tcW w:w="1440" w:type="dxa"/>
            <w:tcBorders>
              <w:top w:val="nil"/>
              <w:left w:val="nil"/>
              <w:bottom w:val="single" w:sz="8" w:space="0" w:color="auto"/>
              <w:right w:val="single" w:sz="4" w:space="0" w:color="auto"/>
            </w:tcBorders>
            <w:shd w:val="clear" w:color="auto" w:fill="auto"/>
            <w:noWrap/>
          </w:tcPr>
          <w:p w:rsidR="00594645" w:rsidRPr="00F7078B" w:rsidRDefault="00981E6C" w:rsidP="00F7078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rPr>
            </w:pPr>
            <w:r w:rsidRPr="00F7078B">
              <w:rPr>
                <w:rFonts w:eastAsia="Times New Roman"/>
                <w:color w:val="000000"/>
                <w:bdr w:val="none" w:sz="0" w:space="0" w:color="auto"/>
              </w:rPr>
              <w:t>528</w:t>
            </w:r>
          </w:p>
        </w:tc>
        <w:tc>
          <w:tcPr>
            <w:tcW w:w="1170" w:type="dxa"/>
            <w:tcBorders>
              <w:top w:val="nil"/>
              <w:left w:val="nil"/>
              <w:bottom w:val="single" w:sz="8" w:space="0" w:color="auto"/>
              <w:right w:val="single" w:sz="4" w:space="0" w:color="auto"/>
            </w:tcBorders>
            <w:shd w:val="clear" w:color="auto" w:fill="auto"/>
            <w:noWrap/>
          </w:tcPr>
          <w:p w:rsidR="00594645" w:rsidRPr="00F7078B" w:rsidRDefault="00981E6C" w:rsidP="00F7078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rPr>
            </w:pPr>
            <w:r w:rsidRPr="00F7078B">
              <w:rPr>
                <w:rFonts w:eastAsia="Times New Roman"/>
                <w:color w:val="000000"/>
                <w:bdr w:val="none" w:sz="0" w:space="0" w:color="auto"/>
              </w:rPr>
              <w:t>448</w:t>
            </w:r>
          </w:p>
        </w:tc>
        <w:tc>
          <w:tcPr>
            <w:tcW w:w="1260" w:type="dxa"/>
            <w:tcBorders>
              <w:top w:val="nil"/>
              <w:left w:val="nil"/>
              <w:bottom w:val="single" w:sz="8" w:space="0" w:color="auto"/>
              <w:right w:val="single" w:sz="4" w:space="0" w:color="auto"/>
            </w:tcBorders>
            <w:shd w:val="clear" w:color="auto" w:fill="auto"/>
            <w:noWrap/>
          </w:tcPr>
          <w:p w:rsidR="00594645" w:rsidRPr="00F7078B" w:rsidRDefault="00981E6C" w:rsidP="00F7078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rPr>
            </w:pPr>
            <w:r w:rsidRPr="00F7078B">
              <w:rPr>
                <w:rFonts w:eastAsia="Times New Roman"/>
                <w:color w:val="000000"/>
                <w:bdr w:val="none" w:sz="0" w:space="0" w:color="auto"/>
              </w:rPr>
              <w:t>173</w:t>
            </w:r>
          </w:p>
        </w:tc>
        <w:tc>
          <w:tcPr>
            <w:tcW w:w="1260" w:type="dxa"/>
            <w:tcBorders>
              <w:top w:val="nil"/>
              <w:left w:val="nil"/>
              <w:bottom w:val="single" w:sz="8" w:space="0" w:color="auto"/>
              <w:right w:val="single" w:sz="4" w:space="0" w:color="auto"/>
            </w:tcBorders>
            <w:shd w:val="clear" w:color="auto" w:fill="auto"/>
            <w:noWrap/>
          </w:tcPr>
          <w:p w:rsidR="00594645" w:rsidRPr="00F7078B" w:rsidRDefault="00981E6C" w:rsidP="00F7078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rPr>
            </w:pPr>
            <w:r w:rsidRPr="00F7078B">
              <w:rPr>
                <w:rFonts w:eastAsia="Times New Roman"/>
                <w:color w:val="000000"/>
                <w:bdr w:val="none" w:sz="0" w:space="0" w:color="auto"/>
              </w:rPr>
              <w:t>38.6%</w:t>
            </w:r>
          </w:p>
        </w:tc>
        <w:tc>
          <w:tcPr>
            <w:tcW w:w="1080" w:type="dxa"/>
            <w:tcBorders>
              <w:top w:val="nil"/>
              <w:left w:val="nil"/>
              <w:bottom w:val="single" w:sz="8" w:space="0" w:color="auto"/>
              <w:right w:val="single" w:sz="4" w:space="0" w:color="auto"/>
            </w:tcBorders>
            <w:shd w:val="clear" w:color="auto" w:fill="auto"/>
            <w:noWrap/>
          </w:tcPr>
          <w:p w:rsidR="00594645" w:rsidRPr="00F7078B" w:rsidRDefault="00981E6C" w:rsidP="00F7078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rPr>
            </w:pPr>
            <w:r w:rsidRPr="00F7078B">
              <w:rPr>
                <w:rFonts w:eastAsia="Times New Roman"/>
                <w:color w:val="000000"/>
                <w:bdr w:val="none" w:sz="0" w:space="0" w:color="auto"/>
              </w:rPr>
              <w:t>97</w:t>
            </w:r>
          </w:p>
        </w:tc>
        <w:tc>
          <w:tcPr>
            <w:tcW w:w="1170" w:type="dxa"/>
            <w:tcBorders>
              <w:top w:val="nil"/>
              <w:left w:val="nil"/>
              <w:bottom w:val="single" w:sz="8" w:space="0" w:color="auto"/>
              <w:right w:val="single" w:sz="4" w:space="0" w:color="auto"/>
            </w:tcBorders>
            <w:shd w:val="clear" w:color="auto" w:fill="auto"/>
            <w:noWrap/>
          </w:tcPr>
          <w:p w:rsidR="00594645" w:rsidRPr="00F7078B" w:rsidRDefault="00981E6C" w:rsidP="00F7078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rPr>
            </w:pPr>
            <w:r w:rsidRPr="00F7078B">
              <w:rPr>
                <w:rFonts w:eastAsia="Times New Roman"/>
                <w:color w:val="000000"/>
                <w:bdr w:val="none" w:sz="0" w:space="0" w:color="auto"/>
              </w:rPr>
              <w:t>21.7%</w:t>
            </w:r>
          </w:p>
        </w:tc>
        <w:tc>
          <w:tcPr>
            <w:tcW w:w="1170" w:type="dxa"/>
            <w:tcBorders>
              <w:top w:val="nil"/>
              <w:left w:val="nil"/>
              <w:bottom w:val="single" w:sz="8" w:space="0" w:color="auto"/>
              <w:right w:val="single" w:sz="4" w:space="0" w:color="auto"/>
            </w:tcBorders>
            <w:shd w:val="clear" w:color="auto" w:fill="auto"/>
            <w:noWrap/>
          </w:tcPr>
          <w:p w:rsidR="00594645" w:rsidRPr="00F7078B" w:rsidRDefault="00981E6C" w:rsidP="00F7078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rPr>
            </w:pPr>
            <w:r w:rsidRPr="00F7078B">
              <w:rPr>
                <w:rFonts w:eastAsia="Times New Roman"/>
                <w:color w:val="000000"/>
                <w:bdr w:val="none" w:sz="0" w:space="0" w:color="auto"/>
              </w:rPr>
              <w:t>88</w:t>
            </w:r>
          </w:p>
        </w:tc>
        <w:tc>
          <w:tcPr>
            <w:tcW w:w="1170" w:type="dxa"/>
            <w:tcBorders>
              <w:top w:val="nil"/>
              <w:left w:val="nil"/>
              <w:bottom w:val="single" w:sz="8" w:space="0" w:color="auto"/>
              <w:right w:val="single" w:sz="8" w:space="0" w:color="auto"/>
            </w:tcBorders>
            <w:shd w:val="clear" w:color="auto" w:fill="auto"/>
            <w:noWrap/>
          </w:tcPr>
          <w:p w:rsidR="00594645" w:rsidRPr="00F7078B" w:rsidRDefault="00981E6C" w:rsidP="00F7078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rPr>
            </w:pPr>
            <w:r w:rsidRPr="00F7078B">
              <w:rPr>
                <w:rFonts w:eastAsia="Times New Roman"/>
                <w:color w:val="000000"/>
                <w:bdr w:val="none" w:sz="0" w:space="0" w:color="auto"/>
              </w:rPr>
              <w:t>19.6%</w:t>
            </w:r>
          </w:p>
        </w:tc>
      </w:tr>
    </w:tbl>
    <w:p w:rsidR="00B42B47" w:rsidRDefault="00B42B47" w:rsidP="00DC58F1">
      <w:pPr>
        <w:pBdr>
          <w:top w:val="none" w:sz="0" w:space="0" w:color="auto"/>
          <w:left w:val="none" w:sz="0" w:space="0" w:color="auto"/>
          <w:bottom w:val="none" w:sz="0" w:space="0" w:color="auto"/>
          <w:right w:val="none" w:sz="0" w:space="0" w:color="auto"/>
          <w:between w:val="none" w:sz="0" w:space="0" w:color="auto"/>
          <w:bar w:val="none" w:sz="0" w:color="auto"/>
        </w:pBdr>
      </w:pPr>
    </w:p>
    <w:p w:rsidR="00F7078B" w:rsidRDefault="00F7078B" w:rsidP="00DC58F1">
      <w:pPr>
        <w:pBdr>
          <w:top w:val="none" w:sz="0" w:space="0" w:color="auto"/>
          <w:left w:val="none" w:sz="0" w:space="0" w:color="auto"/>
          <w:bottom w:val="none" w:sz="0" w:space="0" w:color="auto"/>
          <w:right w:val="none" w:sz="0" w:space="0" w:color="auto"/>
          <w:between w:val="none" w:sz="0" w:space="0" w:color="auto"/>
          <w:bar w:val="none" w:sz="0" w:color="auto"/>
        </w:pBdr>
      </w:pPr>
    </w:p>
    <w:p w:rsidR="00F7078B" w:rsidRPr="002B47D2" w:rsidRDefault="00F7078B" w:rsidP="002B47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b/>
          <w:smallCaps/>
        </w:rPr>
      </w:pPr>
      <w:r w:rsidRPr="002B47D2">
        <w:rPr>
          <w:b/>
          <w:smallCaps/>
        </w:rPr>
        <w:t>The Work Participant program</w:t>
      </w:r>
    </w:p>
    <w:p w:rsidR="00F7078B" w:rsidRPr="002B47D2" w:rsidRDefault="00F7078B" w:rsidP="002B47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smallCaps/>
        </w:rPr>
      </w:pPr>
    </w:p>
    <w:p w:rsidR="007717A5" w:rsidRPr="007717A5" w:rsidRDefault="007717A5" w:rsidP="007717A5">
      <w:pPr>
        <w:autoSpaceDE w:val="0"/>
        <w:autoSpaceDN w:val="0"/>
        <w:adjustRightInd w:val="0"/>
        <w:rPr>
          <w:bCs/>
        </w:rPr>
      </w:pPr>
      <w:r w:rsidRPr="007717A5">
        <w:rPr>
          <w:bCs/>
        </w:rPr>
        <w:t>As a part of DTA’s commitment and obligation to the implementation of the Commonwealth’s combined WIOA plan, DTA worked with the Department of Career Services (DCS) to develop and execute an Interagency Services Agreement (ISA) to satisfy WIOA funding requirements and lay out expectations for increased partnership between DTA and DCS on behalf o</w:t>
      </w:r>
      <w:r w:rsidR="00F11624">
        <w:rPr>
          <w:bCs/>
        </w:rPr>
        <w:t>f TANF and SNAP clients. In FY17</w:t>
      </w:r>
      <w:r w:rsidRPr="007717A5">
        <w:rPr>
          <w:bCs/>
        </w:rPr>
        <w:t xml:space="preserve">, DTA </w:t>
      </w:r>
      <w:r w:rsidR="00F11624">
        <w:rPr>
          <w:bCs/>
        </w:rPr>
        <w:t xml:space="preserve">committed $500,000 </w:t>
      </w:r>
      <w:r w:rsidRPr="007717A5">
        <w:rPr>
          <w:bCs/>
        </w:rPr>
        <w:t>to invest in career center services for our clients. The agreement also laid out expectations for developing local collaboration between DTA’s local TAOs and the One Stop Career Centers. While DTA clients have long been served, to some extent, by the One Stop Career Centers, this new partnership is designed to build strong partnerships to meet the unique needs of DTA clients.</w:t>
      </w:r>
    </w:p>
    <w:p w:rsidR="007717A5" w:rsidRPr="007717A5" w:rsidRDefault="007717A5" w:rsidP="007717A5">
      <w:pPr>
        <w:autoSpaceDE w:val="0"/>
        <w:autoSpaceDN w:val="0"/>
        <w:adjustRightInd w:val="0"/>
        <w:rPr>
          <w:bCs/>
        </w:rPr>
      </w:pPr>
    </w:p>
    <w:p w:rsidR="00F7078B" w:rsidRDefault="007717A5" w:rsidP="007717A5">
      <w:pPr>
        <w:autoSpaceDE w:val="0"/>
        <w:autoSpaceDN w:val="0"/>
        <w:adjustRightInd w:val="0"/>
        <w:rPr>
          <w:bCs/>
        </w:rPr>
      </w:pPr>
      <w:r w:rsidRPr="007717A5">
        <w:rPr>
          <w:bCs/>
        </w:rPr>
        <w:t>Since the execution of the preliminary ISA in March of 2017, this partnership has resulted in significant progress towards the intended outcomes of the agreement. Enhancements have been made in each agency’s respective information technology system and agency staff is working collaboratively to assist clients at the local level. DTA Full Engagement Workers (FEWs) have completed training specific to this effort and are spending regularly scheduled time at the One Stop Career Centers to support enrollment and service delivery for DTA clients.</w:t>
      </w:r>
    </w:p>
    <w:p w:rsidR="007717A5" w:rsidRDefault="007717A5" w:rsidP="007717A5">
      <w:pPr>
        <w:autoSpaceDE w:val="0"/>
        <w:autoSpaceDN w:val="0"/>
        <w:adjustRightInd w:val="0"/>
      </w:pPr>
    </w:p>
    <w:tbl>
      <w:tblPr>
        <w:tblW w:w="9285" w:type="dxa"/>
        <w:tblInd w:w="93" w:type="dxa"/>
        <w:tblLook w:val="04A0" w:firstRow="1" w:lastRow="0" w:firstColumn="1" w:lastColumn="0" w:noHBand="0" w:noVBand="1"/>
      </w:tblPr>
      <w:tblGrid>
        <w:gridCol w:w="1815"/>
        <w:gridCol w:w="1710"/>
        <w:gridCol w:w="2700"/>
        <w:gridCol w:w="3060"/>
      </w:tblGrid>
      <w:tr w:rsidR="00F7078B" w:rsidRPr="00A7240C" w:rsidTr="00DD55F8">
        <w:trPr>
          <w:trHeight w:val="300"/>
        </w:trPr>
        <w:tc>
          <w:tcPr>
            <w:tcW w:w="9285" w:type="dxa"/>
            <w:gridSpan w:val="4"/>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F7078B" w:rsidRPr="00484B86" w:rsidRDefault="00F7078B" w:rsidP="00557AC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color w:val="000000"/>
                <w:bdr w:val="none" w:sz="0" w:space="0" w:color="auto"/>
              </w:rPr>
            </w:pPr>
            <w:r w:rsidRPr="00484B86">
              <w:rPr>
                <w:rFonts w:eastAsia="Times New Roman"/>
                <w:b/>
                <w:color w:val="000000"/>
                <w:bdr w:val="none" w:sz="0" w:space="0" w:color="auto"/>
              </w:rPr>
              <w:t>W</w:t>
            </w:r>
            <w:r w:rsidR="00557AC8">
              <w:rPr>
                <w:rFonts w:eastAsia="Times New Roman"/>
                <w:b/>
                <w:color w:val="000000"/>
                <w:bdr w:val="none" w:sz="0" w:space="0" w:color="auto"/>
              </w:rPr>
              <w:t>ork Participation Program</w:t>
            </w:r>
          </w:p>
        </w:tc>
      </w:tr>
      <w:tr w:rsidR="00F7078B" w:rsidRPr="00A7240C" w:rsidTr="00DD55F8">
        <w:trPr>
          <w:trHeight w:val="288"/>
        </w:trPr>
        <w:tc>
          <w:tcPr>
            <w:tcW w:w="1815" w:type="dxa"/>
            <w:tcBorders>
              <w:top w:val="nil"/>
              <w:left w:val="single" w:sz="8" w:space="0" w:color="auto"/>
              <w:bottom w:val="single" w:sz="4" w:space="0" w:color="auto"/>
              <w:right w:val="single" w:sz="4" w:space="0" w:color="auto"/>
            </w:tcBorders>
            <w:shd w:val="clear" w:color="auto" w:fill="auto"/>
            <w:noWrap/>
            <w:vAlign w:val="bottom"/>
            <w:hideMark/>
          </w:tcPr>
          <w:p w:rsidR="00F7078B" w:rsidRPr="00484B86" w:rsidRDefault="00F7078B" w:rsidP="00DD55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rPr>
            </w:pPr>
            <w:r w:rsidRPr="00484B86">
              <w:rPr>
                <w:rFonts w:eastAsia="Times New Roman"/>
                <w:color w:val="000000"/>
                <w:bdr w:val="none" w:sz="0" w:space="0" w:color="auto"/>
              </w:rPr>
              <w:t>Fiscal Year</w:t>
            </w:r>
          </w:p>
        </w:tc>
        <w:tc>
          <w:tcPr>
            <w:tcW w:w="1710" w:type="dxa"/>
            <w:tcBorders>
              <w:top w:val="nil"/>
              <w:left w:val="nil"/>
              <w:bottom w:val="single" w:sz="4" w:space="0" w:color="auto"/>
              <w:right w:val="single" w:sz="4" w:space="0" w:color="auto"/>
            </w:tcBorders>
            <w:shd w:val="clear" w:color="auto" w:fill="auto"/>
            <w:noWrap/>
            <w:vAlign w:val="bottom"/>
            <w:hideMark/>
          </w:tcPr>
          <w:p w:rsidR="00F7078B" w:rsidRPr="00853F9E" w:rsidRDefault="00F7078B" w:rsidP="00DD55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rPr>
            </w:pPr>
            <w:r w:rsidRPr="00853F9E">
              <w:rPr>
                <w:rFonts w:eastAsia="Times New Roman"/>
                <w:color w:val="000000"/>
                <w:bdr w:val="none" w:sz="0" w:space="0" w:color="auto"/>
              </w:rPr>
              <w:t># Enrolled</w:t>
            </w:r>
          </w:p>
        </w:tc>
        <w:tc>
          <w:tcPr>
            <w:tcW w:w="2700" w:type="dxa"/>
            <w:tcBorders>
              <w:top w:val="nil"/>
              <w:left w:val="nil"/>
              <w:bottom w:val="single" w:sz="4" w:space="0" w:color="auto"/>
              <w:right w:val="single" w:sz="4" w:space="0" w:color="auto"/>
            </w:tcBorders>
            <w:shd w:val="clear" w:color="auto" w:fill="auto"/>
            <w:vAlign w:val="bottom"/>
            <w:hideMark/>
          </w:tcPr>
          <w:p w:rsidR="00F7078B" w:rsidRPr="00853F9E" w:rsidRDefault="00F7078B" w:rsidP="00DD55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rPr>
            </w:pPr>
            <w:r>
              <w:rPr>
                <w:rFonts w:eastAsia="Times New Roman"/>
                <w:color w:val="000000"/>
                <w:bdr w:val="none" w:sz="0" w:space="0" w:color="auto"/>
              </w:rPr>
              <w:t># Entered Training</w:t>
            </w:r>
          </w:p>
        </w:tc>
        <w:tc>
          <w:tcPr>
            <w:tcW w:w="3060" w:type="dxa"/>
            <w:tcBorders>
              <w:top w:val="nil"/>
              <w:left w:val="nil"/>
              <w:bottom w:val="single" w:sz="4" w:space="0" w:color="auto"/>
              <w:right w:val="single" w:sz="8" w:space="0" w:color="auto"/>
            </w:tcBorders>
            <w:shd w:val="clear" w:color="auto" w:fill="auto"/>
            <w:noWrap/>
            <w:vAlign w:val="bottom"/>
            <w:hideMark/>
          </w:tcPr>
          <w:p w:rsidR="00F7078B" w:rsidRPr="00853F9E" w:rsidRDefault="00F7078B" w:rsidP="00DD55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rPr>
            </w:pPr>
            <w:r>
              <w:rPr>
                <w:rFonts w:eastAsia="Times New Roman"/>
                <w:color w:val="000000"/>
                <w:bdr w:val="none" w:sz="0" w:space="0" w:color="auto"/>
              </w:rPr>
              <w:t># Obtained Employment</w:t>
            </w:r>
          </w:p>
        </w:tc>
      </w:tr>
      <w:tr w:rsidR="00F7078B" w:rsidRPr="00A7240C" w:rsidTr="00DD55F8">
        <w:trPr>
          <w:trHeight w:val="288"/>
        </w:trPr>
        <w:tc>
          <w:tcPr>
            <w:tcW w:w="1815" w:type="dxa"/>
            <w:tcBorders>
              <w:top w:val="nil"/>
              <w:left w:val="single" w:sz="8" w:space="0" w:color="auto"/>
              <w:bottom w:val="single" w:sz="4" w:space="0" w:color="auto"/>
              <w:right w:val="single" w:sz="4" w:space="0" w:color="auto"/>
            </w:tcBorders>
            <w:shd w:val="clear" w:color="auto" w:fill="auto"/>
            <w:noWrap/>
            <w:vAlign w:val="bottom"/>
          </w:tcPr>
          <w:p w:rsidR="00F7078B" w:rsidRPr="00484B86" w:rsidRDefault="00F7078B" w:rsidP="00DD55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rPr>
            </w:pPr>
            <w:r w:rsidRPr="00484B86">
              <w:rPr>
                <w:rFonts w:eastAsia="Times New Roman"/>
                <w:color w:val="000000"/>
                <w:bdr w:val="none" w:sz="0" w:space="0" w:color="auto"/>
              </w:rPr>
              <w:t xml:space="preserve">FY2017 </w:t>
            </w:r>
          </w:p>
          <w:p w:rsidR="00F7078B" w:rsidRPr="00484B86" w:rsidRDefault="00F7078B" w:rsidP="00DD55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rPr>
            </w:pPr>
            <w:r w:rsidRPr="00484B86">
              <w:rPr>
                <w:rFonts w:eastAsia="Times New Roman"/>
                <w:color w:val="000000"/>
                <w:bdr w:val="none" w:sz="0" w:space="0" w:color="auto"/>
              </w:rPr>
              <w:t>(4 months only)</w:t>
            </w:r>
          </w:p>
        </w:tc>
        <w:tc>
          <w:tcPr>
            <w:tcW w:w="1710" w:type="dxa"/>
            <w:tcBorders>
              <w:top w:val="nil"/>
              <w:left w:val="nil"/>
              <w:bottom w:val="single" w:sz="4" w:space="0" w:color="auto"/>
              <w:right w:val="single" w:sz="4" w:space="0" w:color="auto"/>
            </w:tcBorders>
            <w:shd w:val="clear" w:color="auto" w:fill="auto"/>
            <w:noWrap/>
            <w:vAlign w:val="bottom"/>
          </w:tcPr>
          <w:p w:rsidR="00F7078B" w:rsidRPr="00853F9E" w:rsidRDefault="00F7078B" w:rsidP="00DD55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rPr>
            </w:pPr>
            <w:r>
              <w:rPr>
                <w:rFonts w:eastAsia="Times New Roman"/>
                <w:color w:val="000000"/>
                <w:bdr w:val="none" w:sz="0" w:space="0" w:color="auto"/>
              </w:rPr>
              <w:t>451</w:t>
            </w:r>
          </w:p>
        </w:tc>
        <w:tc>
          <w:tcPr>
            <w:tcW w:w="2700" w:type="dxa"/>
            <w:tcBorders>
              <w:top w:val="nil"/>
              <w:left w:val="nil"/>
              <w:bottom w:val="single" w:sz="4" w:space="0" w:color="auto"/>
              <w:right w:val="single" w:sz="4" w:space="0" w:color="auto"/>
            </w:tcBorders>
            <w:shd w:val="clear" w:color="auto" w:fill="auto"/>
            <w:vAlign w:val="bottom"/>
          </w:tcPr>
          <w:p w:rsidR="00F7078B" w:rsidRPr="00853F9E" w:rsidRDefault="00F7078B" w:rsidP="00DD55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rPr>
            </w:pPr>
            <w:r>
              <w:rPr>
                <w:rFonts w:eastAsia="Times New Roman"/>
                <w:color w:val="000000"/>
                <w:bdr w:val="none" w:sz="0" w:space="0" w:color="auto"/>
              </w:rPr>
              <w:t>67</w:t>
            </w:r>
          </w:p>
        </w:tc>
        <w:tc>
          <w:tcPr>
            <w:tcW w:w="3060" w:type="dxa"/>
            <w:tcBorders>
              <w:top w:val="nil"/>
              <w:left w:val="nil"/>
              <w:bottom w:val="single" w:sz="4" w:space="0" w:color="auto"/>
              <w:right w:val="single" w:sz="8" w:space="0" w:color="auto"/>
            </w:tcBorders>
            <w:shd w:val="clear" w:color="auto" w:fill="auto"/>
            <w:noWrap/>
            <w:vAlign w:val="bottom"/>
          </w:tcPr>
          <w:p w:rsidR="00F7078B" w:rsidRPr="00853F9E" w:rsidRDefault="00F7078B" w:rsidP="00DD55F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rPr>
            </w:pPr>
            <w:r>
              <w:rPr>
                <w:rFonts w:eastAsia="Times New Roman"/>
                <w:color w:val="000000"/>
                <w:bdr w:val="none" w:sz="0" w:space="0" w:color="auto"/>
              </w:rPr>
              <w:t>31</w:t>
            </w:r>
          </w:p>
        </w:tc>
      </w:tr>
    </w:tbl>
    <w:p w:rsidR="00F7078B" w:rsidRDefault="00F7078B" w:rsidP="00DC58F1">
      <w:pPr>
        <w:pBdr>
          <w:top w:val="none" w:sz="0" w:space="0" w:color="auto"/>
          <w:left w:val="none" w:sz="0" w:space="0" w:color="auto"/>
          <w:bottom w:val="none" w:sz="0" w:space="0" w:color="auto"/>
          <w:right w:val="none" w:sz="0" w:space="0" w:color="auto"/>
          <w:between w:val="none" w:sz="0" w:space="0" w:color="auto"/>
          <w:bar w:val="none" w:sz="0" w:color="auto"/>
        </w:pBdr>
      </w:pPr>
    </w:p>
    <w:p w:rsidR="00F2016C" w:rsidRDefault="00F2016C" w:rsidP="00DC58F1">
      <w:pPr>
        <w:pBdr>
          <w:top w:val="none" w:sz="0" w:space="0" w:color="auto"/>
          <w:left w:val="none" w:sz="0" w:space="0" w:color="auto"/>
          <w:bottom w:val="none" w:sz="0" w:space="0" w:color="auto"/>
          <w:right w:val="none" w:sz="0" w:space="0" w:color="auto"/>
          <w:between w:val="none" w:sz="0" w:space="0" w:color="auto"/>
          <w:bar w:val="none" w:sz="0" w:color="auto"/>
        </w:pBdr>
      </w:pPr>
    </w:p>
    <w:p w:rsidR="004F3A4F" w:rsidRDefault="004F3A4F" w:rsidP="00DC58F1">
      <w:pPr>
        <w:pBdr>
          <w:top w:val="none" w:sz="0" w:space="0" w:color="auto"/>
          <w:left w:val="none" w:sz="0" w:space="0" w:color="auto"/>
          <w:bottom w:val="none" w:sz="0" w:space="0" w:color="auto"/>
          <w:right w:val="none" w:sz="0" w:space="0" w:color="auto"/>
          <w:between w:val="none" w:sz="0" w:space="0" w:color="auto"/>
          <w:bar w:val="none" w:sz="0" w:color="auto"/>
        </w:pBdr>
      </w:pPr>
    </w:p>
    <w:p w:rsidR="007717A5" w:rsidRDefault="007717A5" w:rsidP="00DC58F1">
      <w:pPr>
        <w:pBdr>
          <w:top w:val="none" w:sz="0" w:space="0" w:color="auto"/>
          <w:left w:val="none" w:sz="0" w:space="0" w:color="auto"/>
          <w:bottom w:val="none" w:sz="0" w:space="0" w:color="auto"/>
          <w:right w:val="none" w:sz="0" w:space="0" w:color="auto"/>
          <w:between w:val="none" w:sz="0" w:space="0" w:color="auto"/>
          <w:bar w:val="none" w:sz="0" w:color="auto"/>
        </w:pBdr>
      </w:pPr>
    </w:p>
    <w:p w:rsidR="00557AC8" w:rsidRDefault="00557AC8" w:rsidP="00DC58F1">
      <w:pPr>
        <w:pBdr>
          <w:top w:val="none" w:sz="0" w:space="0" w:color="auto"/>
          <w:left w:val="none" w:sz="0" w:space="0" w:color="auto"/>
          <w:bottom w:val="none" w:sz="0" w:space="0" w:color="auto"/>
          <w:right w:val="none" w:sz="0" w:space="0" w:color="auto"/>
          <w:between w:val="none" w:sz="0" w:space="0" w:color="auto"/>
          <w:bar w:val="none" w:sz="0" w:color="auto"/>
        </w:pBdr>
      </w:pPr>
    </w:p>
    <w:p w:rsidR="00B42B47" w:rsidRDefault="00B42B47" w:rsidP="00DC58F1">
      <w:pPr>
        <w:pBdr>
          <w:top w:val="none" w:sz="0" w:space="0" w:color="auto"/>
          <w:left w:val="none" w:sz="0" w:space="0" w:color="auto"/>
          <w:bottom w:val="none" w:sz="0" w:space="0" w:color="auto"/>
          <w:right w:val="none" w:sz="0" w:space="0" w:color="auto"/>
          <w:between w:val="none" w:sz="0" w:space="0" w:color="auto"/>
          <w:bar w:val="none" w:sz="0" w:color="auto"/>
        </w:pBdr>
        <w:rPr>
          <w:b/>
          <w:smallCaps/>
        </w:rPr>
      </w:pPr>
      <w:r w:rsidRPr="00F7078B">
        <w:rPr>
          <w:b/>
          <w:smallCaps/>
        </w:rPr>
        <w:lastRenderedPageBreak/>
        <w:t xml:space="preserve">Additional </w:t>
      </w:r>
      <w:r w:rsidR="004F279D" w:rsidRPr="00F7078B">
        <w:rPr>
          <w:b/>
          <w:smallCaps/>
        </w:rPr>
        <w:t>Employment</w:t>
      </w:r>
      <w:r w:rsidRPr="00F7078B">
        <w:rPr>
          <w:b/>
          <w:smallCaps/>
        </w:rPr>
        <w:t>-Focused Supports</w:t>
      </w:r>
      <w:r w:rsidR="00793075" w:rsidRPr="00F7078B">
        <w:rPr>
          <w:b/>
          <w:smallCaps/>
        </w:rPr>
        <w:t xml:space="preserve"> &amp; Services</w:t>
      </w:r>
    </w:p>
    <w:p w:rsidR="00F2016C" w:rsidRPr="00F7078B" w:rsidRDefault="00F2016C" w:rsidP="00DC58F1">
      <w:pPr>
        <w:pBdr>
          <w:top w:val="none" w:sz="0" w:space="0" w:color="auto"/>
          <w:left w:val="none" w:sz="0" w:space="0" w:color="auto"/>
          <w:bottom w:val="none" w:sz="0" w:space="0" w:color="auto"/>
          <w:right w:val="none" w:sz="0" w:space="0" w:color="auto"/>
          <w:between w:val="none" w:sz="0" w:space="0" w:color="auto"/>
          <w:bar w:val="none" w:sz="0" w:color="auto"/>
        </w:pBdr>
        <w:rPr>
          <w:b/>
          <w:smallCaps/>
        </w:rPr>
      </w:pPr>
    </w:p>
    <w:p w:rsidR="00793075" w:rsidRPr="00A7240C" w:rsidRDefault="004F3A4F" w:rsidP="0062259C">
      <w:pPr>
        <w:pBdr>
          <w:top w:val="none" w:sz="0" w:space="0" w:color="auto"/>
          <w:left w:val="none" w:sz="0" w:space="0" w:color="auto"/>
          <w:bottom w:val="none" w:sz="0" w:space="0" w:color="auto"/>
          <w:right w:val="none" w:sz="0" w:space="0" w:color="auto"/>
          <w:between w:val="none" w:sz="0" w:space="0" w:color="auto"/>
          <w:bar w:val="none" w:sz="0" w:color="auto"/>
        </w:pBdr>
      </w:pPr>
      <w:r>
        <w:t>In addition to working alongside DCS staff as a part of the Work Participant Program, DTA’s</w:t>
      </w:r>
      <w:r w:rsidRPr="0062259C">
        <w:t xml:space="preserve"> </w:t>
      </w:r>
      <w:r w:rsidRPr="0062259C">
        <w:rPr>
          <w:b/>
          <w:i/>
        </w:rPr>
        <w:t>Full Engagement Workers (FEW)</w:t>
      </w:r>
      <w:r>
        <w:t>, who are located</w:t>
      </w:r>
      <w:r w:rsidRPr="0062259C">
        <w:t xml:space="preserve"> </w:t>
      </w:r>
      <w:r w:rsidR="00557AC8">
        <w:t xml:space="preserve">in </w:t>
      </w:r>
      <w:r w:rsidRPr="0062259C">
        <w:t>each TAO</w:t>
      </w:r>
      <w:r>
        <w:t>,</w:t>
      </w:r>
      <w:r w:rsidRPr="0062259C">
        <w:t xml:space="preserve"> assist clients in workforce training, obtaining and maintaining employment, and other issues that present barriers to employment. </w:t>
      </w:r>
      <w:r w:rsidR="00793075" w:rsidRPr="0062259C">
        <w:t>The FEWs</w:t>
      </w:r>
      <w:r w:rsidR="00792E23" w:rsidRPr="00A7240C">
        <w:t xml:space="preserve"> conduct client orientations twice a week to</w:t>
      </w:r>
      <w:r w:rsidR="00793075" w:rsidRPr="00A7240C">
        <w:t xml:space="preserve"> provide an overview of the transitional nature of TAFDC </w:t>
      </w:r>
      <w:r w:rsidR="005F377E" w:rsidRPr="00A7240C">
        <w:t>benefits</w:t>
      </w:r>
      <w:r w:rsidR="00793075" w:rsidRPr="00A7240C">
        <w:t xml:space="preserve"> and ensure </w:t>
      </w:r>
      <w:r w:rsidR="00B461FA" w:rsidRPr="00A7240C">
        <w:t>clients</w:t>
      </w:r>
      <w:r w:rsidR="00793075" w:rsidRPr="00A7240C">
        <w:t xml:space="preserve"> are aware of available local work-related opportunities</w:t>
      </w:r>
      <w:r w:rsidR="005F377E" w:rsidRPr="00A7240C">
        <w:t xml:space="preserve"> and the supports available to them through DTA</w:t>
      </w:r>
      <w:r w:rsidR="00793075" w:rsidRPr="00A7240C">
        <w:t xml:space="preserve">. FEWs also work to develop non-DTA funded work-related resources in their areas. </w:t>
      </w:r>
    </w:p>
    <w:p w:rsidR="00B42B47" w:rsidRPr="00A7240C" w:rsidRDefault="00B42B47">
      <w:pPr>
        <w:pBdr>
          <w:top w:val="none" w:sz="0" w:space="0" w:color="auto"/>
          <w:left w:val="none" w:sz="0" w:space="0" w:color="auto"/>
          <w:bottom w:val="none" w:sz="0" w:space="0" w:color="auto"/>
          <w:right w:val="none" w:sz="0" w:space="0" w:color="auto"/>
          <w:between w:val="none" w:sz="0" w:space="0" w:color="auto"/>
          <w:bar w:val="none" w:sz="0" w:color="auto"/>
        </w:pBdr>
      </w:pPr>
    </w:p>
    <w:p w:rsidR="00B42B47" w:rsidRPr="00A7240C" w:rsidRDefault="00B42B47">
      <w:pPr>
        <w:pBdr>
          <w:top w:val="none" w:sz="0" w:space="0" w:color="auto"/>
          <w:left w:val="none" w:sz="0" w:space="0" w:color="auto"/>
          <w:bottom w:val="none" w:sz="0" w:space="0" w:color="auto"/>
          <w:right w:val="none" w:sz="0" w:space="0" w:color="auto"/>
          <w:between w:val="none" w:sz="0" w:space="0" w:color="auto"/>
          <w:bar w:val="none" w:sz="0" w:color="auto"/>
        </w:pBdr>
      </w:pPr>
      <w:r w:rsidRPr="00A7240C">
        <w:t xml:space="preserve">Eligible TAFDC clients who are participating in most work-related activities </w:t>
      </w:r>
      <w:r w:rsidR="004F279D" w:rsidRPr="00A7240C">
        <w:t xml:space="preserve">have access to </w:t>
      </w:r>
      <w:r w:rsidRPr="00A7240C">
        <w:t xml:space="preserve">the following supports as needed: </w:t>
      </w:r>
      <w:r w:rsidRPr="00A7240C">
        <w:rPr>
          <w:b/>
          <w:i/>
        </w:rPr>
        <w:t>ESP child</w:t>
      </w:r>
      <w:r w:rsidR="004F279D" w:rsidRPr="00A7240C">
        <w:rPr>
          <w:b/>
          <w:i/>
        </w:rPr>
        <w:t xml:space="preserve"> </w:t>
      </w:r>
      <w:r w:rsidRPr="00A7240C">
        <w:rPr>
          <w:b/>
          <w:i/>
        </w:rPr>
        <w:t>care referrals</w:t>
      </w:r>
      <w:r w:rsidRPr="00A7240C">
        <w:t xml:space="preserve">, </w:t>
      </w:r>
      <w:r w:rsidRPr="00A7240C">
        <w:rPr>
          <w:b/>
          <w:i/>
        </w:rPr>
        <w:t xml:space="preserve">transportation </w:t>
      </w:r>
      <w:r w:rsidR="004F279D" w:rsidRPr="00A7240C">
        <w:rPr>
          <w:b/>
          <w:i/>
        </w:rPr>
        <w:t>benefits</w:t>
      </w:r>
      <w:r w:rsidR="004F279D" w:rsidRPr="00A7240C">
        <w:t xml:space="preserve"> </w:t>
      </w:r>
      <w:r w:rsidRPr="00A7240C">
        <w:t xml:space="preserve">of up to $80 per month, </w:t>
      </w:r>
      <w:r w:rsidRPr="00A7240C">
        <w:rPr>
          <w:b/>
          <w:i/>
        </w:rPr>
        <w:t>learning disability screening and assessments</w:t>
      </w:r>
      <w:r w:rsidRPr="00A7240C">
        <w:t xml:space="preserve">, </w:t>
      </w:r>
      <w:r w:rsidRPr="00A7240C">
        <w:rPr>
          <w:b/>
          <w:i/>
        </w:rPr>
        <w:t>Hi-SET vouchers</w:t>
      </w:r>
      <w:r w:rsidRPr="00A7240C">
        <w:t xml:space="preserve"> and information about the benefits of employment and eligibility for tax credits via the </w:t>
      </w:r>
      <w:r w:rsidRPr="00A7240C">
        <w:rPr>
          <w:b/>
          <w:i/>
        </w:rPr>
        <w:t>E</w:t>
      </w:r>
      <w:r w:rsidR="00793075" w:rsidRPr="00A7240C">
        <w:rPr>
          <w:b/>
          <w:i/>
        </w:rPr>
        <w:t>arned Income Tax Credit (E</w:t>
      </w:r>
      <w:r w:rsidRPr="00A7240C">
        <w:rPr>
          <w:b/>
          <w:i/>
        </w:rPr>
        <w:t>ITC</w:t>
      </w:r>
      <w:r w:rsidR="00793075" w:rsidRPr="00A7240C">
        <w:rPr>
          <w:b/>
          <w:i/>
        </w:rPr>
        <w:t>)</w:t>
      </w:r>
      <w:r w:rsidRPr="00A7240C">
        <w:t xml:space="preserve"> and </w:t>
      </w:r>
      <w:r w:rsidR="00792E23" w:rsidRPr="00A7240C">
        <w:rPr>
          <w:b/>
          <w:i/>
        </w:rPr>
        <w:t>Earned Income Credit (</w:t>
      </w:r>
      <w:r w:rsidRPr="00A7240C">
        <w:rPr>
          <w:b/>
          <w:i/>
        </w:rPr>
        <w:t>EIC</w:t>
      </w:r>
      <w:r w:rsidR="00792E23" w:rsidRPr="00A7240C">
        <w:rPr>
          <w:b/>
          <w:i/>
        </w:rPr>
        <w:t>)</w:t>
      </w:r>
      <w:r w:rsidRPr="00A7240C">
        <w:t xml:space="preserve">. </w:t>
      </w:r>
    </w:p>
    <w:p w:rsidR="00B42B47" w:rsidRPr="00A7240C" w:rsidRDefault="00B42B47">
      <w:pPr>
        <w:pBdr>
          <w:top w:val="none" w:sz="0" w:space="0" w:color="auto"/>
          <w:left w:val="none" w:sz="0" w:space="0" w:color="auto"/>
          <w:bottom w:val="none" w:sz="0" w:space="0" w:color="auto"/>
          <w:right w:val="none" w:sz="0" w:space="0" w:color="auto"/>
          <w:between w:val="none" w:sz="0" w:space="0" w:color="auto"/>
          <w:bar w:val="none" w:sz="0" w:color="auto"/>
        </w:pBdr>
      </w:pPr>
    </w:p>
    <w:p w:rsidR="00792E23" w:rsidRPr="00A7240C" w:rsidRDefault="00B42B47">
      <w:pPr>
        <w:pBdr>
          <w:top w:val="none" w:sz="0" w:space="0" w:color="auto"/>
          <w:left w:val="none" w:sz="0" w:space="0" w:color="auto"/>
          <w:bottom w:val="none" w:sz="0" w:space="0" w:color="auto"/>
          <w:right w:val="none" w:sz="0" w:space="0" w:color="auto"/>
          <w:between w:val="none" w:sz="0" w:space="0" w:color="auto"/>
          <w:bar w:val="none" w:sz="0" w:color="auto"/>
        </w:pBdr>
      </w:pPr>
      <w:r w:rsidRPr="00A7240C">
        <w:t xml:space="preserve">Eligible former TAFDC clients who have transitioned to employment receive the following supports for a limited time as needed: </w:t>
      </w:r>
      <w:r w:rsidRPr="00A7240C">
        <w:rPr>
          <w:b/>
          <w:i/>
        </w:rPr>
        <w:t>T</w:t>
      </w:r>
      <w:r w:rsidR="00792E23" w:rsidRPr="00A7240C">
        <w:rPr>
          <w:b/>
          <w:i/>
        </w:rPr>
        <w:t xml:space="preserve">ransitional Child Care </w:t>
      </w:r>
      <w:r w:rsidRPr="00A7240C">
        <w:rPr>
          <w:b/>
          <w:i/>
        </w:rPr>
        <w:t>referrals</w:t>
      </w:r>
      <w:r w:rsidR="00792E23" w:rsidRPr="00A7240C">
        <w:rPr>
          <w:b/>
          <w:i/>
        </w:rPr>
        <w:t xml:space="preserve"> </w:t>
      </w:r>
      <w:r w:rsidR="00792E23" w:rsidRPr="00A7240C">
        <w:t xml:space="preserve">and </w:t>
      </w:r>
      <w:r w:rsidRPr="00A7240C">
        <w:t>information about the benefits of employment and eligibility for tax credits via EITC and EIC</w:t>
      </w:r>
      <w:r w:rsidR="00E16161" w:rsidRPr="00A7240C">
        <w:t xml:space="preserve">. </w:t>
      </w:r>
      <w:r w:rsidRPr="00A7240C">
        <w:t>Most also receive Tra</w:t>
      </w:r>
      <w:r w:rsidR="00557AC8">
        <w:t>nsitional Benefit Alternative (TBA</w:t>
      </w:r>
      <w:r w:rsidRPr="00A7240C">
        <w:t xml:space="preserve">) </w:t>
      </w:r>
      <w:r w:rsidR="00557AC8">
        <w:t>SNAP benefits, which assists former clients in transitioning off the program.</w:t>
      </w:r>
    </w:p>
    <w:p w:rsidR="00792E23" w:rsidRPr="00A7240C" w:rsidRDefault="00792E23">
      <w:pPr>
        <w:pBdr>
          <w:top w:val="none" w:sz="0" w:space="0" w:color="auto"/>
          <w:left w:val="none" w:sz="0" w:space="0" w:color="auto"/>
          <w:bottom w:val="none" w:sz="0" w:space="0" w:color="auto"/>
          <w:right w:val="none" w:sz="0" w:space="0" w:color="auto"/>
          <w:between w:val="none" w:sz="0" w:space="0" w:color="auto"/>
          <w:bar w:val="none" w:sz="0" w:color="auto"/>
        </w:pBdr>
      </w:pPr>
    </w:p>
    <w:p w:rsidR="001B06A4" w:rsidRPr="00A7240C" w:rsidRDefault="00B42400">
      <w:pPr>
        <w:pBdr>
          <w:top w:val="none" w:sz="0" w:space="0" w:color="auto"/>
          <w:left w:val="none" w:sz="0" w:space="0" w:color="auto"/>
          <w:bottom w:val="none" w:sz="0" w:space="0" w:color="auto"/>
          <w:right w:val="none" w:sz="0" w:space="0" w:color="auto"/>
          <w:between w:val="none" w:sz="0" w:space="0" w:color="auto"/>
          <w:bar w:val="none" w:sz="0" w:color="auto"/>
        </w:pBdr>
      </w:pPr>
      <w:r w:rsidRPr="00A7240C">
        <w:t xml:space="preserve">Effective </w:t>
      </w:r>
      <w:r w:rsidR="00B461FA" w:rsidRPr="00A7240C">
        <w:t xml:space="preserve">November of 2016, DTA implemented </w:t>
      </w:r>
      <w:r w:rsidR="00B461FA" w:rsidRPr="00A7240C">
        <w:rPr>
          <w:b/>
          <w:i/>
        </w:rPr>
        <w:t>Transitional Support Services</w:t>
      </w:r>
      <w:r w:rsidR="00A03155" w:rsidRPr="00A7240C">
        <w:rPr>
          <w:b/>
          <w:i/>
        </w:rPr>
        <w:t xml:space="preserve"> (TSS)</w:t>
      </w:r>
      <w:r w:rsidRPr="00A7240C">
        <w:t xml:space="preserve"> to </w:t>
      </w:r>
      <w:r w:rsidR="005F377E" w:rsidRPr="00A7240C">
        <w:t>support</w:t>
      </w:r>
      <w:r w:rsidRPr="00A7240C">
        <w:t xml:space="preserve"> </w:t>
      </w:r>
      <w:r w:rsidR="005F377E" w:rsidRPr="00A7240C">
        <w:t xml:space="preserve">the retention of employment and prevent the need to return to TAFDC </w:t>
      </w:r>
      <w:r w:rsidR="00C12D6E" w:rsidRPr="00A7240C">
        <w:t>for</w:t>
      </w:r>
      <w:r w:rsidR="00792E23" w:rsidRPr="00A7240C">
        <w:t xml:space="preserve"> </w:t>
      </w:r>
      <w:r w:rsidRPr="00A7240C">
        <w:t>clients</w:t>
      </w:r>
      <w:r w:rsidR="00C12D6E" w:rsidRPr="00A7240C">
        <w:t xml:space="preserve"> whose case closed due to earnings</w:t>
      </w:r>
      <w:r w:rsidR="00385781" w:rsidRPr="00A7240C">
        <w:t xml:space="preserve">. </w:t>
      </w:r>
      <w:r w:rsidR="00792E23" w:rsidRPr="00A7240C">
        <w:t>TSS falls into two categories, Work Related Expense Stipends and Transportation Stipends</w:t>
      </w:r>
      <w:r w:rsidR="00385781" w:rsidRPr="00A7240C">
        <w:t xml:space="preserve">. </w:t>
      </w:r>
      <w:r w:rsidR="00792E23" w:rsidRPr="00A7240C">
        <w:t xml:space="preserve">TSS stipends begin when a case is closed for 30 days. TSS stipends are available for a period of four months, in amounts that decrease over the TSS period. </w:t>
      </w:r>
      <w:r w:rsidR="001B06A4" w:rsidRPr="00A7240C">
        <w:t xml:space="preserve">Since the start of the program in December 2016, 5,517 unique families have received TSS (through 4/1/18). In FY17, 2,149 unique families received these benefits.  </w:t>
      </w:r>
    </w:p>
    <w:p w:rsidR="001B06A4" w:rsidRPr="00A7240C" w:rsidRDefault="001B06A4" w:rsidP="00DC58F1">
      <w:pPr>
        <w:pBdr>
          <w:top w:val="none" w:sz="0" w:space="0" w:color="auto"/>
          <w:left w:val="none" w:sz="0" w:space="0" w:color="auto"/>
          <w:bottom w:val="none" w:sz="0" w:space="0" w:color="auto"/>
          <w:right w:val="none" w:sz="0" w:space="0" w:color="auto"/>
          <w:between w:val="none" w:sz="0" w:space="0" w:color="auto"/>
          <w:bar w:val="none" w:sz="0" w:color="auto"/>
        </w:pBdr>
        <w:rPr>
          <w:color w:val="1F497D"/>
        </w:rPr>
      </w:pPr>
    </w:p>
    <w:p w:rsidR="00B42B47" w:rsidRPr="00A7240C" w:rsidRDefault="00B42B47" w:rsidP="00DC58F1">
      <w:pPr>
        <w:pBdr>
          <w:top w:val="none" w:sz="0" w:space="0" w:color="auto"/>
          <w:left w:val="none" w:sz="0" w:space="0" w:color="auto"/>
          <w:bottom w:val="none" w:sz="0" w:space="0" w:color="auto"/>
          <w:right w:val="none" w:sz="0" w:space="0" w:color="auto"/>
          <w:between w:val="none" w:sz="0" w:space="0" w:color="auto"/>
          <w:bar w:val="none" w:sz="0" w:color="auto"/>
        </w:pBdr>
      </w:pPr>
      <w:r w:rsidRPr="00A7240C">
        <w:t xml:space="preserve">These small but meaningful supports help to mitigate the “cliff effect” many clients face when transitioning off of TAFDC and reinforce the benefits of work. </w:t>
      </w:r>
    </w:p>
    <w:p w:rsidR="00B42B47" w:rsidRDefault="00B42B47" w:rsidP="00DC58F1">
      <w:pPr>
        <w:pBdr>
          <w:top w:val="none" w:sz="0" w:space="0" w:color="auto"/>
          <w:left w:val="none" w:sz="0" w:space="0" w:color="auto"/>
          <w:bottom w:val="none" w:sz="0" w:space="0" w:color="auto"/>
          <w:right w:val="none" w:sz="0" w:space="0" w:color="auto"/>
          <w:between w:val="none" w:sz="0" w:space="0" w:color="auto"/>
          <w:bar w:val="none" w:sz="0" w:color="auto"/>
        </w:pBdr>
      </w:pPr>
    </w:p>
    <w:p w:rsidR="0062259C" w:rsidRPr="0062259C" w:rsidRDefault="0062259C" w:rsidP="00DC58F1">
      <w:pPr>
        <w:pBdr>
          <w:top w:val="none" w:sz="0" w:space="0" w:color="auto"/>
          <w:left w:val="none" w:sz="0" w:space="0" w:color="auto"/>
          <w:bottom w:val="none" w:sz="0" w:space="0" w:color="auto"/>
          <w:right w:val="none" w:sz="0" w:space="0" w:color="auto"/>
          <w:between w:val="none" w:sz="0" w:space="0" w:color="auto"/>
          <w:bar w:val="none" w:sz="0" w:color="auto"/>
        </w:pBdr>
      </w:pPr>
    </w:p>
    <w:p w:rsidR="00B42B47" w:rsidRDefault="006552A3" w:rsidP="00DC58F1">
      <w:pPr>
        <w:pBdr>
          <w:top w:val="none" w:sz="0" w:space="0" w:color="auto"/>
          <w:left w:val="none" w:sz="0" w:space="0" w:color="auto"/>
          <w:bottom w:val="none" w:sz="0" w:space="0" w:color="auto"/>
          <w:right w:val="none" w:sz="0" w:space="0" w:color="auto"/>
          <w:between w:val="none" w:sz="0" w:space="0" w:color="auto"/>
          <w:bar w:val="none" w:sz="0" w:color="auto"/>
        </w:pBdr>
        <w:rPr>
          <w:b/>
          <w:smallCaps/>
        </w:rPr>
      </w:pPr>
      <w:r w:rsidRPr="00F7078B">
        <w:rPr>
          <w:b/>
          <w:smallCaps/>
        </w:rPr>
        <w:t xml:space="preserve">Aligning DTA Efforts with Broader Workforce </w:t>
      </w:r>
      <w:r w:rsidR="00095E8A" w:rsidRPr="00F7078B">
        <w:rPr>
          <w:b/>
          <w:smallCaps/>
        </w:rPr>
        <w:t xml:space="preserve">System Development </w:t>
      </w:r>
    </w:p>
    <w:p w:rsidR="00744C8F" w:rsidRPr="00F7078B" w:rsidRDefault="00744C8F" w:rsidP="00DC58F1">
      <w:pPr>
        <w:pBdr>
          <w:top w:val="none" w:sz="0" w:space="0" w:color="auto"/>
          <w:left w:val="none" w:sz="0" w:space="0" w:color="auto"/>
          <w:bottom w:val="none" w:sz="0" w:space="0" w:color="auto"/>
          <w:right w:val="none" w:sz="0" w:space="0" w:color="auto"/>
          <w:between w:val="none" w:sz="0" w:space="0" w:color="auto"/>
          <w:bar w:val="none" w:sz="0" w:color="auto"/>
        </w:pBdr>
        <w:rPr>
          <w:b/>
          <w:smallCaps/>
        </w:rPr>
      </w:pPr>
    </w:p>
    <w:p w:rsidR="00086C16" w:rsidRPr="00A7240C" w:rsidRDefault="00086C16" w:rsidP="00DC58F1">
      <w:pPr>
        <w:pBdr>
          <w:top w:val="none" w:sz="0" w:space="0" w:color="auto"/>
          <w:left w:val="none" w:sz="0" w:space="0" w:color="auto"/>
          <w:bottom w:val="none" w:sz="0" w:space="0" w:color="auto"/>
          <w:right w:val="none" w:sz="0" w:space="0" w:color="auto"/>
          <w:between w:val="none" w:sz="0" w:space="0" w:color="auto"/>
          <w:bar w:val="none" w:sz="0" w:color="auto"/>
        </w:pBdr>
      </w:pPr>
      <w:r w:rsidRPr="0062259C">
        <w:t xml:space="preserve">Since the passage of the federal Workforce Innovation and Opportunity Act (WIOA) in 2014, </w:t>
      </w:r>
      <w:r w:rsidR="00F7078B">
        <w:t xml:space="preserve">DTA has worked closely with EOLWD and DCS </w:t>
      </w:r>
      <w:r w:rsidRPr="00A7240C">
        <w:t xml:space="preserve">to implement an integrated system of workforce development for DTA clients and others with significant barriers to work. WIOA reauthorized the nation’s employment, training, adult education and vocational rehabilitation programs for the first time in 16 years. The new law is substantially different from its predecessor, the Workforce Investment Act (WIA), in its emphasis on targeting low-income adults and youth with limited training and skills to help them overcome barriers to economic success, as well as individuals with disabilities. </w:t>
      </w:r>
    </w:p>
    <w:p w:rsidR="00086C16" w:rsidRPr="00A7240C" w:rsidRDefault="00086C16" w:rsidP="00DC58F1">
      <w:pPr>
        <w:pBdr>
          <w:top w:val="none" w:sz="0" w:space="0" w:color="auto"/>
          <w:left w:val="none" w:sz="0" w:space="0" w:color="auto"/>
          <w:bottom w:val="none" w:sz="0" w:space="0" w:color="auto"/>
          <w:right w:val="none" w:sz="0" w:space="0" w:color="auto"/>
          <w:between w:val="none" w:sz="0" w:space="0" w:color="auto"/>
          <w:bar w:val="none" w:sz="0" w:color="auto"/>
        </w:pBdr>
      </w:pPr>
    </w:p>
    <w:p w:rsidR="005F377E" w:rsidRPr="00A7240C" w:rsidRDefault="005F377E" w:rsidP="00DC58F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rPr>
      </w:pPr>
      <w:r w:rsidRPr="00A7240C">
        <w:rPr>
          <w:rFonts w:eastAsia="Times New Roman"/>
        </w:rPr>
        <w:lastRenderedPageBreak/>
        <w:t>In support of</w:t>
      </w:r>
      <w:r w:rsidR="00FF58AD" w:rsidRPr="00A7240C">
        <w:rPr>
          <w:rFonts w:eastAsia="Times New Roman"/>
        </w:rPr>
        <w:t xml:space="preserve"> implementation of the WIOA state plan, the Governor has </w:t>
      </w:r>
      <w:r w:rsidR="00086C16" w:rsidRPr="00A7240C">
        <w:rPr>
          <w:rFonts w:eastAsia="Times New Roman"/>
        </w:rPr>
        <w:t xml:space="preserve">launched </w:t>
      </w:r>
      <w:r w:rsidR="00FF58AD" w:rsidRPr="00A7240C">
        <w:rPr>
          <w:rFonts w:eastAsia="Times New Roman"/>
        </w:rPr>
        <w:t xml:space="preserve">the </w:t>
      </w:r>
      <w:r w:rsidR="004D0389" w:rsidRPr="00A7240C">
        <w:rPr>
          <w:rFonts w:eastAsia="Times New Roman"/>
          <w:b/>
          <w:i/>
        </w:rPr>
        <w:t>Learn to Earn Initiative (LT</w:t>
      </w:r>
      <w:r w:rsidR="008962DD" w:rsidRPr="00A7240C">
        <w:rPr>
          <w:rFonts w:eastAsia="Times New Roman"/>
          <w:b/>
          <w:i/>
        </w:rPr>
        <w:t>E)</w:t>
      </w:r>
      <w:r w:rsidR="00385781" w:rsidRPr="00A7240C">
        <w:rPr>
          <w:rFonts w:eastAsia="Times New Roman"/>
        </w:rPr>
        <w:t xml:space="preserve">. </w:t>
      </w:r>
      <w:r w:rsidRPr="00A7240C">
        <w:rPr>
          <w:rFonts w:eastAsia="Times New Roman"/>
        </w:rPr>
        <w:t xml:space="preserve">LTE is a coordinated, comprehensive approach to providing unemployed and underemployed individuals with the support and skills they need to obtain and sustain employment in industries where employers have the greatest needs. </w:t>
      </w:r>
    </w:p>
    <w:p w:rsidR="005F377E" w:rsidRPr="00A7240C" w:rsidRDefault="005F377E" w:rsidP="00DC58F1">
      <w:pPr>
        <w:rPr>
          <w:rFonts w:eastAsia="Times New Roman"/>
        </w:rPr>
      </w:pPr>
    </w:p>
    <w:p w:rsidR="00C12D6E" w:rsidRPr="00F2016C" w:rsidRDefault="00C12D6E" w:rsidP="00DC58F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rPr>
      </w:pPr>
      <w:r w:rsidRPr="00F2016C">
        <w:rPr>
          <w:rFonts w:eastAsia="Times New Roman"/>
        </w:rPr>
        <w:t xml:space="preserve">While many </w:t>
      </w:r>
      <w:r w:rsidRPr="00F2016C">
        <w:rPr>
          <w:rFonts w:eastAsia="Times New Roman"/>
          <w:bCs/>
        </w:rPr>
        <w:t>public benefits recipients</w:t>
      </w:r>
      <w:r w:rsidRPr="00F2016C">
        <w:rPr>
          <w:rFonts w:eastAsia="Times New Roman"/>
          <w:b/>
          <w:bCs/>
        </w:rPr>
        <w:t xml:space="preserve"> </w:t>
      </w:r>
      <w:r w:rsidRPr="00F2016C">
        <w:rPr>
          <w:rFonts w:eastAsia="Times New Roman"/>
        </w:rPr>
        <w:t>work, these are often part-time and/or low-wage jobs without career pathways and without the possibility for wage growth and advancement. Individuals who are working and receive public benefits (TAFDC, SNAP, child care, housing, MassHealth, etc.)</w:t>
      </w:r>
      <w:r w:rsidR="009F2EB3" w:rsidRPr="00F2016C">
        <w:rPr>
          <w:rFonts w:eastAsia="Times New Roman"/>
        </w:rPr>
        <w:t xml:space="preserve"> can</w:t>
      </w:r>
      <w:r w:rsidRPr="00F2016C">
        <w:rPr>
          <w:rFonts w:eastAsia="Times New Roman"/>
        </w:rPr>
        <w:t xml:space="preserve"> face significant consequences on their household resources if they accept a raise or promotion, agree to work more hours or seek a higher paying job. </w:t>
      </w:r>
    </w:p>
    <w:p w:rsidR="00C12D6E" w:rsidRPr="00F2016C" w:rsidRDefault="00C12D6E" w:rsidP="00DC58F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rPr>
      </w:pPr>
    </w:p>
    <w:p w:rsidR="006552A3" w:rsidRPr="00F2016C" w:rsidRDefault="004D0389" w:rsidP="00DC58F1">
      <w:r w:rsidRPr="00F2016C">
        <w:rPr>
          <w:rFonts w:eastAsia="Times New Roman"/>
        </w:rPr>
        <w:t xml:space="preserve">LTE </w:t>
      </w:r>
      <w:r w:rsidR="008962DD" w:rsidRPr="00F2016C">
        <w:rPr>
          <w:rFonts w:eastAsia="Times New Roman"/>
        </w:rPr>
        <w:t xml:space="preserve">is a partnership </w:t>
      </w:r>
      <w:r w:rsidR="001D1CEF" w:rsidRPr="00F2016C">
        <w:rPr>
          <w:rFonts w:eastAsia="Times New Roman"/>
        </w:rPr>
        <w:t xml:space="preserve">formed by the governor </w:t>
      </w:r>
      <w:r w:rsidR="005F377E" w:rsidRPr="00F2016C">
        <w:rPr>
          <w:rFonts w:eastAsia="Times New Roman"/>
        </w:rPr>
        <w:t>among</w:t>
      </w:r>
      <w:r w:rsidR="008962DD" w:rsidRPr="00F2016C">
        <w:rPr>
          <w:rFonts w:eastAsia="Times New Roman"/>
        </w:rPr>
        <w:t xml:space="preserve"> EOHHS and several of its agencies (DTA, MRC, MCB, Elder Affairs, etc.) with the Executive Office</w:t>
      </w:r>
      <w:r w:rsidR="005F377E" w:rsidRPr="00F2016C">
        <w:rPr>
          <w:rFonts w:eastAsia="Times New Roman"/>
        </w:rPr>
        <w:t>s</w:t>
      </w:r>
      <w:r w:rsidR="008962DD" w:rsidRPr="00F2016C">
        <w:rPr>
          <w:rFonts w:eastAsia="Times New Roman"/>
        </w:rPr>
        <w:t xml:space="preserve"> of Labor and Workforce Development (EOLWD)</w:t>
      </w:r>
      <w:r w:rsidR="005F377E" w:rsidRPr="00F2016C">
        <w:rPr>
          <w:rFonts w:eastAsia="Times New Roman"/>
        </w:rPr>
        <w:t>, Education (EOE) and Housing and Economic Development (HED)</w:t>
      </w:r>
      <w:r w:rsidR="00385781" w:rsidRPr="00F2016C">
        <w:rPr>
          <w:rFonts w:eastAsia="Times New Roman"/>
        </w:rPr>
        <w:t xml:space="preserve">. </w:t>
      </w:r>
      <w:r w:rsidR="001D1CEF" w:rsidRPr="00F2016C">
        <w:t xml:space="preserve">This initiative </w:t>
      </w:r>
      <w:r w:rsidR="00086C16" w:rsidRPr="00F2016C">
        <w:t>is</w:t>
      </w:r>
      <w:r w:rsidR="001D1CEF" w:rsidRPr="00F2016C">
        <w:t xml:space="preserve"> s</w:t>
      </w:r>
      <w:r w:rsidR="00086C16" w:rsidRPr="00F2016C">
        <w:t>erving</w:t>
      </w:r>
      <w:r w:rsidR="006552A3" w:rsidRPr="00F2016C">
        <w:t xml:space="preserve"> populations with historically higher than average rates of unemployment, with </w:t>
      </w:r>
      <w:r w:rsidR="001D1CEF" w:rsidRPr="00F2016C">
        <w:t>a focus</w:t>
      </w:r>
      <w:r w:rsidR="006552A3" w:rsidRPr="00F2016C">
        <w:t xml:space="preserve"> on</w:t>
      </w:r>
      <w:r w:rsidRPr="00F2016C">
        <w:t xml:space="preserve"> reducing employment barriers</w:t>
      </w:r>
      <w:r w:rsidR="006552A3" w:rsidRPr="00F2016C">
        <w:t xml:space="preserve"> </w:t>
      </w:r>
      <w:r w:rsidRPr="00F2016C">
        <w:t xml:space="preserve">for </w:t>
      </w:r>
      <w:r w:rsidR="006552A3" w:rsidRPr="00F2016C">
        <w:t>individuals</w:t>
      </w:r>
      <w:r w:rsidRPr="00F2016C">
        <w:t xml:space="preserve"> and families</w:t>
      </w:r>
      <w:r w:rsidR="006552A3" w:rsidRPr="00F2016C">
        <w:t xml:space="preserve"> in public housing, </w:t>
      </w:r>
      <w:r w:rsidRPr="00F2016C">
        <w:t xml:space="preserve">as well as those receiving </w:t>
      </w:r>
      <w:r w:rsidR="006552A3" w:rsidRPr="00F2016C">
        <w:t>TANF and SNAP</w:t>
      </w:r>
      <w:r w:rsidR="00385781" w:rsidRPr="00F2016C">
        <w:t xml:space="preserve">. </w:t>
      </w:r>
    </w:p>
    <w:p w:rsidR="00B42B47" w:rsidRPr="00F2016C" w:rsidRDefault="00B42B47" w:rsidP="00DC58F1">
      <w:r w:rsidRPr="00F2016C">
        <w:t xml:space="preserve">  </w:t>
      </w:r>
    </w:p>
    <w:p w:rsidR="00F7777C" w:rsidRPr="00F2016C" w:rsidRDefault="00886E61" w:rsidP="00DC58F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rPr>
      </w:pPr>
      <w:r w:rsidRPr="00F2016C">
        <w:rPr>
          <w:rFonts w:eastAsia="Times New Roman"/>
        </w:rPr>
        <w:t>Implementation of the WIOA State Plan</w:t>
      </w:r>
      <w:r w:rsidR="00623AA6" w:rsidRPr="00F2016C">
        <w:rPr>
          <w:rFonts w:eastAsia="Times New Roman"/>
        </w:rPr>
        <w:t xml:space="preserve"> and the LTE I</w:t>
      </w:r>
      <w:r w:rsidRPr="00F2016C">
        <w:rPr>
          <w:rFonts w:eastAsia="Times New Roman"/>
        </w:rPr>
        <w:t xml:space="preserve">nitiative provide a critical opportunity for DTA to leverage </w:t>
      </w:r>
      <w:r w:rsidR="00623AA6" w:rsidRPr="00F2016C">
        <w:rPr>
          <w:rFonts w:eastAsia="Times New Roman"/>
        </w:rPr>
        <w:t xml:space="preserve">the investments in our </w:t>
      </w:r>
      <w:r w:rsidRPr="00F2016C">
        <w:rPr>
          <w:rFonts w:eastAsia="Times New Roman"/>
        </w:rPr>
        <w:t xml:space="preserve">Employment Support Program to </w:t>
      </w:r>
      <w:r w:rsidR="009F2EB3" w:rsidRPr="00F2016C">
        <w:rPr>
          <w:rFonts w:eastAsia="Times New Roman"/>
        </w:rPr>
        <w:t>address barriers to employment</w:t>
      </w:r>
      <w:r w:rsidR="00623AA6" w:rsidRPr="00F2016C">
        <w:rPr>
          <w:rFonts w:eastAsia="Times New Roman"/>
        </w:rPr>
        <w:t xml:space="preserve"> for our clients</w:t>
      </w:r>
      <w:r w:rsidR="009F2EB3" w:rsidRPr="00F2016C">
        <w:rPr>
          <w:rFonts w:eastAsia="Times New Roman"/>
        </w:rPr>
        <w:t xml:space="preserve"> and help them move toward self-sufficiency</w:t>
      </w:r>
      <w:r w:rsidR="00623AA6" w:rsidRPr="00F2016C">
        <w:rPr>
          <w:rFonts w:eastAsia="Times New Roman"/>
        </w:rPr>
        <w:t xml:space="preserve">. With the current unemployment rate at </w:t>
      </w:r>
      <w:r w:rsidR="00F05987" w:rsidRPr="00F2016C">
        <w:rPr>
          <w:rFonts w:eastAsia="Times New Roman"/>
        </w:rPr>
        <w:t>historic lows,</w:t>
      </w:r>
      <w:r w:rsidR="00623AA6" w:rsidRPr="00F2016C">
        <w:rPr>
          <w:rFonts w:eastAsia="Times New Roman"/>
        </w:rPr>
        <w:t xml:space="preserve"> we have a unique opportunity to engage clients in </w:t>
      </w:r>
      <w:r w:rsidR="009F2EB3" w:rsidRPr="00F2016C">
        <w:rPr>
          <w:rFonts w:eastAsia="Times New Roman"/>
        </w:rPr>
        <w:t xml:space="preserve">employment supports that lead to </w:t>
      </w:r>
      <w:r w:rsidR="00623AA6" w:rsidRPr="00F2016C">
        <w:rPr>
          <w:rFonts w:eastAsia="Times New Roman"/>
        </w:rPr>
        <w:t xml:space="preserve">meaningful career pathways </w:t>
      </w:r>
      <w:r w:rsidR="009F2EB3" w:rsidRPr="00F2016C">
        <w:rPr>
          <w:rFonts w:eastAsia="Times New Roman"/>
        </w:rPr>
        <w:t xml:space="preserve">and longer term </w:t>
      </w:r>
      <w:r w:rsidR="00623AA6" w:rsidRPr="00F2016C">
        <w:rPr>
          <w:rFonts w:eastAsia="Times New Roman"/>
        </w:rPr>
        <w:t>economic stability</w:t>
      </w:r>
      <w:r w:rsidR="009F2EB3" w:rsidRPr="00F2016C">
        <w:rPr>
          <w:rFonts w:eastAsia="Times New Roman"/>
        </w:rPr>
        <w:t xml:space="preserve"> for them and their families</w:t>
      </w:r>
      <w:r w:rsidR="00385781" w:rsidRPr="00F2016C">
        <w:rPr>
          <w:rFonts w:eastAsia="Times New Roman"/>
        </w:rPr>
        <w:t xml:space="preserve">. </w:t>
      </w:r>
    </w:p>
    <w:p w:rsidR="00E46DB5" w:rsidRPr="00F2016C" w:rsidRDefault="00E46DB5" w:rsidP="00DC58F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rPr>
      </w:pPr>
    </w:p>
    <w:p w:rsidR="00A7240C" w:rsidRPr="00F2016C" w:rsidRDefault="00A7240C" w:rsidP="00DC58F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rPr>
      </w:pPr>
    </w:p>
    <w:p w:rsidR="00E46DB5" w:rsidRPr="00F7078B" w:rsidRDefault="00E46DB5" w:rsidP="00DC58F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i/>
        </w:rPr>
      </w:pPr>
      <w:r w:rsidRPr="00F7078B">
        <w:rPr>
          <w:rFonts w:eastAsia="Times New Roman"/>
          <w:b/>
          <w:i/>
        </w:rPr>
        <w:t>Note on Report</w:t>
      </w:r>
    </w:p>
    <w:p w:rsidR="00344715" w:rsidRDefault="00F05987" w:rsidP="009F2EB3">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rPr>
      </w:pPr>
      <w:r w:rsidRPr="0062259C">
        <w:rPr>
          <w:rFonts w:eastAsia="Times New Roman"/>
        </w:rPr>
        <w:t>Because FY18</w:t>
      </w:r>
      <w:r w:rsidR="00E46DB5" w:rsidRPr="00F2016C">
        <w:rPr>
          <w:rFonts w:eastAsia="Times New Roman"/>
        </w:rPr>
        <w:t xml:space="preserve"> has not concluded before the submission of this report, DTA reported on the previous fiscal year’s ESP</w:t>
      </w:r>
      <w:r w:rsidRPr="00F2016C">
        <w:rPr>
          <w:rFonts w:eastAsia="Times New Roman"/>
        </w:rPr>
        <w:t xml:space="preserve"> activities</w:t>
      </w:r>
      <w:r w:rsidR="00E46DB5" w:rsidRPr="00F2016C">
        <w:rPr>
          <w:rFonts w:eastAsia="Times New Roman"/>
        </w:rPr>
        <w:t xml:space="preserve">. </w:t>
      </w:r>
    </w:p>
    <w:sectPr w:rsidR="00344715" w:rsidSect="00086C16">
      <w:headerReference w:type="even" r:id="rId12"/>
      <w:headerReference w:type="default" r:id="rId13"/>
      <w:footerReference w:type="even" r:id="rId14"/>
      <w:footerReference w:type="default" r:id="rId15"/>
      <w:headerReference w:type="first" r:id="rId16"/>
      <w:footerReference w:type="first" r:id="rId17"/>
      <w:pgSz w:w="12240" w:h="15840"/>
      <w:pgMar w:top="1005" w:right="1440" w:bottom="1620"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A3B" w:rsidRDefault="00023A3B">
      <w:r>
        <w:separator/>
      </w:r>
    </w:p>
  </w:endnote>
  <w:endnote w:type="continuationSeparator" w:id="0">
    <w:p w:rsidR="00023A3B" w:rsidRDefault="00023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dobe Garamond Pro Bold">
    <w:altName w:val="Times New Roman"/>
    <w:panose1 w:val="00000000000000000000"/>
    <w:charset w:val="00"/>
    <w:family w:val="roman"/>
    <w:notTrueType/>
    <w:pitch w:val="variable"/>
    <w:sig w:usb0="00000001" w:usb1="00000001" w:usb2="00000000" w:usb3="00000000" w:csb0="00000093"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029" w:rsidRDefault="00EA5029">
    <w:pPr>
      <w:pStyle w:val="Footer"/>
      <w:jc w:val="center"/>
    </w:pPr>
    <w:r>
      <w:fldChar w:fldCharType="begin"/>
    </w:r>
    <w:r>
      <w:instrText xml:space="preserve"> PAGE </w:instrText>
    </w:r>
    <w:r>
      <w:fldChar w:fldCharType="separate"/>
    </w:r>
    <w:r w:rsidR="00B6148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029" w:rsidRDefault="00EA5029">
    <w:pPr>
      <w:pStyle w:val="Footer"/>
    </w:pPr>
  </w:p>
  <w:p w:rsidR="00EA5029" w:rsidRDefault="00EA5029"/>
  <w:p w:rsidR="00EA5029" w:rsidRDefault="00EA5029"/>
  <w:p w:rsidR="00EA5029" w:rsidRDefault="00EA502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029" w:rsidRDefault="00EA5029">
    <w:pPr>
      <w:pStyle w:val="Footer"/>
      <w:jc w:val="center"/>
    </w:pPr>
    <w:r>
      <w:fldChar w:fldCharType="begin"/>
    </w:r>
    <w:r>
      <w:instrText xml:space="preserve"> PAGE   \* MERGEFORMAT </w:instrText>
    </w:r>
    <w:r>
      <w:fldChar w:fldCharType="separate"/>
    </w:r>
    <w:r w:rsidR="0087726A">
      <w:rPr>
        <w:noProof/>
      </w:rPr>
      <w:t>9</w:t>
    </w:r>
    <w:r>
      <w:rPr>
        <w:noProof/>
      </w:rPr>
      <w:fldChar w:fldCharType="end"/>
    </w:r>
  </w:p>
  <w:p w:rsidR="00EA5029" w:rsidRDefault="00EA5029">
    <w:pPr>
      <w:pStyle w:val="Footer"/>
    </w:pPr>
  </w:p>
  <w:p w:rsidR="00EA5029" w:rsidRDefault="00EA5029"/>
  <w:p w:rsidR="00EA5029" w:rsidRDefault="00EA5029"/>
  <w:p w:rsidR="00EA5029" w:rsidRDefault="00EA5029"/>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029" w:rsidRDefault="00EA50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A3B" w:rsidRDefault="00023A3B">
      <w:r>
        <w:separator/>
      </w:r>
    </w:p>
  </w:footnote>
  <w:footnote w:type="continuationSeparator" w:id="0">
    <w:p w:rsidR="00023A3B" w:rsidRDefault="00023A3B">
      <w:r>
        <w:continuationSeparator/>
      </w:r>
    </w:p>
  </w:footnote>
  <w:footnote w:type="continuationNotice" w:id="1">
    <w:p w:rsidR="00023A3B" w:rsidRDefault="00023A3B"/>
  </w:footnote>
  <w:footnote w:id="2">
    <w:p w:rsidR="00F05987" w:rsidRPr="00086C16" w:rsidRDefault="00F05987" w:rsidP="00F05987">
      <w:pPr>
        <w:pStyle w:val="FootnoteText"/>
        <w:rPr>
          <w:rFonts w:cs="Arial"/>
        </w:rPr>
      </w:pPr>
      <w:r w:rsidRPr="00086C16">
        <w:rPr>
          <w:rStyle w:val="FootnoteReference"/>
          <w:rFonts w:cs="Arial"/>
        </w:rPr>
        <w:footnoteRef/>
      </w:r>
      <w:r w:rsidRPr="00086C16">
        <w:rPr>
          <w:rFonts w:cs="Arial"/>
        </w:rPr>
        <w:t xml:space="preserve"> </w:t>
      </w:r>
      <w:r w:rsidR="00744C8F">
        <w:rPr>
          <w:rFonts w:cs="Arial"/>
        </w:rPr>
        <w:t>“</w:t>
      </w:r>
      <w:r w:rsidRPr="00086C16">
        <w:rPr>
          <w:rFonts w:cs="Arial"/>
        </w:rPr>
        <w:t>Two Generation Playbook“</w:t>
      </w:r>
      <w:r w:rsidR="00744C8F">
        <w:rPr>
          <w:rFonts w:cs="Arial"/>
        </w:rPr>
        <w:t>,</w:t>
      </w:r>
      <w:r w:rsidRPr="00086C16">
        <w:rPr>
          <w:rFonts w:cs="Arial"/>
        </w:rPr>
        <w:t xml:space="preserve"> Ascend, The Aspen Institute (ascend.aspendinstitute.org)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029" w:rsidRDefault="00EA5029">
    <w:pPr>
      <w:pStyle w:val="Header"/>
      <w:tabs>
        <w:tab w:val="clear" w:pos="9360"/>
        <w:tab w:val="right" w:pos="93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029" w:rsidRDefault="00EA5029">
    <w:pPr>
      <w:pStyle w:val="Header"/>
    </w:pPr>
  </w:p>
  <w:p w:rsidR="00EA5029" w:rsidRDefault="00EA5029"/>
  <w:p w:rsidR="00EA5029" w:rsidRDefault="00EA5029"/>
  <w:p w:rsidR="00EA5029" w:rsidRDefault="00EA502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029" w:rsidRDefault="00EA5029"/>
  <w:p w:rsidR="00EA5029" w:rsidRDefault="00EA5029"/>
  <w:p w:rsidR="00EA5029" w:rsidRDefault="00EA5029"/>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029" w:rsidRDefault="00EA50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06660"/>
    <w:multiLevelType w:val="multilevel"/>
    <w:tmpl w:val="62720E0A"/>
    <w:styleLink w:val="ImportedStyle5"/>
    <w:lvl w:ilvl="0">
      <w:numFmt w:val="bullet"/>
      <w:lvlText w:val="•"/>
      <w:lvlJc w:val="left"/>
      <w:pPr>
        <w:tabs>
          <w:tab w:val="num" w:pos="555"/>
        </w:tabs>
        <w:ind w:left="555" w:hanging="360"/>
      </w:pPr>
      <w:rPr>
        <w:position w:val="0"/>
        <w:sz w:val="22"/>
        <w:szCs w:val="22"/>
        <w:lang w:val="en-US"/>
      </w:rPr>
    </w:lvl>
    <w:lvl w:ilvl="1">
      <w:start w:val="1"/>
      <w:numFmt w:val="lowerLetter"/>
      <w:lvlText w:val="%2."/>
      <w:lvlJc w:val="left"/>
      <w:pPr>
        <w:tabs>
          <w:tab w:val="num" w:pos="1275"/>
        </w:tabs>
        <w:ind w:left="1275" w:hanging="360"/>
      </w:pPr>
      <w:rPr>
        <w:position w:val="0"/>
        <w:sz w:val="24"/>
        <w:szCs w:val="24"/>
        <w:lang w:val="en-US"/>
      </w:rPr>
    </w:lvl>
    <w:lvl w:ilvl="2">
      <w:start w:val="1"/>
      <w:numFmt w:val="lowerRoman"/>
      <w:lvlText w:val="%3."/>
      <w:lvlJc w:val="left"/>
      <w:pPr>
        <w:tabs>
          <w:tab w:val="num" w:pos="1995"/>
        </w:tabs>
        <w:ind w:left="1995" w:hanging="296"/>
      </w:pPr>
      <w:rPr>
        <w:position w:val="0"/>
        <w:sz w:val="24"/>
        <w:szCs w:val="24"/>
        <w:lang w:val="en-US"/>
      </w:rPr>
    </w:lvl>
    <w:lvl w:ilvl="3">
      <w:start w:val="1"/>
      <w:numFmt w:val="decimal"/>
      <w:lvlText w:val="%4."/>
      <w:lvlJc w:val="left"/>
      <w:pPr>
        <w:tabs>
          <w:tab w:val="num" w:pos="2715"/>
        </w:tabs>
        <w:ind w:left="2715" w:hanging="360"/>
      </w:pPr>
      <w:rPr>
        <w:position w:val="0"/>
        <w:sz w:val="24"/>
        <w:szCs w:val="24"/>
        <w:lang w:val="en-US"/>
      </w:rPr>
    </w:lvl>
    <w:lvl w:ilvl="4">
      <w:start w:val="1"/>
      <w:numFmt w:val="lowerLetter"/>
      <w:lvlText w:val="%5."/>
      <w:lvlJc w:val="left"/>
      <w:pPr>
        <w:tabs>
          <w:tab w:val="num" w:pos="3435"/>
        </w:tabs>
        <w:ind w:left="3435" w:hanging="360"/>
      </w:pPr>
      <w:rPr>
        <w:position w:val="0"/>
        <w:sz w:val="24"/>
        <w:szCs w:val="24"/>
        <w:lang w:val="en-US"/>
      </w:rPr>
    </w:lvl>
    <w:lvl w:ilvl="5">
      <w:start w:val="1"/>
      <w:numFmt w:val="lowerRoman"/>
      <w:lvlText w:val="%6."/>
      <w:lvlJc w:val="left"/>
      <w:pPr>
        <w:tabs>
          <w:tab w:val="num" w:pos="4155"/>
        </w:tabs>
        <w:ind w:left="4155" w:hanging="296"/>
      </w:pPr>
      <w:rPr>
        <w:position w:val="0"/>
        <w:sz w:val="24"/>
        <w:szCs w:val="24"/>
        <w:lang w:val="en-US"/>
      </w:rPr>
    </w:lvl>
    <w:lvl w:ilvl="6">
      <w:start w:val="1"/>
      <w:numFmt w:val="decimal"/>
      <w:lvlText w:val="%7."/>
      <w:lvlJc w:val="left"/>
      <w:pPr>
        <w:tabs>
          <w:tab w:val="num" w:pos="4875"/>
        </w:tabs>
        <w:ind w:left="4875" w:hanging="360"/>
      </w:pPr>
      <w:rPr>
        <w:position w:val="0"/>
        <w:sz w:val="24"/>
        <w:szCs w:val="24"/>
        <w:lang w:val="en-US"/>
      </w:rPr>
    </w:lvl>
    <w:lvl w:ilvl="7">
      <w:start w:val="1"/>
      <w:numFmt w:val="lowerLetter"/>
      <w:lvlText w:val="%8."/>
      <w:lvlJc w:val="left"/>
      <w:pPr>
        <w:tabs>
          <w:tab w:val="num" w:pos="5595"/>
        </w:tabs>
        <w:ind w:left="5595" w:hanging="360"/>
      </w:pPr>
      <w:rPr>
        <w:position w:val="0"/>
        <w:sz w:val="24"/>
        <w:szCs w:val="24"/>
        <w:lang w:val="en-US"/>
      </w:rPr>
    </w:lvl>
    <w:lvl w:ilvl="8">
      <w:start w:val="1"/>
      <w:numFmt w:val="lowerRoman"/>
      <w:lvlText w:val="%9."/>
      <w:lvlJc w:val="left"/>
      <w:pPr>
        <w:tabs>
          <w:tab w:val="num" w:pos="6315"/>
        </w:tabs>
        <w:ind w:left="6315" w:hanging="296"/>
      </w:pPr>
      <w:rPr>
        <w:position w:val="0"/>
        <w:sz w:val="24"/>
        <w:szCs w:val="24"/>
        <w:lang w:val="en-US"/>
      </w:rPr>
    </w:lvl>
  </w:abstractNum>
  <w:abstractNum w:abstractNumId="1">
    <w:nsid w:val="05872D0F"/>
    <w:multiLevelType w:val="multilevel"/>
    <w:tmpl w:val="8714AD66"/>
    <w:styleLink w:val="ImportedStyle4"/>
    <w:lvl w:ilvl="0">
      <w:numFmt w:val="bullet"/>
      <w:lvlText w:val="•"/>
      <w:lvlJc w:val="left"/>
      <w:pPr>
        <w:tabs>
          <w:tab w:val="num" w:pos="555"/>
        </w:tabs>
        <w:ind w:left="555" w:hanging="360"/>
      </w:pPr>
      <w:rPr>
        <w:position w:val="0"/>
        <w:sz w:val="22"/>
        <w:szCs w:val="22"/>
        <w:lang w:val="en-US"/>
      </w:rPr>
    </w:lvl>
    <w:lvl w:ilvl="1">
      <w:start w:val="1"/>
      <w:numFmt w:val="lowerLetter"/>
      <w:lvlText w:val="%2."/>
      <w:lvlJc w:val="left"/>
      <w:pPr>
        <w:tabs>
          <w:tab w:val="num" w:pos="1275"/>
        </w:tabs>
        <w:ind w:left="1275" w:hanging="360"/>
      </w:pPr>
      <w:rPr>
        <w:position w:val="0"/>
        <w:sz w:val="24"/>
        <w:szCs w:val="24"/>
        <w:lang w:val="en-US"/>
      </w:rPr>
    </w:lvl>
    <w:lvl w:ilvl="2">
      <w:start w:val="1"/>
      <w:numFmt w:val="lowerRoman"/>
      <w:lvlText w:val="%3."/>
      <w:lvlJc w:val="left"/>
      <w:pPr>
        <w:tabs>
          <w:tab w:val="num" w:pos="1995"/>
        </w:tabs>
        <w:ind w:left="1995" w:hanging="296"/>
      </w:pPr>
      <w:rPr>
        <w:position w:val="0"/>
        <w:sz w:val="24"/>
        <w:szCs w:val="24"/>
        <w:lang w:val="en-US"/>
      </w:rPr>
    </w:lvl>
    <w:lvl w:ilvl="3">
      <w:start w:val="1"/>
      <w:numFmt w:val="decimal"/>
      <w:lvlText w:val="%4."/>
      <w:lvlJc w:val="left"/>
      <w:pPr>
        <w:tabs>
          <w:tab w:val="num" w:pos="2715"/>
        </w:tabs>
        <w:ind w:left="2715" w:hanging="360"/>
      </w:pPr>
      <w:rPr>
        <w:position w:val="0"/>
        <w:sz w:val="24"/>
        <w:szCs w:val="24"/>
        <w:lang w:val="en-US"/>
      </w:rPr>
    </w:lvl>
    <w:lvl w:ilvl="4">
      <w:start w:val="1"/>
      <w:numFmt w:val="lowerLetter"/>
      <w:lvlText w:val="%5."/>
      <w:lvlJc w:val="left"/>
      <w:pPr>
        <w:tabs>
          <w:tab w:val="num" w:pos="3435"/>
        </w:tabs>
        <w:ind w:left="3435" w:hanging="360"/>
      </w:pPr>
      <w:rPr>
        <w:position w:val="0"/>
        <w:sz w:val="24"/>
        <w:szCs w:val="24"/>
        <w:lang w:val="en-US"/>
      </w:rPr>
    </w:lvl>
    <w:lvl w:ilvl="5">
      <w:start w:val="1"/>
      <w:numFmt w:val="lowerRoman"/>
      <w:lvlText w:val="%6."/>
      <w:lvlJc w:val="left"/>
      <w:pPr>
        <w:tabs>
          <w:tab w:val="num" w:pos="4155"/>
        </w:tabs>
        <w:ind w:left="4155" w:hanging="296"/>
      </w:pPr>
      <w:rPr>
        <w:position w:val="0"/>
        <w:sz w:val="24"/>
        <w:szCs w:val="24"/>
        <w:lang w:val="en-US"/>
      </w:rPr>
    </w:lvl>
    <w:lvl w:ilvl="6">
      <w:start w:val="1"/>
      <w:numFmt w:val="decimal"/>
      <w:lvlText w:val="%7."/>
      <w:lvlJc w:val="left"/>
      <w:pPr>
        <w:tabs>
          <w:tab w:val="num" w:pos="4875"/>
        </w:tabs>
        <w:ind w:left="4875" w:hanging="360"/>
      </w:pPr>
      <w:rPr>
        <w:position w:val="0"/>
        <w:sz w:val="24"/>
        <w:szCs w:val="24"/>
        <w:lang w:val="en-US"/>
      </w:rPr>
    </w:lvl>
    <w:lvl w:ilvl="7">
      <w:start w:val="1"/>
      <w:numFmt w:val="lowerLetter"/>
      <w:lvlText w:val="%8."/>
      <w:lvlJc w:val="left"/>
      <w:pPr>
        <w:tabs>
          <w:tab w:val="num" w:pos="5595"/>
        </w:tabs>
        <w:ind w:left="5595" w:hanging="360"/>
      </w:pPr>
      <w:rPr>
        <w:position w:val="0"/>
        <w:sz w:val="24"/>
        <w:szCs w:val="24"/>
        <w:lang w:val="en-US"/>
      </w:rPr>
    </w:lvl>
    <w:lvl w:ilvl="8">
      <w:start w:val="1"/>
      <w:numFmt w:val="lowerRoman"/>
      <w:lvlText w:val="%9."/>
      <w:lvlJc w:val="left"/>
      <w:pPr>
        <w:tabs>
          <w:tab w:val="num" w:pos="6315"/>
        </w:tabs>
        <w:ind w:left="6315" w:hanging="296"/>
      </w:pPr>
      <w:rPr>
        <w:position w:val="0"/>
        <w:sz w:val="24"/>
        <w:szCs w:val="24"/>
        <w:lang w:val="en-US"/>
      </w:rPr>
    </w:lvl>
  </w:abstractNum>
  <w:abstractNum w:abstractNumId="2">
    <w:nsid w:val="065F0C15"/>
    <w:multiLevelType w:val="multilevel"/>
    <w:tmpl w:val="E39A4B1A"/>
    <w:lvl w:ilvl="0">
      <w:start w:val="1"/>
      <w:numFmt w:val="bullet"/>
      <w:lvlText w:val=""/>
      <w:lvlJc w:val="left"/>
      <w:pPr>
        <w:tabs>
          <w:tab w:val="num" w:pos="360"/>
        </w:tabs>
        <w:ind w:left="360" w:hanging="360"/>
      </w:pPr>
      <w:rPr>
        <w:rFonts w:ascii="Symbol" w:hAnsi="Symbol" w:hint="default"/>
        <w:position w:val="0"/>
        <w:sz w:val="24"/>
        <w:szCs w:val="24"/>
        <w:lang w:val="en-US"/>
      </w:rPr>
    </w:lvl>
    <w:lvl w:ilvl="1">
      <w:start w:val="1"/>
      <w:numFmt w:val="bullet"/>
      <w:lvlText w:val="o"/>
      <w:lvlJc w:val="left"/>
      <w:pPr>
        <w:tabs>
          <w:tab w:val="num" w:pos="1440"/>
        </w:tabs>
        <w:ind w:left="1440" w:hanging="360"/>
      </w:pPr>
      <w:rPr>
        <w:position w:val="0"/>
        <w:sz w:val="24"/>
        <w:szCs w:val="24"/>
        <w:lang w:val="en-US"/>
      </w:rPr>
    </w:lvl>
    <w:lvl w:ilvl="2">
      <w:start w:val="1"/>
      <w:numFmt w:val="bullet"/>
      <w:lvlText w:val="▪"/>
      <w:lvlJc w:val="left"/>
      <w:pPr>
        <w:tabs>
          <w:tab w:val="num" w:pos="2160"/>
        </w:tabs>
        <w:ind w:left="2160" w:hanging="360"/>
      </w:pPr>
      <w:rPr>
        <w:position w:val="0"/>
        <w:sz w:val="24"/>
        <w:szCs w:val="24"/>
        <w:lang w:val="en-US"/>
      </w:rPr>
    </w:lvl>
    <w:lvl w:ilvl="3">
      <w:start w:val="1"/>
      <w:numFmt w:val="bullet"/>
      <w:lvlText w:val="•"/>
      <w:lvlJc w:val="left"/>
      <w:pPr>
        <w:tabs>
          <w:tab w:val="num" w:pos="2880"/>
        </w:tabs>
        <w:ind w:left="2880" w:hanging="360"/>
      </w:pPr>
      <w:rPr>
        <w:position w:val="0"/>
        <w:sz w:val="24"/>
        <w:szCs w:val="24"/>
        <w:lang w:val="en-US"/>
      </w:rPr>
    </w:lvl>
    <w:lvl w:ilvl="4">
      <w:start w:val="1"/>
      <w:numFmt w:val="bullet"/>
      <w:lvlText w:val="o"/>
      <w:lvlJc w:val="left"/>
      <w:pPr>
        <w:tabs>
          <w:tab w:val="num" w:pos="3600"/>
        </w:tabs>
        <w:ind w:left="3600" w:hanging="360"/>
      </w:pPr>
      <w:rPr>
        <w:position w:val="0"/>
        <w:sz w:val="24"/>
        <w:szCs w:val="24"/>
        <w:lang w:val="en-US"/>
      </w:rPr>
    </w:lvl>
    <w:lvl w:ilvl="5">
      <w:start w:val="1"/>
      <w:numFmt w:val="bullet"/>
      <w:lvlText w:val="▪"/>
      <w:lvlJc w:val="left"/>
      <w:pPr>
        <w:tabs>
          <w:tab w:val="num" w:pos="4320"/>
        </w:tabs>
        <w:ind w:left="4320" w:hanging="360"/>
      </w:pPr>
      <w:rPr>
        <w:position w:val="0"/>
        <w:sz w:val="24"/>
        <w:szCs w:val="24"/>
        <w:lang w:val="en-US"/>
      </w:rPr>
    </w:lvl>
    <w:lvl w:ilvl="6">
      <w:start w:val="1"/>
      <w:numFmt w:val="bullet"/>
      <w:lvlText w:val="•"/>
      <w:lvlJc w:val="left"/>
      <w:pPr>
        <w:tabs>
          <w:tab w:val="num" w:pos="5040"/>
        </w:tabs>
        <w:ind w:left="5040" w:hanging="360"/>
      </w:pPr>
      <w:rPr>
        <w:position w:val="0"/>
        <w:sz w:val="24"/>
        <w:szCs w:val="24"/>
        <w:lang w:val="en-US"/>
      </w:rPr>
    </w:lvl>
    <w:lvl w:ilvl="7">
      <w:start w:val="1"/>
      <w:numFmt w:val="bullet"/>
      <w:lvlText w:val="o"/>
      <w:lvlJc w:val="left"/>
      <w:pPr>
        <w:tabs>
          <w:tab w:val="num" w:pos="5760"/>
        </w:tabs>
        <w:ind w:left="5760" w:hanging="360"/>
      </w:pPr>
      <w:rPr>
        <w:position w:val="0"/>
        <w:sz w:val="24"/>
        <w:szCs w:val="24"/>
        <w:lang w:val="en-US"/>
      </w:rPr>
    </w:lvl>
    <w:lvl w:ilvl="8">
      <w:start w:val="1"/>
      <w:numFmt w:val="bullet"/>
      <w:lvlText w:val="▪"/>
      <w:lvlJc w:val="left"/>
      <w:pPr>
        <w:tabs>
          <w:tab w:val="num" w:pos="6480"/>
        </w:tabs>
        <w:ind w:left="6480" w:hanging="360"/>
      </w:pPr>
      <w:rPr>
        <w:position w:val="0"/>
        <w:sz w:val="24"/>
        <w:szCs w:val="24"/>
        <w:lang w:val="en-US"/>
      </w:rPr>
    </w:lvl>
  </w:abstractNum>
  <w:abstractNum w:abstractNumId="3">
    <w:nsid w:val="09AA5F68"/>
    <w:multiLevelType w:val="multilevel"/>
    <w:tmpl w:val="A9C6BBF8"/>
    <w:styleLink w:val="ImportedStyle7"/>
    <w:lvl w:ilvl="0">
      <w:numFmt w:val="bullet"/>
      <w:lvlText w:val="•"/>
      <w:lvlJc w:val="left"/>
      <w:pPr>
        <w:tabs>
          <w:tab w:val="num" w:pos="555"/>
        </w:tabs>
        <w:ind w:left="555" w:hanging="360"/>
      </w:pPr>
      <w:rPr>
        <w:position w:val="0"/>
        <w:sz w:val="22"/>
        <w:szCs w:val="22"/>
        <w:lang w:val="en-US"/>
      </w:rPr>
    </w:lvl>
    <w:lvl w:ilvl="1">
      <w:start w:val="1"/>
      <w:numFmt w:val="lowerLetter"/>
      <w:lvlText w:val="%2."/>
      <w:lvlJc w:val="left"/>
      <w:pPr>
        <w:tabs>
          <w:tab w:val="num" w:pos="1275"/>
        </w:tabs>
        <w:ind w:left="1275" w:hanging="360"/>
      </w:pPr>
      <w:rPr>
        <w:position w:val="0"/>
        <w:sz w:val="24"/>
        <w:szCs w:val="24"/>
        <w:lang w:val="en-US"/>
      </w:rPr>
    </w:lvl>
    <w:lvl w:ilvl="2">
      <w:start w:val="1"/>
      <w:numFmt w:val="lowerRoman"/>
      <w:lvlText w:val="%3."/>
      <w:lvlJc w:val="left"/>
      <w:pPr>
        <w:tabs>
          <w:tab w:val="num" w:pos="1995"/>
        </w:tabs>
        <w:ind w:left="1995" w:hanging="296"/>
      </w:pPr>
      <w:rPr>
        <w:position w:val="0"/>
        <w:sz w:val="24"/>
        <w:szCs w:val="24"/>
        <w:lang w:val="en-US"/>
      </w:rPr>
    </w:lvl>
    <w:lvl w:ilvl="3">
      <w:start w:val="1"/>
      <w:numFmt w:val="decimal"/>
      <w:lvlText w:val="%4."/>
      <w:lvlJc w:val="left"/>
      <w:pPr>
        <w:tabs>
          <w:tab w:val="num" w:pos="2715"/>
        </w:tabs>
        <w:ind w:left="2715" w:hanging="360"/>
      </w:pPr>
      <w:rPr>
        <w:position w:val="0"/>
        <w:sz w:val="24"/>
        <w:szCs w:val="24"/>
        <w:lang w:val="en-US"/>
      </w:rPr>
    </w:lvl>
    <w:lvl w:ilvl="4">
      <w:start w:val="1"/>
      <w:numFmt w:val="lowerLetter"/>
      <w:lvlText w:val="%5."/>
      <w:lvlJc w:val="left"/>
      <w:pPr>
        <w:tabs>
          <w:tab w:val="num" w:pos="3435"/>
        </w:tabs>
        <w:ind w:left="3435" w:hanging="360"/>
      </w:pPr>
      <w:rPr>
        <w:position w:val="0"/>
        <w:sz w:val="24"/>
        <w:szCs w:val="24"/>
        <w:lang w:val="en-US"/>
      </w:rPr>
    </w:lvl>
    <w:lvl w:ilvl="5">
      <w:start w:val="1"/>
      <w:numFmt w:val="lowerRoman"/>
      <w:lvlText w:val="%6."/>
      <w:lvlJc w:val="left"/>
      <w:pPr>
        <w:tabs>
          <w:tab w:val="num" w:pos="4155"/>
        </w:tabs>
        <w:ind w:left="4155" w:hanging="296"/>
      </w:pPr>
      <w:rPr>
        <w:position w:val="0"/>
        <w:sz w:val="24"/>
        <w:szCs w:val="24"/>
        <w:lang w:val="en-US"/>
      </w:rPr>
    </w:lvl>
    <w:lvl w:ilvl="6">
      <w:start w:val="1"/>
      <w:numFmt w:val="decimal"/>
      <w:lvlText w:val="%7."/>
      <w:lvlJc w:val="left"/>
      <w:pPr>
        <w:tabs>
          <w:tab w:val="num" w:pos="4875"/>
        </w:tabs>
        <w:ind w:left="4875" w:hanging="360"/>
      </w:pPr>
      <w:rPr>
        <w:position w:val="0"/>
        <w:sz w:val="24"/>
        <w:szCs w:val="24"/>
        <w:lang w:val="en-US"/>
      </w:rPr>
    </w:lvl>
    <w:lvl w:ilvl="7">
      <w:start w:val="1"/>
      <w:numFmt w:val="lowerLetter"/>
      <w:lvlText w:val="%8."/>
      <w:lvlJc w:val="left"/>
      <w:pPr>
        <w:tabs>
          <w:tab w:val="num" w:pos="5595"/>
        </w:tabs>
        <w:ind w:left="5595" w:hanging="360"/>
      </w:pPr>
      <w:rPr>
        <w:position w:val="0"/>
        <w:sz w:val="24"/>
        <w:szCs w:val="24"/>
        <w:lang w:val="en-US"/>
      </w:rPr>
    </w:lvl>
    <w:lvl w:ilvl="8">
      <w:start w:val="1"/>
      <w:numFmt w:val="lowerRoman"/>
      <w:lvlText w:val="%9."/>
      <w:lvlJc w:val="left"/>
      <w:pPr>
        <w:tabs>
          <w:tab w:val="num" w:pos="6315"/>
        </w:tabs>
        <w:ind w:left="6315" w:hanging="296"/>
      </w:pPr>
      <w:rPr>
        <w:position w:val="0"/>
        <w:sz w:val="24"/>
        <w:szCs w:val="24"/>
        <w:lang w:val="en-US"/>
      </w:rPr>
    </w:lvl>
  </w:abstractNum>
  <w:abstractNum w:abstractNumId="4">
    <w:nsid w:val="145833A3"/>
    <w:multiLevelType w:val="multilevel"/>
    <w:tmpl w:val="41C23938"/>
    <w:styleLink w:val="ImportedStyle6"/>
    <w:lvl w:ilvl="0">
      <w:numFmt w:val="bullet"/>
      <w:lvlText w:val="•"/>
      <w:lvlJc w:val="left"/>
      <w:pPr>
        <w:tabs>
          <w:tab w:val="num" w:pos="555"/>
        </w:tabs>
        <w:ind w:left="555" w:hanging="360"/>
      </w:pPr>
      <w:rPr>
        <w:position w:val="0"/>
        <w:sz w:val="22"/>
        <w:szCs w:val="22"/>
        <w:lang w:val="en-US"/>
      </w:rPr>
    </w:lvl>
    <w:lvl w:ilvl="1">
      <w:start w:val="1"/>
      <w:numFmt w:val="lowerLetter"/>
      <w:lvlText w:val="%2."/>
      <w:lvlJc w:val="left"/>
      <w:pPr>
        <w:tabs>
          <w:tab w:val="num" w:pos="1275"/>
        </w:tabs>
        <w:ind w:left="1275" w:hanging="360"/>
      </w:pPr>
      <w:rPr>
        <w:position w:val="0"/>
        <w:sz w:val="24"/>
        <w:szCs w:val="24"/>
        <w:lang w:val="en-US"/>
      </w:rPr>
    </w:lvl>
    <w:lvl w:ilvl="2">
      <w:start w:val="1"/>
      <w:numFmt w:val="lowerRoman"/>
      <w:lvlText w:val="%3."/>
      <w:lvlJc w:val="left"/>
      <w:pPr>
        <w:tabs>
          <w:tab w:val="num" w:pos="1995"/>
        </w:tabs>
        <w:ind w:left="1995" w:hanging="296"/>
      </w:pPr>
      <w:rPr>
        <w:position w:val="0"/>
        <w:sz w:val="24"/>
        <w:szCs w:val="24"/>
        <w:lang w:val="en-US"/>
      </w:rPr>
    </w:lvl>
    <w:lvl w:ilvl="3">
      <w:start w:val="1"/>
      <w:numFmt w:val="decimal"/>
      <w:lvlText w:val="%4."/>
      <w:lvlJc w:val="left"/>
      <w:pPr>
        <w:tabs>
          <w:tab w:val="num" w:pos="2715"/>
        </w:tabs>
        <w:ind w:left="2715" w:hanging="360"/>
      </w:pPr>
      <w:rPr>
        <w:position w:val="0"/>
        <w:sz w:val="24"/>
        <w:szCs w:val="24"/>
        <w:lang w:val="en-US"/>
      </w:rPr>
    </w:lvl>
    <w:lvl w:ilvl="4">
      <w:start w:val="1"/>
      <w:numFmt w:val="lowerLetter"/>
      <w:lvlText w:val="%5."/>
      <w:lvlJc w:val="left"/>
      <w:pPr>
        <w:tabs>
          <w:tab w:val="num" w:pos="3435"/>
        </w:tabs>
        <w:ind w:left="3435" w:hanging="360"/>
      </w:pPr>
      <w:rPr>
        <w:position w:val="0"/>
        <w:sz w:val="24"/>
        <w:szCs w:val="24"/>
        <w:lang w:val="en-US"/>
      </w:rPr>
    </w:lvl>
    <w:lvl w:ilvl="5">
      <w:start w:val="1"/>
      <w:numFmt w:val="lowerRoman"/>
      <w:lvlText w:val="%6."/>
      <w:lvlJc w:val="left"/>
      <w:pPr>
        <w:tabs>
          <w:tab w:val="num" w:pos="4155"/>
        </w:tabs>
        <w:ind w:left="4155" w:hanging="296"/>
      </w:pPr>
      <w:rPr>
        <w:position w:val="0"/>
        <w:sz w:val="24"/>
        <w:szCs w:val="24"/>
        <w:lang w:val="en-US"/>
      </w:rPr>
    </w:lvl>
    <w:lvl w:ilvl="6">
      <w:start w:val="1"/>
      <w:numFmt w:val="decimal"/>
      <w:lvlText w:val="%7."/>
      <w:lvlJc w:val="left"/>
      <w:pPr>
        <w:tabs>
          <w:tab w:val="num" w:pos="4875"/>
        </w:tabs>
        <w:ind w:left="4875" w:hanging="360"/>
      </w:pPr>
      <w:rPr>
        <w:position w:val="0"/>
        <w:sz w:val="24"/>
        <w:szCs w:val="24"/>
        <w:lang w:val="en-US"/>
      </w:rPr>
    </w:lvl>
    <w:lvl w:ilvl="7">
      <w:start w:val="1"/>
      <w:numFmt w:val="lowerLetter"/>
      <w:lvlText w:val="%8."/>
      <w:lvlJc w:val="left"/>
      <w:pPr>
        <w:tabs>
          <w:tab w:val="num" w:pos="5595"/>
        </w:tabs>
        <w:ind w:left="5595" w:hanging="360"/>
      </w:pPr>
      <w:rPr>
        <w:position w:val="0"/>
        <w:sz w:val="24"/>
        <w:szCs w:val="24"/>
        <w:lang w:val="en-US"/>
      </w:rPr>
    </w:lvl>
    <w:lvl w:ilvl="8">
      <w:start w:val="1"/>
      <w:numFmt w:val="lowerRoman"/>
      <w:lvlText w:val="%9."/>
      <w:lvlJc w:val="left"/>
      <w:pPr>
        <w:tabs>
          <w:tab w:val="num" w:pos="6315"/>
        </w:tabs>
        <w:ind w:left="6315" w:hanging="296"/>
      </w:pPr>
      <w:rPr>
        <w:position w:val="0"/>
        <w:sz w:val="24"/>
        <w:szCs w:val="24"/>
        <w:lang w:val="en-US"/>
      </w:rPr>
    </w:lvl>
  </w:abstractNum>
  <w:abstractNum w:abstractNumId="5">
    <w:nsid w:val="16463425"/>
    <w:multiLevelType w:val="hybridMultilevel"/>
    <w:tmpl w:val="191C99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E61187B"/>
    <w:multiLevelType w:val="hybridMultilevel"/>
    <w:tmpl w:val="A51EDAEC"/>
    <w:lvl w:ilvl="0" w:tplc="17301072">
      <w:start w:val="1"/>
      <w:numFmt w:val="bullet"/>
      <w:lvlText w:val="•"/>
      <w:lvlJc w:val="left"/>
      <w:pPr>
        <w:tabs>
          <w:tab w:val="num" w:pos="360"/>
        </w:tabs>
        <w:ind w:left="360" w:hanging="360"/>
      </w:pPr>
      <w:rPr>
        <w:rFonts w:ascii="Arial" w:hAnsi="Arial" w:hint="default"/>
      </w:rPr>
    </w:lvl>
    <w:lvl w:ilvl="1" w:tplc="342AC01C">
      <w:start w:val="1"/>
      <w:numFmt w:val="bullet"/>
      <w:lvlText w:val="•"/>
      <w:lvlJc w:val="left"/>
      <w:pPr>
        <w:tabs>
          <w:tab w:val="num" w:pos="1080"/>
        </w:tabs>
        <w:ind w:left="1080" w:hanging="360"/>
      </w:pPr>
      <w:rPr>
        <w:rFonts w:ascii="Arial" w:hAnsi="Arial" w:hint="default"/>
      </w:rPr>
    </w:lvl>
    <w:lvl w:ilvl="2" w:tplc="960E3EDA" w:tentative="1">
      <w:start w:val="1"/>
      <w:numFmt w:val="bullet"/>
      <w:lvlText w:val="•"/>
      <w:lvlJc w:val="left"/>
      <w:pPr>
        <w:tabs>
          <w:tab w:val="num" w:pos="1800"/>
        </w:tabs>
        <w:ind w:left="1800" w:hanging="360"/>
      </w:pPr>
      <w:rPr>
        <w:rFonts w:ascii="Arial" w:hAnsi="Arial" w:hint="default"/>
      </w:rPr>
    </w:lvl>
    <w:lvl w:ilvl="3" w:tplc="8D3E2CF4" w:tentative="1">
      <w:start w:val="1"/>
      <w:numFmt w:val="bullet"/>
      <w:lvlText w:val="•"/>
      <w:lvlJc w:val="left"/>
      <w:pPr>
        <w:tabs>
          <w:tab w:val="num" w:pos="2520"/>
        </w:tabs>
        <w:ind w:left="2520" w:hanging="360"/>
      </w:pPr>
      <w:rPr>
        <w:rFonts w:ascii="Arial" w:hAnsi="Arial" w:hint="default"/>
      </w:rPr>
    </w:lvl>
    <w:lvl w:ilvl="4" w:tplc="FB102734" w:tentative="1">
      <w:start w:val="1"/>
      <w:numFmt w:val="bullet"/>
      <w:lvlText w:val="•"/>
      <w:lvlJc w:val="left"/>
      <w:pPr>
        <w:tabs>
          <w:tab w:val="num" w:pos="3240"/>
        </w:tabs>
        <w:ind w:left="3240" w:hanging="360"/>
      </w:pPr>
      <w:rPr>
        <w:rFonts w:ascii="Arial" w:hAnsi="Arial" w:hint="default"/>
      </w:rPr>
    </w:lvl>
    <w:lvl w:ilvl="5" w:tplc="4F664F9C" w:tentative="1">
      <w:start w:val="1"/>
      <w:numFmt w:val="bullet"/>
      <w:lvlText w:val="•"/>
      <w:lvlJc w:val="left"/>
      <w:pPr>
        <w:tabs>
          <w:tab w:val="num" w:pos="3960"/>
        </w:tabs>
        <w:ind w:left="3960" w:hanging="360"/>
      </w:pPr>
      <w:rPr>
        <w:rFonts w:ascii="Arial" w:hAnsi="Arial" w:hint="default"/>
      </w:rPr>
    </w:lvl>
    <w:lvl w:ilvl="6" w:tplc="95AEA5FC" w:tentative="1">
      <w:start w:val="1"/>
      <w:numFmt w:val="bullet"/>
      <w:lvlText w:val="•"/>
      <w:lvlJc w:val="left"/>
      <w:pPr>
        <w:tabs>
          <w:tab w:val="num" w:pos="4680"/>
        </w:tabs>
        <w:ind w:left="4680" w:hanging="360"/>
      </w:pPr>
      <w:rPr>
        <w:rFonts w:ascii="Arial" w:hAnsi="Arial" w:hint="default"/>
      </w:rPr>
    </w:lvl>
    <w:lvl w:ilvl="7" w:tplc="5DB8B812" w:tentative="1">
      <w:start w:val="1"/>
      <w:numFmt w:val="bullet"/>
      <w:lvlText w:val="•"/>
      <w:lvlJc w:val="left"/>
      <w:pPr>
        <w:tabs>
          <w:tab w:val="num" w:pos="5400"/>
        </w:tabs>
        <w:ind w:left="5400" w:hanging="360"/>
      </w:pPr>
      <w:rPr>
        <w:rFonts w:ascii="Arial" w:hAnsi="Arial" w:hint="default"/>
      </w:rPr>
    </w:lvl>
    <w:lvl w:ilvl="8" w:tplc="25EAF980" w:tentative="1">
      <w:start w:val="1"/>
      <w:numFmt w:val="bullet"/>
      <w:lvlText w:val="•"/>
      <w:lvlJc w:val="left"/>
      <w:pPr>
        <w:tabs>
          <w:tab w:val="num" w:pos="6120"/>
        </w:tabs>
        <w:ind w:left="6120" w:hanging="360"/>
      </w:pPr>
      <w:rPr>
        <w:rFonts w:ascii="Arial" w:hAnsi="Arial" w:hint="default"/>
      </w:rPr>
    </w:lvl>
  </w:abstractNum>
  <w:abstractNum w:abstractNumId="7">
    <w:nsid w:val="23150B3E"/>
    <w:multiLevelType w:val="multilevel"/>
    <w:tmpl w:val="0B6684E6"/>
    <w:lvl w:ilvl="0">
      <w:start w:val="1"/>
      <w:numFmt w:val="bullet"/>
      <w:lvlText w:val="•"/>
      <w:lvlJc w:val="left"/>
      <w:pPr>
        <w:tabs>
          <w:tab w:val="num" w:pos="360"/>
        </w:tabs>
        <w:ind w:left="360" w:hanging="360"/>
      </w:pPr>
      <w:rPr>
        <w:position w:val="0"/>
        <w:sz w:val="24"/>
        <w:szCs w:val="24"/>
        <w:lang w:val="en-US"/>
      </w:rPr>
    </w:lvl>
    <w:lvl w:ilvl="1">
      <w:start w:val="1"/>
      <w:numFmt w:val="bullet"/>
      <w:lvlText w:val="o"/>
      <w:lvlJc w:val="left"/>
      <w:pPr>
        <w:tabs>
          <w:tab w:val="num" w:pos="1440"/>
        </w:tabs>
        <w:ind w:left="1440" w:hanging="360"/>
      </w:pPr>
      <w:rPr>
        <w:position w:val="0"/>
        <w:sz w:val="24"/>
        <w:szCs w:val="24"/>
        <w:lang w:val="en-US"/>
      </w:rPr>
    </w:lvl>
    <w:lvl w:ilvl="2">
      <w:start w:val="1"/>
      <w:numFmt w:val="bullet"/>
      <w:lvlText w:val="▪"/>
      <w:lvlJc w:val="left"/>
      <w:pPr>
        <w:tabs>
          <w:tab w:val="num" w:pos="2160"/>
        </w:tabs>
        <w:ind w:left="2160" w:hanging="360"/>
      </w:pPr>
      <w:rPr>
        <w:position w:val="0"/>
        <w:sz w:val="24"/>
        <w:szCs w:val="24"/>
        <w:lang w:val="en-US"/>
      </w:rPr>
    </w:lvl>
    <w:lvl w:ilvl="3">
      <w:start w:val="1"/>
      <w:numFmt w:val="bullet"/>
      <w:lvlText w:val="•"/>
      <w:lvlJc w:val="left"/>
      <w:pPr>
        <w:tabs>
          <w:tab w:val="num" w:pos="2880"/>
        </w:tabs>
        <w:ind w:left="2880" w:hanging="360"/>
      </w:pPr>
      <w:rPr>
        <w:position w:val="0"/>
        <w:sz w:val="24"/>
        <w:szCs w:val="24"/>
        <w:lang w:val="en-US"/>
      </w:rPr>
    </w:lvl>
    <w:lvl w:ilvl="4">
      <w:start w:val="1"/>
      <w:numFmt w:val="bullet"/>
      <w:lvlText w:val="o"/>
      <w:lvlJc w:val="left"/>
      <w:pPr>
        <w:tabs>
          <w:tab w:val="num" w:pos="3600"/>
        </w:tabs>
        <w:ind w:left="3600" w:hanging="360"/>
      </w:pPr>
      <w:rPr>
        <w:position w:val="0"/>
        <w:sz w:val="24"/>
        <w:szCs w:val="24"/>
        <w:lang w:val="en-US"/>
      </w:rPr>
    </w:lvl>
    <w:lvl w:ilvl="5">
      <w:start w:val="1"/>
      <w:numFmt w:val="bullet"/>
      <w:lvlText w:val="▪"/>
      <w:lvlJc w:val="left"/>
      <w:pPr>
        <w:tabs>
          <w:tab w:val="num" w:pos="4320"/>
        </w:tabs>
        <w:ind w:left="4320" w:hanging="360"/>
      </w:pPr>
      <w:rPr>
        <w:position w:val="0"/>
        <w:sz w:val="24"/>
        <w:szCs w:val="24"/>
        <w:lang w:val="en-US"/>
      </w:rPr>
    </w:lvl>
    <w:lvl w:ilvl="6">
      <w:start w:val="1"/>
      <w:numFmt w:val="bullet"/>
      <w:lvlText w:val="•"/>
      <w:lvlJc w:val="left"/>
      <w:pPr>
        <w:tabs>
          <w:tab w:val="num" w:pos="5040"/>
        </w:tabs>
        <w:ind w:left="5040" w:hanging="360"/>
      </w:pPr>
      <w:rPr>
        <w:position w:val="0"/>
        <w:sz w:val="24"/>
        <w:szCs w:val="24"/>
        <w:lang w:val="en-US"/>
      </w:rPr>
    </w:lvl>
    <w:lvl w:ilvl="7">
      <w:start w:val="1"/>
      <w:numFmt w:val="bullet"/>
      <w:lvlText w:val="o"/>
      <w:lvlJc w:val="left"/>
      <w:pPr>
        <w:tabs>
          <w:tab w:val="num" w:pos="5760"/>
        </w:tabs>
        <w:ind w:left="5760" w:hanging="360"/>
      </w:pPr>
      <w:rPr>
        <w:position w:val="0"/>
        <w:sz w:val="24"/>
        <w:szCs w:val="24"/>
        <w:lang w:val="en-US"/>
      </w:rPr>
    </w:lvl>
    <w:lvl w:ilvl="8">
      <w:start w:val="1"/>
      <w:numFmt w:val="bullet"/>
      <w:lvlText w:val="▪"/>
      <w:lvlJc w:val="left"/>
      <w:pPr>
        <w:tabs>
          <w:tab w:val="num" w:pos="6480"/>
        </w:tabs>
        <w:ind w:left="6480" w:hanging="360"/>
      </w:pPr>
      <w:rPr>
        <w:position w:val="0"/>
        <w:sz w:val="24"/>
        <w:szCs w:val="24"/>
        <w:lang w:val="en-US"/>
      </w:rPr>
    </w:lvl>
  </w:abstractNum>
  <w:abstractNum w:abstractNumId="8">
    <w:nsid w:val="2BDA7B37"/>
    <w:multiLevelType w:val="multilevel"/>
    <w:tmpl w:val="61C8C41E"/>
    <w:styleLink w:val="ImportedStyle1"/>
    <w:lvl w:ilvl="0">
      <w:numFmt w:val="bullet"/>
      <w:lvlText w:val="•"/>
      <w:lvlJc w:val="left"/>
      <w:pPr>
        <w:tabs>
          <w:tab w:val="num" w:pos="330"/>
        </w:tabs>
        <w:ind w:left="330" w:hanging="330"/>
      </w:pPr>
      <w:rPr>
        <w:rFonts w:ascii="Times New Roman" w:eastAsia="Times New Roman" w:hAnsi="Times New Roman" w:cs="Times New Roman"/>
        <w:position w:val="0"/>
      </w:rPr>
    </w:lvl>
    <w:lvl w:ilvl="1">
      <w:start w:val="1"/>
      <w:numFmt w:val="bullet"/>
      <w:lvlText w:val="o"/>
      <w:lvlJc w:val="left"/>
      <w:pPr>
        <w:tabs>
          <w:tab w:val="num" w:pos="1410"/>
        </w:tabs>
        <w:ind w:left="1410" w:hanging="330"/>
      </w:pPr>
      <w:rPr>
        <w:rFonts w:ascii="Times New Roman" w:eastAsia="Times New Roman" w:hAnsi="Times New Roman" w:cs="Times New Roman"/>
        <w:position w:val="0"/>
      </w:rPr>
    </w:lvl>
    <w:lvl w:ilvl="2">
      <w:start w:val="1"/>
      <w:numFmt w:val="bullet"/>
      <w:lvlText w:val="▪"/>
      <w:lvlJc w:val="left"/>
      <w:pPr>
        <w:tabs>
          <w:tab w:val="num" w:pos="2130"/>
        </w:tabs>
        <w:ind w:left="2130" w:hanging="330"/>
      </w:pPr>
      <w:rPr>
        <w:rFonts w:ascii="Times New Roman" w:eastAsia="Times New Roman" w:hAnsi="Times New Roman" w:cs="Times New Roman"/>
        <w:position w:val="0"/>
      </w:rPr>
    </w:lvl>
    <w:lvl w:ilvl="3">
      <w:start w:val="1"/>
      <w:numFmt w:val="bullet"/>
      <w:lvlText w:val="•"/>
      <w:lvlJc w:val="left"/>
      <w:pPr>
        <w:tabs>
          <w:tab w:val="num" w:pos="2850"/>
        </w:tabs>
        <w:ind w:left="2850" w:hanging="330"/>
      </w:pPr>
      <w:rPr>
        <w:rFonts w:ascii="Times New Roman" w:eastAsia="Times New Roman" w:hAnsi="Times New Roman" w:cs="Times New Roman"/>
        <w:position w:val="0"/>
      </w:rPr>
    </w:lvl>
    <w:lvl w:ilvl="4">
      <w:start w:val="1"/>
      <w:numFmt w:val="bullet"/>
      <w:lvlText w:val="o"/>
      <w:lvlJc w:val="left"/>
      <w:pPr>
        <w:tabs>
          <w:tab w:val="num" w:pos="3570"/>
        </w:tabs>
        <w:ind w:left="3570" w:hanging="330"/>
      </w:pPr>
      <w:rPr>
        <w:rFonts w:ascii="Times New Roman" w:eastAsia="Times New Roman" w:hAnsi="Times New Roman" w:cs="Times New Roman"/>
        <w:position w:val="0"/>
      </w:rPr>
    </w:lvl>
    <w:lvl w:ilvl="5">
      <w:start w:val="1"/>
      <w:numFmt w:val="bullet"/>
      <w:lvlText w:val="▪"/>
      <w:lvlJc w:val="left"/>
      <w:pPr>
        <w:tabs>
          <w:tab w:val="num" w:pos="4290"/>
        </w:tabs>
        <w:ind w:left="4290" w:hanging="330"/>
      </w:pPr>
      <w:rPr>
        <w:rFonts w:ascii="Times New Roman" w:eastAsia="Times New Roman" w:hAnsi="Times New Roman" w:cs="Times New Roman"/>
        <w:position w:val="0"/>
      </w:rPr>
    </w:lvl>
    <w:lvl w:ilvl="6">
      <w:start w:val="1"/>
      <w:numFmt w:val="bullet"/>
      <w:lvlText w:val="•"/>
      <w:lvlJc w:val="left"/>
      <w:pPr>
        <w:tabs>
          <w:tab w:val="num" w:pos="5010"/>
        </w:tabs>
        <w:ind w:left="5010" w:hanging="330"/>
      </w:pPr>
      <w:rPr>
        <w:rFonts w:ascii="Times New Roman" w:eastAsia="Times New Roman" w:hAnsi="Times New Roman" w:cs="Times New Roman"/>
        <w:position w:val="0"/>
      </w:rPr>
    </w:lvl>
    <w:lvl w:ilvl="7">
      <w:start w:val="1"/>
      <w:numFmt w:val="bullet"/>
      <w:lvlText w:val="o"/>
      <w:lvlJc w:val="left"/>
      <w:pPr>
        <w:tabs>
          <w:tab w:val="num" w:pos="5730"/>
        </w:tabs>
        <w:ind w:left="5730" w:hanging="330"/>
      </w:pPr>
      <w:rPr>
        <w:rFonts w:ascii="Times New Roman" w:eastAsia="Times New Roman" w:hAnsi="Times New Roman" w:cs="Times New Roman"/>
        <w:position w:val="0"/>
      </w:rPr>
    </w:lvl>
    <w:lvl w:ilvl="8">
      <w:start w:val="1"/>
      <w:numFmt w:val="bullet"/>
      <w:lvlText w:val="▪"/>
      <w:lvlJc w:val="left"/>
      <w:pPr>
        <w:tabs>
          <w:tab w:val="num" w:pos="6450"/>
        </w:tabs>
        <w:ind w:left="6450" w:hanging="330"/>
      </w:pPr>
      <w:rPr>
        <w:rFonts w:ascii="Times New Roman" w:eastAsia="Times New Roman" w:hAnsi="Times New Roman" w:cs="Times New Roman"/>
        <w:position w:val="0"/>
      </w:rPr>
    </w:lvl>
  </w:abstractNum>
  <w:abstractNum w:abstractNumId="9">
    <w:nsid w:val="2DA72DD5"/>
    <w:multiLevelType w:val="hybridMultilevel"/>
    <w:tmpl w:val="058AE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6D45D3"/>
    <w:multiLevelType w:val="multilevel"/>
    <w:tmpl w:val="F4DE91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31F6623A"/>
    <w:multiLevelType w:val="multilevel"/>
    <w:tmpl w:val="33EC595C"/>
    <w:styleLink w:val="ImportedStyle8"/>
    <w:lvl w:ilvl="0">
      <w:numFmt w:val="bullet"/>
      <w:lvlText w:val="•"/>
      <w:lvlJc w:val="left"/>
      <w:pPr>
        <w:tabs>
          <w:tab w:val="num" w:pos="555"/>
        </w:tabs>
        <w:ind w:left="555" w:hanging="360"/>
      </w:pPr>
      <w:rPr>
        <w:position w:val="0"/>
        <w:sz w:val="22"/>
        <w:szCs w:val="22"/>
        <w:lang w:val="en-US"/>
      </w:rPr>
    </w:lvl>
    <w:lvl w:ilvl="1">
      <w:start w:val="1"/>
      <w:numFmt w:val="lowerLetter"/>
      <w:lvlText w:val="%2."/>
      <w:lvlJc w:val="left"/>
      <w:pPr>
        <w:tabs>
          <w:tab w:val="num" w:pos="1275"/>
        </w:tabs>
        <w:ind w:left="1275" w:hanging="360"/>
      </w:pPr>
      <w:rPr>
        <w:position w:val="0"/>
        <w:sz w:val="24"/>
        <w:szCs w:val="24"/>
        <w:lang w:val="en-US"/>
      </w:rPr>
    </w:lvl>
    <w:lvl w:ilvl="2">
      <w:start w:val="1"/>
      <w:numFmt w:val="lowerRoman"/>
      <w:lvlText w:val="%3."/>
      <w:lvlJc w:val="left"/>
      <w:pPr>
        <w:tabs>
          <w:tab w:val="num" w:pos="1995"/>
        </w:tabs>
        <w:ind w:left="1995" w:hanging="296"/>
      </w:pPr>
      <w:rPr>
        <w:position w:val="0"/>
        <w:sz w:val="24"/>
        <w:szCs w:val="24"/>
        <w:lang w:val="en-US"/>
      </w:rPr>
    </w:lvl>
    <w:lvl w:ilvl="3">
      <w:start w:val="1"/>
      <w:numFmt w:val="decimal"/>
      <w:lvlText w:val="%4."/>
      <w:lvlJc w:val="left"/>
      <w:pPr>
        <w:tabs>
          <w:tab w:val="num" w:pos="2715"/>
        </w:tabs>
        <w:ind w:left="2715" w:hanging="360"/>
      </w:pPr>
      <w:rPr>
        <w:position w:val="0"/>
        <w:sz w:val="24"/>
        <w:szCs w:val="24"/>
        <w:lang w:val="en-US"/>
      </w:rPr>
    </w:lvl>
    <w:lvl w:ilvl="4">
      <w:start w:val="1"/>
      <w:numFmt w:val="lowerLetter"/>
      <w:lvlText w:val="%5."/>
      <w:lvlJc w:val="left"/>
      <w:pPr>
        <w:tabs>
          <w:tab w:val="num" w:pos="3435"/>
        </w:tabs>
        <w:ind w:left="3435" w:hanging="360"/>
      </w:pPr>
      <w:rPr>
        <w:position w:val="0"/>
        <w:sz w:val="24"/>
        <w:szCs w:val="24"/>
        <w:lang w:val="en-US"/>
      </w:rPr>
    </w:lvl>
    <w:lvl w:ilvl="5">
      <w:start w:val="1"/>
      <w:numFmt w:val="lowerRoman"/>
      <w:lvlText w:val="%6."/>
      <w:lvlJc w:val="left"/>
      <w:pPr>
        <w:tabs>
          <w:tab w:val="num" w:pos="4155"/>
        </w:tabs>
        <w:ind w:left="4155" w:hanging="296"/>
      </w:pPr>
      <w:rPr>
        <w:position w:val="0"/>
        <w:sz w:val="24"/>
        <w:szCs w:val="24"/>
        <w:lang w:val="en-US"/>
      </w:rPr>
    </w:lvl>
    <w:lvl w:ilvl="6">
      <w:start w:val="1"/>
      <w:numFmt w:val="decimal"/>
      <w:lvlText w:val="%7."/>
      <w:lvlJc w:val="left"/>
      <w:pPr>
        <w:tabs>
          <w:tab w:val="num" w:pos="4875"/>
        </w:tabs>
        <w:ind w:left="4875" w:hanging="360"/>
      </w:pPr>
      <w:rPr>
        <w:position w:val="0"/>
        <w:sz w:val="24"/>
        <w:szCs w:val="24"/>
        <w:lang w:val="en-US"/>
      </w:rPr>
    </w:lvl>
    <w:lvl w:ilvl="7">
      <w:start w:val="1"/>
      <w:numFmt w:val="lowerLetter"/>
      <w:lvlText w:val="%8."/>
      <w:lvlJc w:val="left"/>
      <w:pPr>
        <w:tabs>
          <w:tab w:val="num" w:pos="5595"/>
        </w:tabs>
        <w:ind w:left="5595" w:hanging="360"/>
      </w:pPr>
      <w:rPr>
        <w:position w:val="0"/>
        <w:sz w:val="24"/>
        <w:szCs w:val="24"/>
        <w:lang w:val="en-US"/>
      </w:rPr>
    </w:lvl>
    <w:lvl w:ilvl="8">
      <w:start w:val="1"/>
      <w:numFmt w:val="lowerRoman"/>
      <w:lvlText w:val="%9."/>
      <w:lvlJc w:val="left"/>
      <w:pPr>
        <w:tabs>
          <w:tab w:val="num" w:pos="6315"/>
        </w:tabs>
        <w:ind w:left="6315" w:hanging="296"/>
      </w:pPr>
      <w:rPr>
        <w:position w:val="0"/>
        <w:sz w:val="24"/>
        <w:szCs w:val="24"/>
        <w:lang w:val="en-US"/>
      </w:rPr>
    </w:lvl>
  </w:abstractNum>
  <w:abstractNum w:abstractNumId="12">
    <w:nsid w:val="33C24A40"/>
    <w:multiLevelType w:val="hybridMultilevel"/>
    <w:tmpl w:val="7AA8EF3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3">
    <w:nsid w:val="39955618"/>
    <w:multiLevelType w:val="hybridMultilevel"/>
    <w:tmpl w:val="49689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3713EE"/>
    <w:multiLevelType w:val="multilevel"/>
    <w:tmpl w:val="65A4A392"/>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E7C4C74"/>
    <w:multiLevelType w:val="multilevel"/>
    <w:tmpl w:val="9A82D522"/>
    <w:lvl w:ilvl="0">
      <w:start w:val="1"/>
      <w:numFmt w:val="bullet"/>
      <w:lvlText w:val="•"/>
      <w:lvlJc w:val="left"/>
      <w:pPr>
        <w:tabs>
          <w:tab w:val="num" w:pos="555"/>
        </w:tabs>
        <w:ind w:left="555" w:hanging="360"/>
      </w:pPr>
      <w:rPr>
        <w:position w:val="0"/>
        <w:sz w:val="24"/>
        <w:szCs w:val="24"/>
        <w:lang w:val="en-US"/>
      </w:rPr>
    </w:lvl>
    <w:lvl w:ilvl="1">
      <w:start w:val="1"/>
      <w:numFmt w:val="lowerLetter"/>
      <w:lvlText w:val="%2."/>
      <w:lvlJc w:val="left"/>
      <w:pPr>
        <w:tabs>
          <w:tab w:val="num" w:pos="1275"/>
        </w:tabs>
        <w:ind w:left="1275" w:hanging="360"/>
      </w:pPr>
      <w:rPr>
        <w:position w:val="0"/>
        <w:sz w:val="24"/>
        <w:szCs w:val="24"/>
        <w:lang w:val="en-US"/>
      </w:rPr>
    </w:lvl>
    <w:lvl w:ilvl="2">
      <w:start w:val="1"/>
      <w:numFmt w:val="lowerRoman"/>
      <w:lvlText w:val="%3."/>
      <w:lvlJc w:val="left"/>
      <w:pPr>
        <w:tabs>
          <w:tab w:val="num" w:pos="1995"/>
        </w:tabs>
        <w:ind w:left="1995" w:hanging="296"/>
      </w:pPr>
      <w:rPr>
        <w:position w:val="0"/>
        <w:sz w:val="24"/>
        <w:szCs w:val="24"/>
        <w:lang w:val="en-US"/>
      </w:rPr>
    </w:lvl>
    <w:lvl w:ilvl="3">
      <w:start w:val="1"/>
      <w:numFmt w:val="decimal"/>
      <w:lvlText w:val="%4."/>
      <w:lvlJc w:val="left"/>
      <w:pPr>
        <w:tabs>
          <w:tab w:val="num" w:pos="2715"/>
        </w:tabs>
        <w:ind w:left="2715" w:hanging="360"/>
      </w:pPr>
      <w:rPr>
        <w:position w:val="0"/>
        <w:sz w:val="24"/>
        <w:szCs w:val="24"/>
        <w:lang w:val="en-US"/>
      </w:rPr>
    </w:lvl>
    <w:lvl w:ilvl="4">
      <w:start w:val="1"/>
      <w:numFmt w:val="lowerLetter"/>
      <w:lvlText w:val="%5."/>
      <w:lvlJc w:val="left"/>
      <w:pPr>
        <w:tabs>
          <w:tab w:val="num" w:pos="3435"/>
        </w:tabs>
        <w:ind w:left="3435" w:hanging="360"/>
      </w:pPr>
      <w:rPr>
        <w:position w:val="0"/>
        <w:sz w:val="24"/>
        <w:szCs w:val="24"/>
        <w:lang w:val="en-US"/>
      </w:rPr>
    </w:lvl>
    <w:lvl w:ilvl="5">
      <w:start w:val="1"/>
      <w:numFmt w:val="lowerRoman"/>
      <w:lvlText w:val="%6."/>
      <w:lvlJc w:val="left"/>
      <w:pPr>
        <w:tabs>
          <w:tab w:val="num" w:pos="4155"/>
        </w:tabs>
        <w:ind w:left="4155" w:hanging="296"/>
      </w:pPr>
      <w:rPr>
        <w:position w:val="0"/>
        <w:sz w:val="24"/>
        <w:szCs w:val="24"/>
        <w:lang w:val="en-US"/>
      </w:rPr>
    </w:lvl>
    <w:lvl w:ilvl="6">
      <w:start w:val="1"/>
      <w:numFmt w:val="decimal"/>
      <w:lvlText w:val="%7."/>
      <w:lvlJc w:val="left"/>
      <w:pPr>
        <w:tabs>
          <w:tab w:val="num" w:pos="4875"/>
        </w:tabs>
        <w:ind w:left="4875" w:hanging="360"/>
      </w:pPr>
      <w:rPr>
        <w:position w:val="0"/>
        <w:sz w:val="24"/>
        <w:szCs w:val="24"/>
        <w:lang w:val="en-US"/>
      </w:rPr>
    </w:lvl>
    <w:lvl w:ilvl="7">
      <w:start w:val="1"/>
      <w:numFmt w:val="lowerLetter"/>
      <w:lvlText w:val="%8."/>
      <w:lvlJc w:val="left"/>
      <w:pPr>
        <w:tabs>
          <w:tab w:val="num" w:pos="5595"/>
        </w:tabs>
        <w:ind w:left="5595" w:hanging="360"/>
      </w:pPr>
      <w:rPr>
        <w:position w:val="0"/>
        <w:sz w:val="24"/>
        <w:szCs w:val="24"/>
        <w:lang w:val="en-US"/>
      </w:rPr>
    </w:lvl>
    <w:lvl w:ilvl="8">
      <w:start w:val="1"/>
      <w:numFmt w:val="lowerRoman"/>
      <w:lvlText w:val="%9."/>
      <w:lvlJc w:val="left"/>
      <w:pPr>
        <w:tabs>
          <w:tab w:val="num" w:pos="6315"/>
        </w:tabs>
        <w:ind w:left="6315" w:hanging="296"/>
      </w:pPr>
      <w:rPr>
        <w:position w:val="0"/>
        <w:sz w:val="24"/>
        <w:szCs w:val="24"/>
        <w:lang w:val="en-US"/>
      </w:rPr>
    </w:lvl>
  </w:abstractNum>
  <w:abstractNum w:abstractNumId="16">
    <w:nsid w:val="41AC1492"/>
    <w:multiLevelType w:val="multilevel"/>
    <w:tmpl w:val="9EC0D368"/>
    <w:lvl w:ilvl="0">
      <w:start w:val="1"/>
      <w:numFmt w:val="bullet"/>
      <w:lvlText w:val=""/>
      <w:lvlJc w:val="left"/>
      <w:pPr>
        <w:tabs>
          <w:tab w:val="num" w:pos="360"/>
        </w:tabs>
        <w:ind w:left="360" w:hanging="360"/>
      </w:pPr>
      <w:rPr>
        <w:rFonts w:ascii="Symbol" w:hAnsi="Symbol" w:hint="default"/>
        <w:position w:val="0"/>
        <w:sz w:val="24"/>
        <w:szCs w:val="24"/>
      </w:rPr>
    </w:lvl>
    <w:lvl w:ilvl="1">
      <w:start w:val="1"/>
      <w:numFmt w:val="bullet"/>
      <w:lvlText w:val="o"/>
      <w:lvlJc w:val="left"/>
      <w:pPr>
        <w:tabs>
          <w:tab w:val="num" w:pos="1440"/>
        </w:tabs>
        <w:ind w:left="1440" w:hanging="360"/>
      </w:pPr>
      <w:rPr>
        <w:position w:val="0"/>
        <w:sz w:val="24"/>
        <w:szCs w:val="24"/>
      </w:rPr>
    </w:lvl>
    <w:lvl w:ilvl="2">
      <w:start w:val="1"/>
      <w:numFmt w:val="bullet"/>
      <w:lvlText w:val="▪"/>
      <w:lvlJc w:val="left"/>
      <w:pPr>
        <w:tabs>
          <w:tab w:val="num" w:pos="2160"/>
        </w:tabs>
        <w:ind w:left="2160" w:hanging="360"/>
      </w:pPr>
      <w:rPr>
        <w:position w:val="0"/>
        <w:sz w:val="24"/>
        <w:szCs w:val="24"/>
      </w:rPr>
    </w:lvl>
    <w:lvl w:ilvl="3">
      <w:start w:val="1"/>
      <w:numFmt w:val="bullet"/>
      <w:lvlText w:val="•"/>
      <w:lvlJc w:val="left"/>
      <w:pPr>
        <w:tabs>
          <w:tab w:val="num" w:pos="2880"/>
        </w:tabs>
        <w:ind w:left="2880" w:hanging="360"/>
      </w:pPr>
      <w:rPr>
        <w:position w:val="0"/>
        <w:sz w:val="24"/>
        <w:szCs w:val="24"/>
      </w:rPr>
    </w:lvl>
    <w:lvl w:ilvl="4">
      <w:start w:val="1"/>
      <w:numFmt w:val="bullet"/>
      <w:lvlText w:val="o"/>
      <w:lvlJc w:val="left"/>
      <w:pPr>
        <w:tabs>
          <w:tab w:val="num" w:pos="3600"/>
        </w:tabs>
        <w:ind w:left="3600" w:hanging="360"/>
      </w:pPr>
      <w:rPr>
        <w:position w:val="0"/>
        <w:sz w:val="24"/>
        <w:szCs w:val="24"/>
      </w:rPr>
    </w:lvl>
    <w:lvl w:ilvl="5">
      <w:start w:val="1"/>
      <w:numFmt w:val="bullet"/>
      <w:lvlText w:val="▪"/>
      <w:lvlJc w:val="left"/>
      <w:pPr>
        <w:tabs>
          <w:tab w:val="num" w:pos="4320"/>
        </w:tabs>
        <w:ind w:left="4320" w:hanging="360"/>
      </w:pPr>
      <w:rPr>
        <w:position w:val="0"/>
        <w:sz w:val="24"/>
        <w:szCs w:val="24"/>
      </w:rPr>
    </w:lvl>
    <w:lvl w:ilvl="6">
      <w:start w:val="1"/>
      <w:numFmt w:val="bullet"/>
      <w:lvlText w:val="•"/>
      <w:lvlJc w:val="left"/>
      <w:pPr>
        <w:tabs>
          <w:tab w:val="num" w:pos="5040"/>
        </w:tabs>
        <w:ind w:left="5040" w:hanging="360"/>
      </w:pPr>
      <w:rPr>
        <w:position w:val="0"/>
        <w:sz w:val="24"/>
        <w:szCs w:val="24"/>
      </w:rPr>
    </w:lvl>
    <w:lvl w:ilvl="7">
      <w:start w:val="1"/>
      <w:numFmt w:val="bullet"/>
      <w:lvlText w:val="o"/>
      <w:lvlJc w:val="left"/>
      <w:pPr>
        <w:tabs>
          <w:tab w:val="num" w:pos="5760"/>
        </w:tabs>
        <w:ind w:left="5760" w:hanging="360"/>
      </w:pPr>
      <w:rPr>
        <w:position w:val="0"/>
        <w:sz w:val="24"/>
        <w:szCs w:val="24"/>
      </w:rPr>
    </w:lvl>
    <w:lvl w:ilvl="8">
      <w:start w:val="1"/>
      <w:numFmt w:val="bullet"/>
      <w:lvlText w:val="▪"/>
      <w:lvlJc w:val="left"/>
      <w:pPr>
        <w:tabs>
          <w:tab w:val="num" w:pos="6480"/>
        </w:tabs>
        <w:ind w:left="6480" w:hanging="360"/>
      </w:pPr>
      <w:rPr>
        <w:position w:val="0"/>
        <w:sz w:val="24"/>
        <w:szCs w:val="24"/>
      </w:rPr>
    </w:lvl>
  </w:abstractNum>
  <w:abstractNum w:abstractNumId="17">
    <w:nsid w:val="42A457DF"/>
    <w:multiLevelType w:val="multilevel"/>
    <w:tmpl w:val="B0B80A76"/>
    <w:styleLink w:val="ImportedStyle3"/>
    <w:lvl w:ilvl="0">
      <w:numFmt w:val="bullet"/>
      <w:lvlText w:val="•"/>
      <w:lvlJc w:val="left"/>
      <w:pPr>
        <w:tabs>
          <w:tab w:val="num" w:pos="360"/>
        </w:tabs>
        <w:ind w:left="360" w:hanging="360"/>
      </w:pPr>
      <w:rPr>
        <w:position w:val="0"/>
        <w:sz w:val="22"/>
        <w:szCs w:val="22"/>
        <w:lang w:val="en-US"/>
      </w:rPr>
    </w:lvl>
    <w:lvl w:ilvl="1">
      <w:start w:val="1"/>
      <w:numFmt w:val="bullet"/>
      <w:lvlText w:val="o"/>
      <w:lvlJc w:val="left"/>
      <w:pPr>
        <w:tabs>
          <w:tab w:val="num" w:pos="1440"/>
        </w:tabs>
        <w:ind w:left="1440" w:hanging="360"/>
      </w:pPr>
      <w:rPr>
        <w:position w:val="0"/>
        <w:sz w:val="24"/>
        <w:szCs w:val="24"/>
        <w:lang w:val="en-US"/>
      </w:rPr>
    </w:lvl>
    <w:lvl w:ilvl="2">
      <w:start w:val="1"/>
      <w:numFmt w:val="bullet"/>
      <w:lvlText w:val="▪"/>
      <w:lvlJc w:val="left"/>
      <w:pPr>
        <w:tabs>
          <w:tab w:val="num" w:pos="2160"/>
        </w:tabs>
        <w:ind w:left="2160" w:hanging="360"/>
      </w:pPr>
      <w:rPr>
        <w:position w:val="0"/>
        <w:sz w:val="24"/>
        <w:szCs w:val="24"/>
        <w:lang w:val="en-US"/>
      </w:rPr>
    </w:lvl>
    <w:lvl w:ilvl="3">
      <w:start w:val="1"/>
      <w:numFmt w:val="bullet"/>
      <w:lvlText w:val="•"/>
      <w:lvlJc w:val="left"/>
      <w:pPr>
        <w:tabs>
          <w:tab w:val="num" w:pos="2880"/>
        </w:tabs>
        <w:ind w:left="2880" w:hanging="360"/>
      </w:pPr>
      <w:rPr>
        <w:position w:val="0"/>
        <w:sz w:val="24"/>
        <w:szCs w:val="24"/>
        <w:lang w:val="en-US"/>
      </w:rPr>
    </w:lvl>
    <w:lvl w:ilvl="4">
      <w:start w:val="1"/>
      <w:numFmt w:val="bullet"/>
      <w:lvlText w:val="o"/>
      <w:lvlJc w:val="left"/>
      <w:pPr>
        <w:tabs>
          <w:tab w:val="num" w:pos="3600"/>
        </w:tabs>
        <w:ind w:left="3600" w:hanging="360"/>
      </w:pPr>
      <w:rPr>
        <w:position w:val="0"/>
        <w:sz w:val="24"/>
        <w:szCs w:val="24"/>
        <w:lang w:val="en-US"/>
      </w:rPr>
    </w:lvl>
    <w:lvl w:ilvl="5">
      <w:start w:val="1"/>
      <w:numFmt w:val="bullet"/>
      <w:lvlText w:val="▪"/>
      <w:lvlJc w:val="left"/>
      <w:pPr>
        <w:tabs>
          <w:tab w:val="num" w:pos="4320"/>
        </w:tabs>
        <w:ind w:left="4320" w:hanging="360"/>
      </w:pPr>
      <w:rPr>
        <w:position w:val="0"/>
        <w:sz w:val="24"/>
        <w:szCs w:val="24"/>
        <w:lang w:val="en-US"/>
      </w:rPr>
    </w:lvl>
    <w:lvl w:ilvl="6">
      <w:start w:val="1"/>
      <w:numFmt w:val="bullet"/>
      <w:lvlText w:val="•"/>
      <w:lvlJc w:val="left"/>
      <w:pPr>
        <w:tabs>
          <w:tab w:val="num" w:pos="5040"/>
        </w:tabs>
        <w:ind w:left="5040" w:hanging="360"/>
      </w:pPr>
      <w:rPr>
        <w:position w:val="0"/>
        <w:sz w:val="24"/>
        <w:szCs w:val="24"/>
        <w:lang w:val="en-US"/>
      </w:rPr>
    </w:lvl>
    <w:lvl w:ilvl="7">
      <w:start w:val="1"/>
      <w:numFmt w:val="bullet"/>
      <w:lvlText w:val="o"/>
      <w:lvlJc w:val="left"/>
      <w:pPr>
        <w:tabs>
          <w:tab w:val="num" w:pos="5760"/>
        </w:tabs>
        <w:ind w:left="5760" w:hanging="360"/>
      </w:pPr>
      <w:rPr>
        <w:position w:val="0"/>
        <w:sz w:val="24"/>
        <w:szCs w:val="24"/>
        <w:lang w:val="en-US"/>
      </w:rPr>
    </w:lvl>
    <w:lvl w:ilvl="8">
      <w:start w:val="1"/>
      <w:numFmt w:val="bullet"/>
      <w:lvlText w:val="▪"/>
      <w:lvlJc w:val="left"/>
      <w:pPr>
        <w:tabs>
          <w:tab w:val="num" w:pos="6480"/>
        </w:tabs>
        <w:ind w:left="6480" w:hanging="360"/>
      </w:pPr>
      <w:rPr>
        <w:position w:val="0"/>
        <w:sz w:val="24"/>
        <w:szCs w:val="24"/>
        <w:lang w:val="en-US"/>
      </w:rPr>
    </w:lvl>
  </w:abstractNum>
  <w:abstractNum w:abstractNumId="18">
    <w:nsid w:val="4D60125D"/>
    <w:multiLevelType w:val="multilevel"/>
    <w:tmpl w:val="48902E02"/>
    <w:lvl w:ilvl="0">
      <w:start w:val="1"/>
      <w:numFmt w:val="bullet"/>
      <w:lvlText w:val="•"/>
      <w:lvlJc w:val="left"/>
      <w:pPr>
        <w:tabs>
          <w:tab w:val="num" w:pos="555"/>
        </w:tabs>
        <w:ind w:left="555" w:hanging="360"/>
      </w:pPr>
      <w:rPr>
        <w:position w:val="0"/>
        <w:sz w:val="24"/>
        <w:szCs w:val="24"/>
        <w:lang w:val="en-US"/>
      </w:rPr>
    </w:lvl>
    <w:lvl w:ilvl="1">
      <w:start w:val="1"/>
      <w:numFmt w:val="lowerLetter"/>
      <w:lvlText w:val="%2."/>
      <w:lvlJc w:val="left"/>
      <w:pPr>
        <w:tabs>
          <w:tab w:val="num" w:pos="1275"/>
        </w:tabs>
        <w:ind w:left="1275" w:hanging="360"/>
      </w:pPr>
      <w:rPr>
        <w:position w:val="0"/>
        <w:sz w:val="24"/>
        <w:szCs w:val="24"/>
        <w:lang w:val="en-US"/>
      </w:rPr>
    </w:lvl>
    <w:lvl w:ilvl="2">
      <w:start w:val="1"/>
      <w:numFmt w:val="lowerRoman"/>
      <w:lvlText w:val="%3."/>
      <w:lvlJc w:val="left"/>
      <w:pPr>
        <w:tabs>
          <w:tab w:val="num" w:pos="1995"/>
        </w:tabs>
        <w:ind w:left="1995" w:hanging="296"/>
      </w:pPr>
      <w:rPr>
        <w:position w:val="0"/>
        <w:sz w:val="24"/>
        <w:szCs w:val="24"/>
        <w:lang w:val="en-US"/>
      </w:rPr>
    </w:lvl>
    <w:lvl w:ilvl="3">
      <w:start w:val="1"/>
      <w:numFmt w:val="decimal"/>
      <w:lvlText w:val="%4."/>
      <w:lvlJc w:val="left"/>
      <w:pPr>
        <w:tabs>
          <w:tab w:val="num" w:pos="2715"/>
        </w:tabs>
        <w:ind w:left="2715" w:hanging="360"/>
      </w:pPr>
      <w:rPr>
        <w:position w:val="0"/>
        <w:sz w:val="24"/>
        <w:szCs w:val="24"/>
        <w:lang w:val="en-US"/>
      </w:rPr>
    </w:lvl>
    <w:lvl w:ilvl="4">
      <w:start w:val="1"/>
      <w:numFmt w:val="lowerLetter"/>
      <w:lvlText w:val="%5."/>
      <w:lvlJc w:val="left"/>
      <w:pPr>
        <w:tabs>
          <w:tab w:val="num" w:pos="3435"/>
        </w:tabs>
        <w:ind w:left="3435" w:hanging="360"/>
      </w:pPr>
      <w:rPr>
        <w:position w:val="0"/>
        <w:sz w:val="24"/>
        <w:szCs w:val="24"/>
        <w:lang w:val="en-US"/>
      </w:rPr>
    </w:lvl>
    <w:lvl w:ilvl="5">
      <w:start w:val="1"/>
      <w:numFmt w:val="lowerRoman"/>
      <w:lvlText w:val="%6."/>
      <w:lvlJc w:val="left"/>
      <w:pPr>
        <w:tabs>
          <w:tab w:val="num" w:pos="4155"/>
        </w:tabs>
        <w:ind w:left="4155" w:hanging="296"/>
      </w:pPr>
      <w:rPr>
        <w:position w:val="0"/>
        <w:sz w:val="24"/>
        <w:szCs w:val="24"/>
        <w:lang w:val="en-US"/>
      </w:rPr>
    </w:lvl>
    <w:lvl w:ilvl="6">
      <w:start w:val="1"/>
      <w:numFmt w:val="decimal"/>
      <w:lvlText w:val="%7."/>
      <w:lvlJc w:val="left"/>
      <w:pPr>
        <w:tabs>
          <w:tab w:val="num" w:pos="4875"/>
        </w:tabs>
        <w:ind w:left="4875" w:hanging="360"/>
      </w:pPr>
      <w:rPr>
        <w:position w:val="0"/>
        <w:sz w:val="24"/>
        <w:szCs w:val="24"/>
        <w:lang w:val="en-US"/>
      </w:rPr>
    </w:lvl>
    <w:lvl w:ilvl="7">
      <w:start w:val="1"/>
      <w:numFmt w:val="lowerLetter"/>
      <w:lvlText w:val="%8."/>
      <w:lvlJc w:val="left"/>
      <w:pPr>
        <w:tabs>
          <w:tab w:val="num" w:pos="5595"/>
        </w:tabs>
        <w:ind w:left="5595" w:hanging="360"/>
      </w:pPr>
      <w:rPr>
        <w:position w:val="0"/>
        <w:sz w:val="24"/>
        <w:szCs w:val="24"/>
        <w:lang w:val="en-US"/>
      </w:rPr>
    </w:lvl>
    <w:lvl w:ilvl="8">
      <w:start w:val="1"/>
      <w:numFmt w:val="lowerRoman"/>
      <w:lvlText w:val="%9."/>
      <w:lvlJc w:val="left"/>
      <w:pPr>
        <w:tabs>
          <w:tab w:val="num" w:pos="6315"/>
        </w:tabs>
        <w:ind w:left="6315" w:hanging="296"/>
      </w:pPr>
      <w:rPr>
        <w:position w:val="0"/>
        <w:sz w:val="24"/>
        <w:szCs w:val="24"/>
        <w:lang w:val="en-US"/>
      </w:rPr>
    </w:lvl>
  </w:abstractNum>
  <w:abstractNum w:abstractNumId="19">
    <w:nsid w:val="574F2EBE"/>
    <w:multiLevelType w:val="multilevel"/>
    <w:tmpl w:val="E5F0B768"/>
    <w:lvl w:ilvl="0">
      <w:start w:val="1"/>
      <w:numFmt w:val="bullet"/>
      <w:lvlText w:val="•"/>
      <w:lvlJc w:val="left"/>
      <w:pPr>
        <w:tabs>
          <w:tab w:val="num" w:pos="360"/>
        </w:tabs>
        <w:ind w:left="360" w:hanging="360"/>
      </w:pPr>
      <w:rPr>
        <w:position w:val="0"/>
        <w:sz w:val="24"/>
        <w:szCs w:val="24"/>
      </w:rPr>
    </w:lvl>
    <w:lvl w:ilvl="1">
      <w:start w:val="1"/>
      <w:numFmt w:val="bullet"/>
      <w:lvlText w:val="o"/>
      <w:lvlJc w:val="left"/>
      <w:pPr>
        <w:tabs>
          <w:tab w:val="num" w:pos="1440"/>
        </w:tabs>
        <w:ind w:left="1440" w:hanging="360"/>
      </w:pPr>
      <w:rPr>
        <w:position w:val="0"/>
        <w:sz w:val="24"/>
        <w:szCs w:val="24"/>
      </w:rPr>
    </w:lvl>
    <w:lvl w:ilvl="2">
      <w:start w:val="1"/>
      <w:numFmt w:val="bullet"/>
      <w:lvlText w:val="▪"/>
      <w:lvlJc w:val="left"/>
      <w:pPr>
        <w:tabs>
          <w:tab w:val="num" w:pos="2160"/>
        </w:tabs>
        <w:ind w:left="2160" w:hanging="360"/>
      </w:pPr>
      <w:rPr>
        <w:position w:val="0"/>
        <w:sz w:val="24"/>
        <w:szCs w:val="24"/>
      </w:rPr>
    </w:lvl>
    <w:lvl w:ilvl="3">
      <w:start w:val="1"/>
      <w:numFmt w:val="bullet"/>
      <w:lvlText w:val="•"/>
      <w:lvlJc w:val="left"/>
      <w:pPr>
        <w:tabs>
          <w:tab w:val="num" w:pos="2880"/>
        </w:tabs>
        <w:ind w:left="2880" w:hanging="360"/>
      </w:pPr>
      <w:rPr>
        <w:position w:val="0"/>
        <w:sz w:val="24"/>
        <w:szCs w:val="24"/>
      </w:rPr>
    </w:lvl>
    <w:lvl w:ilvl="4">
      <w:start w:val="1"/>
      <w:numFmt w:val="bullet"/>
      <w:lvlText w:val="o"/>
      <w:lvlJc w:val="left"/>
      <w:pPr>
        <w:tabs>
          <w:tab w:val="num" w:pos="3600"/>
        </w:tabs>
        <w:ind w:left="3600" w:hanging="360"/>
      </w:pPr>
      <w:rPr>
        <w:position w:val="0"/>
        <w:sz w:val="24"/>
        <w:szCs w:val="24"/>
      </w:rPr>
    </w:lvl>
    <w:lvl w:ilvl="5">
      <w:start w:val="1"/>
      <w:numFmt w:val="bullet"/>
      <w:lvlText w:val="▪"/>
      <w:lvlJc w:val="left"/>
      <w:pPr>
        <w:tabs>
          <w:tab w:val="num" w:pos="4320"/>
        </w:tabs>
        <w:ind w:left="4320" w:hanging="360"/>
      </w:pPr>
      <w:rPr>
        <w:position w:val="0"/>
        <w:sz w:val="24"/>
        <w:szCs w:val="24"/>
      </w:rPr>
    </w:lvl>
    <w:lvl w:ilvl="6">
      <w:start w:val="1"/>
      <w:numFmt w:val="bullet"/>
      <w:lvlText w:val="•"/>
      <w:lvlJc w:val="left"/>
      <w:pPr>
        <w:tabs>
          <w:tab w:val="num" w:pos="5040"/>
        </w:tabs>
        <w:ind w:left="5040" w:hanging="360"/>
      </w:pPr>
      <w:rPr>
        <w:position w:val="0"/>
        <w:sz w:val="24"/>
        <w:szCs w:val="24"/>
      </w:rPr>
    </w:lvl>
    <w:lvl w:ilvl="7">
      <w:start w:val="1"/>
      <w:numFmt w:val="bullet"/>
      <w:lvlText w:val="o"/>
      <w:lvlJc w:val="left"/>
      <w:pPr>
        <w:tabs>
          <w:tab w:val="num" w:pos="5760"/>
        </w:tabs>
        <w:ind w:left="5760" w:hanging="360"/>
      </w:pPr>
      <w:rPr>
        <w:position w:val="0"/>
        <w:sz w:val="24"/>
        <w:szCs w:val="24"/>
      </w:rPr>
    </w:lvl>
    <w:lvl w:ilvl="8">
      <w:start w:val="1"/>
      <w:numFmt w:val="bullet"/>
      <w:lvlText w:val="▪"/>
      <w:lvlJc w:val="left"/>
      <w:pPr>
        <w:tabs>
          <w:tab w:val="num" w:pos="6480"/>
        </w:tabs>
        <w:ind w:left="6480" w:hanging="360"/>
      </w:pPr>
      <w:rPr>
        <w:position w:val="0"/>
        <w:sz w:val="24"/>
        <w:szCs w:val="24"/>
      </w:rPr>
    </w:lvl>
  </w:abstractNum>
  <w:abstractNum w:abstractNumId="20">
    <w:nsid w:val="59F0044A"/>
    <w:multiLevelType w:val="multilevel"/>
    <w:tmpl w:val="64962778"/>
    <w:lvl w:ilvl="0">
      <w:start w:val="1"/>
      <w:numFmt w:val="bullet"/>
      <w:lvlText w:val="•"/>
      <w:lvlJc w:val="left"/>
      <w:pPr>
        <w:tabs>
          <w:tab w:val="num" w:pos="360"/>
        </w:tabs>
        <w:ind w:left="360" w:hanging="360"/>
      </w:pPr>
      <w:rPr>
        <w:position w:val="0"/>
        <w:sz w:val="24"/>
        <w:szCs w:val="24"/>
        <w:lang w:val="en-US"/>
      </w:rPr>
    </w:lvl>
    <w:lvl w:ilvl="1">
      <w:start w:val="1"/>
      <w:numFmt w:val="bullet"/>
      <w:lvlText w:val="o"/>
      <w:lvlJc w:val="left"/>
      <w:pPr>
        <w:tabs>
          <w:tab w:val="num" w:pos="1440"/>
        </w:tabs>
        <w:ind w:left="1440" w:hanging="360"/>
      </w:pPr>
      <w:rPr>
        <w:position w:val="0"/>
        <w:sz w:val="24"/>
        <w:szCs w:val="24"/>
        <w:lang w:val="en-US"/>
      </w:rPr>
    </w:lvl>
    <w:lvl w:ilvl="2">
      <w:start w:val="1"/>
      <w:numFmt w:val="bullet"/>
      <w:lvlText w:val="▪"/>
      <w:lvlJc w:val="left"/>
      <w:pPr>
        <w:tabs>
          <w:tab w:val="num" w:pos="2160"/>
        </w:tabs>
        <w:ind w:left="2160" w:hanging="360"/>
      </w:pPr>
      <w:rPr>
        <w:position w:val="0"/>
        <w:sz w:val="24"/>
        <w:szCs w:val="24"/>
        <w:lang w:val="en-US"/>
      </w:rPr>
    </w:lvl>
    <w:lvl w:ilvl="3">
      <w:start w:val="1"/>
      <w:numFmt w:val="bullet"/>
      <w:lvlText w:val="•"/>
      <w:lvlJc w:val="left"/>
      <w:pPr>
        <w:tabs>
          <w:tab w:val="num" w:pos="2880"/>
        </w:tabs>
        <w:ind w:left="2880" w:hanging="360"/>
      </w:pPr>
      <w:rPr>
        <w:position w:val="0"/>
        <w:sz w:val="24"/>
        <w:szCs w:val="24"/>
        <w:lang w:val="en-US"/>
      </w:rPr>
    </w:lvl>
    <w:lvl w:ilvl="4">
      <w:start w:val="1"/>
      <w:numFmt w:val="bullet"/>
      <w:lvlText w:val="o"/>
      <w:lvlJc w:val="left"/>
      <w:pPr>
        <w:tabs>
          <w:tab w:val="num" w:pos="3600"/>
        </w:tabs>
        <w:ind w:left="3600" w:hanging="360"/>
      </w:pPr>
      <w:rPr>
        <w:position w:val="0"/>
        <w:sz w:val="24"/>
        <w:szCs w:val="24"/>
        <w:lang w:val="en-US"/>
      </w:rPr>
    </w:lvl>
    <w:lvl w:ilvl="5">
      <w:start w:val="1"/>
      <w:numFmt w:val="bullet"/>
      <w:lvlText w:val="▪"/>
      <w:lvlJc w:val="left"/>
      <w:pPr>
        <w:tabs>
          <w:tab w:val="num" w:pos="4320"/>
        </w:tabs>
        <w:ind w:left="4320" w:hanging="360"/>
      </w:pPr>
      <w:rPr>
        <w:position w:val="0"/>
        <w:sz w:val="24"/>
        <w:szCs w:val="24"/>
        <w:lang w:val="en-US"/>
      </w:rPr>
    </w:lvl>
    <w:lvl w:ilvl="6">
      <w:start w:val="1"/>
      <w:numFmt w:val="bullet"/>
      <w:lvlText w:val="•"/>
      <w:lvlJc w:val="left"/>
      <w:pPr>
        <w:tabs>
          <w:tab w:val="num" w:pos="5040"/>
        </w:tabs>
        <w:ind w:left="5040" w:hanging="360"/>
      </w:pPr>
      <w:rPr>
        <w:position w:val="0"/>
        <w:sz w:val="24"/>
        <w:szCs w:val="24"/>
        <w:lang w:val="en-US"/>
      </w:rPr>
    </w:lvl>
    <w:lvl w:ilvl="7">
      <w:start w:val="1"/>
      <w:numFmt w:val="bullet"/>
      <w:lvlText w:val="o"/>
      <w:lvlJc w:val="left"/>
      <w:pPr>
        <w:tabs>
          <w:tab w:val="num" w:pos="5760"/>
        </w:tabs>
        <w:ind w:left="5760" w:hanging="360"/>
      </w:pPr>
      <w:rPr>
        <w:position w:val="0"/>
        <w:sz w:val="24"/>
        <w:szCs w:val="24"/>
        <w:lang w:val="en-US"/>
      </w:rPr>
    </w:lvl>
    <w:lvl w:ilvl="8">
      <w:start w:val="1"/>
      <w:numFmt w:val="bullet"/>
      <w:lvlText w:val="▪"/>
      <w:lvlJc w:val="left"/>
      <w:pPr>
        <w:tabs>
          <w:tab w:val="num" w:pos="6480"/>
        </w:tabs>
        <w:ind w:left="6480" w:hanging="360"/>
      </w:pPr>
      <w:rPr>
        <w:position w:val="0"/>
        <w:sz w:val="24"/>
        <w:szCs w:val="24"/>
        <w:lang w:val="en-US"/>
      </w:rPr>
    </w:lvl>
  </w:abstractNum>
  <w:abstractNum w:abstractNumId="21">
    <w:nsid w:val="5BCD7F10"/>
    <w:multiLevelType w:val="hybridMultilevel"/>
    <w:tmpl w:val="AE28BC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3AE4BC7"/>
    <w:multiLevelType w:val="multilevel"/>
    <w:tmpl w:val="B6C88AB0"/>
    <w:lvl w:ilvl="0">
      <w:start w:val="1"/>
      <w:numFmt w:val="bullet"/>
      <w:lvlText w:val="•"/>
      <w:lvlJc w:val="left"/>
      <w:pPr>
        <w:tabs>
          <w:tab w:val="num" w:pos="555"/>
        </w:tabs>
        <w:ind w:left="555" w:hanging="360"/>
      </w:pPr>
      <w:rPr>
        <w:position w:val="0"/>
        <w:sz w:val="24"/>
        <w:szCs w:val="24"/>
        <w:lang w:val="en-US"/>
      </w:rPr>
    </w:lvl>
    <w:lvl w:ilvl="1">
      <w:start w:val="1"/>
      <w:numFmt w:val="lowerLetter"/>
      <w:lvlText w:val="%2."/>
      <w:lvlJc w:val="left"/>
      <w:pPr>
        <w:tabs>
          <w:tab w:val="num" w:pos="1275"/>
        </w:tabs>
        <w:ind w:left="1275" w:hanging="360"/>
      </w:pPr>
      <w:rPr>
        <w:position w:val="0"/>
        <w:sz w:val="24"/>
        <w:szCs w:val="24"/>
        <w:lang w:val="en-US"/>
      </w:rPr>
    </w:lvl>
    <w:lvl w:ilvl="2">
      <w:start w:val="1"/>
      <w:numFmt w:val="lowerRoman"/>
      <w:lvlText w:val="%3."/>
      <w:lvlJc w:val="left"/>
      <w:pPr>
        <w:tabs>
          <w:tab w:val="num" w:pos="1995"/>
        </w:tabs>
        <w:ind w:left="1995" w:hanging="296"/>
      </w:pPr>
      <w:rPr>
        <w:position w:val="0"/>
        <w:sz w:val="24"/>
        <w:szCs w:val="24"/>
        <w:lang w:val="en-US"/>
      </w:rPr>
    </w:lvl>
    <w:lvl w:ilvl="3">
      <w:start w:val="1"/>
      <w:numFmt w:val="decimal"/>
      <w:lvlText w:val="%4."/>
      <w:lvlJc w:val="left"/>
      <w:pPr>
        <w:tabs>
          <w:tab w:val="num" w:pos="2715"/>
        </w:tabs>
        <w:ind w:left="2715" w:hanging="360"/>
      </w:pPr>
      <w:rPr>
        <w:position w:val="0"/>
        <w:sz w:val="24"/>
        <w:szCs w:val="24"/>
        <w:lang w:val="en-US"/>
      </w:rPr>
    </w:lvl>
    <w:lvl w:ilvl="4">
      <w:start w:val="1"/>
      <w:numFmt w:val="lowerLetter"/>
      <w:lvlText w:val="%5."/>
      <w:lvlJc w:val="left"/>
      <w:pPr>
        <w:tabs>
          <w:tab w:val="num" w:pos="3435"/>
        </w:tabs>
        <w:ind w:left="3435" w:hanging="360"/>
      </w:pPr>
      <w:rPr>
        <w:position w:val="0"/>
        <w:sz w:val="24"/>
        <w:szCs w:val="24"/>
        <w:lang w:val="en-US"/>
      </w:rPr>
    </w:lvl>
    <w:lvl w:ilvl="5">
      <w:start w:val="1"/>
      <w:numFmt w:val="lowerRoman"/>
      <w:lvlText w:val="%6."/>
      <w:lvlJc w:val="left"/>
      <w:pPr>
        <w:tabs>
          <w:tab w:val="num" w:pos="4155"/>
        </w:tabs>
        <w:ind w:left="4155" w:hanging="296"/>
      </w:pPr>
      <w:rPr>
        <w:position w:val="0"/>
        <w:sz w:val="24"/>
        <w:szCs w:val="24"/>
        <w:lang w:val="en-US"/>
      </w:rPr>
    </w:lvl>
    <w:lvl w:ilvl="6">
      <w:start w:val="1"/>
      <w:numFmt w:val="decimal"/>
      <w:lvlText w:val="%7."/>
      <w:lvlJc w:val="left"/>
      <w:pPr>
        <w:tabs>
          <w:tab w:val="num" w:pos="4875"/>
        </w:tabs>
        <w:ind w:left="4875" w:hanging="360"/>
      </w:pPr>
      <w:rPr>
        <w:position w:val="0"/>
        <w:sz w:val="24"/>
        <w:szCs w:val="24"/>
        <w:lang w:val="en-US"/>
      </w:rPr>
    </w:lvl>
    <w:lvl w:ilvl="7">
      <w:start w:val="1"/>
      <w:numFmt w:val="lowerLetter"/>
      <w:lvlText w:val="%8."/>
      <w:lvlJc w:val="left"/>
      <w:pPr>
        <w:tabs>
          <w:tab w:val="num" w:pos="5595"/>
        </w:tabs>
        <w:ind w:left="5595" w:hanging="360"/>
      </w:pPr>
      <w:rPr>
        <w:position w:val="0"/>
        <w:sz w:val="24"/>
        <w:szCs w:val="24"/>
        <w:lang w:val="en-US"/>
      </w:rPr>
    </w:lvl>
    <w:lvl w:ilvl="8">
      <w:start w:val="1"/>
      <w:numFmt w:val="lowerRoman"/>
      <w:lvlText w:val="%9."/>
      <w:lvlJc w:val="left"/>
      <w:pPr>
        <w:tabs>
          <w:tab w:val="num" w:pos="6315"/>
        </w:tabs>
        <w:ind w:left="6315" w:hanging="296"/>
      </w:pPr>
      <w:rPr>
        <w:position w:val="0"/>
        <w:sz w:val="24"/>
        <w:szCs w:val="24"/>
        <w:lang w:val="en-US"/>
      </w:rPr>
    </w:lvl>
  </w:abstractNum>
  <w:abstractNum w:abstractNumId="23">
    <w:nsid w:val="64973486"/>
    <w:multiLevelType w:val="multilevel"/>
    <w:tmpl w:val="737E2F38"/>
    <w:lvl w:ilvl="0">
      <w:start w:val="1"/>
      <w:numFmt w:val="bullet"/>
      <w:lvlText w:val="•"/>
      <w:lvlJc w:val="left"/>
      <w:pPr>
        <w:tabs>
          <w:tab w:val="num" w:pos="555"/>
        </w:tabs>
        <w:ind w:left="555" w:hanging="360"/>
      </w:pPr>
      <w:rPr>
        <w:position w:val="0"/>
        <w:sz w:val="24"/>
        <w:szCs w:val="24"/>
        <w:lang w:val="en-US"/>
      </w:rPr>
    </w:lvl>
    <w:lvl w:ilvl="1">
      <w:start w:val="1"/>
      <w:numFmt w:val="lowerLetter"/>
      <w:lvlText w:val="%2."/>
      <w:lvlJc w:val="left"/>
      <w:pPr>
        <w:tabs>
          <w:tab w:val="num" w:pos="1275"/>
        </w:tabs>
        <w:ind w:left="1275" w:hanging="360"/>
      </w:pPr>
      <w:rPr>
        <w:position w:val="0"/>
        <w:sz w:val="24"/>
        <w:szCs w:val="24"/>
        <w:lang w:val="en-US"/>
      </w:rPr>
    </w:lvl>
    <w:lvl w:ilvl="2">
      <w:start w:val="1"/>
      <w:numFmt w:val="lowerRoman"/>
      <w:lvlText w:val="%3."/>
      <w:lvlJc w:val="left"/>
      <w:pPr>
        <w:tabs>
          <w:tab w:val="num" w:pos="1995"/>
        </w:tabs>
        <w:ind w:left="1995" w:hanging="296"/>
      </w:pPr>
      <w:rPr>
        <w:position w:val="0"/>
        <w:sz w:val="24"/>
        <w:szCs w:val="24"/>
        <w:lang w:val="en-US"/>
      </w:rPr>
    </w:lvl>
    <w:lvl w:ilvl="3">
      <w:start w:val="1"/>
      <w:numFmt w:val="decimal"/>
      <w:lvlText w:val="%4."/>
      <w:lvlJc w:val="left"/>
      <w:pPr>
        <w:tabs>
          <w:tab w:val="num" w:pos="2715"/>
        </w:tabs>
        <w:ind w:left="2715" w:hanging="360"/>
      </w:pPr>
      <w:rPr>
        <w:position w:val="0"/>
        <w:sz w:val="24"/>
        <w:szCs w:val="24"/>
        <w:lang w:val="en-US"/>
      </w:rPr>
    </w:lvl>
    <w:lvl w:ilvl="4">
      <w:start w:val="1"/>
      <w:numFmt w:val="lowerLetter"/>
      <w:lvlText w:val="%5."/>
      <w:lvlJc w:val="left"/>
      <w:pPr>
        <w:tabs>
          <w:tab w:val="num" w:pos="3435"/>
        </w:tabs>
        <w:ind w:left="3435" w:hanging="360"/>
      </w:pPr>
      <w:rPr>
        <w:position w:val="0"/>
        <w:sz w:val="24"/>
        <w:szCs w:val="24"/>
        <w:lang w:val="en-US"/>
      </w:rPr>
    </w:lvl>
    <w:lvl w:ilvl="5">
      <w:start w:val="1"/>
      <w:numFmt w:val="lowerRoman"/>
      <w:lvlText w:val="%6."/>
      <w:lvlJc w:val="left"/>
      <w:pPr>
        <w:tabs>
          <w:tab w:val="num" w:pos="4155"/>
        </w:tabs>
        <w:ind w:left="4155" w:hanging="296"/>
      </w:pPr>
      <w:rPr>
        <w:position w:val="0"/>
        <w:sz w:val="24"/>
        <w:szCs w:val="24"/>
        <w:lang w:val="en-US"/>
      </w:rPr>
    </w:lvl>
    <w:lvl w:ilvl="6">
      <w:start w:val="1"/>
      <w:numFmt w:val="decimal"/>
      <w:lvlText w:val="%7."/>
      <w:lvlJc w:val="left"/>
      <w:pPr>
        <w:tabs>
          <w:tab w:val="num" w:pos="4875"/>
        </w:tabs>
        <w:ind w:left="4875" w:hanging="360"/>
      </w:pPr>
      <w:rPr>
        <w:position w:val="0"/>
        <w:sz w:val="24"/>
        <w:szCs w:val="24"/>
        <w:lang w:val="en-US"/>
      </w:rPr>
    </w:lvl>
    <w:lvl w:ilvl="7">
      <w:start w:val="1"/>
      <w:numFmt w:val="lowerLetter"/>
      <w:lvlText w:val="%8."/>
      <w:lvlJc w:val="left"/>
      <w:pPr>
        <w:tabs>
          <w:tab w:val="num" w:pos="5595"/>
        </w:tabs>
        <w:ind w:left="5595" w:hanging="360"/>
      </w:pPr>
      <w:rPr>
        <w:position w:val="0"/>
        <w:sz w:val="24"/>
        <w:szCs w:val="24"/>
        <w:lang w:val="en-US"/>
      </w:rPr>
    </w:lvl>
    <w:lvl w:ilvl="8">
      <w:start w:val="1"/>
      <w:numFmt w:val="lowerRoman"/>
      <w:lvlText w:val="%9."/>
      <w:lvlJc w:val="left"/>
      <w:pPr>
        <w:tabs>
          <w:tab w:val="num" w:pos="6315"/>
        </w:tabs>
        <w:ind w:left="6315" w:hanging="296"/>
      </w:pPr>
      <w:rPr>
        <w:position w:val="0"/>
        <w:sz w:val="24"/>
        <w:szCs w:val="24"/>
        <w:lang w:val="en-US"/>
      </w:rPr>
    </w:lvl>
  </w:abstractNum>
  <w:abstractNum w:abstractNumId="24">
    <w:nsid w:val="6AA455FB"/>
    <w:multiLevelType w:val="hybridMultilevel"/>
    <w:tmpl w:val="78CCC4FA"/>
    <w:lvl w:ilvl="0" w:tplc="1F289094">
      <w:start w:val="1"/>
      <w:numFmt w:val="bullet"/>
      <w:lvlText w:val="•"/>
      <w:lvlJc w:val="left"/>
      <w:pPr>
        <w:tabs>
          <w:tab w:val="num" w:pos="720"/>
        </w:tabs>
        <w:ind w:left="720" w:hanging="360"/>
      </w:pPr>
      <w:rPr>
        <w:rFonts w:ascii="Times New Roman" w:hAnsi="Times New Roman" w:hint="default"/>
      </w:rPr>
    </w:lvl>
    <w:lvl w:ilvl="1" w:tplc="1F1CEC44" w:tentative="1">
      <w:start w:val="1"/>
      <w:numFmt w:val="bullet"/>
      <w:lvlText w:val="•"/>
      <w:lvlJc w:val="left"/>
      <w:pPr>
        <w:tabs>
          <w:tab w:val="num" w:pos="1440"/>
        </w:tabs>
        <w:ind w:left="1440" w:hanging="360"/>
      </w:pPr>
      <w:rPr>
        <w:rFonts w:ascii="Times New Roman" w:hAnsi="Times New Roman" w:hint="default"/>
      </w:rPr>
    </w:lvl>
    <w:lvl w:ilvl="2" w:tplc="ABF8F020" w:tentative="1">
      <w:start w:val="1"/>
      <w:numFmt w:val="bullet"/>
      <w:lvlText w:val="•"/>
      <w:lvlJc w:val="left"/>
      <w:pPr>
        <w:tabs>
          <w:tab w:val="num" w:pos="2160"/>
        </w:tabs>
        <w:ind w:left="2160" w:hanging="360"/>
      </w:pPr>
      <w:rPr>
        <w:rFonts w:ascii="Times New Roman" w:hAnsi="Times New Roman" w:hint="default"/>
      </w:rPr>
    </w:lvl>
    <w:lvl w:ilvl="3" w:tplc="C3588F84" w:tentative="1">
      <w:start w:val="1"/>
      <w:numFmt w:val="bullet"/>
      <w:lvlText w:val="•"/>
      <w:lvlJc w:val="left"/>
      <w:pPr>
        <w:tabs>
          <w:tab w:val="num" w:pos="2880"/>
        </w:tabs>
        <w:ind w:left="2880" w:hanging="360"/>
      </w:pPr>
      <w:rPr>
        <w:rFonts w:ascii="Times New Roman" w:hAnsi="Times New Roman" w:hint="default"/>
      </w:rPr>
    </w:lvl>
    <w:lvl w:ilvl="4" w:tplc="6880791A" w:tentative="1">
      <w:start w:val="1"/>
      <w:numFmt w:val="bullet"/>
      <w:lvlText w:val="•"/>
      <w:lvlJc w:val="left"/>
      <w:pPr>
        <w:tabs>
          <w:tab w:val="num" w:pos="3600"/>
        </w:tabs>
        <w:ind w:left="3600" w:hanging="360"/>
      </w:pPr>
      <w:rPr>
        <w:rFonts w:ascii="Times New Roman" w:hAnsi="Times New Roman" w:hint="default"/>
      </w:rPr>
    </w:lvl>
    <w:lvl w:ilvl="5" w:tplc="725220EA" w:tentative="1">
      <w:start w:val="1"/>
      <w:numFmt w:val="bullet"/>
      <w:lvlText w:val="•"/>
      <w:lvlJc w:val="left"/>
      <w:pPr>
        <w:tabs>
          <w:tab w:val="num" w:pos="4320"/>
        </w:tabs>
        <w:ind w:left="4320" w:hanging="360"/>
      </w:pPr>
      <w:rPr>
        <w:rFonts w:ascii="Times New Roman" w:hAnsi="Times New Roman" w:hint="default"/>
      </w:rPr>
    </w:lvl>
    <w:lvl w:ilvl="6" w:tplc="073AA846" w:tentative="1">
      <w:start w:val="1"/>
      <w:numFmt w:val="bullet"/>
      <w:lvlText w:val="•"/>
      <w:lvlJc w:val="left"/>
      <w:pPr>
        <w:tabs>
          <w:tab w:val="num" w:pos="5040"/>
        </w:tabs>
        <w:ind w:left="5040" w:hanging="360"/>
      </w:pPr>
      <w:rPr>
        <w:rFonts w:ascii="Times New Roman" w:hAnsi="Times New Roman" w:hint="default"/>
      </w:rPr>
    </w:lvl>
    <w:lvl w:ilvl="7" w:tplc="2B14EE22" w:tentative="1">
      <w:start w:val="1"/>
      <w:numFmt w:val="bullet"/>
      <w:lvlText w:val="•"/>
      <w:lvlJc w:val="left"/>
      <w:pPr>
        <w:tabs>
          <w:tab w:val="num" w:pos="5760"/>
        </w:tabs>
        <w:ind w:left="5760" w:hanging="360"/>
      </w:pPr>
      <w:rPr>
        <w:rFonts w:ascii="Times New Roman" w:hAnsi="Times New Roman" w:hint="default"/>
      </w:rPr>
    </w:lvl>
    <w:lvl w:ilvl="8" w:tplc="42CE56E4" w:tentative="1">
      <w:start w:val="1"/>
      <w:numFmt w:val="bullet"/>
      <w:lvlText w:val="•"/>
      <w:lvlJc w:val="left"/>
      <w:pPr>
        <w:tabs>
          <w:tab w:val="num" w:pos="6480"/>
        </w:tabs>
        <w:ind w:left="6480" w:hanging="360"/>
      </w:pPr>
      <w:rPr>
        <w:rFonts w:ascii="Times New Roman" w:hAnsi="Times New Roman" w:hint="default"/>
      </w:rPr>
    </w:lvl>
  </w:abstractNum>
  <w:abstractNum w:abstractNumId="25">
    <w:nsid w:val="6B8A6186"/>
    <w:multiLevelType w:val="multilevel"/>
    <w:tmpl w:val="1D92DF1E"/>
    <w:lvl w:ilvl="0">
      <w:start w:val="1"/>
      <w:numFmt w:val="bullet"/>
      <w:lvlText w:val="•"/>
      <w:lvlJc w:val="left"/>
      <w:pPr>
        <w:tabs>
          <w:tab w:val="num" w:pos="555"/>
        </w:tabs>
        <w:ind w:left="555" w:hanging="360"/>
      </w:pPr>
      <w:rPr>
        <w:position w:val="0"/>
        <w:sz w:val="24"/>
        <w:szCs w:val="24"/>
        <w:lang w:val="en-US"/>
      </w:rPr>
    </w:lvl>
    <w:lvl w:ilvl="1">
      <w:start w:val="1"/>
      <w:numFmt w:val="lowerLetter"/>
      <w:lvlText w:val="%2."/>
      <w:lvlJc w:val="left"/>
      <w:pPr>
        <w:tabs>
          <w:tab w:val="num" w:pos="1275"/>
        </w:tabs>
        <w:ind w:left="1275" w:hanging="360"/>
      </w:pPr>
      <w:rPr>
        <w:position w:val="0"/>
        <w:sz w:val="24"/>
        <w:szCs w:val="24"/>
        <w:lang w:val="en-US"/>
      </w:rPr>
    </w:lvl>
    <w:lvl w:ilvl="2">
      <w:start w:val="1"/>
      <w:numFmt w:val="lowerRoman"/>
      <w:lvlText w:val="%3."/>
      <w:lvlJc w:val="left"/>
      <w:pPr>
        <w:tabs>
          <w:tab w:val="num" w:pos="1995"/>
        </w:tabs>
        <w:ind w:left="1995" w:hanging="296"/>
      </w:pPr>
      <w:rPr>
        <w:position w:val="0"/>
        <w:sz w:val="24"/>
        <w:szCs w:val="24"/>
        <w:lang w:val="en-US"/>
      </w:rPr>
    </w:lvl>
    <w:lvl w:ilvl="3">
      <w:start w:val="1"/>
      <w:numFmt w:val="decimal"/>
      <w:lvlText w:val="%4."/>
      <w:lvlJc w:val="left"/>
      <w:pPr>
        <w:tabs>
          <w:tab w:val="num" w:pos="2715"/>
        </w:tabs>
        <w:ind w:left="2715" w:hanging="360"/>
      </w:pPr>
      <w:rPr>
        <w:position w:val="0"/>
        <w:sz w:val="24"/>
        <w:szCs w:val="24"/>
        <w:lang w:val="en-US"/>
      </w:rPr>
    </w:lvl>
    <w:lvl w:ilvl="4">
      <w:start w:val="1"/>
      <w:numFmt w:val="lowerLetter"/>
      <w:lvlText w:val="%5."/>
      <w:lvlJc w:val="left"/>
      <w:pPr>
        <w:tabs>
          <w:tab w:val="num" w:pos="3435"/>
        </w:tabs>
        <w:ind w:left="3435" w:hanging="360"/>
      </w:pPr>
      <w:rPr>
        <w:position w:val="0"/>
        <w:sz w:val="24"/>
        <w:szCs w:val="24"/>
        <w:lang w:val="en-US"/>
      </w:rPr>
    </w:lvl>
    <w:lvl w:ilvl="5">
      <w:start w:val="1"/>
      <w:numFmt w:val="lowerRoman"/>
      <w:lvlText w:val="%6."/>
      <w:lvlJc w:val="left"/>
      <w:pPr>
        <w:tabs>
          <w:tab w:val="num" w:pos="4155"/>
        </w:tabs>
        <w:ind w:left="4155" w:hanging="296"/>
      </w:pPr>
      <w:rPr>
        <w:position w:val="0"/>
        <w:sz w:val="24"/>
        <w:szCs w:val="24"/>
        <w:lang w:val="en-US"/>
      </w:rPr>
    </w:lvl>
    <w:lvl w:ilvl="6">
      <w:start w:val="1"/>
      <w:numFmt w:val="decimal"/>
      <w:lvlText w:val="%7."/>
      <w:lvlJc w:val="left"/>
      <w:pPr>
        <w:tabs>
          <w:tab w:val="num" w:pos="4875"/>
        </w:tabs>
        <w:ind w:left="4875" w:hanging="360"/>
      </w:pPr>
      <w:rPr>
        <w:position w:val="0"/>
        <w:sz w:val="24"/>
        <w:szCs w:val="24"/>
        <w:lang w:val="en-US"/>
      </w:rPr>
    </w:lvl>
    <w:lvl w:ilvl="7">
      <w:start w:val="1"/>
      <w:numFmt w:val="lowerLetter"/>
      <w:lvlText w:val="%8."/>
      <w:lvlJc w:val="left"/>
      <w:pPr>
        <w:tabs>
          <w:tab w:val="num" w:pos="5595"/>
        </w:tabs>
        <w:ind w:left="5595" w:hanging="360"/>
      </w:pPr>
      <w:rPr>
        <w:position w:val="0"/>
        <w:sz w:val="24"/>
        <w:szCs w:val="24"/>
        <w:lang w:val="en-US"/>
      </w:rPr>
    </w:lvl>
    <w:lvl w:ilvl="8">
      <w:start w:val="1"/>
      <w:numFmt w:val="lowerRoman"/>
      <w:lvlText w:val="%9."/>
      <w:lvlJc w:val="left"/>
      <w:pPr>
        <w:tabs>
          <w:tab w:val="num" w:pos="6315"/>
        </w:tabs>
        <w:ind w:left="6315" w:hanging="296"/>
      </w:pPr>
      <w:rPr>
        <w:position w:val="0"/>
        <w:sz w:val="24"/>
        <w:szCs w:val="24"/>
        <w:lang w:val="en-US"/>
      </w:rPr>
    </w:lvl>
  </w:abstractNum>
  <w:abstractNum w:abstractNumId="26">
    <w:nsid w:val="6FB23D13"/>
    <w:multiLevelType w:val="multilevel"/>
    <w:tmpl w:val="93468D72"/>
    <w:styleLink w:val="ImportedStyle2"/>
    <w:lvl w:ilvl="0">
      <w:numFmt w:val="bullet"/>
      <w:lvlText w:val="•"/>
      <w:lvlJc w:val="left"/>
      <w:pPr>
        <w:tabs>
          <w:tab w:val="num" w:pos="360"/>
        </w:tabs>
        <w:ind w:left="360" w:hanging="360"/>
      </w:pPr>
      <w:rPr>
        <w:position w:val="0"/>
        <w:sz w:val="22"/>
        <w:szCs w:val="22"/>
        <w:lang w:val="en-US"/>
      </w:rPr>
    </w:lvl>
    <w:lvl w:ilvl="1">
      <w:start w:val="1"/>
      <w:numFmt w:val="bullet"/>
      <w:lvlText w:val="o"/>
      <w:lvlJc w:val="left"/>
      <w:pPr>
        <w:tabs>
          <w:tab w:val="num" w:pos="1440"/>
        </w:tabs>
        <w:ind w:left="1440" w:hanging="360"/>
      </w:pPr>
      <w:rPr>
        <w:position w:val="0"/>
        <w:sz w:val="24"/>
        <w:szCs w:val="24"/>
        <w:lang w:val="en-US"/>
      </w:rPr>
    </w:lvl>
    <w:lvl w:ilvl="2">
      <w:start w:val="1"/>
      <w:numFmt w:val="bullet"/>
      <w:lvlText w:val="▪"/>
      <w:lvlJc w:val="left"/>
      <w:pPr>
        <w:tabs>
          <w:tab w:val="num" w:pos="2160"/>
        </w:tabs>
        <w:ind w:left="2160" w:hanging="360"/>
      </w:pPr>
      <w:rPr>
        <w:position w:val="0"/>
        <w:sz w:val="24"/>
        <w:szCs w:val="24"/>
        <w:lang w:val="en-US"/>
      </w:rPr>
    </w:lvl>
    <w:lvl w:ilvl="3">
      <w:start w:val="1"/>
      <w:numFmt w:val="bullet"/>
      <w:lvlText w:val="•"/>
      <w:lvlJc w:val="left"/>
      <w:pPr>
        <w:tabs>
          <w:tab w:val="num" w:pos="2880"/>
        </w:tabs>
        <w:ind w:left="2880" w:hanging="360"/>
      </w:pPr>
      <w:rPr>
        <w:position w:val="0"/>
        <w:sz w:val="24"/>
        <w:szCs w:val="24"/>
        <w:lang w:val="en-US"/>
      </w:rPr>
    </w:lvl>
    <w:lvl w:ilvl="4">
      <w:start w:val="1"/>
      <w:numFmt w:val="bullet"/>
      <w:lvlText w:val="o"/>
      <w:lvlJc w:val="left"/>
      <w:pPr>
        <w:tabs>
          <w:tab w:val="num" w:pos="3600"/>
        </w:tabs>
        <w:ind w:left="3600" w:hanging="360"/>
      </w:pPr>
      <w:rPr>
        <w:position w:val="0"/>
        <w:sz w:val="24"/>
        <w:szCs w:val="24"/>
        <w:lang w:val="en-US"/>
      </w:rPr>
    </w:lvl>
    <w:lvl w:ilvl="5">
      <w:start w:val="1"/>
      <w:numFmt w:val="bullet"/>
      <w:lvlText w:val="▪"/>
      <w:lvlJc w:val="left"/>
      <w:pPr>
        <w:tabs>
          <w:tab w:val="num" w:pos="4320"/>
        </w:tabs>
        <w:ind w:left="4320" w:hanging="360"/>
      </w:pPr>
      <w:rPr>
        <w:position w:val="0"/>
        <w:sz w:val="24"/>
        <w:szCs w:val="24"/>
        <w:lang w:val="en-US"/>
      </w:rPr>
    </w:lvl>
    <w:lvl w:ilvl="6">
      <w:start w:val="1"/>
      <w:numFmt w:val="bullet"/>
      <w:lvlText w:val="•"/>
      <w:lvlJc w:val="left"/>
      <w:pPr>
        <w:tabs>
          <w:tab w:val="num" w:pos="5040"/>
        </w:tabs>
        <w:ind w:left="5040" w:hanging="360"/>
      </w:pPr>
      <w:rPr>
        <w:position w:val="0"/>
        <w:sz w:val="24"/>
        <w:szCs w:val="24"/>
        <w:lang w:val="en-US"/>
      </w:rPr>
    </w:lvl>
    <w:lvl w:ilvl="7">
      <w:start w:val="1"/>
      <w:numFmt w:val="bullet"/>
      <w:lvlText w:val="o"/>
      <w:lvlJc w:val="left"/>
      <w:pPr>
        <w:tabs>
          <w:tab w:val="num" w:pos="5760"/>
        </w:tabs>
        <w:ind w:left="5760" w:hanging="360"/>
      </w:pPr>
      <w:rPr>
        <w:position w:val="0"/>
        <w:sz w:val="24"/>
        <w:szCs w:val="24"/>
        <w:lang w:val="en-US"/>
      </w:rPr>
    </w:lvl>
    <w:lvl w:ilvl="8">
      <w:start w:val="1"/>
      <w:numFmt w:val="bullet"/>
      <w:lvlText w:val="▪"/>
      <w:lvlJc w:val="left"/>
      <w:pPr>
        <w:tabs>
          <w:tab w:val="num" w:pos="6480"/>
        </w:tabs>
        <w:ind w:left="6480" w:hanging="360"/>
      </w:pPr>
      <w:rPr>
        <w:position w:val="0"/>
        <w:sz w:val="24"/>
        <w:szCs w:val="24"/>
        <w:lang w:val="en-US"/>
      </w:rPr>
    </w:lvl>
  </w:abstractNum>
  <w:abstractNum w:abstractNumId="27">
    <w:nsid w:val="777B0B6B"/>
    <w:multiLevelType w:val="hybridMultilevel"/>
    <w:tmpl w:val="52281BEC"/>
    <w:lvl w:ilvl="0" w:tplc="04090001">
      <w:start w:val="1"/>
      <w:numFmt w:val="bullet"/>
      <w:lvlText w:val=""/>
      <w:lvlJc w:val="left"/>
      <w:pPr>
        <w:ind w:left="398" w:hanging="360"/>
      </w:pPr>
      <w:rPr>
        <w:rFonts w:ascii="Symbol" w:hAnsi="Symbol" w:hint="default"/>
      </w:rPr>
    </w:lvl>
    <w:lvl w:ilvl="1" w:tplc="04090003" w:tentative="1">
      <w:start w:val="1"/>
      <w:numFmt w:val="bullet"/>
      <w:lvlText w:val="o"/>
      <w:lvlJc w:val="left"/>
      <w:pPr>
        <w:ind w:left="1118" w:hanging="360"/>
      </w:pPr>
      <w:rPr>
        <w:rFonts w:ascii="Courier New" w:hAnsi="Courier New" w:cs="Courier New" w:hint="default"/>
      </w:rPr>
    </w:lvl>
    <w:lvl w:ilvl="2" w:tplc="04090005" w:tentative="1">
      <w:start w:val="1"/>
      <w:numFmt w:val="bullet"/>
      <w:lvlText w:val=""/>
      <w:lvlJc w:val="left"/>
      <w:pPr>
        <w:ind w:left="1838" w:hanging="360"/>
      </w:pPr>
      <w:rPr>
        <w:rFonts w:ascii="Wingdings" w:hAnsi="Wingdings" w:hint="default"/>
      </w:rPr>
    </w:lvl>
    <w:lvl w:ilvl="3" w:tplc="04090001" w:tentative="1">
      <w:start w:val="1"/>
      <w:numFmt w:val="bullet"/>
      <w:lvlText w:val=""/>
      <w:lvlJc w:val="left"/>
      <w:pPr>
        <w:ind w:left="2558" w:hanging="360"/>
      </w:pPr>
      <w:rPr>
        <w:rFonts w:ascii="Symbol" w:hAnsi="Symbol" w:hint="default"/>
      </w:rPr>
    </w:lvl>
    <w:lvl w:ilvl="4" w:tplc="04090003" w:tentative="1">
      <w:start w:val="1"/>
      <w:numFmt w:val="bullet"/>
      <w:lvlText w:val="o"/>
      <w:lvlJc w:val="left"/>
      <w:pPr>
        <w:ind w:left="3278" w:hanging="360"/>
      </w:pPr>
      <w:rPr>
        <w:rFonts w:ascii="Courier New" w:hAnsi="Courier New" w:cs="Courier New" w:hint="default"/>
      </w:rPr>
    </w:lvl>
    <w:lvl w:ilvl="5" w:tplc="04090005" w:tentative="1">
      <w:start w:val="1"/>
      <w:numFmt w:val="bullet"/>
      <w:lvlText w:val=""/>
      <w:lvlJc w:val="left"/>
      <w:pPr>
        <w:ind w:left="3998" w:hanging="360"/>
      </w:pPr>
      <w:rPr>
        <w:rFonts w:ascii="Wingdings" w:hAnsi="Wingdings" w:hint="default"/>
      </w:rPr>
    </w:lvl>
    <w:lvl w:ilvl="6" w:tplc="04090001" w:tentative="1">
      <w:start w:val="1"/>
      <w:numFmt w:val="bullet"/>
      <w:lvlText w:val=""/>
      <w:lvlJc w:val="left"/>
      <w:pPr>
        <w:ind w:left="4718" w:hanging="360"/>
      </w:pPr>
      <w:rPr>
        <w:rFonts w:ascii="Symbol" w:hAnsi="Symbol" w:hint="default"/>
      </w:rPr>
    </w:lvl>
    <w:lvl w:ilvl="7" w:tplc="04090003" w:tentative="1">
      <w:start w:val="1"/>
      <w:numFmt w:val="bullet"/>
      <w:lvlText w:val="o"/>
      <w:lvlJc w:val="left"/>
      <w:pPr>
        <w:ind w:left="5438" w:hanging="360"/>
      </w:pPr>
      <w:rPr>
        <w:rFonts w:ascii="Courier New" w:hAnsi="Courier New" w:cs="Courier New" w:hint="default"/>
      </w:rPr>
    </w:lvl>
    <w:lvl w:ilvl="8" w:tplc="04090005" w:tentative="1">
      <w:start w:val="1"/>
      <w:numFmt w:val="bullet"/>
      <w:lvlText w:val=""/>
      <w:lvlJc w:val="left"/>
      <w:pPr>
        <w:ind w:left="6158" w:hanging="360"/>
      </w:pPr>
      <w:rPr>
        <w:rFonts w:ascii="Wingdings" w:hAnsi="Wingdings" w:hint="default"/>
      </w:rPr>
    </w:lvl>
  </w:abstractNum>
  <w:abstractNum w:abstractNumId="28">
    <w:nsid w:val="7970172E"/>
    <w:multiLevelType w:val="hybridMultilevel"/>
    <w:tmpl w:val="DDB4D75E"/>
    <w:lvl w:ilvl="0" w:tplc="AEF21A7C">
      <w:start w:val="1"/>
      <w:numFmt w:val="bullet"/>
      <w:lvlText w:val="•"/>
      <w:lvlJc w:val="left"/>
      <w:pPr>
        <w:tabs>
          <w:tab w:val="num" w:pos="720"/>
        </w:tabs>
        <w:ind w:left="720" w:hanging="360"/>
      </w:pPr>
      <w:rPr>
        <w:rFonts w:ascii="Arial" w:hAnsi="Arial" w:hint="default"/>
      </w:rPr>
    </w:lvl>
    <w:lvl w:ilvl="1" w:tplc="77601C00" w:tentative="1">
      <w:start w:val="1"/>
      <w:numFmt w:val="bullet"/>
      <w:lvlText w:val="•"/>
      <w:lvlJc w:val="left"/>
      <w:pPr>
        <w:tabs>
          <w:tab w:val="num" w:pos="1440"/>
        </w:tabs>
        <w:ind w:left="1440" w:hanging="360"/>
      </w:pPr>
      <w:rPr>
        <w:rFonts w:ascii="Arial" w:hAnsi="Arial" w:hint="default"/>
      </w:rPr>
    </w:lvl>
    <w:lvl w:ilvl="2" w:tplc="7728DDF8" w:tentative="1">
      <w:start w:val="1"/>
      <w:numFmt w:val="bullet"/>
      <w:lvlText w:val="•"/>
      <w:lvlJc w:val="left"/>
      <w:pPr>
        <w:tabs>
          <w:tab w:val="num" w:pos="2160"/>
        </w:tabs>
        <w:ind w:left="2160" w:hanging="360"/>
      </w:pPr>
      <w:rPr>
        <w:rFonts w:ascii="Arial" w:hAnsi="Arial" w:hint="default"/>
      </w:rPr>
    </w:lvl>
    <w:lvl w:ilvl="3" w:tplc="184EE20E" w:tentative="1">
      <w:start w:val="1"/>
      <w:numFmt w:val="bullet"/>
      <w:lvlText w:val="•"/>
      <w:lvlJc w:val="left"/>
      <w:pPr>
        <w:tabs>
          <w:tab w:val="num" w:pos="2880"/>
        </w:tabs>
        <w:ind w:left="2880" w:hanging="360"/>
      </w:pPr>
      <w:rPr>
        <w:rFonts w:ascii="Arial" w:hAnsi="Arial" w:hint="default"/>
      </w:rPr>
    </w:lvl>
    <w:lvl w:ilvl="4" w:tplc="E4D6A922" w:tentative="1">
      <w:start w:val="1"/>
      <w:numFmt w:val="bullet"/>
      <w:lvlText w:val="•"/>
      <w:lvlJc w:val="left"/>
      <w:pPr>
        <w:tabs>
          <w:tab w:val="num" w:pos="3600"/>
        </w:tabs>
        <w:ind w:left="3600" w:hanging="360"/>
      </w:pPr>
      <w:rPr>
        <w:rFonts w:ascii="Arial" w:hAnsi="Arial" w:hint="default"/>
      </w:rPr>
    </w:lvl>
    <w:lvl w:ilvl="5" w:tplc="11FA1C02" w:tentative="1">
      <w:start w:val="1"/>
      <w:numFmt w:val="bullet"/>
      <w:lvlText w:val="•"/>
      <w:lvlJc w:val="left"/>
      <w:pPr>
        <w:tabs>
          <w:tab w:val="num" w:pos="4320"/>
        </w:tabs>
        <w:ind w:left="4320" w:hanging="360"/>
      </w:pPr>
      <w:rPr>
        <w:rFonts w:ascii="Arial" w:hAnsi="Arial" w:hint="default"/>
      </w:rPr>
    </w:lvl>
    <w:lvl w:ilvl="6" w:tplc="ECE0DB84" w:tentative="1">
      <w:start w:val="1"/>
      <w:numFmt w:val="bullet"/>
      <w:lvlText w:val="•"/>
      <w:lvlJc w:val="left"/>
      <w:pPr>
        <w:tabs>
          <w:tab w:val="num" w:pos="5040"/>
        </w:tabs>
        <w:ind w:left="5040" w:hanging="360"/>
      </w:pPr>
      <w:rPr>
        <w:rFonts w:ascii="Arial" w:hAnsi="Arial" w:hint="default"/>
      </w:rPr>
    </w:lvl>
    <w:lvl w:ilvl="7" w:tplc="DBE0C782" w:tentative="1">
      <w:start w:val="1"/>
      <w:numFmt w:val="bullet"/>
      <w:lvlText w:val="•"/>
      <w:lvlJc w:val="left"/>
      <w:pPr>
        <w:tabs>
          <w:tab w:val="num" w:pos="5760"/>
        </w:tabs>
        <w:ind w:left="5760" w:hanging="360"/>
      </w:pPr>
      <w:rPr>
        <w:rFonts w:ascii="Arial" w:hAnsi="Arial" w:hint="default"/>
      </w:rPr>
    </w:lvl>
    <w:lvl w:ilvl="8" w:tplc="6FAEDB10" w:tentative="1">
      <w:start w:val="1"/>
      <w:numFmt w:val="bullet"/>
      <w:lvlText w:val="•"/>
      <w:lvlJc w:val="left"/>
      <w:pPr>
        <w:tabs>
          <w:tab w:val="num" w:pos="6480"/>
        </w:tabs>
        <w:ind w:left="6480" w:hanging="360"/>
      </w:pPr>
      <w:rPr>
        <w:rFonts w:ascii="Arial" w:hAnsi="Arial" w:hint="default"/>
      </w:rPr>
    </w:lvl>
  </w:abstractNum>
  <w:abstractNum w:abstractNumId="29">
    <w:nsid w:val="7EA85040"/>
    <w:multiLevelType w:val="hybridMultilevel"/>
    <w:tmpl w:val="C56411C2"/>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num w:numId="1">
    <w:abstractNumId w:val="19"/>
  </w:num>
  <w:num w:numId="2">
    <w:abstractNumId w:val="16"/>
  </w:num>
  <w:num w:numId="3">
    <w:abstractNumId w:val="8"/>
  </w:num>
  <w:num w:numId="4">
    <w:abstractNumId w:val="7"/>
  </w:num>
  <w:num w:numId="5">
    <w:abstractNumId w:val="2"/>
  </w:num>
  <w:num w:numId="6">
    <w:abstractNumId w:val="26"/>
  </w:num>
  <w:num w:numId="7">
    <w:abstractNumId w:val="20"/>
  </w:num>
  <w:num w:numId="8">
    <w:abstractNumId w:val="17"/>
  </w:num>
  <w:num w:numId="9">
    <w:abstractNumId w:val="22"/>
  </w:num>
  <w:num w:numId="10">
    <w:abstractNumId w:val="1"/>
  </w:num>
  <w:num w:numId="11">
    <w:abstractNumId w:val="23"/>
  </w:num>
  <w:num w:numId="12">
    <w:abstractNumId w:val="0"/>
  </w:num>
  <w:num w:numId="13">
    <w:abstractNumId w:val="25"/>
  </w:num>
  <w:num w:numId="14">
    <w:abstractNumId w:val="4"/>
  </w:num>
  <w:num w:numId="15">
    <w:abstractNumId w:val="15"/>
  </w:num>
  <w:num w:numId="16">
    <w:abstractNumId w:val="3"/>
  </w:num>
  <w:num w:numId="17">
    <w:abstractNumId w:val="18"/>
  </w:num>
  <w:num w:numId="18">
    <w:abstractNumId w:val="11"/>
  </w:num>
  <w:num w:numId="19">
    <w:abstractNumId w:val="5"/>
  </w:num>
  <w:num w:numId="20">
    <w:abstractNumId w:val="29"/>
  </w:num>
  <w:num w:numId="21">
    <w:abstractNumId w:val="13"/>
  </w:num>
  <w:num w:numId="22">
    <w:abstractNumId w:val="6"/>
  </w:num>
  <w:num w:numId="23">
    <w:abstractNumId w:val="24"/>
  </w:num>
  <w:num w:numId="24">
    <w:abstractNumId w:val="28"/>
  </w:num>
  <w:num w:numId="25">
    <w:abstractNumId w:val="14"/>
  </w:num>
  <w:num w:numId="26">
    <w:abstractNumId w:val="27"/>
  </w:num>
  <w:num w:numId="27">
    <w:abstractNumId w:val="9"/>
  </w:num>
  <w:num w:numId="28">
    <w:abstractNumId w:val="10"/>
  </w:num>
  <w:num w:numId="29">
    <w:abstractNumId w:val="12"/>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6385"/>
  </w:hdrShapeDefaults>
  <w:footnotePr>
    <w:footnote w:id="-1"/>
    <w:footnote w:id="0"/>
    <w:footnote w:id="1"/>
  </w:footnotePr>
  <w:endnotePr>
    <w:endnote w:id="-1"/>
    <w:endnote w:id="0"/>
  </w:endnotePr>
  <w:compat>
    <w:useFELayout/>
    <w:compatSetting w:name="compatibilityMode" w:uri="http://schemas.microsoft.com/office/word" w:val="14"/>
  </w:compat>
  <w:rsids>
    <w:rsidRoot w:val="00AF273B"/>
    <w:rsid w:val="000041CD"/>
    <w:rsid w:val="00023A3B"/>
    <w:rsid w:val="000375FE"/>
    <w:rsid w:val="000843F4"/>
    <w:rsid w:val="00086C16"/>
    <w:rsid w:val="00095E8A"/>
    <w:rsid w:val="000A0415"/>
    <w:rsid w:val="000B12E4"/>
    <w:rsid w:val="000C6D9A"/>
    <w:rsid w:val="000E1BE8"/>
    <w:rsid w:val="000F4399"/>
    <w:rsid w:val="000F48C7"/>
    <w:rsid w:val="00100BD4"/>
    <w:rsid w:val="0012429E"/>
    <w:rsid w:val="00147B37"/>
    <w:rsid w:val="001531C7"/>
    <w:rsid w:val="00165283"/>
    <w:rsid w:val="001751C5"/>
    <w:rsid w:val="00182CD1"/>
    <w:rsid w:val="001A0151"/>
    <w:rsid w:val="001B06A4"/>
    <w:rsid w:val="001C5886"/>
    <w:rsid w:val="001C6E6B"/>
    <w:rsid w:val="001D1CEF"/>
    <w:rsid w:val="001D365D"/>
    <w:rsid w:val="001D76CD"/>
    <w:rsid w:val="001E62AC"/>
    <w:rsid w:val="001F4185"/>
    <w:rsid w:val="002036F0"/>
    <w:rsid w:val="00210925"/>
    <w:rsid w:val="002161A8"/>
    <w:rsid w:val="0022578A"/>
    <w:rsid w:val="00226A46"/>
    <w:rsid w:val="002766DE"/>
    <w:rsid w:val="00282D81"/>
    <w:rsid w:val="0029116E"/>
    <w:rsid w:val="00294ADF"/>
    <w:rsid w:val="00294F7D"/>
    <w:rsid w:val="00296666"/>
    <w:rsid w:val="002B47D2"/>
    <w:rsid w:val="002E3638"/>
    <w:rsid w:val="002E58AC"/>
    <w:rsid w:val="003117F2"/>
    <w:rsid w:val="003312DE"/>
    <w:rsid w:val="00344715"/>
    <w:rsid w:val="00376A67"/>
    <w:rsid w:val="00385781"/>
    <w:rsid w:val="00397646"/>
    <w:rsid w:val="003A03F4"/>
    <w:rsid w:val="003B2AF0"/>
    <w:rsid w:val="003D4C13"/>
    <w:rsid w:val="003E3B8F"/>
    <w:rsid w:val="003F4A36"/>
    <w:rsid w:val="004030D6"/>
    <w:rsid w:val="004041D2"/>
    <w:rsid w:val="00405DA1"/>
    <w:rsid w:val="004171D5"/>
    <w:rsid w:val="00445645"/>
    <w:rsid w:val="0047550C"/>
    <w:rsid w:val="0049077F"/>
    <w:rsid w:val="004A7ADA"/>
    <w:rsid w:val="004D0389"/>
    <w:rsid w:val="004F279D"/>
    <w:rsid w:val="004F3A4F"/>
    <w:rsid w:val="00502252"/>
    <w:rsid w:val="00536BE0"/>
    <w:rsid w:val="00537F78"/>
    <w:rsid w:val="00557AC8"/>
    <w:rsid w:val="00576972"/>
    <w:rsid w:val="005908A2"/>
    <w:rsid w:val="00594645"/>
    <w:rsid w:val="005A16FC"/>
    <w:rsid w:val="005C6C21"/>
    <w:rsid w:val="005E4503"/>
    <w:rsid w:val="005F377E"/>
    <w:rsid w:val="0062259C"/>
    <w:rsid w:val="00622EBF"/>
    <w:rsid w:val="00623AA6"/>
    <w:rsid w:val="00634FC5"/>
    <w:rsid w:val="00645E12"/>
    <w:rsid w:val="006526D9"/>
    <w:rsid w:val="006552A3"/>
    <w:rsid w:val="006639FA"/>
    <w:rsid w:val="00676024"/>
    <w:rsid w:val="006813DD"/>
    <w:rsid w:val="00687CCD"/>
    <w:rsid w:val="0069682A"/>
    <w:rsid w:val="006B471C"/>
    <w:rsid w:val="006C6839"/>
    <w:rsid w:val="006F139C"/>
    <w:rsid w:val="006F30CB"/>
    <w:rsid w:val="00714824"/>
    <w:rsid w:val="00744C8F"/>
    <w:rsid w:val="0075177C"/>
    <w:rsid w:val="007717A5"/>
    <w:rsid w:val="00776B6F"/>
    <w:rsid w:val="00791A4D"/>
    <w:rsid w:val="00792E23"/>
    <w:rsid w:val="00793075"/>
    <w:rsid w:val="007937B7"/>
    <w:rsid w:val="007D60BF"/>
    <w:rsid w:val="00816D9E"/>
    <w:rsid w:val="008172D5"/>
    <w:rsid w:val="008324FC"/>
    <w:rsid w:val="008646C8"/>
    <w:rsid w:val="00875608"/>
    <w:rsid w:val="00877059"/>
    <w:rsid w:val="0087726A"/>
    <w:rsid w:val="00886E61"/>
    <w:rsid w:val="0089404F"/>
    <w:rsid w:val="00894872"/>
    <w:rsid w:val="00894E9C"/>
    <w:rsid w:val="008962DD"/>
    <w:rsid w:val="008B35DE"/>
    <w:rsid w:val="008C1E18"/>
    <w:rsid w:val="008E5EFF"/>
    <w:rsid w:val="008E77FD"/>
    <w:rsid w:val="008F46C3"/>
    <w:rsid w:val="00914E01"/>
    <w:rsid w:val="00963418"/>
    <w:rsid w:val="0098070C"/>
    <w:rsid w:val="00981E6C"/>
    <w:rsid w:val="00991549"/>
    <w:rsid w:val="009B5316"/>
    <w:rsid w:val="009E39BD"/>
    <w:rsid w:val="009E46EF"/>
    <w:rsid w:val="009F2EB3"/>
    <w:rsid w:val="00A03155"/>
    <w:rsid w:val="00A13B18"/>
    <w:rsid w:val="00A235B5"/>
    <w:rsid w:val="00A475A2"/>
    <w:rsid w:val="00A47A50"/>
    <w:rsid w:val="00A51BC6"/>
    <w:rsid w:val="00A52A71"/>
    <w:rsid w:val="00A539CA"/>
    <w:rsid w:val="00A7240C"/>
    <w:rsid w:val="00A83857"/>
    <w:rsid w:val="00AA16C9"/>
    <w:rsid w:val="00AB7717"/>
    <w:rsid w:val="00AC7FEB"/>
    <w:rsid w:val="00AE2D8E"/>
    <w:rsid w:val="00AE326D"/>
    <w:rsid w:val="00AF273B"/>
    <w:rsid w:val="00AF6752"/>
    <w:rsid w:val="00B05C17"/>
    <w:rsid w:val="00B06566"/>
    <w:rsid w:val="00B371BE"/>
    <w:rsid w:val="00B40F31"/>
    <w:rsid w:val="00B42400"/>
    <w:rsid w:val="00B42B47"/>
    <w:rsid w:val="00B461FA"/>
    <w:rsid w:val="00B6148E"/>
    <w:rsid w:val="00B67FC3"/>
    <w:rsid w:val="00B90C8F"/>
    <w:rsid w:val="00B92599"/>
    <w:rsid w:val="00BF6496"/>
    <w:rsid w:val="00C12D6E"/>
    <w:rsid w:val="00C15357"/>
    <w:rsid w:val="00C15E18"/>
    <w:rsid w:val="00C36FA4"/>
    <w:rsid w:val="00C53BB5"/>
    <w:rsid w:val="00C54372"/>
    <w:rsid w:val="00C73512"/>
    <w:rsid w:val="00C764F6"/>
    <w:rsid w:val="00CA63F3"/>
    <w:rsid w:val="00CA7613"/>
    <w:rsid w:val="00CD52F8"/>
    <w:rsid w:val="00CE1563"/>
    <w:rsid w:val="00D87F4D"/>
    <w:rsid w:val="00DA5679"/>
    <w:rsid w:val="00DC58F1"/>
    <w:rsid w:val="00DE1295"/>
    <w:rsid w:val="00E16161"/>
    <w:rsid w:val="00E44235"/>
    <w:rsid w:val="00E46DB5"/>
    <w:rsid w:val="00E6101B"/>
    <w:rsid w:val="00E671FC"/>
    <w:rsid w:val="00E74FA2"/>
    <w:rsid w:val="00EA4456"/>
    <w:rsid w:val="00EA5029"/>
    <w:rsid w:val="00EC2EB2"/>
    <w:rsid w:val="00EE1BDB"/>
    <w:rsid w:val="00F0498D"/>
    <w:rsid w:val="00F05987"/>
    <w:rsid w:val="00F11624"/>
    <w:rsid w:val="00F2016C"/>
    <w:rsid w:val="00F32D62"/>
    <w:rsid w:val="00F7078B"/>
    <w:rsid w:val="00F762E7"/>
    <w:rsid w:val="00F7777C"/>
    <w:rsid w:val="00F86786"/>
    <w:rsid w:val="00FB6627"/>
    <w:rsid w:val="00FC06C0"/>
    <w:rsid w:val="00FC4C13"/>
    <w:rsid w:val="00FC5CF1"/>
    <w:rsid w:val="00FC5F75"/>
    <w:rsid w:val="00FF58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680"/>
        <w:tab w:val="right" w:pos="9360"/>
      </w:tabs>
      <w:spacing w:after="200" w:line="276" w:lineRule="auto"/>
    </w:pPr>
    <w:rPr>
      <w:rFonts w:ascii="Calibri" w:eastAsia="Calibri" w:hAnsi="Calibri" w:cs="Calibri"/>
      <w:color w:val="000000"/>
      <w:sz w:val="22"/>
      <w:szCs w:val="22"/>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paragraph" w:styleId="Footer">
    <w:name w:val="footer"/>
    <w:link w:val="FooterChar"/>
    <w:uiPriority w:val="99"/>
    <w:pPr>
      <w:tabs>
        <w:tab w:val="center" w:pos="4320"/>
        <w:tab w:val="right" w:pos="8640"/>
      </w:tabs>
    </w:pPr>
    <w:rPr>
      <w:rFonts w:eastAsia="Times New Roman"/>
      <w:color w:val="000000"/>
      <w:sz w:val="24"/>
      <w:szCs w:val="24"/>
      <w:u w:color="000000"/>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paragraph" w:styleId="NoSpacing">
    <w:name w:val="No Spacing"/>
    <w:pPr>
      <w:spacing w:after="200" w:line="276" w:lineRule="auto"/>
    </w:pPr>
    <w:rPr>
      <w:rFonts w:eastAsia="Times New Roman"/>
      <w:color w:val="000000"/>
      <w:sz w:val="24"/>
      <w:szCs w:val="24"/>
      <w:u w:color="000000"/>
    </w:rPr>
  </w:style>
  <w:style w:type="paragraph" w:styleId="FootnoteText">
    <w:name w:val="footnote text"/>
    <w:link w:val="FootnoteTextChar"/>
    <w:uiPriority w:val="99"/>
    <w:pPr>
      <w:spacing w:after="200" w:line="276" w:lineRule="auto"/>
    </w:pPr>
    <w:rPr>
      <w:rFonts w:ascii="Calibri" w:eastAsia="Calibri" w:hAnsi="Calibri" w:cs="Calibri"/>
      <w:color w:val="000000"/>
      <w:u w:color="000000"/>
    </w:rPr>
  </w:style>
  <w:style w:type="paragraph" w:styleId="ListParagraph">
    <w:name w:val="List Paragraph"/>
    <w:uiPriority w:val="34"/>
    <w:qFormat/>
    <w:pPr>
      <w:ind w:left="720"/>
    </w:pPr>
    <w:rPr>
      <w:rFonts w:ascii="Calibri" w:eastAsia="Calibri" w:hAnsi="Calibri" w:cs="Calibri"/>
      <w:color w:val="000000"/>
      <w:sz w:val="22"/>
      <w:szCs w:val="22"/>
      <w:u w:color="000000"/>
    </w:rPr>
  </w:style>
  <w:style w:type="numbering" w:customStyle="1" w:styleId="ImportedStyle1">
    <w:name w:val="Imported Style 1"/>
    <w:pPr>
      <w:numPr>
        <w:numId w:val="3"/>
      </w:numPr>
    </w:pPr>
  </w:style>
  <w:style w:type="numbering" w:customStyle="1" w:styleId="ImportedStyle2">
    <w:name w:val="Imported Style 2"/>
    <w:pPr>
      <w:numPr>
        <w:numId w:val="6"/>
      </w:numPr>
    </w:pPr>
  </w:style>
  <w:style w:type="numbering" w:customStyle="1" w:styleId="ImportedStyle3">
    <w:name w:val="Imported Style 3"/>
    <w:pPr>
      <w:numPr>
        <w:numId w:val="8"/>
      </w:numPr>
    </w:pPr>
  </w:style>
  <w:style w:type="numbering" w:customStyle="1" w:styleId="ImportedStyle4">
    <w:name w:val="Imported Style 4"/>
    <w:pPr>
      <w:numPr>
        <w:numId w:val="10"/>
      </w:numPr>
    </w:pPr>
  </w:style>
  <w:style w:type="numbering" w:customStyle="1" w:styleId="ImportedStyle5">
    <w:name w:val="Imported Style 5"/>
    <w:pPr>
      <w:numPr>
        <w:numId w:val="12"/>
      </w:numPr>
    </w:pPr>
  </w:style>
  <w:style w:type="numbering" w:customStyle="1" w:styleId="ImportedStyle6">
    <w:name w:val="Imported Style 6"/>
    <w:pPr>
      <w:numPr>
        <w:numId w:val="14"/>
      </w:numPr>
    </w:pPr>
  </w:style>
  <w:style w:type="numbering" w:customStyle="1" w:styleId="ImportedStyle7">
    <w:name w:val="Imported Style 7"/>
    <w:pPr>
      <w:numPr>
        <w:numId w:val="16"/>
      </w:numPr>
    </w:pPr>
  </w:style>
  <w:style w:type="numbering" w:customStyle="1" w:styleId="ImportedStyle8">
    <w:name w:val="Imported Style 8"/>
    <w:pPr>
      <w:numPr>
        <w:numId w:val="18"/>
      </w:numPr>
    </w:pPr>
  </w:style>
  <w:style w:type="paragraph" w:styleId="BalloonText">
    <w:name w:val="Balloon Text"/>
    <w:basedOn w:val="Normal"/>
    <w:link w:val="BalloonTextChar"/>
    <w:uiPriority w:val="99"/>
    <w:semiHidden/>
    <w:unhideWhenUsed/>
    <w:rsid w:val="00A52A71"/>
    <w:rPr>
      <w:rFonts w:ascii="Tahoma" w:hAnsi="Tahoma" w:cs="Tahoma"/>
      <w:sz w:val="16"/>
      <w:szCs w:val="16"/>
    </w:rPr>
  </w:style>
  <w:style w:type="character" w:customStyle="1" w:styleId="BalloonTextChar">
    <w:name w:val="Balloon Text Char"/>
    <w:basedOn w:val="DefaultParagraphFont"/>
    <w:link w:val="BalloonText"/>
    <w:uiPriority w:val="99"/>
    <w:semiHidden/>
    <w:rsid w:val="00A52A71"/>
    <w:rPr>
      <w:rFonts w:ascii="Tahoma" w:hAnsi="Tahoma" w:cs="Tahoma"/>
      <w:sz w:val="16"/>
      <w:szCs w:val="16"/>
    </w:rPr>
  </w:style>
  <w:style w:type="character" w:styleId="FootnoteReference">
    <w:name w:val="footnote reference"/>
    <w:basedOn w:val="DefaultParagraphFont"/>
    <w:uiPriority w:val="99"/>
    <w:unhideWhenUsed/>
    <w:rsid w:val="008C1E18"/>
    <w:rPr>
      <w:vertAlign w:val="superscript"/>
    </w:rPr>
  </w:style>
  <w:style w:type="character" w:customStyle="1" w:styleId="HeaderChar">
    <w:name w:val="Header Char"/>
    <w:link w:val="Header"/>
    <w:uiPriority w:val="99"/>
    <w:rsid w:val="00B42B47"/>
    <w:rPr>
      <w:rFonts w:ascii="Calibri" w:eastAsia="Calibri" w:hAnsi="Calibri" w:cs="Calibri"/>
      <w:color w:val="000000"/>
      <w:sz w:val="22"/>
      <w:szCs w:val="22"/>
      <w:u w:color="000000"/>
    </w:rPr>
  </w:style>
  <w:style w:type="character" w:customStyle="1" w:styleId="FooterChar">
    <w:name w:val="Footer Char"/>
    <w:link w:val="Footer"/>
    <w:uiPriority w:val="99"/>
    <w:rsid w:val="00B42B47"/>
    <w:rPr>
      <w:rFonts w:eastAsia="Times New Roman"/>
      <w:color w:val="000000"/>
      <w:sz w:val="24"/>
      <w:szCs w:val="24"/>
      <w:u w:color="000000"/>
    </w:rPr>
  </w:style>
  <w:style w:type="paragraph" w:styleId="EndnoteText">
    <w:name w:val="endnote text"/>
    <w:basedOn w:val="Normal"/>
    <w:link w:val="EndnoteTextChar"/>
    <w:uiPriority w:val="99"/>
    <w:semiHidden/>
    <w:unhideWhenUsed/>
    <w:rsid w:val="00B42B47"/>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0"/>
      <w:szCs w:val="20"/>
      <w:bdr w:val="none" w:sz="0" w:space="0" w:color="auto"/>
    </w:rPr>
  </w:style>
  <w:style w:type="character" w:customStyle="1" w:styleId="EndnoteTextChar">
    <w:name w:val="Endnote Text Char"/>
    <w:basedOn w:val="DefaultParagraphFont"/>
    <w:link w:val="EndnoteText"/>
    <w:uiPriority w:val="99"/>
    <w:semiHidden/>
    <w:rsid w:val="00B42B47"/>
    <w:rPr>
      <w:rFonts w:ascii="Calibri" w:eastAsia="Calibri" w:hAnsi="Calibri"/>
      <w:bdr w:val="none" w:sz="0" w:space="0" w:color="auto"/>
    </w:rPr>
  </w:style>
  <w:style w:type="character" w:styleId="EndnoteReference">
    <w:name w:val="endnote reference"/>
    <w:basedOn w:val="DefaultParagraphFont"/>
    <w:uiPriority w:val="99"/>
    <w:semiHidden/>
    <w:unhideWhenUsed/>
    <w:rsid w:val="00B42B47"/>
    <w:rPr>
      <w:vertAlign w:val="superscript"/>
    </w:rPr>
  </w:style>
  <w:style w:type="paragraph" w:styleId="NormalWeb">
    <w:name w:val="Normal (Web)"/>
    <w:basedOn w:val="Normal"/>
    <w:uiPriority w:val="99"/>
    <w:semiHidden/>
    <w:unhideWhenUsed/>
    <w:rsid w:val="002E58AC"/>
    <w:pPr>
      <w:pBdr>
        <w:top w:val="none" w:sz="0" w:space="0" w:color="auto"/>
        <w:left w:val="none" w:sz="0" w:space="0" w:color="auto"/>
        <w:bottom w:val="none" w:sz="0" w:space="0" w:color="auto"/>
        <w:right w:val="none" w:sz="0" w:space="0" w:color="auto"/>
        <w:between w:val="none" w:sz="0" w:space="0" w:color="auto"/>
        <w:bar w:val="none" w:sz="0" w:color="auto"/>
      </w:pBdr>
      <w:spacing w:after="240"/>
    </w:pPr>
    <w:rPr>
      <w:rFonts w:eastAsia="Times New Roman"/>
      <w:bdr w:val="none" w:sz="0" w:space="0" w:color="auto"/>
    </w:rPr>
  </w:style>
  <w:style w:type="paragraph" w:styleId="PlainText">
    <w:name w:val="Plain Text"/>
    <w:basedOn w:val="Normal"/>
    <w:link w:val="PlainTextChar"/>
    <w:uiPriority w:val="99"/>
    <w:semiHidden/>
    <w:unhideWhenUsed/>
    <w:rsid w:val="00AF675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rPr>
  </w:style>
  <w:style w:type="character" w:customStyle="1" w:styleId="PlainTextChar">
    <w:name w:val="Plain Text Char"/>
    <w:basedOn w:val="DefaultParagraphFont"/>
    <w:link w:val="PlainText"/>
    <w:uiPriority w:val="99"/>
    <w:semiHidden/>
    <w:rsid w:val="00AF6752"/>
    <w:rPr>
      <w:rFonts w:ascii="Calibri" w:eastAsia="Calibri" w:hAnsi="Calibri"/>
      <w:sz w:val="22"/>
      <w:szCs w:val="22"/>
      <w:bdr w:val="none" w:sz="0" w:space="0" w:color="auto"/>
    </w:rPr>
  </w:style>
  <w:style w:type="character" w:customStyle="1" w:styleId="Bodytext2">
    <w:name w:val="Body text (2)_"/>
    <w:basedOn w:val="DefaultParagraphFont"/>
    <w:link w:val="Bodytext20"/>
    <w:rsid w:val="00F7777C"/>
    <w:rPr>
      <w:rFonts w:ascii="Arial" w:eastAsia="Arial" w:hAnsi="Arial" w:cs="Arial"/>
      <w:b/>
      <w:bCs/>
      <w:shd w:val="clear" w:color="auto" w:fill="FFFFFF"/>
    </w:rPr>
  </w:style>
  <w:style w:type="paragraph" w:customStyle="1" w:styleId="Bodytext20">
    <w:name w:val="Body text (2)"/>
    <w:basedOn w:val="Normal"/>
    <w:link w:val="Bodytext2"/>
    <w:rsid w:val="00F7777C"/>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60" w:after="300" w:line="336" w:lineRule="exact"/>
      <w:ind w:hanging="345"/>
    </w:pPr>
    <w:rPr>
      <w:rFonts w:ascii="Arial" w:eastAsia="Arial" w:hAnsi="Arial" w:cs="Arial"/>
      <w:b/>
      <w:bCs/>
      <w:sz w:val="20"/>
      <w:szCs w:val="20"/>
    </w:rPr>
  </w:style>
  <w:style w:type="character" w:styleId="CommentReference">
    <w:name w:val="annotation reference"/>
    <w:basedOn w:val="DefaultParagraphFont"/>
    <w:uiPriority w:val="99"/>
    <w:semiHidden/>
    <w:unhideWhenUsed/>
    <w:rsid w:val="00A03155"/>
    <w:rPr>
      <w:sz w:val="16"/>
      <w:szCs w:val="16"/>
    </w:rPr>
  </w:style>
  <w:style w:type="paragraph" w:styleId="CommentText">
    <w:name w:val="annotation text"/>
    <w:basedOn w:val="Normal"/>
    <w:link w:val="CommentTextChar"/>
    <w:uiPriority w:val="99"/>
    <w:semiHidden/>
    <w:unhideWhenUsed/>
    <w:rsid w:val="00A03155"/>
    <w:rPr>
      <w:sz w:val="20"/>
      <w:szCs w:val="20"/>
    </w:rPr>
  </w:style>
  <w:style w:type="character" w:customStyle="1" w:styleId="CommentTextChar">
    <w:name w:val="Comment Text Char"/>
    <w:basedOn w:val="DefaultParagraphFont"/>
    <w:link w:val="CommentText"/>
    <w:uiPriority w:val="99"/>
    <w:semiHidden/>
    <w:rsid w:val="00A03155"/>
  </w:style>
  <w:style w:type="paragraph" w:styleId="CommentSubject">
    <w:name w:val="annotation subject"/>
    <w:basedOn w:val="CommentText"/>
    <w:next w:val="CommentText"/>
    <w:link w:val="CommentSubjectChar"/>
    <w:uiPriority w:val="99"/>
    <w:semiHidden/>
    <w:unhideWhenUsed/>
    <w:rsid w:val="00A03155"/>
    <w:rPr>
      <w:b/>
      <w:bCs/>
    </w:rPr>
  </w:style>
  <w:style w:type="character" w:customStyle="1" w:styleId="CommentSubjectChar">
    <w:name w:val="Comment Subject Char"/>
    <w:basedOn w:val="CommentTextChar"/>
    <w:link w:val="CommentSubject"/>
    <w:uiPriority w:val="99"/>
    <w:semiHidden/>
    <w:rsid w:val="00A03155"/>
    <w:rPr>
      <w:b/>
      <w:bCs/>
    </w:rPr>
  </w:style>
  <w:style w:type="character" w:customStyle="1" w:styleId="normalchar1">
    <w:name w:val="normal__char1"/>
    <w:rsid w:val="000F48C7"/>
    <w:rPr>
      <w:rFonts w:ascii="Times New Roman" w:hAnsi="Times New Roman" w:cs="Times New Roman" w:hint="default"/>
      <w:strike w:val="0"/>
      <w:dstrike w:val="0"/>
      <w:sz w:val="24"/>
      <w:szCs w:val="24"/>
      <w:u w:val="none"/>
      <w:effect w:val="none"/>
    </w:rPr>
  </w:style>
  <w:style w:type="character" w:customStyle="1" w:styleId="FootnoteTextChar">
    <w:name w:val="Footnote Text Char"/>
    <w:basedOn w:val="DefaultParagraphFont"/>
    <w:link w:val="FootnoteText"/>
    <w:uiPriority w:val="99"/>
    <w:rsid w:val="00F05987"/>
    <w:rPr>
      <w:rFonts w:ascii="Calibri" w:eastAsia="Calibri" w:hAnsi="Calibri" w:cs="Calibri"/>
      <w:color w:val="000000"/>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680"/>
        <w:tab w:val="right" w:pos="9360"/>
      </w:tabs>
      <w:spacing w:after="200" w:line="276" w:lineRule="auto"/>
    </w:pPr>
    <w:rPr>
      <w:rFonts w:ascii="Calibri" w:eastAsia="Calibri" w:hAnsi="Calibri" w:cs="Calibri"/>
      <w:color w:val="000000"/>
      <w:sz w:val="22"/>
      <w:szCs w:val="22"/>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paragraph" w:styleId="Footer">
    <w:name w:val="footer"/>
    <w:link w:val="FooterChar"/>
    <w:uiPriority w:val="99"/>
    <w:pPr>
      <w:tabs>
        <w:tab w:val="center" w:pos="4320"/>
        <w:tab w:val="right" w:pos="8640"/>
      </w:tabs>
    </w:pPr>
    <w:rPr>
      <w:rFonts w:eastAsia="Times New Roman"/>
      <w:color w:val="000000"/>
      <w:sz w:val="24"/>
      <w:szCs w:val="24"/>
      <w:u w:color="000000"/>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paragraph" w:styleId="NoSpacing">
    <w:name w:val="No Spacing"/>
    <w:pPr>
      <w:spacing w:after="200" w:line="276" w:lineRule="auto"/>
    </w:pPr>
    <w:rPr>
      <w:rFonts w:eastAsia="Times New Roman"/>
      <w:color w:val="000000"/>
      <w:sz w:val="24"/>
      <w:szCs w:val="24"/>
      <w:u w:color="000000"/>
    </w:rPr>
  </w:style>
  <w:style w:type="paragraph" w:styleId="FootnoteText">
    <w:name w:val="footnote text"/>
    <w:link w:val="FootnoteTextChar"/>
    <w:uiPriority w:val="99"/>
    <w:pPr>
      <w:spacing w:after="200" w:line="276" w:lineRule="auto"/>
    </w:pPr>
    <w:rPr>
      <w:rFonts w:ascii="Calibri" w:eastAsia="Calibri" w:hAnsi="Calibri" w:cs="Calibri"/>
      <w:color w:val="000000"/>
      <w:u w:color="000000"/>
    </w:rPr>
  </w:style>
  <w:style w:type="paragraph" w:styleId="ListParagraph">
    <w:name w:val="List Paragraph"/>
    <w:uiPriority w:val="34"/>
    <w:qFormat/>
    <w:pPr>
      <w:ind w:left="720"/>
    </w:pPr>
    <w:rPr>
      <w:rFonts w:ascii="Calibri" w:eastAsia="Calibri" w:hAnsi="Calibri" w:cs="Calibri"/>
      <w:color w:val="000000"/>
      <w:sz w:val="22"/>
      <w:szCs w:val="22"/>
      <w:u w:color="000000"/>
    </w:rPr>
  </w:style>
  <w:style w:type="numbering" w:customStyle="1" w:styleId="ImportedStyle1">
    <w:name w:val="Imported Style 1"/>
    <w:pPr>
      <w:numPr>
        <w:numId w:val="3"/>
      </w:numPr>
    </w:pPr>
  </w:style>
  <w:style w:type="numbering" w:customStyle="1" w:styleId="ImportedStyle2">
    <w:name w:val="Imported Style 2"/>
    <w:pPr>
      <w:numPr>
        <w:numId w:val="6"/>
      </w:numPr>
    </w:pPr>
  </w:style>
  <w:style w:type="numbering" w:customStyle="1" w:styleId="ImportedStyle3">
    <w:name w:val="Imported Style 3"/>
    <w:pPr>
      <w:numPr>
        <w:numId w:val="8"/>
      </w:numPr>
    </w:pPr>
  </w:style>
  <w:style w:type="numbering" w:customStyle="1" w:styleId="ImportedStyle4">
    <w:name w:val="Imported Style 4"/>
    <w:pPr>
      <w:numPr>
        <w:numId w:val="10"/>
      </w:numPr>
    </w:pPr>
  </w:style>
  <w:style w:type="numbering" w:customStyle="1" w:styleId="ImportedStyle5">
    <w:name w:val="Imported Style 5"/>
    <w:pPr>
      <w:numPr>
        <w:numId w:val="12"/>
      </w:numPr>
    </w:pPr>
  </w:style>
  <w:style w:type="numbering" w:customStyle="1" w:styleId="ImportedStyle6">
    <w:name w:val="Imported Style 6"/>
    <w:pPr>
      <w:numPr>
        <w:numId w:val="14"/>
      </w:numPr>
    </w:pPr>
  </w:style>
  <w:style w:type="numbering" w:customStyle="1" w:styleId="ImportedStyle7">
    <w:name w:val="Imported Style 7"/>
    <w:pPr>
      <w:numPr>
        <w:numId w:val="16"/>
      </w:numPr>
    </w:pPr>
  </w:style>
  <w:style w:type="numbering" w:customStyle="1" w:styleId="ImportedStyle8">
    <w:name w:val="Imported Style 8"/>
    <w:pPr>
      <w:numPr>
        <w:numId w:val="18"/>
      </w:numPr>
    </w:pPr>
  </w:style>
  <w:style w:type="paragraph" w:styleId="BalloonText">
    <w:name w:val="Balloon Text"/>
    <w:basedOn w:val="Normal"/>
    <w:link w:val="BalloonTextChar"/>
    <w:uiPriority w:val="99"/>
    <w:semiHidden/>
    <w:unhideWhenUsed/>
    <w:rsid w:val="00A52A71"/>
    <w:rPr>
      <w:rFonts w:ascii="Tahoma" w:hAnsi="Tahoma" w:cs="Tahoma"/>
      <w:sz w:val="16"/>
      <w:szCs w:val="16"/>
    </w:rPr>
  </w:style>
  <w:style w:type="character" w:customStyle="1" w:styleId="BalloonTextChar">
    <w:name w:val="Balloon Text Char"/>
    <w:basedOn w:val="DefaultParagraphFont"/>
    <w:link w:val="BalloonText"/>
    <w:uiPriority w:val="99"/>
    <w:semiHidden/>
    <w:rsid w:val="00A52A71"/>
    <w:rPr>
      <w:rFonts w:ascii="Tahoma" w:hAnsi="Tahoma" w:cs="Tahoma"/>
      <w:sz w:val="16"/>
      <w:szCs w:val="16"/>
    </w:rPr>
  </w:style>
  <w:style w:type="character" w:styleId="FootnoteReference">
    <w:name w:val="footnote reference"/>
    <w:basedOn w:val="DefaultParagraphFont"/>
    <w:uiPriority w:val="99"/>
    <w:unhideWhenUsed/>
    <w:rsid w:val="008C1E18"/>
    <w:rPr>
      <w:vertAlign w:val="superscript"/>
    </w:rPr>
  </w:style>
  <w:style w:type="character" w:customStyle="1" w:styleId="HeaderChar">
    <w:name w:val="Header Char"/>
    <w:link w:val="Header"/>
    <w:uiPriority w:val="99"/>
    <w:rsid w:val="00B42B47"/>
    <w:rPr>
      <w:rFonts w:ascii="Calibri" w:eastAsia="Calibri" w:hAnsi="Calibri" w:cs="Calibri"/>
      <w:color w:val="000000"/>
      <w:sz w:val="22"/>
      <w:szCs w:val="22"/>
      <w:u w:color="000000"/>
    </w:rPr>
  </w:style>
  <w:style w:type="character" w:customStyle="1" w:styleId="FooterChar">
    <w:name w:val="Footer Char"/>
    <w:link w:val="Footer"/>
    <w:uiPriority w:val="99"/>
    <w:rsid w:val="00B42B47"/>
    <w:rPr>
      <w:rFonts w:eastAsia="Times New Roman"/>
      <w:color w:val="000000"/>
      <w:sz w:val="24"/>
      <w:szCs w:val="24"/>
      <w:u w:color="000000"/>
    </w:rPr>
  </w:style>
  <w:style w:type="paragraph" w:styleId="EndnoteText">
    <w:name w:val="endnote text"/>
    <w:basedOn w:val="Normal"/>
    <w:link w:val="EndnoteTextChar"/>
    <w:uiPriority w:val="99"/>
    <w:semiHidden/>
    <w:unhideWhenUsed/>
    <w:rsid w:val="00B42B47"/>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0"/>
      <w:szCs w:val="20"/>
      <w:bdr w:val="none" w:sz="0" w:space="0" w:color="auto"/>
    </w:rPr>
  </w:style>
  <w:style w:type="character" w:customStyle="1" w:styleId="EndnoteTextChar">
    <w:name w:val="Endnote Text Char"/>
    <w:basedOn w:val="DefaultParagraphFont"/>
    <w:link w:val="EndnoteText"/>
    <w:uiPriority w:val="99"/>
    <w:semiHidden/>
    <w:rsid w:val="00B42B47"/>
    <w:rPr>
      <w:rFonts w:ascii="Calibri" w:eastAsia="Calibri" w:hAnsi="Calibri"/>
      <w:bdr w:val="none" w:sz="0" w:space="0" w:color="auto"/>
    </w:rPr>
  </w:style>
  <w:style w:type="character" w:styleId="EndnoteReference">
    <w:name w:val="endnote reference"/>
    <w:basedOn w:val="DefaultParagraphFont"/>
    <w:uiPriority w:val="99"/>
    <w:semiHidden/>
    <w:unhideWhenUsed/>
    <w:rsid w:val="00B42B47"/>
    <w:rPr>
      <w:vertAlign w:val="superscript"/>
    </w:rPr>
  </w:style>
  <w:style w:type="paragraph" w:styleId="NormalWeb">
    <w:name w:val="Normal (Web)"/>
    <w:basedOn w:val="Normal"/>
    <w:uiPriority w:val="99"/>
    <w:semiHidden/>
    <w:unhideWhenUsed/>
    <w:rsid w:val="002E58AC"/>
    <w:pPr>
      <w:pBdr>
        <w:top w:val="none" w:sz="0" w:space="0" w:color="auto"/>
        <w:left w:val="none" w:sz="0" w:space="0" w:color="auto"/>
        <w:bottom w:val="none" w:sz="0" w:space="0" w:color="auto"/>
        <w:right w:val="none" w:sz="0" w:space="0" w:color="auto"/>
        <w:between w:val="none" w:sz="0" w:space="0" w:color="auto"/>
        <w:bar w:val="none" w:sz="0" w:color="auto"/>
      </w:pBdr>
      <w:spacing w:after="240"/>
    </w:pPr>
    <w:rPr>
      <w:rFonts w:eastAsia="Times New Roman"/>
      <w:bdr w:val="none" w:sz="0" w:space="0" w:color="auto"/>
    </w:rPr>
  </w:style>
  <w:style w:type="paragraph" w:styleId="PlainText">
    <w:name w:val="Plain Text"/>
    <w:basedOn w:val="Normal"/>
    <w:link w:val="PlainTextChar"/>
    <w:uiPriority w:val="99"/>
    <w:semiHidden/>
    <w:unhideWhenUsed/>
    <w:rsid w:val="00AF675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rPr>
  </w:style>
  <w:style w:type="character" w:customStyle="1" w:styleId="PlainTextChar">
    <w:name w:val="Plain Text Char"/>
    <w:basedOn w:val="DefaultParagraphFont"/>
    <w:link w:val="PlainText"/>
    <w:uiPriority w:val="99"/>
    <w:semiHidden/>
    <w:rsid w:val="00AF6752"/>
    <w:rPr>
      <w:rFonts w:ascii="Calibri" w:eastAsia="Calibri" w:hAnsi="Calibri"/>
      <w:sz w:val="22"/>
      <w:szCs w:val="22"/>
      <w:bdr w:val="none" w:sz="0" w:space="0" w:color="auto"/>
    </w:rPr>
  </w:style>
  <w:style w:type="character" w:customStyle="1" w:styleId="Bodytext2">
    <w:name w:val="Body text (2)_"/>
    <w:basedOn w:val="DefaultParagraphFont"/>
    <w:link w:val="Bodytext20"/>
    <w:rsid w:val="00F7777C"/>
    <w:rPr>
      <w:rFonts w:ascii="Arial" w:eastAsia="Arial" w:hAnsi="Arial" w:cs="Arial"/>
      <w:b/>
      <w:bCs/>
      <w:shd w:val="clear" w:color="auto" w:fill="FFFFFF"/>
    </w:rPr>
  </w:style>
  <w:style w:type="paragraph" w:customStyle="1" w:styleId="Bodytext20">
    <w:name w:val="Body text (2)"/>
    <w:basedOn w:val="Normal"/>
    <w:link w:val="Bodytext2"/>
    <w:rsid w:val="00F7777C"/>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60" w:after="300" w:line="336" w:lineRule="exact"/>
      <w:ind w:hanging="345"/>
    </w:pPr>
    <w:rPr>
      <w:rFonts w:ascii="Arial" w:eastAsia="Arial" w:hAnsi="Arial" w:cs="Arial"/>
      <w:b/>
      <w:bCs/>
      <w:sz w:val="20"/>
      <w:szCs w:val="20"/>
    </w:rPr>
  </w:style>
  <w:style w:type="character" w:styleId="CommentReference">
    <w:name w:val="annotation reference"/>
    <w:basedOn w:val="DefaultParagraphFont"/>
    <w:uiPriority w:val="99"/>
    <w:semiHidden/>
    <w:unhideWhenUsed/>
    <w:rsid w:val="00A03155"/>
    <w:rPr>
      <w:sz w:val="16"/>
      <w:szCs w:val="16"/>
    </w:rPr>
  </w:style>
  <w:style w:type="paragraph" w:styleId="CommentText">
    <w:name w:val="annotation text"/>
    <w:basedOn w:val="Normal"/>
    <w:link w:val="CommentTextChar"/>
    <w:uiPriority w:val="99"/>
    <w:semiHidden/>
    <w:unhideWhenUsed/>
    <w:rsid w:val="00A03155"/>
    <w:rPr>
      <w:sz w:val="20"/>
      <w:szCs w:val="20"/>
    </w:rPr>
  </w:style>
  <w:style w:type="character" w:customStyle="1" w:styleId="CommentTextChar">
    <w:name w:val="Comment Text Char"/>
    <w:basedOn w:val="DefaultParagraphFont"/>
    <w:link w:val="CommentText"/>
    <w:uiPriority w:val="99"/>
    <w:semiHidden/>
    <w:rsid w:val="00A03155"/>
  </w:style>
  <w:style w:type="paragraph" w:styleId="CommentSubject">
    <w:name w:val="annotation subject"/>
    <w:basedOn w:val="CommentText"/>
    <w:next w:val="CommentText"/>
    <w:link w:val="CommentSubjectChar"/>
    <w:uiPriority w:val="99"/>
    <w:semiHidden/>
    <w:unhideWhenUsed/>
    <w:rsid w:val="00A03155"/>
    <w:rPr>
      <w:b/>
      <w:bCs/>
    </w:rPr>
  </w:style>
  <w:style w:type="character" w:customStyle="1" w:styleId="CommentSubjectChar">
    <w:name w:val="Comment Subject Char"/>
    <w:basedOn w:val="CommentTextChar"/>
    <w:link w:val="CommentSubject"/>
    <w:uiPriority w:val="99"/>
    <w:semiHidden/>
    <w:rsid w:val="00A03155"/>
    <w:rPr>
      <w:b/>
      <w:bCs/>
    </w:rPr>
  </w:style>
  <w:style w:type="character" w:customStyle="1" w:styleId="normalchar1">
    <w:name w:val="normal__char1"/>
    <w:rsid w:val="000F48C7"/>
    <w:rPr>
      <w:rFonts w:ascii="Times New Roman" w:hAnsi="Times New Roman" w:cs="Times New Roman" w:hint="default"/>
      <w:strike w:val="0"/>
      <w:dstrike w:val="0"/>
      <w:sz w:val="24"/>
      <w:szCs w:val="24"/>
      <w:u w:val="none"/>
      <w:effect w:val="none"/>
    </w:rPr>
  </w:style>
  <w:style w:type="character" w:customStyle="1" w:styleId="FootnoteTextChar">
    <w:name w:val="Footnote Text Char"/>
    <w:basedOn w:val="DefaultParagraphFont"/>
    <w:link w:val="FootnoteText"/>
    <w:uiPriority w:val="99"/>
    <w:rsid w:val="00F05987"/>
    <w:rPr>
      <w:rFonts w:ascii="Calibri" w:eastAsia="Calibri" w:hAnsi="Calibri" w:cs="Calibri"/>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981967">
      <w:bodyDiv w:val="1"/>
      <w:marLeft w:val="0"/>
      <w:marRight w:val="0"/>
      <w:marTop w:val="0"/>
      <w:marBottom w:val="0"/>
      <w:divBdr>
        <w:top w:val="none" w:sz="0" w:space="0" w:color="auto"/>
        <w:left w:val="none" w:sz="0" w:space="0" w:color="auto"/>
        <w:bottom w:val="none" w:sz="0" w:space="0" w:color="auto"/>
        <w:right w:val="none" w:sz="0" w:space="0" w:color="auto"/>
      </w:divBdr>
    </w:div>
    <w:div w:id="446047882">
      <w:bodyDiv w:val="1"/>
      <w:marLeft w:val="0"/>
      <w:marRight w:val="0"/>
      <w:marTop w:val="0"/>
      <w:marBottom w:val="0"/>
      <w:divBdr>
        <w:top w:val="none" w:sz="0" w:space="0" w:color="auto"/>
        <w:left w:val="none" w:sz="0" w:space="0" w:color="auto"/>
        <w:bottom w:val="none" w:sz="0" w:space="0" w:color="auto"/>
        <w:right w:val="none" w:sz="0" w:space="0" w:color="auto"/>
      </w:divBdr>
      <w:divsChild>
        <w:div w:id="102381826">
          <w:marLeft w:val="0"/>
          <w:marRight w:val="0"/>
          <w:marTop w:val="0"/>
          <w:marBottom w:val="0"/>
          <w:divBdr>
            <w:top w:val="none" w:sz="0" w:space="0" w:color="auto"/>
            <w:left w:val="none" w:sz="0" w:space="0" w:color="auto"/>
            <w:bottom w:val="none" w:sz="0" w:space="0" w:color="auto"/>
            <w:right w:val="none" w:sz="0" w:space="0" w:color="auto"/>
          </w:divBdr>
          <w:divsChild>
            <w:div w:id="475805086">
              <w:marLeft w:val="0"/>
              <w:marRight w:val="0"/>
              <w:marTop w:val="0"/>
              <w:marBottom w:val="0"/>
              <w:divBdr>
                <w:top w:val="none" w:sz="0" w:space="0" w:color="auto"/>
                <w:left w:val="none" w:sz="0" w:space="0" w:color="auto"/>
                <w:bottom w:val="none" w:sz="0" w:space="0" w:color="auto"/>
                <w:right w:val="none" w:sz="0" w:space="0" w:color="auto"/>
              </w:divBdr>
              <w:divsChild>
                <w:div w:id="275215018">
                  <w:marLeft w:val="0"/>
                  <w:marRight w:val="0"/>
                  <w:marTop w:val="0"/>
                  <w:marBottom w:val="0"/>
                  <w:divBdr>
                    <w:top w:val="none" w:sz="0" w:space="0" w:color="auto"/>
                    <w:left w:val="none" w:sz="0" w:space="0" w:color="auto"/>
                    <w:bottom w:val="none" w:sz="0" w:space="0" w:color="auto"/>
                    <w:right w:val="none" w:sz="0" w:space="0" w:color="auto"/>
                  </w:divBdr>
                  <w:divsChild>
                    <w:div w:id="1039744401">
                      <w:marLeft w:val="2"/>
                      <w:marRight w:val="0"/>
                      <w:marTop w:val="0"/>
                      <w:marBottom w:val="0"/>
                      <w:divBdr>
                        <w:top w:val="none" w:sz="0" w:space="0" w:color="auto"/>
                        <w:left w:val="none" w:sz="0" w:space="0" w:color="auto"/>
                        <w:bottom w:val="none" w:sz="0" w:space="0" w:color="auto"/>
                        <w:right w:val="none" w:sz="0" w:space="0" w:color="auto"/>
                      </w:divBdr>
                      <w:divsChild>
                        <w:div w:id="135730189">
                          <w:marLeft w:val="0"/>
                          <w:marRight w:val="0"/>
                          <w:marTop w:val="0"/>
                          <w:marBottom w:val="0"/>
                          <w:divBdr>
                            <w:top w:val="none" w:sz="0" w:space="0" w:color="auto"/>
                            <w:left w:val="none" w:sz="0" w:space="0" w:color="auto"/>
                            <w:bottom w:val="none" w:sz="0" w:space="0" w:color="auto"/>
                            <w:right w:val="none" w:sz="0" w:space="0" w:color="auto"/>
                          </w:divBdr>
                          <w:divsChild>
                            <w:div w:id="1966501349">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8351106">
      <w:bodyDiv w:val="1"/>
      <w:marLeft w:val="0"/>
      <w:marRight w:val="0"/>
      <w:marTop w:val="0"/>
      <w:marBottom w:val="0"/>
      <w:divBdr>
        <w:top w:val="none" w:sz="0" w:space="0" w:color="auto"/>
        <w:left w:val="none" w:sz="0" w:space="0" w:color="auto"/>
        <w:bottom w:val="none" w:sz="0" w:space="0" w:color="auto"/>
        <w:right w:val="none" w:sz="0" w:space="0" w:color="auto"/>
      </w:divBdr>
    </w:div>
    <w:div w:id="630013392">
      <w:bodyDiv w:val="1"/>
      <w:marLeft w:val="0"/>
      <w:marRight w:val="0"/>
      <w:marTop w:val="0"/>
      <w:marBottom w:val="0"/>
      <w:divBdr>
        <w:top w:val="none" w:sz="0" w:space="0" w:color="auto"/>
        <w:left w:val="none" w:sz="0" w:space="0" w:color="auto"/>
        <w:bottom w:val="none" w:sz="0" w:space="0" w:color="auto"/>
        <w:right w:val="none" w:sz="0" w:space="0" w:color="auto"/>
      </w:divBdr>
    </w:div>
    <w:div w:id="672993325">
      <w:bodyDiv w:val="1"/>
      <w:marLeft w:val="0"/>
      <w:marRight w:val="0"/>
      <w:marTop w:val="0"/>
      <w:marBottom w:val="0"/>
      <w:divBdr>
        <w:top w:val="none" w:sz="0" w:space="0" w:color="auto"/>
        <w:left w:val="none" w:sz="0" w:space="0" w:color="auto"/>
        <w:bottom w:val="none" w:sz="0" w:space="0" w:color="auto"/>
        <w:right w:val="none" w:sz="0" w:space="0" w:color="auto"/>
      </w:divBdr>
    </w:div>
    <w:div w:id="808011720">
      <w:bodyDiv w:val="1"/>
      <w:marLeft w:val="0"/>
      <w:marRight w:val="0"/>
      <w:marTop w:val="0"/>
      <w:marBottom w:val="0"/>
      <w:divBdr>
        <w:top w:val="none" w:sz="0" w:space="0" w:color="auto"/>
        <w:left w:val="none" w:sz="0" w:space="0" w:color="auto"/>
        <w:bottom w:val="none" w:sz="0" w:space="0" w:color="auto"/>
        <w:right w:val="none" w:sz="0" w:space="0" w:color="auto"/>
      </w:divBdr>
    </w:div>
    <w:div w:id="1025598669">
      <w:bodyDiv w:val="1"/>
      <w:marLeft w:val="0"/>
      <w:marRight w:val="0"/>
      <w:marTop w:val="0"/>
      <w:marBottom w:val="0"/>
      <w:divBdr>
        <w:top w:val="none" w:sz="0" w:space="0" w:color="auto"/>
        <w:left w:val="none" w:sz="0" w:space="0" w:color="auto"/>
        <w:bottom w:val="none" w:sz="0" w:space="0" w:color="auto"/>
        <w:right w:val="none" w:sz="0" w:space="0" w:color="auto"/>
      </w:divBdr>
    </w:div>
    <w:div w:id="1134756407">
      <w:bodyDiv w:val="1"/>
      <w:marLeft w:val="0"/>
      <w:marRight w:val="0"/>
      <w:marTop w:val="0"/>
      <w:marBottom w:val="0"/>
      <w:divBdr>
        <w:top w:val="none" w:sz="0" w:space="0" w:color="auto"/>
        <w:left w:val="none" w:sz="0" w:space="0" w:color="auto"/>
        <w:bottom w:val="none" w:sz="0" w:space="0" w:color="auto"/>
        <w:right w:val="none" w:sz="0" w:space="0" w:color="auto"/>
      </w:divBdr>
    </w:div>
    <w:div w:id="1305428799">
      <w:bodyDiv w:val="1"/>
      <w:marLeft w:val="0"/>
      <w:marRight w:val="0"/>
      <w:marTop w:val="0"/>
      <w:marBottom w:val="0"/>
      <w:divBdr>
        <w:top w:val="none" w:sz="0" w:space="0" w:color="auto"/>
        <w:left w:val="none" w:sz="0" w:space="0" w:color="auto"/>
        <w:bottom w:val="none" w:sz="0" w:space="0" w:color="auto"/>
        <w:right w:val="none" w:sz="0" w:space="0" w:color="auto"/>
      </w:divBdr>
    </w:div>
    <w:div w:id="1439711737">
      <w:bodyDiv w:val="1"/>
      <w:marLeft w:val="0"/>
      <w:marRight w:val="0"/>
      <w:marTop w:val="0"/>
      <w:marBottom w:val="0"/>
      <w:divBdr>
        <w:top w:val="none" w:sz="0" w:space="0" w:color="auto"/>
        <w:left w:val="none" w:sz="0" w:space="0" w:color="auto"/>
        <w:bottom w:val="none" w:sz="0" w:space="0" w:color="auto"/>
        <w:right w:val="none" w:sz="0" w:space="0" w:color="auto"/>
      </w:divBdr>
    </w:div>
    <w:div w:id="1885629485">
      <w:bodyDiv w:val="1"/>
      <w:marLeft w:val="0"/>
      <w:marRight w:val="0"/>
      <w:marTop w:val="0"/>
      <w:marBottom w:val="0"/>
      <w:divBdr>
        <w:top w:val="none" w:sz="0" w:space="0" w:color="auto"/>
        <w:left w:val="none" w:sz="0" w:space="0" w:color="auto"/>
        <w:bottom w:val="none" w:sz="0" w:space="0" w:color="auto"/>
        <w:right w:val="none" w:sz="0" w:space="0" w:color="auto"/>
      </w:divBdr>
    </w:div>
    <w:div w:id="20508362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D4EFA-1423-4AE2-966D-AEA68C3B3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2873</Words>
  <Characters>16382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19217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Reidbord, Sharon (DTA)</dc:creator>
  <cp:lastModifiedBy>Christopher Power</cp:lastModifiedBy>
  <cp:revision>2</cp:revision>
  <cp:lastPrinted>2018-04-17T17:11:00Z</cp:lastPrinted>
  <dcterms:created xsi:type="dcterms:W3CDTF">2018-05-14T15:32:00Z</dcterms:created>
  <dcterms:modified xsi:type="dcterms:W3CDTF">2018-05-14T15:32:00Z</dcterms:modified>
</cp:coreProperties>
</file>