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0161D" w14:textId="77777777" w:rsidR="00FC6116" w:rsidRPr="00094724" w:rsidRDefault="00184FC9" w:rsidP="007C27EC">
      <w:pPr>
        <w:jc w:val="center"/>
        <w:rPr>
          <w:b/>
          <w:bCs/>
          <w:sz w:val="24"/>
          <w:szCs w:val="24"/>
        </w:rPr>
      </w:pPr>
      <w:r w:rsidRPr="00094724">
        <w:rPr>
          <w:b/>
          <w:bCs/>
          <w:sz w:val="24"/>
          <w:szCs w:val="24"/>
        </w:rPr>
        <w:t>Encouraging Vaccination During the COVID-19 Pandemic</w:t>
      </w:r>
    </w:p>
    <w:p w14:paraId="3E9D14E0" w14:textId="77777777" w:rsidR="006A509C" w:rsidRDefault="00184FC9">
      <w:r>
        <w:t>The COVID-19 pandemic continues to have an impact on clinical preventive services, in</w:t>
      </w:r>
      <w:bookmarkStart w:id="0" w:name="_GoBack"/>
      <w:bookmarkEnd w:id="0"/>
      <w:r>
        <w:t>cluding routine immunizations. Based on data from the Massachusetts Immunization Information System (MIIS), state-supplied vaccine ordering has decreased by as much as 60%. The MDPH Immunization Division supports healthcare providers who maintain access to clinical services in environments that are safe for all. We would like to share some strategies for addressing well-child and sick visits while maintaining immunization services, and also address proper storage and handling of state-supplied vaccines.</w:t>
      </w:r>
    </w:p>
    <w:p w14:paraId="2B36B403" w14:textId="1338EF9E" w:rsidR="00713A94" w:rsidRDefault="00184FC9" w:rsidP="0008359E">
      <w:r>
        <w:t xml:space="preserve">Well-child visits should occur in-person when possible. However, COVID-19 activity in communities may limit pediatric well visits. If your facility is still able to conduct well-child visits, we urge you to continue to vaccinate children on schedule. </w:t>
      </w:r>
      <w:r w:rsidRPr="00B3375D">
        <w:t>All providers should wear a facemask and other PPE</w:t>
      </w:r>
      <w:r w:rsidR="00CC6D8C">
        <w:t>,</w:t>
      </w:r>
      <w:r w:rsidRPr="00B3375D">
        <w:t xml:space="preserve"> as appropriate</w:t>
      </w:r>
      <w:r w:rsidR="00CC6D8C">
        <w:t>,</w:t>
      </w:r>
      <w:r w:rsidRPr="00B3375D">
        <w:t xml:space="preserve"> and patients over 2 years of age should wear a facemask or cloth face covering</w:t>
      </w:r>
      <w:r w:rsidR="00CC6D8C">
        <w:t>,</w:t>
      </w:r>
      <w:r w:rsidRPr="00B3375D">
        <w:t xml:space="preserve"> if possible</w:t>
      </w:r>
      <w:r w:rsidR="00CC6D8C">
        <w:t>,</w:t>
      </w:r>
      <w:r w:rsidRPr="00B3375D">
        <w:t xml:space="preserve"> to help limit the spread of the coronavirus.</w:t>
      </w:r>
      <w:r>
        <w:t xml:space="preserve"> Vaccines for Children (VFC) compliance site visits are suspended; however regional Quality Assurance Analysts are contacting providers to ask questions with a limited scope. </w:t>
      </w:r>
    </w:p>
    <w:p w14:paraId="388AACBA" w14:textId="12ADA85F" w:rsidR="00FC6116" w:rsidRDefault="00184FC9" w:rsidP="00181152">
      <w:r>
        <w:t>The following is a compilation of suggestions from the Centers for Disease Control and Prevention (CDC), professional organizations, and providers about how to facilitate vaccination during the pandemic, while protecting patients and staff</w:t>
      </w:r>
      <w:r w:rsidRPr="000F73F9">
        <w:t>.</w:t>
      </w:r>
      <w:r w:rsidR="00AC74B3" w:rsidRPr="000F73F9">
        <w:t xml:space="preserve"> </w:t>
      </w:r>
      <w:r w:rsidRPr="000F73F9">
        <w:t xml:space="preserve"> </w:t>
      </w:r>
      <w:r w:rsidR="00AC74B3" w:rsidRPr="000F73F9">
        <w:t>Pediatricians should inform families about the strategies they are implementing to assure safety.</w:t>
      </w:r>
    </w:p>
    <w:p w14:paraId="3B113317" w14:textId="77777777" w:rsidR="0008359E" w:rsidRPr="00094724" w:rsidRDefault="00184FC9" w:rsidP="0008359E">
      <w:pPr>
        <w:rPr>
          <w:b/>
          <w:bCs/>
        </w:rPr>
      </w:pPr>
      <w:r w:rsidRPr="00094724">
        <w:rPr>
          <w:b/>
          <w:bCs/>
        </w:rPr>
        <w:t>Separation of visits</w:t>
      </w:r>
    </w:p>
    <w:p w14:paraId="1DE1C9D5" w14:textId="77777777" w:rsidR="0008359E" w:rsidRDefault="00184FC9" w:rsidP="0008359E">
      <w:pPr>
        <w:pStyle w:val="ListParagraph"/>
        <w:numPr>
          <w:ilvl w:val="0"/>
          <w:numId w:val="2"/>
        </w:numPr>
      </w:pPr>
      <w:r>
        <w:t>Stagger scheduling of well-child and sick visits. In particular, schedule well visits for the morning, when the office has the lowest chance of contamination.</w:t>
      </w:r>
    </w:p>
    <w:p w14:paraId="7A08A700" w14:textId="77777777" w:rsidR="0008359E" w:rsidRDefault="00184FC9" w:rsidP="00341008">
      <w:pPr>
        <w:pStyle w:val="ListParagraph"/>
        <w:numPr>
          <w:ilvl w:val="0"/>
          <w:numId w:val="2"/>
        </w:numPr>
      </w:pPr>
      <w:r>
        <w:t xml:space="preserve">Stagger scheduling of patients by age groups, concentrating on newborn and well-baby visits, up to age 2, in the morning, and well child or adolescent physicals in the afternoon. </w:t>
      </w:r>
    </w:p>
    <w:p w14:paraId="38FB94CD" w14:textId="77777777" w:rsidR="00341008" w:rsidRDefault="00184FC9" w:rsidP="00341008">
      <w:pPr>
        <w:pStyle w:val="ListParagraph"/>
        <w:numPr>
          <w:ilvl w:val="0"/>
          <w:numId w:val="2"/>
        </w:numPr>
      </w:pPr>
      <w:r>
        <w:t xml:space="preserve">Create separate areas for sick visits and well visits, including separate entrances and exits, if possible. </w:t>
      </w:r>
    </w:p>
    <w:p w14:paraId="2688423C" w14:textId="77777777" w:rsidR="00341008" w:rsidRDefault="00184FC9" w:rsidP="00341008">
      <w:pPr>
        <w:pStyle w:val="ListParagraph"/>
        <w:numPr>
          <w:ilvl w:val="0"/>
          <w:numId w:val="2"/>
        </w:numPr>
      </w:pPr>
      <w:r>
        <w:t xml:space="preserve">Consider working with other practices in your organization or community to hold well visits in a place other than your typical location. </w:t>
      </w:r>
    </w:p>
    <w:p w14:paraId="5461AF65" w14:textId="77777777" w:rsidR="00341008" w:rsidRDefault="00184FC9" w:rsidP="00341008">
      <w:pPr>
        <w:pStyle w:val="ListParagraph"/>
        <w:numPr>
          <w:ilvl w:val="0"/>
          <w:numId w:val="2"/>
        </w:numPr>
      </w:pPr>
      <w:r>
        <w:t>If your practice has more than one location, consider designating one for well visits and one for sick visits.</w:t>
      </w:r>
    </w:p>
    <w:p w14:paraId="429286FD" w14:textId="2B2107A6" w:rsidR="0008359E" w:rsidRDefault="00184FC9" w:rsidP="0008359E">
      <w:r w:rsidRPr="00094724">
        <w:rPr>
          <w:b/>
          <w:bCs/>
        </w:rPr>
        <w:t xml:space="preserve">Avoiding missed opportunities </w:t>
      </w:r>
    </w:p>
    <w:p w14:paraId="0A5174D3" w14:textId="77777777" w:rsidR="0008359E" w:rsidRDefault="00184FC9" w:rsidP="00ED6EFB">
      <w:pPr>
        <w:pStyle w:val="ListParagraph"/>
        <w:numPr>
          <w:ilvl w:val="0"/>
          <w:numId w:val="2"/>
        </w:numPr>
      </w:pPr>
      <w:r>
        <w:t>Continue to check immunization records of patients who arrive for sick visits. In some cases, patients can continue to be immunized.</w:t>
      </w:r>
    </w:p>
    <w:p w14:paraId="71FB7F1E" w14:textId="77777777" w:rsidR="007B40BC" w:rsidRDefault="00184FC9" w:rsidP="007B40BC">
      <w:pPr>
        <w:pStyle w:val="ListParagraph"/>
        <w:numPr>
          <w:ilvl w:val="0"/>
          <w:numId w:val="2"/>
        </w:numPr>
      </w:pPr>
      <w:r>
        <w:t>Use a combined telehealth/in-person visit, performing most of the visit via telehealth, so the patient needs to visit the office only for measurements and immunizations.</w:t>
      </w:r>
    </w:p>
    <w:p w14:paraId="58489224" w14:textId="22101EFB" w:rsidR="00AC74B3" w:rsidRPr="000F73F9" w:rsidRDefault="00232E3A" w:rsidP="00580883">
      <w:pPr>
        <w:pStyle w:val="ListParagraph"/>
        <w:numPr>
          <w:ilvl w:val="0"/>
          <w:numId w:val="2"/>
        </w:numPr>
      </w:pPr>
      <w:r w:rsidRPr="000F73F9">
        <w:t>Now, or upon re-opening, p</w:t>
      </w:r>
      <w:r w:rsidR="00AC74B3" w:rsidRPr="000F73F9">
        <w:t>ediatricians should identify children who have missed well-child visits and/or recommended vaccinations and contact them to schedule in</w:t>
      </w:r>
      <w:r w:rsidR="00366A12">
        <w:t>-</w:t>
      </w:r>
      <w:r w:rsidR="00AC74B3" w:rsidRPr="000F73F9">
        <w:t>person appointments</w:t>
      </w:r>
      <w:r w:rsidR="00366A12">
        <w:t>,</w:t>
      </w:r>
      <w:r w:rsidR="00AC74B3" w:rsidRPr="000F73F9">
        <w:t xml:space="preserve"> inclusive of newborns, infants, children, and adolescents. Pediatricians should work with families to bring children up to date as quickly as possible.</w:t>
      </w:r>
      <w:r w:rsidR="00580883" w:rsidRPr="000F73F9">
        <w:t xml:space="preserve"> </w:t>
      </w:r>
    </w:p>
    <w:p w14:paraId="795EAA51" w14:textId="77777777" w:rsidR="00ED6EFB" w:rsidRPr="00094724" w:rsidRDefault="00184FC9" w:rsidP="00471F11">
      <w:pPr>
        <w:rPr>
          <w:b/>
          <w:bCs/>
        </w:rPr>
      </w:pPr>
      <w:r w:rsidRPr="00094724">
        <w:rPr>
          <w:b/>
          <w:bCs/>
        </w:rPr>
        <w:lastRenderedPageBreak/>
        <w:t>Limiting potential exposure</w:t>
      </w:r>
    </w:p>
    <w:p w14:paraId="3FB8CEDA" w14:textId="77777777" w:rsidR="00471F11" w:rsidRDefault="00184FC9" w:rsidP="00ED6EFB">
      <w:pPr>
        <w:pStyle w:val="ListParagraph"/>
        <w:numPr>
          <w:ilvl w:val="0"/>
          <w:numId w:val="2"/>
        </w:numPr>
      </w:pPr>
      <w:r>
        <w:t>Allot more time for each visit to allow for vigorous cleaning and disinfecting.</w:t>
      </w:r>
    </w:p>
    <w:p w14:paraId="2FE44A8D" w14:textId="77777777" w:rsidR="00DD2ED8" w:rsidRDefault="00184FC9" w:rsidP="00ED6EFB">
      <w:pPr>
        <w:pStyle w:val="ListParagraph"/>
        <w:numPr>
          <w:ilvl w:val="0"/>
          <w:numId w:val="2"/>
        </w:numPr>
      </w:pPr>
      <w:r>
        <w:t>Decrease the number of appointments for each time slot, to decrease the number of people in the office at any one time.</w:t>
      </w:r>
    </w:p>
    <w:p w14:paraId="640CD664" w14:textId="77777777" w:rsidR="0008359E" w:rsidRDefault="00184FC9" w:rsidP="00ED6EFB">
      <w:pPr>
        <w:pStyle w:val="ListParagraph"/>
        <w:numPr>
          <w:ilvl w:val="0"/>
          <w:numId w:val="2"/>
        </w:numPr>
      </w:pPr>
      <w:r>
        <w:t xml:space="preserve">Reduce the number of people in waiting rooms by checking-in patients remotely and have them wait outside or in their car until they can be brought directly into an exam room. </w:t>
      </w:r>
    </w:p>
    <w:p w14:paraId="5B89ABFE" w14:textId="77777777" w:rsidR="00BB4D41" w:rsidRDefault="00184FC9" w:rsidP="00ED6EFB">
      <w:pPr>
        <w:pStyle w:val="ListParagraph"/>
        <w:numPr>
          <w:ilvl w:val="0"/>
          <w:numId w:val="2"/>
        </w:numPr>
      </w:pPr>
      <w:r>
        <w:t xml:space="preserve">Limit visitors to the office by allowing only one adult for each patient. </w:t>
      </w:r>
    </w:p>
    <w:p w14:paraId="4B981E2B" w14:textId="77777777" w:rsidR="00ED6EFB" w:rsidRPr="00094724" w:rsidRDefault="00184FC9" w:rsidP="00ED6EFB">
      <w:pPr>
        <w:rPr>
          <w:b/>
          <w:bCs/>
        </w:rPr>
      </w:pPr>
      <w:r w:rsidRPr="00094724">
        <w:rPr>
          <w:b/>
          <w:bCs/>
        </w:rPr>
        <w:t>Alternative vaccination locations</w:t>
      </w:r>
    </w:p>
    <w:p w14:paraId="25CA2ADE" w14:textId="77777777" w:rsidR="00ED6EFB" w:rsidRDefault="00184FC9" w:rsidP="00ED6EFB">
      <w:pPr>
        <w:pStyle w:val="ListParagraph"/>
        <w:numPr>
          <w:ilvl w:val="0"/>
          <w:numId w:val="2"/>
        </w:numPr>
      </w:pPr>
      <w:r>
        <w:t>If there is space, consider setting up a stationary mobile van or tent to serve as an exam room. Patients can receive care without entering your clinic.</w:t>
      </w:r>
    </w:p>
    <w:p w14:paraId="57DB58EB" w14:textId="77777777" w:rsidR="00ED6EFB" w:rsidRDefault="00184FC9" w:rsidP="00ED6EFB">
      <w:pPr>
        <w:pStyle w:val="ListParagraph"/>
        <w:numPr>
          <w:ilvl w:val="0"/>
          <w:numId w:val="2"/>
        </w:numPr>
      </w:pPr>
      <w:r>
        <w:t>If there is access, consider using a mobile van or ambulance to conduct home visits. Patients would enter the van/ambulance for exams and vaccinations.</w:t>
      </w:r>
    </w:p>
    <w:p w14:paraId="14EF1A26" w14:textId="77777777" w:rsidR="002F3D3E" w:rsidRDefault="00184FC9" w:rsidP="00ED6EFB">
      <w:pPr>
        <w:pStyle w:val="ListParagraph"/>
        <w:numPr>
          <w:ilvl w:val="0"/>
          <w:numId w:val="2"/>
        </w:numPr>
      </w:pPr>
      <w:r>
        <w:t xml:space="preserve">Please contact the Vaccine Management Unit for temporary vaccine storage guidance. The following items are required for temporary vaccine storage: </w:t>
      </w:r>
    </w:p>
    <w:p w14:paraId="33CAD110" w14:textId="77777777" w:rsidR="007F3FC5" w:rsidRDefault="00184FC9" w:rsidP="007F3FC5">
      <w:pPr>
        <w:pStyle w:val="ListParagraph"/>
        <w:numPr>
          <w:ilvl w:val="1"/>
          <w:numId w:val="2"/>
        </w:numPr>
      </w:pPr>
      <w:r>
        <w:t>Hard-sided cooler</w:t>
      </w:r>
    </w:p>
    <w:p w14:paraId="06C32191" w14:textId="77777777" w:rsidR="007F3FC5" w:rsidRDefault="00184FC9" w:rsidP="007F3FC5">
      <w:pPr>
        <w:pStyle w:val="ListParagraph"/>
        <w:numPr>
          <w:ilvl w:val="1"/>
          <w:numId w:val="2"/>
        </w:numPr>
      </w:pPr>
      <w:r>
        <w:t>Water bottles</w:t>
      </w:r>
    </w:p>
    <w:p w14:paraId="06EB677C" w14:textId="77777777" w:rsidR="007F3FC5" w:rsidRDefault="00184FC9" w:rsidP="007F3FC5">
      <w:pPr>
        <w:pStyle w:val="ListParagraph"/>
        <w:numPr>
          <w:ilvl w:val="1"/>
          <w:numId w:val="2"/>
        </w:numPr>
      </w:pPr>
      <w:r>
        <w:t>Corrugated cardboard</w:t>
      </w:r>
    </w:p>
    <w:p w14:paraId="0FEDAF2E" w14:textId="77777777" w:rsidR="007F3FC5" w:rsidRDefault="00184FC9" w:rsidP="007F3FC5">
      <w:pPr>
        <w:pStyle w:val="ListParagraph"/>
        <w:numPr>
          <w:ilvl w:val="1"/>
          <w:numId w:val="2"/>
        </w:numPr>
      </w:pPr>
      <w:r>
        <w:t>Bubble wrap</w:t>
      </w:r>
    </w:p>
    <w:p w14:paraId="2C6634DB" w14:textId="23AE89EE" w:rsidR="00644356" w:rsidRDefault="00184FC9" w:rsidP="00644356">
      <w:pPr>
        <w:pStyle w:val="ListParagraph"/>
        <w:numPr>
          <w:ilvl w:val="1"/>
          <w:numId w:val="2"/>
        </w:numPr>
      </w:pPr>
      <w:r>
        <w:t>Additional Digital Data Logger (DDL). When possible</w:t>
      </w:r>
      <w:r w:rsidR="000F73F9">
        <w:t>,</w:t>
      </w:r>
      <w:r>
        <w:t xml:space="preserve"> sites should use a back-up DDL, but the Vaccine Management Unit has a limited supply of additional DDLs that can be made available for temporary vaccine storage. </w:t>
      </w:r>
    </w:p>
    <w:p w14:paraId="07EDFDB3" w14:textId="3975635F" w:rsidR="003F0D31" w:rsidRDefault="00184FC9" w:rsidP="00181152">
      <w:pPr>
        <w:pStyle w:val="ListParagraph"/>
        <w:numPr>
          <w:ilvl w:val="0"/>
          <w:numId w:val="2"/>
        </w:numPr>
      </w:pPr>
      <w:r>
        <w:t>Sites that plan on setting up temporary vaccine storage must upload DDL reports weekly.</w:t>
      </w:r>
    </w:p>
    <w:p w14:paraId="502A677C" w14:textId="77777777" w:rsidR="006A509C" w:rsidRPr="00094724" w:rsidRDefault="00184FC9">
      <w:pPr>
        <w:rPr>
          <w:b/>
          <w:bCs/>
        </w:rPr>
      </w:pPr>
      <w:r w:rsidRPr="00094724">
        <w:rPr>
          <w:b/>
          <w:bCs/>
        </w:rPr>
        <w:t>State-supplied vaccine storage and handling considerations during/after temporary provider closings</w:t>
      </w:r>
    </w:p>
    <w:p w14:paraId="05D0E760" w14:textId="77777777" w:rsidR="00BB4D41" w:rsidRDefault="00184FC9" w:rsidP="00BB4D41">
      <w:pPr>
        <w:pStyle w:val="ListParagraph"/>
        <w:numPr>
          <w:ilvl w:val="0"/>
          <w:numId w:val="3"/>
        </w:numPr>
      </w:pPr>
      <w:r>
        <w:t>Call the Vaccine Management Unit for any temporary provider closings.</w:t>
      </w:r>
    </w:p>
    <w:p w14:paraId="3A4913DC" w14:textId="77777777" w:rsidR="00BB4D41" w:rsidRDefault="00184FC9" w:rsidP="00BB4D41">
      <w:pPr>
        <w:pStyle w:val="ListParagraph"/>
        <w:numPr>
          <w:ilvl w:val="0"/>
          <w:numId w:val="3"/>
        </w:numPr>
      </w:pPr>
      <w:r>
        <w:t>Continue to upload digital data logger reports monthly as long as possible. If not possible, contact the Vaccine Management Unit.</w:t>
      </w:r>
    </w:p>
    <w:p w14:paraId="208BAB6D" w14:textId="77777777" w:rsidR="00BB4D41" w:rsidRDefault="00184FC9" w:rsidP="00BB4D41">
      <w:pPr>
        <w:pStyle w:val="ListParagraph"/>
        <w:numPr>
          <w:ilvl w:val="0"/>
          <w:numId w:val="3"/>
        </w:numPr>
      </w:pPr>
      <w:r>
        <w:t>Prior to resuming administering state-supplied vaccines, review and upload digital data logger data to ensure that there are no temperature excursions.</w:t>
      </w:r>
    </w:p>
    <w:p w14:paraId="293C3989" w14:textId="5F8154C7" w:rsidR="00BB4D41" w:rsidRDefault="00184FC9" w:rsidP="00BB4D41">
      <w:pPr>
        <w:pStyle w:val="ListParagraph"/>
        <w:numPr>
          <w:ilvl w:val="0"/>
          <w:numId w:val="3"/>
        </w:numPr>
      </w:pPr>
      <w:r>
        <w:t xml:space="preserve">The Vaccine Management Unit is open, and remote </w:t>
      </w:r>
      <w:proofErr w:type="gramStart"/>
      <w:r>
        <w:t>staff are</w:t>
      </w:r>
      <w:proofErr w:type="gramEnd"/>
      <w:r>
        <w:t xml:space="preserve"> still processing orders and are available to answer questions and troubleshoot storage and handling issues.</w:t>
      </w:r>
    </w:p>
    <w:p w14:paraId="78310BB7" w14:textId="77777777" w:rsidR="000F73F9" w:rsidRDefault="000F73F9">
      <w:pPr>
        <w:rPr>
          <w:b/>
          <w:bCs/>
        </w:rPr>
      </w:pPr>
    </w:p>
    <w:p w14:paraId="3EE6E81F" w14:textId="77777777" w:rsidR="000F73F9" w:rsidRDefault="000F73F9">
      <w:pPr>
        <w:rPr>
          <w:b/>
          <w:bCs/>
        </w:rPr>
      </w:pPr>
    </w:p>
    <w:p w14:paraId="7CB7AF2D" w14:textId="77777777" w:rsidR="000F73F9" w:rsidRDefault="000F73F9">
      <w:pPr>
        <w:rPr>
          <w:b/>
          <w:bCs/>
        </w:rPr>
      </w:pPr>
    </w:p>
    <w:p w14:paraId="77FECAA0" w14:textId="77777777" w:rsidR="000F73F9" w:rsidRDefault="000F73F9">
      <w:pPr>
        <w:rPr>
          <w:b/>
          <w:bCs/>
        </w:rPr>
      </w:pPr>
    </w:p>
    <w:p w14:paraId="7C45FAAC" w14:textId="77777777" w:rsidR="000F73F9" w:rsidRDefault="000F73F9">
      <w:pPr>
        <w:rPr>
          <w:b/>
          <w:bCs/>
        </w:rPr>
      </w:pPr>
    </w:p>
    <w:p w14:paraId="0677F472" w14:textId="04B058A9" w:rsidR="00BB4D41" w:rsidRPr="00094724" w:rsidRDefault="00184FC9" w:rsidP="000F73F9">
      <w:pPr>
        <w:jc w:val="center"/>
        <w:rPr>
          <w:b/>
          <w:bCs/>
        </w:rPr>
      </w:pPr>
      <w:r w:rsidRPr="00094724">
        <w:rPr>
          <w:b/>
          <w:bCs/>
        </w:rPr>
        <w:lastRenderedPageBreak/>
        <w:t>Resources</w:t>
      </w:r>
    </w:p>
    <w:p w14:paraId="42E96B51" w14:textId="77777777" w:rsidR="00FC6116" w:rsidRPr="005173FA" w:rsidRDefault="00184FC9" w:rsidP="00FC6116">
      <w:pPr>
        <w:spacing w:after="0" w:line="240" w:lineRule="auto"/>
        <w:rPr>
          <w:b/>
          <w:bCs/>
        </w:rPr>
      </w:pPr>
      <w:r w:rsidRPr="005173FA">
        <w:rPr>
          <w:b/>
          <w:bCs/>
        </w:rPr>
        <w:t>CDC Immunization Schedule Changes and Guidance</w:t>
      </w:r>
    </w:p>
    <w:p w14:paraId="5AD4B02F" w14:textId="099D1CB2" w:rsidR="00BF22A7" w:rsidRPr="005173FA" w:rsidRDefault="00184FC9" w:rsidP="00FC6116">
      <w:pPr>
        <w:spacing w:after="0" w:line="240" w:lineRule="auto"/>
        <w:rPr>
          <w:bCs/>
        </w:rPr>
      </w:pPr>
      <w:r w:rsidRPr="005173FA">
        <w:rPr>
          <w:bCs/>
        </w:rPr>
        <w:t>Includes changes to the immunization recommendations for children and adults, due to the COVID-19 pandemic.</w:t>
      </w:r>
      <w:r w:rsidR="00181152">
        <w:rPr>
          <w:bCs/>
        </w:rPr>
        <w:t xml:space="preserve"> </w:t>
      </w:r>
      <w:hyperlink r:id="rId8" w:history="1">
        <w:r w:rsidRPr="00BF22A7">
          <w:rPr>
            <w:color w:val="0000FF"/>
            <w:u w:val="single"/>
          </w:rPr>
          <w:t>https://www.cdc.gov/vaccines/schedules/hcp/schedule-changes.html</w:t>
        </w:r>
      </w:hyperlink>
    </w:p>
    <w:p w14:paraId="681855C6" w14:textId="77777777" w:rsidR="000F73F9" w:rsidRDefault="000F73F9" w:rsidP="00FC6116">
      <w:pPr>
        <w:spacing w:after="0" w:line="240" w:lineRule="auto"/>
        <w:rPr>
          <w:b/>
        </w:rPr>
      </w:pPr>
    </w:p>
    <w:p w14:paraId="0F044618" w14:textId="089F8C89" w:rsidR="00FC6116" w:rsidRPr="000F73F9" w:rsidRDefault="00184FC9" w:rsidP="00FC6116">
      <w:pPr>
        <w:spacing w:after="0" w:line="240" w:lineRule="auto"/>
        <w:rPr>
          <w:b/>
        </w:rPr>
      </w:pPr>
      <w:r w:rsidRPr="000F73F9">
        <w:rPr>
          <w:b/>
        </w:rPr>
        <w:t>AAP Guidance on Providing Pediatric Well-Care during COVID-19</w:t>
      </w:r>
    </w:p>
    <w:p w14:paraId="06D82745" w14:textId="21284901" w:rsidR="00FC6116" w:rsidRDefault="00DB45CF" w:rsidP="00FC6116">
      <w:pPr>
        <w:spacing w:after="0"/>
        <w:rPr>
          <w:b/>
        </w:rPr>
      </w:pPr>
      <w:hyperlink r:id="rId9" w:history="1">
        <w:r w:rsidR="00184FC9" w:rsidRPr="00181152">
          <w:rPr>
            <w:color w:val="0000FF"/>
            <w:u w:val="single"/>
          </w:rPr>
          <w:t>https://services.aap.org/en/pages/2019-novel-coronavirus-covid-19-infections/guidance-on-providing-pediatric-well-care-during-covid-19/</w:t>
        </w:r>
      </w:hyperlink>
    </w:p>
    <w:p w14:paraId="2D6748BA" w14:textId="77777777" w:rsidR="008C3993" w:rsidRDefault="008C3993" w:rsidP="00FC6116">
      <w:pPr>
        <w:spacing w:after="0"/>
        <w:rPr>
          <w:b/>
        </w:rPr>
      </w:pPr>
    </w:p>
    <w:p w14:paraId="6E5DC60F" w14:textId="77777777" w:rsidR="00FC6116" w:rsidRPr="003243E9" w:rsidRDefault="00184FC9" w:rsidP="00FC6116">
      <w:pPr>
        <w:spacing w:after="0" w:line="240" w:lineRule="auto"/>
        <w:rPr>
          <w:b/>
        </w:rPr>
      </w:pPr>
      <w:r w:rsidRPr="003243E9">
        <w:rPr>
          <w:b/>
        </w:rPr>
        <w:t>AAFP COVID-19 Guidance for Family Physicians on Preventive and Non-Urgent Care</w:t>
      </w:r>
    </w:p>
    <w:p w14:paraId="1E841A06" w14:textId="77777777" w:rsidR="00FC6116" w:rsidRDefault="00DB45CF" w:rsidP="00FC6116">
      <w:pPr>
        <w:spacing w:after="0" w:line="240" w:lineRule="auto"/>
      </w:pPr>
      <w:hyperlink r:id="rId10" w:history="1">
        <w:r w:rsidR="00184FC9" w:rsidRPr="00413FF0">
          <w:rPr>
            <w:rStyle w:val="Hyperlink"/>
          </w:rPr>
          <w:t>https://www.aafp.org/dam/AAFP/documents/patient_care/public_health/AAFP-COVID-Non-Urgent-Care-Statement.pdf</w:t>
        </w:r>
      </w:hyperlink>
    </w:p>
    <w:p w14:paraId="4CE7134C" w14:textId="77777777" w:rsidR="00FC6116" w:rsidRDefault="00DB45CF" w:rsidP="007C27EC">
      <w:pPr>
        <w:spacing w:after="0" w:line="240" w:lineRule="auto"/>
        <w:rPr>
          <w:b/>
        </w:rPr>
      </w:pPr>
    </w:p>
    <w:p w14:paraId="57DC3083" w14:textId="77777777" w:rsidR="00FC6116" w:rsidRPr="003243E9" w:rsidRDefault="00184FC9" w:rsidP="00FC6116">
      <w:pPr>
        <w:spacing w:after="0" w:line="240" w:lineRule="auto"/>
        <w:rPr>
          <w:b/>
        </w:rPr>
      </w:pPr>
      <w:r w:rsidRPr="003243E9">
        <w:rPr>
          <w:b/>
        </w:rPr>
        <w:t>American College of Physicians (ACP), Statement on Non-Urgent In-Person Medical Care</w:t>
      </w:r>
    </w:p>
    <w:p w14:paraId="353DECA1" w14:textId="77777777" w:rsidR="00FC6116" w:rsidRPr="003243E9" w:rsidRDefault="00DB45CF" w:rsidP="00FC6116">
      <w:pPr>
        <w:spacing w:after="0" w:line="240" w:lineRule="auto"/>
      </w:pPr>
      <w:hyperlink r:id="rId11" w:history="1">
        <w:r w:rsidR="00184FC9" w:rsidRPr="003243E9">
          <w:rPr>
            <w:rStyle w:val="Hyperlink"/>
          </w:rPr>
          <w:t>https://www.acponline.org/acp_policy/policies/statement_on_non_urgent_in-person_medical_care_2020.pdf</w:t>
        </w:r>
      </w:hyperlink>
    </w:p>
    <w:p w14:paraId="23ABAA91" w14:textId="77777777" w:rsidR="00FC6116" w:rsidRDefault="00DB45CF" w:rsidP="00FC6116">
      <w:pPr>
        <w:spacing w:after="0" w:line="240" w:lineRule="auto"/>
        <w:rPr>
          <w:b/>
        </w:rPr>
      </w:pPr>
    </w:p>
    <w:p w14:paraId="0BBB3A7F" w14:textId="77777777" w:rsidR="00FC6116" w:rsidRDefault="00184FC9" w:rsidP="00FC6116">
      <w:pPr>
        <w:spacing w:after="0" w:line="240" w:lineRule="auto"/>
        <w:rPr>
          <w:rStyle w:val="Hyperlink"/>
        </w:rPr>
      </w:pPr>
      <w:r>
        <w:rPr>
          <w:b/>
        </w:rPr>
        <w:t>Children’s Hospital of Philadelphia:</w:t>
      </w:r>
      <w:r w:rsidRPr="005173FA">
        <w:rPr>
          <w:b/>
        </w:rPr>
        <w:t xml:space="preserve"> </w:t>
      </w:r>
      <w:r w:rsidRPr="007B40BC">
        <w:rPr>
          <w:b/>
        </w:rPr>
        <w:t>News &amp; Views: Are You Still Vaccinating During the Coronavirus Pandemic</w:t>
      </w:r>
      <w:r w:rsidRPr="007B40BC" w:rsidDel="006F1DF2">
        <w:rPr>
          <w:b/>
        </w:rPr>
        <w:t xml:space="preserve">? </w:t>
      </w:r>
      <w:hyperlink r:id="rId12" w:history="1">
        <w:r>
          <w:rPr>
            <w:rStyle w:val="Hyperlink"/>
          </w:rPr>
          <w:t>https://www.chop.edu/news/news-views-are-you-still-vaccinating-during-coronavirus-pandemic</w:t>
        </w:r>
      </w:hyperlink>
    </w:p>
    <w:p w14:paraId="28BFC7FF" w14:textId="77777777" w:rsidR="00FC6116" w:rsidRDefault="00DB45CF" w:rsidP="00FC6116">
      <w:pPr>
        <w:spacing w:after="0" w:line="240" w:lineRule="auto"/>
        <w:rPr>
          <w:b/>
          <w:bCs/>
        </w:rPr>
      </w:pPr>
    </w:p>
    <w:p w14:paraId="60683B68" w14:textId="77777777" w:rsidR="00FC6116" w:rsidRPr="005173FA" w:rsidRDefault="00184FC9" w:rsidP="00FC6116">
      <w:pPr>
        <w:spacing w:after="0" w:line="240" w:lineRule="auto"/>
        <w:rPr>
          <w:b/>
          <w:bCs/>
        </w:rPr>
      </w:pPr>
      <w:r w:rsidRPr="005173FA">
        <w:rPr>
          <w:b/>
          <w:bCs/>
        </w:rPr>
        <w:t>Recommended Immunization Schedule</w:t>
      </w:r>
      <w:r>
        <w:rPr>
          <w:b/>
          <w:bCs/>
        </w:rPr>
        <w:t>s</w:t>
      </w:r>
      <w:r w:rsidRPr="005173FA">
        <w:rPr>
          <w:b/>
          <w:bCs/>
        </w:rPr>
        <w:t xml:space="preserve"> for </w:t>
      </w:r>
      <w:r>
        <w:rPr>
          <w:b/>
          <w:bCs/>
        </w:rPr>
        <w:t>Children and Adults</w:t>
      </w:r>
      <w:r w:rsidRPr="005173FA">
        <w:rPr>
          <w:b/>
          <w:bCs/>
        </w:rPr>
        <w:t>, United States, 2020, CDC, 2/20</w:t>
      </w:r>
    </w:p>
    <w:p w14:paraId="53327D9E" w14:textId="5309E872" w:rsidR="00181152" w:rsidRDefault="00DB45CF" w:rsidP="00FC6116">
      <w:pPr>
        <w:spacing w:after="0"/>
      </w:pPr>
      <w:hyperlink r:id="rId13" w:history="1">
        <w:r w:rsidR="00184FC9" w:rsidRPr="00413FF0">
          <w:rPr>
            <w:rStyle w:val="Hyperlink"/>
          </w:rPr>
          <w:t>https://www.cdc.gov/vaccines/schedules/index.html</w:t>
        </w:r>
      </w:hyperlink>
    </w:p>
    <w:p w14:paraId="00E73125" w14:textId="77777777" w:rsidR="00181152" w:rsidRDefault="00181152" w:rsidP="00FF7B61">
      <w:pPr>
        <w:spacing w:after="0" w:line="240" w:lineRule="auto"/>
        <w:rPr>
          <w:rStyle w:val="Hyperlink"/>
        </w:rPr>
      </w:pPr>
    </w:p>
    <w:p w14:paraId="5807D50D" w14:textId="69FD4C71" w:rsidR="00FF7B61" w:rsidRDefault="00FF7B61" w:rsidP="00FF7B61">
      <w:pPr>
        <w:spacing w:after="0" w:line="240" w:lineRule="auto"/>
      </w:pPr>
      <w:r w:rsidRPr="00181152">
        <w:rPr>
          <w:b/>
          <w:bCs/>
        </w:rPr>
        <w:t>Effects of the COVID-19 Pandemic on Routine Pediatric Vaccine Ordering and Administration — United States, 2020.</w:t>
      </w:r>
      <w:r w:rsidRPr="00181152">
        <w:t xml:space="preserve"> MMWR</w:t>
      </w:r>
      <w:r w:rsidR="00181152">
        <w:t>,</w:t>
      </w:r>
      <w:r w:rsidRPr="00181152">
        <w:t xml:space="preserve"> May </w:t>
      </w:r>
      <w:r w:rsidR="00181152">
        <w:t xml:space="preserve">8, </w:t>
      </w:r>
      <w:r w:rsidRPr="00181152">
        <w:t xml:space="preserve">2020. </w:t>
      </w:r>
      <w:hyperlink r:id="rId14" w:history="1">
        <w:r w:rsidR="00181152" w:rsidRPr="00181152">
          <w:rPr>
            <w:color w:val="0000FF"/>
            <w:u w:val="single"/>
          </w:rPr>
          <w:t>https://www.cdc.gov/mmwr/volumes/69/wr/mm6919e2.htm</w:t>
        </w:r>
      </w:hyperlink>
    </w:p>
    <w:sectPr w:rsidR="00FF7B61" w:rsidSect="00B57C42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41C4E" w14:textId="77777777" w:rsidR="00DB45CF" w:rsidRDefault="00DB45CF" w:rsidP="00BB0613">
      <w:pPr>
        <w:spacing w:after="0" w:line="240" w:lineRule="auto"/>
      </w:pPr>
      <w:r>
        <w:separator/>
      </w:r>
    </w:p>
  </w:endnote>
  <w:endnote w:type="continuationSeparator" w:id="0">
    <w:p w14:paraId="4676A295" w14:textId="77777777" w:rsidR="00DB45CF" w:rsidRDefault="00DB45CF" w:rsidP="00BB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087B5" w14:textId="77777777" w:rsidR="00094724" w:rsidRDefault="00184FC9" w:rsidP="0009472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EB17DE" wp14:editId="7BFF7C7B">
          <wp:simplePos x="0" y="0"/>
          <wp:positionH relativeFrom="column">
            <wp:posOffset>5546090</wp:posOffset>
          </wp:positionH>
          <wp:positionV relativeFrom="paragraph">
            <wp:posOffset>-226520</wp:posOffset>
          </wp:positionV>
          <wp:extent cx="1104265" cy="69913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 Immunize Logo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May 11, 2020</w:t>
    </w:r>
    <w:r>
      <w:tab/>
    </w:r>
    <w:r w:rsidRPr="00550226">
      <w:rPr>
        <w:sz w:val="20"/>
        <w:szCs w:val="20"/>
      </w:rPr>
      <w:t>COVID19 Immunization Guidance</w:t>
    </w:r>
  </w:p>
  <w:p w14:paraId="3962F515" w14:textId="77777777" w:rsidR="00BB0613" w:rsidRDefault="00DB45CF" w:rsidP="00B57C4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BC17" w14:textId="77777777" w:rsidR="00B57C42" w:rsidRDefault="00184FC9" w:rsidP="00B57C42">
    <w:pPr>
      <w:pStyle w:val="Footer"/>
    </w:pPr>
    <w:bookmarkStart w:id="1" w:name="_Hlk39657313"/>
    <w:bookmarkStart w:id="2" w:name="_Hlk39657314"/>
    <w:r>
      <w:rPr>
        <w:noProof/>
      </w:rPr>
      <w:drawing>
        <wp:anchor distT="0" distB="0" distL="114300" distR="114300" simplePos="0" relativeHeight="251659264" behindDoc="1" locked="0" layoutInCell="1" allowOverlap="1" wp14:anchorId="5B0D8AE4" wp14:editId="3196434A">
          <wp:simplePos x="0" y="0"/>
          <wp:positionH relativeFrom="column">
            <wp:posOffset>5546090</wp:posOffset>
          </wp:positionH>
          <wp:positionV relativeFrom="paragraph">
            <wp:posOffset>-226520</wp:posOffset>
          </wp:positionV>
          <wp:extent cx="1104265" cy="699135"/>
          <wp:effectExtent l="0" t="0" r="63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 Immunize Logo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May 11, 2020</w:t>
    </w:r>
    <w:r>
      <w:tab/>
    </w:r>
    <w:r w:rsidRPr="00094724">
      <w:rPr>
        <w:sz w:val="20"/>
        <w:szCs w:val="20"/>
      </w:rPr>
      <w:t>COVID19 Immunization Guidance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290CA" w14:textId="77777777" w:rsidR="00DB45CF" w:rsidRDefault="00DB45CF" w:rsidP="00BB0613">
      <w:pPr>
        <w:spacing w:after="0" w:line="240" w:lineRule="auto"/>
      </w:pPr>
      <w:r>
        <w:separator/>
      </w:r>
    </w:p>
  </w:footnote>
  <w:footnote w:type="continuationSeparator" w:id="0">
    <w:p w14:paraId="4531FD25" w14:textId="77777777" w:rsidR="00DB45CF" w:rsidRDefault="00DB45CF" w:rsidP="00BB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FC0DA" w14:textId="77777777" w:rsidR="00B57C42" w:rsidRDefault="00184FC9" w:rsidP="00B57C4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77CE9" wp14:editId="1E5FC4CC">
          <wp:simplePos x="0" y="0"/>
          <wp:positionH relativeFrom="column">
            <wp:posOffset>-631825</wp:posOffset>
          </wp:positionH>
          <wp:positionV relativeFrom="paragraph">
            <wp:posOffset>-338455</wp:posOffset>
          </wp:positionV>
          <wp:extent cx="755015" cy="755015"/>
          <wp:effectExtent l="0" t="0" r="6985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Massachusetts Department of Public Health</w:t>
    </w:r>
  </w:p>
  <w:p w14:paraId="0F463899" w14:textId="77777777" w:rsidR="00B57C42" w:rsidRPr="00B57C42" w:rsidRDefault="00184FC9" w:rsidP="00B57C42">
    <w:pPr>
      <w:pStyle w:val="Header"/>
      <w:jc w:val="center"/>
    </w:pPr>
    <w:r>
      <w:t>Immunization Division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hybridMultilevel"/>
    <w:tmpl w:val="00000886"/>
    <w:lvl w:ilvl="0" w:tplc="3F6A4DCE">
      <w:numFmt w:val="bullet"/>
      <w:lvlText w:val=""/>
      <w:lvlJc w:val="left"/>
      <w:pPr>
        <w:ind w:left="837" w:hanging="361"/>
      </w:pPr>
      <w:rPr>
        <w:rFonts w:ascii="Symbol" w:hAnsi="Symbol" w:cs="Symbol"/>
        <w:b w:val="0"/>
        <w:bCs w:val="0"/>
        <w:sz w:val="22"/>
        <w:szCs w:val="22"/>
      </w:rPr>
    </w:lvl>
    <w:lvl w:ilvl="1" w:tplc="32FAE6DE">
      <w:numFmt w:val="bullet"/>
      <w:lvlText w:val="•"/>
      <w:lvlJc w:val="left"/>
      <w:pPr>
        <w:ind w:left="1855" w:hanging="361"/>
      </w:pPr>
    </w:lvl>
    <w:lvl w:ilvl="2" w:tplc="5A189F9E">
      <w:numFmt w:val="bullet"/>
      <w:lvlText w:val="•"/>
      <w:lvlJc w:val="left"/>
      <w:pPr>
        <w:ind w:left="2873" w:hanging="361"/>
      </w:pPr>
    </w:lvl>
    <w:lvl w:ilvl="3" w:tplc="0E9CCB40">
      <w:numFmt w:val="bullet"/>
      <w:lvlText w:val="•"/>
      <w:lvlJc w:val="left"/>
      <w:pPr>
        <w:ind w:left="3891" w:hanging="361"/>
      </w:pPr>
    </w:lvl>
    <w:lvl w:ilvl="4" w:tplc="D45A3442">
      <w:numFmt w:val="bullet"/>
      <w:lvlText w:val="•"/>
      <w:lvlJc w:val="left"/>
      <w:pPr>
        <w:ind w:left="4909" w:hanging="361"/>
      </w:pPr>
    </w:lvl>
    <w:lvl w:ilvl="5" w:tplc="1C3460E0">
      <w:numFmt w:val="bullet"/>
      <w:lvlText w:val="•"/>
      <w:lvlJc w:val="left"/>
      <w:pPr>
        <w:ind w:left="5927" w:hanging="361"/>
      </w:pPr>
    </w:lvl>
    <w:lvl w:ilvl="6" w:tplc="FE5E0AF2">
      <w:numFmt w:val="bullet"/>
      <w:lvlText w:val="•"/>
      <w:lvlJc w:val="left"/>
      <w:pPr>
        <w:ind w:left="6945" w:hanging="361"/>
      </w:pPr>
    </w:lvl>
    <w:lvl w:ilvl="7" w:tplc="2F6A40B6">
      <w:numFmt w:val="bullet"/>
      <w:lvlText w:val="•"/>
      <w:lvlJc w:val="left"/>
      <w:pPr>
        <w:ind w:left="7963" w:hanging="361"/>
      </w:pPr>
    </w:lvl>
    <w:lvl w:ilvl="8" w:tplc="084ED718">
      <w:numFmt w:val="bullet"/>
      <w:lvlText w:val="•"/>
      <w:lvlJc w:val="left"/>
      <w:pPr>
        <w:ind w:left="8981" w:hanging="361"/>
      </w:pPr>
    </w:lvl>
  </w:abstractNum>
  <w:abstractNum w:abstractNumId="1">
    <w:nsid w:val="06D7147B"/>
    <w:multiLevelType w:val="hybridMultilevel"/>
    <w:tmpl w:val="0F90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1EF7"/>
    <w:multiLevelType w:val="hybridMultilevel"/>
    <w:tmpl w:val="65B2E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352AF7"/>
    <w:multiLevelType w:val="hybridMultilevel"/>
    <w:tmpl w:val="231C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714B8"/>
    <w:multiLevelType w:val="hybridMultilevel"/>
    <w:tmpl w:val="07EEA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36005C"/>
    <w:multiLevelType w:val="hybridMultilevel"/>
    <w:tmpl w:val="E21A89A6"/>
    <w:lvl w:ilvl="0" w:tplc="4FB422CE">
      <w:start w:val="1"/>
      <w:numFmt w:val="decimal"/>
      <w:lvlText w:val="%1."/>
      <w:lvlJc w:val="left"/>
      <w:pPr>
        <w:ind w:left="720" w:hanging="360"/>
      </w:pPr>
    </w:lvl>
    <w:lvl w:ilvl="1" w:tplc="821A886E">
      <w:start w:val="1"/>
      <w:numFmt w:val="decimal"/>
      <w:lvlText w:val="%2."/>
      <w:lvlJc w:val="left"/>
      <w:pPr>
        <w:ind w:left="1440" w:hanging="1080"/>
      </w:pPr>
    </w:lvl>
    <w:lvl w:ilvl="2" w:tplc="4838FF32">
      <w:start w:val="1"/>
      <w:numFmt w:val="decimal"/>
      <w:lvlText w:val="%3."/>
      <w:lvlJc w:val="left"/>
      <w:pPr>
        <w:ind w:left="2160" w:hanging="1980"/>
      </w:pPr>
    </w:lvl>
    <w:lvl w:ilvl="3" w:tplc="E290589C">
      <w:start w:val="1"/>
      <w:numFmt w:val="decimal"/>
      <w:lvlText w:val="%4."/>
      <w:lvlJc w:val="left"/>
      <w:pPr>
        <w:ind w:left="2880" w:hanging="2520"/>
      </w:pPr>
    </w:lvl>
    <w:lvl w:ilvl="4" w:tplc="DBB2CA52">
      <w:start w:val="1"/>
      <w:numFmt w:val="decimal"/>
      <w:lvlText w:val="%5."/>
      <w:lvlJc w:val="left"/>
      <w:pPr>
        <w:ind w:left="3600" w:hanging="3240"/>
      </w:pPr>
    </w:lvl>
    <w:lvl w:ilvl="5" w:tplc="2C5E8DC2">
      <w:start w:val="1"/>
      <w:numFmt w:val="decimal"/>
      <w:lvlText w:val="%6."/>
      <w:lvlJc w:val="left"/>
      <w:pPr>
        <w:ind w:left="4320" w:hanging="4140"/>
      </w:pPr>
    </w:lvl>
    <w:lvl w:ilvl="6" w:tplc="D8B64868">
      <w:start w:val="1"/>
      <w:numFmt w:val="decimal"/>
      <w:lvlText w:val="%7."/>
      <w:lvlJc w:val="left"/>
      <w:pPr>
        <w:ind w:left="5040" w:hanging="4680"/>
      </w:pPr>
    </w:lvl>
    <w:lvl w:ilvl="7" w:tplc="15E2FA0C">
      <w:start w:val="1"/>
      <w:numFmt w:val="decimal"/>
      <w:lvlText w:val="%8."/>
      <w:lvlJc w:val="left"/>
      <w:pPr>
        <w:ind w:left="5760" w:hanging="5400"/>
      </w:pPr>
    </w:lvl>
    <w:lvl w:ilvl="8" w:tplc="23ACD8CE">
      <w:start w:val="1"/>
      <w:numFmt w:val="decimal"/>
      <w:lvlText w:val="%9."/>
      <w:lvlJc w:val="left"/>
      <w:pPr>
        <w:ind w:left="6480" w:hanging="6300"/>
      </w:pPr>
    </w:lvl>
  </w:abstractNum>
  <w:abstractNum w:abstractNumId="6">
    <w:nsid w:val="6F136FA6"/>
    <w:multiLevelType w:val="hybridMultilevel"/>
    <w:tmpl w:val="28883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C00725"/>
    <w:multiLevelType w:val="hybridMultilevel"/>
    <w:tmpl w:val="6BA4F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B3"/>
    <w:rsid w:val="000F73F9"/>
    <w:rsid w:val="00181152"/>
    <w:rsid w:val="00184FC9"/>
    <w:rsid w:val="00232E3A"/>
    <w:rsid w:val="00294E06"/>
    <w:rsid w:val="003271AE"/>
    <w:rsid w:val="00366A12"/>
    <w:rsid w:val="005770F4"/>
    <w:rsid w:val="00580883"/>
    <w:rsid w:val="006B5EC6"/>
    <w:rsid w:val="008C3993"/>
    <w:rsid w:val="00AC74B3"/>
    <w:rsid w:val="00CC6D8C"/>
    <w:rsid w:val="00DB45CF"/>
    <w:rsid w:val="00DD77CB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C2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13"/>
  </w:style>
  <w:style w:type="paragraph" w:styleId="Footer">
    <w:name w:val="footer"/>
    <w:basedOn w:val="Normal"/>
    <w:link w:val="FooterChar"/>
    <w:uiPriority w:val="99"/>
    <w:unhideWhenUsed/>
    <w:rsid w:val="00BB0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13"/>
  </w:style>
  <w:style w:type="paragraph" w:styleId="Title">
    <w:name w:val="Title"/>
    <w:basedOn w:val="Normal"/>
    <w:link w:val="TitleChar"/>
    <w:qFormat/>
    <w:rsid w:val="00BB0613"/>
    <w:pPr>
      <w:tabs>
        <w:tab w:val="left" w:pos="-792"/>
        <w:tab w:val="left" w:pos="-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B06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22A7"/>
    <w:rPr>
      <w:color w:val="800080"/>
      <w:u w:val="single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11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13"/>
  </w:style>
  <w:style w:type="paragraph" w:styleId="Footer">
    <w:name w:val="footer"/>
    <w:basedOn w:val="Normal"/>
    <w:link w:val="FooterChar"/>
    <w:uiPriority w:val="99"/>
    <w:unhideWhenUsed/>
    <w:rsid w:val="00BB0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13"/>
  </w:style>
  <w:style w:type="paragraph" w:styleId="Title">
    <w:name w:val="Title"/>
    <w:basedOn w:val="Normal"/>
    <w:link w:val="TitleChar"/>
    <w:qFormat/>
    <w:rsid w:val="00BB0613"/>
    <w:pPr>
      <w:tabs>
        <w:tab w:val="left" w:pos="-792"/>
        <w:tab w:val="left" w:pos="-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B06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22A7"/>
    <w:rPr>
      <w:color w:val="800080"/>
      <w:u w:val="single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1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vaccines/schedules/hcp/schedule-changes.html" TargetMode="External"/><Relationship Id="rId13" Type="http://schemas.openxmlformats.org/officeDocument/2006/relationships/hyperlink" Target="https://www.cdc.gov/vaccines/schedules/index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hop.edu/news/news-views-are-you-still-vaccinating-during-coronavirus-pandemi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cponline.org/acp_policy/policies/statement_on_non_urgent_in-person_medical_care_20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afp.org/dam/AAFP/documents/patient_care/public_health/AAFP-COVID-Non-Urgent-Care-Statement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rvices.aap.org/en/pages/2019-novel-coronavirus-covid-19-infections/guidance-on-providing-pediatric-well-care-during-covid-19/" TargetMode="External"/><Relationship Id="rId14" Type="http://schemas.openxmlformats.org/officeDocument/2006/relationships/hyperlink" Target="https://www.cdc.gov/mmwr/volumes/69/wr/mm6919e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Seal, Shumethia A. (DPH)</dc:creator>
  <cp:lastModifiedBy> </cp:lastModifiedBy>
  <cp:revision>3</cp:revision>
  <cp:lastPrinted>2020-05-08T19:44:00Z</cp:lastPrinted>
  <dcterms:created xsi:type="dcterms:W3CDTF">2020-05-26T14:01:00Z</dcterms:created>
  <dcterms:modified xsi:type="dcterms:W3CDTF">2020-05-26T14:03:00Z</dcterms:modified>
</cp:coreProperties>
</file>