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0E3B00C0" w:rsidR="00915172" w:rsidRDefault="2ECF7505" w:rsidP="2BD2769D">
      <w:pPr>
        <w:spacing w:after="360"/>
      </w:pPr>
      <w:r>
        <w:rPr>
          <w:noProof/>
        </w:rPr>
        <w:drawing>
          <wp:inline distT="0" distB="0" distL="0" distR="0" wp14:anchorId="675F5ABD" wp14:editId="32088C8F">
            <wp:extent cx="2562893" cy="768096"/>
            <wp:effectExtent l="0" t="0" r="0" b="0"/>
            <wp:docPr id="1323805779" name="Picture 1323805779"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05779" name="Picture 1323805779" descr="Operational Services Divis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bookmarkStart w:id="0" w:name="_Hlk69282909"/>
    </w:p>
    <w:p w14:paraId="7E236867" w14:textId="77777777" w:rsidR="00B96467" w:rsidRDefault="00B96467" w:rsidP="00B22304">
      <w:pPr>
        <w:pStyle w:val="Title"/>
        <w:spacing w:after="100" w:afterAutospacing="1"/>
        <w:jc w:val="center"/>
        <w:rPr>
          <w:b/>
          <w:bCs/>
          <w:sz w:val="20"/>
          <w:szCs w:val="20"/>
          <w:highlight w:val="yellow"/>
        </w:rPr>
      </w:pPr>
    </w:p>
    <w:p w14:paraId="1717ED78" w14:textId="73711848" w:rsidR="00680B92" w:rsidRPr="00CA6AF1" w:rsidRDefault="00680B92" w:rsidP="00680B92">
      <w:pPr>
        <w:pStyle w:val="Heading1"/>
        <w:jc w:val="center"/>
      </w:pPr>
      <w:bookmarkStart w:id="1" w:name="_Toc206762628"/>
      <w:bookmarkStart w:id="2" w:name="_Toc209710784"/>
      <w:r>
        <w:t>Contract User Guide</w:t>
      </w:r>
      <w:r>
        <w:br/>
      </w:r>
      <w:bookmarkEnd w:id="1"/>
      <w:r w:rsidR="00FB04D8">
        <w:t>ENE52: No.2 Heating Fuel and APS Eligible Liquid</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09710785"/>
      <w:r>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325"/>
        <w:gridCol w:w="4674"/>
      </w:tblGrid>
      <w:tr w:rsidR="00C05134" w:rsidRPr="00136526" w14:paraId="200A81CB" w14:textId="77777777" w:rsidTr="00457B16">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60690F11" w14:textId="77777777" w:rsidR="00C05134" w:rsidRPr="009D11F2" w:rsidRDefault="00C05134" w:rsidP="00457B16">
            <w:pPr>
              <w:tabs>
                <w:tab w:val="left" w:pos="9165"/>
              </w:tabs>
              <w:rPr>
                <w:sz w:val="24"/>
                <w:szCs w:val="24"/>
              </w:rPr>
            </w:pPr>
            <w:r w:rsidRPr="009D11F2">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4632" w:type="dxa"/>
            <w:shd w:val="clear" w:color="auto" w:fill="C8D9EB"/>
          </w:tcPr>
          <w:p w14:paraId="404F898D" w14:textId="77777777" w:rsidR="00EC20DC" w:rsidRPr="009D11F2" w:rsidRDefault="00EC20DC" w:rsidP="00EC20DC">
            <w:pPr>
              <w:tabs>
                <w:tab w:val="left" w:pos="9165"/>
              </w:tabs>
              <w:rPr>
                <w:color w:val="000000" w:themeColor="text1"/>
                <w:sz w:val="24"/>
                <w:szCs w:val="24"/>
              </w:rPr>
            </w:pPr>
            <w:hyperlink r:id="rId12" w:history="1">
              <w:r w:rsidRPr="009D11F2">
                <w:rPr>
                  <w:rStyle w:val="Hyperlink"/>
                  <w:b w:val="0"/>
                  <w:bCs w:val="0"/>
                  <w:sz w:val="24"/>
                  <w:szCs w:val="24"/>
                </w:rPr>
                <w:t>Kelly Minichello</w:t>
              </w:r>
            </w:hyperlink>
            <w:r w:rsidRPr="009D11F2">
              <w:rPr>
                <w:color w:val="000000" w:themeColor="text1"/>
                <w:sz w:val="24"/>
                <w:szCs w:val="24"/>
              </w:rPr>
              <w:t xml:space="preserve"> </w:t>
            </w:r>
          </w:p>
          <w:p w14:paraId="436CCF0A" w14:textId="465CB4AC" w:rsidR="00EC20DC" w:rsidRDefault="00EC20DC" w:rsidP="00EC20DC">
            <w:pPr>
              <w:tabs>
                <w:tab w:val="left" w:pos="9165"/>
              </w:tabs>
              <w:rPr>
                <w:color w:val="000000" w:themeColor="text1"/>
                <w:sz w:val="24"/>
                <w:szCs w:val="24"/>
              </w:rPr>
            </w:pPr>
            <w:r w:rsidRPr="009D11F2">
              <w:rPr>
                <w:b w:val="0"/>
                <w:bCs w:val="0"/>
                <w:color w:val="000000" w:themeColor="text1"/>
                <w:sz w:val="24"/>
                <w:szCs w:val="24"/>
              </w:rPr>
              <w:t>351-667-9536</w:t>
            </w:r>
          </w:p>
          <w:p w14:paraId="2AB433EE" w14:textId="77777777" w:rsidR="00EC20DC" w:rsidRPr="00EC20DC" w:rsidRDefault="00EC20DC" w:rsidP="00EC20DC">
            <w:pPr>
              <w:tabs>
                <w:tab w:val="left" w:pos="9165"/>
              </w:tabs>
              <w:rPr>
                <w:b w:val="0"/>
                <w:bCs w:val="0"/>
                <w:color w:val="auto"/>
              </w:rPr>
            </w:pPr>
          </w:p>
          <w:p w14:paraId="3973E0F5" w14:textId="22CD9228" w:rsidR="00C05134" w:rsidRPr="009D11F2" w:rsidRDefault="00C05134" w:rsidP="00457B16">
            <w:pPr>
              <w:tabs>
                <w:tab w:val="left" w:pos="9165"/>
              </w:tabs>
              <w:rPr>
                <w:color w:val="000000" w:themeColor="text1"/>
                <w:sz w:val="24"/>
                <w:szCs w:val="24"/>
              </w:rPr>
            </w:pPr>
            <w:hyperlink r:id="rId13" w:history="1">
              <w:r w:rsidRPr="009D11F2">
                <w:rPr>
                  <w:rStyle w:val="Hyperlink"/>
                  <w:b w:val="0"/>
                  <w:bCs w:val="0"/>
                  <w:sz w:val="24"/>
                  <w:szCs w:val="24"/>
                </w:rPr>
                <w:t>Michael Barry</w:t>
              </w:r>
            </w:hyperlink>
          </w:p>
          <w:p w14:paraId="65524413" w14:textId="4470DF37" w:rsidR="00C05134" w:rsidRPr="009D11F2" w:rsidRDefault="00C05134" w:rsidP="00EC20DC">
            <w:pPr>
              <w:tabs>
                <w:tab w:val="left" w:pos="9165"/>
              </w:tabs>
              <w:rPr>
                <w:b w:val="0"/>
                <w:bCs w:val="0"/>
                <w:color w:val="auto"/>
                <w:sz w:val="24"/>
                <w:szCs w:val="24"/>
              </w:rPr>
            </w:pPr>
            <w:r w:rsidRPr="009D11F2">
              <w:rPr>
                <w:b w:val="0"/>
                <w:bCs w:val="0"/>
                <w:color w:val="000000" w:themeColor="text1"/>
                <w:sz w:val="24"/>
                <w:szCs w:val="24"/>
              </w:rPr>
              <w:t xml:space="preserve">617-720-3182 </w:t>
            </w:r>
          </w:p>
        </w:tc>
      </w:tr>
      <w:tr w:rsidR="00C05134" w:rsidRPr="00136526" w14:paraId="57B85605" w14:textId="77777777" w:rsidTr="00457B16">
        <w:trPr>
          <w:trHeight w:val="1301"/>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4E220A02" w14:textId="77777777" w:rsidR="00C05134" w:rsidRPr="009D11F2" w:rsidRDefault="00C05134" w:rsidP="00457B16">
            <w:pPr>
              <w:tabs>
                <w:tab w:val="left" w:pos="9165"/>
              </w:tabs>
              <w:rPr>
                <w:sz w:val="24"/>
                <w:szCs w:val="24"/>
              </w:rPr>
            </w:pPr>
            <w:r w:rsidRPr="009D11F2">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4632" w:type="dxa"/>
            <w:tcBorders>
              <w:top w:val="nil"/>
              <w:left w:val="nil"/>
              <w:bottom w:val="nil"/>
              <w:right w:val="nil"/>
            </w:tcBorders>
            <w:shd w:val="clear" w:color="auto" w:fill="C8D9EB"/>
          </w:tcPr>
          <w:p w14:paraId="0AE6D096" w14:textId="77777777" w:rsidR="00C05134" w:rsidRPr="009D11F2" w:rsidRDefault="00C05134" w:rsidP="00FF7DB5">
            <w:pPr>
              <w:pStyle w:val="ListParagraph"/>
              <w:numPr>
                <w:ilvl w:val="0"/>
                <w:numId w:val="9"/>
              </w:numPr>
              <w:rPr>
                <w:rFonts w:cstheme="minorHAnsi"/>
                <w:sz w:val="24"/>
                <w:szCs w:val="24"/>
              </w:rPr>
            </w:pPr>
            <w:r w:rsidRPr="009D11F2">
              <w:rPr>
                <w:rFonts w:cstheme="minorHAnsi"/>
                <w:b/>
                <w:bCs/>
                <w:sz w:val="24"/>
                <w:szCs w:val="24"/>
              </w:rPr>
              <w:t xml:space="preserve">Current Contract Term: </w:t>
            </w:r>
            <w:r w:rsidRPr="009D11F2">
              <w:rPr>
                <w:rFonts w:cstheme="minorHAnsi"/>
                <w:sz w:val="24"/>
                <w:szCs w:val="24"/>
              </w:rPr>
              <w:t>October 1, 2021–September 30, 2026</w:t>
            </w:r>
          </w:p>
          <w:p w14:paraId="53DCC682" w14:textId="77777777" w:rsidR="00C05134" w:rsidRPr="009D11F2" w:rsidRDefault="00C05134" w:rsidP="00FF7DB5">
            <w:pPr>
              <w:pStyle w:val="ListParagraph"/>
              <w:numPr>
                <w:ilvl w:val="0"/>
                <w:numId w:val="9"/>
              </w:numPr>
              <w:rPr>
                <w:sz w:val="24"/>
                <w:szCs w:val="24"/>
              </w:rPr>
            </w:pPr>
            <w:r w:rsidRPr="009D11F2">
              <w:rPr>
                <w:rFonts w:cstheme="minorHAnsi"/>
                <w:b/>
                <w:bCs/>
                <w:sz w:val="24"/>
                <w:szCs w:val="24"/>
              </w:rPr>
              <w:t xml:space="preserve">Maximum End Date: </w:t>
            </w:r>
            <w:r w:rsidRPr="009D11F2">
              <w:rPr>
                <w:rFonts w:cstheme="minorHAnsi"/>
                <w:sz w:val="24"/>
                <w:szCs w:val="24"/>
              </w:rPr>
              <w:t>September 30, 2026 (No option to renew)</w:t>
            </w:r>
          </w:p>
        </w:tc>
      </w:tr>
      <w:tr w:rsidR="00C05134" w:rsidRPr="00136526" w14:paraId="7053BEEE" w14:textId="77777777" w:rsidTr="00457B16">
        <w:trPr>
          <w:trHeight w:val="1301"/>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55C8F421" w14:textId="77777777" w:rsidR="00C05134" w:rsidRPr="009D11F2" w:rsidRDefault="00C05134" w:rsidP="00457B16">
            <w:pPr>
              <w:tabs>
                <w:tab w:val="left" w:pos="9165"/>
              </w:tabs>
              <w:rPr>
                <w:sz w:val="24"/>
                <w:szCs w:val="24"/>
              </w:rPr>
            </w:pPr>
            <w:r w:rsidRPr="009D11F2">
              <w:rPr>
                <w:sz w:val="24"/>
                <w:szCs w:val="24"/>
              </w:rPr>
              <w:t>Massachusetts Management Accounting and Reporting System (MMARS) Master Agreement (MA) Number</w:t>
            </w:r>
          </w:p>
        </w:tc>
        <w:tc>
          <w:tcPr>
            <w:cnfStyle w:val="000010000000" w:firstRow="0" w:lastRow="0" w:firstColumn="0" w:lastColumn="0" w:oddVBand="1" w:evenVBand="0" w:oddHBand="0" w:evenHBand="0" w:firstRowFirstColumn="0" w:firstRowLastColumn="0" w:lastRowFirstColumn="0" w:lastRowLastColumn="0"/>
            <w:tcW w:w="4632" w:type="dxa"/>
            <w:shd w:val="clear" w:color="auto" w:fill="C8D9EB"/>
          </w:tcPr>
          <w:p w14:paraId="194A6890" w14:textId="77777777" w:rsidR="00C05134" w:rsidRPr="009D11F2" w:rsidRDefault="00C05134" w:rsidP="00457B16">
            <w:pPr>
              <w:rPr>
                <w:sz w:val="24"/>
                <w:szCs w:val="24"/>
              </w:rPr>
            </w:pPr>
            <w:r w:rsidRPr="009D11F2">
              <w:rPr>
                <w:sz w:val="24"/>
                <w:szCs w:val="24"/>
              </w:rPr>
              <w:t>ENE52*</w:t>
            </w:r>
          </w:p>
          <w:p w14:paraId="29C69F20" w14:textId="77777777" w:rsidR="00D30D70" w:rsidRDefault="00D30D70" w:rsidP="00457B16">
            <w:pPr>
              <w:rPr>
                <w:rFonts w:cstheme="minorHAnsi"/>
                <w:b/>
                <w:bCs/>
                <w:sz w:val="24"/>
                <w:szCs w:val="24"/>
              </w:rPr>
            </w:pPr>
          </w:p>
          <w:p w14:paraId="569A163B" w14:textId="15744D4F" w:rsidR="00C05134" w:rsidRPr="009D11F2" w:rsidRDefault="00C05134" w:rsidP="00457B16">
            <w:pPr>
              <w:rPr>
                <w:rFonts w:cstheme="minorHAnsi"/>
                <w:b/>
                <w:bCs/>
                <w:sz w:val="24"/>
                <w:szCs w:val="24"/>
              </w:rPr>
            </w:pPr>
            <w:r w:rsidRPr="009D11F2">
              <w:rPr>
                <w:rFonts w:cstheme="minorHAnsi"/>
                <w:b/>
                <w:bCs/>
                <w:sz w:val="24"/>
                <w:szCs w:val="24"/>
              </w:rPr>
              <w:t xml:space="preserve">Note: </w:t>
            </w:r>
            <w:r w:rsidRPr="009D11F2">
              <w:rPr>
                <w:rFonts w:cstheme="minorHAnsi"/>
                <w:sz w:val="24"/>
                <w:szCs w:val="24"/>
              </w:rPr>
              <w:t>*The asterisk is required when referencing the contract in MMARS.</w:t>
            </w:r>
          </w:p>
        </w:tc>
      </w:tr>
      <w:tr w:rsidR="00C05134" w:rsidRPr="00136526" w14:paraId="58C0B237" w14:textId="77777777" w:rsidTr="00457B16">
        <w:trPr>
          <w:trHeight w:val="1012"/>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57D0A712" w14:textId="77777777" w:rsidR="00C05134" w:rsidRPr="009D11F2" w:rsidRDefault="00C05134" w:rsidP="00457B16">
            <w:pPr>
              <w:tabs>
                <w:tab w:val="left" w:pos="9165"/>
              </w:tabs>
              <w:rPr>
                <w:sz w:val="24"/>
                <w:szCs w:val="24"/>
              </w:rPr>
            </w:pPr>
            <w:r w:rsidRPr="009D11F2">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4632" w:type="dxa"/>
          </w:tcPr>
          <w:p w14:paraId="7AA64C0E" w14:textId="5FE5E9AE" w:rsidR="00C05134" w:rsidRPr="009D11F2" w:rsidRDefault="00C05134" w:rsidP="00457B16">
            <w:pPr>
              <w:rPr>
                <w:sz w:val="24"/>
                <w:szCs w:val="24"/>
                <w:highlight w:val="yellow"/>
              </w:rPr>
            </w:pPr>
            <w:r w:rsidRPr="009D11F2">
              <w:rPr>
                <w:sz w:val="24"/>
                <w:szCs w:val="24"/>
              </w:rPr>
              <w:t xml:space="preserve">Quotes are required for purchasing. Refer to the </w:t>
            </w:r>
            <w:hyperlink w:anchor="_Quote_Response_and" w:history="1">
              <w:r w:rsidRPr="009D11F2">
                <w:rPr>
                  <w:rStyle w:val="Hyperlink"/>
                  <w:sz w:val="24"/>
                  <w:szCs w:val="24"/>
                </w:rPr>
                <w:t>Quote Response and Requirements</w:t>
              </w:r>
            </w:hyperlink>
            <w:r w:rsidRPr="009D11F2">
              <w:rPr>
                <w:sz w:val="24"/>
                <w:szCs w:val="24"/>
              </w:rPr>
              <w:t xml:space="preserve"> section for guidelines.</w:t>
            </w:r>
          </w:p>
        </w:tc>
      </w:tr>
      <w:tr w:rsidR="00C05134" w:rsidRPr="00136526" w14:paraId="58E491A9" w14:textId="77777777" w:rsidTr="00457B16">
        <w:trPr>
          <w:trHeight w:val="670"/>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7381CF01" w14:textId="77777777" w:rsidR="00C05134" w:rsidRPr="009D11F2" w:rsidRDefault="00C05134" w:rsidP="00457B16">
            <w:pPr>
              <w:tabs>
                <w:tab w:val="left" w:pos="9165"/>
              </w:tabs>
              <w:rPr>
                <w:sz w:val="24"/>
                <w:szCs w:val="24"/>
              </w:rPr>
            </w:pPr>
            <w:r w:rsidRPr="009D11F2">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4632" w:type="dxa"/>
            <w:shd w:val="clear" w:color="auto" w:fill="C8D9EB"/>
          </w:tcPr>
          <w:p w14:paraId="55EF5033" w14:textId="77777777" w:rsidR="00C05134" w:rsidRPr="009D11F2" w:rsidRDefault="00C05134" w:rsidP="00457B16">
            <w:pPr>
              <w:rPr>
                <w:sz w:val="24"/>
                <w:szCs w:val="24"/>
                <w:highlight w:val="yellow"/>
              </w:rPr>
            </w:pPr>
            <w:r w:rsidRPr="009D11F2">
              <w:rPr>
                <w:sz w:val="24"/>
                <w:szCs w:val="24"/>
              </w:rPr>
              <w:t xml:space="preserve">Refer to the </w:t>
            </w:r>
            <w:hyperlink w:anchor="_Vendor_List_and" w:history="1">
              <w:r w:rsidRPr="009D11F2">
                <w:rPr>
                  <w:rStyle w:val="Hyperlink"/>
                  <w:sz w:val="24"/>
                  <w:szCs w:val="24"/>
                </w:rPr>
                <w:t>Vendor List and Information</w:t>
              </w:r>
            </w:hyperlink>
            <w:r w:rsidRPr="009D11F2">
              <w:rPr>
                <w:sz w:val="24"/>
                <w:szCs w:val="24"/>
              </w:rPr>
              <w:t xml:space="preserve"> for eligible vendors on this contract.</w:t>
            </w:r>
          </w:p>
        </w:tc>
      </w:tr>
      <w:tr w:rsidR="00C05134" w:rsidRPr="00136526" w14:paraId="72753C5B" w14:textId="77777777" w:rsidTr="00457B16">
        <w:trPr>
          <w:trHeight w:val="391"/>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53B4F821" w14:textId="77777777" w:rsidR="00C05134" w:rsidRPr="009D11F2" w:rsidRDefault="00C05134" w:rsidP="00457B16">
            <w:pPr>
              <w:tabs>
                <w:tab w:val="left" w:pos="9165"/>
              </w:tabs>
              <w:rPr>
                <w:sz w:val="24"/>
                <w:szCs w:val="24"/>
              </w:rPr>
            </w:pPr>
            <w:r w:rsidRPr="009D11F2">
              <w:rPr>
                <w:sz w:val="24"/>
                <w:szCs w:val="24"/>
              </w:rPr>
              <w:t>Updates</w:t>
            </w:r>
          </w:p>
        </w:tc>
        <w:tc>
          <w:tcPr>
            <w:cnfStyle w:val="000010000000" w:firstRow="0" w:lastRow="0" w:firstColumn="0" w:lastColumn="0" w:oddVBand="1" w:evenVBand="0" w:oddHBand="0" w:evenHBand="0" w:firstRowFirstColumn="0" w:firstRowLastColumn="0" w:lastRowFirstColumn="0" w:lastRowLastColumn="0"/>
            <w:tcW w:w="4632" w:type="dxa"/>
          </w:tcPr>
          <w:p w14:paraId="609FEDDE" w14:textId="3AD37D3A" w:rsidR="00C05134" w:rsidRPr="009D11F2" w:rsidRDefault="00EB4D54" w:rsidP="00457B16">
            <w:pPr>
              <w:rPr>
                <w:sz w:val="24"/>
                <w:szCs w:val="24"/>
                <w:highlight w:val="yellow"/>
              </w:rPr>
            </w:pPr>
            <w:r>
              <w:rPr>
                <w:sz w:val="24"/>
                <w:szCs w:val="24"/>
              </w:rPr>
              <w:t>09</w:t>
            </w:r>
            <w:r w:rsidR="0023516E">
              <w:rPr>
                <w:sz w:val="24"/>
                <w:szCs w:val="24"/>
              </w:rPr>
              <w:t xml:space="preserve">/09/2025: </w:t>
            </w:r>
            <w:r w:rsidR="00C05134" w:rsidRPr="009D11F2">
              <w:rPr>
                <w:sz w:val="24"/>
                <w:szCs w:val="24"/>
              </w:rPr>
              <w:t>Superfund tax increase.</w:t>
            </w:r>
          </w:p>
        </w:tc>
      </w:tr>
    </w:tbl>
    <w:p w14:paraId="0061066A" w14:textId="77777777" w:rsidR="0064148A" w:rsidRDefault="0064148A" w:rsidP="00D332F1"/>
    <w:p w14:paraId="52DAD034" w14:textId="77777777" w:rsidR="0064148A" w:rsidRDefault="0064148A" w:rsidP="00D332F1"/>
    <w:p w14:paraId="794DEDE3" w14:textId="77777777" w:rsidR="00A9754D" w:rsidRDefault="00A9754D" w:rsidP="00D332F1"/>
    <w:p w14:paraId="0DE9E715" w14:textId="77777777" w:rsidR="00A9754D" w:rsidRDefault="00A9754D" w:rsidP="00D332F1"/>
    <w:p w14:paraId="4056A4AD" w14:textId="77777777" w:rsidR="00A9754D" w:rsidRDefault="00A9754D" w:rsidP="00D332F1"/>
    <w:p w14:paraId="12C42C34" w14:textId="77777777" w:rsidR="00A9754D" w:rsidRDefault="00A9754D" w:rsidP="00D332F1"/>
    <w:p w14:paraId="63E535BD" w14:textId="77777777" w:rsidR="00A9754D" w:rsidRDefault="00A9754D" w:rsidP="00D332F1"/>
    <w:p w14:paraId="47CE7802" w14:textId="77777777" w:rsidR="00A9754D" w:rsidRDefault="00A9754D" w:rsidP="00D332F1"/>
    <w:p w14:paraId="3A6410CC" w14:textId="77777777" w:rsidR="00A9754D" w:rsidRDefault="00A9754D" w:rsidP="00D332F1"/>
    <w:p w14:paraId="127EFEDE" w14:textId="77777777" w:rsidR="00A9754D" w:rsidRDefault="00A9754D" w:rsidP="00D332F1"/>
    <w:p w14:paraId="19DE001F" w14:textId="77777777" w:rsidR="00A9754D" w:rsidRDefault="00A9754D" w:rsidP="00D332F1"/>
    <w:p w14:paraId="3D40A961" w14:textId="77777777" w:rsidR="00A9754D" w:rsidRDefault="00A9754D" w:rsidP="00D332F1"/>
    <w:p w14:paraId="6E500F2E" w14:textId="77777777" w:rsidR="00A9754D" w:rsidRDefault="00A9754D" w:rsidP="00D332F1"/>
    <w:p w14:paraId="4B22A0EE" w14:textId="77777777" w:rsidR="00A9754D" w:rsidRDefault="00A9754D" w:rsidP="00D332F1"/>
    <w:p w14:paraId="7096E293" w14:textId="77777777" w:rsidR="00A9754D" w:rsidRPr="00D30D70" w:rsidRDefault="00A9754D" w:rsidP="00D30D70">
      <w:pPr>
        <w:pStyle w:val="Footer"/>
        <w:jc w:val="center"/>
        <w:rPr>
          <w:rStyle w:val="PageNumber"/>
          <w:sz w:val="24"/>
          <w:szCs w:val="24"/>
        </w:rPr>
      </w:pPr>
      <w:r w:rsidRPr="00D30D70">
        <w:rPr>
          <w:rStyle w:val="PageNumber"/>
          <w:b/>
          <w:bCs/>
          <w:sz w:val="24"/>
          <w:szCs w:val="24"/>
        </w:rPr>
        <w:t>Note:</w:t>
      </w:r>
      <w:r w:rsidRPr="00D30D70">
        <w:rPr>
          <w:rStyle w:val="PageNumber"/>
          <w:sz w:val="24"/>
          <w:szCs w:val="24"/>
        </w:rPr>
        <w:t xml:space="preserve"> Contract User Guides are updated regularly. Print copies should be compared against the current version posted on </w:t>
      </w:r>
      <w:r w:rsidRPr="00D30D70">
        <w:rPr>
          <w:sz w:val="24"/>
          <w:szCs w:val="24"/>
        </w:rPr>
        <w:t>mass.gov/osd</w:t>
      </w:r>
      <w:r w:rsidRPr="00D30D70">
        <w:rPr>
          <w:rStyle w:val="PageNumber"/>
          <w:sz w:val="24"/>
          <w:szCs w:val="24"/>
        </w:rPr>
        <w:t>.</w:t>
      </w:r>
    </w:p>
    <w:p w14:paraId="677F110B" w14:textId="2C588B23" w:rsidR="00A9754D" w:rsidRPr="00D30D70" w:rsidRDefault="00A9754D" w:rsidP="00A9754D">
      <w:pPr>
        <w:pStyle w:val="Footer"/>
        <w:rPr>
          <w:rStyle w:val="PageNumber"/>
          <w:sz w:val="24"/>
          <w:szCs w:val="24"/>
        </w:rPr>
      </w:pPr>
      <w:r w:rsidRPr="00D30D70">
        <w:rPr>
          <w:sz w:val="24"/>
          <w:szCs w:val="24"/>
        </w:rPr>
        <w:tab/>
      </w:r>
      <w:r w:rsidRPr="00D30D70">
        <w:rPr>
          <w:rStyle w:val="PageNumber"/>
          <w:sz w:val="24"/>
          <w:szCs w:val="24"/>
        </w:rPr>
        <w:t>Template Version: 9.0</w:t>
      </w:r>
      <w:r w:rsidRPr="00D30D70">
        <w:rPr>
          <w:sz w:val="24"/>
          <w:szCs w:val="24"/>
        </w:rPr>
        <w:tab/>
      </w:r>
      <w:r w:rsidRPr="00D30D70">
        <w:rPr>
          <w:rStyle w:val="PageNumber"/>
          <w:sz w:val="24"/>
          <w:szCs w:val="24"/>
        </w:rPr>
        <w:t xml:space="preserve">Page </w:t>
      </w:r>
      <w:r w:rsidRPr="00D30D70">
        <w:rPr>
          <w:rStyle w:val="PageNumber"/>
          <w:sz w:val="24"/>
          <w:szCs w:val="24"/>
        </w:rPr>
        <w:fldChar w:fldCharType="begin"/>
      </w:r>
      <w:r w:rsidRPr="00D30D70">
        <w:rPr>
          <w:rStyle w:val="PageNumber"/>
          <w:sz w:val="24"/>
          <w:szCs w:val="24"/>
        </w:rPr>
        <w:instrText xml:space="preserve"> PAGE </w:instrText>
      </w:r>
      <w:r w:rsidRPr="00D30D70">
        <w:rPr>
          <w:rStyle w:val="PageNumber"/>
          <w:sz w:val="24"/>
          <w:szCs w:val="24"/>
        </w:rPr>
        <w:fldChar w:fldCharType="separate"/>
      </w:r>
      <w:r w:rsidR="009404AA">
        <w:rPr>
          <w:rStyle w:val="PageNumber"/>
          <w:noProof/>
          <w:sz w:val="24"/>
          <w:szCs w:val="24"/>
        </w:rPr>
        <w:t>1</w:t>
      </w:r>
      <w:r w:rsidRPr="00D30D70">
        <w:rPr>
          <w:rStyle w:val="PageNumber"/>
          <w:sz w:val="24"/>
          <w:szCs w:val="24"/>
        </w:rPr>
        <w:fldChar w:fldCharType="end"/>
      </w:r>
      <w:r w:rsidRPr="00D30D70">
        <w:rPr>
          <w:rStyle w:val="PageNumber"/>
          <w:sz w:val="24"/>
          <w:szCs w:val="24"/>
        </w:rPr>
        <w:t xml:space="preserve"> of </w:t>
      </w:r>
      <w:r w:rsidRPr="00D30D70">
        <w:rPr>
          <w:rStyle w:val="PageNumber"/>
          <w:sz w:val="24"/>
          <w:szCs w:val="24"/>
        </w:rPr>
        <w:fldChar w:fldCharType="begin"/>
      </w:r>
      <w:r w:rsidRPr="00D30D70">
        <w:rPr>
          <w:rStyle w:val="PageNumber"/>
          <w:sz w:val="24"/>
          <w:szCs w:val="24"/>
        </w:rPr>
        <w:instrText xml:space="preserve"> NUMPAGES </w:instrText>
      </w:r>
      <w:r w:rsidRPr="00D30D70">
        <w:rPr>
          <w:rStyle w:val="PageNumber"/>
          <w:sz w:val="24"/>
          <w:szCs w:val="24"/>
        </w:rPr>
        <w:fldChar w:fldCharType="separate"/>
      </w:r>
      <w:r w:rsidR="009404AA">
        <w:rPr>
          <w:rStyle w:val="PageNumber"/>
          <w:noProof/>
          <w:sz w:val="24"/>
          <w:szCs w:val="24"/>
        </w:rPr>
        <w:t>26</w:t>
      </w:r>
      <w:r w:rsidRPr="00D30D70">
        <w:rPr>
          <w:rStyle w:val="PageNumber"/>
          <w:sz w:val="24"/>
          <w:szCs w:val="24"/>
        </w:rPr>
        <w:fldChar w:fldCharType="end"/>
      </w:r>
    </w:p>
    <w:p w14:paraId="10BDC5B7" w14:textId="77777777" w:rsidR="00A9754D" w:rsidRPr="00D30D70" w:rsidRDefault="00A9754D" w:rsidP="00A9754D">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D30D70">
        <w:rPr>
          <w:b/>
          <w:bCs/>
          <w:color w:val="2E368F"/>
          <w:sz w:val="24"/>
          <w:szCs w:val="24"/>
        </w:rPr>
        <w:t>One Ashburton Place, Room 1608 Boston, MA, 02108-1552</w:t>
      </w:r>
    </w:p>
    <w:p w14:paraId="5B56B47A" w14:textId="14E5DD49" w:rsidR="00A9754D" w:rsidRPr="00D30D70" w:rsidRDefault="00A9754D" w:rsidP="00A9754D">
      <w:pPr>
        <w:pStyle w:val="Footer"/>
        <w:jc w:val="center"/>
        <w:rPr>
          <w:sz w:val="24"/>
          <w:szCs w:val="24"/>
        </w:rPr>
      </w:pPr>
      <w:r w:rsidRPr="00D30D70">
        <w:rPr>
          <w:color w:val="2E368F"/>
          <w:sz w:val="24"/>
          <w:szCs w:val="24"/>
        </w:rPr>
        <w:t>Tel</w:t>
      </w:r>
      <w:r w:rsidR="003B55EC" w:rsidRPr="00D30D70">
        <w:rPr>
          <w:color w:val="2E368F"/>
          <w:sz w:val="24"/>
          <w:szCs w:val="24"/>
        </w:rPr>
        <w:t>ephone</w:t>
      </w:r>
      <w:r w:rsidRPr="00D30D70">
        <w:rPr>
          <w:color w:val="2E368F"/>
          <w:sz w:val="24"/>
          <w:szCs w:val="24"/>
        </w:rPr>
        <w:t>: 617</w:t>
      </w:r>
      <w:r w:rsidR="003B55EC" w:rsidRPr="00D30D70">
        <w:rPr>
          <w:color w:val="2E368F"/>
          <w:sz w:val="24"/>
          <w:szCs w:val="24"/>
        </w:rPr>
        <w:t>-</w:t>
      </w:r>
      <w:r w:rsidRPr="00D30D70">
        <w:rPr>
          <w:color w:val="2E368F"/>
          <w:sz w:val="24"/>
          <w:szCs w:val="24"/>
        </w:rPr>
        <w:t xml:space="preserve">720-3300 | </w:t>
      </w:r>
      <w:hyperlink r:id="rId14">
        <w:r w:rsidR="009E155C" w:rsidRPr="00D30D70">
          <w:rPr>
            <w:color w:val="2E368F"/>
            <w:sz w:val="24"/>
            <w:szCs w:val="24"/>
          </w:rPr>
          <w:t>mass.gov/osd</w:t>
        </w:r>
      </w:hyperlink>
    </w:p>
    <w:p w14:paraId="19691D54" w14:textId="3A52F6F3" w:rsidR="00A9754D" w:rsidRDefault="00A9754D">
      <w:r>
        <w:br w:type="page"/>
      </w:r>
    </w:p>
    <w:p w14:paraId="1BD88AAB" w14:textId="77777777" w:rsidR="00A9754D" w:rsidRDefault="00A9754D" w:rsidP="00D332F1"/>
    <w:p w14:paraId="1BCBF46A" w14:textId="77777777" w:rsidR="00B03625" w:rsidRDefault="00B03625" w:rsidP="2BD2769D">
      <w:pPr>
        <w:tabs>
          <w:tab w:val="left" w:pos="9165"/>
        </w:tabs>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HAnsi"/>
          <w:b w:val="0"/>
          <w:bCs w:val="0"/>
          <w:color w:val="auto"/>
          <w:sz w:val="22"/>
          <w:szCs w:val="20"/>
        </w:rPr>
        <w:id w:val="2261114"/>
        <w:docPartObj>
          <w:docPartGallery w:val="Table of Contents"/>
          <w:docPartUnique/>
        </w:docPartObj>
      </w:sdtPr>
      <w:sdtEndPr/>
      <w:sdtContent>
        <w:p w14:paraId="46FC1B32" w14:textId="3C7397EB" w:rsidR="005A21C6" w:rsidRDefault="005A21C6">
          <w:pPr>
            <w:pStyle w:val="TOCHeading"/>
          </w:pPr>
          <w:r>
            <w:t>Table of Contents</w:t>
          </w:r>
        </w:p>
        <w:p w14:paraId="4320E0B7" w14:textId="367491E5" w:rsidR="009404AA" w:rsidRDefault="005E0825">
          <w:pPr>
            <w:pStyle w:val="TOC1"/>
            <w:rPr>
              <w:rFonts w:cstheme="minorBidi"/>
              <w:bCs w:val="0"/>
              <w:vanish w:val="0"/>
              <w:kern w:val="2"/>
              <w:sz w:val="24"/>
              <w:szCs w:val="24"/>
              <w14:ligatures w14:val="standardContextual"/>
            </w:rPr>
          </w:pPr>
          <w:r>
            <w:fldChar w:fldCharType="begin"/>
          </w:r>
          <w:r w:rsidR="00003C5E">
            <w:instrText>TOC \o "1-3" \z \u \h</w:instrText>
          </w:r>
          <w:r>
            <w:fldChar w:fldCharType="separate"/>
          </w:r>
          <w:hyperlink w:anchor="_Toc209710784" w:history="1">
            <w:r w:rsidR="009404AA" w:rsidRPr="00E811CC">
              <w:rPr>
                <w:rStyle w:val="Hyperlink"/>
              </w:rPr>
              <w:t>Contract User Guide ENE52: No.2 Heating Fuel and APS Eligible Liquid</w:t>
            </w:r>
            <w:r w:rsidR="009404AA">
              <w:rPr>
                <w:webHidden/>
              </w:rPr>
              <w:tab/>
            </w:r>
            <w:r w:rsidR="009404AA">
              <w:rPr>
                <w:webHidden/>
              </w:rPr>
              <w:fldChar w:fldCharType="begin"/>
            </w:r>
            <w:r w:rsidR="009404AA">
              <w:rPr>
                <w:webHidden/>
              </w:rPr>
              <w:instrText xml:space="preserve"> PAGEREF _Toc209710784 \h </w:instrText>
            </w:r>
            <w:r w:rsidR="009404AA">
              <w:rPr>
                <w:webHidden/>
              </w:rPr>
            </w:r>
            <w:r w:rsidR="009404AA">
              <w:rPr>
                <w:webHidden/>
              </w:rPr>
              <w:fldChar w:fldCharType="separate"/>
            </w:r>
            <w:r w:rsidR="009404AA">
              <w:rPr>
                <w:webHidden/>
              </w:rPr>
              <w:t>1</w:t>
            </w:r>
            <w:r w:rsidR="009404AA">
              <w:rPr>
                <w:webHidden/>
              </w:rPr>
              <w:fldChar w:fldCharType="end"/>
            </w:r>
          </w:hyperlink>
        </w:p>
        <w:p w14:paraId="5F599755" w14:textId="78767B7C" w:rsidR="009404AA" w:rsidRDefault="009404AA">
          <w:pPr>
            <w:pStyle w:val="TOC2"/>
            <w:tabs>
              <w:tab w:val="right" w:leader="dot" w:pos="4598"/>
            </w:tabs>
            <w:rPr>
              <w:rFonts w:cstheme="minorBidi"/>
              <w:noProof/>
              <w:kern w:val="2"/>
              <w:sz w:val="24"/>
              <w:szCs w:val="24"/>
              <w14:ligatures w14:val="standardContextual"/>
            </w:rPr>
          </w:pPr>
          <w:hyperlink w:anchor="_Toc209710785" w:history="1">
            <w:r w:rsidRPr="00E811CC">
              <w:rPr>
                <w:rStyle w:val="Hyperlink"/>
                <w:noProof/>
              </w:rPr>
              <w:t>Contract Overview</w:t>
            </w:r>
            <w:r>
              <w:rPr>
                <w:noProof/>
                <w:webHidden/>
              </w:rPr>
              <w:tab/>
            </w:r>
            <w:r>
              <w:rPr>
                <w:noProof/>
                <w:webHidden/>
              </w:rPr>
              <w:fldChar w:fldCharType="begin"/>
            </w:r>
            <w:r>
              <w:rPr>
                <w:noProof/>
                <w:webHidden/>
              </w:rPr>
              <w:instrText xml:space="preserve"> PAGEREF _Toc209710785 \h </w:instrText>
            </w:r>
            <w:r>
              <w:rPr>
                <w:noProof/>
                <w:webHidden/>
              </w:rPr>
            </w:r>
            <w:r>
              <w:rPr>
                <w:noProof/>
                <w:webHidden/>
              </w:rPr>
              <w:fldChar w:fldCharType="separate"/>
            </w:r>
            <w:r>
              <w:rPr>
                <w:noProof/>
                <w:webHidden/>
              </w:rPr>
              <w:t>1</w:t>
            </w:r>
            <w:r>
              <w:rPr>
                <w:noProof/>
                <w:webHidden/>
              </w:rPr>
              <w:fldChar w:fldCharType="end"/>
            </w:r>
          </w:hyperlink>
        </w:p>
        <w:p w14:paraId="0B0F8354" w14:textId="7691D371" w:rsidR="009404AA" w:rsidRDefault="009404AA">
          <w:pPr>
            <w:pStyle w:val="TOC2"/>
            <w:tabs>
              <w:tab w:val="right" w:leader="dot" w:pos="4598"/>
            </w:tabs>
            <w:rPr>
              <w:rFonts w:cstheme="minorBidi"/>
              <w:noProof/>
              <w:kern w:val="2"/>
              <w:sz w:val="24"/>
              <w:szCs w:val="24"/>
              <w14:ligatures w14:val="standardContextual"/>
            </w:rPr>
          </w:pPr>
          <w:hyperlink w:anchor="_Toc209710786" w:history="1">
            <w:r w:rsidRPr="00E811CC">
              <w:rPr>
                <w:rStyle w:val="Hyperlink"/>
                <w:noProof/>
              </w:rPr>
              <w:t>Contract Summary</w:t>
            </w:r>
            <w:r>
              <w:rPr>
                <w:noProof/>
                <w:webHidden/>
              </w:rPr>
              <w:tab/>
            </w:r>
            <w:r>
              <w:rPr>
                <w:noProof/>
                <w:webHidden/>
              </w:rPr>
              <w:fldChar w:fldCharType="begin"/>
            </w:r>
            <w:r>
              <w:rPr>
                <w:noProof/>
                <w:webHidden/>
              </w:rPr>
              <w:instrText xml:space="preserve"> PAGEREF _Toc209710786 \h </w:instrText>
            </w:r>
            <w:r>
              <w:rPr>
                <w:noProof/>
                <w:webHidden/>
              </w:rPr>
            </w:r>
            <w:r>
              <w:rPr>
                <w:noProof/>
                <w:webHidden/>
              </w:rPr>
              <w:fldChar w:fldCharType="separate"/>
            </w:r>
            <w:r>
              <w:rPr>
                <w:noProof/>
                <w:webHidden/>
              </w:rPr>
              <w:t>3</w:t>
            </w:r>
            <w:r>
              <w:rPr>
                <w:noProof/>
                <w:webHidden/>
              </w:rPr>
              <w:fldChar w:fldCharType="end"/>
            </w:r>
          </w:hyperlink>
        </w:p>
        <w:p w14:paraId="6D2DF31F" w14:textId="145A1180" w:rsidR="009404AA" w:rsidRDefault="009404AA">
          <w:pPr>
            <w:pStyle w:val="TOC3"/>
            <w:rPr>
              <w:rFonts w:cstheme="minorBidi"/>
              <w:iCs w:val="0"/>
              <w:noProof/>
              <w:kern w:val="2"/>
              <w:sz w:val="24"/>
              <w:szCs w:val="24"/>
              <w14:ligatures w14:val="standardContextual"/>
            </w:rPr>
          </w:pPr>
          <w:hyperlink w:anchor="_Toc209710787" w:history="1">
            <w:r w:rsidRPr="00E811CC">
              <w:rPr>
                <w:rStyle w:val="Hyperlink"/>
                <w:noProof/>
              </w:rPr>
              <w:t>Benefits and Cost Savings</w:t>
            </w:r>
            <w:r>
              <w:rPr>
                <w:noProof/>
                <w:webHidden/>
              </w:rPr>
              <w:tab/>
            </w:r>
            <w:r>
              <w:rPr>
                <w:noProof/>
                <w:webHidden/>
              </w:rPr>
              <w:fldChar w:fldCharType="begin"/>
            </w:r>
            <w:r>
              <w:rPr>
                <w:noProof/>
                <w:webHidden/>
              </w:rPr>
              <w:instrText xml:space="preserve"> PAGEREF _Toc209710787 \h </w:instrText>
            </w:r>
            <w:r>
              <w:rPr>
                <w:noProof/>
                <w:webHidden/>
              </w:rPr>
            </w:r>
            <w:r>
              <w:rPr>
                <w:noProof/>
                <w:webHidden/>
              </w:rPr>
              <w:fldChar w:fldCharType="separate"/>
            </w:r>
            <w:r>
              <w:rPr>
                <w:noProof/>
                <w:webHidden/>
              </w:rPr>
              <w:t>4</w:t>
            </w:r>
            <w:r>
              <w:rPr>
                <w:noProof/>
                <w:webHidden/>
              </w:rPr>
              <w:fldChar w:fldCharType="end"/>
            </w:r>
          </w:hyperlink>
        </w:p>
        <w:p w14:paraId="16D4E2A7" w14:textId="5CEF5645" w:rsidR="009404AA" w:rsidRDefault="009404AA">
          <w:pPr>
            <w:pStyle w:val="TOC2"/>
            <w:tabs>
              <w:tab w:val="right" w:leader="dot" w:pos="4598"/>
            </w:tabs>
            <w:rPr>
              <w:rFonts w:cstheme="minorBidi"/>
              <w:noProof/>
              <w:kern w:val="2"/>
              <w:sz w:val="24"/>
              <w:szCs w:val="24"/>
              <w14:ligatures w14:val="standardContextual"/>
            </w:rPr>
          </w:pPr>
          <w:hyperlink w:anchor="_Toc209710788" w:history="1">
            <w:r w:rsidRPr="00E811CC">
              <w:rPr>
                <w:rStyle w:val="Hyperlink"/>
                <w:noProof/>
              </w:rPr>
              <w:t>Contract Categories</w:t>
            </w:r>
            <w:r>
              <w:rPr>
                <w:noProof/>
                <w:webHidden/>
              </w:rPr>
              <w:tab/>
            </w:r>
            <w:r>
              <w:rPr>
                <w:noProof/>
                <w:webHidden/>
              </w:rPr>
              <w:fldChar w:fldCharType="begin"/>
            </w:r>
            <w:r>
              <w:rPr>
                <w:noProof/>
                <w:webHidden/>
              </w:rPr>
              <w:instrText xml:space="preserve"> PAGEREF _Toc209710788 \h </w:instrText>
            </w:r>
            <w:r>
              <w:rPr>
                <w:noProof/>
                <w:webHidden/>
              </w:rPr>
            </w:r>
            <w:r>
              <w:rPr>
                <w:noProof/>
                <w:webHidden/>
              </w:rPr>
              <w:fldChar w:fldCharType="separate"/>
            </w:r>
            <w:r>
              <w:rPr>
                <w:noProof/>
                <w:webHidden/>
              </w:rPr>
              <w:t>4</w:t>
            </w:r>
            <w:r>
              <w:rPr>
                <w:noProof/>
                <w:webHidden/>
              </w:rPr>
              <w:fldChar w:fldCharType="end"/>
            </w:r>
          </w:hyperlink>
        </w:p>
        <w:p w14:paraId="0007D3D9" w14:textId="3B7A458B" w:rsidR="009404AA" w:rsidRDefault="009404AA">
          <w:pPr>
            <w:pStyle w:val="TOC2"/>
            <w:tabs>
              <w:tab w:val="right" w:leader="dot" w:pos="4598"/>
            </w:tabs>
            <w:rPr>
              <w:rFonts w:cstheme="minorBidi"/>
              <w:noProof/>
              <w:kern w:val="2"/>
              <w:sz w:val="24"/>
              <w:szCs w:val="24"/>
              <w14:ligatures w14:val="standardContextual"/>
            </w:rPr>
          </w:pPr>
          <w:hyperlink w:anchor="_Toc209710789" w:history="1">
            <w:r w:rsidRPr="00E811CC">
              <w:rPr>
                <w:rStyle w:val="Hyperlink"/>
                <w:noProof/>
              </w:rPr>
              <w:t>Who May Use the Contract</w:t>
            </w:r>
            <w:r>
              <w:rPr>
                <w:noProof/>
                <w:webHidden/>
              </w:rPr>
              <w:tab/>
            </w:r>
            <w:r>
              <w:rPr>
                <w:noProof/>
                <w:webHidden/>
              </w:rPr>
              <w:fldChar w:fldCharType="begin"/>
            </w:r>
            <w:r>
              <w:rPr>
                <w:noProof/>
                <w:webHidden/>
              </w:rPr>
              <w:instrText xml:space="preserve"> PAGEREF _Toc209710789 \h </w:instrText>
            </w:r>
            <w:r>
              <w:rPr>
                <w:noProof/>
                <w:webHidden/>
              </w:rPr>
            </w:r>
            <w:r>
              <w:rPr>
                <w:noProof/>
                <w:webHidden/>
              </w:rPr>
              <w:fldChar w:fldCharType="separate"/>
            </w:r>
            <w:r>
              <w:rPr>
                <w:noProof/>
                <w:webHidden/>
              </w:rPr>
              <w:t>4</w:t>
            </w:r>
            <w:r>
              <w:rPr>
                <w:noProof/>
                <w:webHidden/>
              </w:rPr>
              <w:fldChar w:fldCharType="end"/>
            </w:r>
          </w:hyperlink>
        </w:p>
        <w:p w14:paraId="4756E1A1" w14:textId="6996B25A" w:rsidR="009404AA" w:rsidRDefault="009404AA">
          <w:pPr>
            <w:pStyle w:val="TOC2"/>
            <w:tabs>
              <w:tab w:val="right" w:leader="dot" w:pos="4598"/>
            </w:tabs>
            <w:rPr>
              <w:rFonts w:cstheme="minorBidi"/>
              <w:noProof/>
              <w:kern w:val="2"/>
              <w:sz w:val="24"/>
              <w:szCs w:val="24"/>
              <w14:ligatures w14:val="standardContextual"/>
            </w:rPr>
          </w:pPr>
          <w:hyperlink w:anchor="_Toc209710790" w:history="1">
            <w:r w:rsidRPr="00E811CC">
              <w:rPr>
                <w:rStyle w:val="Hyperlink"/>
                <w:noProof/>
              </w:rPr>
              <w:t>Pricing Options</w:t>
            </w:r>
            <w:r>
              <w:rPr>
                <w:noProof/>
                <w:webHidden/>
              </w:rPr>
              <w:tab/>
            </w:r>
            <w:r>
              <w:rPr>
                <w:noProof/>
                <w:webHidden/>
              </w:rPr>
              <w:fldChar w:fldCharType="begin"/>
            </w:r>
            <w:r>
              <w:rPr>
                <w:noProof/>
                <w:webHidden/>
              </w:rPr>
              <w:instrText xml:space="preserve"> PAGEREF _Toc209710790 \h </w:instrText>
            </w:r>
            <w:r>
              <w:rPr>
                <w:noProof/>
                <w:webHidden/>
              </w:rPr>
            </w:r>
            <w:r>
              <w:rPr>
                <w:noProof/>
                <w:webHidden/>
              </w:rPr>
              <w:fldChar w:fldCharType="separate"/>
            </w:r>
            <w:r>
              <w:rPr>
                <w:noProof/>
                <w:webHidden/>
              </w:rPr>
              <w:t>5</w:t>
            </w:r>
            <w:r>
              <w:rPr>
                <w:noProof/>
                <w:webHidden/>
              </w:rPr>
              <w:fldChar w:fldCharType="end"/>
            </w:r>
          </w:hyperlink>
        </w:p>
        <w:p w14:paraId="6B1AC75C" w14:textId="5551A0FF" w:rsidR="009404AA" w:rsidRDefault="009404AA">
          <w:pPr>
            <w:pStyle w:val="TOC3"/>
            <w:rPr>
              <w:rFonts w:cstheme="minorBidi"/>
              <w:iCs w:val="0"/>
              <w:noProof/>
              <w:kern w:val="2"/>
              <w:sz w:val="24"/>
              <w:szCs w:val="24"/>
              <w14:ligatures w14:val="standardContextual"/>
            </w:rPr>
          </w:pPr>
          <w:hyperlink w:anchor="_Toc209710791" w:history="1">
            <w:r w:rsidRPr="00E811CC">
              <w:rPr>
                <w:rStyle w:val="Hyperlink"/>
                <w:noProof/>
              </w:rPr>
              <w:t>Pricing and Buying Details</w:t>
            </w:r>
            <w:r>
              <w:rPr>
                <w:noProof/>
                <w:webHidden/>
              </w:rPr>
              <w:tab/>
            </w:r>
            <w:r>
              <w:rPr>
                <w:noProof/>
                <w:webHidden/>
              </w:rPr>
              <w:fldChar w:fldCharType="begin"/>
            </w:r>
            <w:r>
              <w:rPr>
                <w:noProof/>
                <w:webHidden/>
              </w:rPr>
              <w:instrText xml:space="preserve"> PAGEREF _Toc209710791 \h </w:instrText>
            </w:r>
            <w:r>
              <w:rPr>
                <w:noProof/>
                <w:webHidden/>
              </w:rPr>
            </w:r>
            <w:r>
              <w:rPr>
                <w:noProof/>
                <w:webHidden/>
              </w:rPr>
              <w:fldChar w:fldCharType="separate"/>
            </w:r>
            <w:r>
              <w:rPr>
                <w:noProof/>
                <w:webHidden/>
              </w:rPr>
              <w:t>5</w:t>
            </w:r>
            <w:r>
              <w:rPr>
                <w:noProof/>
                <w:webHidden/>
              </w:rPr>
              <w:fldChar w:fldCharType="end"/>
            </w:r>
          </w:hyperlink>
        </w:p>
        <w:p w14:paraId="7D5F1525" w14:textId="35337C9A" w:rsidR="009404AA" w:rsidRDefault="009404AA">
          <w:pPr>
            <w:pStyle w:val="TOC3"/>
            <w:rPr>
              <w:rFonts w:cstheme="minorBidi"/>
              <w:iCs w:val="0"/>
              <w:noProof/>
              <w:kern w:val="2"/>
              <w:sz w:val="24"/>
              <w:szCs w:val="24"/>
              <w14:ligatures w14:val="standardContextual"/>
            </w:rPr>
          </w:pPr>
          <w:hyperlink w:anchor="_Toc209710792" w:history="1">
            <w:r w:rsidRPr="00E811CC">
              <w:rPr>
                <w:rStyle w:val="Hyperlink"/>
                <w:noProof/>
              </w:rPr>
              <w:t>No. 2 Heating Oil and Massachusetts APS-Eligible Liquid Biofuel, Minimum 10% Biofuel</w:t>
            </w:r>
            <w:r>
              <w:rPr>
                <w:noProof/>
                <w:webHidden/>
              </w:rPr>
              <w:tab/>
            </w:r>
            <w:r>
              <w:rPr>
                <w:noProof/>
                <w:webHidden/>
              </w:rPr>
              <w:fldChar w:fldCharType="begin"/>
            </w:r>
            <w:r>
              <w:rPr>
                <w:noProof/>
                <w:webHidden/>
              </w:rPr>
              <w:instrText xml:space="preserve"> PAGEREF _Toc209710792 \h </w:instrText>
            </w:r>
            <w:r>
              <w:rPr>
                <w:noProof/>
                <w:webHidden/>
              </w:rPr>
            </w:r>
            <w:r>
              <w:rPr>
                <w:noProof/>
                <w:webHidden/>
              </w:rPr>
              <w:fldChar w:fldCharType="separate"/>
            </w:r>
            <w:r>
              <w:rPr>
                <w:noProof/>
                <w:webHidden/>
              </w:rPr>
              <w:t>5</w:t>
            </w:r>
            <w:r>
              <w:rPr>
                <w:noProof/>
                <w:webHidden/>
              </w:rPr>
              <w:fldChar w:fldCharType="end"/>
            </w:r>
          </w:hyperlink>
        </w:p>
        <w:p w14:paraId="43BB2F0B" w14:textId="143F7528" w:rsidR="009404AA" w:rsidRDefault="009404AA">
          <w:pPr>
            <w:pStyle w:val="TOC3"/>
            <w:rPr>
              <w:rFonts w:cstheme="minorBidi"/>
              <w:iCs w:val="0"/>
              <w:noProof/>
              <w:kern w:val="2"/>
              <w:sz w:val="24"/>
              <w:szCs w:val="24"/>
              <w14:ligatures w14:val="standardContextual"/>
            </w:rPr>
          </w:pPr>
          <w:hyperlink w:anchor="_Toc209710793" w:history="1">
            <w:r w:rsidRPr="00E811CC">
              <w:rPr>
                <w:rStyle w:val="Hyperlink"/>
                <w:noProof/>
              </w:rPr>
              <w:t>Category 3 Fixed Pricing</w:t>
            </w:r>
            <w:r>
              <w:rPr>
                <w:noProof/>
                <w:webHidden/>
              </w:rPr>
              <w:tab/>
            </w:r>
            <w:r>
              <w:rPr>
                <w:noProof/>
                <w:webHidden/>
              </w:rPr>
              <w:fldChar w:fldCharType="begin"/>
            </w:r>
            <w:r>
              <w:rPr>
                <w:noProof/>
                <w:webHidden/>
              </w:rPr>
              <w:instrText xml:space="preserve"> PAGEREF _Toc209710793 \h </w:instrText>
            </w:r>
            <w:r>
              <w:rPr>
                <w:noProof/>
                <w:webHidden/>
              </w:rPr>
            </w:r>
            <w:r>
              <w:rPr>
                <w:noProof/>
                <w:webHidden/>
              </w:rPr>
              <w:fldChar w:fldCharType="separate"/>
            </w:r>
            <w:r>
              <w:rPr>
                <w:noProof/>
                <w:webHidden/>
              </w:rPr>
              <w:t>7</w:t>
            </w:r>
            <w:r>
              <w:rPr>
                <w:noProof/>
                <w:webHidden/>
              </w:rPr>
              <w:fldChar w:fldCharType="end"/>
            </w:r>
          </w:hyperlink>
        </w:p>
        <w:p w14:paraId="7F08838C" w14:textId="43D62A1C" w:rsidR="009404AA" w:rsidRDefault="009404AA">
          <w:pPr>
            <w:pStyle w:val="TOC3"/>
            <w:rPr>
              <w:rFonts w:cstheme="minorBidi"/>
              <w:iCs w:val="0"/>
              <w:noProof/>
              <w:kern w:val="2"/>
              <w:sz w:val="24"/>
              <w:szCs w:val="24"/>
              <w14:ligatures w14:val="standardContextual"/>
            </w:rPr>
          </w:pPr>
          <w:hyperlink w:anchor="_Toc209710794" w:history="1">
            <w:r w:rsidRPr="00E811CC">
              <w:rPr>
                <w:rStyle w:val="Hyperlink"/>
                <w:noProof/>
              </w:rPr>
              <w:t>Additional Taxes and Federal Environmental Fees</w:t>
            </w:r>
            <w:r>
              <w:rPr>
                <w:noProof/>
                <w:webHidden/>
              </w:rPr>
              <w:tab/>
            </w:r>
            <w:r>
              <w:rPr>
                <w:noProof/>
                <w:webHidden/>
              </w:rPr>
              <w:fldChar w:fldCharType="begin"/>
            </w:r>
            <w:r>
              <w:rPr>
                <w:noProof/>
                <w:webHidden/>
              </w:rPr>
              <w:instrText xml:space="preserve"> PAGEREF _Toc209710794 \h </w:instrText>
            </w:r>
            <w:r>
              <w:rPr>
                <w:noProof/>
                <w:webHidden/>
              </w:rPr>
            </w:r>
            <w:r>
              <w:rPr>
                <w:noProof/>
                <w:webHidden/>
              </w:rPr>
              <w:fldChar w:fldCharType="separate"/>
            </w:r>
            <w:r>
              <w:rPr>
                <w:noProof/>
                <w:webHidden/>
              </w:rPr>
              <w:t>8</w:t>
            </w:r>
            <w:r>
              <w:rPr>
                <w:noProof/>
                <w:webHidden/>
              </w:rPr>
              <w:fldChar w:fldCharType="end"/>
            </w:r>
          </w:hyperlink>
        </w:p>
        <w:p w14:paraId="04AB87CD" w14:textId="3009E56D" w:rsidR="009404AA" w:rsidRDefault="009404AA">
          <w:pPr>
            <w:pStyle w:val="TOC2"/>
            <w:tabs>
              <w:tab w:val="right" w:leader="dot" w:pos="4598"/>
            </w:tabs>
            <w:rPr>
              <w:rFonts w:cstheme="minorBidi"/>
              <w:noProof/>
              <w:kern w:val="2"/>
              <w:sz w:val="24"/>
              <w:szCs w:val="24"/>
              <w14:ligatures w14:val="standardContextual"/>
            </w:rPr>
          </w:pPr>
          <w:hyperlink w:anchor="_Toc209710795" w:history="1">
            <w:r w:rsidRPr="00E811CC">
              <w:rPr>
                <w:rStyle w:val="Hyperlink"/>
                <w:noProof/>
              </w:rPr>
              <w:t>Product Pricing and Finding Vendor Price Files</w:t>
            </w:r>
            <w:r>
              <w:rPr>
                <w:noProof/>
                <w:webHidden/>
              </w:rPr>
              <w:tab/>
            </w:r>
            <w:r>
              <w:rPr>
                <w:noProof/>
                <w:webHidden/>
              </w:rPr>
              <w:fldChar w:fldCharType="begin"/>
            </w:r>
            <w:r>
              <w:rPr>
                <w:noProof/>
                <w:webHidden/>
              </w:rPr>
              <w:instrText xml:space="preserve"> PAGEREF _Toc209710795 \h </w:instrText>
            </w:r>
            <w:r>
              <w:rPr>
                <w:noProof/>
                <w:webHidden/>
              </w:rPr>
            </w:r>
            <w:r>
              <w:rPr>
                <w:noProof/>
                <w:webHidden/>
              </w:rPr>
              <w:fldChar w:fldCharType="separate"/>
            </w:r>
            <w:r>
              <w:rPr>
                <w:noProof/>
                <w:webHidden/>
              </w:rPr>
              <w:t>9</w:t>
            </w:r>
            <w:r>
              <w:rPr>
                <w:noProof/>
                <w:webHidden/>
              </w:rPr>
              <w:fldChar w:fldCharType="end"/>
            </w:r>
          </w:hyperlink>
        </w:p>
        <w:p w14:paraId="4385735A" w14:textId="264BCB1E" w:rsidR="009404AA" w:rsidRDefault="009404AA">
          <w:pPr>
            <w:pStyle w:val="TOC2"/>
            <w:tabs>
              <w:tab w:val="right" w:leader="dot" w:pos="4598"/>
            </w:tabs>
            <w:rPr>
              <w:rFonts w:cstheme="minorBidi"/>
              <w:noProof/>
              <w:kern w:val="2"/>
              <w:sz w:val="24"/>
              <w:szCs w:val="24"/>
              <w14:ligatures w14:val="standardContextual"/>
            </w:rPr>
          </w:pPr>
          <w:hyperlink w:anchor="_Toc209710796" w:history="1">
            <w:r w:rsidRPr="00E811CC">
              <w:rPr>
                <w:rStyle w:val="Hyperlink"/>
                <w:noProof/>
              </w:rPr>
              <w:t>Quote Response and Requirements</w:t>
            </w:r>
            <w:r>
              <w:rPr>
                <w:noProof/>
                <w:webHidden/>
              </w:rPr>
              <w:tab/>
            </w:r>
            <w:r>
              <w:rPr>
                <w:noProof/>
                <w:webHidden/>
              </w:rPr>
              <w:fldChar w:fldCharType="begin"/>
            </w:r>
            <w:r>
              <w:rPr>
                <w:noProof/>
                <w:webHidden/>
              </w:rPr>
              <w:instrText xml:space="preserve"> PAGEREF _Toc209710796 \h </w:instrText>
            </w:r>
            <w:r>
              <w:rPr>
                <w:noProof/>
                <w:webHidden/>
              </w:rPr>
            </w:r>
            <w:r>
              <w:rPr>
                <w:noProof/>
                <w:webHidden/>
              </w:rPr>
              <w:fldChar w:fldCharType="separate"/>
            </w:r>
            <w:r>
              <w:rPr>
                <w:noProof/>
                <w:webHidden/>
              </w:rPr>
              <w:t>9</w:t>
            </w:r>
            <w:r>
              <w:rPr>
                <w:noProof/>
                <w:webHidden/>
              </w:rPr>
              <w:fldChar w:fldCharType="end"/>
            </w:r>
          </w:hyperlink>
        </w:p>
        <w:p w14:paraId="71A72027" w14:textId="7BF38157" w:rsidR="009404AA" w:rsidRDefault="009404AA">
          <w:pPr>
            <w:pStyle w:val="TOC2"/>
            <w:tabs>
              <w:tab w:val="right" w:leader="dot" w:pos="4598"/>
            </w:tabs>
            <w:rPr>
              <w:rFonts w:cstheme="minorBidi"/>
              <w:noProof/>
              <w:kern w:val="2"/>
              <w:sz w:val="24"/>
              <w:szCs w:val="24"/>
              <w14:ligatures w14:val="standardContextual"/>
            </w:rPr>
          </w:pPr>
          <w:hyperlink w:anchor="_Toc209710797" w:history="1">
            <w:r w:rsidRPr="00E811CC">
              <w:rPr>
                <w:rStyle w:val="Hyperlink"/>
                <w:noProof/>
              </w:rPr>
              <w:t>Purchase Options</w:t>
            </w:r>
            <w:r>
              <w:rPr>
                <w:noProof/>
                <w:webHidden/>
              </w:rPr>
              <w:tab/>
            </w:r>
            <w:r>
              <w:rPr>
                <w:noProof/>
                <w:webHidden/>
              </w:rPr>
              <w:fldChar w:fldCharType="begin"/>
            </w:r>
            <w:r>
              <w:rPr>
                <w:noProof/>
                <w:webHidden/>
              </w:rPr>
              <w:instrText xml:space="preserve"> PAGEREF _Toc209710797 \h </w:instrText>
            </w:r>
            <w:r>
              <w:rPr>
                <w:noProof/>
                <w:webHidden/>
              </w:rPr>
            </w:r>
            <w:r>
              <w:rPr>
                <w:noProof/>
                <w:webHidden/>
              </w:rPr>
              <w:fldChar w:fldCharType="separate"/>
            </w:r>
            <w:r>
              <w:rPr>
                <w:noProof/>
                <w:webHidden/>
              </w:rPr>
              <w:t>9</w:t>
            </w:r>
            <w:r>
              <w:rPr>
                <w:noProof/>
                <w:webHidden/>
              </w:rPr>
              <w:fldChar w:fldCharType="end"/>
            </w:r>
          </w:hyperlink>
        </w:p>
        <w:p w14:paraId="33897DEB" w14:textId="29C5F51E" w:rsidR="009404AA" w:rsidRDefault="009404AA">
          <w:pPr>
            <w:pStyle w:val="TOC2"/>
            <w:tabs>
              <w:tab w:val="right" w:leader="dot" w:pos="4598"/>
            </w:tabs>
            <w:rPr>
              <w:rFonts w:cstheme="minorBidi"/>
              <w:noProof/>
              <w:kern w:val="2"/>
              <w:sz w:val="24"/>
              <w:szCs w:val="24"/>
              <w14:ligatures w14:val="standardContextual"/>
            </w:rPr>
          </w:pPr>
          <w:hyperlink w:anchor="_Toc209710798" w:history="1">
            <w:r w:rsidRPr="00E811CC">
              <w:rPr>
                <w:rStyle w:val="Hyperlink"/>
                <w:noProof/>
              </w:rPr>
              <w:t>Setting Up a COMMBUYS Account</w:t>
            </w:r>
            <w:r>
              <w:rPr>
                <w:noProof/>
                <w:webHidden/>
              </w:rPr>
              <w:tab/>
            </w:r>
            <w:r>
              <w:rPr>
                <w:noProof/>
                <w:webHidden/>
              </w:rPr>
              <w:fldChar w:fldCharType="begin"/>
            </w:r>
            <w:r>
              <w:rPr>
                <w:noProof/>
                <w:webHidden/>
              </w:rPr>
              <w:instrText xml:space="preserve"> PAGEREF _Toc209710798 \h </w:instrText>
            </w:r>
            <w:r>
              <w:rPr>
                <w:noProof/>
                <w:webHidden/>
              </w:rPr>
            </w:r>
            <w:r>
              <w:rPr>
                <w:noProof/>
                <w:webHidden/>
              </w:rPr>
              <w:fldChar w:fldCharType="separate"/>
            </w:r>
            <w:r>
              <w:rPr>
                <w:noProof/>
                <w:webHidden/>
              </w:rPr>
              <w:t>11</w:t>
            </w:r>
            <w:r>
              <w:rPr>
                <w:noProof/>
                <w:webHidden/>
              </w:rPr>
              <w:fldChar w:fldCharType="end"/>
            </w:r>
          </w:hyperlink>
        </w:p>
        <w:p w14:paraId="3CB05CB0" w14:textId="3BE0D25E" w:rsidR="009404AA" w:rsidRDefault="009404AA">
          <w:pPr>
            <w:pStyle w:val="TOC2"/>
            <w:tabs>
              <w:tab w:val="right" w:leader="dot" w:pos="4598"/>
            </w:tabs>
            <w:rPr>
              <w:rFonts w:cstheme="minorBidi"/>
              <w:noProof/>
              <w:kern w:val="2"/>
              <w:sz w:val="24"/>
              <w:szCs w:val="24"/>
              <w14:ligatures w14:val="standardContextual"/>
            </w:rPr>
          </w:pPr>
          <w:hyperlink w:anchor="_Toc209710799" w:history="1">
            <w:r w:rsidRPr="00E811CC">
              <w:rPr>
                <w:rStyle w:val="Hyperlink"/>
                <w:noProof/>
              </w:rPr>
              <w:t>Finding Contract Documents</w:t>
            </w:r>
            <w:r>
              <w:rPr>
                <w:noProof/>
                <w:webHidden/>
              </w:rPr>
              <w:tab/>
            </w:r>
            <w:r>
              <w:rPr>
                <w:noProof/>
                <w:webHidden/>
              </w:rPr>
              <w:fldChar w:fldCharType="begin"/>
            </w:r>
            <w:r>
              <w:rPr>
                <w:noProof/>
                <w:webHidden/>
              </w:rPr>
              <w:instrText xml:space="preserve"> PAGEREF _Toc209710799 \h </w:instrText>
            </w:r>
            <w:r>
              <w:rPr>
                <w:noProof/>
                <w:webHidden/>
              </w:rPr>
            </w:r>
            <w:r>
              <w:rPr>
                <w:noProof/>
                <w:webHidden/>
              </w:rPr>
              <w:fldChar w:fldCharType="separate"/>
            </w:r>
            <w:r>
              <w:rPr>
                <w:noProof/>
                <w:webHidden/>
              </w:rPr>
              <w:t>11</w:t>
            </w:r>
            <w:r>
              <w:rPr>
                <w:noProof/>
                <w:webHidden/>
              </w:rPr>
              <w:fldChar w:fldCharType="end"/>
            </w:r>
          </w:hyperlink>
        </w:p>
        <w:p w14:paraId="54E0AE3E" w14:textId="1C587AE0" w:rsidR="009404AA" w:rsidRDefault="009404AA">
          <w:pPr>
            <w:pStyle w:val="TOC2"/>
            <w:tabs>
              <w:tab w:val="right" w:leader="dot" w:pos="4598"/>
            </w:tabs>
            <w:rPr>
              <w:rFonts w:cstheme="minorBidi"/>
              <w:noProof/>
              <w:kern w:val="2"/>
              <w:sz w:val="24"/>
              <w:szCs w:val="24"/>
              <w14:ligatures w14:val="standardContextual"/>
            </w:rPr>
          </w:pPr>
          <w:hyperlink w:anchor="_Toc209710800" w:history="1">
            <w:r w:rsidRPr="00E811CC">
              <w:rPr>
                <w:rStyle w:val="Hyperlink"/>
                <w:noProof/>
              </w:rPr>
              <w:t>Finding Vendor-Specific Documents</w:t>
            </w:r>
            <w:r>
              <w:rPr>
                <w:noProof/>
                <w:webHidden/>
              </w:rPr>
              <w:tab/>
            </w:r>
            <w:r>
              <w:rPr>
                <w:noProof/>
                <w:webHidden/>
              </w:rPr>
              <w:fldChar w:fldCharType="begin"/>
            </w:r>
            <w:r>
              <w:rPr>
                <w:noProof/>
                <w:webHidden/>
              </w:rPr>
              <w:instrText xml:space="preserve"> PAGEREF _Toc209710800 \h </w:instrText>
            </w:r>
            <w:r>
              <w:rPr>
                <w:noProof/>
                <w:webHidden/>
              </w:rPr>
            </w:r>
            <w:r>
              <w:rPr>
                <w:noProof/>
                <w:webHidden/>
              </w:rPr>
              <w:fldChar w:fldCharType="separate"/>
            </w:r>
            <w:r>
              <w:rPr>
                <w:noProof/>
                <w:webHidden/>
              </w:rPr>
              <w:t>12</w:t>
            </w:r>
            <w:r>
              <w:rPr>
                <w:noProof/>
                <w:webHidden/>
              </w:rPr>
              <w:fldChar w:fldCharType="end"/>
            </w:r>
          </w:hyperlink>
        </w:p>
        <w:p w14:paraId="4A89665A" w14:textId="7347933C" w:rsidR="009404AA" w:rsidRDefault="009404AA">
          <w:pPr>
            <w:pStyle w:val="TOC2"/>
            <w:tabs>
              <w:tab w:val="right" w:leader="dot" w:pos="4598"/>
            </w:tabs>
            <w:rPr>
              <w:rFonts w:cstheme="minorBidi"/>
              <w:noProof/>
              <w:kern w:val="2"/>
              <w:sz w:val="24"/>
              <w:szCs w:val="24"/>
              <w14:ligatures w14:val="standardContextual"/>
            </w:rPr>
          </w:pPr>
          <w:hyperlink w:anchor="_Toc209710801" w:history="1">
            <w:r w:rsidRPr="00E811CC">
              <w:rPr>
                <w:rStyle w:val="Hyperlink"/>
                <w:noProof/>
              </w:rPr>
              <w:t>Supplier Diversity Office (SDO) Requirements</w:t>
            </w:r>
            <w:r>
              <w:rPr>
                <w:noProof/>
                <w:webHidden/>
              </w:rPr>
              <w:tab/>
            </w:r>
            <w:r>
              <w:rPr>
                <w:noProof/>
                <w:webHidden/>
              </w:rPr>
              <w:fldChar w:fldCharType="begin"/>
            </w:r>
            <w:r>
              <w:rPr>
                <w:noProof/>
                <w:webHidden/>
              </w:rPr>
              <w:instrText xml:space="preserve"> PAGEREF _Toc209710801 \h </w:instrText>
            </w:r>
            <w:r>
              <w:rPr>
                <w:noProof/>
                <w:webHidden/>
              </w:rPr>
            </w:r>
            <w:r>
              <w:rPr>
                <w:noProof/>
                <w:webHidden/>
              </w:rPr>
              <w:fldChar w:fldCharType="separate"/>
            </w:r>
            <w:r>
              <w:rPr>
                <w:noProof/>
                <w:webHidden/>
              </w:rPr>
              <w:t>12</w:t>
            </w:r>
            <w:r>
              <w:rPr>
                <w:noProof/>
                <w:webHidden/>
              </w:rPr>
              <w:fldChar w:fldCharType="end"/>
            </w:r>
          </w:hyperlink>
        </w:p>
        <w:p w14:paraId="14285EC5" w14:textId="3B74F9D2" w:rsidR="009404AA" w:rsidRDefault="009404AA">
          <w:pPr>
            <w:pStyle w:val="TOC3"/>
            <w:rPr>
              <w:rFonts w:cstheme="minorBidi"/>
              <w:iCs w:val="0"/>
              <w:noProof/>
              <w:kern w:val="2"/>
              <w:sz w:val="24"/>
              <w:szCs w:val="24"/>
              <w14:ligatures w14:val="standardContextual"/>
            </w:rPr>
          </w:pPr>
          <w:hyperlink w:anchor="_Toc209710802" w:history="1">
            <w:r w:rsidRPr="00E811CC">
              <w:rPr>
                <w:rStyle w:val="Hyperlink"/>
                <w:noProof/>
              </w:rPr>
              <w:t>Supplier Diversity Program (SDP) Requirements</w:t>
            </w:r>
            <w:r>
              <w:rPr>
                <w:noProof/>
                <w:webHidden/>
              </w:rPr>
              <w:tab/>
            </w:r>
            <w:r>
              <w:rPr>
                <w:noProof/>
                <w:webHidden/>
              </w:rPr>
              <w:fldChar w:fldCharType="begin"/>
            </w:r>
            <w:r>
              <w:rPr>
                <w:noProof/>
                <w:webHidden/>
              </w:rPr>
              <w:instrText xml:space="preserve"> PAGEREF _Toc209710802 \h </w:instrText>
            </w:r>
            <w:r>
              <w:rPr>
                <w:noProof/>
                <w:webHidden/>
              </w:rPr>
            </w:r>
            <w:r>
              <w:rPr>
                <w:noProof/>
                <w:webHidden/>
              </w:rPr>
              <w:fldChar w:fldCharType="separate"/>
            </w:r>
            <w:r>
              <w:rPr>
                <w:noProof/>
                <w:webHidden/>
              </w:rPr>
              <w:t>13</w:t>
            </w:r>
            <w:r>
              <w:rPr>
                <w:noProof/>
                <w:webHidden/>
              </w:rPr>
              <w:fldChar w:fldCharType="end"/>
            </w:r>
          </w:hyperlink>
        </w:p>
        <w:p w14:paraId="6BC85766" w14:textId="6143204E" w:rsidR="009404AA" w:rsidRDefault="009404AA">
          <w:pPr>
            <w:pStyle w:val="TOC3"/>
            <w:rPr>
              <w:rFonts w:cstheme="minorBidi"/>
              <w:iCs w:val="0"/>
              <w:noProof/>
              <w:kern w:val="2"/>
              <w:sz w:val="24"/>
              <w:szCs w:val="24"/>
              <w14:ligatures w14:val="standardContextual"/>
            </w:rPr>
          </w:pPr>
          <w:hyperlink w:anchor="_Toc209710803" w:history="1">
            <w:r w:rsidRPr="00E811CC">
              <w:rPr>
                <w:rStyle w:val="Hyperlink"/>
                <w:noProof/>
              </w:rPr>
              <w:t>Small Business Purchasing Program (SBPP) Requirements</w:t>
            </w:r>
            <w:r>
              <w:rPr>
                <w:noProof/>
                <w:webHidden/>
              </w:rPr>
              <w:tab/>
            </w:r>
            <w:r>
              <w:rPr>
                <w:noProof/>
                <w:webHidden/>
              </w:rPr>
              <w:fldChar w:fldCharType="begin"/>
            </w:r>
            <w:r>
              <w:rPr>
                <w:noProof/>
                <w:webHidden/>
              </w:rPr>
              <w:instrText xml:space="preserve"> PAGEREF _Toc209710803 \h </w:instrText>
            </w:r>
            <w:r>
              <w:rPr>
                <w:noProof/>
                <w:webHidden/>
              </w:rPr>
            </w:r>
            <w:r>
              <w:rPr>
                <w:noProof/>
                <w:webHidden/>
              </w:rPr>
              <w:fldChar w:fldCharType="separate"/>
            </w:r>
            <w:r>
              <w:rPr>
                <w:noProof/>
                <w:webHidden/>
              </w:rPr>
              <w:t>13</w:t>
            </w:r>
            <w:r>
              <w:rPr>
                <w:noProof/>
                <w:webHidden/>
              </w:rPr>
              <w:fldChar w:fldCharType="end"/>
            </w:r>
          </w:hyperlink>
        </w:p>
        <w:p w14:paraId="7FCDC7DB" w14:textId="642CADC0" w:rsidR="009404AA" w:rsidRDefault="009404AA">
          <w:pPr>
            <w:pStyle w:val="TOC2"/>
            <w:tabs>
              <w:tab w:val="right" w:leader="dot" w:pos="4598"/>
            </w:tabs>
            <w:rPr>
              <w:rFonts w:cstheme="minorBidi"/>
              <w:noProof/>
              <w:kern w:val="2"/>
              <w:sz w:val="24"/>
              <w:szCs w:val="24"/>
              <w14:ligatures w14:val="standardContextual"/>
            </w:rPr>
          </w:pPr>
          <w:hyperlink w:anchor="_Toc209710804" w:history="1">
            <w:r w:rsidRPr="00E811CC">
              <w:rPr>
                <w:rStyle w:val="Hyperlink"/>
                <w:noProof/>
              </w:rPr>
              <w:t>Subcontractors</w:t>
            </w:r>
            <w:r>
              <w:rPr>
                <w:noProof/>
                <w:webHidden/>
              </w:rPr>
              <w:tab/>
            </w:r>
            <w:r>
              <w:rPr>
                <w:noProof/>
                <w:webHidden/>
              </w:rPr>
              <w:fldChar w:fldCharType="begin"/>
            </w:r>
            <w:r>
              <w:rPr>
                <w:noProof/>
                <w:webHidden/>
              </w:rPr>
              <w:instrText xml:space="preserve"> PAGEREF _Toc209710804 \h </w:instrText>
            </w:r>
            <w:r>
              <w:rPr>
                <w:noProof/>
                <w:webHidden/>
              </w:rPr>
            </w:r>
            <w:r>
              <w:rPr>
                <w:noProof/>
                <w:webHidden/>
              </w:rPr>
              <w:fldChar w:fldCharType="separate"/>
            </w:r>
            <w:r>
              <w:rPr>
                <w:noProof/>
                <w:webHidden/>
              </w:rPr>
              <w:t>13</w:t>
            </w:r>
            <w:r>
              <w:rPr>
                <w:noProof/>
                <w:webHidden/>
              </w:rPr>
              <w:fldChar w:fldCharType="end"/>
            </w:r>
          </w:hyperlink>
        </w:p>
        <w:p w14:paraId="14791AAA" w14:textId="5F358D2B" w:rsidR="009404AA" w:rsidRDefault="009404AA">
          <w:pPr>
            <w:pStyle w:val="TOC2"/>
            <w:tabs>
              <w:tab w:val="right" w:leader="dot" w:pos="4598"/>
            </w:tabs>
            <w:rPr>
              <w:rFonts w:cstheme="minorBidi"/>
              <w:noProof/>
              <w:kern w:val="2"/>
              <w:sz w:val="24"/>
              <w:szCs w:val="24"/>
              <w14:ligatures w14:val="standardContextual"/>
            </w:rPr>
          </w:pPr>
          <w:hyperlink w:anchor="_Toc209710805" w:history="1">
            <w:r w:rsidRPr="00E811CC">
              <w:rPr>
                <w:rStyle w:val="Hyperlink"/>
                <w:noProof/>
              </w:rPr>
              <w:t>Shipping and Delivery</w:t>
            </w:r>
            <w:r>
              <w:rPr>
                <w:noProof/>
                <w:webHidden/>
              </w:rPr>
              <w:tab/>
            </w:r>
            <w:r>
              <w:rPr>
                <w:noProof/>
                <w:webHidden/>
              </w:rPr>
              <w:fldChar w:fldCharType="begin"/>
            </w:r>
            <w:r>
              <w:rPr>
                <w:noProof/>
                <w:webHidden/>
              </w:rPr>
              <w:instrText xml:space="preserve"> PAGEREF _Toc209710805 \h </w:instrText>
            </w:r>
            <w:r>
              <w:rPr>
                <w:noProof/>
                <w:webHidden/>
              </w:rPr>
            </w:r>
            <w:r>
              <w:rPr>
                <w:noProof/>
                <w:webHidden/>
              </w:rPr>
              <w:fldChar w:fldCharType="separate"/>
            </w:r>
            <w:r>
              <w:rPr>
                <w:noProof/>
                <w:webHidden/>
              </w:rPr>
              <w:t>13</w:t>
            </w:r>
            <w:r>
              <w:rPr>
                <w:noProof/>
                <w:webHidden/>
              </w:rPr>
              <w:fldChar w:fldCharType="end"/>
            </w:r>
          </w:hyperlink>
        </w:p>
        <w:p w14:paraId="0500BA36" w14:textId="4EDFAC94" w:rsidR="009404AA" w:rsidRDefault="009404AA">
          <w:pPr>
            <w:pStyle w:val="TOC2"/>
            <w:tabs>
              <w:tab w:val="right" w:leader="dot" w:pos="4598"/>
            </w:tabs>
            <w:rPr>
              <w:rFonts w:cstheme="minorBidi"/>
              <w:noProof/>
              <w:kern w:val="2"/>
              <w:sz w:val="24"/>
              <w:szCs w:val="24"/>
              <w14:ligatures w14:val="standardContextual"/>
            </w:rPr>
          </w:pPr>
          <w:hyperlink w:anchor="_Toc209710806" w:history="1">
            <w:r w:rsidRPr="00E811CC">
              <w:rPr>
                <w:rStyle w:val="Hyperlink"/>
                <w:noProof/>
              </w:rPr>
              <w:t>Accidents and Spills Guidelines</w:t>
            </w:r>
            <w:r>
              <w:rPr>
                <w:noProof/>
                <w:webHidden/>
              </w:rPr>
              <w:tab/>
            </w:r>
            <w:r>
              <w:rPr>
                <w:noProof/>
                <w:webHidden/>
              </w:rPr>
              <w:fldChar w:fldCharType="begin"/>
            </w:r>
            <w:r>
              <w:rPr>
                <w:noProof/>
                <w:webHidden/>
              </w:rPr>
              <w:instrText xml:space="preserve"> PAGEREF _Toc209710806 \h </w:instrText>
            </w:r>
            <w:r>
              <w:rPr>
                <w:noProof/>
                <w:webHidden/>
              </w:rPr>
            </w:r>
            <w:r>
              <w:rPr>
                <w:noProof/>
                <w:webHidden/>
              </w:rPr>
              <w:fldChar w:fldCharType="separate"/>
            </w:r>
            <w:r>
              <w:rPr>
                <w:noProof/>
                <w:webHidden/>
              </w:rPr>
              <w:t>14</w:t>
            </w:r>
            <w:r>
              <w:rPr>
                <w:noProof/>
                <w:webHidden/>
              </w:rPr>
              <w:fldChar w:fldCharType="end"/>
            </w:r>
          </w:hyperlink>
        </w:p>
        <w:p w14:paraId="07F463EA" w14:textId="0C53D090" w:rsidR="009404AA" w:rsidRDefault="009404AA">
          <w:pPr>
            <w:pStyle w:val="TOC2"/>
            <w:tabs>
              <w:tab w:val="right" w:leader="dot" w:pos="4598"/>
            </w:tabs>
            <w:rPr>
              <w:rFonts w:cstheme="minorBidi"/>
              <w:noProof/>
              <w:kern w:val="2"/>
              <w:sz w:val="24"/>
              <w:szCs w:val="24"/>
              <w14:ligatures w14:val="standardContextual"/>
            </w:rPr>
          </w:pPr>
          <w:hyperlink w:anchor="_Toc209710807" w:history="1">
            <w:r w:rsidRPr="00E811CC">
              <w:rPr>
                <w:rStyle w:val="Hyperlink"/>
                <w:noProof/>
              </w:rPr>
              <w:t>Additional Discounts</w:t>
            </w:r>
            <w:r>
              <w:rPr>
                <w:noProof/>
                <w:webHidden/>
              </w:rPr>
              <w:tab/>
            </w:r>
            <w:r>
              <w:rPr>
                <w:noProof/>
                <w:webHidden/>
              </w:rPr>
              <w:fldChar w:fldCharType="begin"/>
            </w:r>
            <w:r>
              <w:rPr>
                <w:noProof/>
                <w:webHidden/>
              </w:rPr>
              <w:instrText xml:space="preserve"> PAGEREF _Toc209710807 \h </w:instrText>
            </w:r>
            <w:r>
              <w:rPr>
                <w:noProof/>
                <w:webHidden/>
              </w:rPr>
            </w:r>
            <w:r>
              <w:rPr>
                <w:noProof/>
                <w:webHidden/>
              </w:rPr>
              <w:fldChar w:fldCharType="separate"/>
            </w:r>
            <w:r>
              <w:rPr>
                <w:noProof/>
                <w:webHidden/>
              </w:rPr>
              <w:t>15</w:t>
            </w:r>
            <w:r>
              <w:rPr>
                <w:noProof/>
                <w:webHidden/>
              </w:rPr>
              <w:fldChar w:fldCharType="end"/>
            </w:r>
          </w:hyperlink>
        </w:p>
        <w:p w14:paraId="45A9C79F" w14:textId="4D13E035" w:rsidR="009404AA" w:rsidRDefault="009404AA">
          <w:pPr>
            <w:pStyle w:val="TOC2"/>
            <w:tabs>
              <w:tab w:val="right" w:leader="dot" w:pos="4598"/>
            </w:tabs>
            <w:rPr>
              <w:rFonts w:cstheme="minorBidi"/>
              <w:noProof/>
              <w:kern w:val="2"/>
              <w:sz w:val="24"/>
              <w:szCs w:val="24"/>
              <w14:ligatures w14:val="standardContextual"/>
            </w:rPr>
          </w:pPr>
          <w:hyperlink w:anchor="_Toc209710808" w:history="1">
            <w:r w:rsidRPr="00E811CC">
              <w:rPr>
                <w:rStyle w:val="Hyperlink"/>
                <w:noProof/>
              </w:rPr>
              <w:t>Emergency Services</w:t>
            </w:r>
            <w:r>
              <w:rPr>
                <w:noProof/>
                <w:webHidden/>
              </w:rPr>
              <w:tab/>
            </w:r>
            <w:r>
              <w:rPr>
                <w:noProof/>
                <w:webHidden/>
              </w:rPr>
              <w:fldChar w:fldCharType="begin"/>
            </w:r>
            <w:r>
              <w:rPr>
                <w:noProof/>
                <w:webHidden/>
              </w:rPr>
              <w:instrText xml:space="preserve"> PAGEREF _Toc209710808 \h </w:instrText>
            </w:r>
            <w:r>
              <w:rPr>
                <w:noProof/>
                <w:webHidden/>
              </w:rPr>
            </w:r>
            <w:r>
              <w:rPr>
                <w:noProof/>
                <w:webHidden/>
              </w:rPr>
              <w:fldChar w:fldCharType="separate"/>
            </w:r>
            <w:r>
              <w:rPr>
                <w:noProof/>
                <w:webHidden/>
              </w:rPr>
              <w:t>16</w:t>
            </w:r>
            <w:r>
              <w:rPr>
                <w:noProof/>
                <w:webHidden/>
              </w:rPr>
              <w:fldChar w:fldCharType="end"/>
            </w:r>
          </w:hyperlink>
        </w:p>
        <w:p w14:paraId="1D5C00C5" w14:textId="59AC7E87" w:rsidR="009404AA" w:rsidRDefault="009404AA">
          <w:pPr>
            <w:pStyle w:val="TOC2"/>
            <w:tabs>
              <w:tab w:val="right" w:leader="dot" w:pos="4598"/>
            </w:tabs>
            <w:rPr>
              <w:rFonts w:cstheme="minorBidi"/>
              <w:noProof/>
              <w:kern w:val="2"/>
              <w:sz w:val="24"/>
              <w:szCs w:val="24"/>
              <w14:ligatures w14:val="standardContextual"/>
            </w:rPr>
          </w:pPr>
          <w:hyperlink w:anchor="_Toc209710809" w:history="1">
            <w:r w:rsidRPr="00E811CC">
              <w:rPr>
                <w:rStyle w:val="Hyperlink"/>
                <w:noProof/>
              </w:rPr>
              <w:t>Vendor Performance</w:t>
            </w:r>
            <w:r>
              <w:rPr>
                <w:noProof/>
                <w:webHidden/>
              </w:rPr>
              <w:tab/>
            </w:r>
            <w:r>
              <w:rPr>
                <w:noProof/>
                <w:webHidden/>
              </w:rPr>
              <w:fldChar w:fldCharType="begin"/>
            </w:r>
            <w:r>
              <w:rPr>
                <w:noProof/>
                <w:webHidden/>
              </w:rPr>
              <w:instrText xml:space="preserve"> PAGEREF _Toc209710809 \h </w:instrText>
            </w:r>
            <w:r>
              <w:rPr>
                <w:noProof/>
                <w:webHidden/>
              </w:rPr>
            </w:r>
            <w:r>
              <w:rPr>
                <w:noProof/>
                <w:webHidden/>
              </w:rPr>
              <w:fldChar w:fldCharType="separate"/>
            </w:r>
            <w:r>
              <w:rPr>
                <w:noProof/>
                <w:webHidden/>
              </w:rPr>
              <w:t>16</w:t>
            </w:r>
            <w:r>
              <w:rPr>
                <w:noProof/>
                <w:webHidden/>
              </w:rPr>
              <w:fldChar w:fldCharType="end"/>
            </w:r>
          </w:hyperlink>
        </w:p>
        <w:p w14:paraId="6D964F85" w14:textId="226C241A" w:rsidR="009404AA" w:rsidRDefault="009404AA">
          <w:pPr>
            <w:pStyle w:val="TOC2"/>
            <w:tabs>
              <w:tab w:val="right" w:leader="dot" w:pos="4598"/>
            </w:tabs>
            <w:rPr>
              <w:rFonts w:cstheme="minorBidi"/>
              <w:noProof/>
              <w:kern w:val="2"/>
              <w:sz w:val="24"/>
              <w:szCs w:val="24"/>
              <w14:ligatures w14:val="standardContextual"/>
            </w:rPr>
          </w:pPr>
          <w:hyperlink w:anchor="_Toc209710810" w:history="1">
            <w:r w:rsidRPr="00E811CC">
              <w:rPr>
                <w:rStyle w:val="Hyperlink"/>
                <w:noProof/>
              </w:rPr>
              <w:t>General Procurement Guidelines and Best Practices</w:t>
            </w:r>
            <w:r>
              <w:rPr>
                <w:noProof/>
                <w:webHidden/>
              </w:rPr>
              <w:tab/>
            </w:r>
            <w:r>
              <w:rPr>
                <w:noProof/>
                <w:webHidden/>
              </w:rPr>
              <w:fldChar w:fldCharType="begin"/>
            </w:r>
            <w:r>
              <w:rPr>
                <w:noProof/>
                <w:webHidden/>
              </w:rPr>
              <w:instrText xml:space="preserve"> PAGEREF _Toc209710810 \h </w:instrText>
            </w:r>
            <w:r>
              <w:rPr>
                <w:noProof/>
                <w:webHidden/>
              </w:rPr>
            </w:r>
            <w:r>
              <w:rPr>
                <w:noProof/>
                <w:webHidden/>
              </w:rPr>
              <w:fldChar w:fldCharType="separate"/>
            </w:r>
            <w:r>
              <w:rPr>
                <w:noProof/>
                <w:webHidden/>
              </w:rPr>
              <w:t>17</w:t>
            </w:r>
            <w:r>
              <w:rPr>
                <w:noProof/>
                <w:webHidden/>
              </w:rPr>
              <w:fldChar w:fldCharType="end"/>
            </w:r>
          </w:hyperlink>
        </w:p>
        <w:p w14:paraId="3A7585DF" w14:textId="25906E5E" w:rsidR="009404AA" w:rsidRDefault="009404AA">
          <w:pPr>
            <w:pStyle w:val="TOC2"/>
            <w:tabs>
              <w:tab w:val="right" w:leader="dot" w:pos="4598"/>
            </w:tabs>
            <w:rPr>
              <w:rFonts w:cstheme="minorBidi"/>
              <w:noProof/>
              <w:kern w:val="2"/>
              <w:sz w:val="24"/>
              <w:szCs w:val="24"/>
              <w14:ligatures w14:val="standardContextual"/>
            </w:rPr>
          </w:pPr>
          <w:hyperlink w:anchor="_Toc209710811" w:history="1">
            <w:r w:rsidRPr="00E811CC">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_Toc209710811 \h </w:instrText>
            </w:r>
            <w:r>
              <w:rPr>
                <w:noProof/>
                <w:webHidden/>
              </w:rPr>
            </w:r>
            <w:r>
              <w:rPr>
                <w:noProof/>
                <w:webHidden/>
              </w:rPr>
              <w:fldChar w:fldCharType="separate"/>
            </w:r>
            <w:r>
              <w:rPr>
                <w:noProof/>
                <w:webHidden/>
              </w:rPr>
              <w:t>17</w:t>
            </w:r>
            <w:r>
              <w:rPr>
                <w:noProof/>
                <w:webHidden/>
              </w:rPr>
              <w:fldChar w:fldCharType="end"/>
            </w:r>
          </w:hyperlink>
        </w:p>
        <w:p w14:paraId="499D8CDC" w14:textId="20F5DBEB" w:rsidR="009404AA" w:rsidRDefault="009404AA">
          <w:pPr>
            <w:pStyle w:val="TOC3"/>
            <w:rPr>
              <w:rFonts w:cstheme="minorBidi"/>
              <w:iCs w:val="0"/>
              <w:noProof/>
              <w:kern w:val="2"/>
              <w:sz w:val="24"/>
              <w:szCs w:val="24"/>
              <w14:ligatures w14:val="standardContextual"/>
            </w:rPr>
          </w:pPr>
          <w:hyperlink w:anchor="_Toc209710812" w:history="1">
            <w:r w:rsidRPr="00E811CC">
              <w:rPr>
                <w:rStyle w:val="Hyperlink"/>
                <w:noProof/>
              </w:rPr>
              <w:t>Learn More</w:t>
            </w:r>
            <w:r>
              <w:rPr>
                <w:noProof/>
                <w:webHidden/>
              </w:rPr>
              <w:tab/>
            </w:r>
            <w:r>
              <w:rPr>
                <w:noProof/>
                <w:webHidden/>
              </w:rPr>
              <w:fldChar w:fldCharType="begin"/>
            </w:r>
            <w:r>
              <w:rPr>
                <w:noProof/>
                <w:webHidden/>
              </w:rPr>
              <w:instrText xml:space="preserve"> PAGEREF _Toc209710812 \h </w:instrText>
            </w:r>
            <w:r>
              <w:rPr>
                <w:noProof/>
                <w:webHidden/>
              </w:rPr>
            </w:r>
            <w:r>
              <w:rPr>
                <w:noProof/>
                <w:webHidden/>
              </w:rPr>
              <w:fldChar w:fldCharType="separate"/>
            </w:r>
            <w:r>
              <w:rPr>
                <w:noProof/>
                <w:webHidden/>
              </w:rPr>
              <w:t>18</w:t>
            </w:r>
            <w:r>
              <w:rPr>
                <w:noProof/>
                <w:webHidden/>
              </w:rPr>
              <w:fldChar w:fldCharType="end"/>
            </w:r>
          </w:hyperlink>
        </w:p>
        <w:p w14:paraId="3C31AD63" w14:textId="62C9B754" w:rsidR="009404AA" w:rsidRDefault="009404AA">
          <w:pPr>
            <w:pStyle w:val="TOC2"/>
            <w:tabs>
              <w:tab w:val="right" w:leader="dot" w:pos="4598"/>
            </w:tabs>
            <w:rPr>
              <w:rFonts w:cstheme="minorBidi"/>
              <w:noProof/>
              <w:kern w:val="2"/>
              <w:sz w:val="24"/>
              <w:szCs w:val="24"/>
              <w14:ligatures w14:val="standardContextual"/>
            </w:rPr>
          </w:pPr>
          <w:hyperlink w:anchor="_Toc209710813" w:history="1">
            <w:r w:rsidRPr="00E811CC">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_Toc209710813 \h </w:instrText>
            </w:r>
            <w:r>
              <w:rPr>
                <w:noProof/>
                <w:webHidden/>
              </w:rPr>
            </w:r>
            <w:r>
              <w:rPr>
                <w:noProof/>
                <w:webHidden/>
              </w:rPr>
              <w:fldChar w:fldCharType="separate"/>
            </w:r>
            <w:r>
              <w:rPr>
                <w:noProof/>
                <w:webHidden/>
              </w:rPr>
              <w:t>18</w:t>
            </w:r>
            <w:r>
              <w:rPr>
                <w:noProof/>
                <w:webHidden/>
              </w:rPr>
              <w:fldChar w:fldCharType="end"/>
            </w:r>
          </w:hyperlink>
        </w:p>
        <w:p w14:paraId="58D58428" w14:textId="40C70478" w:rsidR="009404AA" w:rsidRDefault="009404AA">
          <w:pPr>
            <w:pStyle w:val="TOC2"/>
            <w:tabs>
              <w:tab w:val="right" w:leader="dot" w:pos="4598"/>
            </w:tabs>
            <w:rPr>
              <w:rFonts w:cstheme="minorBidi"/>
              <w:noProof/>
              <w:kern w:val="2"/>
              <w:sz w:val="24"/>
              <w:szCs w:val="24"/>
              <w14:ligatures w14:val="standardContextual"/>
            </w:rPr>
          </w:pPr>
          <w:hyperlink w:anchor="_Toc209710814" w:history="1">
            <w:r w:rsidRPr="00E811CC">
              <w:rPr>
                <w:rStyle w:val="Hyperlink"/>
                <w:noProof/>
              </w:rPr>
              <w:t>Vendor List and Information</w:t>
            </w:r>
            <w:r>
              <w:rPr>
                <w:noProof/>
                <w:webHidden/>
              </w:rPr>
              <w:tab/>
            </w:r>
            <w:r>
              <w:rPr>
                <w:noProof/>
                <w:webHidden/>
              </w:rPr>
              <w:fldChar w:fldCharType="begin"/>
            </w:r>
            <w:r>
              <w:rPr>
                <w:noProof/>
                <w:webHidden/>
              </w:rPr>
              <w:instrText xml:space="preserve"> PAGEREF _Toc209710814 \h </w:instrText>
            </w:r>
            <w:r>
              <w:rPr>
                <w:noProof/>
                <w:webHidden/>
              </w:rPr>
            </w:r>
            <w:r>
              <w:rPr>
                <w:noProof/>
                <w:webHidden/>
              </w:rPr>
              <w:fldChar w:fldCharType="separate"/>
            </w:r>
            <w:r>
              <w:rPr>
                <w:noProof/>
                <w:webHidden/>
              </w:rPr>
              <w:t>19</w:t>
            </w:r>
            <w:r>
              <w:rPr>
                <w:noProof/>
                <w:webHidden/>
              </w:rPr>
              <w:fldChar w:fldCharType="end"/>
            </w:r>
          </w:hyperlink>
        </w:p>
        <w:p w14:paraId="123BE087" w14:textId="50F0E44E" w:rsidR="009404AA" w:rsidRDefault="009404AA">
          <w:pPr>
            <w:pStyle w:val="TOC2"/>
            <w:tabs>
              <w:tab w:val="right" w:leader="dot" w:pos="4598"/>
            </w:tabs>
            <w:rPr>
              <w:rFonts w:cstheme="minorBidi"/>
              <w:noProof/>
              <w:kern w:val="2"/>
              <w:sz w:val="24"/>
              <w:szCs w:val="24"/>
              <w14:ligatures w14:val="standardContextual"/>
            </w:rPr>
          </w:pPr>
          <w:hyperlink w:anchor="_Toc209710815" w:history="1">
            <w:r w:rsidRPr="00E811CC">
              <w:rPr>
                <w:rStyle w:val="Hyperlink"/>
                <w:noProof/>
              </w:rPr>
              <w:t>United Nations Standard Products and Services Cod</w:t>
            </w:r>
            <w:r w:rsidRPr="00E811CC">
              <w:rPr>
                <w:rStyle w:val="Hyperlink"/>
                <w:noProof/>
              </w:rPr>
              <w:t>e</w:t>
            </w:r>
            <w:r w:rsidRPr="00E811CC">
              <w:rPr>
                <w:rStyle w:val="Hyperlink"/>
                <w:noProof/>
                <w:vertAlign w:val="superscript"/>
              </w:rPr>
              <w:t>®</w:t>
            </w:r>
            <w:r w:rsidRPr="00E811CC">
              <w:rPr>
                <w:rStyle w:val="Hyperlink"/>
                <w:noProof/>
              </w:rPr>
              <w:t xml:space="preserve"> (UNSPSC</w:t>
            </w:r>
            <w:r w:rsidRPr="00E811CC">
              <w:rPr>
                <w:rStyle w:val="Hyperlink"/>
                <w:noProof/>
                <w:vertAlign w:val="superscript"/>
              </w:rPr>
              <w:t>®</w:t>
            </w:r>
            <w:r w:rsidRPr="00E811CC">
              <w:rPr>
                <w:rStyle w:val="Hyperlink"/>
                <w:noProof/>
              </w:rPr>
              <w:t>)</w:t>
            </w:r>
            <w:r>
              <w:rPr>
                <w:noProof/>
                <w:webHidden/>
              </w:rPr>
              <w:tab/>
            </w:r>
            <w:r>
              <w:rPr>
                <w:noProof/>
                <w:webHidden/>
              </w:rPr>
              <w:fldChar w:fldCharType="begin"/>
            </w:r>
            <w:r>
              <w:rPr>
                <w:noProof/>
                <w:webHidden/>
              </w:rPr>
              <w:instrText xml:space="preserve"> PAGEREF _Toc209710815 \h </w:instrText>
            </w:r>
            <w:r>
              <w:rPr>
                <w:noProof/>
                <w:webHidden/>
              </w:rPr>
            </w:r>
            <w:r>
              <w:rPr>
                <w:noProof/>
                <w:webHidden/>
              </w:rPr>
              <w:fldChar w:fldCharType="separate"/>
            </w:r>
            <w:r>
              <w:rPr>
                <w:noProof/>
                <w:webHidden/>
              </w:rPr>
              <w:t>21</w:t>
            </w:r>
            <w:r>
              <w:rPr>
                <w:noProof/>
                <w:webHidden/>
              </w:rPr>
              <w:fldChar w:fldCharType="end"/>
            </w:r>
          </w:hyperlink>
        </w:p>
        <w:p w14:paraId="1E216766" w14:textId="17CB8337" w:rsidR="009404AA" w:rsidRDefault="009404AA">
          <w:pPr>
            <w:pStyle w:val="TOC2"/>
            <w:tabs>
              <w:tab w:val="right" w:leader="dot" w:pos="4598"/>
            </w:tabs>
            <w:rPr>
              <w:rFonts w:cstheme="minorBidi"/>
              <w:noProof/>
              <w:kern w:val="2"/>
              <w:sz w:val="24"/>
              <w:szCs w:val="24"/>
              <w14:ligatures w14:val="standardContextual"/>
            </w:rPr>
          </w:pPr>
          <w:hyperlink w:anchor="_Toc209710816" w:history="1">
            <w:r w:rsidRPr="00E811CC">
              <w:rPr>
                <w:rStyle w:val="Hyperlink"/>
                <w:noProof/>
              </w:rPr>
              <w:t>Appendix A: Truck Safety Standards Issued by RMV</w:t>
            </w:r>
            <w:r>
              <w:rPr>
                <w:noProof/>
                <w:webHidden/>
              </w:rPr>
              <w:tab/>
            </w:r>
            <w:r>
              <w:rPr>
                <w:noProof/>
                <w:webHidden/>
              </w:rPr>
              <w:fldChar w:fldCharType="begin"/>
            </w:r>
            <w:r>
              <w:rPr>
                <w:noProof/>
                <w:webHidden/>
              </w:rPr>
              <w:instrText xml:space="preserve"> PAGEREF _Toc209710816 \h </w:instrText>
            </w:r>
            <w:r>
              <w:rPr>
                <w:noProof/>
                <w:webHidden/>
              </w:rPr>
            </w:r>
            <w:r>
              <w:rPr>
                <w:noProof/>
                <w:webHidden/>
              </w:rPr>
              <w:fldChar w:fldCharType="separate"/>
            </w:r>
            <w:r>
              <w:rPr>
                <w:noProof/>
                <w:webHidden/>
              </w:rPr>
              <w:t>21</w:t>
            </w:r>
            <w:r>
              <w:rPr>
                <w:noProof/>
                <w:webHidden/>
              </w:rPr>
              <w:fldChar w:fldCharType="end"/>
            </w:r>
          </w:hyperlink>
        </w:p>
        <w:p w14:paraId="02886B0E" w14:textId="38B045CC" w:rsidR="009404AA" w:rsidRDefault="009404AA">
          <w:pPr>
            <w:pStyle w:val="TOC2"/>
            <w:tabs>
              <w:tab w:val="right" w:leader="dot" w:pos="4598"/>
            </w:tabs>
            <w:rPr>
              <w:rFonts w:cstheme="minorBidi"/>
              <w:noProof/>
              <w:kern w:val="2"/>
              <w:sz w:val="24"/>
              <w:szCs w:val="24"/>
              <w14:ligatures w14:val="standardContextual"/>
            </w:rPr>
          </w:pPr>
          <w:hyperlink w:anchor="_Toc209710817" w:history="1">
            <w:r w:rsidRPr="00E811CC">
              <w:rPr>
                <w:rStyle w:val="Hyperlink"/>
                <w:noProof/>
              </w:rPr>
              <w:t>Appendi</w:t>
            </w:r>
            <w:r w:rsidRPr="00E811CC">
              <w:rPr>
                <w:rStyle w:val="Hyperlink"/>
                <w:noProof/>
              </w:rPr>
              <w:t>x</w:t>
            </w:r>
            <w:r w:rsidRPr="00E811CC">
              <w:rPr>
                <w:rStyle w:val="Hyperlink"/>
                <w:noProof/>
              </w:rPr>
              <w:t xml:space="preserve"> B: Geographical Service Areas</w:t>
            </w:r>
            <w:r>
              <w:rPr>
                <w:noProof/>
                <w:webHidden/>
              </w:rPr>
              <w:tab/>
            </w:r>
            <w:r>
              <w:rPr>
                <w:noProof/>
                <w:webHidden/>
              </w:rPr>
              <w:fldChar w:fldCharType="begin"/>
            </w:r>
            <w:r>
              <w:rPr>
                <w:noProof/>
                <w:webHidden/>
              </w:rPr>
              <w:instrText xml:space="preserve"> PAGEREF _Toc209710817 \h </w:instrText>
            </w:r>
            <w:r>
              <w:rPr>
                <w:noProof/>
                <w:webHidden/>
              </w:rPr>
            </w:r>
            <w:r>
              <w:rPr>
                <w:noProof/>
                <w:webHidden/>
              </w:rPr>
              <w:fldChar w:fldCharType="separate"/>
            </w:r>
            <w:r>
              <w:rPr>
                <w:noProof/>
                <w:webHidden/>
              </w:rPr>
              <w:t>22</w:t>
            </w:r>
            <w:r>
              <w:rPr>
                <w:noProof/>
                <w:webHidden/>
              </w:rPr>
              <w:fldChar w:fldCharType="end"/>
            </w:r>
          </w:hyperlink>
        </w:p>
        <w:p w14:paraId="12E72867" w14:textId="467FB800" w:rsidR="005E0825" w:rsidRDefault="005E0825" w:rsidP="2BD2769D">
          <w:pPr>
            <w:pStyle w:val="TOC2"/>
            <w:tabs>
              <w:tab w:val="right" w:leader="dot" w:pos="4590"/>
            </w:tabs>
            <w:rPr>
              <w:rStyle w:val="Hyperlink"/>
              <w:noProof/>
              <w:kern w:val="2"/>
              <w14:ligatures w14:val="standardContextual"/>
            </w:rPr>
          </w:pPr>
          <w:r>
            <w:fldChar w:fldCharType="end"/>
          </w:r>
        </w:p>
      </w:sdtContent>
    </w:sdt>
    <w:p w14:paraId="50AC2B20" w14:textId="4905A353" w:rsidR="005A21C6" w:rsidRDefault="005A21C6"/>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31A8CF41" w14:textId="77777777" w:rsidR="00A9754D" w:rsidRDefault="00A9754D" w:rsidP="00B854B6">
      <w:pPr>
        <w:jc w:val="center"/>
        <w:rPr>
          <w:b/>
          <w:bCs/>
          <w:sz w:val="26"/>
          <w:szCs w:val="26"/>
        </w:rPr>
      </w:pPr>
    </w:p>
    <w:p w14:paraId="76DCC826" w14:textId="3068704C"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09710786"/>
      <w:r>
        <w:lastRenderedPageBreak/>
        <w:t>Contract</w:t>
      </w:r>
      <w:r w:rsidR="00C0549D">
        <w:t xml:space="preserve"> </w:t>
      </w:r>
      <w:r w:rsidR="00B15B3F">
        <w:t>Summary</w:t>
      </w:r>
      <w:bookmarkEnd w:id="4"/>
      <w:bookmarkEnd w:id="5"/>
    </w:p>
    <w:p w14:paraId="36F9D224" w14:textId="77777777" w:rsidR="004F2D4F" w:rsidRPr="00961276" w:rsidRDefault="004F2D4F" w:rsidP="004F2D4F">
      <w:pPr>
        <w:rPr>
          <w:sz w:val="24"/>
          <w:szCs w:val="24"/>
        </w:rPr>
      </w:pPr>
      <w:r w:rsidRPr="743163D4">
        <w:rPr>
          <w:b/>
          <w:bCs/>
          <w:sz w:val="24"/>
          <w:szCs w:val="24"/>
        </w:rPr>
        <w:t>ENE52–No.2 Heating Fuel and APS Eligible Liquid Biofuel:</w:t>
      </w:r>
      <w:r w:rsidRPr="743163D4">
        <w:rPr>
          <w:sz w:val="24"/>
          <w:szCs w:val="24"/>
        </w:rPr>
        <w:t xml:space="preserve"> This contract contains environmentally preferable products and service-disabled veteran-owned business. This is a Statewide Contract (SWC) for No. 2 Heating Fuel and Alternative Energy Portfolio Standard-Eligible Liquid Biofuel (APS-Eligible Liquid Biofuel). New entities wishing to participate in this contract must plan with the appropriately awarded vendor from October to November to be included in the upcoming heating season. Entities must remain with the vendor for the duration of the heating season (from October 1 to March 31). Vendors are now required to secure written agreements specifying the duration period. After November, new entities are added at the discretion of the vendor.</w:t>
      </w:r>
    </w:p>
    <w:p w14:paraId="28FF8CF7" w14:textId="77777777" w:rsidR="004F2D4F" w:rsidRPr="00D37BDF" w:rsidRDefault="004F2D4F" w:rsidP="004F2D4F">
      <w:pPr>
        <w:rPr>
          <w:sz w:val="20"/>
          <w:szCs w:val="20"/>
        </w:rPr>
      </w:pPr>
      <w:r w:rsidRPr="00961276">
        <w:rPr>
          <w:sz w:val="24"/>
          <w:szCs w:val="24"/>
        </w:rPr>
        <w:t>Per </w:t>
      </w:r>
      <w:hyperlink r:id="rId21" w:tgtFrame="_blank" w:history="1">
        <w:r w:rsidRPr="00961276">
          <w:rPr>
            <w:rStyle w:val="Hyperlink"/>
            <w:sz w:val="24"/>
            <w:szCs w:val="24"/>
          </w:rPr>
          <w:t>Executive Order 594</w:t>
        </w:r>
      </w:hyperlink>
      <w:r w:rsidRPr="00961276">
        <w:rPr>
          <w:sz w:val="24"/>
          <w:szCs w:val="24"/>
        </w:rPr>
        <w:t xml:space="preserve">, signed by Governor Baker on Earth Day, April 22, 2021, all state agencies using heating oil as of July 1, 2021, must ensure that any heating oil purchased contains at least 10% biofuels (B10). The specified biofuels must adhere to the fuel content standards outlined in the </w:t>
      </w:r>
      <w:hyperlink r:id="rId22" w:history="1">
        <w:r w:rsidRPr="00961276">
          <w:rPr>
            <w:rStyle w:val="Hyperlink"/>
            <w:sz w:val="24"/>
            <w:szCs w:val="24"/>
          </w:rPr>
          <w:t>Leading by Example (LBE)</w:t>
        </w:r>
      </w:hyperlink>
      <w:r w:rsidRPr="00961276">
        <w:rPr>
          <w:sz w:val="24"/>
          <w:szCs w:val="24"/>
        </w:rPr>
        <w:t xml:space="preserve"> guidance. Agencies should collaborate closely with the LBE to maximize biofuel use and achieve the highest practical consumption levels. Agencies can be exempted from this requirement if biofuels are unavailable, too expensive, or if a specific performance issue arises.</w:t>
      </w:r>
    </w:p>
    <w:p w14:paraId="6ECFAA0F" w14:textId="77777777" w:rsidR="004F2D4F" w:rsidRPr="00961276" w:rsidRDefault="004F2D4F" w:rsidP="004F2D4F">
      <w:pPr>
        <w:rPr>
          <w:sz w:val="24"/>
          <w:szCs w:val="24"/>
        </w:rPr>
      </w:pPr>
      <w:r w:rsidRPr="00961276">
        <w:rPr>
          <w:sz w:val="24"/>
          <w:szCs w:val="24"/>
        </w:rPr>
        <w:t>APS-Eligible Liquid Biofuel shall meet the definition found in 225CMR16.02 and shall comply with all the requirements of 225CMR16.02, 225CMR16.05, and related guidelines. To qualify as an </w:t>
      </w:r>
      <w:hyperlink r:id="rId23" w:tgtFrame="_blank" w:history="1">
        <w:r w:rsidRPr="00961276">
          <w:rPr>
            <w:rStyle w:val="Hyperlink"/>
            <w:sz w:val="24"/>
            <w:szCs w:val="24"/>
          </w:rPr>
          <w:t>APS-Eligible Liquid Biofuel</w:t>
        </w:r>
      </w:hyperlink>
      <w:r w:rsidRPr="00961276">
        <w:rPr>
          <w:sz w:val="24"/>
          <w:szCs w:val="24"/>
        </w:rPr>
        <w:t>, it must meet the definition in </w:t>
      </w:r>
      <w:hyperlink r:id="rId24" w:tgtFrame="_blank" w:history="1">
        <w:r w:rsidRPr="00961276">
          <w:rPr>
            <w:rStyle w:val="Hyperlink"/>
            <w:sz w:val="24"/>
            <w:szCs w:val="24"/>
          </w:rPr>
          <w:t>225 CMR 16.02</w:t>
        </w:r>
      </w:hyperlink>
      <w:r w:rsidRPr="00961276">
        <w:rPr>
          <w:sz w:val="24"/>
          <w:szCs w:val="24"/>
        </w:rPr>
        <w:t> and comply with all </w:t>
      </w:r>
      <w:hyperlink r:id="rId25" w:tgtFrame="_blank" w:history="1">
        <w:r w:rsidRPr="00961276">
          <w:rPr>
            <w:rStyle w:val="Hyperlink"/>
            <w:sz w:val="24"/>
            <w:szCs w:val="24"/>
          </w:rPr>
          <w:t>225 CMR 16.02</w:t>
        </w:r>
      </w:hyperlink>
      <w:r w:rsidRPr="00961276">
        <w:rPr>
          <w:sz w:val="24"/>
          <w:szCs w:val="24"/>
        </w:rPr>
        <w:t>, </w:t>
      </w:r>
      <w:hyperlink r:id="rId26" w:tgtFrame="_blank" w:history="1">
        <w:r w:rsidRPr="00961276">
          <w:rPr>
            <w:rStyle w:val="Hyperlink"/>
            <w:sz w:val="24"/>
            <w:szCs w:val="24"/>
          </w:rPr>
          <w:t>225 CMR 16.05</w:t>
        </w:r>
      </w:hyperlink>
      <w:r w:rsidRPr="00961276">
        <w:rPr>
          <w:sz w:val="24"/>
          <w:szCs w:val="24"/>
        </w:rPr>
        <w:t>, and related guidelines.</w:t>
      </w:r>
    </w:p>
    <w:p w14:paraId="2FBBE27C" w14:textId="77777777" w:rsidR="004F2D4F" w:rsidRDefault="004F2D4F" w:rsidP="004F2D4F">
      <w:pPr>
        <w:rPr>
          <w:sz w:val="24"/>
          <w:szCs w:val="24"/>
        </w:rPr>
      </w:pPr>
      <w:r w:rsidRPr="00961276">
        <w:rPr>
          <w:sz w:val="24"/>
          <w:szCs w:val="24"/>
        </w:rPr>
        <w:t>Before supplying biofuels, vendors must obtain a signed agreement from customers, specifying the highest allowable biofuel percentage, which must align with the customer's equipment specifications and warranty.</w:t>
      </w:r>
    </w:p>
    <w:p w14:paraId="55EC6B37" w14:textId="77777777" w:rsidR="004F2D4F" w:rsidRDefault="004F2D4F" w:rsidP="004F2D4F">
      <w:pPr>
        <w:rPr>
          <w:sz w:val="24"/>
          <w:szCs w:val="24"/>
        </w:rPr>
      </w:pPr>
      <w:r w:rsidRPr="000C7194">
        <w:rPr>
          <w:b/>
          <w:bCs/>
          <w:sz w:val="24"/>
          <w:szCs w:val="24"/>
        </w:rPr>
        <w:t>Note:</w:t>
      </w:r>
      <w:r w:rsidRPr="00815201">
        <w:rPr>
          <w:sz w:val="24"/>
          <w:szCs w:val="24"/>
        </w:rPr>
        <w:t xml:space="preserve"> This contract </w:t>
      </w:r>
      <w:r>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69D9F159" w14:textId="1C574F9B" w:rsidR="004F2D4F" w:rsidRPr="00815201" w:rsidRDefault="004F2D4F" w:rsidP="004F2D4F">
      <w:pPr>
        <w:rPr>
          <w:sz w:val="24"/>
          <w:szCs w:val="24"/>
        </w:rPr>
      </w:pPr>
      <w:r w:rsidRPr="00505933">
        <w:rPr>
          <w:sz w:val="24"/>
          <w:szCs w:val="24"/>
        </w:rPr>
        <w:t xml:space="preserve">For </w:t>
      </w:r>
      <w:r w:rsidR="00D30D70">
        <w:rPr>
          <w:sz w:val="24"/>
          <w:szCs w:val="24"/>
        </w:rPr>
        <w:t xml:space="preserve">the </w:t>
      </w:r>
      <w:r w:rsidRPr="00505933">
        <w:rPr>
          <w:sz w:val="24"/>
          <w:szCs w:val="24"/>
        </w:rPr>
        <w:t xml:space="preserve">Master Contract Record, </w:t>
      </w:r>
      <w:r>
        <w:rPr>
          <w:sz w:val="24"/>
          <w:szCs w:val="24"/>
        </w:rPr>
        <w:t>refer to the</w:t>
      </w:r>
      <w:r w:rsidRPr="00505933">
        <w:rPr>
          <w:sz w:val="24"/>
          <w:szCs w:val="24"/>
        </w:rPr>
        <w:t xml:space="preserve"> </w:t>
      </w:r>
      <w:hyperlink r:id="rId27" w:history="1">
        <w:r w:rsidR="00D30D70">
          <w:rPr>
            <w:rStyle w:val="Hyperlink"/>
            <w:sz w:val="24"/>
            <w:szCs w:val="24"/>
          </w:rPr>
          <w:t>ENE52 Master Contract Record</w:t>
        </w:r>
      </w:hyperlink>
      <w:r w:rsidRPr="00505933">
        <w:rPr>
          <w:sz w:val="24"/>
          <w:szCs w:val="24"/>
        </w:rPr>
        <w:t>.</w:t>
      </w:r>
      <w:r>
        <w:rPr>
          <w:sz w:val="24"/>
          <w:szCs w:val="24"/>
        </w:rPr>
        <w:t xml:space="preserve"> </w:t>
      </w:r>
    </w:p>
    <w:p w14:paraId="690CD166" w14:textId="77777777" w:rsidR="004F2D4F" w:rsidRPr="00705E5A" w:rsidRDefault="004F2D4F" w:rsidP="004F2D4F">
      <w:pPr>
        <w:pStyle w:val="Heading3"/>
      </w:pPr>
      <w:bookmarkStart w:id="6" w:name="_Toc194066617"/>
      <w:bookmarkStart w:id="7" w:name="_Toc207365979"/>
      <w:bookmarkStart w:id="8" w:name="_Toc209710787"/>
      <w:r>
        <w:lastRenderedPageBreak/>
        <w:t xml:space="preserve">Benefits and </w:t>
      </w:r>
      <w:r w:rsidRPr="2BD2769D">
        <w:t>Cost</w:t>
      </w:r>
      <w:r>
        <w:t xml:space="preserve"> Savings</w:t>
      </w:r>
      <w:bookmarkEnd w:id="6"/>
      <w:bookmarkEnd w:id="7"/>
      <w:bookmarkEnd w:id="8"/>
    </w:p>
    <w:p w14:paraId="2BCA2FBD" w14:textId="72A7F7CD" w:rsidR="004F2D4F" w:rsidRPr="00A12C2C" w:rsidRDefault="004F2D4F" w:rsidP="004F2D4F">
      <w:pPr>
        <w:rPr>
          <w:b/>
          <w:bCs/>
          <w:color w:val="000000" w:themeColor="text1"/>
          <w:sz w:val="24"/>
          <w:szCs w:val="24"/>
        </w:rPr>
      </w:pPr>
      <w:bookmarkStart w:id="9" w:name="_Toc188457898"/>
      <w:bookmarkEnd w:id="9"/>
      <w:r w:rsidRPr="00A12C2C">
        <w:rPr>
          <w:color w:val="000000" w:themeColor="text1"/>
          <w:sz w:val="24"/>
          <w:szCs w:val="24"/>
        </w:rPr>
        <w:t xml:space="preserve">Statewide </w:t>
      </w:r>
      <w:r w:rsidR="00D30D70">
        <w:rPr>
          <w:color w:val="000000" w:themeColor="text1"/>
          <w:sz w:val="24"/>
          <w:szCs w:val="24"/>
        </w:rPr>
        <w:t>C</w:t>
      </w:r>
      <w:r w:rsidRPr="00A12C2C">
        <w:rPr>
          <w:color w:val="000000" w:themeColor="text1"/>
          <w:sz w:val="24"/>
          <w:szCs w:val="24"/>
        </w:rPr>
        <w:t xml:space="preserve">ontracts are an easy way to obtain benefits for your organization by: </w:t>
      </w:r>
    </w:p>
    <w:p w14:paraId="06963EE7" w14:textId="77777777" w:rsidR="004F2D4F" w:rsidRPr="00A12C2C" w:rsidRDefault="004F2D4F" w:rsidP="00FF7DB5">
      <w:pPr>
        <w:pStyle w:val="ListParagraph"/>
        <w:numPr>
          <w:ilvl w:val="0"/>
          <w:numId w:val="8"/>
        </w:numPr>
        <w:rPr>
          <w:b/>
          <w:bCs/>
          <w:color w:val="000000" w:themeColor="text1"/>
          <w:sz w:val="24"/>
          <w:szCs w:val="24"/>
        </w:rPr>
      </w:pPr>
      <w:r w:rsidRPr="00A12C2C">
        <w:rPr>
          <w:color w:val="000000" w:themeColor="text1"/>
          <w:sz w:val="24"/>
          <w:szCs w:val="24"/>
        </w:rPr>
        <w:t>Leveraging the Commonwealth’s buying power</w:t>
      </w:r>
    </w:p>
    <w:p w14:paraId="4CF7E435" w14:textId="77777777" w:rsidR="004F2D4F" w:rsidRPr="00A12C2C" w:rsidRDefault="004F2D4F" w:rsidP="00FF7DB5">
      <w:pPr>
        <w:pStyle w:val="ListParagraph"/>
        <w:numPr>
          <w:ilvl w:val="0"/>
          <w:numId w:val="8"/>
        </w:numPr>
        <w:rPr>
          <w:b/>
          <w:bCs/>
          <w:color w:val="000000" w:themeColor="text1"/>
          <w:sz w:val="24"/>
          <w:szCs w:val="24"/>
        </w:rPr>
      </w:pPr>
      <w:r w:rsidRPr="00A12C2C">
        <w:rPr>
          <w:color w:val="000000" w:themeColor="text1"/>
          <w:sz w:val="24"/>
          <w:szCs w:val="24"/>
        </w:rPr>
        <w:t>Simplifying the solicitation process</w:t>
      </w:r>
    </w:p>
    <w:p w14:paraId="5CFA993F" w14:textId="77777777" w:rsidR="004F2D4F" w:rsidRPr="00A12C2C" w:rsidRDefault="004F2D4F" w:rsidP="00FF7DB5">
      <w:pPr>
        <w:pStyle w:val="ListParagraph"/>
        <w:numPr>
          <w:ilvl w:val="0"/>
          <w:numId w:val="8"/>
        </w:numPr>
        <w:rPr>
          <w:b/>
          <w:bCs/>
          <w:color w:val="000000" w:themeColor="text1"/>
          <w:sz w:val="24"/>
          <w:szCs w:val="24"/>
        </w:rPr>
      </w:pPr>
      <w:r w:rsidRPr="00A12C2C">
        <w:rPr>
          <w:color w:val="000000" w:themeColor="text1"/>
          <w:sz w:val="24"/>
          <w:szCs w:val="24"/>
        </w:rPr>
        <w:t>Providing contracting expertise</w:t>
      </w:r>
    </w:p>
    <w:p w14:paraId="14D5F77B" w14:textId="77777777" w:rsidR="004F2D4F" w:rsidRPr="00A12C2C" w:rsidRDefault="004F2D4F" w:rsidP="00FF7DB5">
      <w:pPr>
        <w:pStyle w:val="ListParagraph"/>
        <w:numPr>
          <w:ilvl w:val="0"/>
          <w:numId w:val="8"/>
        </w:numPr>
        <w:rPr>
          <w:color w:val="000000" w:themeColor="text1"/>
          <w:sz w:val="24"/>
          <w:szCs w:val="24"/>
        </w:rPr>
      </w:pPr>
      <w:r w:rsidRPr="00A12C2C">
        <w:rPr>
          <w:color w:val="000000" w:themeColor="text1"/>
          <w:sz w:val="24"/>
          <w:szCs w:val="24"/>
        </w:rPr>
        <w:t>Enhancing vendor relationships through proactive management and oversight</w:t>
      </w:r>
    </w:p>
    <w:p w14:paraId="6F83EB3E" w14:textId="77777777" w:rsidR="004F2D4F" w:rsidRPr="00A12C2C" w:rsidRDefault="004F2D4F" w:rsidP="00FF7DB5">
      <w:pPr>
        <w:pStyle w:val="ListParagraph"/>
        <w:numPr>
          <w:ilvl w:val="0"/>
          <w:numId w:val="8"/>
        </w:numPr>
        <w:rPr>
          <w:b/>
          <w:bCs/>
          <w:color w:val="000000" w:themeColor="text1"/>
          <w:sz w:val="24"/>
          <w:szCs w:val="24"/>
        </w:rPr>
      </w:pPr>
      <w:r w:rsidRPr="00A12C2C">
        <w:rPr>
          <w:color w:val="000000" w:themeColor="text1"/>
          <w:sz w:val="24"/>
          <w:szCs w:val="24"/>
        </w:rPr>
        <w:t>Offering competitive pricing</w:t>
      </w:r>
    </w:p>
    <w:p w14:paraId="32E4A741" w14:textId="77777777" w:rsidR="004F2D4F" w:rsidRPr="00A12C2C" w:rsidRDefault="004F2D4F" w:rsidP="00FF7DB5">
      <w:pPr>
        <w:pStyle w:val="ListParagraph"/>
        <w:numPr>
          <w:ilvl w:val="0"/>
          <w:numId w:val="8"/>
        </w:numPr>
        <w:rPr>
          <w:color w:val="000000" w:themeColor="text1"/>
          <w:sz w:val="24"/>
          <w:szCs w:val="24"/>
        </w:rPr>
      </w:pPr>
      <w:r w:rsidRPr="00A12C2C">
        <w:rPr>
          <w:color w:val="000000" w:themeColor="text1"/>
          <w:sz w:val="24"/>
          <w:szCs w:val="24"/>
        </w:rPr>
        <w:t xml:space="preserve">Partnering with a pool of qualified and experienced vendors </w:t>
      </w:r>
    </w:p>
    <w:p w14:paraId="08F13AAA" w14:textId="77777777" w:rsidR="004F2D4F" w:rsidRPr="00A12C2C" w:rsidRDefault="004F2D4F" w:rsidP="00FF7DB5">
      <w:pPr>
        <w:pStyle w:val="ListParagraph"/>
        <w:numPr>
          <w:ilvl w:val="0"/>
          <w:numId w:val="8"/>
        </w:numPr>
        <w:rPr>
          <w:b/>
          <w:bCs/>
          <w:color w:val="000000" w:themeColor="text1"/>
          <w:sz w:val="24"/>
          <w:szCs w:val="24"/>
        </w:rPr>
      </w:pPr>
      <w:r w:rsidRPr="00A12C2C">
        <w:rPr>
          <w:color w:val="000000" w:themeColor="text1"/>
          <w:sz w:val="24"/>
          <w:szCs w:val="24"/>
        </w:rPr>
        <w:t>Offering Prompt Pay</w:t>
      </w:r>
      <w:r>
        <w:rPr>
          <w:color w:val="000000" w:themeColor="text1"/>
          <w:sz w:val="24"/>
          <w:szCs w:val="24"/>
        </w:rPr>
        <w:t>ment</w:t>
      </w:r>
      <w:r w:rsidRPr="00A12C2C">
        <w:rPr>
          <w:color w:val="000000" w:themeColor="text1"/>
          <w:sz w:val="24"/>
          <w:szCs w:val="24"/>
        </w:rPr>
        <w:t xml:space="preserve"> Discount</w:t>
      </w:r>
    </w:p>
    <w:p w14:paraId="29643B44" w14:textId="77777777" w:rsidR="004F2D4F" w:rsidRPr="00A12C2C" w:rsidRDefault="004F2D4F" w:rsidP="00FF7DB5">
      <w:pPr>
        <w:pStyle w:val="ListParagraph"/>
        <w:numPr>
          <w:ilvl w:val="0"/>
          <w:numId w:val="8"/>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05425954" w14:textId="77777777" w:rsidR="004F2D4F" w:rsidRDefault="004F2D4F" w:rsidP="004F2D4F">
      <w:pPr>
        <w:pStyle w:val="Heading2"/>
      </w:pPr>
      <w:bookmarkStart w:id="10" w:name="_Toc207365980"/>
      <w:bookmarkStart w:id="11" w:name="_Toc194066593"/>
      <w:bookmarkStart w:id="12" w:name="_Toc209710788"/>
      <w:r>
        <w:t>Contract Categories</w:t>
      </w:r>
      <w:bookmarkEnd w:id="10"/>
      <w:bookmarkEnd w:id="12"/>
      <w:r>
        <w:t xml:space="preserve"> </w:t>
      </w:r>
      <w:bookmarkEnd w:id="11"/>
    </w:p>
    <w:p w14:paraId="5D6992C7" w14:textId="77777777" w:rsidR="004F2D4F" w:rsidRPr="009918FA" w:rsidRDefault="004F2D4F" w:rsidP="004F2D4F">
      <w:pPr>
        <w:rPr>
          <w:rFonts w:cstheme="minorHAnsi"/>
          <w:iCs/>
          <w:sz w:val="24"/>
          <w:szCs w:val="24"/>
        </w:rPr>
      </w:pPr>
      <w:r w:rsidRPr="009918FA">
        <w:rPr>
          <w:rFonts w:cstheme="minorHAnsi"/>
          <w:iCs/>
          <w:sz w:val="24"/>
          <w:szCs w:val="24"/>
        </w:rPr>
        <w:t xml:space="preserve">This contract includes </w:t>
      </w:r>
      <w:r>
        <w:rPr>
          <w:rFonts w:cstheme="minorHAnsi"/>
          <w:iCs/>
          <w:sz w:val="24"/>
          <w:szCs w:val="24"/>
        </w:rPr>
        <w:t>three (</w:t>
      </w:r>
      <w:r w:rsidRPr="009918FA">
        <w:rPr>
          <w:rFonts w:cstheme="minorHAnsi"/>
          <w:iCs/>
          <w:sz w:val="24"/>
          <w:szCs w:val="24"/>
        </w:rPr>
        <w:t>3</w:t>
      </w:r>
      <w:r>
        <w:rPr>
          <w:rFonts w:cstheme="minorHAnsi"/>
          <w:iCs/>
          <w:sz w:val="24"/>
          <w:szCs w:val="24"/>
        </w:rPr>
        <w:t>)</w:t>
      </w:r>
      <w:r w:rsidRPr="009918FA">
        <w:rPr>
          <w:rFonts w:cstheme="minorHAnsi"/>
          <w:iCs/>
          <w:sz w:val="24"/>
          <w:szCs w:val="24"/>
        </w:rPr>
        <w:t xml:space="preserve"> categories of products listed as follows:  </w:t>
      </w:r>
    </w:p>
    <w:p w14:paraId="3630BD07" w14:textId="77777777" w:rsidR="004F2D4F" w:rsidRPr="00AC2828" w:rsidRDefault="004F2D4F" w:rsidP="00FF7DB5">
      <w:pPr>
        <w:pStyle w:val="ListParagraph"/>
        <w:numPr>
          <w:ilvl w:val="0"/>
          <w:numId w:val="5"/>
        </w:numPr>
        <w:rPr>
          <w:rFonts w:cstheme="minorHAnsi"/>
          <w:iCs/>
          <w:sz w:val="24"/>
          <w:szCs w:val="24"/>
        </w:rPr>
      </w:pPr>
      <w:r w:rsidRPr="00AC2828">
        <w:rPr>
          <w:rFonts w:cstheme="minorHAnsi"/>
          <w:b/>
          <w:bCs/>
          <w:iCs/>
          <w:sz w:val="24"/>
          <w:szCs w:val="24"/>
        </w:rPr>
        <w:t>Category 1:</w:t>
      </w:r>
      <w:r w:rsidRPr="00AC2828">
        <w:rPr>
          <w:rFonts w:cstheme="minorHAnsi"/>
          <w:iCs/>
          <w:sz w:val="24"/>
          <w:szCs w:val="24"/>
        </w:rPr>
        <w:t xml:space="preserve"> No. 2 Heating Oil</w:t>
      </w:r>
    </w:p>
    <w:p w14:paraId="06D07C21" w14:textId="77777777" w:rsidR="004F2D4F" w:rsidRPr="00AC2828" w:rsidRDefault="004F2D4F" w:rsidP="00FF7DB5">
      <w:pPr>
        <w:pStyle w:val="ListParagraph"/>
        <w:numPr>
          <w:ilvl w:val="0"/>
          <w:numId w:val="5"/>
        </w:numPr>
        <w:rPr>
          <w:rFonts w:cstheme="minorHAnsi"/>
          <w:iCs/>
          <w:sz w:val="24"/>
          <w:szCs w:val="24"/>
        </w:rPr>
      </w:pPr>
      <w:r w:rsidRPr="00AC2828">
        <w:rPr>
          <w:rFonts w:cstheme="minorHAnsi"/>
          <w:b/>
          <w:bCs/>
          <w:iCs/>
          <w:sz w:val="24"/>
          <w:szCs w:val="24"/>
        </w:rPr>
        <w:t>Category 2:</w:t>
      </w:r>
      <w:r w:rsidRPr="00AC2828">
        <w:rPr>
          <w:rFonts w:cstheme="minorHAnsi"/>
          <w:iCs/>
          <w:sz w:val="24"/>
          <w:szCs w:val="24"/>
        </w:rPr>
        <w:t xml:space="preserve"> Massachusetts APS-Eligible Liquid Biofuel, Minimum 10% Biofuel</w:t>
      </w:r>
    </w:p>
    <w:p w14:paraId="0736B584" w14:textId="77777777" w:rsidR="004F2D4F" w:rsidRPr="00AC2828" w:rsidRDefault="004F2D4F" w:rsidP="00FF7DB5">
      <w:pPr>
        <w:pStyle w:val="ListParagraph"/>
        <w:numPr>
          <w:ilvl w:val="0"/>
          <w:numId w:val="5"/>
        </w:numPr>
        <w:rPr>
          <w:rFonts w:cstheme="minorHAnsi"/>
          <w:iCs/>
          <w:sz w:val="24"/>
          <w:szCs w:val="24"/>
        </w:rPr>
      </w:pPr>
      <w:r w:rsidRPr="00AC2828">
        <w:rPr>
          <w:rFonts w:cstheme="minorHAnsi"/>
          <w:b/>
          <w:bCs/>
          <w:iCs/>
          <w:sz w:val="24"/>
          <w:szCs w:val="24"/>
        </w:rPr>
        <w:t>Category 3:</w:t>
      </w:r>
      <w:r w:rsidRPr="00AC2828">
        <w:rPr>
          <w:rFonts w:cstheme="minorHAnsi"/>
          <w:iCs/>
          <w:sz w:val="24"/>
          <w:szCs w:val="24"/>
        </w:rPr>
        <w:t xml:space="preserve"> No. 2 Heating Oil Fixed Pricing </w:t>
      </w:r>
    </w:p>
    <w:p w14:paraId="58DE2CEB" w14:textId="77777777" w:rsidR="004F2D4F" w:rsidRPr="00DC5CC1" w:rsidRDefault="004F2D4F" w:rsidP="004F2D4F">
      <w:pPr>
        <w:pStyle w:val="Heading2"/>
      </w:pPr>
      <w:bookmarkStart w:id="13" w:name="_Toc194066594"/>
      <w:bookmarkStart w:id="14" w:name="_Toc207365981"/>
      <w:bookmarkStart w:id="15" w:name="_Toc209710789"/>
      <w:r>
        <w:t>Who May Use the Contract</w:t>
      </w:r>
      <w:bookmarkEnd w:id="13"/>
      <w:bookmarkEnd w:id="14"/>
      <w:bookmarkEnd w:id="15"/>
    </w:p>
    <w:p w14:paraId="5E6E1467" w14:textId="77777777" w:rsidR="004F2D4F" w:rsidRPr="003C62B7" w:rsidRDefault="004F2D4F" w:rsidP="004F2D4F">
      <w:pPr>
        <w:rPr>
          <w:sz w:val="24"/>
          <w:szCs w:val="24"/>
        </w:rPr>
      </w:pPr>
      <w:r w:rsidRPr="003C62B7">
        <w:rPr>
          <w:sz w:val="24"/>
          <w:szCs w:val="24"/>
        </w:rPr>
        <w:t xml:space="preserve">The following is a complete list of the types of organizations generally allowed to use </w:t>
      </w:r>
      <w:r>
        <w:rPr>
          <w:sz w:val="24"/>
          <w:szCs w:val="24"/>
        </w:rPr>
        <w:t xml:space="preserve">the </w:t>
      </w:r>
      <w:r w:rsidRPr="003C62B7">
        <w:rPr>
          <w:sz w:val="24"/>
          <w:szCs w:val="24"/>
        </w:rPr>
        <w:t>Operational Service Division’s (OSD's) Statewide Contracts (SWCs). Some SWCs may be open to additional organizations, and some are more restricted in usage.</w:t>
      </w:r>
    </w:p>
    <w:p w14:paraId="401195E0" w14:textId="77777777" w:rsidR="004F2D4F" w:rsidRPr="003C62B7" w:rsidRDefault="004F2D4F" w:rsidP="00FF7DB5">
      <w:pPr>
        <w:pStyle w:val="ListParagraph"/>
        <w:numPr>
          <w:ilvl w:val="0"/>
          <w:numId w:val="7"/>
        </w:numPr>
        <w:rPr>
          <w:sz w:val="24"/>
          <w:szCs w:val="24"/>
        </w:rPr>
      </w:pPr>
      <w:r w:rsidRPr="003C62B7">
        <w:rPr>
          <w:sz w:val="24"/>
          <w:szCs w:val="24"/>
        </w:rPr>
        <w:t>Cities, towns, districts, counties, and other political subdivisions</w:t>
      </w:r>
    </w:p>
    <w:p w14:paraId="7DAF7FC6" w14:textId="77777777" w:rsidR="004F2D4F" w:rsidRPr="003C62B7" w:rsidRDefault="004F2D4F" w:rsidP="00FF7DB5">
      <w:pPr>
        <w:pStyle w:val="ListParagraph"/>
        <w:numPr>
          <w:ilvl w:val="0"/>
          <w:numId w:val="7"/>
        </w:numPr>
        <w:rPr>
          <w:sz w:val="24"/>
          <w:szCs w:val="24"/>
        </w:rPr>
      </w:pPr>
      <w:r w:rsidRPr="003C62B7">
        <w:rPr>
          <w:sz w:val="24"/>
          <w:szCs w:val="24"/>
        </w:rPr>
        <w:t>Executive, Legislative, and Judicial Branches, including all departments and elected offices therein</w:t>
      </w:r>
    </w:p>
    <w:p w14:paraId="50C5C11F" w14:textId="77777777" w:rsidR="004F2D4F" w:rsidRPr="003C62B7" w:rsidRDefault="004F2D4F" w:rsidP="00FF7DB5">
      <w:pPr>
        <w:pStyle w:val="ListParagraph"/>
        <w:numPr>
          <w:ilvl w:val="0"/>
          <w:numId w:val="7"/>
        </w:numPr>
        <w:rPr>
          <w:sz w:val="24"/>
          <w:szCs w:val="24"/>
        </w:rPr>
      </w:pPr>
      <w:r w:rsidRPr="003C62B7">
        <w:rPr>
          <w:sz w:val="24"/>
          <w:szCs w:val="24"/>
        </w:rPr>
        <w:t>Independent public authorities, commissions, and quasi-public agencies</w:t>
      </w:r>
    </w:p>
    <w:p w14:paraId="4D8E9535" w14:textId="77777777" w:rsidR="004F2D4F" w:rsidRPr="003C62B7" w:rsidRDefault="004F2D4F" w:rsidP="00FF7DB5">
      <w:pPr>
        <w:pStyle w:val="ListParagraph"/>
        <w:numPr>
          <w:ilvl w:val="0"/>
          <w:numId w:val="7"/>
        </w:numPr>
        <w:rPr>
          <w:sz w:val="24"/>
          <w:szCs w:val="24"/>
        </w:rPr>
      </w:pPr>
      <w:r w:rsidRPr="003C62B7">
        <w:rPr>
          <w:sz w:val="24"/>
          <w:szCs w:val="24"/>
        </w:rPr>
        <w:t>Local public libraries, public school districts, and charter schools</w:t>
      </w:r>
    </w:p>
    <w:p w14:paraId="71FEEF03" w14:textId="77777777" w:rsidR="004F2D4F" w:rsidRPr="003C62B7" w:rsidRDefault="004F2D4F" w:rsidP="00FF7DB5">
      <w:pPr>
        <w:pStyle w:val="ListParagraph"/>
        <w:numPr>
          <w:ilvl w:val="0"/>
          <w:numId w:val="7"/>
        </w:numPr>
        <w:rPr>
          <w:sz w:val="24"/>
          <w:szCs w:val="24"/>
        </w:rPr>
      </w:pPr>
      <w:r w:rsidRPr="003C62B7">
        <w:rPr>
          <w:sz w:val="24"/>
          <w:szCs w:val="24"/>
        </w:rPr>
        <w:t>Public hospitals owned by the Commonwealth of Massachusetts</w:t>
      </w:r>
    </w:p>
    <w:p w14:paraId="5C244158" w14:textId="77777777" w:rsidR="004F2D4F" w:rsidRPr="003C62B7" w:rsidRDefault="004F2D4F" w:rsidP="00FF7DB5">
      <w:pPr>
        <w:pStyle w:val="ListParagraph"/>
        <w:numPr>
          <w:ilvl w:val="0"/>
          <w:numId w:val="7"/>
        </w:numPr>
        <w:rPr>
          <w:sz w:val="24"/>
          <w:szCs w:val="24"/>
        </w:rPr>
      </w:pPr>
      <w:r w:rsidRPr="003C62B7">
        <w:rPr>
          <w:sz w:val="24"/>
          <w:szCs w:val="24"/>
        </w:rPr>
        <w:t>Public institutions of higher education</w:t>
      </w:r>
    </w:p>
    <w:p w14:paraId="75EBC587" w14:textId="77777777" w:rsidR="004F2D4F" w:rsidRPr="003C62B7" w:rsidRDefault="004F2D4F" w:rsidP="00FF7DB5">
      <w:pPr>
        <w:pStyle w:val="ListParagraph"/>
        <w:numPr>
          <w:ilvl w:val="0"/>
          <w:numId w:val="7"/>
        </w:numPr>
        <w:rPr>
          <w:sz w:val="24"/>
          <w:szCs w:val="24"/>
        </w:rPr>
      </w:pPr>
      <w:r w:rsidRPr="003C62B7">
        <w:rPr>
          <w:sz w:val="24"/>
          <w:szCs w:val="24"/>
        </w:rPr>
        <w:t>Public purchasing cooperatives</w:t>
      </w:r>
    </w:p>
    <w:p w14:paraId="7105AFD8" w14:textId="77777777" w:rsidR="004F2D4F" w:rsidRPr="003C62B7" w:rsidRDefault="004F2D4F" w:rsidP="00FF7DB5">
      <w:pPr>
        <w:pStyle w:val="ListParagraph"/>
        <w:numPr>
          <w:ilvl w:val="0"/>
          <w:numId w:val="7"/>
        </w:numPr>
        <w:rPr>
          <w:sz w:val="24"/>
          <w:szCs w:val="24"/>
        </w:rPr>
      </w:pPr>
      <w:hyperlink r:id="rId28" w:history="1">
        <w:r w:rsidRPr="003C62B7">
          <w:rPr>
            <w:rStyle w:val="Hyperlink"/>
            <w:sz w:val="24"/>
            <w:szCs w:val="24"/>
          </w:rPr>
          <w:t>Non-profit</w:t>
        </w:r>
      </w:hyperlink>
      <w:r w:rsidRPr="003C62B7">
        <w:rPr>
          <w:sz w:val="24"/>
          <w:szCs w:val="24"/>
        </w:rPr>
        <w:t>, UFR-certified organizations that are doing business with the Commonwealth</w:t>
      </w:r>
    </w:p>
    <w:p w14:paraId="0237EF94" w14:textId="77777777" w:rsidR="004F2D4F" w:rsidRPr="003C62B7" w:rsidRDefault="004F2D4F" w:rsidP="00FF7DB5">
      <w:pPr>
        <w:pStyle w:val="ListParagraph"/>
        <w:numPr>
          <w:ilvl w:val="0"/>
          <w:numId w:val="7"/>
        </w:numPr>
        <w:rPr>
          <w:sz w:val="24"/>
          <w:szCs w:val="24"/>
        </w:rPr>
      </w:pPr>
      <w:r w:rsidRPr="003C62B7">
        <w:rPr>
          <w:sz w:val="24"/>
          <w:szCs w:val="24"/>
        </w:rPr>
        <w:t xml:space="preserve">Other states and territories and their cities, towns, districts, counties, other political subdivisions, and public institutions of higher education without prior approval from the State Purchasing Agent </w:t>
      </w:r>
    </w:p>
    <w:p w14:paraId="36EEA8DA" w14:textId="77777777" w:rsidR="004F2D4F" w:rsidRDefault="004F2D4F" w:rsidP="00FF7DB5">
      <w:pPr>
        <w:pStyle w:val="ListParagraph"/>
        <w:numPr>
          <w:ilvl w:val="0"/>
          <w:numId w:val="7"/>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6" w:name="_Toc194066597"/>
      <w:bookmarkStart w:id="17" w:name="_Toc209710790"/>
      <w:r>
        <w:t>Pricing Options</w:t>
      </w:r>
      <w:bookmarkEnd w:id="16"/>
      <w:bookmarkEnd w:id="17"/>
    </w:p>
    <w:p w14:paraId="1C324D87" w14:textId="77777777" w:rsidR="00442AB3" w:rsidRDefault="00442AB3" w:rsidP="00442AB3">
      <w:pPr>
        <w:pStyle w:val="Heading3"/>
      </w:pPr>
      <w:bookmarkStart w:id="18" w:name="_Toc207365983"/>
      <w:bookmarkStart w:id="19" w:name="_Toc209710791"/>
      <w:r>
        <w:t>Pricing and Buying Details</w:t>
      </w:r>
      <w:bookmarkEnd w:id="18"/>
      <w:bookmarkEnd w:id="19"/>
    </w:p>
    <w:p w14:paraId="50D502A4" w14:textId="77777777" w:rsidR="00442AB3" w:rsidRDefault="00442AB3" w:rsidP="00442AB3">
      <w:pPr>
        <w:spacing w:after="0"/>
        <w:rPr>
          <w:sz w:val="24"/>
          <w:szCs w:val="24"/>
        </w:rPr>
      </w:pPr>
      <w:r w:rsidRPr="00B54A20">
        <w:rPr>
          <w:sz w:val="24"/>
          <w:szCs w:val="24"/>
        </w:rPr>
        <w:t xml:space="preserve">All orders should reference </w:t>
      </w:r>
      <w:r w:rsidRPr="00B54A20">
        <w:rPr>
          <w:b/>
          <w:bCs/>
          <w:sz w:val="24"/>
          <w:szCs w:val="24"/>
        </w:rPr>
        <w:t>ENE52</w:t>
      </w:r>
      <w:r w:rsidRPr="00B54A20">
        <w:rPr>
          <w:sz w:val="24"/>
          <w:szCs w:val="24"/>
        </w:rPr>
        <w:t xml:space="preserve"> to ensure buyers get statewide contract pricing. </w:t>
      </w:r>
    </w:p>
    <w:p w14:paraId="16D33C2D" w14:textId="77777777" w:rsidR="00442AB3" w:rsidRPr="00B54A20" w:rsidRDefault="00442AB3" w:rsidP="00442AB3">
      <w:pPr>
        <w:spacing w:after="0"/>
        <w:rPr>
          <w:sz w:val="24"/>
          <w:szCs w:val="24"/>
        </w:rPr>
      </w:pPr>
    </w:p>
    <w:p w14:paraId="40B841B8" w14:textId="77777777" w:rsidR="00442AB3" w:rsidRPr="00B54A20" w:rsidRDefault="00442AB3" w:rsidP="00442AB3">
      <w:pPr>
        <w:spacing w:after="0"/>
        <w:rPr>
          <w:sz w:val="24"/>
          <w:szCs w:val="24"/>
        </w:rPr>
      </w:pPr>
      <w:r w:rsidRPr="00B54A20">
        <w:rPr>
          <w:sz w:val="24"/>
          <w:szCs w:val="24"/>
        </w:rPr>
        <w:t xml:space="preserve">To verify the commodity price for heating fuels </w:t>
      </w:r>
      <w:r w:rsidRPr="00B54A20">
        <w:rPr>
          <w:b/>
          <w:bCs/>
          <w:sz w:val="24"/>
          <w:szCs w:val="24"/>
        </w:rPr>
        <w:t>for Category 1 and Category 2</w:t>
      </w:r>
      <w:r w:rsidRPr="00B54A20">
        <w:rPr>
          <w:sz w:val="24"/>
          <w:szCs w:val="24"/>
        </w:rPr>
        <w:t xml:space="preserve">: </w:t>
      </w:r>
    </w:p>
    <w:p w14:paraId="77BE1299" w14:textId="77777777" w:rsidR="00442AB3" w:rsidRPr="00B54A20" w:rsidRDefault="00442AB3" w:rsidP="00FF7DB5">
      <w:pPr>
        <w:numPr>
          <w:ilvl w:val="0"/>
          <w:numId w:val="13"/>
        </w:numPr>
        <w:spacing w:after="0"/>
        <w:rPr>
          <w:sz w:val="24"/>
          <w:szCs w:val="24"/>
        </w:rPr>
      </w:pPr>
      <w:r w:rsidRPr="00B54A20">
        <w:rPr>
          <w:sz w:val="24"/>
          <w:szCs w:val="24"/>
        </w:rPr>
        <w:t xml:space="preserve">Go to </w:t>
      </w:r>
      <w:hyperlink r:id="rId29" w:tooltip="www.commbuys.com" w:history="1">
        <w:r>
          <w:rPr>
            <w:rStyle w:val="Hyperlink"/>
            <w:sz w:val="24"/>
            <w:szCs w:val="24"/>
          </w:rPr>
          <w:t>COMMBUYS</w:t>
        </w:r>
      </w:hyperlink>
      <w:r w:rsidRPr="00B54A20">
        <w:rPr>
          <w:sz w:val="24"/>
          <w:szCs w:val="24"/>
        </w:rPr>
        <w:t>.</w:t>
      </w:r>
    </w:p>
    <w:p w14:paraId="51DC60DB" w14:textId="77777777" w:rsidR="00442AB3" w:rsidRDefault="00442AB3" w:rsidP="00FF7DB5">
      <w:pPr>
        <w:numPr>
          <w:ilvl w:val="0"/>
          <w:numId w:val="13"/>
        </w:numPr>
        <w:spacing w:after="0"/>
        <w:rPr>
          <w:sz w:val="24"/>
          <w:szCs w:val="24"/>
        </w:rPr>
      </w:pPr>
      <w:r w:rsidRPr="00B54A20">
        <w:rPr>
          <w:sz w:val="24"/>
          <w:szCs w:val="24"/>
        </w:rPr>
        <w:t xml:space="preserve">In the Search </w:t>
      </w:r>
      <w:r>
        <w:rPr>
          <w:sz w:val="24"/>
          <w:szCs w:val="24"/>
        </w:rPr>
        <w:t>field</w:t>
      </w:r>
      <w:r w:rsidRPr="00B54A20">
        <w:rPr>
          <w:sz w:val="24"/>
          <w:szCs w:val="24"/>
        </w:rPr>
        <w:t xml:space="preserve">, enter </w:t>
      </w:r>
      <w:r w:rsidRPr="00B54A20">
        <w:rPr>
          <w:b/>
          <w:bCs/>
          <w:sz w:val="24"/>
          <w:szCs w:val="24"/>
        </w:rPr>
        <w:t>ENEFY2</w:t>
      </w:r>
      <w:r>
        <w:rPr>
          <w:b/>
          <w:bCs/>
          <w:sz w:val="24"/>
          <w:szCs w:val="24"/>
        </w:rPr>
        <w:t>6</w:t>
      </w:r>
      <w:r>
        <w:rPr>
          <w:sz w:val="24"/>
          <w:szCs w:val="24"/>
        </w:rPr>
        <w:t>.</w:t>
      </w:r>
    </w:p>
    <w:p w14:paraId="0E7C9358" w14:textId="77777777" w:rsidR="00442AB3" w:rsidRPr="00B54A20" w:rsidRDefault="00442AB3" w:rsidP="00FF7DB5">
      <w:pPr>
        <w:numPr>
          <w:ilvl w:val="0"/>
          <w:numId w:val="13"/>
        </w:numPr>
        <w:spacing w:after="0"/>
        <w:rPr>
          <w:sz w:val="24"/>
          <w:szCs w:val="24"/>
        </w:rPr>
      </w:pPr>
      <w:r w:rsidRPr="00B54A20">
        <w:rPr>
          <w:sz w:val="24"/>
          <w:szCs w:val="24"/>
        </w:rPr>
        <w:t xml:space="preserve">In the drop-down list, select </w:t>
      </w:r>
      <w:r w:rsidRPr="00B54A20">
        <w:rPr>
          <w:b/>
          <w:bCs/>
          <w:sz w:val="24"/>
          <w:szCs w:val="24"/>
        </w:rPr>
        <w:t>Blankets</w:t>
      </w:r>
      <w:r>
        <w:rPr>
          <w:sz w:val="24"/>
          <w:szCs w:val="24"/>
        </w:rPr>
        <w:t>,</w:t>
      </w:r>
      <w:r w:rsidRPr="00B54A20">
        <w:rPr>
          <w:sz w:val="24"/>
          <w:szCs w:val="24"/>
        </w:rPr>
        <w:t xml:space="preserve"> and the</w:t>
      </w:r>
      <w:r>
        <w:rPr>
          <w:sz w:val="24"/>
          <w:szCs w:val="24"/>
        </w:rPr>
        <w:t>n select the Search icon (magnifying glass)</w:t>
      </w:r>
      <w:r w:rsidRPr="00B54A20">
        <w:rPr>
          <w:sz w:val="24"/>
          <w:szCs w:val="24"/>
        </w:rPr>
        <w:t xml:space="preserve">. </w:t>
      </w:r>
      <w:r>
        <w:rPr>
          <w:sz w:val="24"/>
          <w:szCs w:val="24"/>
        </w:rPr>
        <w:t>The Results table displays.</w:t>
      </w:r>
    </w:p>
    <w:p w14:paraId="5C2D4C04" w14:textId="77777777" w:rsidR="00442AB3" w:rsidRPr="00B54A20" w:rsidRDefault="00442AB3" w:rsidP="00FF7DB5">
      <w:pPr>
        <w:numPr>
          <w:ilvl w:val="0"/>
          <w:numId w:val="13"/>
        </w:numPr>
        <w:spacing w:after="0"/>
        <w:rPr>
          <w:sz w:val="24"/>
          <w:szCs w:val="24"/>
        </w:rPr>
      </w:pPr>
      <w:r w:rsidRPr="00B54A20">
        <w:rPr>
          <w:sz w:val="24"/>
          <w:szCs w:val="24"/>
        </w:rPr>
        <w:t xml:space="preserve">Under the </w:t>
      </w:r>
      <w:r w:rsidRPr="00B54A20">
        <w:rPr>
          <w:b/>
          <w:bCs/>
          <w:sz w:val="24"/>
          <w:szCs w:val="24"/>
        </w:rPr>
        <w:t>Blanket #</w:t>
      </w:r>
      <w:r w:rsidRPr="00B54A20">
        <w:rPr>
          <w:sz w:val="24"/>
          <w:szCs w:val="24"/>
        </w:rPr>
        <w:t xml:space="preserve"> column, </w:t>
      </w:r>
      <w:r>
        <w:rPr>
          <w:sz w:val="24"/>
          <w:szCs w:val="24"/>
        </w:rPr>
        <w:t>select</w:t>
      </w:r>
      <w:r w:rsidRPr="00B54A20">
        <w:rPr>
          <w:sz w:val="24"/>
          <w:szCs w:val="24"/>
        </w:rPr>
        <w:t xml:space="preserve"> the PO link. </w:t>
      </w:r>
      <w:r>
        <w:rPr>
          <w:sz w:val="24"/>
          <w:szCs w:val="24"/>
        </w:rPr>
        <w:t>The selected Master Blanket Purchase Order displays.</w:t>
      </w:r>
    </w:p>
    <w:p w14:paraId="50CA265F" w14:textId="77777777" w:rsidR="00442AB3" w:rsidRPr="00B54A20" w:rsidRDefault="00442AB3" w:rsidP="00FF7DB5">
      <w:pPr>
        <w:numPr>
          <w:ilvl w:val="0"/>
          <w:numId w:val="13"/>
        </w:numPr>
        <w:spacing w:after="0"/>
        <w:rPr>
          <w:sz w:val="24"/>
          <w:szCs w:val="24"/>
        </w:rPr>
      </w:pPr>
      <w:r>
        <w:rPr>
          <w:sz w:val="24"/>
          <w:szCs w:val="24"/>
        </w:rPr>
        <w:t>N</w:t>
      </w:r>
      <w:r w:rsidRPr="00F75156">
        <w:rPr>
          <w:sz w:val="24"/>
          <w:szCs w:val="24"/>
        </w:rPr>
        <w:t xml:space="preserve">avigate to the </w:t>
      </w:r>
      <w:r w:rsidRPr="00F75156">
        <w:rPr>
          <w:b/>
          <w:bCs/>
          <w:sz w:val="24"/>
          <w:szCs w:val="24"/>
        </w:rPr>
        <w:t>Agency Attachments</w:t>
      </w:r>
      <w:r w:rsidRPr="00F75156">
        <w:rPr>
          <w:sz w:val="24"/>
          <w:szCs w:val="24"/>
        </w:rPr>
        <w:t xml:space="preserve"> section and select the file corresponding to the desired date.</w:t>
      </w:r>
    </w:p>
    <w:p w14:paraId="762EDA15" w14:textId="77777777" w:rsidR="00442AB3" w:rsidRPr="00B54A20" w:rsidRDefault="00442AB3" w:rsidP="00FF7DB5">
      <w:pPr>
        <w:numPr>
          <w:ilvl w:val="0"/>
          <w:numId w:val="13"/>
        </w:numPr>
        <w:spacing w:after="0"/>
        <w:rPr>
          <w:sz w:val="24"/>
          <w:szCs w:val="24"/>
        </w:rPr>
      </w:pPr>
      <w:r w:rsidRPr="13627BE4">
        <w:rPr>
          <w:sz w:val="24"/>
          <w:szCs w:val="24"/>
        </w:rPr>
        <w:t xml:space="preserve">You can also access the attachment directly by </w:t>
      </w:r>
      <w:r>
        <w:rPr>
          <w:sz w:val="24"/>
          <w:szCs w:val="24"/>
        </w:rPr>
        <w:t xml:space="preserve">selecting </w:t>
      </w:r>
      <w:hyperlink r:id="rId30">
        <w:r>
          <w:rPr>
            <w:rStyle w:val="Hyperlink"/>
            <w:sz w:val="24"/>
            <w:szCs w:val="24"/>
          </w:rPr>
          <w:t>ENEFY26 Daily Index Pricing</w:t>
        </w:r>
      </w:hyperlink>
      <w:r w:rsidRPr="13627BE4">
        <w:rPr>
          <w:sz w:val="24"/>
          <w:szCs w:val="24"/>
        </w:rPr>
        <w:t>.</w:t>
      </w:r>
    </w:p>
    <w:p w14:paraId="7E715415" w14:textId="77777777" w:rsidR="00442AB3" w:rsidRPr="00775D7E" w:rsidRDefault="00442AB3" w:rsidP="00442AB3">
      <w:pPr>
        <w:spacing w:after="0"/>
        <w:rPr>
          <w:sz w:val="24"/>
          <w:szCs w:val="24"/>
        </w:rPr>
      </w:pPr>
    </w:p>
    <w:p w14:paraId="5CB39E97" w14:textId="77777777" w:rsidR="00442AB3" w:rsidRPr="00775D7E" w:rsidRDefault="00442AB3" w:rsidP="00442AB3">
      <w:pPr>
        <w:rPr>
          <w:sz w:val="24"/>
          <w:szCs w:val="24"/>
        </w:rPr>
      </w:pPr>
      <w:r w:rsidRPr="007C1F73">
        <w:rPr>
          <w:b/>
          <w:bCs/>
          <w:sz w:val="24"/>
          <w:szCs w:val="24"/>
        </w:rPr>
        <w:t>N</w:t>
      </w:r>
      <w:r>
        <w:rPr>
          <w:b/>
          <w:bCs/>
          <w:sz w:val="24"/>
          <w:szCs w:val="24"/>
        </w:rPr>
        <w:t>ote</w:t>
      </w:r>
      <w:r w:rsidRPr="007C1F73">
        <w:rPr>
          <w:b/>
          <w:bCs/>
          <w:sz w:val="24"/>
          <w:szCs w:val="24"/>
        </w:rPr>
        <w:t>:</w:t>
      </w:r>
      <w:r>
        <w:rPr>
          <w:sz w:val="24"/>
          <w:szCs w:val="24"/>
        </w:rPr>
        <w:t xml:space="preserve"> </w:t>
      </w:r>
      <w:r w:rsidRPr="00775D7E">
        <w:rPr>
          <w:sz w:val="24"/>
          <w:szCs w:val="24"/>
        </w:rPr>
        <w:t>The Less Than Truckload Differential (LTL) pricing is applicable for all deliveries under 8,000 gallons. The Truckload Differential (TL) pricing is applicable for deliveries of 8,000 gallons or more.</w:t>
      </w:r>
    </w:p>
    <w:p w14:paraId="71D7F586" w14:textId="77777777" w:rsidR="00442AB3" w:rsidRDefault="00442AB3" w:rsidP="00442AB3">
      <w:pPr>
        <w:pStyle w:val="Heading3"/>
      </w:pPr>
      <w:bookmarkStart w:id="20" w:name="_Toc207365984"/>
      <w:bookmarkStart w:id="21" w:name="_Toc209710792"/>
      <w:r>
        <w:t>No. 2 Heating Oil and Massachusetts APS-Eligible Liquid Biofuel, Minimum 10% Biofuel</w:t>
      </w:r>
      <w:bookmarkEnd w:id="20"/>
      <w:bookmarkEnd w:id="21"/>
    </w:p>
    <w:p w14:paraId="04F2FA63" w14:textId="77777777" w:rsidR="00442AB3" w:rsidRDefault="00442AB3" w:rsidP="00442AB3">
      <w:pPr>
        <w:rPr>
          <w:sz w:val="24"/>
          <w:szCs w:val="24"/>
        </w:rPr>
      </w:pPr>
      <w:r w:rsidRPr="00E624DC">
        <w:rPr>
          <w:sz w:val="24"/>
          <w:szCs w:val="24"/>
        </w:rPr>
        <w:t xml:space="preserve">The delivery of No.2 Heating Oil and </w:t>
      </w:r>
      <w:r>
        <w:rPr>
          <w:sz w:val="24"/>
          <w:szCs w:val="24"/>
        </w:rPr>
        <w:t>Alternative Portfolio Standards-Eligible (</w:t>
      </w:r>
      <w:r w:rsidRPr="00E624DC">
        <w:rPr>
          <w:sz w:val="24"/>
          <w:szCs w:val="24"/>
        </w:rPr>
        <w:t>APS</w:t>
      </w:r>
      <w:r>
        <w:rPr>
          <w:sz w:val="24"/>
          <w:szCs w:val="24"/>
        </w:rPr>
        <w:t>-</w:t>
      </w:r>
      <w:r w:rsidRPr="00E624DC">
        <w:rPr>
          <w:sz w:val="24"/>
          <w:szCs w:val="24"/>
        </w:rPr>
        <w:t>Eligible</w:t>
      </w:r>
      <w:r>
        <w:rPr>
          <w:sz w:val="24"/>
          <w:szCs w:val="24"/>
        </w:rPr>
        <w:t>)</w:t>
      </w:r>
      <w:r w:rsidRPr="00E624DC">
        <w:rPr>
          <w:sz w:val="24"/>
          <w:szCs w:val="24"/>
        </w:rPr>
        <w:t xml:space="preserve"> Liquid Biofuel is purchased at a fixed differential price to be applied to the average of the high and low wholesale Boston Price as published daily in the Oil Price Daily</w:t>
      </w:r>
      <w:r>
        <w:rPr>
          <w:sz w:val="24"/>
          <w:szCs w:val="24"/>
        </w:rPr>
        <w:t>,</w:t>
      </w:r>
      <w:r w:rsidRPr="00E624DC">
        <w:rPr>
          <w:sz w:val="24"/>
          <w:szCs w:val="24"/>
        </w:rPr>
        <w:t xml:space="preserve"> an OPIS Publication. </w:t>
      </w:r>
    </w:p>
    <w:p w14:paraId="787C603C" w14:textId="77777777" w:rsidR="00442AB3" w:rsidRPr="00E624DC" w:rsidRDefault="00442AB3" w:rsidP="00442AB3">
      <w:pPr>
        <w:rPr>
          <w:sz w:val="24"/>
          <w:szCs w:val="24"/>
        </w:rPr>
      </w:pPr>
      <w:r w:rsidRPr="00FB0ABC">
        <w:rPr>
          <w:rFonts w:cs="Arial"/>
          <w:sz w:val="24"/>
          <w:szCs w:val="24"/>
        </w:rPr>
        <w:lastRenderedPageBreak/>
        <w:t>The vendor will provide a consistent supply of No.2 Heating Oil and APS-eligible Liquid Biofuel, purchased at a set price difference added to the daily average of the high and low wholesale Boston price as listed in the Oil Price Daily, an OPIS publication.</w:t>
      </w:r>
    </w:p>
    <w:p w14:paraId="5684C772" w14:textId="77777777" w:rsidR="00442AB3" w:rsidRDefault="00442AB3" w:rsidP="00442AB3">
      <w:pPr>
        <w:rPr>
          <w:sz w:val="24"/>
          <w:szCs w:val="24"/>
        </w:rPr>
      </w:pPr>
      <w:r w:rsidRPr="00A3697A">
        <w:rPr>
          <w:b/>
          <w:bCs/>
          <w:sz w:val="24"/>
          <w:szCs w:val="24"/>
        </w:rPr>
        <w:t>N</w:t>
      </w:r>
      <w:r>
        <w:rPr>
          <w:b/>
          <w:bCs/>
          <w:sz w:val="24"/>
          <w:szCs w:val="24"/>
        </w:rPr>
        <w:t>ote</w:t>
      </w:r>
      <w:r w:rsidRPr="00A3697A">
        <w:rPr>
          <w:b/>
          <w:bCs/>
          <w:sz w:val="24"/>
          <w:szCs w:val="24"/>
        </w:rPr>
        <w:t>:</w:t>
      </w:r>
      <w:r>
        <w:rPr>
          <w:sz w:val="24"/>
          <w:szCs w:val="24"/>
        </w:rPr>
        <w:t xml:space="preserve"> </w:t>
      </w:r>
      <w:r w:rsidRPr="00E624DC">
        <w:rPr>
          <w:sz w:val="24"/>
          <w:szCs w:val="24"/>
        </w:rPr>
        <w:t>Total Price per Gallon = Daily Commodity Price + Applicable Differential Price (additional taxes and federal environmental fees to be billed as separate line items on invoices)</w:t>
      </w:r>
      <w:bookmarkStart w:id="22" w:name="_Hlk82590529"/>
      <w:bookmarkStart w:id="23" w:name="_Hlk81993424"/>
      <w:r>
        <w:rPr>
          <w:sz w:val="24"/>
          <w:szCs w:val="24"/>
        </w:rPr>
        <w:t>.</w:t>
      </w:r>
    </w:p>
    <w:p w14:paraId="3EE43EC0" w14:textId="77777777" w:rsidR="00442AB3" w:rsidRDefault="00442AB3" w:rsidP="00442AB3">
      <w:pPr>
        <w:rPr>
          <w:sz w:val="24"/>
          <w:szCs w:val="24"/>
        </w:rPr>
      </w:pPr>
      <w:r w:rsidRPr="00FB0ABC">
        <w:rPr>
          <w:rFonts w:cs="Arial"/>
          <w:b/>
          <w:bCs/>
          <w:sz w:val="24"/>
          <w:szCs w:val="24"/>
        </w:rPr>
        <w:t>The total price per gallon of gasoline is determined by:</w:t>
      </w:r>
      <w:r w:rsidRPr="00FB0ABC">
        <w:rPr>
          <w:rFonts w:cs="Arial"/>
          <w:sz w:val="24"/>
          <w:szCs w:val="24"/>
        </w:rPr>
        <w:t xml:space="preserve"> Total Price per Gallon = Daily Commodity Price + Applicable Differential Price (additional taxes and federal environmental fees to be billed as separate line items on invoices)</w:t>
      </w:r>
      <w:r>
        <w:rPr>
          <w:rFonts w:cs="Arial"/>
          <w:sz w:val="24"/>
          <w:szCs w:val="24"/>
        </w:rPr>
        <w:t>.</w:t>
      </w:r>
    </w:p>
    <w:p w14:paraId="55481986" w14:textId="77777777" w:rsidR="00442AB3" w:rsidRDefault="00442AB3" w:rsidP="00442AB3">
      <w:pPr>
        <w:pStyle w:val="BodyText"/>
        <w:rPr>
          <w:b w:val="0"/>
          <w:bCs w:val="0"/>
        </w:rPr>
      </w:pPr>
      <w:r w:rsidRPr="00AD4C35">
        <w:rPr>
          <w:bCs w:val="0"/>
        </w:rPr>
        <w:t>Category 1 No. 2 Heating Oil (Pricing Effective 10/01/2021)</w:t>
      </w:r>
      <w:r>
        <w:rPr>
          <w:bCs w:val="0"/>
        </w:rPr>
        <w:t>:</w:t>
      </w:r>
    </w:p>
    <w:p w14:paraId="4A081859" w14:textId="77777777" w:rsidR="00442AB3" w:rsidRPr="00AD4C35" w:rsidRDefault="00442AB3" w:rsidP="00442AB3">
      <w:pPr>
        <w:pStyle w:val="BodyText"/>
        <w:rPr>
          <w:b w:val="0"/>
          <w:bCs w:val="0"/>
          <w:color w:val="365F91" w:themeColor="accent1" w:themeShade="B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ategory 1 No. 2 Heating Oil (Pricing Effective 10/01/2021):"/>
        <w:tblDescription w:val="This table lists the zones, vendors, prompt payment discounts, less than truckload differential, and truckload differential for Category 1 No. 2 Heating Oil."/>
      </w:tblPr>
      <w:tblGrid>
        <w:gridCol w:w="892"/>
        <w:gridCol w:w="2456"/>
        <w:gridCol w:w="2179"/>
        <w:gridCol w:w="2143"/>
        <w:gridCol w:w="1906"/>
      </w:tblGrid>
      <w:tr w:rsidR="00442AB3" w:rsidRPr="008467F7" w14:paraId="62191B2C" w14:textId="77777777" w:rsidTr="00457B16">
        <w:trPr>
          <w:tblHeader/>
        </w:trPr>
        <w:tc>
          <w:tcPr>
            <w:tcW w:w="892" w:type="dxa"/>
            <w:tcBorders>
              <w:top w:val="single" w:sz="4" w:space="0" w:color="auto"/>
              <w:left w:val="single" w:sz="4" w:space="0" w:color="auto"/>
              <w:bottom w:val="single" w:sz="4" w:space="0" w:color="auto"/>
              <w:right w:val="single" w:sz="4" w:space="0" w:color="auto"/>
            </w:tcBorders>
            <w:vAlign w:val="center"/>
          </w:tcPr>
          <w:bookmarkEnd w:id="22"/>
          <w:p w14:paraId="339AF309" w14:textId="77777777" w:rsidR="00442AB3" w:rsidRPr="00B531B9" w:rsidRDefault="00442AB3" w:rsidP="00457B16">
            <w:pPr>
              <w:rPr>
                <w:b/>
                <w:sz w:val="24"/>
                <w:szCs w:val="24"/>
              </w:rPr>
            </w:pPr>
            <w:r w:rsidRPr="00B531B9">
              <w:rPr>
                <w:b/>
                <w:sz w:val="24"/>
                <w:szCs w:val="24"/>
              </w:rPr>
              <w:t>Zone</w:t>
            </w:r>
          </w:p>
        </w:tc>
        <w:tc>
          <w:tcPr>
            <w:tcW w:w="2456" w:type="dxa"/>
            <w:tcBorders>
              <w:top w:val="single" w:sz="4" w:space="0" w:color="auto"/>
              <w:left w:val="single" w:sz="4" w:space="0" w:color="auto"/>
              <w:bottom w:val="single" w:sz="4" w:space="0" w:color="auto"/>
              <w:right w:val="single" w:sz="4" w:space="0" w:color="auto"/>
            </w:tcBorders>
            <w:vAlign w:val="center"/>
          </w:tcPr>
          <w:p w14:paraId="5A6A7EE7" w14:textId="77777777" w:rsidR="00442AB3" w:rsidRPr="00B531B9" w:rsidRDefault="00442AB3" w:rsidP="00457B16">
            <w:pPr>
              <w:rPr>
                <w:b/>
                <w:sz w:val="24"/>
                <w:szCs w:val="24"/>
              </w:rPr>
            </w:pPr>
            <w:r w:rsidRPr="00B531B9">
              <w:rPr>
                <w:b/>
                <w:sz w:val="24"/>
                <w:szCs w:val="24"/>
              </w:rPr>
              <w:t>Vendor</w:t>
            </w:r>
          </w:p>
        </w:tc>
        <w:tc>
          <w:tcPr>
            <w:tcW w:w="2179" w:type="dxa"/>
            <w:tcBorders>
              <w:top w:val="single" w:sz="4" w:space="0" w:color="auto"/>
              <w:left w:val="single" w:sz="4" w:space="0" w:color="auto"/>
              <w:bottom w:val="single" w:sz="4" w:space="0" w:color="auto"/>
              <w:right w:val="single" w:sz="4" w:space="0" w:color="auto"/>
            </w:tcBorders>
            <w:vAlign w:val="center"/>
          </w:tcPr>
          <w:p w14:paraId="42934D91" w14:textId="77777777" w:rsidR="00442AB3" w:rsidRPr="00B531B9" w:rsidRDefault="00442AB3" w:rsidP="00457B16">
            <w:pPr>
              <w:rPr>
                <w:b/>
                <w:sz w:val="24"/>
                <w:szCs w:val="24"/>
              </w:rPr>
            </w:pPr>
            <w:r w:rsidRPr="00B531B9">
              <w:rPr>
                <w:b/>
                <w:sz w:val="24"/>
                <w:szCs w:val="24"/>
              </w:rPr>
              <w:t>Prompt Payment Discount (PPD)</w:t>
            </w:r>
          </w:p>
        </w:tc>
        <w:tc>
          <w:tcPr>
            <w:tcW w:w="2143" w:type="dxa"/>
            <w:tcBorders>
              <w:top w:val="single" w:sz="4" w:space="0" w:color="auto"/>
              <w:left w:val="single" w:sz="4" w:space="0" w:color="auto"/>
              <w:bottom w:val="single" w:sz="4" w:space="0" w:color="auto"/>
              <w:right w:val="single" w:sz="4" w:space="0" w:color="auto"/>
            </w:tcBorders>
            <w:vAlign w:val="center"/>
          </w:tcPr>
          <w:p w14:paraId="281391DD" w14:textId="77777777" w:rsidR="00442AB3" w:rsidRPr="00B531B9" w:rsidRDefault="00442AB3" w:rsidP="00457B16">
            <w:pPr>
              <w:rPr>
                <w:b/>
                <w:sz w:val="24"/>
                <w:szCs w:val="24"/>
              </w:rPr>
            </w:pPr>
            <w:r w:rsidRPr="00B531B9">
              <w:rPr>
                <w:b/>
                <w:sz w:val="24"/>
                <w:szCs w:val="24"/>
              </w:rPr>
              <w:t xml:space="preserve">Less Than Truckload Differential (LTL) </w:t>
            </w:r>
          </w:p>
        </w:tc>
        <w:tc>
          <w:tcPr>
            <w:tcW w:w="1906" w:type="dxa"/>
            <w:tcBorders>
              <w:top w:val="single" w:sz="4" w:space="0" w:color="auto"/>
              <w:left w:val="single" w:sz="4" w:space="0" w:color="auto"/>
              <w:bottom w:val="single" w:sz="4" w:space="0" w:color="auto"/>
              <w:right w:val="single" w:sz="4" w:space="0" w:color="auto"/>
            </w:tcBorders>
            <w:vAlign w:val="center"/>
          </w:tcPr>
          <w:p w14:paraId="11CF8B21" w14:textId="77777777" w:rsidR="00442AB3" w:rsidRPr="00B531B9" w:rsidRDefault="00442AB3" w:rsidP="00457B16">
            <w:pPr>
              <w:rPr>
                <w:b/>
                <w:sz w:val="24"/>
                <w:szCs w:val="24"/>
              </w:rPr>
            </w:pPr>
            <w:r w:rsidRPr="00B531B9">
              <w:rPr>
                <w:b/>
                <w:sz w:val="24"/>
                <w:szCs w:val="24"/>
              </w:rPr>
              <w:t xml:space="preserve">Truckload Differential (TL)  (8,000+) </w:t>
            </w:r>
          </w:p>
        </w:tc>
      </w:tr>
      <w:tr w:rsidR="00442AB3" w:rsidRPr="008467F7" w14:paraId="58FA84EA" w14:textId="77777777" w:rsidTr="00457B16">
        <w:trPr>
          <w:tblHeader/>
        </w:trPr>
        <w:tc>
          <w:tcPr>
            <w:tcW w:w="892" w:type="dxa"/>
            <w:tcBorders>
              <w:top w:val="single" w:sz="4" w:space="0" w:color="auto"/>
              <w:left w:val="single" w:sz="4" w:space="0" w:color="auto"/>
              <w:bottom w:val="single" w:sz="4" w:space="0" w:color="auto"/>
              <w:right w:val="single" w:sz="4" w:space="0" w:color="auto"/>
            </w:tcBorders>
          </w:tcPr>
          <w:p w14:paraId="78344AF0" w14:textId="77777777" w:rsidR="00442AB3" w:rsidRPr="00B531B9" w:rsidRDefault="00442AB3" w:rsidP="00457B16">
            <w:pPr>
              <w:rPr>
                <w:sz w:val="24"/>
                <w:szCs w:val="24"/>
              </w:rPr>
            </w:pPr>
            <w:r w:rsidRPr="00B531B9">
              <w:rPr>
                <w:sz w:val="24"/>
                <w:szCs w:val="24"/>
              </w:rPr>
              <w:t>1</w:t>
            </w:r>
          </w:p>
        </w:tc>
        <w:tc>
          <w:tcPr>
            <w:tcW w:w="2456" w:type="dxa"/>
            <w:tcBorders>
              <w:top w:val="single" w:sz="4" w:space="0" w:color="auto"/>
              <w:left w:val="single" w:sz="4" w:space="0" w:color="auto"/>
              <w:bottom w:val="single" w:sz="4" w:space="0" w:color="auto"/>
              <w:right w:val="single" w:sz="4" w:space="0" w:color="auto"/>
            </w:tcBorders>
          </w:tcPr>
          <w:p w14:paraId="092BBEDE" w14:textId="77777777" w:rsidR="00442AB3" w:rsidRPr="00B531B9" w:rsidRDefault="00442AB3" w:rsidP="00457B16">
            <w:pPr>
              <w:rPr>
                <w:sz w:val="24"/>
                <w:szCs w:val="24"/>
              </w:rPr>
            </w:pPr>
            <w:r w:rsidRPr="00B531B9">
              <w:rPr>
                <w:sz w:val="24"/>
                <w:szCs w:val="24"/>
              </w:rPr>
              <w:t>Global Montello</w:t>
            </w:r>
          </w:p>
        </w:tc>
        <w:tc>
          <w:tcPr>
            <w:tcW w:w="2179" w:type="dxa"/>
            <w:tcBorders>
              <w:top w:val="single" w:sz="4" w:space="0" w:color="auto"/>
              <w:left w:val="single" w:sz="4" w:space="0" w:color="auto"/>
              <w:bottom w:val="single" w:sz="4" w:space="0" w:color="auto"/>
              <w:right w:val="single" w:sz="4" w:space="0" w:color="auto"/>
            </w:tcBorders>
          </w:tcPr>
          <w:p w14:paraId="6E4610DB" w14:textId="77777777" w:rsidR="00442AB3" w:rsidRPr="00B531B9" w:rsidRDefault="00442AB3" w:rsidP="00457B16">
            <w:pPr>
              <w:rPr>
                <w:sz w:val="24"/>
                <w:szCs w:val="24"/>
              </w:rPr>
            </w:pPr>
            <w:r w:rsidRPr="00B531B9">
              <w:rPr>
                <w:sz w:val="24"/>
                <w:szCs w:val="24"/>
              </w:rPr>
              <w:t>0.01%, 10 Days</w:t>
            </w:r>
          </w:p>
        </w:tc>
        <w:tc>
          <w:tcPr>
            <w:tcW w:w="2143" w:type="dxa"/>
            <w:tcBorders>
              <w:top w:val="single" w:sz="4" w:space="0" w:color="auto"/>
              <w:left w:val="single" w:sz="4" w:space="0" w:color="auto"/>
              <w:bottom w:val="single" w:sz="4" w:space="0" w:color="auto"/>
              <w:right w:val="single" w:sz="4" w:space="0" w:color="auto"/>
            </w:tcBorders>
          </w:tcPr>
          <w:p w14:paraId="110182F8" w14:textId="77777777" w:rsidR="00442AB3" w:rsidRPr="00B531B9" w:rsidRDefault="00442AB3" w:rsidP="00457B16">
            <w:pPr>
              <w:rPr>
                <w:sz w:val="24"/>
                <w:szCs w:val="24"/>
              </w:rPr>
            </w:pPr>
            <w:r w:rsidRPr="00B531B9">
              <w:rPr>
                <w:sz w:val="24"/>
                <w:szCs w:val="24"/>
              </w:rPr>
              <w:t>0.1252</w:t>
            </w:r>
          </w:p>
        </w:tc>
        <w:tc>
          <w:tcPr>
            <w:tcW w:w="1906" w:type="dxa"/>
            <w:tcBorders>
              <w:top w:val="single" w:sz="4" w:space="0" w:color="auto"/>
              <w:left w:val="single" w:sz="4" w:space="0" w:color="auto"/>
              <w:bottom w:val="single" w:sz="4" w:space="0" w:color="auto"/>
              <w:right w:val="single" w:sz="4" w:space="0" w:color="auto"/>
            </w:tcBorders>
          </w:tcPr>
          <w:p w14:paraId="020A1CAB" w14:textId="77777777" w:rsidR="00442AB3" w:rsidRPr="00B531B9" w:rsidRDefault="00442AB3" w:rsidP="00457B16">
            <w:pPr>
              <w:rPr>
                <w:sz w:val="24"/>
                <w:szCs w:val="24"/>
              </w:rPr>
            </w:pPr>
            <w:r w:rsidRPr="00B531B9">
              <w:rPr>
                <w:sz w:val="24"/>
                <w:szCs w:val="24"/>
              </w:rPr>
              <w:t>0.0467</w:t>
            </w:r>
          </w:p>
        </w:tc>
      </w:tr>
      <w:tr w:rsidR="00442AB3" w:rsidRPr="008467F7" w14:paraId="30165F70" w14:textId="77777777" w:rsidTr="00457B16">
        <w:trPr>
          <w:tblHeader/>
        </w:trPr>
        <w:tc>
          <w:tcPr>
            <w:tcW w:w="892" w:type="dxa"/>
            <w:tcBorders>
              <w:top w:val="single" w:sz="4" w:space="0" w:color="auto"/>
              <w:left w:val="single" w:sz="4" w:space="0" w:color="auto"/>
              <w:bottom w:val="single" w:sz="4" w:space="0" w:color="auto"/>
              <w:right w:val="single" w:sz="4" w:space="0" w:color="auto"/>
            </w:tcBorders>
          </w:tcPr>
          <w:p w14:paraId="1DC9F914" w14:textId="77777777" w:rsidR="00442AB3" w:rsidRPr="00B531B9" w:rsidRDefault="00442AB3" w:rsidP="00457B16">
            <w:pPr>
              <w:rPr>
                <w:sz w:val="24"/>
                <w:szCs w:val="24"/>
              </w:rPr>
            </w:pPr>
            <w:r w:rsidRPr="00B531B9">
              <w:rPr>
                <w:sz w:val="24"/>
                <w:szCs w:val="24"/>
              </w:rPr>
              <w:t>2</w:t>
            </w:r>
          </w:p>
        </w:tc>
        <w:tc>
          <w:tcPr>
            <w:tcW w:w="2456" w:type="dxa"/>
            <w:tcBorders>
              <w:top w:val="single" w:sz="4" w:space="0" w:color="auto"/>
              <w:left w:val="single" w:sz="4" w:space="0" w:color="auto"/>
              <w:bottom w:val="single" w:sz="4" w:space="0" w:color="auto"/>
              <w:right w:val="single" w:sz="4" w:space="0" w:color="auto"/>
            </w:tcBorders>
          </w:tcPr>
          <w:p w14:paraId="6865263E" w14:textId="77777777" w:rsidR="00442AB3" w:rsidRPr="00B531B9" w:rsidRDefault="00442AB3" w:rsidP="00457B16">
            <w:pPr>
              <w:rPr>
                <w:sz w:val="24"/>
                <w:szCs w:val="24"/>
              </w:rPr>
            </w:pPr>
            <w:r w:rsidRPr="00B531B9">
              <w:rPr>
                <w:sz w:val="24"/>
                <w:szCs w:val="24"/>
              </w:rPr>
              <w:t>Peterson's Oil</w:t>
            </w:r>
          </w:p>
        </w:tc>
        <w:tc>
          <w:tcPr>
            <w:tcW w:w="2179" w:type="dxa"/>
            <w:tcBorders>
              <w:top w:val="single" w:sz="4" w:space="0" w:color="auto"/>
              <w:left w:val="single" w:sz="4" w:space="0" w:color="auto"/>
              <w:bottom w:val="single" w:sz="4" w:space="0" w:color="auto"/>
              <w:right w:val="single" w:sz="4" w:space="0" w:color="auto"/>
            </w:tcBorders>
          </w:tcPr>
          <w:p w14:paraId="0B78F849" w14:textId="77777777" w:rsidR="00442AB3" w:rsidRPr="00B531B9" w:rsidRDefault="00442AB3" w:rsidP="00457B16">
            <w:pPr>
              <w:rPr>
                <w:sz w:val="24"/>
                <w:szCs w:val="24"/>
              </w:rPr>
            </w:pPr>
            <w:r w:rsidRPr="00B531B9">
              <w:rPr>
                <w:sz w:val="24"/>
                <w:szCs w:val="24"/>
              </w:rPr>
              <w:t>0.3%, 15 Days</w:t>
            </w:r>
          </w:p>
        </w:tc>
        <w:tc>
          <w:tcPr>
            <w:tcW w:w="2143" w:type="dxa"/>
            <w:tcBorders>
              <w:top w:val="single" w:sz="4" w:space="0" w:color="auto"/>
              <w:left w:val="single" w:sz="4" w:space="0" w:color="auto"/>
              <w:bottom w:val="single" w:sz="4" w:space="0" w:color="auto"/>
              <w:right w:val="single" w:sz="4" w:space="0" w:color="auto"/>
            </w:tcBorders>
            <w:vAlign w:val="bottom"/>
          </w:tcPr>
          <w:p w14:paraId="3AD9C13E" w14:textId="77777777" w:rsidR="00442AB3" w:rsidRPr="00B531B9" w:rsidRDefault="00442AB3" w:rsidP="00457B16">
            <w:pPr>
              <w:rPr>
                <w:sz w:val="24"/>
                <w:szCs w:val="24"/>
              </w:rPr>
            </w:pPr>
            <w:r w:rsidRPr="00B531B9">
              <w:rPr>
                <w:sz w:val="24"/>
                <w:szCs w:val="24"/>
              </w:rPr>
              <w:t>0.2500</w:t>
            </w:r>
          </w:p>
        </w:tc>
        <w:tc>
          <w:tcPr>
            <w:tcW w:w="1906" w:type="dxa"/>
            <w:tcBorders>
              <w:top w:val="single" w:sz="4" w:space="0" w:color="auto"/>
              <w:left w:val="single" w:sz="4" w:space="0" w:color="auto"/>
              <w:bottom w:val="single" w:sz="4" w:space="0" w:color="auto"/>
              <w:right w:val="single" w:sz="4" w:space="0" w:color="auto"/>
            </w:tcBorders>
            <w:vAlign w:val="bottom"/>
          </w:tcPr>
          <w:p w14:paraId="4ED72E41" w14:textId="77777777" w:rsidR="00442AB3" w:rsidRPr="00B531B9" w:rsidRDefault="00442AB3" w:rsidP="00457B16">
            <w:pPr>
              <w:rPr>
                <w:sz w:val="24"/>
                <w:szCs w:val="24"/>
              </w:rPr>
            </w:pPr>
            <w:r w:rsidRPr="00B531B9">
              <w:rPr>
                <w:sz w:val="24"/>
                <w:szCs w:val="24"/>
              </w:rPr>
              <w:t>0.0500</w:t>
            </w:r>
          </w:p>
        </w:tc>
      </w:tr>
      <w:tr w:rsidR="00442AB3" w:rsidRPr="008467F7" w14:paraId="0DA6FDA6" w14:textId="77777777" w:rsidTr="00457B16">
        <w:trPr>
          <w:tblHeader/>
        </w:trPr>
        <w:tc>
          <w:tcPr>
            <w:tcW w:w="892" w:type="dxa"/>
            <w:tcBorders>
              <w:top w:val="single" w:sz="4" w:space="0" w:color="auto"/>
              <w:left w:val="single" w:sz="4" w:space="0" w:color="auto"/>
              <w:bottom w:val="single" w:sz="4" w:space="0" w:color="auto"/>
              <w:right w:val="single" w:sz="4" w:space="0" w:color="auto"/>
            </w:tcBorders>
          </w:tcPr>
          <w:p w14:paraId="65580DC6" w14:textId="77777777" w:rsidR="00442AB3" w:rsidRPr="00B531B9" w:rsidRDefault="00442AB3" w:rsidP="00457B16">
            <w:pPr>
              <w:rPr>
                <w:sz w:val="24"/>
                <w:szCs w:val="24"/>
              </w:rPr>
            </w:pPr>
            <w:r w:rsidRPr="00B531B9">
              <w:rPr>
                <w:sz w:val="24"/>
                <w:szCs w:val="24"/>
              </w:rPr>
              <w:t>3</w:t>
            </w:r>
          </w:p>
        </w:tc>
        <w:tc>
          <w:tcPr>
            <w:tcW w:w="2456" w:type="dxa"/>
            <w:tcBorders>
              <w:top w:val="single" w:sz="4" w:space="0" w:color="auto"/>
              <w:left w:val="single" w:sz="4" w:space="0" w:color="auto"/>
              <w:bottom w:val="single" w:sz="4" w:space="0" w:color="auto"/>
              <w:right w:val="single" w:sz="4" w:space="0" w:color="auto"/>
            </w:tcBorders>
          </w:tcPr>
          <w:p w14:paraId="7E1546B5" w14:textId="77777777" w:rsidR="00442AB3" w:rsidRPr="00B531B9" w:rsidRDefault="00442AB3" w:rsidP="00457B16">
            <w:pPr>
              <w:rPr>
                <w:sz w:val="24"/>
                <w:szCs w:val="24"/>
              </w:rPr>
            </w:pPr>
            <w:r w:rsidRPr="00B531B9">
              <w:rPr>
                <w:sz w:val="24"/>
                <w:szCs w:val="24"/>
              </w:rPr>
              <w:t>Global Montello</w:t>
            </w:r>
          </w:p>
        </w:tc>
        <w:tc>
          <w:tcPr>
            <w:tcW w:w="2179" w:type="dxa"/>
            <w:tcBorders>
              <w:top w:val="single" w:sz="4" w:space="0" w:color="auto"/>
              <w:left w:val="single" w:sz="4" w:space="0" w:color="auto"/>
              <w:bottom w:val="single" w:sz="4" w:space="0" w:color="auto"/>
              <w:right w:val="single" w:sz="4" w:space="0" w:color="auto"/>
            </w:tcBorders>
          </w:tcPr>
          <w:p w14:paraId="11468F88" w14:textId="77777777" w:rsidR="00442AB3" w:rsidRPr="00B531B9" w:rsidRDefault="00442AB3" w:rsidP="00457B16">
            <w:pPr>
              <w:rPr>
                <w:sz w:val="24"/>
                <w:szCs w:val="24"/>
              </w:rPr>
            </w:pPr>
            <w:r w:rsidRPr="00B531B9">
              <w:rPr>
                <w:sz w:val="24"/>
                <w:szCs w:val="24"/>
              </w:rPr>
              <w:t>0.01%, 10 Days</w:t>
            </w:r>
          </w:p>
        </w:tc>
        <w:tc>
          <w:tcPr>
            <w:tcW w:w="2143" w:type="dxa"/>
            <w:tcBorders>
              <w:top w:val="single" w:sz="4" w:space="0" w:color="auto"/>
              <w:left w:val="single" w:sz="4" w:space="0" w:color="auto"/>
              <w:bottom w:val="single" w:sz="4" w:space="0" w:color="auto"/>
              <w:right w:val="single" w:sz="4" w:space="0" w:color="auto"/>
            </w:tcBorders>
            <w:vAlign w:val="bottom"/>
          </w:tcPr>
          <w:p w14:paraId="5AFD1EF5" w14:textId="77777777" w:rsidR="00442AB3" w:rsidRPr="00B531B9" w:rsidRDefault="00442AB3" w:rsidP="00457B16">
            <w:pPr>
              <w:rPr>
                <w:sz w:val="24"/>
                <w:szCs w:val="24"/>
              </w:rPr>
            </w:pPr>
            <w:r w:rsidRPr="00B531B9">
              <w:rPr>
                <w:sz w:val="24"/>
                <w:szCs w:val="24"/>
              </w:rPr>
              <w:t>0.1409</w:t>
            </w:r>
          </w:p>
        </w:tc>
        <w:tc>
          <w:tcPr>
            <w:tcW w:w="1906" w:type="dxa"/>
            <w:tcBorders>
              <w:top w:val="single" w:sz="4" w:space="0" w:color="auto"/>
              <w:left w:val="single" w:sz="4" w:space="0" w:color="auto"/>
              <w:bottom w:val="single" w:sz="4" w:space="0" w:color="auto"/>
              <w:right w:val="single" w:sz="4" w:space="0" w:color="auto"/>
            </w:tcBorders>
            <w:vAlign w:val="bottom"/>
          </w:tcPr>
          <w:p w14:paraId="3B9992F1" w14:textId="77777777" w:rsidR="00442AB3" w:rsidRPr="00B531B9" w:rsidRDefault="00442AB3" w:rsidP="00457B16">
            <w:pPr>
              <w:rPr>
                <w:sz w:val="24"/>
                <w:szCs w:val="24"/>
              </w:rPr>
            </w:pPr>
            <w:r w:rsidRPr="00B531B9">
              <w:rPr>
                <w:sz w:val="24"/>
                <w:szCs w:val="24"/>
              </w:rPr>
              <w:t>0.0389</w:t>
            </w:r>
          </w:p>
        </w:tc>
      </w:tr>
      <w:tr w:rsidR="00442AB3" w:rsidRPr="008467F7" w14:paraId="1129E34B" w14:textId="77777777" w:rsidTr="00457B16">
        <w:trPr>
          <w:tblHeader/>
        </w:trPr>
        <w:tc>
          <w:tcPr>
            <w:tcW w:w="892" w:type="dxa"/>
            <w:tcBorders>
              <w:top w:val="single" w:sz="4" w:space="0" w:color="auto"/>
              <w:left w:val="single" w:sz="4" w:space="0" w:color="auto"/>
              <w:bottom w:val="single" w:sz="4" w:space="0" w:color="auto"/>
              <w:right w:val="single" w:sz="4" w:space="0" w:color="auto"/>
            </w:tcBorders>
          </w:tcPr>
          <w:p w14:paraId="5A5D7177" w14:textId="77777777" w:rsidR="00442AB3" w:rsidRPr="00B531B9" w:rsidRDefault="00442AB3" w:rsidP="00457B16">
            <w:pPr>
              <w:rPr>
                <w:sz w:val="24"/>
                <w:szCs w:val="24"/>
              </w:rPr>
            </w:pPr>
            <w:r w:rsidRPr="00B531B9">
              <w:rPr>
                <w:sz w:val="24"/>
                <w:szCs w:val="24"/>
              </w:rPr>
              <w:t>4</w:t>
            </w:r>
          </w:p>
        </w:tc>
        <w:tc>
          <w:tcPr>
            <w:tcW w:w="2456" w:type="dxa"/>
            <w:tcBorders>
              <w:top w:val="single" w:sz="4" w:space="0" w:color="auto"/>
              <w:left w:val="single" w:sz="4" w:space="0" w:color="auto"/>
              <w:bottom w:val="single" w:sz="4" w:space="0" w:color="auto"/>
              <w:right w:val="single" w:sz="4" w:space="0" w:color="auto"/>
            </w:tcBorders>
          </w:tcPr>
          <w:p w14:paraId="4DD6C9DB" w14:textId="77777777" w:rsidR="00442AB3" w:rsidRPr="00B531B9" w:rsidRDefault="00442AB3" w:rsidP="00457B16">
            <w:pPr>
              <w:rPr>
                <w:sz w:val="24"/>
                <w:szCs w:val="24"/>
              </w:rPr>
            </w:pPr>
            <w:r w:rsidRPr="00B531B9">
              <w:rPr>
                <w:sz w:val="24"/>
                <w:szCs w:val="24"/>
              </w:rPr>
              <w:t>Peterson's Oil</w:t>
            </w:r>
          </w:p>
        </w:tc>
        <w:tc>
          <w:tcPr>
            <w:tcW w:w="2179" w:type="dxa"/>
            <w:tcBorders>
              <w:top w:val="single" w:sz="4" w:space="0" w:color="auto"/>
              <w:left w:val="single" w:sz="4" w:space="0" w:color="auto"/>
              <w:bottom w:val="single" w:sz="4" w:space="0" w:color="auto"/>
              <w:right w:val="single" w:sz="4" w:space="0" w:color="auto"/>
            </w:tcBorders>
          </w:tcPr>
          <w:p w14:paraId="440AB86A" w14:textId="77777777" w:rsidR="00442AB3" w:rsidRPr="00B531B9" w:rsidRDefault="00442AB3" w:rsidP="00457B16">
            <w:pPr>
              <w:rPr>
                <w:sz w:val="24"/>
                <w:szCs w:val="24"/>
              </w:rPr>
            </w:pPr>
            <w:r w:rsidRPr="00B531B9">
              <w:rPr>
                <w:sz w:val="24"/>
                <w:szCs w:val="24"/>
              </w:rPr>
              <w:t>0.3%, 15 Days</w:t>
            </w:r>
          </w:p>
        </w:tc>
        <w:tc>
          <w:tcPr>
            <w:tcW w:w="2143" w:type="dxa"/>
            <w:tcBorders>
              <w:top w:val="single" w:sz="4" w:space="0" w:color="auto"/>
              <w:left w:val="single" w:sz="4" w:space="0" w:color="auto"/>
              <w:bottom w:val="single" w:sz="4" w:space="0" w:color="auto"/>
              <w:right w:val="single" w:sz="4" w:space="0" w:color="auto"/>
            </w:tcBorders>
            <w:vAlign w:val="bottom"/>
          </w:tcPr>
          <w:p w14:paraId="6A519CE3" w14:textId="77777777" w:rsidR="00442AB3" w:rsidRPr="00B531B9" w:rsidRDefault="00442AB3" w:rsidP="00457B16">
            <w:pPr>
              <w:rPr>
                <w:sz w:val="24"/>
                <w:szCs w:val="24"/>
              </w:rPr>
            </w:pPr>
            <w:r w:rsidRPr="00B531B9">
              <w:rPr>
                <w:sz w:val="24"/>
                <w:szCs w:val="24"/>
              </w:rPr>
              <w:t>0.3500</w:t>
            </w:r>
          </w:p>
        </w:tc>
        <w:tc>
          <w:tcPr>
            <w:tcW w:w="1906" w:type="dxa"/>
            <w:tcBorders>
              <w:top w:val="single" w:sz="4" w:space="0" w:color="auto"/>
              <w:left w:val="single" w:sz="4" w:space="0" w:color="auto"/>
              <w:bottom w:val="single" w:sz="4" w:space="0" w:color="auto"/>
              <w:right w:val="single" w:sz="4" w:space="0" w:color="auto"/>
            </w:tcBorders>
            <w:vAlign w:val="bottom"/>
          </w:tcPr>
          <w:p w14:paraId="57FC9D42" w14:textId="77777777" w:rsidR="00442AB3" w:rsidRPr="00B531B9" w:rsidRDefault="00442AB3" w:rsidP="00457B16">
            <w:pPr>
              <w:rPr>
                <w:sz w:val="24"/>
                <w:szCs w:val="24"/>
              </w:rPr>
            </w:pPr>
            <w:r w:rsidRPr="00B531B9">
              <w:rPr>
                <w:sz w:val="24"/>
                <w:szCs w:val="24"/>
              </w:rPr>
              <w:t>0.0500</w:t>
            </w:r>
          </w:p>
        </w:tc>
      </w:tr>
      <w:tr w:rsidR="00442AB3" w:rsidRPr="008467F7" w14:paraId="53D37D59" w14:textId="77777777" w:rsidTr="00457B16">
        <w:trPr>
          <w:tblHeader/>
        </w:trPr>
        <w:tc>
          <w:tcPr>
            <w:tcW w:w="892" w:type="dxa"/>
            <w:tcBorders>
              <w:top w:val="single" w:sz="4" w:space="0" w:color="auto"/>
              <w:left w:val="single" w:sz="4" w:space="0" w:color="auto"/>
              <w:bottom w:val="single" w:sz="4" w:space="0" w:color="auto"/>
              <w:right w:val="single" w:sz="4" w:space="0" w:color="auto"/>
            </w:tcBorders>
          </w:tcPr>
          <w:p w14:paraId="0F016075" w14:textId="77777777" w:rsidR="00442AB3" w:rsidRPr="00B531B9" w:rsidRDefault="00442AB3" w:rsidP="00457B16">
            <w:pPr>
              <w:rPr>
                <w:sz w:val="24"/>
                <w:szCs w:val="24"/>
              </w:rPr>
            </w:pPr>
            <w:r w:rsidRPr="00B531B9">
              <w:rPr>
                <w:sz w:val="24"/>
                <w:szCs w:val="24"/>
              </w:rPr>
              <w:t>5</w:t>
            </w:r>
          </w:p>
        </w:tc>
        <w:tc>
          <w:tcPr>
            <w:tcW w:w="2456" w:type="dxa"/>
            <w:tcBorders>
              <w:top w:val="single" w:sz="4" w:space="0" w:color="auto"/>
              <w:left w:val="single" w:sz="4" w:space="0" w:color="auto"/>
              <w:bottom w:val="single" w:sz="4" w:space="0" w:color="auto"/>
              <w:right w:val="single" w:sz="4" w:space="0" w:color="auto"/>
            </w:tcBorders>
          </w:tcPr>
          <w:p w14:paraId="42DE226C" w14:textId="77777777" w:rsidR="00442AB3" w:rsidRPr="00B531B9" w:rsidRDefault="00442AB3" w:rsidP="00457B16">
            <w:pPr>
              <w:rPr>
                <w:sz w:val="24"/>
                <w:szCs w:val="24"/>
              </w:rPr>
            </w:pPr>
            <w:r w:rsidRPr="00B531B9">
              <w:rPr>
                <w:sz w:val="24"/>
                <w:szCs w:val="24"/>
              </w:rPr>
              <w:t>Peterson's Oil</w:t>
            </w:r>
          </w:p>
        </w:tc>
        <w:tc>
          <w:tcPr>
            <w:tcW w:w="2179" w:type="dxa"/>
            <w:tcBorders>
              <w:top w:val="single" w:sz="4" w:space="0" w:color="auto"/>
              <w:left w:val="single" w:sz="4" w:space="0" w:color="auto"/>
              <w:bottom w:val="single" w:sz="4" w:space="0" w:color="auto"/>
              <w:right w:val="single" w:sz="4" w:space="0" w:color="auto"/>
            </w:tcBorders>
          </w:tcPr>
          <w:p w14:paraId="5EDB72BB" w14:textId="77777777" w:rsidR="00442AB3" w:rsidRPr="00B531B9" w:rsidRDefault="00442AB3" w:rsidP="00457B16">
            <w:pPr>
              <w:rPr>
                <w:sz w:val="24"/>
                <w:szCs w:val="24"/>
              </w:rPr>
            </w:pPr>
            <w:r w:rsidRPr="00B531B9">
              <w:rPr>
                <w:sz w:val="24"/>
                <w:szCs w:val="24"/>
              </w:rPr>
              <w:t>0.3%, 15 Days</w:t>
            </w:r>
          </w:p>
        </w:tc>
        <w:tc>
          <w:tcPr>
            <w:tcW w:w="2143" w:type="dxa"/>
            <w:tcBorders>
              <w:top w:val="single" w:sz="4" w:space="0" w:color="auto"/>
              <w:left w:val="single" w:sz="4" w:space="0" w:color="auto"/>
              <w:bottom w:val="single" w:sz="4" w:space="0" w:color="auto"/>
              <w:right w:val="single" w:sz="4" w:space="0" w:color="auto"/>
            </w:tcBorders>
            <w:vAlign w:val="bottom"/>
          </w:tcPr>
          <w:p w14:paraId="23CD668C" w14:textId="77777777" w:rsidR="00442AB3" w:rsidRPr="00B531B9" w:rsidRDefault="00442AB3" w:rsidP="00457B16">
            <w:pPr>
              <w:rPr>
                <w:sz w:val="24"/>
                <w:szCs w:val="24"/>
              </w:rPr>
            </w:pPr>
            <w:r w:rsidRPr="00B531B9">
              <w:rPr>
                <w:sz w:val="24"/>
                <w:szCs w:val="24"/>
              </w:rPr>
              <w:t>0.2500</w:t>
            </w:r>
          </w:p>
        </w:tc>
        <w:tc>
          <w:tcPr>
            <w:tcW w:w="1906" w:type="dxa"/>
            <w:tcBorders>
              <w:top w:val="single" w:sz="4" w:space="0" w:color="auto"/>
              <w:left w:val="single" w:sz="4" w:space="0" w:color="auto"/>
              <w:bottom w:val="single" w:sz="4" w:space="0" w:color="auto"/>
              <w:right w:val="single" w:sz="4" w:space="0" w:color="auto"/>
            </w:tcBorders>
            <w:vAlign w:val="bottom"/>
          </w:tcPr>
          <w:p w14:paraId="19E3D0F1" w14:textId="77777777" w:rsidR="00442AB3" w:rsidRPr="00B531B9" w:rsidRDefault="00442AB3" w:rsidP="00457B16">
            <w:pPr>
              <w:rPr>
                <w:sz w:val="24"/>
                <w:szCs w:val="24"/>
              </w:rPr>
            </w:pPr>
            <w:r w:rsidRPr="00B531B9">
              <w:rPr>
                <w:sz w:val="24"/>
                <w:szCs w:val="24"/>
              </w:rPr>
              <w:t>0.0500</w:t>
            </w:r>
          </w:p>
        </w:tc>
      </w:tr>
      <w:tr w:rsidR="00442AB3" w:rsidRPr="008467F7" w14:paraId="56E03C84" w14:textId="77777777" w:rsidTr="00457B16">
        <w:trPr>
          <w:tblHeader/>
        </w:trPr>
        <w:tc>
          <w:tcPr>
            <w:tcW w:w="892" w:type="dxa"/>
            <w:tcBorders>
              <w:top w:val="single" w:sz="4" w:space="0" w:color="auto"/>
              <w:left w:val="single" w:sz="4" w:space="0" w:color="auto"/>
              <w:bottom w:val="single" w:sz="4" w:space="0" w:color="auto"/>
              <w:right w:val="single" w:sz="4" w:space="0" w:color="auto"/>
            </w:tcBorders>
          </w:tcPr>
          <w:p w14:paraId="737CAA54" w14:textId="77777777" w:rsidR="00442AB3" w:rsidRPr="00B531B9" w:rsidRDefault="00442AB3" w:rsidP="00457B16">
            <w:pPr>
              <w:rPr>
                <w:sz w:val="24"/>
                <w:szCs w:val="24"/>
              </w:rPr>
            </w:pPr>
            <w:r w:rsidRPr="00B531B9">
              <w:rPr>
                <w:sz w:val="24"/>
                <w:szCs w:val="24"/>
              </w:rPr>
              <w:t>6</w:t>
            </w:r>
          </w:p>
        </w:tc>
        <w:tc>
          <w:tcPr>
            <w:tcW w:w="2456" w:type="dxa"/>
            <w:tcBorders>
              <w:top w:val="single" w:sz="4" w:space="0" w:color="auto"/>
              <w:left w:val="single" w:sz="4" w:space="0" w:color="auto"/>
              <w:bottom w:val="single" w:sz="4" w:space="0" w:color="auto"/>
              <w:right w:val="single" w:sz="4" w:space="0" w:color="auto"/>
            </w:tcBorders>
          </w:tcPr>
          <w:p w14:paraId="109F410B" w14:textId="77777777" w:rsidR="00442AB3" w:rsidRPr="00B531B9" w:rsidRDefault="00442AB3" w:rsidP="00457B16">
            <w:pPr>
              <w:rPr>
                <w:sz w:val="24"/>
                <w:szCs w:val="24"/>
              </w:rPr>
            </w:pPr>
            <w:r w:rsidRPr="00B531B9">
              <w:rPr>
                <w:sz w:val="24"/>
                <w:szCs w:val="24"/>
              </w:rPr>
              <w:t>Peterson's Oil</w:t>
            </w:r>
          </w:p>
        </w:tc>
        <w:tc>
          <w:tcPr>
            <w:tcW w:w="2179" w:type="dxa"/>
            <w:tcBorders>
              <w:top w:val="single" w:sz="4" w:space="0" w:color="auto"/>
              <w:left w:val="single" w:sz="4" w:space="0" w:color="auto"/>
              <w:bottom w:val="single" w:sz="4" w:space="0" w:color="auto"/>
              <w:right w:val="single" w:sz="4" w:space="0" w:color="auto"/>
            </w:tcBorders>
          </w:tcPr>
          <w:p w14:paraId="488F0575" w14:textId="77777777" w:rsidR="00442AB3" w:rsidRPr="00B531B9" w:rsidRDefault="00442AB3" w:rsidP="00457B16">
            <w:pPr>
              <w:rPr>
                <w:sz w:val="24"/>
                <w:szCs w:val="24"/>
              </w:rPr>
            </w:pPr>
            <w:r w:rsidRPr="00B531B9">
              <w:rPr>
                <w:sz w:val="24"/>
                <w:szCs w:val="24"/>
              </w:rPr>
              <w:t>0.3%, 15 Days</w:t>
            </w:r>
          </w:p>
        </w:tc>
        <w:tc>
          <w:tcPr>
            <w:tcW w:w="2143" w:type="dxa"/>
            <w:tcBorders>
              <w:top w:val="single" w:sz="4" w:space="0" w:color="auto"/>
              <w:left w:val="single" w:sz="4" w:space="0" w:color="auto"/>
              <w:bottom w:val="single" w:sz="4" w:space="0" w:color="auto"/>
              <w:right w:val="single" w:sz="4" w:space="0" w:color="auto"/>
            </w:tcBorders>
            <w:vAlign w:val="bottom"/>
          </w:tcPr>
          <w:p w14:paraId="31D137C4" w14:textId="77777777" w:rsidR="00442AB3" w:rsidRPr="00B531B9" w:rsidRDefault="00442AB3" w:rsidP="00457B16">
            <w:pPr>
              <w:rPr>
                <w:sz w:val="24"/>
                <w:szCs w:val="24"/>
              </w:rPr>
            </w:pPr>
            <w:r w:rsidRPr="00B531B9">
              <w:rPr>
                <w:sz w:val="24"/>
                <w:szCs w:val="24"/>
              </w:rPr>
              <w:t>0.2500</w:t>
            </w:r>
          </w:p>
        </w:tc>
        <w:tc>
          <w:tcPr>
            <w:tcW w:w="1906" w:type="dxa"/>
            <w:tcBorders>
              <w:top w:val="single" w:sz="4" w:space="0" w:color="auto"/>
              <w:left w:val="single" w:sz="4" w:space="0" w:color="auto"/>
              <w:bottom w:val="single" w:sz="4" w:space="0" w:color="auto"/>
              <w:right w:val="single" w:sz="4" w:space="0" w:color="auto"/>
            </w:tcBorders>
            <w:vAlign w:val="bottom"/>
          </w:tcPr>
          <w:p w14:paraId="42552103" w14:textId="77777777" w:rsidR="00442AB3" w:rsidRPr="00B531B9" w:rsidRDefault="00442AB3" w:rsidP="00457B16">
            <w:pPr>
              <w:rPr>
                <w:sz w:val="24"/>
                <w:szCs w:val="24"/>
              </w:rPr>
            </w:pPr>
            <w:r w:rsidRPr="00B531B9">
              <w:rPr>
                <w:sz w:val="24"/>
                <w:szCs w:val="24"/>
              </w:rPr>
              <w:t>0.0500</w:t>
            </w:r>
          </w:p>
        </w:tc>
      </w:tr>
      <w:tr w:rsidR="00442AB3" w:rsidRPr="008467F7" w14:paraId="6B87E53E" w14:textId="77777777" w:rsidTr="00457B16">
        <w:trPr>
          <w:tblHeader/>
        </w:trPr>
        <w:tc>
          <w:tcPr>
            <w:tcW w:w="892" w:type="dxa"/>
            <w:tcBorders>
              <w:top w:val="single" w:sz="4" w:space="0" w:color="auto"/>
              <w:left w:val="single" w:sz="4" w:space="0" w:color="auto"/>
              <w:bottom w:val="single" w:sz="4" w:space="0" w:color="auto"/>
              <w:right w:val="single" w:sz="4" w:space="0" w:color="auto"/>
            </w:tcBorders>
          </w:tcPr>
          <w:p w14:paraId="737E7847" w14:textId="77777777" w:rsidR="00442AB3" w:rsidRPr="00B531B9" w:rsidRDefault="00442AB3" w:rsidP="00457B16">
            <w:pPr>
              <w:rPr>
                <w:sz w:val="24"/>
                <w:szCs w:val="24"/>
              </w:rPr>
            </w:pPr>
            <w:r w:rsidRPr="00B531B9">
              <w:rPr>
                <w:sz w:val="24"/>
                <w:szCs w:val="24"/>
              </w:rPr>
              <w:t>7</w:t>
            </w:r>
          </w:p>
        </w:tc>
        <w:tc>
          <w:tcPr>
            <w:tcW w:w="2456" w:type="dxa"/>
            <w:tcBorders>
              <w:top w:val="single" w:sz="4" w:space="0" w:color="auto"/>
              <w:left w:val="single" w:sz="4" w:space="0" w:color="auto"/>
              <w:bottom w:val="single" w:sz="4" w:space="0" w:color="auto"/>
              <w:right w:val="single" w:sz="4" w:space="0" w:color="auto"/>
            </w:tcBorders>
          </w:tcPr>
          <w:p w14:paraId="55D94450" w14:textId="77777777" w:rsidR="00442AB3" w:rsidRPr="00B531B9" w:rsidRDefault="00442AB3" w:rsidP="00457B16">
            <w:pPr>
              <w:rPr>
                <w:sz w:val="24"/>
                <w:szCs w:val="24"/>
              </w:rPr>
            </w:pPr>
            <w:r w:rsidRPr="00B531B9">
              <w:rPr>
                <w:sz w:val="24"/>
                <w:szCs w:val="24"/>
              </w:rPr>
              <w:t>Global Montello</w:t>
            </w:r>
          </w:p>
        </w:tc>
        <w:tc>
          <w:tcPr>
            <w:tcW w:w="2179" w:type="dxa"/>
            <w:tcBorders>
              <w:top w:val="single" w:sz="4" w:space="0" w:color="auto"/>
              <w:left w:val="single" w:sz="4" w:space="0" w:color="auto"/>
              <w:bottom w:val="single" w:sz="4" w:space="0" w:color="auto"/>
              <w:right w:val="single" w:sz="4" w:space="0" w:color="auto"/>
            </w:tcBorders>
          </w:tcPr>
          <w:p w14:paraId="0B1E891B" w14:textId="77777777" w:rsidR="00442AB3" w:rsidRPr="00B531B9" w:rsidRDefault="00442AB3" w:rsidP="00457B16">
            <w:pPr>
              <w:rPr>
                <w:sz w:val="24"/>
                <w:szCs w:val="24"/>
              </w:rPr>
            </w:pPr>
            <w:r w:rsidRPr="00B531B9">
              <w:rPr>
                <w:sz w:val="24"/>
                <w:szCs w:val="24"/>
              </w:rPr>
              <w:t>0.01%, 10 Days</w:t>
            </w:r>
          </w:p>
        </w:tc>
        <w:tc>
          <w:tcPr>
            <w:tcW w:w="2143" w:type="dxa"/>
            <w:tcBorders>
              <w:top w:val="single" w:sz="4" w:space="0" w:color="auto"/>
              <w:left w:val="single" w:sz="4" w:space="0" w:color="auto"/>
              <w:bottom w:val="single" w:sz="4" w:space="0" w:color="auto"/>
              <w:right w:val="single" w:sz="4" w:space="0" w:color="auto"/>
            </w:tcBorders>
            <w:vAlign w:val="bottom"/>
          </w:tcPr>
          <w:p w14:paraId="2D7E94B2" w14:textId="77777777" w:rsidR="00442AB3" w:rsidRPr="00B531B9" w:rsidRDefault="00442AB3" w:rsidP="00457B16">
            <w:pPr>
              <w:rPr>
                <w:sz w:val="24"/>
                <w:szCs w:val="24"/>
              </w:rPr>
            </w:pPr>
            <w:r w:rsidRPr="00B531B9">
              <w:rPr>
                <w:sz w:val="24"/>
                <w:szCs w:val="24"/>
              </w:rPr>
              <w:t>0.2418</w:t>
            </w:r>
          </w:p>
        </w:tc>
        <w:tc>
          <w:tcPr>
            <w:tcW w:w="1906" w:type="dxa"/>
            <w:tcBorders>
              <w:top w:val="single" w:sz="4" w:space="0" w:color="auto"/>
              <w:left w:val="single" w:sz="4" w:space="0" w:color="auto"/>
              <w:bottom w:val="single" w:sz="4" w:space="0" w:color="auto"/>
              <w:right w:val="single" w:sz="4" w:space="0" w:color="auto"/>
            </w:tcBorders>
            <w:vAlign w:val="bottom"/>
          </w:tcPr>
          <w:p w14:paraId="6C1B39DE" w14:textId="77777777" w:rsidR="00442AB3" w:rsidRPr="00B531B9" w:rsidRDefault="00442AB3" w:rsidP="00457B16">
            <w:pPr>
              <w:rPr>
                <w:sz w:val="24"/>
                <w:szCs w:val="24"/>
              </w:rPr>
            </w:pPr>
            <w:r w:rsidRPr="00B531B9">
              <w:rPr>
                <w:sz w:val="24"/>
                <w:szCs w:val="24"/>
              </w:rPr>
              <w:t>0.1068</w:t>
            </w:r>
          </w:p>
        </w:tc>
      </w:tr>
      <w:tr w:rsidR="00442AB3" w:rsidRPr="008467F7" w14:paraId="7CB3FB6D" w14:textId="77777777" w:rsidTr="00457B16">
        <w:trPr>
          <w:trHeight w:val="256"/>
          <w:tblHeader/>
        </w:trPr>
        <w:tc>
          <w:tcPr>
            <w:tcW w:w="892" w:type="dxa"/>
            <w:tcBorders>
              <w:top w:val="single" w:sz="4" w:space="0" w:color="auto"/>
              <w:left w:val="single" w:sz="4" w:space="0" w:color="auto"/>
              <w:bottom w:val="single" w:sz="4" w:space="0" w:color="auto"/>
              <w:right w:val="single" w:sz="4" w:space="0" w:color="auto"/>
            </w:tcBorders>
          </w:tcPr>
          <w:p w14:paraId="5772756E" w14:textId="77777777" w:rsidR="00442AB3" w:rsidRPr="00B531B9" w:rsidRDefault="00442AB3" w:rsidP="00457B16">
            <w:pPr>
              <w:rPr>
                <w:sz w:val="24"/>
                <w:szCs w:val="24"/>
              </w:rPr>
            </w:pPr>
            <w:r w:rsidRPr="00B531B9">
              <w:rPr>
                <w:sz w:val="24"/>
                <w:szCs w:val="24"/>
              </w:rPr>
              <w:t>8</w:t>
            </w:r>
          </w:p>
        </w:tc>
        <w:tc>
          <w:tcPr>
            <w:tcW w:w="2456" w:type="dxa"/>
            <w:tcBorders>
              <w:top w:val="single" w:sz="4" w:space="0" w:color="auto"/>
              <w:left w:val="single" w:sz="4" w:space="0" w:color="auto"/>
              <w:bottom w:val="single" w:sz="4" w:space="0" w:color="auto"/>
              <w:right w:val="single" w:sz="4" w:space="0" w:color="auto"/>
            </w:tcBorders>
          </w:tcPr>
          <w:p w14:paraId="5D0FEB2E" w14:textId="77777777" w:rsidR="00442AB3" w:rsidRPr="00B531B9" w:rsidRDefault="00442AB3" w:rsidP="00457B16">
            <w:pPr>
              <w:rPr>
                <w:sz w:val="24"/>
                <w:szCs w:val="24"/>
              </w:rPr>
            </w:pPr>
            <w:r w:rsidRPr="00B531B9">
              <w:rPr>
                <w:sz w:val="24"/>
                <w:szCs w:val="24"/>
              </w:rPr>
              <w:t>Sprague Operating Resource</w:t>
            </w:r>
          </w:p>
        </w:tc>
        <w:tc>
          <w:tcPr>
            <w:tcW w:w="2179" w:type="dxa"/>
            <w:tcBorders>
              <w:top w:val="single" w:sz="4" w:space="0" w:color="auto"/>
              <w:left w:val="single" w:sz="4" w:space="0" w:color="auto"/>
              <w:bottom w:val="single" w:sz="4" w:space="0" w:color="auto"/>
              <w:right w:val="single" w:sz="4" w:space="0" w:color="auto"/>
            </w:tcBorders>
          </w:tcPr>
          <w:p w14:paraId="46BE24F8" w14:textId="77777777" w:rsidR="00442AB3" w:rsidRPr="00B531B9" w:rsidRDefault="00442AB3" w:rsidP="00457B16">
            <w:pPr>
              <w:rPr>
                <w:sz w:val="24"/>
                <w:szCs w:val="24"/>
              </w:rPr>
            </w:pPr>
            <w:r w:rsidRPr="00B531B9">
              <w:rPr>
                <w:sz w:val="24"/>
                <w:szCs w:val="24"/>
              </w:rPr>
              <w:t>1%, 10 Days</w:t>
            </w:r>
          </w:p>
        </w:tc>
        <w:tc>
          <w:tcPr>
            <w:tcW w:w="2143" w:type="dxa"/>
            <w:tcBorders>
              <w:top w:val="single" w:sz="4" w:space="0" w:color="auto"/>
              <w:left w:val="single" w:sz="4" w:space="0" w:color="auto"/>
              <w:bottom w:val="single" w:sz="4" w:space="0" w:color="auto"/>
              <w:right w:val="single" w:sz="4" w:space="0" w:color="auto"/>
            </w:tcBorders>
          </w:tcPr>
          <w:p w14:paraId="079D0F18" w14:textId="77777777" w:rsidR="00442AB3" w:rsidRPr="00B531B9" w:rsidRDefault="00442AB3" w:rsidP="00457B16">
            <w:pPr>
              <w:rPr>
                <w:sz w:val="24"/>
                <w:szCs w:val="24"/>
              </w:rPr>
            </w:pPr>
            <w:r w:rsidRPr="00B531B9">
              <w:rPr>
                <w:sz w:val="24"/>
                <w:szCs w:val="24"/>
              </w:rPr>
              <w:t>0.3993</w:t>
            </w:r>
          </w:p>
        </w:tc>
        <w:tc>
          <w:tcPr>
            <w:tcW w:w="1906" w:type="dxa"/>
            <w:tcBorders>
              <w:top w:val="single" w:sz="4" w:space="0" w:color="auto"/>
              <w:left w:val="single" w:sz="4" w:space="0" w:color="auto"/>
              <w:bottom w:val="single" w:sz="4" w:space="0" w:color="auto"/>
              <w:right w:val="single" w:sz="4" w:space="0" w:color="auto"/>
            </w:tcBorders>
          </w:tcPr>
          <w:p w14:paraId="2F58CCC2" w14:textId="77777777" w:rsidR="00442AB3" w:rsidRPr="00B531B9" w:rsidRDefault="00442AB3" w:rsidP="00457B16">
            <w:pPr>
              <w:rPr>
                <w:sz w:val="24"/>
                <w:szCs w:val="24"/>
              </w:rPr>
            </w:pPr>
            <w:r w:rsidRPr="00B531B9">
              <w:rPr>
                <w:sz w:val="24"/>
                <w:szCs w:val="24"/>
              </w:rPr>
              <w:t>0.2172</w:t>
            </w:r>
          </w:p>
        </w:tc>
      </w:tr>
    </w:tbl>
    <w:p w14:paraId="5B72BC6D" w14:textId="2F73B70E" w:rsidR="00442AB3" w:rsidRDefault="003A2D81" w:rsidP="003A2D81">
      <w:pPr>
        <w:tabs>
          <w:tab w:val="left" w:pos="6205"/>
        </w:tabs>
        <w:rPr>
          <w:b/>
        </w:rPr>
      </w:pPr>
      <w:r>
        <w:rPr>
          <w:b/>
        </w:rPr>
        <w:tab/>
      </w:r>
      <w:r w:rsidR="00442AB3">
        <w:rPr>
          <w:b/>
        </w:rPr>
        <w:br w:type="page"/>
      </w:r>
    </w:p>
    <w:p w14:paraId="5BB38A0C" w14:textId="3F7E56D2" w:rsidR="00442AB3" w:rsidRPr="0045006D" w:rsidRDefault="00442AB3" w:rsidP="00442AB3">
      <w:pPr>
        <w:rPr>
          <w:rFonts w:cstheme="minorHAnsi"/>
          <w:b/>
          <w:bCs/>
          <w:sz w:val="24"/>
          <w:szCs w:val="24"/>
        </w:rPr>
      </w:pPr>
      <w:r w:rsidRPr="0045006D">
        <w:rPr>
          <w:rFonts w:cstheme="minorHAnsi"/>
          <w:b/>
          <w:bCs/>
          <w:sz w:val="24"/>
          <w:szCs w:val="24"/>
        </w:rPr>
        <w:lastRenderedPageBreak/>
        <w:t>Category 2 Massachusetts APS-Eligible Liquid Biofuel, Minimum 10% Biofuel (Pricing Effective 10/01/2021)</w:t>
      </w:r>
      <w:r>
        <w:rPr>
          <w:rFonts w:cstheme="minorHAnsi"/>
          <w:b/>
          <w:bCs/>
          <w:sz w:val="24"/>
          <w:szCs w:val="24"/>
        </w:rPr>
        <w:t>:</w:t>
      </w:r>
      <w:r w:rsidR="001F3661">
        <w:rPr>
          <w:rStyle w:val="FootnoteReference"/>
          <w:rFonts w:cstheme="minorHAnsi"/>
          <w:b/>
          <w:bCs/>
          <w:sz w:val="24"/>
          <w:szCs w:val="24"/>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ategory 2 Massachusetts APS-Eligible Liquid Biofuel, Minimum 10% Biofuel (Pricing Effective 10/01/2021)"/>
        <w:tblDescription w:val="This table lists the zones, vendors, prompt payment discounts, less than truckload differential, and truckload differential for Category 2 Massachusetts APS-Eligible Liquid Biofuel."/>
      </w:tblPr>
      <w:tblGrid>
        <w:gridCol w:w="892"/>
        <w:gridCol w:w="2456"/>
        <w:gridCol w:w="2179"/>
        <w:gridCol w:w="2143"/>
        <w:gridCol w:w="1906"/>
      </w:tblGrid>
      <w:tr w:rsidR="00442AB3" w:rsidRPr="0045006D" w14:paraId="16A3744E" w14:textId="77777777" w:rsidTr="00457B16">
        <w:trPr>
          <w:tblHeader/>
        </w:trPr>
        <w:tc>
          <w:tcPr>
            <w:tcW w:w="892" w:type="dxa"/>
            <w:tcBorders>
              <w:top w:val="single" w:sz="4" w:space="0" w:color="auto"/>
              <w:left w:val="single" w:sz="4" w:space="0" w:color="auto"/>
              <w:bottom w:val="single" w:sz="4" w:space="0" w:color="auto"/>
              <w:right w:val="single" w:sz="4" w:space="0" w:color="auto"/>
            </w:tcBorders>
            <w:vAlign w:val="center"/>
          </w:tcPr>
          <w:p w14:paraId="11C3D025" w14:textId="77777777" w:rsidR="00442AB3" w:rsidRPr="0045006D" w:rsidRDefault="00442AB3" w:rsidP="00457B16">
            <w:pPr>
              <w:rPr>
                <w:rFonts w:cstheme="minorHAnsi"/>
                <w:b/>
                <w:sz w:val="24"/>
                <w:szCs w:val="24"/>
              </w:rPr>
            </w:pPr>
            <w:r w:rsidRPr="0045006D">
              <w:rPr>
                <w:rFonts w:cstheme="minorHAnsi"/>
                <w:b/>
                <w:sz w:val="24"/>
                <w:szCs w:val="24"/>
              </w:rPr>
              <w:t>Zone</w:t>
            </w:r>
          </w:p>
        </w:tc>
        <w:tc>
          <w:tcPr>
            <w:tcW w:w="2456" w:type="dxa"/>
            <w:tcBorders>
              <w:top w:val="single" w:sz="4" w:space="0" w:color="auto"/>
              <w:left w:val="single" w:sz="4" w:space="0" w:color="auto"/>
              <w:bottom w:val="single" w:sz="4" w:space="0" w:color="auto"/>
              <w:right w:val="single" w:sz="4" w:space="0" w:color="auto"/>
            </w:tcBorders>
            <w:vAlign w:val="center"/>
          </w:tcPr>
          <w:p w14:paraId="2014D07E" w14:textId="77777777" w:rsidR="00442AB3" w:rsidRPr="0045006D" w:rsidRDefault="00442AB3" w:rsidP="00457B16">
            <w:pPr>
              <w:rPr>
                <w:rFonts w:cstheme="minorHAnsi"/>
                <w:b/>
                <w:sz w:val="24"/>
                <w:szCs w:val="24"/>
              </w:rPr>
            </w:pPr>
            <w:r w:rsidRPr="0045006D">
              <w:rPr>
                <w:rFonts w:cstheme="minorHAnsi"/>
                <w:b/>
                <w:sz w:val="24"/>
                <w:szCs w:val="24"/>
              </w:rPr>
              <w:t>Vendor</w:t>
            </w:r>
          </w:p>
        </w:tc>
        <w:tc>
          <w:tcPr>
            <w:tcW w:w="2179" w:type="dxa"/>
            <w:tcBorders>
              <w:top w:val="single" w:sz="4" w:space="0" w:color="auto"/>
              <w:left w:val="single" w:sz="4" w:space="0" w:color="auto"/>
              <w:bottom w:val="single" w:sz="4" w:space="0" w:color="auto"/>
              <w:right w:val="single" w:sz="4" w:space="0" w:color="auto"/>
            </w:tcBorders>
            <w:vAlign w:val="center"/>
          </w:tcPr>
          <w:p w14:paraId="598F3C53" w14:textId="77777777" w:rsidR="00442AB3" w:rsidRPr="0045006D" w:rsidRDefault="00442AB3" w:rsidP="00457B16">
            <w:pPr>
              <w:rPr>
                <w:rFonts w:cstheme="minorHAnsi"/>
                <w:b/>
                <w:sz w:val="24"/>
                <w:szCs w:val="24"/>
              </w:rPr>
            </w:pPr>
            <w:r w:rsidRPr="0045006D">
              <w:rPr>
                <w:rFonts w:cstheme="minorHAnsi"/>
                <w:b/>
                <w:sz w:val="24"/>
                <w:szCs w:val="24"/>
              </w:rPr>
              <w:t>Prompt Pay</w:t>
            </w:r>
            <w:r>
              <w:rPr>
                <w:rFonts w:cstheme="minorHAnsi"/>
                <w:b/>
                <w:sz w:val="24"/>
                <w:szCs w:val="24"/>
              </w:rPr>
              <w:t>ment</w:t>
            </w:r>
            <w:r w:rsidRPr="0045006D">
              <w:rPr>
                <w:rFonts w:cstheme="minorHAnsi"/>
                <w:b/>
                <w:sz w:val="24"/>
                <w:szCs w:val="24"/>
              </w:rPr>
              <w:t xml:space="preserve"> Discount (PPD)</w:t>
            </w:r>
          </w:p>
        </w:tc>
        <w:tc>
          <w:tcPr>
            <w:tcW w:w="2143" w:type="dxa"/>
            <w:tcBorders>
              <w:top w:val="single" w:sz="4" w:space="0" w:color="auto"/>
              <w:left w:val="single" w:sz="4" w:space="0" w:color="auto"/>
              <w:bottom w:val="single" w:sz="4" w:space="0" w:color="auto"/>
              <w:right w:val="single" w:sz="4" w:space="0" w:color="auto"/>
            </w:tcBorders>
            <w:vAlign w:val="center"/>
          </w:tcPr>
          <w:p w14:paraId="670A3216" w14:textId="77777777" w:rsidR="00442AB3" w:rsidRPr="0045006D" w:rsidRDefault="00442AB3" w:rsidP="00457B16">
            <w:pPr>
              <w:rPr>
                <w:rFonts w:cstheme="minorHAnsi"/>
                <w:b/>
                <w:sz w:val="24"/>
                <w:szCs w:val="24"/>
              </w:rPr>
            </w:pPr>
            <w:r w:rsidRPr="00B531B9">
              <w:rPr>
                <w:b/>
                <w:sz w:val="24"/>
                <w:szCs w:val="24"/>
              </w:rPr>
              <w:t>Less Than Truckload Differential (LTL)</w:t>
            </w:r>
          </w:p>
        </w:tc>
        <w:tc>
          <w:tcPr>
            <w:tcW w:w="1906" w:type="dxa"/>
            <w:tcBorders>
              <w:top w:val="single" w:sz="4" w:space="0" w:color="auto"/>
              <w:left w:val="single" w:sz="4" w:space="0" w:color="auto"/>
              <w:bottom w:val="single" w:sz="4" w:space="0" w:color="auto"/>
              <w:right w:val="single" w:sz="4" w:space="0" w:color="auto"/>
            </w:tcBorders>
            <w:vAlign w:val="center"/>
          </w:tcPr>
          <w:p w14:paraId="0D307274" w14:textId="77777777" w:rsidR="00442AB3" w:rsidRPr="0045006D" w:rsidRDefault="00442AB3" w:rsidP="00457B16">
            <w:pPr>
              <w:rPr>
                <w:rFonts w:cstheme="minorHAnsi"/>
                <w:b/>
                <w:sz w:val="24"/>
                <w:szCs w:val="24"/>
              </w:rPr>
            </w:pPr>
            <w:r w:rsidRPr="00B531B9">
              <w:rPr>
                <w:b/>
                <w:sz w:val="24"/>
                <w:szCs w:val="24"/>
              </w:rPr>
              <w:t>Truckload Differential (TL)  (8,000+)</w:t>
            </w:r>
          </w:p>
        </w:tc>
      </w:tr>
      <w:tr w:rsidR="00442AB3" w:rsidRPr="0045006D" w14:paraId="5553875A" w14:textId="77777777" w:rsidTr="00457B16">
        <w:trPr>
          <w:tblHeader/>
        </w:trPr>
        <w:tc>
          <w:tcPr>
            <w:tcW w:w="892" w:type="dxa"/>
            <w:tcBorders>
              <w:top w:val="single" w:sz="4" w:space="0" w:color="auto"/>
              <w:left w:val="single" w:sz="4" w:space="0" w:color="auto"/>
              <w:bottom w:val="single" w:sz="4" w:space="0" w:color="auto"/>
              <w:right w:val="single" w:sz="4" w:space="0" w:color="auto"/>
            </w:tcBorders>
          </w:tcPr>
          <w:p w14:paraId="17B1959A" w14:textId="77777777" w:rsidR="00442AB3" w:rsidRPr="0045006D" w:rsidRDefault="00442AB3" w:rsidP="00457B16">
            <w:pPr>
              <w:rPr>
                <w:rFonts w:cstheme="minorHAnsi"/>
                <w:sz w:val="24"/>
                <w:szCs w:val="24"/>
              </w:rPr>
            </w:pPr>
            <w:r w:rsidRPr="0045006D">
              <w:rPr>
                <w:rFonts w:cstheme="minorHAnsi"/>
                <w:sz w:val="24"/>
                <w:szCs w:val="24"/>
              </w:rPr>
              <w:t>1</w:t>
            </w:r>
          </w:p>
        </w:tc>
        <w:tc>
          <w:tcPr>
            <w:tcW w:w="2456" w:type="dxa"/>
            <w:tcBorders>
              <w:top w:val="single" w:sz="4" w:space="0" w:color="auto"/>
              <w:left w:val="single" w:sz="4" w:space="0" w:color="auto"/>
              <w:bottom w:val="single" w:sz="4" w:space="0" w:color="auto"/>
              <w:right w:val="single" w:sz="4" w:space="0" w:color="auto"/>
            </w:tcBorders>
          </w:tcPr>
          <w:p w14:paraId="12C4F071" w14:textId="77777777" w:rsidR="00442AB3" w:rsidRPr="0045006D" w:rsidRDefault="00442AB3" w:rsidP="00457B16">
            <w:pPr>
              <w:rPr>
                <w:rFonts w:cstheme="minorHAnsi"/>
                <w:sz w:val="24"/>
                <w:szCs w:val="24"/>
              </w:rPr>
            </w:pPr>
            <w:r w:rsidRPr="0045006D">
              <w:rPr>
                <w:rFonts w:cstheme="minorHAnsi"/>
                <w:sz w:val="24"/>
                <w:szCs w:val="24"/>
              </w:rPr>
              <w:t>Broco Oil</w:t>
            </w:r>
          </w:p>
        </w:tc>
        <w:tc>
          <w:tcPr>
            <w:tcW w:w="2179" w:type="dxa"/>
            <w:tcBorders>
              <w:top w:val="single" w:sz="4" w:space="0" w:color="auto"/>
              <w:left w:val="single" w:sz="4" w:space="0" w:color="auto"/>
              <w:bottom w:val="single" w:sz="4" w:space="0" w:color="auto"/>
              <w:right w:val="single" w:sz="4" w:space="0" w:color="auto"/>
            </w:tcBorders>
          </w:tcPr>
          <w:p w14:paraId="2848DB12" w14:textId="77777777" w:rsidR="00442AB3" w:rsidRPr="0045006D" w:rsidRDefault="00442AB3" w:rsidP="00457B16">
            <w:pPr>
              <w:rPr>
                <w:rFonts w:cstheme="minorHAnsi"/>
                <w:sz w:val="24"/>
                <w:szCs w:val="24"/>
              </w:rPr>
            </w:pPr>
            <w:r w:rsidRPr="0045006D">
              <w:rPr>
                <w:rFonts w:cstheme="minorHAnsi"/>
                <w:sz w:val="24"/>
                <w:szCs w:val="24"/>
              </w:rPr>
              <w:t>0.01%</w:t>
            </w:r>
            <w:r>
              <w:rPr>
                <w:rFonts w:cstheme="minorHAnsi"/>
                <w:sz w:val="24"/>
                <w:szCs w:val="24"/>
              </w:rPr>
              <w:t>,</w:t>
            </w:r>
            <w:r w:rsidRPr="0045006D">
              <w:rPr>
                <w:rFonts w:cstheme="minorHAnsi"/>
                <w:sz w:val="24"/>
                <w:szCs w:val="24"/>
              </w:rPr>
              <w:t xml:space="preserve"> 10 Days</w:t>
            </w:r>
          </w:p>
        </w:tc>
        <w:tc>
          <w:tcPr>
            <w:tcW w:w="2143" w:type="dxa"/>
            <w:tcBorders>
              <w:top w:val="single" w:sz="4" w:space="0" w:color="auto"/>
              <w:left w:val="single" w:sz="4" w:space="0" w:color="auto"/>
              <w:bottom w:val="single" w:sz="4" w:space="0" w:color="auto"/>
              <w:right w:val="single" w:sz="4" w:space="0" w:color="auto"/>
            </w:tcBorders>
          </w:tcPr>
          <w:p w14:paraId="0E0907FA" w14:textId="77777777" w:rsidR="00442AB3" w:rsidRPr="0045006D" w:rsidRDefault="00442AB3" w:rsidP="00457B16">
            <w:pPr>
              <w:rPr>
                <w:rFonts w:cstheme="minorHAnsi"/>
                <w:sz w:val="24"/>
                <w:szCs w:val="24"/>
              </w:rPr>
            </w:pPr>
            <w:r w:rsidRPr="0045006D">
              <w:rPr>
                <w:rFonts w:cstheme="minorHAnsi"/>
                <w:sz w:val="24"/>
                <w:szCs w:val="24"/>
              </w:rPr>
              <w:t>0.2700</w:t>
            </w:r>
          </w:p>
        </w:tc>
        <w:tc>
          <w:tcPr>
            <w:tcW w:w="1906" w:type="dxa"/>
            <w:tcBorders>
              <w:top w:val="single" w:sz="4" w:space="0" w:color="auto"/>
              <w:left w:val="single" w:sz="4" w:space="0" w:color="auto"/>
              <w:bottom w:val="single" w:sz="4" w:space="0" w:color="auto"/>
              <w:right w:val="single" w:sz="4" w:space="0" w:color="auto"/>
            </w:tcBorders>
          </w:tcPr>
          <w:p w14:paraId="0B83AB69" w14:textId="77777777" w:rsidR="00442AB3" w:rsidRPr="0045006D" w:rsidRDefault="00442AB3" w:rsidP="00457B16">
            <w:pPr>
              <w:rPr>
                <w:rFonts w:cstheme="minorHAnsi"/>
                <w:sz w:val="24"/>
                <w:szCs w:val="24"/>
              </w:rPr>
            </w:pPr>
            <w:r w:rsidRPr="0045006D">
              <w:rPr>
                <w:rFonts w:cstheme="minorHAnsi"/>
                <w:sz w:val="24"/>
                <w:szCs w:val="24"/>
              </w:rPr>
              <w:t>0.1200</w:t>
            </w:r>
          </w:p>
        </w:tc>
      </w:tr>
      <w:tr w:rsidR="00442AB3" w:rsidRPr="0045006D" w14:paraId="76B0A035" w14:textId="77777777" w:rsidTr="00457B16">
        <w:trPr>
          <w:tblHeader/>
        </w:trPr>
        <w:tc>
          <w:tcPr>
            <w:tcW w:w="892" w:type="dxa"/>
            <w:tcBorders>
              <w:top w:val="single" w:sz="4" w:space="0" w:color="auto"/>
              <w:left w:val="single" w:sz="4" w:space="0" w:color="auto"/>
              <w:bottom w:val="single" w:sz="4" w:space="0" w:color="auto"/>
              <w:right w:val="single" w:sz="4" w:space="0" w:color="auto"/>
            </w:tcBorders>
          </w:tcPr>
          <w:p w14:paraId="007C67FB" w14:textId="77777777" w:rsidR="00442AB3" w:rsidRPr="0045006D" w:rsidRDefault="00442AB3" w:rsidP="00457B16">
            <w:pPr>
              <w:rPr>
                <w:rFonts w:cstheme="minorHAnsi"/>
                <w:sz w:val="24"/>
                <w:szCs w:val="24"/>
              </w:rPr>
            </w:pPr>
            <w:r w:rsidRPr="0045006D">
              <w:rPr>
                <w:rFonts w:cstheme="minorHAnsi"/>
                <w:sz w:val="24"/>
                <w:szCs w:val="24"/>
              </w:rPr>
              <w:t>2</w:t>
            </w:r>
          </w:p>
        </w:tc>
        <w:tc>
          <w:tcPr>
            <w:tcW w:w="2456" w:type="dxa"/>
            <w:tcBorders>
              <w:top w:val="single" w:sz="4" w:space="0" w:color="auto"/>
              <w:left w:val="single" w:sz="4" w:space="0" w:color="auto"/>
              <w:bottom w:val="single" w:sz="4" w:space="0" w:color="auto"/>
              <w:right w:val="single" w:sz="4" w:space="0" w:color="auto"/>
            </w:tcBorders>
          </w:tcPr>
          <w:p w14:paraId="3FADCB52" w14:textId="77777777" w:rsidR="00442AB3" w:rsidRPr="0045006D" w:rsidRDefault="00442AB3" w:rsidP="00457B16">
            <w:pPr>
              <w:rPr>
                <w:rFonts w:cstheme="minorHAnsi"/>
                <w:sz w:val="24"/>
                <w:szCs w:val="24"/>
              </w:rPr>
            </w:pPr>
            <w:r w:rsidRPr="0045006D">
              <w:rPr>
                <w:rFonts w:cstheme="minorHAnsi"/>
                <w:sz w:val="24"/>
                <w:szCs w:val="24"/>
              </w:rPr>
              <w:t>Broco Oil</w:t>
            </w:r>
          </w:p>
        </w:tc>
        <w:tc>
          <w:tcPr>
            <w:tcW w:w="2179" w:type="dxa"/>
            <w:tcBorders>
              <w:top w:val="single" w:sz="4" w:space="0" w:color="auto"/>
              <w:left w:val="single" w:sz="4" w:space="0" w:color="auto"/>
              <w:bottom w:val="single" w:sz="4" w:space="0" w:color="auto"/>
              <w:right w:val="single" w:sz="4" w:space="0" w:color="auto"/>
            </w:tcBorders>
          </w:tcPr>
          <w:p w14:paraId="095DD90B" w14:textId="77777777" w:rsidR="00442AB3" w:rsidRPr="0045006D" w:rsidRDefault="00442AB3" w:rsidP="00457B16">
            <w:pPr>
              <w:rPr>
                <w:rFonts w:cstheme="minorHAnsi"/>
                <w:sz w:val="24"/>
                <w:szCs w:val="24"/>
              </w:rPr>
            </w:pPr>
            <w:r w:rsidRPr="0045006D">
              <w:rPr>
                <w:rFonts w:cstheme="minorHAnsi"/>
                <w:sz w:val="24"/>
                <w:szCs w:val="24"/>
              </w:rPr>
              <w:t>0.01%</w:t>
            </w:r>
            <w:r>
              <w:rPr>
                <w:rFonts w:cstheme="minorHAnsi"/>
                <w:sz w:val="24"/>
                <w:szCs w:val="24"/>
              </w:rPr>
              <w:t>,</w:t>
            </w:r>
            <w:r w:rsidRPr="0045006D">
              <w:rPr>
                <w:rFonts w:cstheme="minorHAnsi"/>
                <w:sz w:val="24"/>
                <w:szCs w:val="24"/>
              </w:rPr>
              <w:t xml:space="preserve"> 10 Days</w:t>
            </w:r>
          </w:p>
        </w:tc>
        <w:tc>
          <w:tcPr>
            <w:tcW w:w="2143" w:type="dxa"/>
            <w:tcBorders>
              <w:top w:val="single" w:sz="4" w:space="0" w:color="auto"/>
              <w:left w:val="single" w:sz="4" w:space="0" w:color="auto"/>
              <w:bottom w:val="single" w:sz="4" w:space="0" w:color="auto"/>
              <w:right w:val="single" w:sz="4" w:space="0" w:color="auto"/>
            </w:tcBorders>
          </w:tcPr>
          <w:p w14:paraId="705C282D" w14:textId="77777777" w:rsidR="00442AB3" w:rsidRPr="0045006D" w:rsidRDefault="00442AB3" w:rsidP="00457B16">
            <w:pPr>
              <w:rPr>
                <w:rFonts w:cstheme="minorHAnsi"/>
                <w:sz w:val="24"/>
                <w:szCs w:val="24"/>
              </w:rPr>
            </w:pPr>
            <w:r w:rsidRPr="0045006D">
              <w:rPr>
                <w:rFonts w:cstheme="minorHAnsi"/>
                <w:sz w:val="24"/>
                <w:szCs w:val="24"/>
              </w:rPr>
              <w:t>0.3100</w:t>
            </w:r>
          </w:p>
        </w:tc>
        <w:tc>
          <w:tcPr>
            <w:tcW w:w="1906" w:type="dxa"/>
            <w:tcBorders>
              <w:top w:val="single" w:sz="4" w:space="0" w:color="auto"/>
              <w:left w:val="single" w:sz="4" w:space="0" w:color="auto"/>
              <w:bottom w:val="single" w:sz="4" w:space="0" w:color="auto"/>
              <w:right w:val="single" w:sz="4" w:space="0" w:color="auto"/>
            </w:tcBorders>
          </w:tcPr>
          <w:p w14:paraId="1A7E347F" w14:textId="77777777" w:rsidR="00442AB3" w:rsidRPr="0045006D" w:rsidRDefault="00442AB3" w:rsidP="00457B16">
            <w:pPr>
              <w:rPr>
                <w:rFonts w:cstheme="minorHAnsi"/>
                <w:sz w:val="24"/>
                <w:szCs w:val="24"/>
              </w:rPr>
            </w:pPr>
            <w:r w:rsidRPr="0045006D">
              <w:rPr>
                <w:rFonts w:cstheme="minorHAnsi"/>
                <w:sz w:val="24"/>
                <w:szCs w:val="24"/>
              </w:rPr>
              <w:t>0.1400</w:t>
            </w:r>
          </w:p>
        </w:tc>
      </w:tr>
      <w:tr w:rsidR="00442AB3" w:rsidRPr="0045006D" w14:paraId="36872EC1" w14:textId="77777777" w:rsidTr="00457B16">
        <w:trPr>
          <w:tblHeader/>
        </w:trPr>
        <w:tc>
          <w:tcPr>
            <w:tcW w:w="892" w:type="dxa"/>
            <w:tcBorders>
              <w:top w:val="single" w:sz="4" w:space="0" w:color="auto"/>
              <w:left w:val="single" w:sz="4" w:space="0" w:color="auto"/>
              <w:bottom w:val="single" w:sz="4" w:space="0" w:color="auto"/>
              <w:right w:val="single" w:sz="4" w:space="0" w:color="auto"/>
            </w:tcBorders>
          </w:tcPr>
          <w:p w14:paraId="70FF1AAB" w14:textId="77777777" w:rsidR="00442AB3" w:rsidRPr="0045006D" w:rsidRDefault="00442AB3" w:rsidP="00457B16">
            <w:pPr>
              <w:rPr>
                <w:rFonts w:cstheme="minorHAnsi"/>
                <w:sz w:val="24"/>
                <w:szCs w:val="24"/>
              </w:rPr>
            </w:pPr>
            <w:r w:rsidRPr="0045006D">
              <w:rPr>
                <w:rFonts w:cstheme="minorHAnsi"/>
                <w:sz w:val="24"/>
                <w:szCs w:val="24"/>
              </w:rPr>
              <w:t>3</w:t>
            </w:r>
          </w:p>
        </w:tc>
        <w:tc>
          <w:tcPr>
            <w:tcW w:w="2456" w:type="dxa"/>
            <w:tcBorders>
              <w:top w:val="single" w:sz="4" w:space="0" w:color="auto"/>
              <w:left w:val="single" w:sz="4" w:space="0" w:color="auto"/>
              <w:bottom w:val="single" w:sz="4" w:space="0" w:color="auto"/>
              <w:right w:val="single" w:sz="4" w:space="0" w:color="auto"/>
            </w:tcBorders>
          </w:tcPr>
          <w:p w14:paraId="05AF176C" w14:textId="77777777" w:rsidR="00442AB3" w:rsidRPr="0045006D" w:rsidRDefault="00442AB3" w:rsidP="00457B16">
            <w:pPr>
              <w:rPr>
                <w:rFonts w:cstheme="minorHAnsi"/>
                <w:sz w:val="24"/>
                <w:szCs w:val="24"/>
              </w:rPr>
            </w:pPr>
            <w:r w:rsidRPr="0045006D">
              <w:rPr>
                <w:rFonts w:cstheme="minorHAnsi"/>
                <w:sz w:val="24"/>
                <w:szCs w:val="24"/>
              </w:rPr>
              <w:t>Peterson's Oil</w:t>
            </w:r>
          </w:p>
        </w:tc>
        <w:tc>
          <w:tcPr>
            <w:tcW w:w="2179" w:type="dxa"/>
            <w:tcBorders>
              <w:top w:val="single" w:sz="4" w:space="0" w:color="auto"/>
              <w:left w:val="single" w:sz="4" w:space="0" w:color="auto"/>
              <w:bottom w:val="single" w:sz="4" w:space="0" w:color="auto"/>
              <w:right w:val="single" w:sz="4" w:space="0" w:color="auto"/>
            </w:tcBorders>
          </w:tcPr>
          <w:p w14:paraId="2922431B" w14:textId="77777777" w:rsidR="00442AB3" w:rsidRPr="0045006D" w:rsidRDefault="00442AB3" w:rsidP="00457B16">
            <w:pPr>
              <w:rPr>
                <w:rFonts w:cstheme="minorHAnsi"/>
                <w:sz w:val="24"/>
                <w:szCs w:val="24"/>
              </w:rPr>
            </w:pPr>
            <w:r w:rsidRPr="0045006D">
              <w:rPr>
                <w:rFonts w:cstheme="minorHAnsi"/>
                <w:sz w:val="24"/>
                <w:szCs w:val="24"/>
              </w:rPr>
              <w:t>0.3%</w:t>
            </w:r>
            <w:r>
              <w:rPr>
                <w:rFonts w:cstheme="minorHAnsi"/>
                <w:sz w:val="24"/>
                <w:szCs w:val="24"/>
              </w:rPr>
              <w:t>,</w:t>
            </w:r>
            <w:r w:rsidRPr="0045006D">
              <w:rPr>
                <w:rFonts w:cstheme="minorHAnsi"/>
                <w:sz w:val="24"/>
                <w:szCs w:val="24"/>
              </w:rPr>
              <w:t xml:space="preserve"> 15 Days</w:t>
            </w:r>
          </w:p>
        </w:tc>
        <w:tc>
          <w:tcPr>
            <w:tcW w:w="2143" w:type="dxa"/>
            <w:tcBorders>
              <w:top w:val="single" w:sz="4" w:space="0" w:color="auto"/>
              <w:left w:val="single" w:sz="4" w:space="0" w:color="auto"/>
              <w:bottom w:val="single" w:sz="4" w:space="0" w:color="auto"/>
              <w:right w:val="single" w:sz="4" w:space="0" w:color="auto"/>
            </w:tcBorders>
            <w:vAlign w:val="bottom"/>
          </w:tcPr>
          <w:p w14:paraId="2275377B" w14:textId="77777777" w:rsidR="00442AB3" w:rsidRPr="0045006D" w:rsidRDefault="00442AB3" w:rsidP="00457B16">
            <w:pPr>
              <w:rPr>
                <w:rFonts w:cstheme="minorHAnsi"/>
                <w:sz w:val="24"/>
                <w:szCs w:val="24"/>
              </w:rPr>
            </w:pPr>
            <w:r w:rsidRPr="0045006D">
              <w:rPr>
                <w:rFonts w:cstheme="minorHAnsi"/>
                <w:sz w:val="24"/>
                <w:szCs w:val="24"/>
              </w:rPr>
              <w:t>0.2600</w:t>
            </w:r>
          </w:p>
        </w:tc>
        <w:tc>
          <w:tcPr>
            <w:tcW w:w="1906" w:type="dxa"/>
            <w:tcBorders>
              <w:top w:val="single" w:sz="4" w:space="0" w:color="auto"/>
              <w:left w:val="single" w:sz="4" w:space="0" w:color="auto"/>
              <w:bottom w:val="single" w:sz="4" w:space="0" w:color="auto"/>
              <w:right w:val="single" w:sz="4" w:space="0" w:color="auto"/>
            </w:tcBorders>
            <w:vAlign w:val="bottom"/>
          </w:tcPr>
          <w:p w14:paraId="05DE26E7" w14:textId="77777777" w:rsidR="00442AB3" w:rsidRPr="0045006D" w:rsidRDefault="00442AB3" w:rsidP="00457B16">
            <w:pPr>
              <w:rPr>
                <w:rFonts w:cstheme="minorHAnsi"/>
                <w:sz w:val="24"/>
                <w:szCs w:val="24"/>
              </w:rPr>
            </w:pPr>
            <w:r w:rsidRPr="0045006D">
              <w:rPr>
                <w:rFonts w:cstheme="minorHAnsi"/>
                <w:sz w:val="24"/>
                <w:szCs w:val="24"/>
              </w:rPr>
              <w:t>0.1200</w:t>
            </w:r>
          </w:p>
        </w:tc>
      </w:tr>
      <w:tr w:rsidR="00442AB3" w:rsidRPr="0045006D" w14:paraId="2A36A92E" w14:textId="77777777" w:rsidTr="00457B16">
        <w:trPr>
          <w:tblHeader/>
        </w:trPr>
        <w:tc>
          <w:tcPr>
            <w:tcW w:w="892" w:type="dxa"/>
            <w:tcBorders>
              <w:top w:val="single" w:sz="4" w:space="0" w:color="auto"/>
              <w:left w:val="single" w:sz="4" w:space="0" w:color="auto"/>
              <w:bottom w:val="single" w:sz="4" w:space="0" w:color="auto"/>
              <w:right w:val="single" w:sz="4" w:space="0" w:color="auto"/>
            </w:tcBorders>
          </w:tcPr>
          <w:p w14:paraId="7B197CD9" w14:textId="77777777" w:rsidR="00442AB3" w:rsidRPr="0045006D" w:rsidRDefault="00442AB3" w:rsidP="00457B16">
            <w:pPr>
              <w:rPr>
                <w:rFonts w:cstheme="minorHAnsi"/>
                <w:sz w:val="24"/>
                <w:szCs w:val="24"/>
              </w:rPr>
            </w:pPr>
            <w:r w:rsidRPr="0045006D">
              <w:rPr>
                <w:rFonts w:cstheme="minorHAnsi"/>
                <w:sz w:val="24"/>
                <w:szCs w:val="24"/>
              </w:rPr>
              <w:t>4</w:t>
            </w:r>
          </w:p>
        </w:tc>
        <w:tc>
          <w:tcPr>
            <w:tcW w:w="2456" w:type="dxa"/>
            <w:tcBorders>
              <w:top w:val="single" w:sz="4" w:space="0" w:color="auto"/>
              <w:left w:val="single" w:sz="4" w:space="0" w:color="auto"/>
              <w:bottom w:val="single" w:sz="4" w:space="0" w:color="auto"/>
              <w:right w:val="single" w:sz="4" w:space="0" w:color="auto"/>
            </w:tcBorders>
          </w:tcPr>
          <w:p w14:paraId="1BD78FC3" w14:textId="77777777" w:rsidR="00442AB3" w:rsidRPr="0045006D" w:rsidRDefault="00442AB3" w:rsidP="00457B16">
            <w:pPr>
              <w:rPr>
                <w:rFonts w:cstheme="minorHAnsi"/>
                <w:sz w:val="24"/>
                <w:szCs w:val="24"/>
              </w:rPr>
            </w:pPr>
            <w:r w:rsidRPr="0045006D">
              <w:rPr>
                <w:rFonts w:cstheme="minorHAnsi"/>
                <w:sz w:val="24"/>
                <w:szCs w:val="24"/>
              </w:rPr>
              <w:t>Peterson's Oil</w:t>
            </w:r>
          </w:p>
        </w:tc>
        <w:tc>
          <w:tcPr>
            <w:tcW w:w="2179" w:type="dxa"/>
            <w:tcBorders>
              <w:top w:val="single" w:sz="4" w:space="0" w:color="auto"/>
              <w:left w:val="single" w:sz="4" w:space="0" w:color="auto"/>
              <w:bottom w:val="single" w:sz="4" w:space="0" w:color="auto"/>
              <w:right w:val="single" w:sz="4" w:space="0" w:color="auto"/>
            </w:tcBorders>
          </w:tcPr>
          <w:p w14:paraId="37B2FA4A" w14:textId="77777777" w:rsidR="00442AB3" w:rsidRPr="0045006D" w:rsidRDefault="00442AB3" w:rsidP="00457B16">
            <w:pPr>
              <w:rPr>
                <w:rFonts w:cstheme="minorHAnsi"/>
                <w:sz w:val="24"/>
                <w:szCs w:val="24"/>
              </w:rPr>
            </w:pPr>
            <w:r w:rsidRPr="0045006D">
              <w:rPr>
                <w:rFonts w:cstheme="minorHAnsi"/>
                <w:sz w:val="24"/>
                <w:szCs w:val="24"/>
              </w:rPr>
              <w:t>0.3%</w:t>
            </w:r>
            <w:r>
              <w:rPr>
                <w:rFonts w:cstheme="minorHAnsi"/>
                <w:sz w:val="24"/>
                <w:szCs w:val="24"/>
              </w:rPr>
              <w:t>,</w:t>
            </w:r>
            <w:r w:rsidRPr="0045006D">
              <w:rPr>
                <w:rFonts w:cstheme="minorHAnsi"/>
                <w:sz w:val="24"/>
                <w:szCs w:val="24"/>
              </w:rPr>
              <w:t xml:space="preserve"> 15 Days</w:t>
            </w:r>
          </w:p>
        </w:tc>
        <w:tc>
          <w:tcPr>
            <w:tcW w:w="2143" w:type="dxa"/>
            <w:tcBorders>
              <w:top w:val="single" w:sz="4" w:space="0" w:color="auto"/>
              <w:left w:val="single" w:sz="4" w:space="0" w:color="auto"/>
              <w:bottom w:val="single" w:sz="4" w:space="0" w:color="auto"/>
              <w:right w:val="single" w:sz="4" w:space="0" w:color="auto"/>
            </w:tcBorders>
          </w:tcPr>
          <w:p w14:paraId="6838C98A" w14:textId="77777777" w:rsidR="00442AB3" w:rsidRPr="0045006D" w:rsidRDefault="00442AB3" w:rsidP="00457B16">
            <w:pPr>
              <w:rPr>
                <w:rFonts w:cstheme="minorHAnsi"/>
                <w:sz w:val="24"/>
                <w:szCs w:val="24"/>
              </w:rPr>
            </w:pPr>
            <w:r w:rsidRPr="0045006D">
              <w:rPr>
                <w:rFonts w:cstheme="minorHAnsi"/>
                <w:sz w:val="24"/>
                <w:szCs w:val="24"/>
              </w:rPr>
              <w:t>0.4900</w:t>
            </w:r>
          </w:p>
        </w:tc>
        <w:tc>
          <w:tcPr>
            <w:tcW w:w="1906" w:type="dxa"/>
            <w:tcBorders>
              <w:top w:val="single" w:sz="4" w:space="0" w:color="auto"/>
              <w:left w:val="single" w:sz="4" w:space="0" w:color="auto"/>
              <w:bottom w:val="single" w:sz="4" w:space="0" w:color="auto"/>
              <w:right w:val="single" w:sz="4" w:space="0" w:color="auto"/>
            </w:tcBorders>
          </w:tcPr>
          <w:p w14:paraId="6598991C" w14:textId="77777777" w:rsidR="00442AB3" w:rsidRPr="0045006D" w:rsidRDefault="00442AB3" w:rsidP="00457B16">
            <w:pPr>
              <w:rPr>
                <w:rFonts w:cstheme="minorHAnsi"/>
                <w:sz w:val="24"/>
                <w:szCs w:val="24"/>
              </w:rPr>
            </w:pPr>
            <w:r w:rsidRPr="0045006D">
              <w:rPr>
                <w:rFonts w:cstheme="minorHAnsi"/>
                <w:sz w:val="24"/>
                <w:szCs w:val="24"/>
              </w:rPr>
              <w:t>0.3500</w:t>
            </w:r>
          </w:p>
        </w:tc>
      </w:tr>
      <w:tr w:rsidR="00442AB3" w:rsidRPr="0045006D" w14:paraId="0EA66C45" w14:textId="77777777" w:rsidTr="00457B16">
        <w:trPr>
          <w:tblHeader/>
        </w:trPr>
        <w:tc>
          <w:tcPr>
            <w:tcW w:w="892" w:type="dxa"/>
            <w:tcBorders>
              <w:top w:val="single" w:sz="4" w:space="0" w:color="auto"/>
              <w:left w:val="single" w:sz="4" w:space="0" w:color="auto"/>
              <w:bottom w:val="single" w:sz="4" w:space="0" w:color="auto"/>
              <w:right w:val="single" w:sz="4" w:space="0" w:color="auto"/>
            </w:tcBorders>
          </w:tcPr>
          <w:p w14:paraId="0E0513AB" w14:textId="77777777" w:rsidR="00442AB3" w:rsidRPr="0045006D" w:rsidRDefault="00442AB3" w:rsidP="00457B16">
            <w:pPr>
              <w:rPr>
                <w:rFonts w:cstheme="minorHAnsi"/>
                <w:sz w:val="24"/>
                <w:szCs w:val="24"/>
              </w:rPr>
            </w:pPr>
            <w:r w:rsidRPr="0045006D">
              <w:rPr>
                <w:rFonts w:cstheme="minorHAnsi"/>
                <w:sz w:val="24"/>
                <w:szCs w:val="24"/>
              </w:rPr>
              <w:t>5</w:t>
            </w:r>
          </w:p>
        </w:tc>
        <w:tc>
          <w:tcPr>
            <w:tcW w:w="2456" w:type="dxa"/>
            <w:tcBorders>
              <w:top w:val="single" w:sz="4" w:space="0" w:color="auto"/>
              <w:left w:val="single" w:sz="4" w:space="0" w:color="auto"/>
              <w:bottom w:val="single" w:sz="4" w:space="0" w:color="auto"/>
              <w:right w:val="single" w:sz="4" w:space="0" w:color="auto"/>
            </w:tcBorders>
          </w:tcPr>
          <w:p w14:paraId="73D0454F" w14:textId="77777777" w:rsidR="00442AB3" w:rsidRPr="0045006D" w:rsidRDefault="00442AB3" w:rsidP="00457B16">
            <w:pPr>
              <w:rPr>
                <w:rFonts w:cstheme="minorHAnsi"/>
                <w:sz w:val="24"/>
                <w:szCs w:val="24"/>
              </w:rPr>
            </w:pPr>
            <w:r w:rsidRPr="0045006D">
              <w:rPr>
                <w:rFonts w:cstheme="minorHAnsi"/>
                <w:sz w:val="24"/>
                <w:szCs w:val="24"/>
              </w:rPr>
              <w:t>Peterson's Oil</w:t>
            </w:r>
          </w:p>
        </w:tc>
        <w:tc>
          <w:tcPr>
            <w:tcW w:w="2179" w:type="dxa"/>
            <w:tcBorders>
              <w:top w:val="single" w:sz="4" w:space="0" w:color="auto"/>
              <w:left w:val="single" w:sz="4" w:space="0" w:color="auto"/>
              <w:bottom w:val="single" w:sz="4" w:space="0" w:color="auto"/>
              <w:right w:val="single" w:sz="4" w:space="0" w:color="auto"/>
            </w:tcBorders>
          </w:tcPr>
          <w:p w14:paraId="17FFDEC3" w14:textId="77777777" w:rsidR="00442AB3" w:rsidRPr="0045006D" w:rsidRDefault="00442AB3" w:rsidP="00457B16">
            <w:pPr>
              <w:rPr>
                <w:rFonts w:cstheme="minorHAnsi"/>
                <w:sz w:val="24"/>
                <w:szCs w:val="24"/>
              </w:rPr>
            </w:pPr>
            <w:r w:rsidRPr="0045006D">
              <w:rPr>
                <w:rFonts w:cstheme="minorHAnsi"/>
                <w:sz w:val="24"/>
                <w:szCs w:val="24"/>
              </w:rPr>
              <w:t>0.3%</w:t>
            </w:r>
            <w:r>
              <w:rPr>
                <w:rFonts w:cstheme="minorHAnsi"/>
                <w:sz w:val="24"/>
                <w:szCs w:val="24"/>
              </w:rPr>
              <w:t>,</w:t>
            </w:r>
            <w:r w:rsidRPr="0045006D">
              <w:rPr>
                <w:rFonts w:cstheme="minorHAnsi"/>
                <w:sz w:val="24"/>
                <w:szCs w:val="24"/>
              </w:rPr>
              <w:t xml:space="preserve"> 15 Days</w:t>
            </w:r>
          </w:p>
        </w:tc>
        <w:tc>
          <w:tcPr>
            <w:tcW w:w="2143" w:type="dxa"/>
            <w:tcBorders>
              <w:top w:val="single" w:sz="4" w:space="0" w:color="auto"/>
              <w:left w:val="single" w:sz="4" w:space="0" w:color="auto"/>
              <w:bottom w:val="single" w:sz="4" w:space="0" w:color="auto"/>
              <w:right w:val="single" w:sz="4" w:space="0" w:color="auto"/>
            </w:tcBorders>
            <w:vAlign w:val="bottom"/>
          </w:tcPr>
          <w:p w14:paraId="4E11AA71" w14:textId="77777777" w:rsidR="00442AB3" w:rsidRPr="0045006D" w:rsidRDefault="00442AB3" w:rsidP="00457B16">
            <w:pPr>
              <w:rPr>
                <w:rFonts w:cstheme="minorHAnsi"/>
                <w:sz w:val="24"/>
                <w:szCs w:val="24"/>
              </w:rPr>
            </w:pPr>
            <w:r w:rsidRPr="0045006D">
              <w:rPr>
                <w:rFonts w:cstheme="minorHAnsi"/>
                <w:sz w:val="24"/>
                <w:szCs w:val="24"/>
              </w:rPr>
              <w:t>0.2600</w:t>
            </w:r>
          </w:p>
        </w:tc>
        <w:tc>
          <w:tcPr>
            <w:tcW w:w="1906" w:type="dxa"/>
            <w:tcBorders>
              <w:top w:val="single" w:sz="4" w:space="0" w:color="auto"/>
              <w:left w:val="single" w:sz="4" w:space="0" w:color="auto"/>
              <w:bottom w:val="single" w:sz="4" w:space="0" w:color="auto"/>
              <w:right w:val="single" w:sz="4" w:space="0" w:color="auto"/>
            </w:tcBorders>
            <w:vAlign w:val="bottom"/>
          </w:tcPr>
          <w:p w14:paraId="16C49575" w14:textId="77777777" w:rsidR="00442AB3" w:rsidRPr="0045006D" w:rsidRDefault="00442AB3" w:rsidP="00457B16">
            <w:pPr>
              <w:rPr>
                <w:rFonts w:cstheme="minorHAnsi"/>
                <w:sz w:val="24"/>
                <w:szCs w:val="24"/>
              </w:rPr>
            </w:pPr>
            <w:r w:rsidRPr="0045006D">
              <w:rPr>
                <w:rFonts w:cstheme="minorHAnsi"/>
                <w:sz w:val="24"/>
                <w:szCs w:val="24"/>
              </w:rPr>
              <w:t>0.1200</w:t>
            </w:r>
          </w:p>
        </w:tc>
      </w:tr>
      <w:tr w:rsidR="00442AB3" w:rsidRPr="0045006D" w14:paraId="2C8E2C6B" w14:textId="77777777" w:rsidTr="00457B16">
        <w:trPr>
          <w:tblHeader/>
        </w:trPr>
        <w:tc>
          <w:tcPr>
            <w:tcW w:w="892" w:type="dxa"/>
            <w:tcBorders>
              <w:top w:val="single" w:sz="4" w:space="0" w:color="auto"/>
              <w:left w:val="single" w:sz="4" w:space="0" w:color="auto"/>
              <w:bottom w:val="single" w:sz="4" w:space="0" w:color="auto"/>
              <w:right w:val="single" w:sz="4" w:space="0" w:color="auto"/>
            </w:tcBorders>
          </w:tcPr>
          <w:p w14:paraId="2194407A" w14:textId="77777777" w:rsidR="00442AB3" w:rsidRPr="0045006D" w:rsidRDefault="00442AB3" w:rsidP="00457B16">
            <w:pPr>
              <w:rPr>
                <w:rFonts w:cstheme="minorHAnsi"/>
                <w:sz w:val="24"/>
                <w:szCs w:val="24"/>
              </w:rPr>
            </w:pPr>
            <w:r w:rsidRPr="0045006D">
              <w:rPr>
                <w:rFonts w:cstheme="minorHAnsi"/>
                <w:sz w:val="24"/>
                <w:szCs w:val="24"/>
              </w:rPr>
              <w:t>6</w:t>
            </w:r>
          </w:p>
        </w:tc>
        <w:tc>
          <w:tcPr>
            <w:tcW w:w="2456" w:type="dxa"/>
            <w:tcBorders>
              <w:top w:val="single" w:sz="4" w:space="0" w:color="auto"/>
              <w:left w:val="single" w:sz="4" w:space="0" w:color="auto"/>
              <w:bottom w:val="single" w:sz="4" w:space="0" w:color="auto"/>
              <w:right w:val="single" w:sz="4" w:space="0" w:color="auto"/>
            </w:tcBorders>
          </w:tcPr>
          <w:p w14:paraId="4F7A3EA5" w14:textId="77777777" w:rsidR="00442AB3" w:rsidRPr="0045006D" w:rsidRDefault="00442AB3" w:rsidP="00457B16">
            <w:pPr>
              <w:rPr>
                <w:rFonts w:cstheme="minorHAnsi"/>
                <w:sz w:val="24"/>
                <w:szCs w:val="24"/>
              </w:rPr>
            </w:pPr>
            <w:r w:rsidRPr="0045006D">
              <w:rPr>
                <w:rFonts w:cstheme="minorHAnsi"/>
                <w:sz w:val="24"/>
                <w:szCs w:val="24"/>
              </w:rPr>
              <w:t>Peterson's Oil</w:t>
            </w:r>
          </w:p>
        </w:tc>
        <w:tc>
          <w:tcPr>
            <w:tcW w:w="2179" w:type="dxa"/>
            <w:tcBorders>
              <w:top w:val="single" w:sz="4" w:space="0" w:color="auto"/>
              <w:left w:val="single" w:sz="4" w:space="0" w:color="auto"/>
              <w:bottom w:val="single" w:sz="4" w:space="0" w:color="auto"/>
              <w:right w:val="single" w:sz="4" w:space="0" w:color="auto"/>
            </w:tcBorders>
          </w:tcPr>
          <w:p w14:paraId="1FC20DDE" w14:textId="77777777" w:rsidR="00442AB3" w:rsidRPr="0045006D" w:rsidRDefault="00442AB3" w:rsidP="00457B16">
            <w:pPr>
              <w:rPr>
                <w:rFonts w:cstheme="minorHAnsi"/>
                <w:sz w:val="24"/>
                <w:szCs w:val="24"/>
              </w:rPr>
            </w:pPr>
            <w:r w:rsidRPr="0045006D">
              <w:rPr>
                <w:rFonts w:cstheme="minorHAnsi"/>
                <w:sz w:val="24"/>
                <w:szCs w:val="24"/>
              </w:rPr>
              <w:t>0.3%</w:t>
            </w:r>
            <w:r>
              <w:rPr>
                <w:rFonts w:cstheme="minorHAnsi"/>
                <w:sz w:val="24"/>
                <w:szCs w:val="24"/>
              </w:rPr>
              <w:t>,</w:t>
            </w:r>
            <w:r w:rsidRPr="0045006D">
              <w:rPr>
                <w:rFonts w:cstheme="minorHAnsi"/>
                <w:sz w:val="24"/>
                <w:szCs w:val="24"/>
              </w:rPr>
              <w:t xml:space="preserve"> 15 Days</w:t>
            </w:r>
          </w:p>
        </w:tc>
        <w:tc>
          <w:tcPr>
            <w:tcW w:w="2143" w:type="dxa"/>
            <w:tcBorders>
              <w:top w:val="single" w:sz="4" w:space="0" w:color="auto"/>
              <w:left w:val="single" w:sz="4" w:space="0" w:color="auto"/>
              <w:bottom w:val="single" w:sz="4" w:space="0" w:color="auto"/>
              <w:right w:val="single" w:sz="4" w:space="0" w:color="auto"/>
            </w:tcBorders>
            <w:vAlign w:val="bottom"/>
          </w:tcPr>
          <w:p w14:paraId="729AD3E3" w14:textId="77777777" w:rsidR="00442AB3" w:rsidRPr="0045006D" w:rsidRDefault="00442AB3" w:rsidP="00457B16">
            <w:pPr>
              <w:rPr>
                <w:rFonts w:cstheme="minorHAnsi"/>
                <w:sz w:val="24"/>
                <w:szCs w:val="24"/>
              </w:rPr>
            </w:pPr>
            <w:r w:rsidRPr="0045006D">
              <w:rPr>
                <w:rFonts w:cstheme="minorHAnsi"/>
                <w:sz w:val="24"/>
                <w:szCs w:val="24"/>
              </w:rPr>
              <w:t>0.2700</w:t>
            </w:r>
          </w:p>
        </w:tc>
        <w:tc>
          <w:tcPr>
            <w:tcW w:w="1906" w:type="dxa"/>
            <w:tcBorders>
              <w:top w:val="single" w:sz="4" w:space="0" w:color="auto"/>
              <w:left w:val="single" w:sz="4" w:space="0" w:color="auto"/>
              <w:bottom w:val="single" w:sz="4" w:space="0" w:color="auto"/>
              <w:right w:val="single" w:sz="4" w:space="0" w:color="auto"/>
            </w:tcBorders>
            <w:vAlign w:val="bottom"/>
          </w:tcPr>
          <w:p w14:paraId="38BFAE4A" w14:textId="77777777" w:rsidR="00442AB3" w:rsidRPr="0045006D" w:rsidRDefault="00442AB3" w:rsidP="00457B16">
            <w:pPr>
              <w:rPr>
                <w:rFonts w:cstheme="minorHAnsi"/>
                <w:sz w:val="24"/>
                <w:szCs w:val="24"/>
              </w:rPr>
            </w:pPr>
            <w:r w:rsidRPr="0045006D">
              <w:rPr>
                <w:rFonts w:cstheme="minorHAnsi"/>
                <w:sz w:val="24"/>
                <w:szCs w:val="24"/>
              </w:rPr>
              <w:t>0.1200</w:t>
            </w:r>
          </w:p>
        </w:tc>
      </w:tr>
      <w:tr w:rsidR="00442AB3" w:rsidRPr="0045006D" w14:paraId="1CE3A45A" w14:textId="77777777" w:rsidTr="00457B16">
        <w:trPr>
          <w:tblHeader/>
        </w:trPr>
        <w:tc>
          <w:tcPr>
            <w:tcW w:w="892" w:type="dxa"/>
            <w:tcBorders>
              <w:top w:val="single" w:sz="4" w:space="0" w:color="auto"/>
              <w:left w:val="single" w:sz="4" w:space="0" w:color="auto"/>
              <w:bottom w:val="single" w:sz="4" w:space="0" w:color="auto"/>
              <w:right w:val="single" w:sz="4" w:space="0" w:color="auto"/>
            </w:tcBorders>
          </w:tcPr>
          <w:p w14:paraId="654ACF0C" w14:textId="77777777" w:rsidR="00442AB3" w:rsidRPr="0045006D" w:rsidRDefault="00442AB3" w:rsidP="00457B16">
            <w:pPr>
              <w:rPr>
                <w:rFonts w:cstheme="minorHAnsi"/>
                <w:sz w:val="24"/>
                <w:szCs w:val="24"/>
              </w:rPr>
            </w:pPr>
            <w:r w:rsidRPr="0045006D">
              <w:rPr>
                <w:rFonts w:cstheme="minorHAnsi"/>
                <w:sz w:val="24"/>
                <w:szCs w:val="24"/>
              </w:rPr>
              <w:t>7</w:t>
            </w:r>
          </w:p>
        </w:tc>
        <w:tc>
          <w:tcPr>
            <w:tcW w:w="2456" w:type="dxa"/>
            <w:tcBorders>
              <w:top w:val="single" w:sz="4" w:space="0" w:color="auto"/>
              <w:left w:val="single" w:sz="4" w:space="0" w:color="auto"/>
              <w:bottom w:val="single" w:sz="4" w:space="0" w:color="auto"/>
              <w:right w:val="single" w:sz="4" w:space="0" w:color="auto"/>
            </w:tcBorders>
          </w:tcPr>
          <w:p w14:paraId="01F5F8D2" w14:textId="77777777" w:rsidR="00442AB3" w:rsidRPr="0045006D" w:rsidRDefault="00442AB3" w:rsidP="00457B16">
            <w:pPr>
              <w:rPr>
                <w:rFonts w:cstheme="minorHAnsi"/>
                <w:sz w:val="24"/>
                <w:szCs w:val="24"/>
              </w:rPr>
            </w:pPr>
            <w:r w:rsidRPr="0045006D">
              <w:rPr>
                <w:rFonts w:cstheme="minorHAnsi"/>
                <w:sz w:val="24"/>
                <w:szCs w:val="24"/>
              </w:rPr>
              <w:t>Peterson's Oil</w:t>
            </w:r>
          </w:p>
        </w:tc>
        <w:tc>
          <w:tcPr>
            <w:tcW w:w="2179" w:type="dxa"/>
            <w:tcBorders>
              <w:top w:val="single" w:sz="4" w:space="0" w:color="auto"/>
              <w:left w:val="single" w:sz="4" w:space="0" w:color="auto"/>
              <w:bottom w:val="single" w:sz="4" w:space="0" w:color="auto"/>
              <w:right w:val="single" w:sz="4" w:space="0" w:color="auto"/>
            </w:tcBorders>
          </w:tcPr>
          <w:p w14:paraId="5457549F" w14:textId="77777777" w:rsidR="00442AB3" w:rsidRPr="0045006D" w:rsidRDefault="00442AB3" w:rsidP="00457B16">
            <w:pPr>
              <w:rPr>
                <w:rFonts w:cstheme="minorHAnsi"/>
                <w:sz w:val="24"/>
                <w:szCs w:val="24"/>
              </w:rPr>
            </w:pPr>
            <w:r w:rsidRPr="0045006D">
              <w:rPr>
                <w:rFonts w:cstheme="minorHAnsi"/>
                <w:sz w:val="24"/>
                <w:szCs w:val="24"/>
              </w:rPr>
              <w:t>0.3%</w:t>
            </w:r>
            <w:r>
              <w:rPr>
                <w:rFonts w:cstheme="minorHAnsi"/>
                <w:sz w:val="24"/>
                <w:szCs w:val="24"/>
              </w:rPr>
              <w:t>,</w:t>
            </w:r>
            <w:r w:rsidRPr="0045006D">
              <w:rPr>
                <w:rFonts w:cstheme="minorHAnsi"/>
                <w:sz w:val="24"/>
                <w:szCs w:val="24"/>
              </w:rPr>
              <w:t xml:space="preserve"> 15 Days</w:t>
            </w:r>
          </w:p>
        </w:tc>
        <w:tc>
          <w:tcPr>
            <w:tcW w:w="2143" w:type="dxa"/>
            <w:tcBorders>
              <w:top w:val="single" w:sz="4" w:space="0" w:color="auto"/>
              <w:left w:val="single" w:sz="4" w:space="0" w:color="auto"/>
              <w:bottom w:val="single" w:sz="4" w:space="0" w:color="auto"/>
              <w:right w:val="single" w:sz="4" w:space="0" w:color="auto"/>
            </w:tcBorders>
            <w:vAlign w:val="bottom"/>
          </w:tcPr>
          <w:p w14:paraId="35564AC8" w14:textId="77777777" w:rsidR="00442AB3" w:rsidRPr="0045006D" w:rsidRDefault="00442AB3" w:rsidP="00457B16">
            <w:pPr>
              <w:rPr>
                <w:rFonts w:cstheme="minorHAnsi"/>
                <w:sz w:val="24"/>
                <w:szCs w:val="24"/>
              </w:rPr>
            </w:pPr>
            <w:r w:rsidRPr="0045006D">
              <w:rPr>
                <w:rFonts w:cstheme="minorHAnsi"/>
                <w:sz w:val="24"/>
                <w:szCs w:val="24"/>
              </w:rPr>
              <w:t>0.2600</w:t>
            </w:r>
          </w:p>
        </w:tc>
        <w:tc>
          <w:tcPr>
            <w:tcW w:w="1906" w:type="dxa"/>
            <w:tcBorders>
              <w:top w:val="single" w:sz="4" w:space="0" w:color="auto"/>
              <w:left w:val="single" w:sz="4" w:space="0" w:color="auto"/>
              <w:bottom w:val="single" w:sz="4" w:space="0" w:color="auto"/>
              <w:right w:val="single" w:sz="4" w:space="0" w:color="auto"/>
            </w:tcBorders>
            <w:vAlign w:val="bottom"/>
          </w:tcPr>
          <w:p w14:paraId="4A7F9E2B" w14:textId="77777777" w:rsidR="00442AB3" w:rsidRPr="0045006D" w:rsidRDefault="00442AB3" w:rsidP="00457B16">
            <w:pPr>
              <w:rPr>
                <w:rFonts w:cstheme="minorHAnsi"/>
                <w:sz w:val="24"/>
                <w:szCs w:val="24"/>
              </w:rPr>
            </w:pPr>
            <w:r w:rsidRPr="0045006D">
              <w:rPr>
                <w:rFonts w:cstheme="minorHAnsi"/>
                <w:sz w:val="24"/>
                <w:szCs w:val="24"/>
              </w:rPr>
              <w:t>0.1200</w:t>
            </w:r>
          </w:p>
        </w:tc>
      </w:tr>
      <w:tr w:rsidR="00442AB3" w:rsidRPr="0045006D" w14:paraId="03A44BA2" w14:textId="77777777" w:rsidTr="00457B16">
        <w:trPr>
          <w:tblHeader/>
        </w:trPr>
        <w:tc>
          <w:tcPr>
            <w:tcW w:w="892" w:type="dxa"/>
            <w:tcBorders>
              <w:top w:val="single" w:sz="4" w:space="0" w:color="auto"/>
              <w:left w:val="single" w:sz="4" w:space="0" w:color="auto"/>
              <w:bottom w:val="single" w:sz="4" w:space="0" w:color="auto"/>
              <w:right w:val="single" w:sz="4" w:space="0" w:color="auto"/>
            </w:tcBorders>
          </w:tcPr>
          <w:p w14:paraId="6424C42B" w14:textId="77777777" w:rsidR="00442AB3" w:rsidRPr="0045006D" w:rsidRDefault="00442AB3" w:rsidP="00457B16">
            <w:pPr>
              <w:rPr>
                <w:rFonts w:cstheme="minorHAnsi"/>
                <w:sz w:val="24"/>
                <w:szCs w:val="24"/>
              </w:rPr>
            </w:pPr>
            <w:r w:rsidRPr="0045006D">
              <w:rPr>
                <w:rFonts w:cstheme="minorHAnsi"/>
                <w:sz w:val="24"/>
                <w:szCs w:val="24"/>
              </w:rPr>
              <w:t>8</w:t>
            </w:r>
          </w:p>
        </w:tc>
        <w:tc>
          <w:tcPr>
            <w:tcW w:w="2456" w:type="dxa"/>
            <w:tcBorders>
              <w:top w:val="single" w:sz="4" w:space="0" w:color="auto"/>
              <w:left w:val="single" w:sz="4" w:space="0" w:color="auto"/>
              <w:bottom w:val="single" w:sz="4" w:space="0" w:color="auto"/>
              <w:right w:val="single" w:sz="4" w:space="0" w:color="auto"/>
            </w:tcBorders>
          </w:tcPr>
          <w:p w14:paraId="71869DA7" w14:textId="77777777" w:rsidR="00442AB3" w:rsidRPr="0045006D" w:rsidRDefault="00442AB3" w:rsidP="00457B16">
            <w:pPr>
              <w:rPr>
                <w:rFonts w:cstheme="minorHAnsi"/>
                <w:sz w:val="24"/>
                <w:szCs w:val="24"/>
              </w:rPr>
            </w:pPr>
            <w:r w:rsidRPr="0045006D">
              <w:rPr>
                <w:rFonts w:cstheme="minorHAnsi"/>
                <w:sz w:val="24"/>
                <w:szCs w:val="24"/>
              </w:rPr>
              <w:t>Sprague Operating Resources</w:t>
            </w:r>
          </w:p>
        </w:tc>
        <w:tc>
          <w:tcPr>
            <w:tcW w:w="2179" w:type="dxa"/>
            <w:tcBorders>
              <w:top w:val="single" w:sz="4" w:space="0" w:color="auto"/>
              <w:left w:val="single" w:sz="4" w:space="0" w:color="auto"/>
              <w:bottom w:val="single" w:sz="4" w:space="0" w:color="auto"/>
              <w:right w:val="single" w:sz="4" w:space="0" w:color="auto"/>
            </w:tcBorders>
          </w:tcPr>
          <w:p w14:paraId="545B0F6B" w14:textId="77777777" w:rsidR="00442AB3" w:rsidRPr="0045006D" w:rsidRDefault="00442AB3" w:rsidP="00457B16">
            <w:pPr>
              <w:rPr>
                <w:rFonts w:cstheme="minorHAnsi"/>
                <w:sz w:val="24"/>
                <w:szCs w:val="24"/>
              </w:rPr>
            </w:pPr>
            <w:r w:rsidRPr="0045006D">
              <w:rPr>
                <w:rFonts w:cstheme="minorHAnsi"/>
                <w:sz w:val="24"/>
                <w:szCs w:val="24"/>
              </w:rPr>
              <w:t>1%</w:t>
            </w:r>
            <w:r>
              <w:rPr>
                <w:rFonts w:cstheme="minorHAnsi"/>
                <w:sz w:val="24"/>
                <w:szCs w:val="24"/>
              </w:rPr>
              <w:t>,</w:t>
            </w:r>
            <w:r w:rsidRPr="0045006D">
              <w:rPr>
                <w:rFonts w:cstheme="minorHAnsi"/>
                <w:sz w:val="24"/>
                <w:szCs w:val="24"/>
              </w:rPr>
              <w:t xml:space="preserve"> 10 Days</w:t>
            </w:r>
          </w:p>
        </w:tc>
        <w:tc>
          <w:tcPr>
            <w:tcW w:w="2143" w:type="dxa"/>
            <w:tcBorders>
              <w:top w:val="single" w:sz="4" w:space="0" w:color="auto"/>
              <w:left w:val="single" w:sz="4" w:space="0" w:color="auto"/>
              <w:bottom w:val="single" w:sz="4" w:space="0" w:color="auto"/>
              <w:right w:val="single" w:sz="4" w:space="0" w:color="auto"/>
            </w:tcBorders>
          </w:tcPr>
          <w:p w14:paraId="446B7089" w14:textId="77777777" w:rsidR="00442AB3" w:rsidRPr="0045006D" w:rsidRDefault="00442AB3" w:rsidP="00457B16">
            <w:pPr>
              <w:rPr>
                <w:rFonts w:cstheme="minorHAnsi"/>
                <w:sz w:val="24"/>
                <w:szCs w:val="24"/>
              </w:rPr>
            </w:pPr>
            <w:r w:rsidRPr="0045006D">
              <w:rPr>
                <w:rFonts w:cstheme="minorHAnsi"/>
                <w:sz w:val="24"/>
                <w:szCs w:val="24"/>
              </w:rPr>
              <w:t>0.3693</w:t>
            </w:r>
          </w:p>
        </w:tc>
        <w:tc>
          <w:tcPr>
            <w:tcW w:w="1906" w:type="dxa"/>
            <w:tcBorders>
              <w:top w:val="single" w:sz="4" w:space="0" w:color="auto"/>
              <w:left w:val="single" w:sz="4" w:space="0" w:color="auto"/>
              <w:bottom w:val="single" w:sz="4" w:space="0" w:color="auto"/>
              <w:right w:val="single" w:sz="4" w:space="0" w:color="auto"/>
            </w:tcBorders>
          </w:tcPr>
          <w:p w14:paraId="68C90A7D" w14:textId="77777777" w:rsidR="00442AB3" w:rsidRPr="0045006D" w:rsidRDefault="00442AB3" w:rsidP="00457B16">
            <w:pPr>
              <w:rPr>
                <w:rFonts w:cstheme="minorHAnsi"/>
                <w:sz w:val="24"/>
                <w:szCs w:val="24"/>
              </w:rPr>
            </w:pPr>
            <w:r w:rsidRPr="0045006D">
              <w:rPr>
                <w:rFonts w:cstheme="minorHAnsi"/>
                <w:sz w:val="24"/>
                <w:szCs w:val="24"/>
              </w:rPr>
              <w:t>0.2687</w:t>
            </w:r>
          </w:p>
        </w:tc>
      </w:tr>
    </w:tbl>
    <w:p w14:paraId="50F640BF" w14:textId="77777777" w:rsidR="00442AB3" w:rsidRDefault="00442AB3" w:rsidP="00442AB3">
      <w:pPr>
        <w:pStyle w:val="Heading3"/>
      </w:pPr>
      <w:bookmarkStart w:id="24" w:name="_Toc207365985"/>
      <w:bookmarkStart w:id="25" w:name="_Toc209710793"/>
      <w:bookmarkEnd w:id="23"/>
      <w:r>
        <w:t>Category 3 Fixed Pricing</w:t>
      </w:r>
      <w:bookmarkEnd w:id="24"/>
      <w:bookmarkEnd w:id="25"/>
    </w:p>
    <w:p w14:paraId="121EB063" w14:textId="77777777" w:rsidR="00442AB3" w:rsidRPr="00D4024A" w:rsidRDefault="00442AB3" w:rsidP="00442AB3">
      <w:pPr>
        <w:rPr>
          <w:sz w:val="24"/>
          <w:szCs w:val="24"/>
        </w:rPr>
      </w:pPr>
      <w:r w:rsidRPr="00D4024A">
        <w:rPr>
          <w:sz w:val="24"/>
          <w:szCs w:val="24"/>
        </w:rPr>
        <w:t>The delivery of No.</w:t>
      </w:r>
      <w:r>
        <w:rPr>
          <w:sz w:val="24"/>
          <w:szCs w:val="24"/>
        </w:rPr>
        <w:t xml:space="preserve"> </w:t>
      </w:r>
      <w:r w:rsidRPr="00D4024A">
        <w:rPr>
          <w:sz w:val="24"/>
          <w:szCs w:val="24"/>
        </w:rPr>
        <w:t xml:space="preserve">2 Heating Oil is purchased as a fixed adder over the weighted average price of the New York Mercantile Exchange (NYMEX) for No. 2 Heating Oil. The weighted average will be determined at time of purchase by averaging the number of months and/or gallons needed. It is strongly encouraged that eligible entities solicit quotes in zones with multiple awarded vendors. Vendors will work with the individual purchasing entities to determine specific time to lock into the NYMEX when it is deemed to be most advantageous. The specific volume will be verified when </w:t>
      </w:r>
      <w:r w:rsidRPr="00D4024A">
        <w:rPr>
          <w:sz w:val="24"/>
          <w:szCs w:val="24"/>
        </w:rPr>
        <w:lastRenderedPageBreak/>
        <w:t xml:space="preserve">NYMEX is locked in by the purchasing entities. Purchasing Entities reserve the right to roll over purchases to additional months if needed. It is the responsibility of the </w:t>
      </w:r>
      <w:r>
        <w:rPr>
          <w:sz w:val="24"/>
          <w:szCs w:val="24"/>
        </w:rPr>
        <w:t>vendor</w:t>
      </w:r>
      <w:r w:rsidRPr="00D4024A">
        <w:rPr>
          <w:sz w:val="24"/>
          <w:szCs w:val="24"/>
        </w:rPr>
        <w:t xml:space="preserve"> and Purchasing Entity to come to a decision about how </w:t>
      </w:r>
      <w:r>
        <w:rPr>
          <w:sz w:val="24"/>
          <w:szCs w:val="24"/>
        </w:rPr>
        <w:t xml:space="preserve">the </w:t>
      </w:r>
      <w:r w:rsidRPr="00D4024A">
        <w:rPr>
          <w:sz w:val="24"/>
          <w:szCs w:val="24"/>
        </w:rPr>
        <w:t xml:space="preserve">unused gallons will be handled prior to entering into an agreement and to ensure that this agreement is in writing. </w:t>
      </w:r>
    </w:p>
    <w:p w14:paraId="3E618701" w14:textId="77777777" w:rsidR="00442AB3" w:rsidRPr="00864233" w:rsidRDefault="00442AB3" w:rsidP="00442AB3">
      <w:pPr>
        <w:rPr>
          <w:bCs/>
          <w:sz w:val="24"/>
          <w:szCs w:val="24"/>
        </w:rPr>
      </w:pPr>
      <w:r w:rsidRPr="001C6742">
        <w:rPr>
          <w:b/>
          <w:sz w:val="24"/>
          <w:szCs w:val="24"/>
        </w:rPr>
        <w:t>Note:</w:t>
      </w:r>
      <w:r w:rsidRPr="00864233">
        <w:rPr>
          <w:bCs/>
          <w:sz w:val="24"/>
          <w:szCs w:val="24"/>
        </w:rPr>
        <w:t xml:space="preserve"> </w:t>
      </w:r>
      <w:r>
        <w:rPr>
          <w:bCs/>
          <w:sz w:val="24"/>
          <w:szCs w:val="24"/>
        </w:rPr>
        <w:t>T</w:t>
      </w:r>
      <w:r w:rsidRPr="00864233">
        <w:rPr>
          <w:bCs/>
          <w:sz w:val="24"/>
          <w:szCs w:val="24"/>
        </w:rPr>
        <w:t xml:space="preserve">his fixed adder is ceiling, not to exceed pricing. Eligibility entities reserve the right to negotiate a lower fixed adder based on total gallons with the vendor. </w:t>
      </w:r>
    </w:p>
    <w:p w14:paraId="3E84FE51" w14:textId="77777777" w:rsidR="00442AB3" w:rsidRDefault="00442AB3" w:rsidP="004363BE">
      <w:pPr>
        <w:spacing w:after="0"/>
        <w:rPr>
          <w:b/>
          <w:bCs/>
          <w:sz w:val="24"/>
          <w:szCs w:val="24"/>
        </w:rPr>
      </w:pPr>
      <w:r w:rsidRPr="001C6742">
        <w:rPr>
          <w:b/>
          <w:bCs/>
          <w:sz w:val="24"/>
          <w:szCs w:val="24"/>
        </w:rPr>
        <w:t>Category 3 Fixed Pricing No. 2 Heating Oil (Pricing Effective 10/01/2021)</w:t>
      </w:r>
      <w:r>
        <w:rPr>
          <w:b/>
          <w:bCs/>
          <w:sz w:val="24"/>
          <w:szCs w:val="24"/>
        </w:rPr>
        <w:t>:</w:t>
      </w:r>
    </w:p>
    <w:p w14:paraId="6EC0F1CC" w14:textId="105DDFB0" w:rsidR="004363BE" w:rsidRDefault="004363BE" w:rsidP="004363BE">
      <w:pPr>
        <w:spacing w:after="0"/>
        <w:rPr>
          <w:sz w:val="24"/>
          <w:szCs w:val="24"/>
        </w:rPr>
      </w:pPr>
      <w:r w:rsidRPr="004363BE">
        <w:rPr>
          <w:b/>
          <w:bCs/>
          <w:sz w:val="24"/>
          <w:szCs w:val="24"/>
        </w:rPr>
        <w:t>Note:</w:t>
      </w:r>
      <w:r w:rsidRPr="004363BE">
        <w:rPr>
          <w:sz w:val="24"/>
          <w:szCs w:val="24"/>
        </w:rPr>
        <w:t xml:space="preserve"> N/A = Not Applicable</w:t>
      </w:r>
    </w:p>
    <w:p w14:paraId="3DD002CC" w14:textId="77777777" w:rsidR="004363BE" w:rsidRPr="004363BE" w:rsidRDefault="004363BE" w:rsidP="004363BE">
      <w:pPr>
        <w:spacing w:after="0"/>
        <w:rPr>
          <w:sz w:val="24"/>
          <w:szCs w:val="24"/>
        </w:rPr>
      </w:pPr>
    </w:p>
    <w:tbl>
      <w:tblPr>
        <w:tblStyle w:val="TableGrid"/>
        <w:tblW w:w="5593" w:type="pct"/>
        <w:jc w:val="center"/>
        <w:tblLayout w:type="fixed"/>
        <w:tblLook w:val="04A0" w:firstRow="1" w:lastRow="0" w:firstColumn="1" w:lastColumn="0" w:noHBand="0" w:noVBand="1"/>
        <w:tblCaption w:val="Category 3 Fixed Pricing No. 2 Heating Oil (Pricing Effective 10/01/2021)"/>
        <w:tblDescription w:val="This table lists the vendor and Prompt Payment Discount for Zones 1 to 8 for Category 3 Fixed Pricing No. 2 Heating Oil."/>
      </w:tblPr>
      <w:tblGrid>
        <w:gridCol w:w="2065"/>
        <w:gridCol w:w="1890"/>
        <w:gridCol w:w="893"/>
        <w:gridCol w:w="893"/>
        <w:gridCol w:w="893"/>
        <w:gridCol w:w="895"/>
        <w:gridCol w:w="893"/>
        <w:gridCol w:w="893"/>
        <w:gridCol w:w="893"/>
        <w:gridCol w:w="895"/>
      </w:tblGrid>
      <w:tr w:rsidR="00442AB3" w:rsidRPr="008467F7" w14:paraId="21C8E58C" w14:textId="77777777" w:rsidTr="00457B16">
        <w:trPr>
          <w:cantSplit/>
          <w:trHeight w:val="1134"/>
          <w:tblHeader/>
          <w:jc w:val="center"/>
        </w:trPr>
        <w:tc>
          <w:tcPr>
            <w:tcW w:w="930" w:type="pct"/>
            <w:vAlign w:val="center"/>
            <w:hideMark/>
          </w:tcPr>
          <w:p w14:paraId="0F1D31CF" w14:textId="77777777" w:rsidR="00442AB3" w:rsidRPr="001C6742" w:rsidRDefault="00442AB3" w:rsidP="00457B16">
            <w:pPr>
              <w:spacing w:after="200" w:line="276" w:lineRule="auto"/>
              <w:rPr>
                <w:rFonts w:asciiTheme="minorHAnsi" w:eastAsiaTheme="minorEastAsia" w:hAnsiTheme="minorHAnsi" w:cstheme="minorBidi"/>
                <w:b/>
                <w:bCs/>
                <w:sz w:val="24"/>
                <w:szCs w:val="24"/>
              </w:rPr>
            </w:pPr>
            <w:bookmarkStart w:id="26" w:name="_Hlk81993450"/>
            <w:r w:rsidRPr="001C6742">
              <w:rPr>
                <w:rFonts w:asciiTheme="minorHAnsi" w:eastAsiaTheme="minorEastAsia" w:hAnsiTheme="minorHAnsi" w:cstheme="minorBidi"/>
                <w:b/>
                <w:bCs/>
                <w:sz w:val="24"/>
                <w:szCs w:val="24"/>
              </w:rPr>
              <w:t>Vendor</w:t>
            </w:r>
          </w:p>
        </w:tc>
        <w:tc>
          <w:tcPr>
            <w:tcW w:w="851" w:type="pct"/>
            <w:vAlign w:val="center"/>
          </w:tcPr>
          <w:p w14:paraId="6E0C9781" w14:textId="77777777" w:rsidR="00442AB3" w:rsidRPr="001C6742" w:rsidRDefault="00442AB3" w:rsidP="00457B16">
            <w:pPr>
              <w:spacing w:after="200" w:line="276" w:lineRule="auto"/>
              <w:rPr>
                <w:rFonts w:asciiTheme="minorHAnsi" w:eastAsiaTheme="minorEastAsia" w:hAnsiTheme="minorHAnsi" w:cstheme="minorBidi"/>
                <w:b/>
                <w:sz w:val="24"/>
                <w:szCs w:val="24"/>
              </w:rPr>
            </w:pPr>
            <w:r w:rsidRPr="001C6742">
              <w:rPr>
                <w:rFonts w:asciiTheme="minorHAnsi" w:eastAsiaTheme="minorEastAsia" w:hAnsiTheme="minorHAnsi" w:cstheme="minorBidi"/>
                <w:b/>
                <w:sz w:val="24"/>
                <w:szCs w:val="24"/>
              </w:rPr>
              <w:t>Prompt Payment Discount (PPD)</w:t>
            </w:r>
          </w:p>
        </w:tc>
        <w:tc>
          <w:tcPr>
            <w:tcW w:w="402" w:type="pct"/>
            <w:noWrap/>
            <w:textDirection w:val="btLr"/>
            <w:vAlign w:val="center"/>
            <w:hideMark/>
          </w:tcPr>
          <w:p w14:paraId="741D30BD" w14:textId="77777777" w:rsidR="00442AB3" w:rsidRPr="001C6742" w:rsidRDefault="00442AB3" w:rsidP="00457B16">
            <w:pPr>
              <w:spacing w:after="200" w:line="276" w:lineRule="auto"/>
              <w:jc w:val="center"/>
              <w:rPr>
                <w:rFonts w:asciiTheme="minorHAnsi" w:eastAsiaTheme="minorEastAsia" w:hAnsiTheme="minorHAnsi" w:cstheme="minorBidi"/>
                <w:b/>
                <w:sz w:val="24"/>
                <w:szCs w:val="24"/>
              </w:rPr>
            </w:pPr>
            <w:r w:rsidRPr="001C6742">
              <w:rPr>
                <w:rFonts w:asciiTheme="minorHAnsi" w:eastAsiaTheme="minorEastAsia" w:hAnsiTheme="minorHAnsi" w:cstheme="minorBidi"/>
                <w:b/>
                <w:sz w:val="24"/>
                <w:szCs w:val="24"/>
              </w:rPr>
              <w:t>Zone 1</w:t>
            </w:r>
          </w:p>
        </w:tc>
        <w:tc>
          <w:tcPr>
            <w:tcW w:w="402" w:type="pct"/>
            <w:noWrap/>
            <w:textDirection w:val="btLr"/>
            <w:vAlign w:val="center"/>
            <w:hideMark/>
          </w:tcPr>
          <w:p w14:paraId="1EE3ACB0" w14:textId="77777777" w:rsidR="00442AB3" w:rsidRPr="001C6742" w:rsidRDefault="00442AB3" w:rsidP="00457B16">
            <w:pPr>
              <w:spacing w:after="200" w:line="276" w:lineRule="auto"/>
              <w:jc w:val="center"/>
              <w:rPr>
                <w:rFonts w:asciiTheme="minorHAnsi" w:eastAsiaTheme="minorEastAsia" w:hAnsiTheme="minorHAnsi" w:cstheme="minorBidi"/>
                <w:b/>
                <w:sz w:val="24"/>
                <w:szCs w:val="24"/>
              </w:rPr>
            </w:pPr>
            <w:r w:rsidRPr="001C6742">
              <w:rPr>
                <w:rFonts w:asciiTheme="minorHAnsi" w:eastAsiaTheme="minorEastAsia" w:hAnsiTheme="minorHAnsi" w:cstheme="minorBidi"/>
                <w:b/>
                <w:sz w:val="24"/>
                <w:szCs w:val="24"/>
              </w:rPr>
              <w:t>Zone 2</w:t>
            </w:r>
          </w:p>
        </w:tc>
        <w:tc>
          <w:tcPr>
            <w:tcW w:w="402" w:type="pct"/>
            <w:noWrap/>
            <w:textDirection w:val="btLr"/>
            <w:vAlign w:val="center"/>
            <w:hideMark/>
          </w:tcPr>
          <w:p w14:paraId="1F649051" w14:textId="77777777" w:rsidR="00442AB3" w:rsidRPr="001C6742" w:rsidRDefault="00442AB3" w:rsidP="00457B16">
            <w:pPr>
              <w:spacing w:after="200" w:line="276" w:lineRule="auto"/>
              <w:jc w:val="center"/>
              <w:rPr>
                <w:rFonts w:asciiTheme="minorHAnsi" w:eastAsiaTheme="minorEastAsia" w:hAnsiTheme="minorHAnsi" w:cstheme="minorBidi"/>
                <w:b/>
                <w:sz w:val="24"/>
                <w:szCs w:val="24"/>
              </w:rPr>
            </w:pPr>
            <w:r w:rsidRPr="001C6742">
              <w:rPr>
                <w:rFonts w:asciiTheme="minorHAnsi" w:eastAsiaTheme="minorEastAsia" w:hAnsiTheme="minorHAnsi" w:cstheme="minorBidi"/>
                <w:b/>
                <w:sz w:val="24"/>
                <w:szCs w:val="24"/>
              </w:rPr>
              <w:t>Zone 3</w:t>
            </w:r>
          </w:p>
        </w:tc>
        <w:tc>
          <w:tcPr>
            <w:tcW w:w="403" w:type="pct"/>
            <w:noWrap/>
            <w:textDirection w:val="btLr"/>
            <w:vAlign w:val="center"/>
            <w:hideMark/>
          </w:tcPr>
          <w:p w14:paraId="700125A0" w14:textId="77777777" w:rsidR="00442AB3" w:rsidRPr="001C6742" w:rsidRDefault="00442AB3" w:rsidP="00457B16">
            <w:pPr>
              <w:spacing w:after="200" w:line="276" w:lineRule="auto"/>
              <w:jc w:val="center"/>
              <w:rPr>
                <w:rFonts w:asciiTheme="minorHAnsi" w:eastAsiaTheme="minorEastAsia" w:hAnsiTheme="minorHAnsi" w:cstheme="minorBidi"/>
                <w:b/>
                <w:sz w:val="24"/>
                <w:szCs w:val="24"/>
              </w:rPr>
            </w:pPr>
            <w:r w:rsidRPr="001C6742">
              <w:rPr>
                <w:rFonts w:asciiTheme="minorHAnsi" w:eastAsiaTheme="minorEastAsia" w:hAnsiTheme="minorHAnsi" w:cstheme="minorBidi"/>
                <w:b/>
                <w:sz w:val="24"/>
                <w:szCs w:val="24"/>
              </w:rPr>
              <w:t>Zone 4</w:t>
            </w:r>
          </w:p>
        </w:tc>
        <w:tc>
          <w:tcPr>
            <w:tcW w:w="402" w:type="pct"/>
            <w:noWrap/>
            <w:textDirection w:val="btLr"/>
            <w:vAlign w:val="center"/>
            <w:hideMark/>
          </w:tcPr>
          <w:p w14:paraId="770D5FC9" w14:textId="77777777" w:rsidR="00442AB3" w:rsidRPr="001C6742" w:rsidRDefault="00442AB3" w:rsidP="00457B16">
            <w:pPr>
              <w:spacing w:after="200" w:line="276" w:lineRule="auto"/>
              <w:jc w:val="center"/>
              <w:rPr>
                <w:rFonts w:asciiTheme="minorHAnsi" w:eastAsiaTheme="minorEastAsia" w:hAnsiTheme="minorHAnsi" w:cstheme="minorBidi"/>
                <w:b/>
                <w:sz w:val="24"/>
                <w:szCs w:val="24"/>
              </w:rPr>
            </w:pPr>
            <w:r w:rsidRPr="001C6742">
              <w:rPr>
                <w:rFonts w:asciiTheme="minorHAnsi" w:eastAsiaTheme="minorEastAsia" w:hAnsiTheme="minorHAnsi" w:cstheme="minorBidi"/>
                <w:b/>
                <w:sz w:val="24"/>
                <w:szCs w:val="24"/>
              </w:rPr>
              <w:t>Zone 5</w:t>
            </w:r>
          </w:p>
        </w:tc>
        <w:tc>
          <w:tcPr>
            <w:tcW w:w="402" w:type="pct"/>
            <w:noWrap/>
            <w:textDirection w:val="btLr"/>
            <w:vAlign w:val="center"/>
            <w:hideMark/>
          </w:tcPr>
          <w:p w14:paraId="57209B2D" w14:textId="77777777" w:rsidR="00442AB3" w:rsidRPr="001C6742" w:rsidRDefault="00442AB3" w:rsidP="00457B16">
            <w:pPr>
              <w:spacing w:after="200" w:line="276" w:lineRule="auto"/>
              <w:jc w:val="center"/>
              <w:rPr>
                <w:rFonts w:asciiTheme="minorHAnsi" w:eastAsiaTheme="minorEastAsia" w:hAnsiTheme="minorHAnsi" w:cstheme="minorBidi"/>
                <w:b/>
                <w:sz w:val="24"/>
                <w:szCs w:val="24"/>
              </w:rPr>
            </w:pPr>
            <w:r w:rsidRPr="001C6742">
              <w:rPr>
                <w:rFonts w:asciiTheme="minorHAnsi" w:eastAsiaTheme="minorEastAsia" w:hAnsiTheme="minorHAnsi" w:cstheme="minorBidi"/>
                <w:b/>
                <w:sz w:val="24"/>
                <w:szCs w:val="24"/>
              </w:rPr>
              <w:t>Zone 6</w:t>
            </w:r>
          </w:p>
        </w:tc>
        <w:tc>
          <w:tcPr>
            <w:tcW w:w="402" w:type="pct"/>
            <w:noWrap/>
            <w:textDirection w:val="btLr"/>
            <w:vAlign w:val="center"/>
            <w:hideMark/>
          </w:tcPr>
          <w:p w14:paraId="18EE029D" w14:textId="77777777" w:rsidR="00442AB3" w:rsidRPr="001C6742" w:rsidRDefault="00442AB3" w:rsidP="00457B16">
            <w:pPr>
              <w:spacing w:after="200" w:line="276" w:lineRule="auto"/>
              <w:jc w:val="center"/>
              <w:rPr>
                <w:rFonts w:asciiTheme="minorHAnsi" w:eastAsiaTheme="minorEastAsia" w:hAnsiTheme="minorHAnsi" w:cstheme="minorBidi"/>
                <w:b/>
                <w:sz w:val="24"/>
                <w:szCs w:val="24"/>
              </w:rPr>
            </w:pPr>
            <w:r w:rsidRPr="001C6742">
              <w:rPr>
                <w:rFonts w:asciiTheme="minorHAnsi" w:eastAsiaTheme="minorEastAsia" w:hAnsiTheme="minorHAnsi" w:cstheme="minorBidi"/>
                <w:b/>
                <w:sz w:val="24"/>
                <w:szCs w:val="24"/>
              </w:rPr>
              <w:t>Zone 7</w:t>
            </w:r>
          </w:p>
        </w:tc>
        <w:tc>
          <w:tcPr>
            <w:tcW w:w="403" w:type="pct"/>
            <w:noWrap/>
            <w:textDirection w:val="btLr"/>
            <w:vAlign w:val="center"/>
            <w:hideMark/>
          </w:tcPr>
          <w:p w14:paraId="7DE6FEC6" w14:textId="77777777" w:rsidR="00442AB3" w:rsidRPr="001C6742" w:rsidRDefault="00442AB3" w:rsidP="00457B16">
            <w:pPr>
              <w:spacing w:after="200" w:line="276" w:lineRule="auto"/>
              <w:jc w:val="center"/>
              <w:rPr>
                <w:rFonts w:asciiTheme="minorHAnsi" w:eastAsiaTheme="minorEastAsia" w:hAnsiTheme="minorHAnsi" w:cstheme="minorBidi"/>
                <w:b/>
                <w:sz w:val="24"/>
                <w:szCs w:val="24"/>
              </w:rPr>
            </w:pPr>
            <w:r w:rsidRPr="001C6742">
              <w:rPr>
                <w:rFonts w:asciiTheme="minorHAnsi" w:eastAsiaTheme="minorEastAsia" w:hAnsiTheme="minorHAnsi" w:cstheme="minorBidi"/>
                <w:b/>
                <w:sz w:val="24"/>
                <w:szCs w:val="24"/>
              </w:rPr>
              <w:t>Zone 8</w:t>
            </w:r>
          </w:p>
        </w:tc>
      </w:tr>
      <w:tr w:rsidR="00442AB3" w:rsidRPr="008467F7" w14:paraId="670DE2B5" w14:textId="77777777" w:rsidTr="00457B16">
        <w:trPr>
          <w:trHeight w:val="300"/>
          <w:jc w:val="center"/>
        </w:trPr>
        <w:tc>
          <w:tcPr>
            <w:tcW w:w="930" w:type="pct"/>
            <w:noWrap/>
          </w:tcPr>
          <w:p w14:paraId="331AE9D4" w14:textId="77777777" w:rsidR="00442AB3" w:rsidRPr="001C6742" w:rsidRDefault="00442AB3" w:rsidP="00457B16">
            <w:pPr>
              <w:spacing w:after="200" w:line="276" w:lineRule="auto"/>
              <w:rPr>
                <w:rFonts w:asciiTheme="minorHAnsi" w:eastAsiaTheme="minorEastAsia" w:hAnsiTheme="minorHAnsi" w:cstheme="minorBidi"/>
                <w:sz w:val="24"/>
                <w:szCs w:val="24"/>
              </w:rPr>
            </w:pPr>
            <w:r w:rsidRPr="001C6742">
              <w:rPr>
                <w:rFonts w:asciiTheme="minorHAnsi" w:eastAsiaTheme="minorEastAsia" w:hAnsiTheme="minorHAnsi" w:cstheme="minorBidi"/>
                <w:sz w:val="24"/>
                <w:szCs w:val="24"/>
              </w:rPr>
              <w:t>Broco Oil</w:t>
            </w:r>
          </w:p>
        </w:tc>
        <w:tc>
          <w:tcPr>
            <w:tcW w:w="851" w:type="pct"/>
          </w:tcPr>
          <w:p w14:paraId="2A8925CF" w14:textId="77777777" w:rsidR="00442AB3" w:rsidRPr="001C6742" w:rsidRDefault="00442AB3" w:rsidP="00457B16">
            <w:pPr>
              <w:spacing w:after="200" w:line="276" w:lineRule="auto"/>
              <w:rPr>
                <w:rFonts w:asciiTheme="minorHAnsi" w:eastAsiaTheme="minorEastAsia" w:hAnsiTheme="minorHAnsi" w:cstheme="minorBidi"/>
                <w:sz w:val="24"/>
                <w:szCs w:val="24"/>
              </w:rPr>
            </w:pPr>
            <w:r w:rsidRPr="001C6742">
              <w:rPr>
                <w:rFonts w:asciiTheme="minorHAnsi" w:eastAsiaTheme="minorEastAsia" w:hAnsiTheme="minorHAnsi" w:cstheme="minorBidi"/>
                <w:sz w:val="24"/>
                <w:szCs w:val="24"/>
              </w:rPr>
              <w:t>0.01%, 10 Days</w:t>
            </w:r>
          </w:p>
        </w:tc>
        <w:tc>
          <w:tcPr>
            <w:tcW w:w="402" w:type="pct"/>
            <w:noWrap/>
            <w:vAlign w:val="bottom"/>
          </w:tcPr>
          <w:p w14:paraId="6A7C4E16" w14:textId="77777777" w:rsidR="00442AB3" w:rsidRPr="001C6742" w:rsidRDefault="00442AB3" w:rsidP="00457B16">
            <w:pPr>
              <w:spacing w:after="200" w:line="276" w:lineRule="auto"/>
              <w:rPr>
                <w:rFonts w:asciiTheme="minorHAnsi" w:eastAsiaTheme="minorEastAsia" w:hAnsiTheme="minorHAnsi" w:cstheme="minorBidi"/>
                <w:sz w:val="24"/>
                <w:szCs w:val="24"/>
              </w:rPr>
            </w:pPr>
            <w:r w:rsidRPr="001C6742">
              <w:rPr>
                <w:rFonts w:asciiTheme="minorHAnsi" w:eastAsiaTheme="minorEastAsia" w:hAnsiTheme="minorHAnsi" w:cstheme="minorBidi"/>
                <w:sz w:val="24"/>
                <w:szCs w:val="24"/>
              </w:rPr>
              <w:t>0.2976</w:t>
            </w:r>
          </w:p>
        </w:tc>
        <w:tc>
          <w:tcPr>
            <w:tcW w:w="402" w:type="pct"/>
            <w:noWrap/>
            <w:vAlign w:val="bottom"/>
          </w:tcPr>
          <w:p w14:paraId="3DCCA4AB" w14:textId="77777777" w:rsidR="00442AB3" w:rsidRPr="001C6742" w:rsidRDefault="00442AB3" w:rsidP="00457B16">
            <w:pPr>
              <w:spacing w:after="200" w:line="276" w:lineRule="auto"/>
              <w:rPr>
                <w:rFonts w:asciiTheme="minorHAnsi" w:eastAsiaTheme="minorEastAsia" w:hAnsiTheme="minorHAnsi" w:cstheme="minorBidi"/>
                <w:sz w:val="24"/>
                <w:szCs w:val="24"/>
              </w:rPr>
            </w:pPr>
            <w:r w:rsidRPr="001C6742">
              <w:rPr>
                <w:rFonts w:asciiTheme="minorHAnsi" w:eastAsiaTheme="minorEastAsia" w:hAnsiTheme="minorHAnsi" w:cstheme="minorBidi"/>
                <w:sz w:val="24"/>
                <w:szCs w:val="24"/>
              </w:rPr>
              <w:t>0.2984</w:t>
            </w:r>
          </w:p>
        </w:tc>
        <w:tc>
          <w:tcPr>
            <w:tcW w:w="402" w:type="pct"/>
            <w:noWrap/>
          </w:tcPr>
          <w:p w14:paraId="6ED60591" w14:textId="77777777" w:rsidR="00442AB3" w:rsidRPr="001C6742" w:rsidRDefault="00442AB3" w:rsidP="00457B16">
            <w:pPr>
              <w:spacing w:after="200" w:line="276" w:lineRule="auto"/>
              <w:rPr>
                <w:rFonts w:asciiTheme="minorHAnsi" w:eastAsiaTheme="minorEastAsia" w:hAnsiTheme="minorHAnsi" w:cstheme="minorBidi"/>
                <w:sz w:val="24"/>
                <w:szCs w:val="24"/>
              </w:rPr>
            </w:pPr>
            <w:r w:rsidRPr="001C6742">
              <w:rPr>
                <w:rFonts w:asciiTheme="minorHAnsi" w:eastAsiaTheme="minorEastAsia" w:hAnsiTheme="minorHAnsi" w:cstheme="minorBidi"/>
                <w:sz w:val="24"/>
                <w:szCs w:val="24"/>
              </w:rPr>
              <w:t>N/A</w:t>
            </w:r>
          </w:p>
        </w:tc>
        <w:tc>
          <w:tcPr>
            <w:tcW w:w="403" w:type="pct"/>
            <w:noWrap/>
          </w:tcPr>
          <w:p w14:paraId="23A07687" w14:textId="77777777" w:rsidR="00442AB3" w:rsidRPr="001C6742" w:rsidRDefault="00442AB3" w:rsidP="00457B16">
            <w:pPr>
              <w:spacing w:after="200" w:line="276" w:lineRule="auto"/>
              <w:rPr>
                <w:rFonts w:asciiTheme="minorHAnsi" w:eastAsiaTheme="minorEastAsia" w:hAnsiTheme="minorHAnsi" w:cstheme="minorBidi"/>
                <w:sz w:val="24"/>
                <w:szCs w:val="24"/>
              </w:rPr>
            </w:pPr>
            <w:r w:rsidRPr="001C6742">
              <w:rPr>
                <w:rFonts w:asciiTheme="minorHAnsi" w:eastAsiaTheme="minorEastAsia" w:hAnsiTheme="minorHAnsi" w:cstheme="minorBidi"/>
                <w:sz w:val="24"/>
                <w:szCs w:val="24"/>
              </w:rPr>
              <w:t>N/A</w:t>
            </w:r>
          </w:p>
        </w:tc>
        <w:tc>
          <w:tcPr>
            <w:tcW w:w="402" w:type="pct"/>
            <w:noWrap/>
          </w:tcPr>
          <w:p w14:paraId="5DEFCD6B" w14:textId="77777777" w:rsidR="00442AB3" w:rsidRPr="001C6742" w:rsidRDefault="00442AB3" w:rsidP="00457B16">
            <w:pPr>
              <w:spacing w:after="200" w:line="276" w:lineRule="auto"/>
              <w:rPr>
                <w:rFonts w:asciiTheme="minorHAnsi" w:eastAsiaTheme="minorEastAsia" w:hAnsiTheme="minorHAnsi" w:cstheme="minorBidi"/>
                <w:sz w:val="24"/>
                <w:szCs w:val="24"/>
              </w:rPr>
            </w:pPr>
            <w:r w:rsidRPr="001C6742">
              <w:rPr>
                <w:rFonts w:asciiTheme="minorHAnsi" w:eastAsiaTheme="minorEastAsia" w:hAnsiTheme="minorHAnsi" w:cstheme="minorBidi"/>
                <w:sz w:val="24"/>
                <w:szCs w:val="24"/>
              </w:rPr>
              <w:t>0.4913</w:t>
            </w:r>
          </w:p>
        </w:tc>
        <w:tc>
          <w:tcPr>
            <w:tcW w:w="402" w:type="pct"/>
            <w:noWrap/>
          </w:tcPr>
          <w:p w14:paraId="53A85A6F" w14:textId="77777777" w:rsidR="00442AB3" w:rsidRPr="001C6742" w:rsidRDefault="00442AB3" w:rsidP="00457B16">
            <w:pPr>
              <w:spacing w:after="200" w:line="276" w:lineRule="auto"/>
              <w:rPr>
                <w:rFonts w:asciiTheme="minorHAnsi" w:eastAsiaTheme="minorEastAsia" w:hAnsiTheme="minorHAnsi" w:cstheme="minorBidi"/>
                <w:sz w:val="24"/>
                <w:szCs w:val="24"/>
              </w:rPr>
            </w:pPr>
            <w:r w:rsidRPr="001C6742">
              <w:rPr>
                <w:rFonts w:asciiTheme="minorHAnsi" w:eastAsiaTheme="minorEastAsia" w:hAnsiTheme="minorHAnsi" w:cstheme="minorBidi"/>
                <w:sz w:val="24"/>
                <w:szCs w:val="24"/>
              </w:rPr>
              <w:t>N/A</w:t>
            </w:r>
          </w:p>
        </w:tc>
        <w:tc>
          <w:tcPr>
            <w:tcW w:w="402" w:type="pct"/>
            <w:noWrap/>
          </w:tcPr>
          <w:p w14:paraId="7CA248FC" w14:textId="77777777" w:rsidR="00442AB3" w:rsidRPr="001C6742" w:rsidRDefault="00442AB3" w:rsidP="00457B16">
            <w:pPr>
              <w:spacing w:after="200" w:line="276" w:lineRule="auto"/>
              <w:rPr>
                <w:rFonts w:asciiTheme="minorHAnsi" w:eastAsiaTheme="minorEastAsia" w:hAnsiTheme="minorHAnsi" w:cstheme="minorBidi"/>
                <w:sz w:val="24"/>
                <w:szCs w:val="24"/>
              </w:rPr>
            </w:pPr>
            <w:r w:rsidRPr="001C6742">
              <w:rPr>
                <w:rFonts w:asciiTheme="minorHAnsi" w:eastAsiaTheme="minorEastAsia" w:hAnsiTheme="minorHAnsi" w:cstheme="minorBidi"/>
                <w:sz w:val="24"/>
                <w:szCs w:val="24"/>
              </w:rPr>
              <w:t>N/A</w:t>
            </w:r>
          </w:p>
        </w:tc>
        <w:tc>
          <w:tcPr>
            <w:tcW w:w="403" w:type="pct"/>
            <w:noWrap/>
          </w:tcPr>
          <w:p w14:paraId="78D6E4A1" w14:textId="77777777" w:rsidR="00442AB3" w:rsidRPr="001C6742" w:rsidRDefault="00442AB3" w:rsidP="00457B16">
            <w:pPr>
              <w:spacing w:after="200" w:line="276" w:lineRule="auto"/>
              <w:rPr>
                <w:rFonts w:asciiTheme="minorHAnsi" w:eastAsiaTheme="minorEastAsia" w:hAnsiTheme="minorHAnsi" w:cstheme="minorBidi"/>
                <w:sz w:val="24"/>
                <w:szCs w:val="24"/>
              </w:rPr>
            </w:pPr>
            <w:r w:rsidRPr="001C6742">
              <w:rPr>
                <w:rFonts w:asciiTheme="minorHAnsi" w:eastAsiaTheme="minorEastAsia" w:hAnsiTheme="minorHAnsi" w:cstheme="minorBidi"/>
                <w:sz w:val="24"/>
                <w:szCs w:val="24"/>
              </w:rPr>
              <w:t>N/A</w:t>
            </w:r>
          </w:p>
        </w:tc>
      </w:tr>
      <w:tr w:rsidR="00442AB3" w:rsidRPr="008467F7" w14:paraId="5C2EEF67" w14:textId="77777777" w:rsidTr="00457B16">
        <w:trPr>
          <w:trHeight w:val="300"/>
          <w:jc w:val="center"/>
        </w:trPr>
        <w:tc>
          <w:tcPr>
            <w:tcW w:w="930" w:type="pct"/>
            <w:noWrap/>
            <w:vAlign w:val="bottom"/>
          </w:tcPr>
          <w:p w14:paraId="1ABF1B17" w14:textId="77777777" w:rsidR="00442AB3" w:rsidRPr="001C6742" w:rsidRDefault="00442AB3" w:rsidP="00457B16">
            <w:pPr>
              <w:spacing w:after="200" w:line="276" w:lineRule="auto"/>
              <w:rPr>
                <w:rFonts w:asciiTheme="minorHAnsi" w:eastAsiaTheme="minorEastAsia" w:hAnsiTheme="minorHAnsi" w:cstheme="minorBidi"/>
                <w:sz w:val="24"/>
                <w:szCs w:val="24"/>
              </w:rPr>
            </w:pPr>
            <w:r w:rsidRPr="001C6742">
              <w:rPr>
                <w:rFonts w:asciiTheme="minorHAnsi" w:eastAsiaTheme="minorEastAsia" w:hAnsiTheme="minorHAnsi" w:cstheme="minorBidi"/>
                <w:sz w:val="24"/>
                <w:szCs w:val="24"/>
              </w:rPr>
              <w:t>East River</w:t>
            </w:r>
          </w:p>
        </w:tc>
        <w:tc>
          <w:tcPr>
            <w:tcW w:w="851" w:type="pct"/>
          </w:tcPr>
          <w:p w14:paraId="307EF2F6" w14:textId="77777777" w:rsidR="00442AB3" w:rsidRPr="001C6742" w:rsidRDefault="00442AB3" w:rsidP="00457B16">
            <w:pPr>
              <w:spacing w:after="200" w:line="276" w:lineRule="auto"/>
              <w:rPr>
                <w:rFonts w:asciiTheme="minorHAnsi" w:eastAsiaTheme="minorEastAsia" w:hAnsiTheme="minorHAnsi" w:cstheme="minorBidi"/>
                <w:sz w:val="24"/>
                <w:szCs w:val="24"/>
              </w:rPr>
            </w:pPr>
            <w:r w:rsidRPr="001C6742">
              <w:rPr>
                <w:rFonts w:asciiTheme="minorHAnsi" w:eastAsiaTheme="minorEastAsia" w:hAnsiTheme="minorHAnsi" w:cstheme="minorBidi"/>
                <w:sz w:val="24"/>
                <w:szCs w:val="24"/>
              </w:rPr>
              <w:t>0.0013%, 10 Days</w:t>
            </w:r>
          </w:p>
        </w:tc>
        <w:tc>
          <w:tcPr>
            <w:tcW w:w="402" w:type="pct"/>
            <w:noWrap/>
          </w:tcPr>
          <w:p w14:paraId="113B8449" w14:textId="77777777" w:rsidR="00442AB3" w:rsidRPr="001C6742" w:rsidRDefault="00442AB3" w:rsidP="00457B16">
            <w:pPr>
              <w:spacing w:after="200" w:line="276" w:lineRule="auto"/>
              <w:rPr>
                <w:rFonts w:asciiTheme="minorHAnsi" w:eastAsiaTheme="minorEastAsia" w:hAnsiTheme="minorHAnsi" w:cstheme="minorBidi"/>
                <w:sz w:val="24"/>
                <w:szCs w:val="24"/>
              </w:rPr>
            </w:pPr>
            <w:r w:rsidRPr="001C6742">
              <w:rPr>
                <w:rFonts w:asciiTheme="minorHAnsi" w:eastAsiaTheme="minorEastAsia" w:hAnsiTheme="minorHAnsi" w:cstheme="minorBidi"/>
                <w:sz w:val="24"/>
                <w:szCs w:val="24"/>
              </w:rPr>
              <w:t>N/A</w:t>
            </w:r>
          </w:p>
        </w:tc>
        <w:tc>
          <w:tcPr>
            <w:tcW w:w="402" w:type="pct"/>
            <w:noWrap/>
          </w:tcPr>
          <w:p w14:paraId="334EB1D9" w14:textId="77777777" w:rsidR="00442AB3" w:rsidRPr="001C6742" w:rsidRDefault="00442AB3" w:rsidP="00457B16">
            <w:pPr>
              <w:spacing w:after="200" w:line="276" w:lineRule="auto"/>
              <w:rPr>
                <w:rFonts w:asciiTheme="minorHAnsi" w:eastAsiaTheme="minorEastAsia" w:hAnsiTheme="minorHAnsi" w:cstheme="minorBidi"/>
                <w:sz w:val="24"/>
                <w:szCs w:val="24"/>
              </w:rPr>
            </w:pPr>
            <w:r w:rsidRPr="001C6742">
              <w:rPr>
                <w:rFonts w:asciiTheme="minorHAnsi" w:eastAsiaTheme="minorEastAsia" w:hAnsiTheme="minorHAnsi" w:cstheme="minorBidi"/>
                <w:sz w:val="24"/>
                <w:szCs w:val="24"/>
              </w:rPr>
              <w:t>N/A</w:t>
            </w:r>
          </w:p>
        </w:tc>
        <w:tc>
          <w:tcPr>
            <w:tcW w:w="402" w:type="pct"/>
            <w:noWrap/>
          </w:tcPr>
          <w:p w14:paraId="6D0996B0" w14:textId="77777777" w:rsidR="00442AB3" w:rsidRPr="001C6742" w:rsidRDefault="00442AB3" w:rsidP="00457B16">
            <w:pPr>
              <w:spacing w:after="200" w:line="276" w:lineRule="auto"/>
              <w:rPr>
                <w:rFonts w:asciiTheme="minorHAnsi" w:eastAsiaTheme="minorEastAsia" w:hAnsiTheme="minorHAnsi" w:cstheme="minorBidi"/>
                <w:sz w:val="24"/>
                <w:szCs w:val="24"/>
              </w:rPr>
            </w:pPr>
            <w:r w:rsidRPr="001C6742">
              <w:rPr>
                <w:rFonts w:asciiTheme="minorHAnsi" w:eastAsiaTheme="minorEastAsia" w:hAnsiTheme="minorHAnsi" w:cstheme="minorBidi"/>
                <w:sz w:val="24"/>
                <w:szCs w:val="24"/>
              </w:rPr>
              <w:t>N/A</w:t>
            </w:r>
          </w:p>
        </w:tc>
        <w:tc>
          <w:tcPr>
            <w:tcW w:w="403" w:type="pct"/>
            <w:noWrap/>
          </w:tcPr>
          <w:p w14:paraId="23E6DB5F" w14:textId="77777777" w:rsidR="00442AB3" w:rsidRPr="001C6742" w:rsidRDefault="00442AB3" w:rsidP="00457B16">
            <w:pPr>
              <w:spacing w:after="200" w:line="276" w:lineRule="auto"/>
              <w:rPr>
                <w:rFonts w:asciiTheme="minorHAnsi" w:eastAsiaTheme="minorEastAsia" w:hAnsiTheme="minorHAnsi" w:cstheme="minorBidi"/>
                <w:sz w:val="24"/>
                <w:szCs w:val="24"/>
              </w:rPr>
            </w:pPr>
            <w:r w:rsidRPr="001C6742">
              <w:rPr>
                <w:rFonts w:asciiTheme="minorHAnsi" w:eastAsiaTheme="minorEastAsia" w:hAnsiTheme="minorHAnsi" w:cstheme="minorBidi"/>
                <w:sz w:val="24"/>
                <w:szCs w:val="24"/>
              </w:rPr>
              <w:t>N/A</w:t>
            </w:r>
          </w:p>
        </w:tc>
        <w:tc>
          <w:tcPr>
            <w:tcW w:w="402" w:type="pct"/>
            <w:noWrap/>
          </w:tcPr>
          <w:p w14:paraId="6A7A81AF" w14:textId="77777777" w:rsidR="00442AB3" w:rsidRPr="001C6742" w:rsidRDefault="00442AB3" w:rsidP="00457B16">
            <w:pPr>
              <w:spacing w:after="200" w:line="276" w:lineRule="auto"/>
              <w:rPr>
                <w:rFonts w:asciiTheme="minorHAnsi" w:eastAsiaTheme="minorEastAsia" w:hAnsiTheme="minorHAnsi" w:cstheme="minorBidi"/>
                <w:sz w:val="24"/>
                <w:szCs w:val="24"/>
              </w:rPr>
            </w:pPr>
            <w:r w:rsidRPr="001C6742">
              <w:rPr>
                <w:rFonts w:asciiTheme="minorHAnsi" w:eastAsiaTheme="minorEastAsia" w:hAnsiTheme="minorHAnsi" w:cstheme="minorBidi"/>
                <w:sz w:val="24"/>
                <w:szCs w:val="24"/>
              </w:rPr>
              <w:t>N/A</w:t>
            </w:r>
          </w:p>
        </w:tc>
        <w:tc>
          <w:tcPr>
            <w:tcW w:w="402" w:type="pct"/>
            <w:noWrap/>
          </w:tcPr>
          <w:p w14:paraId="78CDFCEC" w14:textId="77777777" w:rsidR="00442AB3" w:rsidRPr="001C6742" w:rsidRDefault="00442AB3" w:rsidP="00457B16">
            <w:pPr>
              <w:spacing w:after="200" w:line="276" w:lineRule="auto"/>
              <w:rPr>
                <w:rFonts w:asciiTheme="minorHAnsi" w:eastAsiaTheme="minorEastAsia" w:hAnsiTheme="minorHAnsi" w:cstheme="minorBidi"/>
                <w:sz w:val="24"/>
                <w:szCs w:val="24"/>
              </w:rPr>
            </w:pPr>
            <w:r w:rsidRPr="001C6742">
              <w:rPr>
                <w:rFonts w:asciiTheme="minorHAnsi" w:eastAsiaTheme="minorEastAsia" w:hAnsiTheme="minorHAnsi" w:cstheme="minorBidi"/>
                <w:sz w:val="24"/>
                <w:szCs w:val="24"/>
              </w:rPr>
              <w:t>0.4850</w:t>
            </w:r>
          </w:p>
        </w:tc>
        <w:tc>
          <w:tcPr>
            <w:tcW w:w="402" w:type="pct"/>
            <w:noWrap/>
          </w:tcPr>
          <w:p w14:paraId="116CEE96" w14:textId="77777777" w:rsidR="00442AB3" w:rsidRPr="001C6742" w:rsidRDefault="00442AB3" w:rsidP="00457B16">
            <w:pPr>
              <w:spacing w:after="200" w:line="276" w:lineRule="auto"/>
              <w:rPr>
                <w:rFonts w:asciiTheme="minorHAnsi" w:eastAsiaTheme="minorEastAsia" w:hAnsiTheme="minorHAnsi" w:cstheme="minorBidi"/>
                <w:sz w:val="24"/>
                <w:szCs w:val="24"/>
              </w:rPr>
            </w:pPr>
            <w:r w:rsidRPr="001C6742">
              <w:rPr>
                <w:rFonts w:asciiTheme="minorHAnsi" w:eastAsiaTheme="minorEastAsia" w:hAnsiTheme="minorHAnsi" w:cstheme="minorBidi"/>
                <w:sz w:val="24"/>
                <w:szCs w:val="24"/>
              </w:rPr>
              <w:t>N/A</w:t>
            </w:r>
          </w:p>
        </w:tc>
        <w:tc>
          <w:tcPr>
            <w:tcW w:w="403" w:type="pct"/>
            <w:noWrap/>
          </w:tcPr>
          <w:p w14:paraId="1B09A5EB" w14:textId="77777777" w:rsidR="00442AB3" w:rsidRPr="001C6742" w:rsidRDefault="00442AB3" w:rsidP="00457B16">
            <w:pPr>
              <w:spacing w:after="200" w:line="276" w:lineRule="auto"/>
              <w:rPr>
                <w:rFonts w:asciiTheme="minorHAnsi" w:eastAsiaTheme="minorEastAsia" w:hAnsiTheme="minorHAnsi" w:cstheme="minorBidi"/>
                <w:sz w:val="24"/>
                <w:szCs w:val="24"/>
              </w:rPr>
            </w:pPr>
            <w:r w:rsidRPr="001C6742">
              <w:rPr>
                <w:rFonts w:asciiTheme="minorHAnsi" w:eastAsiaTheme="minorEastAsia" w:hAnsiTheme="minorHAnsi" w:cstheme="minorBidi"/>
                <w:sz w:val="24"/>
                <w:szCs w:val="24"/>
              </w:rPr>
              <w:t>N/A</w:t>
            </w:r>
          </w:p>
        </w:tc>
      </w:tr>
      <w:tr w:rsidR="00442AB3" w:rsidRPr="008467F7" w14:paraId="6A19C42D" w14:textId="77777777" w:rsidTr="00457B16">
        <w:trPr>
          <w:trHeight w:val="300"/>
          <w:jc w:val="center"/>
        </w:trPr>
        <w:tc>
          <w:tcPr>
            <w:tcW w:w="930" w:type="pct"/>
            <w:noWrap/>
            <w:vAlign w:val="bottom"/>
          </w:tcPr>
          <w:p w14:paraId="0FA323C1"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Global Montello</w:t>
            </w:r>
          </w:p>
        </w:tc>
        <w:tc>
          <w:tcPr>
            <w:tcW w:w="851" w:type="pct"/>
          </w:tcPr>
          <w:p w14:paraId="009F54B8"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iCs/>
                <w:sz w:val="24"/>
                <w:szCs w:val="24"/>
              </w:rPr>
              <w:t>0.01%</w:t>
            </w:r>
            <w:r>
              <w:rPr>
                <w:rFonts w:asciiTheme="minorHAnsi" w:eastAsiaTheme="minorEastAsia" w:hAnsiTheme="minorHAnsi" w:cstheme="minorBidi"/>
                <w:iCs/>
                <w:sz w:val="24"/>
                <w:szCs w:val="24"/>
              </w:rPr>
              <w:t>,</w:t>
            </w:r>
            <w:r w:rsidRPr="001C6742">
              <w:rPr>
                <w:rFonts w:asciiTheme="minorHAnsi" w:eastAsiaTheme="minorEastAsia" w:hAnsiTheme="minorHAnsi" w:cstheme="minorBidi"/>
                <w:iCs/>
                <w:sz w:val="24"/>
                <w:szCs w:val="24"/>
              </w:rPr>
              <w:t xml:space="preserve"> 10 Days</w:t>
            </w:r>
          </w:p>
        </w:tc>
        <w:tc>
          <w:tcPr>
            <w:tcW w:w="402" w:type="pct"/>
            <w:noWrap/>
          </w:tcPr>
          <w:p w14:paraId="7B81D3C2"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0.7500</w:t>
            </w:r>
          </w:p>
        </w:tc>
        <w:tc>
          <w:tcPr>
            <w:tcW w:w="402" w:type="pct"/>
            <w:noWrap/>
          </w:tcPr>
          <w:p w14:paraId="3EA5AD2B"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0.7500</w:t>
            </w:r>
          </w:p>
        </w:tc>
        <w:tc>
          <w:tcPr>
            <w:tcW w:w="402" w:type="pct"/>
            <w:noWrap/>
          </w:tcPr>
          <w:p w14:paraId="74F11B04"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0.7500</w:t>
            </w:r>
          </w:p>
        </w:tc>
        <w:tc>
          <w:tcPr>
            <w:tcW w:w="403" w:type="pct"/>
            <w:noWrap/>
          </w:tcPr>
          <w:p w14:paraId="60A664D5"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0.7500</w:t>
            </w:r>
          </w:p>
        </w:tc>
        <w:tc>
          <w:tcPr>
            <w:tcW w:w="402" w:type="pct"/>
            <w:noWrap/>
          </w:tcPr>
          <w:p w14:paraId="6A772D4C"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0.7500</w:t>
            </w:r>
          </w:p>
        </w:tc>
        <w:tc>
          <w:tcPr>
            <w:tcW w:w="402" w:type="pct"/>
            <w:noWrap/>
          </w:tcPr>
          <w:p w14:paraId="7911A85A"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0.7500</w:t>
            </w:r>
          </w:p>
        </w:tc>
        <w:tc>
          <w:tcPr>
            <w:tcW w:w="402" w:type="pct"/>
            <w:noWrap/>
          </w:tcPr>
          <w:p w14:paraId="35748C8B"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0.7500</w:t>
            </w:r>
          </w:p>
        </w:tc>
        <w:tc>
          <w:tcPr>
            <w:tcW w:w="403" w:type="pct"/>
            <w:noWrap/>
          </w:tcPr>
          <w:p w14:paraId="5340701C"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0.7500</w:t>
            </w:r>
          </w:p>
        </w:tc>
      </w:tr>
      <w:tr w:rsidR="00442AB3" w:rsidRPr="008467F7" w14:paraId="180FD92F" w14:textId="77777777" w:rsidTr="00457B16">
        <w:trPr>
          <w:trHeight w:val="300"/>
          <w:jc w:val="center"/>
        </w:trPr>
        <w:tc>
          <w:tcPr>
            <w:tcW w:w="930" w:type="pct"/>
            <w:noWrap/>
            <w:vAlign w:val="bottom"/>
          </w:tcPr>
          <w:p w14:paraId="7987E2A9"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Peterson's Oil</w:t>
            </w:r>
          </w:p>
        </w:tc>
        <w:tc>
          <w:tcPr>
            <w:tcW w:w="851" w:type="pct"/>
          </w:tcPr>
          <w:p w14:paraId="6D0F784F"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0.3%</w:t>
            </w:r>
            <w:r>
              <w:rPr>
                <w:rFonts w:asciiTheme="minorHAnsi" w:eastAsiaTheme="minorEastAsia" w:hAnsiTheme="minorHAnsi" w:cstheme="minorBidi"/>
                <w:sz w:val="24"/>
                <w:szCs w:val="24"/>
              </w:rPr>
              <w:t>,</w:t>
            </w:r>
            <w:r w:rsidRPr="001C6742">
              <w:rPr>
                <w:rFonts w:asciiTheme="minorHAnsi" w:eastAsiaTheme="minorEastAsia" w:hAnsiTheme="minorHAnsi" w:cstheme="minorBidi"/>
                <w:sz w:val="24"/>
                <w:szCs w:val="24"/>
              </w:rPr>
              <w:t xml:space="preserve"> 15 Days</w:t>
            </w:r>
          </w:p>
        </w:tc>
        <w:tc>
          <w:tcPr>
            <w:tcW w:w="402" w:type="pct"/>
            <w:noWrap/>
          </w:tcPr>
          <w:p w14:paraId="058765EA"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0.5500</w:t>
            </w:r>
          </w:p>
        </w:tc>
        <w:tc>
          <w:tcPr>
            <w:tcW w:w="402" w:type="pct"/>
            <w:noWrap/>
          </w:tcPr>
          <w:p w14:paraId="365D752F"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0.5500</w:t>
            </w:r>
          </w:p>
        </w:tc>
        <w:tc>
          <w:tcPr>
            <w:tcW w:w="402" w:type="pct"/>
            <w:noWrap/>
          </w:tcPr>
          <w:p w14:paraId="3A65683D"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0.5500</w:t>
            </w:r>
          </w:p>
        </w:tc>
        <w:tc>
          <w:tcPr>
            <w:tcW w:w="403" w:type="pct"/>
            <w:noWrap/>
          </w:tcPr>
          <w:p w14:paraId="5F5CAFAB"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0.5500</w:t>
            </w:r>
          </w:p>
        </w:tc>
        <w:tc>
          <w:tcPr>
            <w:tcW w:w="402" w:type="pct"/>
            <w:noWrap/>
          </w:tcPr>
          <w:p w14:paraId="01CC2637"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0.5500</w:t>
            </w:r>
          </w:p>
        </w:tc>
        <w:tc>
          <w:tcPr>
            <w:tcW w:w="402" w:type="pct"/>
            <w:noWrap/>
          </w:tcPr>
          <w:p w14:paraId="0FE2BF76"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0.5500</w:t>
            </w:r>
          </w:p>
        </w:tc>
        <w:tc>
          <w:tcPr>
            <w:tcW w:w="402" w:type="pct"/>
            <w:noWrap/>
          </w:tcPr>
          <w:p w14:paraId="08D7BD2F"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0.5500</w:t>
            </w:r>
          </w:p>
        </w:tc>
        <w:tc>
          <w:tcPr>
            <w:tcW w:w="403" w:type="pct"/>
            <w:noWrap/>
          </w:tcPr>
          <w:p w14:paraId="578157BD"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0.5500</w:t>
            </w:r>
          </w:p>
        </w:tc>
      </w:tr>
      <w:tr w:rsidR="00442AB3" w:rsidRPr="008467F7" w14:paraId="7C5B1FB9" w14:textId="77777777" w:rsidTr="00457B16">
        <w:trPr>
          <w:trHeight w:val="300"/>
          <w:jc w:val="center"/>
        </w:trPr>
        <w:tc>
          <w:tcPr>
            <w:tcW w:w="930" w:type="pct"/>
            <w:noWrap/>
            <w:vAlign w:val="bottom"/>
          </w:tcPr>
          <w:p w14:paraId="330BACA7"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Sprague Operating Resources</w:t>
            </w:r>
          </w:p>
        </w:tc>
        <w:tc>
          <w:tcPr>
            <w:tcW w:w="851" w:type="pct"/>
          </w:tcPr>
          <w:p w14:paraId="61EB4E92"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1%</w:t>
            </w:r>
            <w:r>
              <w:rPr>
                <w:rFonts w:asciiTheme="minorHAnsi" w:eastAsiaTheme="minorEastAsia" w:hAnsiTheme="minorHAnsi" w:cstheme="minorBidi"/>
                <w:sz w:val="24"/>
                <w:szCs w:val="24"/>
              </w:rPr>
              <w:t>,</w:t>
            </w:r>
            <w:r w:rsidRPr="001C6742">
              <w:rPr>
                <w:rFonts w:asciiTheme="minorHAnsi" w:eastAsiaTheme="minorEastAsia" w:hAnsiTheme="minorHAnsi" w:cstheme="minorBidi"/>
                <w:sz w:val="24"/>
                <w:szCs w:val="24"/>
              </w:rPr>
              <w:t xml:space="preserve"> 10 Days</w:t>
            </w:r>
          </w:p>
        </w:tc>
        <w:tc>
          <w:tcPr>
            <w:tcW w:w="402" w:type="pct"/>
            <w:noWrap/>
          </w:tcPr>
          <w:p w14:paraId="1B3210F5"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N/A</w:t>
            </w:r>
          </w:p>
        </w:tc>
        <w:tc>
          <w:tcPr>
            <w:tcW w:w="402" w:type="pct"/>
            <w:noWrap/>
          </w:tcPr>
          <w:p w14:paraId="6AC13947"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iCs/>
                <w:sz w:val="24"/>
                <w:szCs w:val="24"/>
              </w:rPr>
              <w:t>0.4754</w:t>
            </w:r>
          </w:p>
        </w:tc>
        <w:tc>
          <w:tcPr>
            <w:tcW w:w="402" w:type="pct"/>
            <w:noWrap/>
          </w:tcPr>
          <w:p w14:paraId="11BF546E"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N/A</w:t>
            </w:r>
          </w:p>
        </w:tc>
        <w:tc>
          <w:tcPr>
            <w:tcW w:w="403" w:type="pct"/>
            <w:noWrap/>
          </w:tcPr>
          <w:p w14:paraId="7416A832"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iCs/>
                <w:sz w:val="24"/>
                <w:szCs w:val="24"/>
              </w:rPr>
              <w:t>0.7274</w:t>
            </w:r>
          </w:p>
        </w:tc>
        <w:tc>
          <w:tcPr>
            <w:tcW w:w="402" w:type="pct"/>
            <w:noWrap/>
          </w:tcPr>
          <w:p w14:paraId="243F74C3"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N/A</w:t>
            </w:r>
          </w:p>
        </w:tc>
        <w:tc>
          <w:tcPr>
            <w:tcW w:w="402" w:type="pct"/>
            <w:noWrap/>
          </w:tcPr>
          <w:p w14:paraId="316F1437"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N/A</w:t>
            </w:r>
          </w:p>
        </w:tc>
        <w:tc>
          <w:tcPr>
            <w:tcW w:w="402" w:type="pct"/>
            <w:noWrap/>
          </w:tcPr>
          <w:p w14:paraId="0D673E60"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0.4937</w:t>
            </w:r>
          </w:p>
        </w:tc>
        <w:tc>
          <w:tcPr>
            <w:tcW w:w="403" w:type="pct"/>
            <w:noWrap/>
          </w:tcPr>
          <w:p w14:paraId="4CD0ABC9" w14:textId="77777777" w:rsidR="00442AB3" w:rsidRPr="001C6742" w:rsidRDefault="00442AB3" w:rsidP="00457B16">
            <w:pPr>
              <w:spacing w:after="200" w:line="276" w:lineRule="auto"/>
              <w:rPr>
                <w:rFonts w:asciiTheme="minorHAnsi" w:eastAsiaTheme="minorEastAsia" w:hAnsiTheme="minorHAnsi" w:cstheme="minorBidi"/>
                <w:iCs/>
                <w:sz w:val="24"/>
                <w:szCs w:val="24"/>
              </w:rPr>
            </w:pPr>
            <w:r w:rsidRPr="001C6742">
              <w:rPr>
                <w:rFonts w:asciiTheme="minorHAnsi" w:eastAsiaTheme="minorEastAsia" w:hAnsiTheme="minorHAnsi" w:cstheme="minorBidi"/>
                <w:sz w:val="24"/>
                <w:szCs w:val="24"/>
              </w:rPr>
              <w:t>0.4937</w:t>
            </w:r>
          </w:p>
        </w:tc>
      </w:tr>
    </w:tbl>
    <w:p w14:paraId="4EDCF704" w14:textId="77777777" w:rsidR="00442AB3" w:rsidRDefault="00442AB3" w:rsidP="00442AB3">
      <w:pPr>
        <w:pStyle w:val="Heading3"/>
      </w:pPr>
      <w:bookmarkStart w:id="27" w:name="_Toc2060278847"/>
      <w:bookmarkStart w:id="28" w:name="_Toc207365986"/>
      <w:bookmarkStart w:id="29" w:name="_Toc209710794"/>
      <w:bookmarkEnd w:id="26"/>
      <w:r>
        <w:t>Additional Taxes and Federal Environmental Fees</w:t>
      </w:r>
      <w:bookmarkEnd w:id="27"/>
      <w:bookmarkEnd w:id="28"/>
      <w:bookmarkEnd w:id="29"/>
    </w:p>
    <w:p w14:paraId="0DFD2335" w14:textId="77777777" w:rsidR="00442AB3" w:rsidRPr="00E77DE0" w:rsidRDefault="00442AB3" w:rsidP="00442AB3">
      <w:pPr>
        <w:rPr>
          <w:sz w:val="24"/>
          <w:szCs w:val="24"/>
        </w:rPr>
      </w:pPr>
      <w:r w:rsidRPr="00E77DE0">
        <w:rPr>
          <w:sz w:val="24"/>
          <w:szCs w:val="24"/>
        </w:rPr>
        <w:t>The following additional taxes and federal environmental fees are to be billed as separate line items on invoices:</w:t>
      </w:r>
    </w:p>
    <w:p w14:paraId="433C580F" w14:textId="77777777" w:rsidR="00442AB3" w:rsidRPr="00E076E2" w:rsidRDefault="00442AB3" w:rsidP="00FF7DB5">
      <w:pPr>
        <w:numPr>
          <w:ilvl w:val="0"/>
          <w:numId w:val="14"/>
        </w:numPr>
        <w:spacing w:after="0"/>
        <w:rPr>
          <w:rFonts w:ascii="Calibri" w:hAnsi="Calibri" w:cs="Calibri"/>
          <w:sz w:val="24"/>
          <w:szCs w:val="24"/>
        </w:rPr>
      </w:pPr>
      <w:r w:rsidRPr="00E46590">
        <w:rPr>
          <w:rFonts w:ascii="Calibri" w:hAnsi="Calibri" w:cs="Calibri"/>
          <w:b/>
          <w:bCs/>
          <w:sz w:val="24"/>
          <w:szCs w:val="24"/>
        </w:rPr>
        <w:t>Federal Leaking Underground Storage Tank (LUST):</w:t>
      </w:r>
      <w:r w:rsidRPr="00E076E2">
        <w:rPr>
          <w:rFonts w:ascii="Calibri" w:hAnsi="Calibri" w:cs="Calibri"/>
          <w:sz w:val="24"/>
          <w:szCs w:val="24"/>
        </w:rPr>
        <w:t xml:space="preserve"> </w:t>
      </w:r>
      <w:r w:rsidRPr="00E46590">
        <w:rPr>
          <w:rFonts w:ascii="Calibri" w:hAnsi="Calibri" w:cs="Calibri"/>
          <w:sz w:val="24"/>
          <w:szCs w:val="24"/>
        </w:rPr>
        <w:t>$.001</w:t>
      </w:r>
      <w:r w:rsidRPr="00E076E2">
        <w:rPr>
          <w:rFonts w:ascii="Calibri" w:hAnsi="Calibri" w:cs="Calibri"/>
          <w:sz w:val="24"/>
          <w:szCs w:val="24"/>
        </w:rPr>
        <w:t xml:space="preserve"> per gallon</w:t>
      </w:r>
    </w:p>
    <w:p w14:paraId="7D0B0CF0" w14:textId="77777777" w:rsidR="00442AB3" w:rsidRPr="00E076E2" w:rsidRDefault="00442AB3" w:rsidP="00FF7DB5">
      <w:pPr>
        <w:numPr>
          <w:ilvl w:val="0"/>
          <w:numId w:val="14"/>
        </w:numPr>
        <w:spacing w:after="0"/>
        <w:rPr>
          <w:rFonts w:ascii="Calibri" w:hAnsi="Calibri" w:cs="Calibri"/>
          <w:sz w:val="24"/>
          <w:szCs w:val="24"/>
        </w:rPr>
      </w:pPr>
      <w:r w:rsidRPr="00E46590">
        <w:rPr>
          <w:rFonts w:ascii="Calibri" w:hAnsi="Calibri" w:cs="Calibri"/>
          <w:b/>
          <w:bCs/>
          <w:sz w:val="24"/>
          <w:szCs w:val="24"/>
        </w:rPr>
        <w:t>Federal Oil Spill Liability Trust Fund:</w:t>
      </w:r>
      <w:r w:rsidRPr="00E076E2">
        <w:rPr>
          <w:rFonts w:ascii="Calibri" w:hAnsi="Calibri" w:cs="Calibri"/>
          <w:sz w:val="24"/>
          <w:szCs w:val="24"/>
        </w:rPr>
        <w:t xml:space="preserve"> </w:t>
      </w:r>
      <w:r w:rsidRPr="00E46590">
        <w:rPr>
          <w:rFonts w:ascii="Calibri" w:hAnsi="Calibri" w:cs="Calibri"/>
          <w:sz w:val="24"/>
          <w:szCs w:val="24"/>
        </w:rPr>
        <w:t>$0.00214</w:t>
      </w:r>
      <w:r w:rsidRPr="00E076E2">
        <w:rPr>
          <w:rFonts w:ascii="Calibri" w:hAnsi="Calibri" w:cs="Calibri"/>
          <w:sz w:val="24"/>
          <w:szCs w:val="24"/>
        </w:rPr>
        <w:t xml:space="preserve"> per gallon </w:t>
      </w:r>
    </w:p>
    <w:p w14:paraId="2BFC5D0F" w14:textId="77777777" w:rsidR="00442AB3" w:rsidRPr="00E076E2" w:rsidRDefault="00442AB3" w:rsidP="00FF7DB5">
      <w:pPr>
        <w:numPr>
          <w:ilvl w:val="0"/>
          <w:numId w:val="14"/>
        </w:numPr>
        <w:spacing w:after="0"/>
        <w:rPr>
          <w:rFonts w:ascii="Calibri" w:hAnsi="Calibri" w:cs="Calibri"/>
          <w:sz w:val="24"/>
          <w:szCs w:val="24"/>
        </w:rPr>
      </w:pPr>
      <w:r w:rsidRPr="00E46590">
        <w:rPr>
          <w:rFonts w:ascii="Calibri" w:hAnsi="Calibri" w:cs="Calibri"/>
          <w:b/>
          <w:bCs/>
          <w:sz w:val="24"/>
          <w:szCs w:val="24"/>
        </w:rPr>
        <w:lastRenderedPageBreak/>
        <w:t>Massachusetts Uniform Oil Response Fee:</w:t>
      </w:r>
      <w:r w:rsidRPr="00E076E2">
        <w:rPr>
          <w:rFonts w:ascii="Calibri" w:hAnsi="Calibri" w:cs="Calibri"/>
          <w:sz w:val="24"/>
          <w:szCs w:val="24"/>
        </w:rPr>
        <w:t xml:space="preserve"> </w:t>
      </w:r>
      <w:r w:rsidRPr="00E46590">
        <w:rPr>
          <w:rFonts w:ascii="Calibri" w:hAnsi="Calibri" w:cs="Calibri"/>
          <w:sz w:val="24"/>
          <w:szCs w:val="24"/>
        </w:rPr>
        <w:t>$0.00119</w:t>
      </w:r>
      <w:r w:rsidRPr="00E076E2">
        <w:rPr>
          <w:rFonts w:ascii="Calibri" w:hAnsi="Calibri" w:cs="Calibri"/>
          <w:sz w:val="24"/>
          <w:szCs w:val="24"/>
        </w:rPr>
        <w:t xml:space="preserve"> per gallon</w:t>
      </w:r>
    </w:p>
    <w:p w14:paraId="0B8AC452" w14:textId="77777777" w:rsidR="00442AB3" w:rsidRPr="00E076E2" w:rsidRDefault="00442AB3" w:rsidP="00FF7DB5">
      <w:pPr>
        <w:numPr>
          <w:ilvl w:val="0"/>
          <w:numId w:val="14"/>
        </w:numPr>
        <w:spacing w:after="0"/>
        <w:rPr>
          <w:rFonts w:ascii="Calibri" w:hAnsi="Calibri" w:cs="Calibri"/>
          <w:sz w:val="24"/>
          <w:szCs w:val="24"/>
        </w:rPr>
      </w:pPr>
      <w:r w:rsidRPr="00E46590">
        <w:rPr>
          <w:rFonts w:cstheme="minorHAnsi"/>
          <w:b/>
          <w:bCs/>
          <w:sz w:val="24"/>
          <w:szCs w:val="24"/>
        </w:rPr>
        <w:t>National Oil heat Research Alliance (NORA) Fee:</w:t>
      </w:r>
      <w:r w:rsidRPr="00E076E2">
        <w:rPr>
          <w:rFonts w:cstheme="minorHAnsi"/>
          <w:sz w:val="24"/>
          <w:szCs w:val="24"/>
        </w:rPr>
        <w:t xml:space="preserve"> </w:t>
      </w:r>
      <w:r w:rsidRPr="00E46590">
        <w:rPr>
          <w:rFonts w:cstheme="minorHAnsi"/>
          <w:sz w:val="24"/>
          <w:szCs w:val="24"/>
        </w:rPr>
        <w:t>$0.0020</w:t>
      </w:r>
      <w:r w:rsidRPr="00E076E2">
        <w:rPr>
          <w:rFonts w:cstheme="minorHAnsi"/>
          <w:sz w:val="24"/>
          <w:szCs w:val="24"/>
        </w:rPr>
        <w:t xml:space="preserve"> per gallon</w:t>
      </w:r>
    </w:p>
    <w:p w14:paraId="659A3648" w14:textId="77777777" w:rsidR="00442AB3" w:rsidRPr="00E46590" w:rsidRDefault="00442AB3" w:rsidP="00FF7DB5">
      <w:pPr>
        <w:numPr>
          <w:ilvl w:val="0"/>
          <w:numId w:val="14"/>
        </w:numPr>
        <w:spacing w:after="0"/>
        <w:rPr>
          <w:rFonts w:ascii="Calibri" w:hAnsi="Calibri" w:cs="Calibri"/>
          <w:sz w:val="24"/>
          <w:szCs w:val="24"/>
        </w:rPr>
      </w:pPr>
      <w:r w:rsidRPr="00E46590">
        <w:rPr>
          <w:rFonts w:ascii="Calibri" w:hAnsi="Calibri" w:cs="Calibri"/>
          <w:b/>
          <w:bCs/>
          <w:sz w:val="24"/>
          <w:szCs w:val="24"/>
        </w:rPr>
        <w:t>Inflation Reduction Act Federal Superfund Tax:</w:t>
      </w:r>
      <w:r w:rsidRPr="00E076E2">
        <w:rPr>
          <w:rFonts w:ascii="Calibri" w:hAnsi="Calibri" w:cs="Calibri"/>
          <w:sz w:val="24"/>
          <w:szCs w:val="24"/>
        </w:rPr>
        <w:t xml:space="preserve"> </w:t>
      </w:r>
      <w:r w:rsidRPr="00E46590">
        <w:rPr>
          <w:rFonts w:ascii="Calibri" w:hAnsi="Calibri" w:cs="Calibri"/>
          <w:sz w:val="24"/>
          <w:szCs w:val="24"/>
        </w:rPr>
        <w:t>$0.00619</w:t>
      </w:r>
      <w:r w:rsidRPr="00E076E2">
        <w:rPr>
          <w:rFonts w:ascii="Calibri" w:hAnsi="Calibri" w:cs="Calibri"/>
          <w:sz w:val="24"/>
          <w:szCs w:val="24"/>
        </w:rPr>
        <w:t xml:space="preserve"> per gallon. </w:t>
      </w:r>
      <w:r w:rsidRPr="00E46590">
        <w:rPr>
          <w:rFonts w:ascii="Calibri" w:hAnsi="Calibri" w:cs="Calibri"/>
          <w:sz w:val="24"/>
          <w:szCs w:val="24"/>
        </w:rPr>
        <w:t>The Superfund tax was reinstated beginning 1/01/2023 and is adjusted annually for inflation. The inflation adjusted rate for 2024 is $0.26 cents per barrel of crude beginning 01/01/2024.</w:t>
      </w:r>
    </w:p>
    <w:p w14:paraId="682166B5" w14:textId="77777777" w:rsidR="00442AB3" w:rsidRPr="00E076E2" w:rsidRDefault="00442AB3" w:rsidP="00442AB3">
      <w:pPr>
        <w:spacing w:after="0"/>
        <w:ind w:left="360"/>
        <w:rPr>
          <w:rFonts w:ascii="Calibri" w:hAnsi="Calibri" w:cs="Calibri"/>
          <w:sz w:val="24"/>
          <w:szCs w:val="24"/>
        </w:rPr>
      </w:pPr>
    </w:p>
    <w:p w14:paraId="42F43A50" w14:textId="646E25F0" w:rsidR="00F35A63" w:rsidRDefault="00442AB3" w:rsidP="00442AB3">
      <w:pPr>
        <w:rPr>
          <w:sz w:val="24"/>
          <w:szCs w:val="24"/>
        </w:rPr>
      </w:pPr>
      <w:bookmarkStart w:id="30" w:name="_Hlk193714773"/>
      <w:r w:rsidRPr="00BC75FE">
        <w:rPr>
          <w:b/>
          <w:bCs/>
          <w:sz w:val="24"/>
          <w:szCs w:val="24"/>
        </w:rPr>
        <w:t>Note:</w:t>
      </w:r>
      <w:r w:rsidRPr="00BC75FE">
        <w:rPr>
          <w:sz w:val="24"/>
          <w:szCs w:val="24"/>
        </w:rPr>
        <w:t xml:space="preserve"> The price files and vendor catalogs are accessible through public view in COMMBUYS; therefore, buyers </w:t>
      </w:r>
      <w:r>
        <w:rPr>
          <w:sz w:val="24"/>
          <w:szCs w:val="24"/>
        </w:rPr>
        <w:t>may</w:t>
      </w:r>
      <w:r w:rsidRPr="00BC75FE">
        <w:rPr>
          <w:sz w:val="24"/>
          <w:szCs w:val="24"/>
        </w:rPr>
        <w:t xml:space="preserve"> access the price files and vendor catalogs without sign</w:t>
      </w:r>
      <w:r>
        <w:rPr>
          <w:sz w:val="24"/>
          <w:szCs w:val="24"/>
        </w:rPr>
        <w:t>ing</w:t>
      </w:r>
      <w:r w:rsidRPr="00BC75FE">
        <w:rPr>
          <w:sz w:val="24"/>
          <w:szCs w:val="24"/>
        </w:rPr>
        <w:t xml:space="preserve"> into a COMMBUYS account.</w:t>
      </w:r>
      <w:bookmarkEnd w:id="30"/>
    </w:p>
    <w:p w14:paraId="6BC7CA37" w14:textId="77777777" w:rsidR="00AF2A37" w:rsidRPr="00BC75FE" w:rsidRDefault="00AF2A37" w:rsidP="00AF2A37">
      <w:pPr>
        <w:pStyle w:val="Heading2"/>
      </w:pPr>
      <w:bookmarkStart w:id="31" w:name="_Toc207365987"/>
      <w:bookmarkStart w:id="32" w:name="_Toc209710795"/>
      <w:r>
        <w:t>Product Pricing and Finding Vendor Price Files</w:t>
      </w:r>
      <w:bookmarkEnd w:id="31"/>
      <w:bookmarkEnd w:id="32"/>
    </w:p>
    <w:p w14:paraId="6AA588CE" w14:textId="77777777" w:rsidR="00AF2A37" w:rsidRPr="00BC75FE" w:rsidRDefault="00AF2A37" w:rsidP="00AF2A37">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6B7E252B" w14:textId="77777777" w:rsidR="00AF2A37" w:rsidRDefault="00AF2A37" w:rsidP="00AF2A37">
      <w:pPr>
        <w:pStyle w:val="Heading2"/>
      </w:pPr>
      <w:bookmarkStart w:id="33" w:name="_Quote_Response_and"/>
      <w:bookmarkStart w:id="34" w:name="_Toc207365988"/>
      <w:bookmarkStart w:id="35" w:name="_Toc194066598"/>
      <w:bookmarkStart w:id="36" w:name="_Toc209710796"/>
      <w:bookmarkEnd w:id="33"/>
      <w:r>
        <w:t>Quote Response and Requirements</w:t>
      </w:r>
      <w:bookmarkEnd w:id="34"/>
      <w:bookmarkEnd w:id="36"/>
      <w:r>
        <w:t xml:space="preserve"> </w:t>
      </w:r>
      <w:bookmarkEnd w:id="35"/>
    </w:p>
    <w:p w14:paraId="6164D6C2" w14:textId="77777777" w:rsidR="00AF2A37" w:rsidRPr="008222EB" w:rsidRDefault="00AF2A37" w:rsidP="00AF2A37">
      <w:pPr>
        <w:rPr>
          <w:sz w:val="24"/>
          <w:szCs w:val="24"/>
        </w:rPr>
      </w:pPr>
      <w:r w:rsidRPr="008222EB">
        <w:rPr>
          <w:sz w:val="24"/>
          <w:szCs w:val="24"/>
        </w:rPr>
        <w:t>Buyers should review the available pricing information when choosing a vendor but are not required to obtain multiple quotes.</w:t>
      </w:r>
    </w:p>
    <w:p w14:paraId="748FBF4B" w14:textId="12BA04FE" w:rsidR="00AF2A37" w:rsidRDefault="00AF2A37" w:rsidP="00AF2A37">
      <w:pPr>
        <w:rPr>
          <w:sz w:val="24"/>
          <w:szCs w:val="24"/>
        </w:rPr>
      </w:pPr>
      <w:r>
        <w:rPr>
          <w:sz w:val="24"/>
          <w:szCs w:val="24"/>
        </w:rPr>
        <w:t xml:space="preserve">In addition, </w:t>
      </w:r>
      <w:r w:rsidRPr="00047534">
        <w:rPr>
          <w:sz w:val="24"/>
          <w:szCs w:val="24"/>
        </w:rPr>
        <w:t>buyers are encouraged to u</w:t>
      </w:r>
      <w:r>
        <w:rPr>
          <w:sz w:val="24"/>
          <w:szCs w:val="24"/>
        </w:rPr>
        <w:t>se</w:t>
      </w:r>
      <w:r w:rsidRPr="00047534">
        <w:rPr>
          <w:sz w:val="24"/>
          <w:szCs w:val="24"/>
        </w:rPr>
        <w:t xml:space="preserve"> the </w:t>
      </w:r>
      <w:hyperlink r:id="rId31" w:history="1">
        <w:r w:rsidR="00D30D70">
          <w:rPr>
            <w:rStyle w:val="Hyperlink"/>
            <w:sz w:val="24"/>
            <w:szCs w:val="24"/>
          </w:rPr>
          <w:t>Solicitation-Enabled Master Blanket Purchase Order</w:t>
        </w:r>
      </w:hyperlink>
      <w:r w:rsidRPr="00047534">
        <w:rPr>
          <w:sz w:val="24"/>
          <w:szCs w:val="24"/>
        </w:rPr>
        <w:t xml:space="preserve">. </w:t>
      </w:r>
    </w:p>
    <w:p w14:paraId="49AA92E3" w14:textId="3278492D" w:rsidR="00AF2A37" w:rsidRPr="00B31F14" w:rsidRDefault="00AF2A37" w:rsidP="00AF2A37">
      <w:pPr>
        <w:rPr>
          <w:sz w:val="24"/>
          <w:szCs w:val="24"/>
        </w:rPr>
      </w:pPr>
      <w:r w:rsidRPr="00B31F14">
        <w:rPr>
          <w:sz w:val="24"/>
          <w:szCs w:val="24"/>
        </w:rPr>
        <w:t xml:space="preserve">Buyers can also reach out to vendors directly for quotes in their awarded zone. Refer to the </w:t>
      </w:r>
      <w:hyperlink w:anchor="_Appendix_A:_Vendor" w:history="1">
        <w:r w:rsidRPr="00B31F14">
          <w:rPr>
            <w:rStyle w:val="Hyperlink"/>
            <w:sz w:val="24"/>
            <w:szCs w:val="24"/>
          </w:rPr>
          <w:t>vendor list</w:t>
        </w:r>
      </w:hyperlink>
      <w:r w:rsidRPr="00B31F14">
        <w:rPr>
          <w:sz w:val="24"/>
          <w:szCs w:val="24"/>
        </w:rPr>
        <w:t xml:space="preserve"> for awarded zones and </w:t>
      </w:r>
      <w:hyperlink w:anchor="_Appendix_B:_Geographical" w:history="1">
        <w:r w:rsidR="001B473C">
          <w:rPr>
            <w:rStyle w:val="Hyperlink"/>
            <w:sz w:val="24"/>
            <w:szCs w:val="24"/>
          </w:rPr>
          <w:t>Appendix B: Geographical Service Areas</w:t>
        </w:r>
      </w:hyperlink>
      <w:r w:rsidRPr="00B31F14">
        <w:rPr>
          <w:sz w:val="24"/>
          <w:szCs w:val="24"/>
        </w:rPr>
        <w:t xml:space="preserve"> for zone information.</w:t>
      </w:r>
    </w:p>
    <w:p w14:paraId="2FD1E502" w14:textId="77777777" w:rsidR="00AF2A37" w:rsidRDefault="00AF2A37" w:rsidP="00AF2A37">
      <w:pPr>
        <w:pStyle w:val="Heading2"/>
      </w:pPr>
      <w:bookmarkStart w:id="37" w:name="_Toc194066596"/>
      <w:bookmarkStart w:id="38" w:name="_Toc207365989"/>
      <w:bookmarkStart w:id="39" w:name="_Toc209710797"/>
      <w:r>
        <w:t>Purchase Options</w:t>
      </w:r>
      <w:bookmarkEnd w:id="37"/>
      <w:bookmarkEnd w:id="38"/>
      <w:bookmarkEnd w:id="39"/>
    </w:p>
    <w:p w14:paraId="224B4FB3" w14:textId="77777777" w:rsidR="00AF2A37" w:rsidRPr="00FB0ABC" w:rsidRDefault="00AF2A37" w:rsidP="00AF2A37">
      <w:pPr>
        <w:rPr>
          <w:color w:val="333333"/>
          <w:sz w:val="24"/>
          <w:szCs w:val="24"/>
        </w:rPr>
      </w:pPr>
      <w:r w:rsidRPr="00FB0ABC">
        <w:rPr>
          <w:sz w:val="24"/>
          <w:szCs w:val="24"/>
        </w:rPr>
        <w:t xml:space="preserve">Purchases made through this contract will be direct, outright purchases. Product pricing may be found on the </w:t>
      </w:r>
      <w:hyperlink w:anchor="_Vendor_List_and" w:history="1">
        <w:r w:rsidRPr="00FB0ABC">
          <w:rPr>
            <w:rStyle w:val="Hyperlink"/>
            <w:rFonts w:cs="Arial"/>
            <w:sz w:val="24"/>
            <w:szCs w:val="24"/>
          </w:rPr>
          <w:t>vendor information</w:t>
        </w:r>
      </w:hyperlink>
      <w:r w:rsidRPr="00FB0ABC">
        <w:rPr>
          <w:rFonts w:cs="Arial"/>
          <w:sz w:val="24"/>
          <w:szCs w:val="24"/>
        </w:rPr>
        <w:t xml:space="preserve"> page, where the links to all the </w:t>
      </w:r>
      <w:r>
        <w:rPr>
          <w:rFonts w:cs="Arial"/>
          <w:sz w:val="24"/>
          <w:szCs w:val="24"/>
        </w:rPr>
        <w:t>v</w:t>
      </w:r>
      <w:r w:rsidRPr="00FB0ABC">
        <w:rPr>
          <w:rFonts w:cs="Arial"/>
          <w:sz w:val="24"/>
          <w:szCs w:val="24"/>
        </w:rPr>
        <w:t xml:space="preserve">endors’ Master Blanket Purchase Orders (MBPOs) are provided. </w:t>
      </w:r>
      <w:r w:rsidRPr="00FB0ABC">
        <w:rPr>
          <w:color w:val="333333"/>
          <w:sz w:val="24"/>
          <w:szCs w:val="24"/>
        </w:rPr>
        <w:t xml:space="preserve">The contract also offers services (in addition to commodities) that attract hourly rates, which can be found on the </w:t>
      </w:r>
      <w:r>
        <w:rPr>
          <w:color w:val="333333"/>
          <w:sz w:val="24"/>
          <w:szCs w:val="24"/>
        </w:rPr>
        <w:t>v</w:t>
      </w:r>
      <w:r w:rsidRPr="00FB0ABC">
        <w:rPr>
          <w:color w:val="333333"/>
          <w:sz w:val="24"/>
          <w:szCs w:val="24"/>
        </w:rPr>
        <w:t>endor’s MBPO.</w:t>
      </w:r>
    </w:p>
    <w:p w14:paraId="3E3D54ED" w14:textId="77777777" w:rsidR="00AF2A37" w:rsidRPr="003B7F41" w:rsidRDefault="00AF2A37" w:rsidP="00AF2A37">
      <w:pPr>
        <w:rPr>
          <w:rFonts w:ascii="Calibri" w:eastAsia="Calibri" w:hAnsi="Calibri" w:cs="Calibri"/>
          <w:iCs/>
          <w:sz w:val="24"/>
          <w:szCs w:val="24"/>
        </w:rPr>
      </w:pPr>
      <w:r w:rsidRPr="003B7F41">
        <w:rPr>
          <w:rFonts w:ascii="Calibri" w:eastAsia="Calibri" w:hAnsi="Calibri" w:cs="Calibri"/>
          <w:iCs/>
          <w:sz w:val="24"/>
          <w:szCs w:val="24"/>
        </w:rPr>
        <w:t xml:space="preserve">This contract has the following </w:t>
      </w:r>
      <w:r>
        <w:rPr>
          <w:rFonts w:ascii="Calibri" w:eastAsia="Calibri" w:hAnsi="Calibri" w:cs="Calibri"/>
          <w:iCs/>
          <w:sz w:val="24"/>
          <w:szCs w:val="24"/>
        </w:rPr>
        <w:t>purchase methods</w:t>
      </w:r>
      <w:r w:rsidRPr="003B7F41">
        <w:rPr>
          <w:rFonts w:ascii="Calibri" w:eastAsia="Calibri" w:hAnsi="Calibri" w:cs="Calibri"/>
          <w:iCs/>
          <w:sz w:val="24"/>
          <w:szCs w:val="24"/>
        </w:rPr>
        <w:t xml:space="preserve"> for post-award participants:</w:t>
      </w:r>
    </w:p>
    <w:p w14:paraId="51EFEC33" w14:textId="6594D817" w:rsidR="00AF2A37" w:rsidRPr="00B2259B" w:rsidRDefault="00AF2A37" w:rsidP="00AF2A37">
      <w:pPr>
        <w:pStyle w:val="BodyText"/>
        <w:numPr>
          <w:ilvl w:val="0"/>
          <w:numId w:val="1"/>
        </w:numPr>
        <w:ind w:left="720"/>
        <w:rPr>
          <w:rFonts w:asciiTheme="minorHAnsi" w:hAnsiTheme="minorHAnsi" w:cstheme="minorHAnsi"/>
          <w:b w:val="0"/>
          <w:sz w:val="24"/>
          <w:szCs w:val="24"/>
        </w:rPr>
      </w:pPr>
      <w:r w:rsidRPr="00EB3B46">
        <w:rPr>
          <w:rFonts w:asciiTheme="minorHAnsi" w:hAnsiTheme="minorHAnsi" w:cstheme="minorHAnsi"/>
          <w:bCs w:val="0"/>
          <w:sz w:val="24"/>
          <w:szCs w:val="24"/>
        </w:rPr>
        <w:t>Quote Solicitation:</w:t>
      </w:r>
      <w:r w:rsidRPr="00B2259B">
        <w:rPr>
          <w:rFonts w:asciiTheme="minorHAnsi" w:hAnsiTheme="minorHAnsi" w:cstheme="minorHAnsi"/>
          <w:b w:val="0"/>
          <w:sz w:val="24"/>
          <w:szCs w:val="24"/>
        </w:rPr>
        <w:t xml:space="preserve"> Buyers can solicit quotes from multiple vendors (view the </w:t>
      </w:r>
      <w:hyperlink r:id="rId32" w:history="1">
        <w:r w:rsidR="001B473C" w:rsidRPr="001B473C">
          <w:rPr>
            <w:rStyle w:val="Hyperlink"/>
            <w:b w:val="0"/>
            <w:bCs w:val="0"/>
            <w:sz w:val="24"/>
            <w:szCs w:val="24"/>
          </w:rPr>
          <w:t>Solicitation-Enabled Master Blanket Purchase Order</w:t>
        </w:r>
      </w:hyperlink>
      <w:r w:rsidR="001B473C">
        <w:t xml:space="preserve"> </w:t>
      </w:r>
      <w:r w:rsidRPr="00B2259B">
        <w:rPr>
          <w:rFonts w:asciiTheme="minorHAnsi" w:hAnsiTheme="minorHAnsi" w:cstheme="minorHAnsi"/>
          <w:b w:val="0"/>
          <w:sz w:val="24"/>
          <w:szCs w:val="24"/>
        </w:rPr>
        <w:t xml:space="preserve">to award vendors) and place orders through </w:t>
      </w:r>
      <w:r w:rsidRPr="00B2259B">
        <w:rPr>
          <w:rFonts w:asciiTheme="minorHAnsi" w:hAnsiTheme="minorHAnsi" w:cstheme="minorHAnsi"/>
          <w:b w:val="0"/>
          <w:sz w:val="24"/>
          <w:szCs w:val="24"/>
        </w:rPr>
        <w:lastRenderedPageBreak/>
        <w:t xml:space="preserve">COMMBUYS. A solicitation-enabled contract allows the buyer to solicit quotes from vendors who have Master Blanket Purchase Orders (MBPOs) or Statewide Contracts in COMMBUYS. The buyers can create a solicitation-enabled bid using a release requisition, converting the requisition to a bid, and then requesting quotes from eligible vendors. </w:t>
      </w:r>
    </w:p>
    <w:p w14:paraId="7C455423" w14:textId="77777777" w:rsidR="00AF2A37" w:rsidRPr="003B0898" w:rsidRDefault="00AF2A37" w:rsidP="00AF2A37">
      <w:pPr>
        <w:pStyle w:val="BodyText"/>
        <w:ind w:left="360"/>
        <w:rPr>
          <w:rFonts w:cstheme="minorBidi"/>
          <w:b w:val="0"/>
          <w:bCs w:val="0"/>
          <w:szCs w:val="24"/>
        </w:rPr>
      </w:pPr>
    </w:p>
    <w:p w14:paraId="0AB9CD56" w14:textId="77777777" w:rsidR="00AF2A37" w:rsidRPr="00B2259B" w:rsidRDefault="00AF2A37" w:rsidP="00AF2A37">
      <w:pPr>
        <w:pStyle w:val="BodyText"/>
        <w:ind w:left="720"/>
        <w:rPr>
          <w:rFonts w:cstheme="minorBidi"/>
          <w:b w:val="0"/>
          <w:sz w:val="24"/>
          <w:szCs w:val="24"/>
        </w:rPr>
      </w:pPr>
      <w:r w:rsidRPr="00B2259B">
        <w:rPr>
          <w:b w:val="0"/>
          <w:sz w:val="24"/>
          <w:szCs w:val="24"/>
        </w:rPr>
        <w:t xml:space="preserve">Refer to the </w:t>
      </w:r>
      <w:hyperlink r:id="rId33">
        <w:r w:rsidRPr="00B2259B">
          <w:rPr>
            <w:rStyle w:val="Hyperlink"/>
            <w:rFonts w:cstheme="minorBidi"/>
            <w:b w:val="0"/>
            <w:sz w:val="24"/>
            <w:szCs w:val="24"/>
          </w:rPr>
          <w:t>How to Request Quotes from Vendors on Statewide Contracts</w:t>
        </w:r>
      </w:hyperlink>
      <w:r w:rsidRPr="00B2259B">
        <w:rPr>
          <w:rFonts w:cstheme="minorBidi"/>
          <w:b w:val="0"/>
          <w:sz w:val="24"/>
          <w:szCs w:val="24"/>
        </w:rPr>
        <w:t xml:space="preserve"> job aid for more details.</w:t>
      </w:r>
    </w:p>
    <w:p w14:paraId="15071138" w14:textId="77777777" w:rsidR="00AF2A37" w:rsidRPr="00B2259B" w:rsidRDefault="00AF2A37" w:rsidP="00AF2A37">
      <w:pPr>
        <w:pStyle w:val="BodyText"/>
        <w:ind w:left="360" w:firstLine="360"/>
        <w:rPr>
          <w:rFonts w:cstheme="minorBidi"/>
          <w:b w:val="0"/>
          <w:bCs w:val="0"/>
          <w:sz w:val="24"/>
          <w:szCs w:val="24"/>
        </w:rPr>
      </w:pPr>
    </w:p>
    <w:p w14:paraId="4B2C54EE" w14:textId="77777777" w:rsidR="00AF2A37" w:rsidRPr="003B0898" w:rsidRDefault="00AF2A37" w:rsidP="00AF2A37">
      <w:pPr>
        <w:pStyle w:val="ListParagraph"/>
        <w:numPr>
          <w:ilvl w:val="0"/>
          <w:numId w:val="1"/>
        </w:numPr>
        <w:ind w:left="720"/>
        <w:rPr>
          <w:sz w:val="24"/>
          <w:szCs w:val="24"/>
        </w:rPr>
      </w:pPr>
      <w:r w:rsidRPr="003B0898">
        <w:rPr>
          <w:b/>
          <w:bCs/>
          <w:sz w:val="24"/>
          <w:szCs w:val="24"/>
        </w:rPr>
        <w:t>Direct Purchase of Fixed Price Items on COMMBUYS:</w:t>
      </w:r>
      <w:r w:rsidRPr="003B0898">
        <w:rPr>
          <w:sz w:val="24"/>
          <w:szCs w:val="24"/>
        </w:rPr>
        <w:t xml:space="preserve"> Used for products and services with fixed pricing</w:t>
      </w:r>
      <w:r>
        <w:rPr>
          <w:sz w:val="24"/>
          <w:szCs w:val="24"/>
        </w:rPr>
        <w:t xml:space="preserve"> and is </w:t>
      </w:r>
      <w:r w:rsidRPr="003B0898">
        <w:rPr>
          <w:sz w:val="24"/>
          <w:szCs w:val="24"/>
        </w:rPr>
        <w:t xml:space="preserve">viewable in vendor catalogs or price files. </w:t>
      </w:r>
      <w:r>
        <w:rPr>
          <w:rFonts w:cs="Arial"/>
          <w:sz w:val="24"/>
          <w:szCs w:val="24"/>
        </w:rPr>
        <w:t>Refer to</w:t>
      </w:r>
      <w:r w:rsidRPr="003B0898">
        <w:rPr>
          <w:sz w:val="24"/>
          <w:szCs w:val="24"/>
        </w:rPr>
        <w:t xml:space="preserve"> the Vendor MBPO Listing</w:t>
      </w:r>
      <w:r>
        <w:rPr>
          <w:sz w:val="24"/>
          <w:szCs w:val="24"/>
        </w:rPr>
        <w:t xml:space="preserve"> under </w:t>
      </w:r>
      <w:hyperlink w:anchor="_Appendix_A:_Vendor" w:history="1">
        <w:r w:rsidRPr="00DD5312">
          <w:rPr>
            <w:rStyle w:val="Hyperlink"/>
            <w:sz w:val="24"/>
            <w:szCs w:val="24"/>
          </w:rPr>
          <w:t>vendor information</w:t>
        </w:r>
      </w:hyperlink>
      <w:r w:rsidRPr="003B0898">
        <w:rPr>
          <w:sz w:val="24"/>
          <w:szCs w:val="24"/>
        </w:rPr>
        <w:t xml:space="preserve"> for a list of eligible vendors. The buyer can submit a request for goods and services from a Statewide Contract (SWC) or a Departmental Contract.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7EC30227" w14:textId="77777777" w:rsidR="00AF2A37" w:rsidRPr="003B0898" w:rsidRDefault="00AF2A37" w:rsidP="00AF2A37">
      <w:pPr>
        <w:ind w:left="720"/>
        <w:rPr>
          <w:sz w:val="24"/>
          <w:szCs w:val="24"/>
        </w:rPr>
      </w:pPr>
      <w:r>
        <w:rPr>
          <w:sz w:val="24"/>
          <w:szCs w:val="24"/>
        </w:rPr>
        <w:t>Refer to</w:t>
      </w:r>
      <w:r w:rsidRPr="003B0898">
        <w:rPr>
          <w:sz w:val="24"/>
          <w:szCs w:val="24"/>
        </w:rPr>
        <w:t xml:space="preserve"> the </w:t>
      </w:r>
      <w:hyperlink r:id="rId34">
        <w:r w:rsidRPr="003B0898">
          <w:rPr>
            <w:rStyle w:val="Hyperlink"/>
            <w:sz w:val="24"/>
            <w:szCs w:val="24"/>
          </w:rPr>
          <w:t>How to Make a Statewide Contract Purchase in COMMBUYS</w:t>
        </w:r>
      </w:hyperlink>
      <w:r w:rsidRPr="003B0898">
        <w:rPr>
          <w:sz w:val="24"/>
          <w:szCs w:val="24"/>
        </w:rPr>
        <w:t xml:space="preserve"> job aid for more details. </w:t>
      </w:r>
    </w:p>
    <w:p w14:paraId="1A368E40" w14:textId="77777777" w:rsidR="00AF2A37" w:rsidRPr="003B0898" w:rsidRDefault="00AF2A37" w:rsidP="00AF2A37">
      <w:pPr>
        <w:pStyle w:val="ListParagraph"/>
        <w:numPr>
          <w:ilvl w:val="0"/>
          <w:numId w:val="1"/>
        </w:numPr>
        <w:ind w:left="720"/>
        <w:rPr>
          <w:sz w:val="24"/>
          <w:szCs w:val="24"/>
        </w:rPr>
      </w:pPr>
      <w:r w:rsidRPr="003B0898">
        <w:rPr>
          <w:b/>
          <w:bCs/>
          <w:sz w:val="24"/>
          <w:szCs w:val="24"/>
        </w:rPr>
        <w:t>Direct Purchase of Non-Fixed Price Item ($0 Line Item) on Vendor’s MBPO:</w:t>
      </w:r>
      <w:r w:rsidRPr="003B0898">
        <w:rPr>
          <w:sz w:val="24"/>
          <w:szCs w:val="24"/>
        </w:rPr>
        <w:t xml:space="preserve"> Applicable to products and services may require customized quoting. </w:t>
      </w:r>
      <w:r>
        <w:rPr>
          <w:rFonts w:cs="Arial"/>
          <w:sz w:val="24"/>
          <w:szCs w:val="24"/>
        </w:rPr>
        <w:t>Refer to</w:t>
      </w:r>
      <w:r w:rsidRPr="003B0898">
        <w:rPr>
          <w:sz w:val="24"/>
          <w:szCs w:val="24"/>
        </w:rPr>
        <w:t xml:space="preserve"> the Vendor MBPO Listing</w:t>
      </w:r>
      <w:r>
        <w:rPr>
          <w:sz w:val="24"/>
          <w:szCs w:val="24"/>
        </w:rPr>
        <w:t xml:space="preserve"> under </w:t>
      </w:r>
      <w:hyperlink w:anchor="_Appendix_A:_Vendor" w:history="1">
        <w:r w:rsidRPr="00DD5312">
          <w:rPr>
            <w:rStyle w:val="Hyperlink"/>
            <w:sz w:val="24"/>
            <w:szCs w:val="24"/>
          </w:rPr>
          <w:t>vendor information</w:t>
        </w:r>
      </w:hyperlink>
      <w:r>
        <w:rPr>
          <w:sz w:val="24"/>
          <w:szCs w:val="24"/>
        </w:rPr>
        <w:t xml:space="preserve"> </w:t>
      </w:r>
      <w:r w:rsidRPr="003B0898">
        <w:rPr>
          <w:sz w:val="24"/>
          <w:szCs w:val="24"/>
        </w:rPr>
        <w:t>for a list of eligible vendors. The Buyer can create a Release Requisition in COMMBUYS, submit the requisition for approval in COMMBUYS, and then send the vendor a Release Purchase Order.</w:t>
      </w:r>
    </w:p>
    <w:p w14:paraId="39FBFF4C" w14:textId="77777777" w:rsidR="00AF2A37" w:rsidRPr="003B0898" w:rsidRDefault="00AF2A37" w:rsidP="00AF2A37">
      <w:pPr>
        <w:ind w:left="720"/>
        <w:rPr>
          <w:sz w:val="24"/>
          <w:szCs w:val="24"/>
        </w:rPr>
      </w:pPr>
      <w:r>
        <w:rPr>
          <w:sz w:val="24"/>
          <w:szCs w:val="24"/>
        </w:rPr>
        <w:t>Refer to</w:t>
      </w:r>
      <w:r w:rsidRPr="003B0898">
        <w:rPr>
          <w:sz w:val="24"/>
          <w:szCs w:val="24"/>
        </w:rPr>
        <w:t xml:space="preserve"> the </w:t>
      </w:r>
      <w:hyperlink r:id="rId35">
        <w:r w:rsidRPr="003B0898">
          <w:rPr>
            <w:rStyle w:val="Hyperlink"/>
            <w:sz w:val="24"/>
            <w:szCs w:val="24"/>
          </w:rPr>
          <w:t>How to Make a Statewide Contract Purchase in COMMBUYS</w:t>
        </w:r>
      </w:hyperlink>
      <w:r w:rsidRPr="003B0898">
        <w:rPr>
          <w:sz w:val="24"/>
          <w:szCs w:val="24"/>
        </w:rPr>
        <w:t xml:space="preserve"> job aid for more details.</w:t>
      </w:r>
    </w:p>
    <w:p w14:paraId="137DDC7B" w14:textId="77777777" w:rsidR="00AF2A37" w:rsidRPr="003B0898" w:rsidRDefault="00AF2A37" w:rsidP="00AF2A37">
      <w:pPr>
        <w:pStyle w:val="ListParagraph"/>
        <w:numPr>
          <w:ilvl w:val="0"/>
          <w:numId w:val="1"/>
        </w:numPr>
        <w:ind w:left="720"/>
        <w:rPr>
          <w:sz w:val="24"/>
          <w:szCs w:val="24"/>
        </w:rPr>
      </w:pPr>
      <w:r w:rsidRPr="003B0898">
        <w:rPr>
          <w:b/>
          <w:bCs/>
          <w:sz w:val="24"/>
          <w:szCs w:val="24"/>
        </w:rPr>
        <w:t>Document Items in COMMBUYS That Have Already Been Purchased:</w:t>
      </w:r>
      <w:r w:rsidRPr="003B0898">
        <w:rPr>
          <w:sz w:val="24"/>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5E80144D" w14:textId="77777777" w:rsidR="00AF2A37" w:rsidRPr="003B0898" w:rsidRDefault="00AF2A37" w:rsidP="00AF2A37">
      <w:pPr>
        <w:ind w:left="720"/>
        <w:rPr>
          <w:rStyle w:val="Hyperlink"/>
          <w:rFonts w:cs="Arial"/>
          <w:iCs/>
          <w:color w:val="000000" w:themeColor="text1"/>
          <w:sz w:val="24"/>
          <w:szCs w:val="24"/>
          <w:u w:val="none"/>
        </w:rPr>
      </w:pPr>
      <w:r w:rsidRPr="003B0898">
        <w:rPr>
          <w:sz w:val="24"/>
          <w:szCs w:val="24"/>
        </w:rPr>
        <w:lastRenderedPageBreak/>
        <w:t xml:space="preserve">For a description on how to </w:t>
      </w:r>
      <w:r w:rsidRPr="003B0898">
        <w:rPr>
          <w:color w:val="000000"/>
          <w:sz w:val="24"/>
          <w:szCs w:val="24"/>
        </w:rPr>
        <w:t xml:space="preserve">complete this purchase in COMMBUYS, </w:t>
      </w:r>
      <w:r>
        <w:rPr>
          <w:color w:val="000000"/>
          <w:sz w:val="24"/>
          <w:szCs w:val="24"/>
        </w:rPr>
        <w:t>refer to</w:t>
      </w:r>
      <w:r w:rsidRPr="003B0898">
        <w:rPr>
          <w:color w:val="000000"/>
          <w:sz w:val="24"/>
          <w:szCs w:val="24"/>
        </w:rPr>
        <w:t xml:space="preserve"> the </w:t>
      </w:r>
      <w:hyperlink r:id="rId36" w:history="1">
        <w:r w:rsidRPr="003B0898">
          <w:rPr>
            <w:rStyle w:val="Hyperlink"/>
            <w:rFonts w:cs="Arial"/>
            <w:iCs/>
            <w:sz w:val="24"/>
            <w:szCs w:val="24"/>
          </w:rPr>
          <w:t>How To Record a Contract Purchase Previously Made (RPA Release)</w:t>
        </w:r>
      </w:hyperlink>
      <w:r w:rsidRPr="003B0898">
        <w:rPr>
          <w:rStyle w:val="Hyperlink"/>
          <w:rFonts w:cs="Arial"/>
          <w:i/>
          <w:color w:val="auto"/>
          <w:sz w:val="24"/>
          <w:szCs w:val="24"/>
          <w:u w:val="none"/>
        </w:rPr>
        <w:t xml:space="preserve"> </w:t>
      </w:r>
      <w:r w:rsidRPr="003B0898">
        <w:rPr>
          <w:rStyle w:val="Hyperlink"/>
          <w:rFonts w:cs="Arial"/>
          <w:color w:val="auto"/>
          <w:sz w:val="24"/>
          <w:szCs w:val="24"/>
          <w:u w:val="none"/>
        </w:rPr>
        <w:t xml:space="preserve">job </w:t>
      </w:r>
      <w:r w:rsidRPr="003B0898">
        <w:rPr>
          <w:rStyle w:val="Hyperlink"/>
          <w:rFonts w:cs="Arial"/>
          <w:color w:val="000000" w:themeColor="text1"/>
          <w:sz w:val="24"/>
          <w:szCs w:val="24"/>
          <w:u w:val="none"/>
        </w:rPr>
        <w:t>aid</w:t>
      </w:r>
      <w:r w:rsidRPr="003B0898">
        <w:rPr>
          <w:rStyle w:val="Hyperlink"/>
          <w:rFonts w:cs="Arial"/>
          <w:i/>
          <w:color w:val="000000" w:themeColor="text1"/>
          <w:sz w:val="24"/>
          <w:szCs w:val="24"/>
          <w:u w:val="none"/>
        </w:rPr>
        <w:t>.</w:t>
      </w:r>
    </w:p>
    <w:p w14:paraId="7297C1F5" w14:textId="77777777" w:rsidR="00AF2A37" w:rsidRDefault="00AF2A37" w:rsidP="00AF2A37">
      <w:pPr>
        <w:ind w:left="720"/>
        <w:rPr>
          <w:sz w:val="20"/>
          <w:szCs w:val="20"/>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0288325A" w14:textId="32D6FF57" w:rsidR="000067FD" w:rsidRPr="000067FD" w:rsidRDefault="000067FD" w:rsidP="00633557">
      <w:pPr>
        <w:pStyle w:val="Heading2"/>
      </w:pPr>
      <w:bookmarkStart w:id="40" w:name="_Toc209710798"/>
      <w:r>
        <w:t>Setting Up a COMMBUYS Account</w:t>
      </w:r>
      <w:bookmarkEnd w:id="40"/>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68E0A80C"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254A9">
        <w:rPr>
          <w:rFonts w:cstheme="minorHAnsi"/>
          <w:sz w:val="24"/>
          <w:szCs w:val="24"/>
        </w:rPr>
        <w:t>email</w:t>
      </w:r>
      <w:r w:rsidR="00A17CD7">
        <w:rPr>
          <w:rFonts w:cstheme="minorHAnsi"/>
          <w:sz w:val="24"/>
          <w:szCs w:val="24"/>
        </w:rPr>
        <w:t xml:space="preserve"> the </w:t>
      </w:r>
      <w:hyperlink r:id="rId37" w:history="1">
        <w:r w:rsidR="00B3390A">
          <w:rPr>
            <w:rStyle w:val="Hyperlink"/>
            <w:rFonts w:cstheme="minorHAnsi"/>
            <w:sz w:val="24"/>
            <w:szCs w:val="24"/>
          </w:rPr>
          <w:t>OSD Help Desk</w:t>
        </w:r>
      </w:hyperlink>
      <w:r w:rsidR="00B3390A" w:rsidRPr="00136C46">
        <w:rPr>
          <w:rFonts w:cstheme="minorHAnsi"/>
          <w:sz w:val="24"/>
          <w:szCs w:val="24"/>
        </w:rPr>
        <w:t xml:space="preserve"> </w:t>
      </w:r>
      <w:r w:rsidR="006254A9">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17839411" w14:textId="77777777" w:rsidR="006F4D8F" w:rsidRDefault="006F4D8F" w:rsidP="006F4D8F">
      <w:pPr>
        <w:pStyle w:val="Heading2"/>
      </w:pPr>
      <w:bookmarkStart w:id="41" w:name="_Toc194066601"/>
      <w:bookmarkStart w:id="42" w:name="_Toc207365991"/>
      <w:bookmarkStart w:id="43" w:name="_Toc209710799"/>
      <w:r>
        <w:t>Finding Contract Documents</w:t>
      </w:r>
      <w:bookmarkEnd w:id="41"/>
      <w:bookmarkEnd w:id="42"/>
      <w:bookmarkEnd w:id="43"/>
    </w:p>
    <w:p w14:paraId="2DD41FD3" w14:textId="77777777" w:rsidR="006F4D8F" w:rsidRDefault="006F4D8F" w:rsidP="006F4D8F">
      <w:pPr>
        <w:rPr>
          <w:sz w:val="24"/>
          <w:szCs w:val="24"/>
        </w:rPr>
      </w:pPr>
      <w:r w:rsidRPr="00136C46">
        <w:rPr>
          <w:sz w:val="24"/>
          <w:szCs w:val="24"/>
        </w:rPr>
        <w:t xml:space="preserve">Buyers </w:t>
      </w:r>
      <w:r>
        <w:rPr>
          <w:sz w:val="24"/>
          <w:szCs w:val="24"/>
        </w:rPr>
        <w:t>may</w:t>
      </w:r>
      <w:r w:rsidRPr="00136C46">
        <w:rPr>
          <w:sz w:val="24"/>
          <w:szCs w:val="24"/>
        </w:rPr>
        <w:t xml:space="preserve"> view contract documents </w:t>
      </w:r>
      <w:r w:rsidRPr="002345A2">
        <w:rPr>
          <w:sz w:val="24"/>
          <w:szCs w:val="24"/>
        </w:rPr>
        <w:t>(</w:t>
      </w:r>
      <w:r>
        <w:rPr>
          <w:sz w:val="24"/>
          <w:szCs w:val="24"/>
        </w:rPr>
        <w:t>i</w:t>
      </w:r>
      <w:r w:rsidRPr="002345A2">
        <w:rPr>
          <w:sz w:val="24"/>
          <w:szCs w:val="24"/>
        </w:rPr>
        <w:t xml:space="preserve">ncluding </w:t>
      </w:r>
      <w:r>
        <w:rPr>
          <w:sz w:val="24"/>
          <w:szCs w:val="24"/>
        </w:rPr>
        <w:t>Contract User Guides</w:t>
      </w:r>
      <w:r w:rsidRPr="002345A2">
        <w:rPr>
          <w:sz w:val="24"/>
          <w:szCs w:val="24"/>
        </w:rPr>
        <w:t xml:space="preserve">, </w:t>
      </w:r>
      <w:r>
        <w:rPr>
          <w:sz w:val="24"/>
          <w:szCs w:val="24"/>
        </w:rPr>
        <w:t>Request for Response</w:t>
      </w:r>
      <w:r w:rsidRPr="002345A2">
        <w:rPr>
          <w:sz w:val="24"/>
          <w:szCs w:val="24"/>
        </w:rPr>
        <w:t xml:space="preserve">, </w:t>
      </w:r>
      <w:r>
        <w:rPr>
          <w:sz w:val="24"/>
          <w:szCs w:val="24"/>
        </w:rPr>
        <w:t>s</w:t>
      </w:r>
      <w:r w:rsidRPr="002345A2">
        <w:rPr>
          <w:sz w:val="24"/>
          <w:szCs w:val="24"/>
        </w:rPr>
        <w:t xml:space="preserve">pecifications, and </w:t>
      </w:r>
      <w:r>
        <w:rPr>
          <w:sz w:val="24"/>
          <w:szCs w:val="24"/>
        </w:rPr>
        <w:t>o</w:t>
      </w:r>
      <w:r w:rsidRPr="002345A2">
        <w:rPr>
          <w:sz w:val="24"/>
          <w:szCs w:val="24"/>
        </w:rPr>
        <w:t xml:space="preserve">ther </w:t>
      </w:r>
      <w:r>
        <w:rPr>
          <w:sz w:val="24"/>
          <w:szCs w:val="24"/>
        </w:rPr>
        <w:t>a</w:t>
      </w:r>
      <w:r w:rsidRPr="002345A2">
        <w:rPr>
          <w:sz w:val="24"/>
          <w:szCs w:val="24"/>
        </w:rPr>
        <w:t>ttachments)</w:t>
      </w:r>
      <w:r>
        <w:rPr>
          <w:sz w:val="24"/>
          <w:szCs w:val="24"/>
        </w:rPr>
        <w:t xml:space="preserve"> </w:t>
      </w:r>
      <w:r w:rsidRPr="00136C46">
        <w:rPr>
          <w:sz w:val="24"/>
          <w:szCs w:val="24"/>
        </w:rPr>
        <w:t xml:space="preserve">on COMMBUYS without requiring a COMMBUYS account or logging in. </w:t>
      </w:r>
    </w:p>
    <w:p w14:paraId="3DD5BEB7" w14:textId="77777777" w:rsidR="006F4D8F" w:rsidRPr="00136C46" w:rsidRDefault="006F4D8F" w:rsidP="006F4D8F">
      <w:pPr>
        <w:rPr>
          <w:sz w:val="24"/>
          <w:szCs w:val="24"/>
        </w:rPr>
      </w:pPr>
      <w:r w:rsidRPr="00136C46">
        <w:rPr>
          <w:sz w:val="24"/>
          <w:szCs w:val="24"/>
        </w:rPr>
        <w:t>To find contract documents in COMMBUYS, follow these steps:</w:t>
      </w:r>
    </w:p>
    <w:p w14:paraId="4C023CE2" w14:textId="77777777" w:rsidR="006F4D8F" w:rsidRPr="00136C46" w:rsidRDefault="006F4D8F" w:rsidP="00FF7DB5">
      <w:pPr>
        <w:pStyle w:val="ListParagraph"/>
        <w:numPr>
          <w:ilvl w:val="0"/>
          <w:numId w:val="3"/>
        </w:numPr>
        <w:rPr>
          <w:bCs/>
          <w:sz w:val="24"/>
          <w:szCs w:val="24"/>
        </w:rPr>
      </w:pPr>
      <w:r w:rsidRPr="00136C46">
        <w:rPr>
          <w:sz w:val="24"/>
          <w:szCs w:val="24"/>
        </w:rPr>
        <w:t xml:space="preserve">On the </w:t>
      </w:r>
      <w:hyperlink r:id="rId38">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Pr="00C014D2">
        <w:rPr>
          <w:b/>
          <w:sz w:val="24"/>
          <w:szCs w:val="24"/>
        </w:rPr>
        <w:t>ENE52</w:t>
      </w:r>
      <w:r w:rsidRPr="00136C46">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0CE6921B" w14:textId="77777777" w:rsidR="006F4D8F" w:rsidRPr="00136C46" w:rsidRDefault="006F4D8F" w:rsidP="00FF7DB5">
      <w:pPr>
        <w:pStyle w:val="ListParagraph"/>
        <w:numPr>
          <w:ilvl w:val="0"/>
          <w:numId w:val="3"/>
        </w:numPr>
        <w:rPr>
          <w:bCs/>
          <w:sz w:val="24"/>
          <w:szCs w:val="24"/>
        </w:rPr>
      </w:pPr>
      <w:r w:rsidRPr="00136C46">
        <w:rPr>
          <w:bCs/>
          <w:sz w:val="24"/>
          <w:szCs w:val="24"/>
        </w:rPr>
        <w:t>C</w:t>
      </w:r>
      <w:r>
        <w:rPr>
          <w:bCs/>
          <w:sz w:val="24"/>
          <w:szCs w:val="24"/>
        </w:rPr>
        <w:t>hoose</w:t>
      </w:r>
      <w:r w:rsidRPr="00136C46">
        <w:rPr>
          <w:bCs/>
          <w:sz w:val="24"/>
          <w:szCs w:val="24"/>
        </w:rPr>
        <w:t xml:space="preserve"> the Search icon. The related Master Blanket Purchase Orders (MBPOs) information opens in a table format. </w:t>
      </w:r>
    </w:p>
    <w:p w14:paraId="047FCDC9" w14:textId="77777777" w:rsidR="006F4D8F" w:rsidRPr="00136C46" w:rsidRDefault="006F4D8F" w:rsidP="00FF7DB5">
      <w:pPr>
        <w:pStyle w:val="ListParagraph"/>
        <w:numPr>
          <w:ilvl w:val="0"/>
          <w:numId w:val="3"/>
        </w:numPr>
        <w:rPr>
          <w:rFonts w:cstheme="minorHAnsi"/>
          <w:sz w:val="24"/>
          <w:szCs w:val="24"/>
        </w:rPr>
      </w:pPr>
      <w:r w:rsidRPr="00136C46">
        <w:rPr>
          <w:sz w:val="24"/>
          <w:szCs w:val="24"/>
        </w:rPr>
        <w:lastRenderedPageBreak/>
        <w:t xml:space="preserve">To view the associated contract documents, under the </w:t>
      </w:r>
      <w:r w:rsidRPr="00136C46">
        <w:rPr>
          <w:b/>
          <w:bCs/>
          <w:sz w:val="24"/>
          <w:szCs w:val="24"/>
        </w:rPr>
        <w:t>Blanket #</w:t>
      </w:r>
      <w:r w:rsidRPr="00136C46">
        <w:rPr>
          <w:sz w:val="24"/>
          <w:szCs w:val="24"/>
        </w:rPr>
        <w:t xml:space="preserve"> column, </w:t>
      </w:r>
      <w:r>
        <w:rPr>
          <w:sz w:val="24"/>
          <w:szCs w:val="24"/>
        </w:rPr>
        <w:t>select</w:t>
      </w:r>
      <w:r w:rsidRPr="00136C46">
        <w:rPr>
          <w:sz w:val="24"/>
          <w:szCs w:val="24"/>
        </w:rPr>
        <w:t xml:space="preserve"> the applicable Purchase Order (PO) link. MBPO opens for the selected PO, and the attachments can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 </w:t>
      </w:r>
    </w:p>
    <w:p w14:paraId="36063F6F" w14:textId="47C902FB" w:rsidR="006F4D8F" w:rsidRPr="00136C46" w:rsidRDefault="006F4D8F" w:rsidP="006F4D8F">
      <w:pPr>
        <w:rPr>
          <w:sz w:val="24"/>
          <w:szCs w:val="24"/>
        </w:rPr>
      </w:pPr>
      <w:r w:rsidRPr="002B0258">
        <w:rPr>
          <w:sz w:val="24"/>
          <w:szCs w:val="24"/>
        </w:rPr>
        <w:t xml:space="preserve">All standard contract documents are within the Master Contract Record. Access them directly by </w:t>
      </w:r>
      <w:r>
        <w:rPr>
          <w:sz w:val="24"/>
          <w:szCs w:val="24"/>
        </w:rPr>
        <w:t>selecting</w:t>
      </w:r>
      <w:r w:rsidRPr="002B0258">
        <w:rPr>
          <w:sz w:val="24"/>
          <w:szCs w:val="24"/>
        </w:rPr>
        <w:t xml:space="preserve"> </w:t>
      </w:r>
      <w:hyperlink r:id="rId39" w:history="1">
        <w:r w:rsidR="001B473C">
          <w:rPr>
            <w:rStyle w:val="Hyperlink"/>
            <w:sz w:val="24"/>
            <w:szCs w:val="24"/>
          </w:rPr>
          <w:t>ENE52 Master Contract Record</w:t>
        </w:r>
      </w:hyperlink>
      <w:r w:rsidRPr="002B0258">
        <w:rPr>
          <w:sz w:val="24"/>
          <w:szCs w:val="24"/>
        </w:rPr>
        <w:t xml:space="preserve">. </w:t>
      </w:r>
      <w:r w:rsidRPr="00136C46">
        <w:rPr>
          <w:sz w:val="24"/>
          <w:szCs w:val="24"/>
        </w:rPr>
        <w:t xml:space="preserve"> </w:t>
      </w:r>
    </w:p>
    <w:p w14:paraId="28BC4DA2" w14:textId="77777777" w:rsidR="006F4D8F" w:rsidRDefault="006F4D8F" w:rsidP="006F4D8F">
      <w:pPr>
        <w:pStyle w:val="Heading2"/>
      </w:pPr>
      <w:bookmarkStart w:id="44" w:name="_Toc194066602"/>
      <w:bookmarkStart w:id="45" w:name="_Toc207365992"/>
      <w:bookmarkStart w:id="46" w:name="_Toc209710800"/>
      <w:r>
        <w:t>Finding Vendor-Specific Documents</w:t>
      </w:r>
      <w:bookmarkEnd w:id="44"/>
      <w:bookmarkEnd w:id="45"/>
      <w:bookmarkEnd w:id="46"/>
    </w:p>
    <w:p w14:paraId="5AFAFE31" w14:textId="77777777" w:rsidR="006F4D8F" w:rsidRPr="00136C46" w:rsidRDefault="006F4D8F" w:rsidP="006F4D8F">
      <w:pPr>
        <w:rPr>
          <w:bCs/>
          <w:sz w:val="24"/>
          <w:szCs w:val="24"/>
        </w:rPr>
      </w:pPr>
      <w:r w:rsidRPr="00136C46">
        <w:rPr>
          <w:bCs/>
          <w:sz w:val="24"/>
          <w:szCs w:val="24"/>
        </w:rPr>
        <w:t>To find vendor-specific documents</w:t>
      </w:r>
      <w:r>
        <w:rPr>
          <w:bCs/>
          <w:sz w:val="24"/>
          <w:szCs w:val="24"/>
        </w:rPr>
        <w:t>, refer to</w:t>
      </w:r>
      <w:r w:rsidRPr="00136C46">
        <w:rPr>
          <w:bCs/>
          <w:sz w:val="24"/>
          <w:szCs w:val="24"/>
        </w:rPr>
        <w:t xml:space="preserve"> the links to the 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 and follow these steps:</w:t>
      </w:r>
    </w:p>
    <w:p w14:paraId="69F67C6F" w14:textId="77777777" w:rsidR="006F4D8F" w:rsidRPr="00136C46" w:rsidRDefault="006F4D8F" w:rsidP="00FF7DB5">
      <w:pPr>
        <w:pStyle w:val="ListParagraph"/>
        <w:numPr>
          <w:ilvl w:val="0"/>
          <w:numId w:val="10"/>
        </w:numPr>
        <w:rPr>
          <w:bCs/>
          <w:sz w:val="24"/>
          <w:szCs w:val="24"/>
        </w:rPr>
      </w:pPr>
      <w:r w:rsidRPr="00136C46">
        <w:rPr>
          <w:bCs/>
          <w:sz w:val="24"/>
          <w:szCs w:val="24"/>
        </w:rPr>
        <w:t xml:space="preserve">On the </w:t>
      </w:r>
      <w:hyperlink w:anchor="_Appendix_A:_Vendor" w:history="1">
        <w:r w:rsidRPr="00136C46">
          <w:rPr>
            <w:rStyle w:val="Hyperlink"/>
            <w:bCs/>
            <w:sz w:val="24"/>
            <w:szCs w:val="24"/>
          </w:rPr>
          <w:t>Vendor Information</w:t>
        </w:r>
      </w:hyperlink>
      <w:r w:rsidRPr="00136C46">
        <w:rPr>
          <w:bCs/>
          <w:sz w:val="24"/>
          <w:szCs w:val="24"/>
        </w:rPr>
        <w:t xml:space="preserve"> page, under the </w:t>
      </w:r>
      <w:r w:rsidRPr="00136C46">
        <w:rPr>
          <w:b/>
          <w:sz w:val="24"/>
          <w:szCs w:val="24"/>
        </w:rPr>
        <w:t>Master Blanket Purchase Order #</w:t>
      </w:r>
      <w:r w:rsidRPr="00136C46">
        <w:rPr>
          <w:bCs/>
          <w:sz w:val="24"/>
          <w:szCs w:val="24"/>
        </w:rPr>
        <w:t xml:space="preserve"> Column, </w:t>
      </w:r>
      <w:r>
        <w:rPr>
          <w:bCs/>
          <w:sz w:val="24"/>
          <w:szCs w:val="24"/>
        </w:rPr>
        <w:t>select</w:t>
      </w:r>
      <w:r w:rsidRPr="00136C46">
        <w:rPr>
          <w:bCs/>
          <w:sz w:val="24"/>
          <w:szCs w:val="24"/>
        </w:rPr>
        <w:t xml:space="preserve"> the applicable Purchase Order (PO) link. The Master Blanket Purchase Order (MBPO) opens for the selected PO.</w:t>
      </w:r>
    </w:p>
    <w:p w14:paraId="301097F9" w14:textId="77777777" w:rsidR="006F4D8F" w:rsidRPr="003C58CA" w:rsidRDefault="006F4D8F" w:rsidP="00FF7DB5">
      <w:pPr>
        <w:pStyle w:val="ListParagraph"/>
        <w:numPr>
          <w:ilvl w:val="0"/>
          <w:numId w:val="10"/>
        </w:numPr>
        <w:rPr>
          <w:bCs/>
          <w:sz w:val="24"/>
          <w:szCs w:val="24"/>
        </w:rPr>
      </w:pPr>
      <w:r w:rsidRPr="00136C46">
        <w:rPr>
          <w:bCs/>
          <w:sz w:val="24"/>
          <w:szCs w:val="24"/>
        </w:rPr>
        <w:t xml:space="preserve">On the MBPO, scroll down to the </w:t>
      </w:r>
      <w:r w:rsidRPr="00136C46">
        <w:rPr>
          <w:b/>
          <w:sz w:val="24"/>
          <w:szCs w:val="24"/>
        </w:rPr>
        <w:t>Vendor Attachments</w:t>
      </w:r>
      <w:r w:rsidRPr="00136C46">
        <w:rPr>
          <w:bCs/>
          <w:sz w:val="24"/>
          <w:szCs w:val="24"/>
        </w:rPr>
        <w:t xml:space="preserve"> section to find the vendor-specific documents.</w:t>
      </w:r>
    </w:p>
    <w:p w14:paraId="07A309A5" w14:textId="77777777" w:rsidR="006F4D8F" w:rsidRPr="003C58CA" w:rsidRDefault="006F4D8F" w:rsidP="00FF7DB5">
      <w:pPr>
        <w:pStyle w:val="ListParagraph"/>
        <w:numPr>
          <w:ilvl w:val="0"/>
          <w:numId w:val="10"/>
        </w:numPr>
        <w:rPr>
          <w:bCs/>
          <w:sz w:val="24"/>
          <w:szCs w:val="24"/>
        </w:rPr>
      </w:pPr>
      <w:r w:rsidRPr="003C58CA">
        <w:rPr>
          <w:bCs/>
          <w:sz w:val="24"/>
          <w:szCs w:val="24"/>
        </w:rPr>
        <w:t xml:space="preserve">To view, </w:t>
      </w:r>
      <w:r>
        <w:rPr>
          <w:bCs/>
          <w:sz w:val="24"/>
          <w:szCs w:val="24"/>
        </w:rPr>
        <w:t>select</w:t>
      </w:r>
      <w:r w:rsidRPr="003C58CA">
        <w:rPr>
          <w:bCs/>
          <w:sz w:val="24"/>
          <w:szCs w:val="24"/>
        </w:rPr>
        <w:t xml:space="preserve"> the desired document link.</w:t>
      </w:r>
    </w:p>
    <w:p w14:paraId="36BC0800" w14:textId="68AFCE52" w:rsidR="003813D4" w:rsidRPr="00B6218B" w:rsidRDefault="003813D4" w:rsidP="000D7FAE">
      <w:pPr>
        <w:pStyle w:val="Heading2"/>
      </w:pPr>
      <w:bookmarkStart w:id="47" w:name="_Toc201925128"/>
      <w:bookmarkStart w:id="48" w:name="_Toc209710801"/>
      <w:r>
        <w:t xml:space="preserve">Supplier Diversity </w:t>
      </w:r>
      <w:r w:rsidR="006C2DAB">
        <w:t>Office</w:t>
      </w:r>
      <w:r>
        <w:t xml:space="preserve"> (SD</w:t>
      </w:r>
      <w:r w:rsidR="006C2DAB">
        <w:t>O</w:t>
      </w:r>
      <w:r>
        <w:t>) Requirements</w:t>
      </w:r>
      <w:bookmarkEnd w:id="47"/>
      <w:bookmarkEnd w:id="48"/>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FF7DB5">
      <w:pPr>
        <w:pStyle w:val="ListParagraph"/>
        <w:numPr>
          <w:ilvl w:val="0"/>
          <w:numId w:val="4"/>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40"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FF7DB5">
      <w:pPr>
        <w:pStyle w:val="ListParagraph"/>
        <w:numPr>
          <w:ilvl w:val="0"/>
          <w:numId w:val="4"/>
        </w:numPr>
        <w:rPr>
          <w:rFonts w:cstheme="minorHAnsi"/>
          <w:sz w:val="24"/>
          <w:szCs w:val="24"/>
        </w:rPr>
      </w:pPr>
      <w:r w:rsidRPr="00D16914">
        <w:rPr>
          <w:rFonts w:cstheme="minorHAnsi"/>
          <w:sz w:val="24"/>
          <w:szCs w:val="24"/>
        </w:rPr>
        <w:t xml:space="preserve">The </w:t>
      </w:r>
      <w:hyperlink r:id="rId41"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42"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FF7DB5">
      <w:pPr>
        <w:pStyle w:val="ListParagraph"/>
        <w:numPr>
          <w:ilvl w:val="0"/>
          <w:numId w:val="4"/>
        </w:numPr>
        <w:rPr>
          <w:rFonts w:cstheme="minorHAnsi"/>
          <w:sz w:val="24"/>
          <w:szCs w:val="24"/>
        </w:rPr>
      </w:pPr>
      <w:r w:rsidRPr="00A4039E">
        <w:rPr>
          <w:rFonts w:cstheme="minorHAnsi"/>
          <w:sz w:val="24"/>
          <w:szCs w:val="24"/>
        </w:rPr>
        <w:t xml:space="preserve">Operational Services Division (OSD) provides a list of SDO businesses through the </w:t>
      </w:r>
      <w:hyperlink r:id="rId43"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49" w:name="_Toc209710802"/>
      <w:r>
        <w:lastRenderedPageBreak/>
        <w:t>Supplier Diversity Program (SDP) Requirements</w:t>
      </w:r>
      <w:bookmarkEnd w:id="49"/>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FF7DB5">
      <w:pPr>
        <w:pStyle w:val="ListParagraph"/>
        <w:numPr>
          <w:ilvl w:val="0"/>
          <w:numId w:val="12"/>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FF7DB5">
      <w:pPr>
        <w:pStyle w:val="ListParagraph"/>
        <w:numPr>
          <w:ilvl w:val="0"/>
          <w:numId w:val="12"/>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44"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FF7DB5">
      <w:pPr>
        <w:pStyle w:val="ListParagraph"/>
        <w:numPr>
          <w:ilvl w:val="0"/>
          <w:numId w:val="4"/>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50" w:name="_Toc209710803"/>
      <w:r>
        <w:t>Small Business Purchasing Program (SBPP) Requirements</w:t>
      </w:r>
      <w:bookmarkEnd w:id="50"/>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FF7DB5">
      <w:pPr>
        <w:pStyle w:val="ListParagraph"/>
        <w:numPr>
          <w:ilvl w:val="0"/>
          <w:numId w:val="4"/>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FF7DB5">
      <w:pPr>
        <w:pStyle w:val="ListParagraph"/>
        <w:numPr>
          <w:ilvl w:val="0"/>
          <w:numId w:val="4"/>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45"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FF7DB5">
      <w:pPr>
        <w:pStyle w:val="ListParagraph"/>
        <w:numPr>
          <w:ilvl w:val="0"/>
          <w:numId w:val="4"/>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730F6F51" w:rsidR="00B41726" w:rsidRDefault="00DB33F1" w:rsidP="00633557">
      <w:pPr>
        <w:pStyle w:val="Heading2"/>
      </w:pPr>
      <w:bookmarkStart w:id="51" w:name="_Toc194066607"/>
      <w:bookmarkStart w:id="52" w:name="_Toc209710804"/>
      <w:r>
        <w:t>Subcontractor</w:t>
      </w:r>
      <w:r w:rsidR="000E3C80">
        <w:t>s</w:t>
      </w:r>
      <w:bookmarkEnd w:id="52"/>
      <w:r w:rsidR="004D3A5D">
        <w:t xml:space="preserve"> </w:t>
      </w:r>
      <w:bookmarkEnd w:id="51"/>
    </w:p>
    <w:p w14:paraId="477867D8" w14:textId="322E60E6" w:rsidR="000E3C80" w:rsidRDefault="000E3C80" w:rsidP="000E3C80">
      <w:pPr>
        <w:widowControl w:val="0"/>
        <w:rPr>
          <w:sz w:val="24"/>
          <w:szCs w:val="24"/>
        </w:rPr>
      </w:pPr>
      <w:r w:rsidRPr="009E12A3">
        <w:rPr>
          <w:sz w:val="24"/>
          <w:szCs w:val="24"/>
        </w:rPr>
        <w:t xml:space="preserve">The awarded vendor’s use of subcontractors is subject to the provisions of the </w:t>
      </w:r>
      <w:hyperlink r:id="rId46" w:history="1">
        <w:r w:rsidRPr="009E12A3">
          <w:rPr>
            <w:rStyle w:val="Hyperlink"/>
            <w:sz w:val="24"/>
            <w:szCs w:val="24"/>
          </w:rPr>
          <w:t>Commonwealth’s Terms and Conditions</w:t>
        </w:r>
      </w:hyperlink>
      <w:r w:rsidRPr="009E12A3">
        <w:rPr>
          <w:sz w:val="24"/>
          <w:szCs w:val="24"/>
        </w:rPr>
        <w:t xml:space="preserve"> and </w:t>
      </w:r>
      <w:hyperlink r:id="rId47"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p>
    <w:p w14:paraId="6B721EDA" w14:textId="77777777" w:rsidR="009E39BD" w:rsidRDefault="009E39BD" w:rsidP="009E39BD">
      <w:pPr>
        <w:pStyle w:val="Heading2"/>
      </w:pPr>
      <w:bookmarkStart w:id="53" w:name="_Toc207365997"/>
      <w:bookmarkStart w:id="54" w:name="_Toc194066609"/>
      <w:bookmarkStart w:id="55" w:name="_Toc209710805"/>
      <w:r>
        <w:t>Shipping and Delivery</w:t>
      </w:r>
      <w:bookmarkEnd w:id="53"/>
      <w:bookmarkEnd w:id="55"/>
      <w:r>
        <w:t xml:space="preserve"> </w:t>
      </w:r>
      <w:bookmarkEnd w:id="54"/>
    </w:p>
    <w:p w14:paraId="141675E7" w14:textId="77777777" w:rsidR="009E39BD" w:rsidRDefault="009E39BD" w:rsidP="009E39BD">
      <w:pPr>
        <w:rPr>
          <w:sz w:val="24"/>
          <w:szCs w:val="24"/>
        </w:rPr>
      </w:pPr>
      <w:r w:rsidRPr="00572E8A">
        <w:rPr>
          <w:sz w:val="24"/>
          <w:szCs w:val="24"/>
        </w:rPr>
        <w:t xml:space="preserve">The </w:t>
      </w:r>
      <w:r>
        <w:rPr>
          <w:sz w:val="24"/>
          <w:szCs w:val="24"/>
        </w:rPr>
        <w:t>vendor</w:t>
      </w:r>
      <w:r w:rsidRPr="00572E8A">
        <w:rPr>
          <w:sz w:val="24"/>
          <w:szCs w:val="24"/>
        </w:rPr>
        <w:t xml:space="preserve"> shall implement all reasonable and prudent measures to secure an uninterrupted supply of oil for contract users.</w:t>
      </w:r>
    </w:p>
    <w:p w14:paraId="3CB5D731" w14:textId="77777777" w:rsidR="009E39BD" w:rsidRDefault="009E39BD" w:rsidP="009E39BD">
      <w:pPr>
        <w:rPr>
          <w:sz w:val="24"/>
          <w:szCs w:val="24"/>
        </w:rPr>
      </w:pPr>
      <w:r w:rsidRPr="009E12A3">
        <w:rPr>
          <w:sz w:val="24"/>
          <w:szCs w:val="24"/>
        </w:rPr>
        <w:t>For shipping</w:t>
      </w:r>
      <w:r>
        <w:rPr>
          <w:sz w:val="24"/>
          <w:szCs w:val="24"/>
        </w:rPr>
        <w:t xml:space="preserve"> and </w:t>
      </w:r>
      <w:r w:rsidRPr="009E12A3">
        <w:rPr>
          <w:sz w:val="24"/>
          <w:szCs w:val="24"/>
        </w:rPr>
        <w:t>delivery please follow these guidelines:</w:t>
      </w:r>
    </w:p>
    <w:p w14:paraId="270D3617" w14:textId="77777777" w:rsidR="009E39BD" w:rsidRDefault="009E39BD" w:rsidP="00FF7DB5">
      <w:pPr>
        <w:pStyle w:val="ListParagraph"/>
        <w:numPr>
          <w:ilvl w:val="0"/>
          <w:numId w:val="15"/>
        </w:numPr>
        <w:rPr>
          <w:rFonts w:cstheme="minorHAnsi"/>
          <w:sz w:val="24"/>
          <w:szCs w:val="24"/>
        </w:rPr>
      </w:pPr>
      <w:r>
        <w:rPr>
          <w:rFonts w:cstheme="minorHAnsi"/>
          <w:sz w:val="24"/>
          <w:szCs w:val="24"/>
        </w:rPr>
        <w:lastRenderedPageBreak/>
        <w:t>Vendors</w:t>
      </w:r>
      <w:r w:rsidRPr="00572E8A">
        <w:rPr>
          <w:rFonts w:cstheme="minorHAnsi"/>
          <w:sz w:val="24"/>
          <w:szCs w:val="24"/>
        </w:rPr>
        <w:t xml:space="preserve"> (awarded bidders) must verify operational details about sites located in their awarded zone(s) prior to making deliveries. </w:t>
      </w:r>
    </w:p>
    <w:p w14:paraId="40E0C82D" w14:textId="77777777" w:rsidR="009E39BD" w:rsidRDefault="009E39BD" w:rsidP="00FF7DB5">
      <w:pPr>
        <w:pStyle w:val="ListParagraph"/>
        <w:numPr>
          <w:ilvl w:val="0"/>
          <w:numId w:val="15"/>
        </w:numPr>
        <w:rPr>
          <w:rFonts w:cstheme="minorHAnsi"/>
          <w:sz w:val="24"/>
          <w:szCs w:val="24"/>
        </w:rPr>
      </w:pPr>
      <w:r w:rsidRPr="00442589">
        <w:rPr>
          <w:rFonts w:cstheme="minorHAnsi"/>
          <w:sz w:val="24"/>
          <w:szCs w:val="24"/>
        </w:rPr>
        <w:t>Vendors are required to deliver to all truck-accessible sites within the awarded zone</w:t>
      </w:r>
      <w:r w:rsidRPr="00572E8A">
        <w:rPr>
          <w:rFonts w:cstheme="minorHAnsi"/>
          <w:sz w:val="24"/>
          <w:szCs w:val="24"/>
        </w:rPr>
        <w:t xml:space="preserve">. </w:t>
      </w:r>
    </w:p>
    <w:p w14:paraId="0A6C4C8E" w14:textId="77777777" w:rsidR="009E39BD" w:rsidRDefault="009E39BD" w:rsidP="00FF7DB5">
      <w:pPr>
        <w:pStyle w:val="ListParagraph"/>
        <w:numPr>
          <w:ilvl w:val="0"/>
          <w:numId w:val="15"/>
        </w:numPr>
        <w:rPr>
          <w:rFonts w:cstheme="minorHAnsi"/>
          <w:sz w:val="24"/>
          <w:szCs w:val="24"/>
        </w:rPr>
      </w:pPr>
      <w:r w:rsidRPr="00572E8A">
        <w:rPr>
          <w:rFonts w:cstheme="minorHAnsi"/>
          <w:sz w:val="24"/>
          <w:szCs w:val="24"/>
        </w:rPr>
        <w:t xml:space="preserve">Delivery of No.2 Heating Oil must be made on days and during hours that are acceptable to contract users. Lead time for normal delivery will be 24 hours; 48 hours for holidays and weekends. </w:t>
      </w:r>
    </w:p>
    <w:p w14:paraId="77C18DC4" w14:textId="77777777" w:rsidR="009E39BD" w:rsidRDefault="009E39BD" w:rsidP="00FF7DB5">
      <w:pPr>
        <w:pStyle w:val="ListParagraph"/>
        <w:numPr>
          <w:ilvl w:val="0"/>
          <w:numId w:val="15"/>
        </w:numPr>
        <w:rPr>
          <w:rFonts w:cstheme="minorHAnsi"/>
          <w:sz w:val="24"/>
          <w:szCs w:val="24"/>
        </w:rPr>
      </w:pPr>
      <w:r w:rsidRPr="00572E8A">
        <w:rPr>
          <w:rFonts w:cstheme="minorHAnsi"/>
          <w:sz w:val="24"/>
          <w:szCs w:val="24"/>
        </w:rPr>
        <w:t>Deliveries must be compliant with all applicable Local, State</w:t>
      </w:r>
      <w:r>
        <w:rPr>
          <w:rFonts w:cstheme="minorHAnsi"/>
          <w:sz w:val="24"/>
          <w:szCs w:val="24"/>
        </w:rPr>
        <w:t>,</w:t>
      </w:r>
      <w:r w:rsidRPr="00572E8A">
        <w:rPr>
          <w:rFonts w:cstheme="minorHAnsi"/>
          <w:sz w:val="24"/>
          <w:szCs w:val="24"/>
        </w:rPr>
        <w:t xml:space="preserve"> and Federal laws and regulations.</w:t>
      </w:r>
    </w:p>
    <w:p w14:paraId="5768A285" w14:textId="77777777" w:rsidR="009E39BD" w:rsidRDefault="009E39BD" w:rsidP="00FF7DB5">
      <w:pPr>
        <w:pStyle w:val="ListParagraph"/>
        <w:numPr>
          <w:ilvl w:val="0"/>
          <w:numId w:val="15"/>
        </w:numPr>
        <w:rPr>
          <w:rFonts w:cstheme="minorHAnsi"/>
          <w:sz w:val="24"/>
          <w:szCs w:val="24"/>
        </w:rPr>
      </w:pPr>
      <w:r>
        <w:rPr>
          <w:rFonts w:cstheme="minorHAnsi"/>
          <w:sz w:val="24"/>
          <w:szCs w:val="24"/>
        </w:rPr>
        <w:t>Vendors</w:t>
      </w:r>
      <w:r w:rsidRPr="00572E8A">
        <w:rPr>
          <w:rFonts w:cstheme="minorHAnsi"/>
          <w:sz w:val="24"/>
          <w:szCs w:val="24"/>
        </w:rPr>
        <w:t xml:space="preserve"> are responsible for paying for any damage they cause at a site.</w:t>
      </w:r>
    </w:p>
    <w:p w14:paraId="642FAE24" w14:textId="77777777" w:rsidR="009E39BD" w:rsidRPr="0060083A" w:rsidRDefault="009E39BD" w:rsidP="00FF7DB5">
      <w:pPr>
        <w:pStyle w:val="ListParagraph"/>
        <w:numPr>
          <w:ilvl w:val="0"/>
          <w:numId w:val="15"/>
        </w:numPr>
        <w:rPr>
          <w:rFonts w:cstheme="minorHAnsi"/>
          <w:sz w:val="24"/>
          <w:szCs w:val="24"/>
        </w:rPr>
      </w:pPr>
      <w:r w:rsidRPr="0060083A">
        <w:rPr>
          <w:rFonts w:cstheme="minorHAnsi"/>
          <w:sz w:val="24"/>
          <w:szCs w:val="24"/>
        </w:rPr>
        <w:t xml:space="preserve">In the case of sites receiving delivery by tanker or taking an entire compartment, the vendor must provide a verified copy of the vendor ’s supplier’s statement of delivery. </w:t>
      </w:r>
    </w:p>
    <w:p w14:paraId="14389584" w14:textId="77777777" w:rsidR="009E39BD" w:rsidRPr="00115067" w:rsidRDefault="009E39BD" w:rsidP="00FF7DB5">
      <w:pPr>
        <w:pStyle w:val="ListParagraph"/>
        <w:numPr>
          <w:ilvl w:val="1"/>
          <w:numId w:val="15"/>
        </w:numPr>
        <w:rPr>
          <w:rFonts w:cstheme="minorHAnsi"/>
          <w:sz w:val="24"/>
          <w:szCs w:val="24"/>
        </w:rPr>
      </w:pPr>
      <w:r w:rsidRPr="00115067">
        <w:rPr>
          <w:rFonts w:cstheme="minorHAnsi"/>
          <w:sz w:val="24"/>
          <w:szCs w:val="24"/>
        </w:rPr>
        <w:t>For other deliveries, each truck must be equipped with a meter that generates a delivery ticket displaying gallons dispensed, with mandatory signatures from both the driver and the contract user's site manager. Tickets are required at site upon delivery, unless the site has made other arrangements.</w:t>
      </w:r>
    </w:p>
    <w:p w14:paraId="59CC94C9" w14:textId="77777777" w:rsidR="009E39BD" w:rsidRDefault="009E39BD" w:rsidP="00FF7DB5">
      <w:pPr>
        <w:pStyle w:val="ListParagraph"/>
        <w:numPr>
          <w:ilvl w:val="0"/>
          <w:numId w:val="15"/>
        </w:numPr>
        <w:rPr>
          <w:rFonts w:cstheme="minorHAnsi"/>
          <w:sz w:val="24"/>
          <w:szCs w:val="24"/>
        </w:rPr>
      </w:pPr>
      <w:r w:rsidRPr="0000464A">
        <w:rPr>
          <w:rFonts w:cstheme="minorHAnsi"/>
          <w:sz w:val="24"/>
          <w:szCs w:val="24"/>
        </w:rPr>
        <w:t xml:space="preserve">Drivers are responsible for ensuring their trucks are stocked with proper spill containment equipment and for demonstrating proficiency in their use. </w:t>
      </w:r>
    </w:p>
    <w:p w14:paraId="1874C6D4" w14:textId="77777777" w:rsidR="009E39BD" w:rsidRDefault="009E39BD" w:rsidP="00FF7DB5">
      <w:pPr>
        <w:pStyle w:val="ListParagraph"/>
        <w:numPr>
          <w:ilvl w:val="0"/>
          <w:numId w:val="15"/>
        </w:numPr>
        <w:rPr>
          <w:rFonts w:cstheme="minorHAnsi"/>
          <w:sz w:val="24"/>
          <w:szCs w:val="24"/>
        </w:rPr>
      </w:pPr>
      <w:r w:rsidRPr="00572E8A">
        <w:rPr>
          <w:rFonts w:cstheme="minorHAnsi"/>
          <w:sz w:val="24"/>
          <w:szCs w:val="24"/>
        </w:rPr>
        <w:t xml:space="preserve">If customers are required to have a </w:t>
      </w:r>
      <w:r w:rsidRPr="0000464A">
        <w:rPr>
          <w:rFonts w:cstheme="minorHAnsi"/>
          <w:sz w:val="24"/>
          <w:szCs w:val="24"/>
        </w:rPr>
        <w:t>Spill Prevention, Control, and Countermeasure</w:t>
      </w:r>
      <w:r>
        <w:rPr>
          <w:rFonts w:cstheme="minorHAnsi"/>
          <w:sz w:val="24"/>
          <w:szCs w:val="24"/>
        </w:rPr>
        <w:t xml:space="preserve"> (SPCC)</w:t>
      </w:r>
      <w:r w:rsidRPr="00572E8A">
        <w:rPr>
          <w:rFonts w:cstheme="minorHAnsi"/>
          <w:sz w:val="24"/>
          <w:szCs w:val="24"/>
        </w:rPr>
        <w:t xml:space="preserve"> plan in place, the </w:t>
      </w:r>
      <w:r>
        <w:rPr>
          <w:rFonts w:cstheme="minorHAnsi"/>
          <w:sz w:val="24"/>
          <w:szCs w:val="24"/>
        </w:rPr>
        <w:t>vendor</w:t>
      </w:r>
      <w:r w:rsidRPr="00572E8A">
        <w:rPr>
          <w:rFonts w:cstheme="minorHAnsi"/>
          <w:sz w:val="24"/>
          <w:szCs w:val="24"/>
        </w:rPr>
        <w:t xml:space="preserve"> must become familiar with this plan and understand their role in any such plan. </w:t>
      </w:r>
    </w:p>
    <w:p w14:paraId="52FC6464" w14:textId="77777777" w:rsidR="009E39BD" w:rsidRDefault="009E39BD" w:rsidP="00FF7DB5">
      <w:pPr>
        <w:pStyle w:val="ListParagraph"/>
        <w:numPr>
          <w:ilvl w:val="0"/>
          <w:numId w:val="15"/>
        </w:numPr>
        <w:rPr>
          <w:rFonts w:cstheme="minorHAnsi"/>
          <w:sz w:val="24"/>
          <w:szCs w:val="24"/>
        </w:rPr>
      </w:pPr>
      <w:r w:rsidRPr="0000464A">
        <w:rPr>
          <w:rFonts w:cstheme="minorHAnsi"/>
          <w:sz w:val="24"/>
          <w:szCs w:val="24"/>
        </w:rPr>
        <w:t>The Commonwealth retains the right to inspect delivery vehicles to confirm the delivered quantities</w:t>
      </w:r>
      <w:r w:rsidRPr="00572E8A">
        <w:rPr>
          <w:rFonts w:cstheme="minorHAnsi"/>
          <w:sz w:val="24"/>
          <w:szCs w:val="24"/>
        </w:rPr>
        <w:t xml:space="preserve">. </w:t>
      </w:r>
    </w:p>
    <w:p w14:paraId="37A44511" w14:textId="77777777" w:rsidR="009E39BD" w:rsidRDefault="009E39BD" w:rsidP="00FF7DB5">
      <w:pPr>
        <w:pStyle w:val="ListParagraph"/>
        <w:numPr>
          <w:ilvl w:val="1"/>
          <w:numId w:val="15"/>
        </w:numPr>
        <w:rPr>
          <w:rFonts w:cstheme="minorHAnsi"/>
          <w:sz w:val="24"/>
          <w:szCs w:val="24"/>
        </w:rPr>
      </w:pPr>
      <w:r w:rsidRPr="00572E8A">
        <w:rPr>
          <w:rFonts w:cstheme="minorHAnsi"/>
          <w:sz w:val="24"/>
          <w:szCs w:val="24"/>
        </w:rPr>
        <w:t xml:space="preserve">The delivery </w:t>
      </w:r>
      <w:r>
        <w:rPr>
          <w:rFonts w:cstheme="minorHAnsi"/>
          <w:sz w:val="24"/>
          <w:szCs w:val="24"/>
        </w:rPr>
        <w:t>vendor</w:t>
      </w:r>
      <w:r w:rsidRPr="00572E8A">
        <w:rPr>
          <w:rFonts w:cstheme="minorHAnsi"/>
          <w:sz w:val="24"/>
          <w:szCs w:val="24"/>
        </w:rPr>
        <w:t xml:space="preserve"> must supply means of inspection. </w:t>
      </w:r>
    </w:p>
    <w:p w14:paraId="33FA76DE" w14:textId="77777777" w:rsidR="009E39BD" w:rsidRDefault="009E39BD" w:rsidP="00FF7DB5">
      <w:pPr>
        <w:pStyle w:val="ListParagraph"/>
        <w:numPr>
          <w:ilvl w:val="1"/>
          <w:numId w:val="15"/>
        </w:numPr>
        <w:rPr>
          <w:rFonts w:cstheme="minorHAnsi"/>
          <w:sz w:val="24"/>
          <w:szCs w:val="24"/>
        </w:rPr>
      </w:pPr>
      <w:r w:rsidRPr="00B92429">
        <w:rPr>
          <w:rFonts w:cstheme="minorHAnsi"/>
          <w:sz w:val="24"/>
          <w:szCs w:val="24"/>
        </w:rPr>
        <w:t>Facilities management manually gauges the No. 2 heating oil level in a storage tank before and after a delivery to confirm the amount delivered.</w:t>
      </w:r>
    </w:p>
    <w:p w14:paraId="2AAEE663" w14:textId="77777777" w:rsidR="009E39BD" w:rsidRDefault="009E39BD" w:rsidP="00FF7DB5">
      <w:pPr>
        <w:pStyle w:val="ListParagraph"/>
        <w:numPr>
          <w:ilvl w:val="0"/>
          <w:numId w:val="15"/>
        </w:numPr>
        <w:rPr>
          <w:rFonts w:cstheme="minorHAnsi"/>
          <w:sz w:val="24"/>
          <w:szCs w:val="24"/>
        </w:rPr>
      </w:pPr>
      <w:r w:rsidRPr="00572E8A">
        <w:rPr>
          <w:rFonts w:cstheme="minorHAnsi"/>
          <w:sz w:val="24"/>
          <w:szCs w:val="24"/>
        </w:rPr>
        <w:t xml:space="preserve">The </w:t>
      </w:r>
      <w:r>
        <w:rPr>
          <w:rFonts w:cstheme="minorHAnsi"/>
          <w:sz w:val="24"/>
          <w:szCs w:val="24"/>
        </w:rPr>
        <w:t>vendor</w:t>
      </w:r>
      <w:r w:rsidRPr="00572E8A">
        <w:rPr>
          <w:rFonts w:cstheme="minorHAnsi"/>
          <w:sz w:val="24"/>
          <w:szCs w:val="24"/>
        </w:rPr>
        <w:t xml:space="preserve"> is not allowed to charge additional service charges for same day deliveries, emergency deliveries, or deliveries under a certain gallon amount.</w:t>
      </w:r>
    </w:p>
    <w:p w14:paraId="12C91F3C" w14:textId="77777777" w:rsidR="009E39BD" w:rsidRDefault="009E39BD" w:rsidP="009E39BD">
      <w:pPr>
        <w:pStyle w:val="Heading2"/>
      </w:pPr>
      <w:bookmarkStart w:id="56" w:name="_Toc207365998"/>
      <w:bookmarkStart w:id="57" w:name="_Toc209710806"/>
      <w:r>
        <w:t>Accidents and Spills Guidelines</w:t>
      </w:r>
      <w:bookmarkEnd w:id="56"/>
      <w:bookmarkEnd w:id="57"/>
    </w:p>
    <w:p w14:paraId="48C00E46" w14:textId="77777777" w:rsidR="009E39BD" w:rsidRPr="00B92429" w:rsidRDefault="009E39BD" w:rsidP="009E39BD">
      <w:pPr>
        <w:rPr>
          <w:sz w:val="24"/>
          <w:szCs w:val="24"/>
        </w:rPr>
      </w:pPr>
      <w:r>
        <w:rPr>
          <w:sz w:val="24"/>
          <w:szCs w:val="24"/>
        </w:rPr>
        <w:t>For accidents and spills, p</w:t>
      </w:r>
      <w:r w:rsidRPr="00B92429">
        <w:rPr>
          <w:sz w:val="24"/>
          <w:szCs w:val="24"/>
        </w:rPr>
        <w:t xml:space="preserve">lease refer to the following </w:t>
      </w:r>
      <w:r>
        <w:rPr>
          <w:sz w:val="24"/>
          <w:szCs w:val="24"/>
        </w:rPr>
        <w:t>requirements</w:t>
      </w:r>
      <w:r w:rsidRPr="00B92429">
        <w:rPr>
          <w:sz w:val="24"/>
          <w:szCs w:val="24"/>
        </w:rPr>
        <w:t>:</w:t>
      </w:r>
    </w:p>
    <w:p w14:paraId="0AF0663B" w14:textId="77777777" w:rsidR="009E39BD" w:rsidRDefault="009E39BD" w:rsidP="00FF7DB5">
      <w:pPr>
        <w:pStyle w:val="ListParagraph"/>
        <w:numPr>
          <w:ilvl w:val="0"/>
          <w:numId w:val="16"/>
        </w:numPr>
        <w:rPr>
          <w:sz w:val="24"/>
          <w:szCs w:val="24"/>
        </w:rPr>
      </w:pPr>
      <w:r w:rsidRPr="000D5E51">
        <w:rPr>
          <w:sz w:val="24"/>
          <w:szCs w:val="24"/>
        </w:rPr>
        <w:lastRenderedPageBreak/>
        <w:t xml:space="preserve">The </w:t>
      </w:r>
      <w:r>
        <w:rPr>
          <w:sz w:val="24"/>
          <w:szCs w:val="24"/>
        </w:rPr>
        <w:t>vendor</w:t>
      </w:r>
      <w:r w:rsidRPr="000D5E51">
        <w:rPr>
          <w:sz w:val="24"/>
          <w:szCs w:val="24"/>
        </w:rPr>
        <w:t xml:space="preserve"> is liable for damage to the agency's property (building, grounds, equipment) caused by the delivery of fuel under this contract, including damage from their employees' actions. This liability includes and is not limited to spills occurring during delivery. </w:t>
      </w:r>
    </w:p>
    <w:p w14:paraId="438E8DE5" w14:textId="77777777" w:rsidR="009E39BD" w:rsidRDefault="009E39BD" w:rsidP="00FF7DB5">
      <w:pPr>
        <w:pStyle w:val="ListParagraph"/>
        <w:numPr>
          <w:ilvl w:val="0"/>
          <w:numId w:val="16"/>
        </w:numPr>
        <w:rPr>
          <w:sz w:val="24"/>
          <w:szCs w:val="24"/>
        </w:rPr>
      </w:pPr>
      <w:r w:rsidRPr="00FA2023">
        <w:rPr>
          <w:sz w:val="24"/>
          <w:szCs w:val="24"/>
        </w:rPr>
        <w:t>The vendor must ensure a designated representative is present to supervise the delivery at the point of transfer</w:t>
      </w:r>
      <w:r w:rsidRPr="000D5E51">
        <w:rPr>
          <w:sz w:val="24"/>
          <w:szCs w:val="24"/>
        </w:rPr>
        <w:t xml:space="preserve">. </w:t>
      </w:r>
    </w:p>
    <w:p w14:paraId="4EE66754" w14:textId="77777777" w:rsidR="009E39BD" w:rsidRDefault="009E39BD" w:rsidP="00FF7DB5">
      <w:pPr>
        <w:pStyle w:val="ListParagraph"/>
        <w:numPr>
          <w:ilvl w:val="0"/>
          <w:numId w:val="16"/>
        </w:numPr>
        <w:rPr>
          <w:sz w:val="24"/>
          <w:szCs w:val="24"/>
        </w:rPr>
      </w:pPr>
      <w:r w:rsidRPr="00FA2023">
        <w:rPr>
          <w:sz w:val="24"/>
          <w:szCs w:val="24"/>
        </w:rPr>
        <w:t>The vendor's responsibility is not diminished even if a department orders an excessive amount of No. 2 Heating Oil or Eligible Liquid Biofuel.</w:t>
      </w:r>
    </w:p>
    <w:p w14:paraId="7816D2E2" w14:textId="77777777" w:rsidR="009E39BD" w:rsidRDefault="009E39BD" w:rsidP="00FF7DB5">
      <w:pPr>
        <w:pStyle w:val="ListParagraph"/>
        <w:numPr>
          <w:ilvl w:val="0"/>
          <w:numId w:val="16"/>
        </w:numPr>
        <w:rPr>
          <w:sz w:val="24"/>
          <w:szCs w:val="24"/>
        </w:rPr>
      </w:pPr>
      <w:r w:rsidRPr="00FA2023">
        <w:rPr>
          <w:sz w:val="24"/>
          <w:szCs w:val="24"/>
        </w:rPr>
        <w:t xml:space="preserve">Accountability for the cleanup of any environmental spills or accidental releases resulting from the </w:t>
      </w:r>
      <w:r>
        <w:rPr>
          <w:sz w:val="24"/>
          <w:szCs w:val="24"/>
        </w:rPr>
        <w:t>vendor</w:t>
      </w:r>
      <w:r w:rsidRPr="00FA2023">
        <w:rPr>
          <w:sz w:val="24"/>
          <w:szCs w:val="24"/>
        </w:rPr>
        <w:t xml:space="preserve">'s work under this contract, whether due to their acts, omissions, or negligence, rests entirely with the </w:t>
      </w:r>
      <w:r>
        <w:rPr>
          <w:sz w:val="24"/>
          <w:szCs w:val="24"/>
        </w:rPr>
        <w:t>vendor</w:t>
      </w:r>
      <w:r w:rsidRPr="00FA2023">
        <w:rPr>
          <w:sz w:val="24"/>
          <w:szCs w:val="24"/>
        </w:rPr>
        <w:t>. All such remediation shall be performed at no charge to the Commonwealth and in compliance with MGL c. 21E and other relevant regulations.</w:t>
      </w:r>
    </w:p>
    <w:p w14:paraId="1EA53259" w14:textId="77777777" w:rsidR="009E39BD" w:rsidRDefault="009E39BD" w:rsidP="00FF7DB5">
      <w:pPr>
        <w:pStyle w:val="ListParagraph"/>
        <w:numPr>
          <w:ilvl w:val="1"/>
          <w:numId w:val="16"/>
        </w:numPr>
        <w:rPr>
          <w:sz w:val="24"/>
          <w:szCs w:val="24"/>
        </w:rPr>
      </w:pPr>
      <w:r w:rsidRPr="000D5E51">
        <w:rPr>
          <w:sz w:val="24"/>
          <w:szCs w:val="24"/>
        </w:rPr>
        <w:t xml:space="preserve">The </w:t>
      </w:r>
      <w:r>
        <w:rPr>
          <w:sz w:val="24"/>
          <w:szCs w:val="24"/>
        </w:rPr>
        <w:t>vendor</w:t>
      </w:r>
      <w:r w:rsidRPr="000D5E51">
        <w:rPr>
          <w:sz w:val="24"/>
          <w:szCs w:val="24"/>
        </w:rPr>
        <w:t xml:space="preserve"> shall notify all local, state, and federal authorities as required by law in the event of such a release or threat of release.</w:t>
      </w:r>
    </w:p>
    <w:p w14:paraId="428938C1" w14:textId="77777777" w:rsidR="009E39BD" w:rsidRDefault="009E39BD" w:rsidP="00FF7DB5">
      <w:pPr>
        <w:pStyle w:val="ListParagraph"/>
        <w:numPr>
          <w:ilvl w:val="0"/>
          <w:numId w:val="16"/>
        </w:numPr>
        <w:rPr>
          <w:sz w:val="24"/>
          <w:szCs w:val="24"/>
        </w:rPr>
      </w:pPr>
      <w:r w:rsidRPr="00517FD1">
        <w:rPr>
          <w:sz w:val="24"/>
          <w:szCs w:val="24"/>
        </w:rPr>
        <w:t xml:space="preserve">In the event of a spill, release, or threat of release to the environment, and prior to commencing cleanup, the </w:t>
      </w:r>
      <w:r>
        <w:rPr>
          <w:sz w:val="24"/>
          <w:szCs w:val="24"/>
        </w:rPr>
        <w:t>vendor</w:t>
      </w:r>
      <w:r w:rsidRPr="00517FD1">
        <w:rPr>
          <w:sz w:val="24"/>
          <w:szCs w:val="24"/>
        </w:rPr>
        <w:t xml:space="preserve"> must report the incident to the user facility contact person via phone or email immediately, with written confirmation to follow</w:t>
      </w:r>
      <w:r w:rsidRPr="000D5E51">
        <w:rPr>
          <w:sz w:val="24"/>
          <w:szCs w:val="24"/>
        </w:rPr>
        <w:t xml:space="preserve">. </w:t>
      </w:r>
    </w:p>
    <w:p w14:paraId="25531556" w14:textId="77777777" w:rsidR="009E39BD" w:rsidRDefault="009E39BD" w:rsidP="00FF7DB5">
      <w:pPr>
        <w:pStyle w:val="ListParagraph"/>
        <w:numPr>
          <w:ilvl w:val="1"/>
          <w:numId w:val="16"/>
        </w:numPr>
        <w:rPr>
          <w:sz w:val="24"/>
          <w:szCs w:val="24"/>
        </w:rPr>
      </w:pPr>
      <w:r w:rsidRPr="003E21B0">
        <w:rPr>
          <w:sz w:val="24"/>
          <w:szCs w:val="24"/>
        </w:rPr>
        <w:t xml:space="preserve">If prior notification of the facility contact is not feasible, the </w:t>
      </w:r>
      <w:r>
        <w:rPr>
          <w:sz w:val="24"/>
          <w:szCs w:val="24"/>
        </w:rPr>
        <w:t>vendor</w:t>
      </w:r>
      <w:r w:rsidRPr="003E21B0">
        <w:rPr>
          <w:sz w:val="24"/>
          <w:szCs w:val="24"/>
        </w:rPr>
        <w:t xml:space="preserve"> must take appropriate response actions and promptly notify the contact person in writing</w:t>
      </w:r>
      <w:r>
        <w:rPr>
          <w:sz w:val="24"/>
          <w:szCs w:val="24"/>
        </w:rPr>
        <w:t>.</w:t>
      </w:r>
    </w:p>
    <w:p w14:paraId="7F665A2E" w14:textId="77777777" w:rsidR="009E39BD" w:rsidRDefault="009E39BD" w:rsidP="00FF7DB5">
      <w:pPr>
        <w:pStyle w:val="ListParagraph"/>
        <w:numPr>
          <w:ilvl w:val="0"/>
          <w:numId w:val="16"/>
        </w:numPr>
        <w:rPr>
          <w:sz w:val="24"/>
          <w:szCs w:val="24"/>
        </w:rPr>
      </w:pPr>
      <w:r w:rsidRPr="003E21B0">
        <w:rPr>
          <w:sz w:val="24"/>
          <w:szCs w:val="24"/>
        </w:rPr>
        <w:t xml:space="preserve">The </w:t>
      </w:r>
      <w:r>
        <w:rPr>
          <w:sz w:val="24"/>
          <w:szCs w:val="24"/>
        </w:rPr>
        <w:t>vendor</w:t>
      </w:r>
      <w:r w:rsidRPr="003E21B0">
        <w:rPr>
          <w:sz w:val="24"/>
          <w:szCs w:val="24"/>
        </w:rPr>
        <w:t xml:space="preserve"> must write and submit a summary of response actions for spills and/or contamination, adhering to MGL C. 21E reporting timelines, and send a copy to the </w:t>
      </w:r>
      <w:r w:rsidRPr="00447518">
        <w:rPr>
          <w:sz w:val="24"/>
          <w:szCs w:val="24"/>
        </w:rPr>
        <w:t>Category Manager</w:t>
      </w:r>
      <w:r>
        <w:rPr>
          <w:sz w:val="24"/>
          <w:szCs w:val="24"/>
        </w:rPr>
        <w:t>(s) (</w:t>
      </w:r>
      <w:hyperlink r:id="rId48" w:history="1">
        <w:r w:rsidRPr="006A30DC">
          <w:rPr>
            <w:rStyle w:val="Hyperlink"/>
            <w:sz w:val="24"/>
            <w:szCs w:val="24"/>
          </w:rPr>
          <w:t>Michael Barry</w:t>
        </w:r>
      </w:hyperlink>
      <w:r>
        <w:rPr>
          <w:b/>
          <w:bCs/>
          <w:color w:val="000000" w:themeColor="text1"/>
          <w:sz w:val="24"/>
          <w:szCs w:val="24"/>
        </w:rPr>
        <w:t xml:space="preserve"> </w:t>
      </w:r>
      <w:r w:rsidRPr="004817E1">
        <w:rPr>
          <w:color w:val="000000" w:themeColor="text1"/>
          <w:sz w:val="24"/>
          <w:szCs w:val="24"/>
        </w:rPr>
        <w:t>or</w:t>
      </w:r>
      <w:r>
        <w:rPr>
          <w:b/>
          <w:bCs/>
          <w:color w:val="000000" w:themeColor="text1"/>
          <w:sz w:val="24"/>
          <w:szCs w:val="24"/>
        </w:rPr>
        <w:t xml:space="preserve"> </w:t>
      </w:r>
      <w:hyperlink r:id="rId49" w:history="1">
        <w:r w:rsidRPr="006A30DC">
          <w:rPr>
            <w:rStyle w:val="Hyperlink"/>
            <w:sz w:val="24"/>
            <w:szCs w:val="24"/>
          </w:rPr>
          <w:t>Kelly Minichello</w:t>
        </w:r>
      </w:hyperlink>
      <w:r>
        <w:rPr>
          <w:sz w:val="24"/>
          <w:szCs w:val="24"/>
        </w:rPr>
        <w:t>)</w:t>
      </w:r>
      <w:r w:rsidRPr="003E21B0">
        <w:rPr>
          <w:sz w:val="24"/>
          <w:szCs w:val="24"/>
        </w:rPr>
        <w:t>.</w:t>
      </w:r>
    </w:p>
    <w:p w14:paraId="149EA407" w14:textId="77777777" w:rsidR="009E39BD" w:rsidRDefault="009E39BD" w:rsidP="009E39BD">
      <w:pPr>
        <w:pStyle w:val="Heading2"/>
      </w:pPr>
      <w:bookmarkStart w:id="58" w:name="_Toc207365999"/>
      <w:bookmarkStart w:id="59" w:name="_Toc209710807"/>
      <w:r>
        <w:t>Additional Discounts</w:t>
      </w:r>
      <w:bookmarkEnd w:id="58"/>
      <w:bookmarkEnd w:id="59"/>
    </w:p>
    <w:p w14:paraId="25076A33" w14:textId="77777777" w:rsidR="009E39BD" w:rsidRPr="00EC5BA1" w:rsidRDefault="009E39BD" w:rsidP="009E39BD">
      <w:pPr>
        <w:rPr>
          <w:color w:val="000000" w:themeColor="text1"/>
          <w:sz w:val="24"/>
          <w:szCs w:val="24"/>
        </w:rPr>
      </w:pPr>
      <w:r w:rsidRPr="00EC5BA1">
        <w:rPr>
          <w:color w:val="000000" w:themeColor="text1"/>
          <w:sz w:val="24"/>
          <w:szCs w:val="24"/>
        </w:rPr>
        <w:t xml:space="preserve">Vendors in this Statewide Contract offer Prompt Pay Discount (PPD), which can vary for each vendor (vendor discounts may be listed in the </w:t>
      </w:r>
      <w:hyperlink w:anchor="_Appendix_A:_Vendor" w:history="1">
        <w:r>
          <w:rPr>
            <w:rStyle w:val="Hyperlink"/>
            <w:sz w:val="24"/>
            <w:szCs w:val="24"/>
          </w:rPr>
          <w:t>vendor list</w:t>
        </w:r>
      </w:hyperlink>
      <w:r w:rsidRPr="00EC5BA1">
        <w:rPr>
          <w:color w:val="000000" w:themeColor="text1"/>
          <w:sz w:val="24"/>
          <w:szCs w:val="24"/>
        </w:rPr>
        <w:t xml:space="preserve"> table and in the price files within each vendor's Master Blanket Purchase Order [MBPO] or Master Contract Record MBPO). </w:t>
      </w:r>
    </w:p>
    <w:p w14:paraId="2881EF36" w14:textId="77777777" w:rsidR="009E39BD" w:rsidRPr="00EC5BA1" w:rsidRDefault="009E39BD" w:rsidP="009E39BD">
      <w:pPr>
        <w:rPr>
          <w:color w:val="000000" w:themeColor="text1"/>
          <w:sz w:val="24"/>
          <w:szCs w:val="24"/>
        </w:rPr>
      </w:pPr>
      <w:r w:rsidRPr="00EC5BA1">
        <w:rPr>
          <w:color w:val="000000" w:themeColor="text1"/>
          <w:sz w:val="24"/>
          <w:szCs w:val="24"/>
        </w:rPr>
        <w:t xml:space="preserve">PPD is a percentage discount given to the buyer if the invoice is paid within a specified time, in accordance with the </w:t>
      </w:r>
      <w:hyperlink r:id="rId50" w:tgtFrame="_blank" w:history="1">
        <w:r w:rsidRPr="00EC5BA1">
          <w:rPr>
            <w:rStyle w:val="Hyperlink"/>
            <w:sz w:val="24"/>
            <w:szCs w:val="24"/>
          </w:rPr>
          <w:t>Commonwealth’s Bill Paying Policy</w:t>
        </w:r>
      </w:hyperlink>
      <w:r w:rsidRPr="00EC5BA1">
        <w:rPr>
          <w:color w:val="000000" w:themeColor="text1"/>
          <w:sz w:val="24"/>
          <w:szCs w:val="24"/>
        </w:rPr>
        <w:t>.</w:t>
      </w:r>
    </w:p>
    <w:p w14:paraId="1BC2A570" w14:textId="77777777" w:rsidR="009E39BD" w:rsidRPr="00BC6254" w:rsidRDefault="009E39BD" w:rsidP="009E39BD">
      <w:pPr>
        <w:rPr>
          <w:sz w:val="24"/>
          <w:szCs w:val="24"/>
        </w:rPr>
      </w:pPr>
      <w:r w:rsidRPr="001978DC">
        <w:rPr>
          <w:b/>
          <w:bCs/>
          <w:color w:val="000000" w:themeColor="text1"/>
          <w:sz w:val="24"/>
          <w:szCs w:val="24"/>
        </w:rPr>
        <w:lastRenderedPageBreak/>
        <w:t>Note:</w:t>
      </w:r>
      <w:r>
        <w:rPr>
          <w:color w:val="000000" w:themeColor="text1"/>
          <w:sz w:val="24"/>
          <w:szCs w:val="24"/>
        </w:rPr>
        <w:t xml:space="preserve"> 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28EF3010" w:rsidR="004553D2" w:rsidRPr="00C50D01" w:rsidRDefault="00280EC3" w:rsidP="00633557">
      <w:pPr>
        <w:pStyle w:val="Heading2"/>
      </w:pPr>
      <w:bookmarkStart w:id="60" w:name="_Toc194066612"/>
      <w:bookmarkStart w:id="61" w:name="_Toc209710808"/>
      <w:r>
        <w:t>Emergency Services</w:t>
      </w:r>
      <w:bookmarkEnd w:id="60"/>
      <w:bookmarkEnd w:id="61"/>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51"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52"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7A7C5A30" w14:textId="55776F51" w:rsidR="007A3393" w:rsidRPr="009E12A3" w:rsidRDefault="007A3393" w:rsidP="007A3393">
      <w:pPr>
        <w:rPr>
          <w:sz w:val="24"/>
          <w:szCs w:val="24"/>
        </w:rPr>
      </w:pPr>
      <w:r>
        <w:rPr>
          <w:rFonts w:cs="Arial"/>
          <w:color w:val="000000"/>
          <w:sz w:val="24"/>
          <w:szCs w:val="24"/>
        </w:rPr>
        <w:t>Vendor</w:t>
      </w:r>
      <w:r w:rsidRPr="00DA1B63">
        <w:rPr>
          <w:rFonts w:cs="Arial"/>
          <w:color w:val="000000"/>
          <w:sz w:val="24"/>
          <w:szCs w:val="24"/>
        </w:rPr>
        <w:t xml:space="preserve"> must have available dispatch services 365 days a year/24 hours a day/7 days a week. The need for emergency delivery will occur and the </w:t>
      </w:r>
      <w:r>
        <w:rPr>
          <w:rFonts w:cs="Arial"/>
          <w:color w:val="000000"/>
          <w:sz w:val="24"/>
          <w:szCs w:val="24"/>
        </w:rPr>
        <w:t>vendor</w:t>
      </w:r>
      <w:r w:rsidRPr="00DA1B63">
        <w:rPr>
          <w:rFonts w:cs="Arial"/>
          <w:color w:val="000000"/>
          <w:sz w:val="24"/>
          <w:szCs w:val="24"/>
        </w:rPr>
        <w:t xml:space="preserve"> must provide 24- hour, 365- day coverage. In a declared state of emergency where the safety and wellbeing of Commonwealth citizens are at risk, </w:t>
      </w:r>
      <w:r>
        <w:rPr>
          <w:rFonts w:cs="Arial"/>
          <w:color w:val="000000"/>
          <w:sz w:val="24"/>
          <w:szCs w:val="24"/>
        </w:rPr>
        <w:t>vendors</w:t>
      </w:r>
      <w:r w:rsidRPr="00DA1B63">
        <w:rPr>
          <w:rFonts w:cs="Arial"/>
          <w:color w:val="000000"/>
          <w:sz w:val="24"/>
          <w:szCs w:val="24"/>
        </w:rPr>
        <w:t xml:space="preserve"> may be asked to supply the Commonwealth with the commodities and/or services under the Statewide Contract on a priority basis. If emergency deliveries become a recurring problem, the </w:t>
      </w:r>
      <w:r>
        <w:rPr>
          <w:rFonts w:cs="Arial"/>
          <w:color w:val="000000"/>
          <w:sz w:val="24"/>
          <w:szCs w:val="24"/>
        </w:rPr>
        <w:t>vendor</w:t>
      </w:r>
      <w:r w:rsidRPr="00DA1B63">
        <w:rPr>
          <w:rFonts w:cs="Arial"/>
          <w:color w:val="000000"/>
          <w:sz w:val="24"/>
          <w:szCs w:val="24"/>
        </w:rPr>
        <w:t xml:space="preserve"> must seek resolution with the Contract Manager at the Operational Services Division (OSD).</w:t>
      </w:r>
    </w:p>
    <w:p w14:paraId="0E2BA003" w14:textId="1E68B3FE" w:rsidR="00177A06" w:rsidRDefault="00177A06" w:rsidP="00633557">
      <w:pPr>
        <w:pStyle w:val="Heading2"/>
      </w:pPr>
      <w:bookmarkStart w:id="62" w:name="_Toc194066614"/>
      <w:bookmarkStart w:id="63" w:name="_Toc209710809"/>
      <w:r>
        <w:t>Vendor Performance</w:t>
      </w:r>
      <w:bookmarkEnd w:id="62"/>
      <w:bookmarkEnd w:id="63"/>
    </w:p>
    <w:p w14:paraId="287378A9" w14:textId="77777777" w:rsidR="00F557C5" w:rsidRPr="009E12A3" w:rsidRDefault="00F557C5" w:rsidP="00F557C5">
      <w:pPr>
        <w:rPr>
          <w:sz w:val="24"/>
          <w:szCs w:val="24"/>
        </w:rPr>
      </w:pPr>
      <w:r w:rsidRPr="00F0752D">
        <w:rPr>
          <w:sz w:val="24"/>
          <w:szCs w:val="24"/>
        </w:rPr>
        <w:t>Key points concerning vendor performance are outlined below</w:t>
      </w:r>
      <w:r w:rsidRPr="009E12A3">
        <w:rPr>
          <w:sz w:val="24"/>
          <w:szCs w:val="24"/>
        </w:rPr>
        <w:t>:</w:t>
      </w:r>
    </w:p>
    <w:p w14:paraId="70E8B246" w14:textId="77777777" w:rsidR="00F557C5" w:rsidRPr="009E12A3" w:rsidRDefault="00F557C5" w:rsidP="00FF7DB5">
      <w:pPr>
        <w:pStyle w:val="ListParagraph"/>
        <w:numPr>
          <w:ilvl w:val="0"/>
          <w:numId w:val="11"/>
        </w:numPr>
        <w:rPr>
          <w:sz w:val="24"/>
          <w:szCs w:val="24"/>
        </w:rPr>
      </w:pPr>
      <w:r w:rsidRPr="00A36AA5">
        <w:rPr>
          <w:sz w:val="24"/>
          <w:szCs w:val="24"/>
        </w:rPr>
        <w:t xml:space="preserve">Provide actionable feedback on vendors for this contract to optimize performance </w:t>
      </w:r>
      <w:r>
        <w:rPr>
          <w:sz w:val="24"/>
          <w:szCs w:val="24"/>
        </w:rPr>
        <w:t xml:space="preserve">through the </w:t>
      </w:r>
      <w:hyperlink r:id="rId53" w:history="1">
        <w:r w:rsidRPr="001F178A">
          <w:rPr>
            <w:rStyle w:val="Hyperlink"/>
            <w:sz w:val="24"/>
            <w:szCs w:val="24"/>
          </w:rPr>
          <w:t>Procurated Platform</w:t>
        </w:r>
      </w:hyperlink>
      <w:r w:rsidRPr="00A36AA5">
        <w:rPr>
          <w:sz w:val="24"/>
          <w:szCs w:val="24"/>
        </w:rPr>
        <w:t>.</w:t>
      </w:r>
      <w:r>
        <w:rPr>
          <w:sz w:val="24"/>
          <w:szCs w:val="24"/>
        </w:rPr>
        <w:t xml:space="preserve"> On the Procurated website, select an OSD contract, choose </w:t>
      </w:r>
      <w:r w:rsidRPr="00E8347B">
        <w:rPr>
          <w:b/>
          <w:bCs/>
          <w:sz w:val="24"/>
          <w:szCs w:val="24"/>
        </w:rPr>
        <w:t>Select</w:t>
      </w:r>
      <w:r>
        <w:rPr>
          <w:sz w:val="24"/>
          <w:szCs w:val="24"/>
        </w:rPr>
        <w:t xml:space="preserve">, and then choose </w:t>
      </w:r>
      <w:r w:rsidRPr="00E8347B">
        <w:rPr>
          <w:b/>
          <w:bCs/>
          <w:sz w:val="24"/>
          <w:szCs w:val="24"/>
        </w:rPr>
        <w:t>Provide a Review</w:t>
      </w:r>
      <w:r>
        <w:rPr>
          <w:sz w:val="24"/>
          <w:szCs w:val="24"/>
        </w:rPr>
        <w:t xml:space="preserve"> for the applicable vendor listed. </w:t>
      </w:r>
    </w:p>
    <w:p w14:paraId="2A0C2131" w14:textId="77777777" w:rsidR="00F557C5" w:rsidRPr="009E12A3" w:rsidRDefault="00F557C5" w:rsidP="00FF7DB5">
      <w:pPr>
        <w:pStyle w:val="ListParagraph"/>
        <w:numPr>
          <w:ilvl w:val="0"/>
          <w:numId w:val="11"/>
        </w:numPr>
        <w:rPr>
          <w:sz w:val="24"/>
          <w:szCs w:val="24"/>
        </w:rPr>
      </w:pPr>
      <w:r w:rsidRPr="009E12A3">
        <w:rPr>
          <w:sz w:val="24"/>
          <w:szCs w:val="24"/>
        </w:rPr>
        <w:t xml:space="preserve">Buyers are encouraged to reach out to the </w:t>
      </w:r>
      <w:r w:rsidRPr="009E12A3">
        <w:rPr>
          <w:color w:val="000000" w:themeColor="text1"/>
          <w:sz w:val="24"/>
          <w:szCs w:val="24"/>
        </w:rPr>
        <w:t>Category Manager</w:t>
      </w:r>
      <w:r>
        <w:rPr>
          <w:color w:val="000000" w:themeColor="text1"/>
          <w:sz w:val="24"/>
          <w:szCs w:val="24"/>
        </w:rPr>
        <w:t xml:space="preserve">(s) </w:t>
      </w:r>
      <w:r>
        <w:rPr>
          <w:sz w:val="24"/>
          <w:szCs w:val="24"/>
        </w:rPr>
        <w:t>(</w:t>
      </w:r>
      <w:hyperlink r:id="rId54" w:history="1">
        <w:r w:rsidRPr="006A30DC">
          <w:rPr>
            <w:rStyle w:val="Hyperlink"/>
            <w:sz w:val="24"/>
            <w:szCs w:val="24"/>
          </w:rPr>
          <w:t>Michael Barry</w:t>
        </w:r>
      </w:hyperlink>
      <w:r>
        <w:rPr>
          <w:b/>
          <w:bCs/>
          <w:color w:val="000000" w:themeColor="text1"/>
          <w:sz w:val="24"/>
          <w:szCs w:val="24"/>
        </w:rPr>
        <w:t xml:space="preserve"> </w:t>
      </w:r>
      <w:r w:rsidRPr="004817E1">
        <w:rPr>
          <w:color w:val="000000" w:themeColor="text1"/>
          <w:sz w:val="24"/>
          <w:szCs w:val="24"/>
        </w:rPr>
        <w:t>or</w:t>
      </w:r>
      <w:r>
        <w:rPr>
          <w:b/>
          <w:bCs/>
          <w:color w:val="000000" w:themeColor="text1"/>
          <w:sz w:val="24"/>
          <w:szCs w:val="24"/>
        </w:rPr>
        <w:t xml:space="preserve"> </w:t>
      </w:r>
      <w:hyperlink r:id="rId55" w:history="1">
        <w:r w:rsidRPr="006A30DC">
          <w:rPr>
            <w:rStyle w:val="Hyperlink"/>
            <w:sz w:val="24"/>
            <w:szCs w:val="24"/>
          </w:rPr>
          <w:t>Kelly Minichello</w:t>
        </w:r>
      </w:hyperlink>
      <w:r>
        <w:rPr>
          <w:sz w:val="24"/>
          <w:szCs w:val="24"/>
        </w:rPr>
        <w:t xml:space="preserve">) </w:t>
      </w:r>
      <w:r w:rsidRPr="009E12A3">
        <w:rPr>
          <w:sz w:val="24"/>
          <w:szCs w:val="24"/>
        </w:rPr>
        <w:t>if vendors are not meeting their contractual obligations and buyers may be surveyed for vendor performance feedback.</w:t>
      </w:r>
    </w:p>
    <w:p w14:paraId="2E620EB9" w14:textId="77777777" w:rsidR="00F557C5" w:rsidRPr="009E12A3" w:rsidRDefault="00F557C5" w:rsidP="00FF7DB5">
      <w:pPr>
        <w:pStyle w:val="ListParagraph"/>
        <w:numPr>
          <w:ilvl w:val="0"/>
          <w:numId w:val="11"/>
        </w:numPr>
        <w:rPr>
          <w:sz w:val="24"/>
          <w:szCs w:val="24"/>
        </w:rPr>
      </w:pPr>
      <w:r>
        <w:rPr>
          <w:sz w:val="24"/>
          <w:szCs w:val="24"/>
        </w:rPr>
        <w:t>Vendors</w:t>
      </w:r>
      <w:r w:rsidRPr="009E12A3">
        <w:rPr>
          <w:sz w:val="24"/>
          <w:szCs w:val="24"/>
        </w:rPr>
        <w:t xml:space="preserve"> will be evaluated on their current performance and may be asked to work with the Commonwealth toward improvement.</w:t>
      </w:r>
    </w:p>
    <w:p w14:paraId="02DB9259" w14:textId="77777777" w:rsidR="00F557C5" w:rsidRPr="009E12A3" w:rsidRDefault="00F557C5" w:rsidP="00FF7DB5">
      <w:pPr>
        <w:pStyle w:val="ListParagraph"/>
        <w:numPr>
          <w:ilvl w:val="1"/>
          <w:numId w:val="11"/>
        </w:numPr>
        <w:rPr>
          <w:sz w:val="24"/>
          <w:szCs w:val="24"/>
        </w:rPr>
      </w:pPr>
      <w:r w:rsidRPr="009E12A3">
        <w:rPr>
          <w:sz w:val="24"/>
          <w:szCs w:val="24"/>
        </w:rPr>
        <w:t xml:space="preserve">If </w:t>
      </w:r>
      <w:r>
        <w:rPr>
          <w:sz w:val="24"/>
          <w:szCs w:val="24"/>
        </w:rPr>
        <w:t>vendor</w:t>
      </w:r>
      <w:r w:rsidRPr="009E12A3">
        <w:rPr>
          <w:sz w:val="24"/>
          <w:szCs w:val="24"/>
        </w:rPr>
        <w:t xml:space="preserve"> performance is unacceptable but </w:t>
      </w:r>
      <w:r>
        <w:rPr>
          <w:sz w:val="24"/>
          <w:szCs w:val="24"/>
        </w:rPr>
        <w:t>may</w:t>
      </w:r>
      <w:r w:rsidRPr="009E12A3">
        <w:rPr>
          <w:sz w:val="24"/>
          <w:szCs w:val="24"/>
        </w:rPr>
        <w:t xml:space="preserve"> be corrected, the </w:t>
      </w:r>
      <w:r>
        <w:rPr>
          <w:sz w:val="24"/>
          <w:szCs w:val="24"/>
        </w:rPr>
        <w:t>vendor</w:t>
      </w:r>
      <w:r w:rsidRPr="009E12A3">
        <w:rPr>
          <w:sz w:val="24"/>
          <w:szCs w:val="24"/>
        </w:rPr>
        <w:t xml:space="preserve"> will be given the opportunity to develop and implement a </w:t>
      </w:r>
      <w:r>
        <w:rPr>
          <w:sz w:val="24"/>
          <w:szCs w:val="24"/>
        </w:rPr>
        <w:t>C</w:t>
      </w:r>
      <w:r w:rsidRPr="009E12A3">
        <w:rPr>
          <w:sz w:val="24"/>
          <w:szCs w:val="24"/>
        </w:rPr>
        <w:t xml:space="preserve">orrective </w:t>
      </w:r>
      <w:r>
        <w:rPr>
          <w:sz w:val="24"/>
          <w:szCs w:val="24"/>
        </w:rPr>
        <w:t>A</w:t>
      </w:r>
      <w:r w:rsidRPr="009E12A3">
        <w:rPr>
          <w:sz w:val="24"/>
          <w:szCs w:val="24"/>
        </w:rPr>
        <w:t xml:space="preserve">ction </w:t>
      </w:r>
      <w:r>
        <w:rPr>
          <w:sz w:val="24"/>
          <w:szCs w:val="24"/>
        </w:rPr>
        <w:t>P</w:t>
      </w:r>
      <w:r w:rsidRPr="009E12A3">
        <w:rPr>
          <w:sz w:val="24"/>
          <w:szCs w:val="24"/>
        </w:rPr>
        <w:t>lan</w:t>
      </w:r>
      <w:r>
        <w:rPr>
          <w:sz w:val="24"/>
          <w:szCs w:val="24"/>
        </w:rPr>
        <w:t xml:space="preserve"> (CAP)</w:t>
      </w:r>
      <w:r w:rsidRPr="009E12A3">
        <w:rPr>
          <w:sz w:val="24"/>
          <w:szCs w:val="24"/>
        </w:rPr>
        <w:t>, working collaboratively with OSD and the relevant purchasing entities.</w:t>
      </w:r>
    </w:p>
    <w:p w14:paraId="3C8A0A38" w14:textId="77777777" w:rsidR="00F557C5" w:rsidRPr="009E12A3" w:rsidRDefault="00F557C5" w:rsidP="00FF7DB5">
      <w:pPr>
        <w:pStyle w:val="ListParagraph"/>
        <w:numPr>
          <w:ilvl w:val="1"/>
          <w:numId w:val="11"/>
        </w:numPr>
        <w:rPr>
          <w:sz w:val="24"/>
          <w:szCs w:val="24"/>
        </w:rPr>
      </w:pPr>
      <w:r w:rsidRPr="009E12A3">
        <w:rPr>
          <w:sz w:val="24"/>
          <w:szCs w:val="24"/>
        </w:rPr>
        <w:lastRenderedPageBreak/>
        <w:t xml:space="preserve">If </w:t>
      </w:r>
      <w:r>
        <w:rPr>
          <w:sz w:val="24"/>
          <w:szCs w:val="24"/>
        </w:rPr>
        <w:t>vendor</w:t>
      </w:r>
      <w:r w:rsidRPr="009E12A3">
        <w:rPr>
          <w:sz w:val="24"/>
          <w:szCs w:val="24"/>
        </w:rPr>
        <w:t xml:space="preserve"> performance is inadequate or breaches the RFR terms, including attachments and agreements, the OSD Category Manager</w:t>
      </w:r>
      <w:r>
        <w:rPr>
          <w:sz w:val="24"/>
          <w:szCs w:val="24"/>
        </w:rPr>
        <w:t>(s)</w:t>
      </w:r>
      <w:r w:rsidRPr="009E12A3">
        <w:rPr>
          <w:sz w:val="24"/>
          <w:szCs w:val="24"/>
        </w:rPr>
        <w:t xml:space="preserve"> may issue a warning, implement a </w:t>
      </w:r>
      <w:r>
        <w:rPr>
          <w:sz w:val="24"/>
          <w:szCs w:val="24"/>
        </w:rPr>
        <w:t>CAP</w:t>
      </w:r>
      <w:r w:rsidRPr="009E12A3">
        <w:rPr>
          <w:sz w:val="24"/>
          <w:szCs w:val="24"/>
        </w:rPr>
        <w:t>, or suspend/terminate the contract.</w:t>
      </w:r>
    </w:p>
    <w:p w14:paraId="16B6CE6E" w14:textId="77777777" w:rsidR="00F557C5" w:rsidRPr="009E12A3" w:rsidRDefault="00F557C5" w:rsidP="00FF7DB5">
      <w:pPr>
        <w:pStyle w:val="ListParagraph"/>
        <w:numPr>
          <w:ilvl w:val="0"/>
          <w:numId w:val="11"/>
        </w:numPr>
        <w:rPr>
          <w:sz w:val="24"/>
          <w:szCs w:val="24"/>
        </w:rPr>
      </w:pPr>
      <w:r>
        <w:rPr>
          <w:sz w:val="24"/>
          <w:szCs w:val="24"/>
        </w:rPr>
        <w:t>Vendors</w:t>
      </w:r>
      <w:r w:rsidRPr="009E12A3">
        <w:rPr>
          <w:sz w:val="24"/>
          <w:szCs w:val="24"/>
        </w:rPr>
        <w:t xml:space="preserve"> must meet all contractual requirements throughout the life of the contract, including requirements for timely and accurate report submission, to remain in good standing under the contract.</w:t>
      </w:r>
    </w:p>
    <w:p w14:paraId="7E1A1265" w14:textId="77777777" w:rsidR="00F557C5" w:rsidRDefault="00F557C5" w:rsidP="00F557C5">
      <w:pPr>
        <w:pStyle w:val="Heading2"/>
      </w:pPr>
      <w:bookmarkStart w:id="64" w:name="_Toc207366002"/>
      <w:bookmarkStart w:id="65" w:name="_Toc209710810"/>
      <w:r>
        <w:t>General Procurement Guidelines and Best Practices</w:t>
      </w:r>
      <w:bookmarkEnd w:id="64"/>
      <w:bookmarkEnd w:id="65"/>
    </w:p>
    <w:p w14:paraId="4940B4FC" w14:textId="77777777" w:rsidR="00F557C5" w:rsidRPr="009E12A3" w:rsidRDefault="00F557C5" w:rsidP="00F557C5">
      <w:pPr>
        <w:rPr>
          <w:sz w:val="24"/>
          <w:szCs w:val="24"/>
        </w:rPr>
      </w:pPr>
      <w:r w:rsidRPr="009E12A3">
        <w:rPr>
          <w:sz w:val="24"/>
          <w:szCs w:val="24"/>
        </w:rPr>
        <w:t>For general procurement guidelines and best practices, follow these recommendations:</w:t>
      </w:r>
    </w:p>
    <w:p w14:paraId="526C10F8" w14:textId="77777777" w:rsidR="00F557C5" w:rsidRPr="009E12A3" w:rsidRDefault="00F557C5" w:rsidP="00FF7DB5">
      <w:pPr>
        <w:pStyle w:val="ListParagraph"/>
        <w:numPr>
          <w:ilvl w:val="0"/>
          <w:numId w:val="7"/>
        </w:numPr>
        <w:rPr>
          <w:sz w:val="24"/>
          <w:szCs w:val="24"/>
        </w:rPr>
      </w:pPr>
      <w:r w:rsidRPr="009E12A3">
        <w:rPr>
          <w:sz w:val="24"/>
          <w:szCs w:val="24"/>
        </w:rPr>
        <w:t xml:space="preserve">Buyers should inform vendors to reference </w:t>
      </w:r>
      <w:r>
        <w:rPr>
          <w:sz w:val="24"/>
          <w:szCs w:val="24"/>
        </w:rPr>
        <w:t xml:space="preserve">Statewide </w:t>
      </w:r>
      <w:r w:rsidRPr="009E12A3">
        <w:rPr>
          <w:sz w:val="24"/>
          <w:szCs w:val="24"/>
        </w:rPr>
        <w:t>Contract</w:t>
      </w:r>
      <w:r>
        <w:rPr>
          <w:sz w:val="24"/>
          <w:szCs w:val="24"/>
        </w:rPr>
        <w:t xml:space="preserve"> </w:t>
      </w:r>
      <w:r w:rsidRPr="00AE69CF">
        <w:rPr>
          <w:b/>
          <w:bCs/>
          <w:sz w:val="24"/>
          <w:szCs w:val="24"/>
        </w:rPr>
        <w:t>ENE52</w:t>
      </w:r>
      <w:r w:rsidRPr="009E12A3">
        <w:rPr>
          <w:sz w:val="24"/>
          <w:szCs w:val="24"/>
        </w:rPr>
        <w:t xml:space="preserve"> on all quotes and invoices.</w:t>
      </w:r>
    </w:p>
    <w:p w14:paraId="16D3E9BD" w14:textId="77777777" w:rsidR="00F557C5" w:rsidRPr="009E12A3" w:rsidRDefault="00F557C5" w:rsidP="00FF7DB5">
      <w:pPr>
        <w:pStyle w:val="ListParagraph"/>
        <w:numPr>
          <w:ilvl w:val="0"/>
          <w:numId w:val="7"/>
        </w:numPr>
        <w:rPr>
          <w:sz w:val="24"/>
          <w:szCs w:val="24"/>
        </w:rPr>
      </w:pPr>
      <w:r w:rsidRPr="009E12A3">
        <w:rPr>
          <w:sz w:val="24"/>
          <w:szCs w:val="24"/>
        </w:rPr>
        <w:t>No prepayment should be made for products not yet delivered or services not yet rendered.</w:t>
      </w:r>
    </w:p>
    <w:p w14:paraId="5ABAC3DC" w14:textId="77777777" w:rsidR="00F557C5" w:rsidRPr="009E12A3" w:rsidRDefault="00F557C5" w:rsidP="00FF7DB5">
      <w:pPr>
        <w:pStyle w:val="ListParagraph"/>
        <w:numPr>
          <w:ilvl w:val="0"/>
          <w:numId w:val="7"/>
        </w:numPr>
        <w:rPr>
          <w:rFonts w:cstheme="minorHAnsi"/>
          <w:sz w:val="24"/>
          <w:szCs w:val="24"/>
        </w:rPr>
      </w:pPr>
      <w:r w:rsidRPr="009E12A3">
        <w:rPr>
          <w:rFonts w:cstheme="minorHAnsi"/>
          <w:sz w:val="24"/>
          <w:szCs w:val="24"/>
        </w:rPr>
        <w:t>No sales tax should be applied to invoices.</w:t>
      </w:r>
    </w:p>
    <w:p w14:paraId="49F8C4B5" w14:textId="77777777" w:rsidR="00F557C5" w:rsidRPr="009E12A3" w:rsidRDefault="00F557C5" w:rsidP="00FF7DB5">
      <w:pPr>
        <w:pStyle w:val="ListParagraph"/>
        <w:numPr>
          <w:ilvl w:val="0"/>
          <w:numId w:val="7"/>
        </w:numPr>
        <w:rPr>
          <w:rFonts w:cstheme="minorHAnsi"/>
          <w:sz w:val="24"/>
          <w:szCs w:val="24"/>
        </w:rPr>
      </w:pPr>
      <w:r w:rsidRPr="009E12A3">
        <w:rPr>
          <w:rFonts w:cstheme="minorHAnsi"/>
          <w:sz w:val="24"/>
          <w:szCs w:val="24"/>
        </w:rPr>
        <w:t>No fees or surcharges (including travel, fuel, delivery) should be applied to invoices.</w:t>
      </w:r>
    </w:p>
    <w:p w14:paraId="679F4245" w14:textId="77777777" w:rsidR="00F557C5" w:rsidRPr="009E12A3" w:rsidRDefault="00F557C5" w:rsidP="00FF7DB5">
      <w:pPr>
        <w:pStyle w:val="ListParagraph"/>
        <w:numPr>
          <w:ilvl w:val="0"/>
          <w:numId w:val="7"/>
        </w:numPr>
        <w:rPr>
          <w:rFonts w:cstheme="minorHAnsi"/>
          <w:sz w:val="24"/>
          <w:szCs w:val="24"/>
        </w:rPr>
      </w:pPr>
      <w:r w:rsidRPr="009E12A3">
        <w:rPr>
          <w:rFonts w:cstheme="minorHAnsi"/>
          <w:sz w:val="24"/>
          <w:szCs w:val="24"/>
        </w:rPr>
        <w:t>Special order fees must be agreed upon by both parties upfront.</w:t>
      </w:r>
    </w:p>
    <w:p w14:paraId="63BE4E32" w14:textId="77777777" w:rsidR="00F557C5" w:rsidRPr="009E12A3" w:rsidRDefault="00F557C5" w:rsidP="00FF7DB5">
      <w:pPr>
        <w:pStyle w:val="ListParagraph"/>
        <w:numPr>
          <w:ilvl w:val="0"/>
          <w:numId w:val="7"/>
        </w:numPr>
        <w:rPr>
          <w:rFonts w:cstheme="minorHAnsi"/>
          <w:sz w:val="24"/>
          <w:szCs w:val="24"/>
        </w:rPr>
      </w:pPr>
      <w:r w:rsidRPr="009E12A3">
        <w:rPr>
          <w:rFonts w:cstheme="minorHAnsi"/>
          <w:sz w:val="24"/>
          <w:szCs w:val="24"/>
        </w:rPr>
        <w:t>Payments for products or services provided must be paid within 45 days per Massachusetts Bill Payment Policy, or sooner if applying Prompt Payment Discount.</w:t>
      </w:r>
    </w:p>
    <w:p w14:paraId="16CABB0B" w14:textId="77777777" w:rsidR="00F557C5" w:rsidRPr="009E12A3" w:rsidRDefault="00F557C5" w:rsidP="00FF7DB5">
      <w:pPr>
        <w:pStyle w:val="ListParagraph"/>
        <w:numPr>
          <w:ilvl w:val="0"/>
          <w:numId w:val="7"/>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Pr>
          <w:rFonts w:cstheme="minorHAnsi"/>
          <w:sz w:val="24"/>
          <w:szCs w:val="24"/>
        </w:rPr>
        <w:t>.</w:t>
      </w:r>
      <w:r w:rsidRPr="009E12A3">
        <w:rPr>
          <w:rFonts w:cstheme="minorHAnsi"/>
          <w:sz w:val="24"/>
          <w:szCs w:val="24"/>
        </w:rPr>
        <w:t xml:space="preserve"> </w:t>
      </w:r>
      <w:r>
        <w:rPr>
          <w:rFonts w:cstheme="minorHAnsi"/>
          <w:sz w:val="24"/>
          <w:szCs w:val="24"/>
        </w:rPr>
        <w:t>C</w:t>
      </w:r>
      <w:r w:rsidRPr="009E12A3">
        <w:rPr>
          <w:rFonts w:cstheme="minorHAnsi"/>
          <w:sz w:val="24"/>
          <w:szCs w:val="24"/>
        </w:rPr>
        <w:t xml:space="preserve">ontact </w:t>
      </w:r>
      <w:r>
        <w:rPr>
          <w:rFonts w:cstheme="minorHAnsi"/>
          <w:sz w:val="24"/>
          <w:szCs w:val="24"/>
        </w:rPr>
        <w:t xml:space="preserve">the </w:t>
      </w:r>
      <w:r w:rsidRPr="009E12A3">
        <w:rPr>
          <w:rFonts w:cstheme="minorHAnsi"/>
          <w:sz w:val="24"/>
          <w:szCs w:val="24"/>
        </w:rPr>
        <w:t>Category Manager</w:t>
      </w:r>
      <w:r>
        <w:rPr>
          <w:rFonts w:cstheme="minorHAnsi"/>
          <w:sz w:val="24"/>
          <w:szCs w:val="24"/>
        </w:rPr>
        <w:t xml:space="preserve">(s) </w:t>
      </w:r>
      <w:r>
        <w:rPr>
          <w:sz w:val="24"/>
          <w:szCs w:val="24"/>
        </w:rPr>
        <w:t>(</w:t>
      </w:r>
      <w:hyperlink r:id="rId56" w:history="1">
        <w:r w:rsidRPr="006A30DC">
          <w:rPr>
            <w:rStyle w:val="Hyperlink"/>
            <w:sz w:val="24"/>
            <w:szCs w:val="24"/>
          </w:rPr>
          <w:t>Michael Barry</w:t>
        </w:r>
      </w:hyperlink>
      <w:r>
        <w:rPr>
          <w:b/>
          <w:bCs/>
          <w:color w:val="000000" w:themeColor="text1"/>
          <w:sz w:val="24"/>
          <w:szCs w:val="24"/>
        </w:rPr>
        <w:t xml:space="preserve"> </w:t>
      </w:r>
      <w:r w:rsidRPr="004817E1">
        <w:rPr>
          <w:color w:val="000000" w:themeColor="text1"/>
          <w:sz w:val="24"/>
          <w:szCs w:val="24"/>
        </w:rPr>
        <w:t>or</w:t>
      </w:r>
      <w:r>
        <w:rPr>
          <w:b/>
          <w:bCs/>
          <w:color w:val="000000" w:themeColor="text1"/>
          <w:sz w:val="24"/>
          <w:szCs w:val="24"/>
        </w:rPr>
        <w:t xml:space="preserve"> </w:t>
      </w:r>
      <w:hyperlink r:id="rId57" w:history="1">
        <w:r w:rsidRPr="006A30DC">
          <w:rPr>
            <w:rStyle w:val="Hyperlink"/>
            <w:sz w:val="24"/>
            <w:szCs w:val="24"/>
          </w:rPr>
          <w:t>Kelly Minichello</w:t>
        </w:r>
      </w:hyperlink>
      <w:r>
        <w:rPr>
          <w:sz w:val="24"/>
          <w:szCs w:val="24"/>
        </w:rPr>
        <w:t xml:space="preserve">) </w:t>
      </w:r>
      <w:r w:rsidRPr="009E12A3">
        <w:rPr>
          <w:rFonts w:cstheme="minorHAnsi"/>
          <w:sz w:val="24"/>
          <w:szCs w:val="24"/>
        </w:rPr>
        <w:t>for gui</w:t>
      </w:r>
      <w:r>
        <w:rPr>
          <w:rFonts w:cstheme="minorHAnsi"/>
          <w:sz w:val="24"/>
          <w:szCs w:val="24"/>
        </w:rPr>
        <w:t>dance</w:t>
      </w:r>
      <w:r w:rsidRPr="009E12A3">
        <w:rPr>
          <w:rFonts w:cstheme="minorHAnsi"/>
          <w:sz w:val="24"/>
          <w:szCs w:val="24"/>
        </w:rPr>
        <w:t xml:space="preserve">. </w:t>
      </w:r>
    </w:p>
    <w:p w14:paraId="7A765787" w14:textId="77777777" w:rsidR="00F557C5" w:rsidRPr="009E12A3" w:rsidRDefault="00F557C5" w:rsidP="00FF7DB5">
      <w:pPr>
        <w:pStyle w:val="ListParagraph"/>
        <w:numPr>
          <w:ilvl w:val="0"/>
          <w:numId w:val="6"/>
        </w:numPr>
        <w:rPr>
          <w:sz w:val="24"/>
          <w:szCs w:val="24"/>
        </w:rPr>
      </w:pPr>
      <w:r w:rsidRPr="009E12A3">
        <w:rPr>
          <w:rFonts w:cstheme="minorHAnsi"/>
          <w:sz w:val="24"/>
          <w:szCs w:val="24"/>
        </w:rPr>
        <w:t>Vendors must notify buyers of product substitutions.</w:t>
      </w:r>
    </w:p>
    <w:p w14:paraId="5F940BCA" w14:textId="77CEFECE" w:rsidR="00DF780E" w:rsidRDefault="00EF4D38" w:rsidP="00C87449">
      <w:pPr>
        <w:pStyle w:val="Heading2"/>
      </w:pPr>
      <w:bookmarkStart w:id="66" w:name="_Toc194066618"/>
      <w:bookmarkStart w:id="67" w:name="_Toc209710811"/>
      <w:r>
        <w:t xml:space="preserve">Environmentally Preferable Products </w:t>
      </w:r>
      <w:bookmarkEnd w:id="66"/>
      <w:r w:rsidR="00C73C16">
        <w:t>and Services</w:t>
      </w:r>
      <w:r w:rsidR="000702C6">
        <w:t xml:space="preserve"> (EPPS)</w:t>
      </w:r>
      <w:bookmarkEnd w:id="67"/>
    </w:p>
    <w:p w14:paraId="4C2C6471" w14:textId="77777777" w:rsidR="0075657D" w:rsidRPr="002E2D42" w:rsidRDefault="0075657D" w:rsidP="0075657D">
      <w:pPr>
        <w:pStyle w:val="ListParagraph"/>
        <w:ind w:left="0"/>
        <w:rPr>
          <w:rFonts w:cs="Arial"/>
          <w:color w:val="000000" w:themeColor="text1"/>
          <w:sz w:val="24"/>
          <w:szCs w:val="24"/>
        </w:rPr>
      </w:pPr>
      <w:r w:rsidRPr="26D3DFE0">
        <w:rPr>
          <w:rFonts w:cs="Arial"/>
          <w:color w:val="000000" w:themeColor="text1"/>
          <w:sz w:val="24"/>
          <w:szCs w:val="24"/>
        </w:rPr>
        <w:t>Biofuels are renewable alternatives to petroleum-based liquid fuels such as gasoline, diesel, and heating oil</w:t>
      </w:r>
      <w:r>
        <w:rPr>
          <w:rFonts w:cs="Arial"/>
          <w:color w:val="000000" w:themeColor="text1"/>
          <w:sz w:val="24"/>
          <w:szCs w:val="24"/>
        </w:rPr>
        <w:t>.</w:t>
      </w:r>
      <w:r w:rsidRPr="26D3DFE0">
        <w:rPr>
          <w:rFonts w:cs="Arial"/>
          <w:color w:val="000000" w:themeColor="text1"/>
          <w:sz w:val="24"/>
          <w:szCs w:val="24"/>
        </w:rPr>
        <w:t xml:space="preserve"> </w:t>
      </w:r>
      <w:r>
        <w:rPr>
          <w:rFonts w:cs="Arial"/>
          <w:color w:val="000000" w:themeColor="text1"/>
          <w:sz w:val="24"/>
          <w:szCs w:val="24"/>
        </w:rPr>
        <w:t xml:space="preserve">Biofuels are </w:t>
      </w:r>
      <w:r w:rsidRPr="26D3DFE0">
        <w:rPr>
          <w:rFonts w:cs="Arial"/>
          <w:color w:val="000000" w:themeColor="text1"/>
          <w:sz w:val="24"/>
          <w:szCs w:val="24"/>
        </w:rPr>
        <w:t xml:space="preserve">derived from renewable organic matter such as corn, soy, switchgrass, agricultural waste, wood, and waste vegetable oil. Transitioning from fossil fuels to biofuels or blending the two may help mitigate several negative environmental impacts linked to fossil fuel extraction and consumption. Benefits may include lowering greenhouse gas and conventional pollutant emissions, and better conservation of finite natural resources.  </w:t>
      </w:r>
    </w:p>
    <w:p w14:paraId="5E1624D5" w14:textId="77777777" w:rsidR="0075657D" w:rsidRPr="002E2D42" w:rsidRDefault="0075657D" w:rsidP="0075657D">
      <w:pPr>
        <w:spacing w:before="240" w:after="240"/>
      </w:pPr>
      <w:r w:rsidRPr="788C8CB4">
        <w:rPr>
          <w:rFonts w:ascii="Calibri" w:eastAsia="Calibri" w:hAnsi="Calibri" w:cs="Calibri"/>
          <w:sz w:val="24"/>
          <w:szCs w:val="24"/>
        </w:rPr>
        <w:lastRenderedPageBreak/>
        <w:t xml:space="preserve">Pursuant to </w:t>
      </w:r>
      <w:r w:rsidRPr="788C8CB4">
        <w:rPr>
          <w:rFonts w:ascii="Calibri" w:eastAsia="Calibri" w:hAnsi="Calibri" w:cs="Calibri"/>
          <w:b/>
          <w:bCs/>
          <w:sz w:val="24"/>
          <w:szCs w:val="24"/>
        </w:rPr>
        <w:t>Executive Order 594</w:t>
      </w:r>
      <w:r w:rsidRPr="788C8CB4">
        <w:rPr>
          <w:rFonts w:ascii="Calibri" w:eastAsia="Calibri" w:hAnsi="Calibri" w:cs="Calibri"/>
          <w:sz w:val="24"/>
          <w:szCs w:val="24"/>
        </w:rPr>
        <w:t xml:space="preserve">, all agencies using heating oil as of July 1, 2021, must ensure that any heating oil procured contains a minimum of </w:t>
      </w:r>
      <w:r w:rsidRPr="788C8CB4">
        <w:rPr>
          <w:rFonts w:ascii="Calibri" w:eastAsia="Calibri" w:hAnsi="Calibri" w:cs="Calibri"/>
          <w:b/>
          <w:bCs/>
          <w:sz w:val="24"/>
          <w:szCs w:val="24"/>
        </w:rPr>
        <w:t>10% biofuel (B10)</w:t>
      </w:r>
      <w:r w:rsidRPr="788C8CB4">
        <w:rPr>
          <w:rFonts w:ascii="Calibri" w:eastAsia="Calibri" w:hAnsi="Calibri" w:cs="Calibri"/>
          <w:sz w:val="24"/>
          <w:szCs w:val="24"/>
        </w:rPr>
        <w:t xml:space="preserve">. These biofuels must meet specifications detailed in the </w:t>
      </w:r>
      <w:r w:rsidRPr="788C8CB4">
        <w:rPr>
          <w:rFonts w:ascii="Calibri" w:eastAsia="Calibri" w:hAnsi="Calibri" w:cs="Calibri"/>
          <w:b/>
          <w:bCs/>
          <w:sz w:val="24"/>
          <w:szCs w:val="24"/>
        </w:rPr>
        <w:t>Leading by Example (LBE) program guidance</w:t>
      </w:r>
      <w:r w:rsidRPr="788C8CB4">
        <w:rPr>
          <w:rFonts w:ascii="Calibri" w:eastAsia="Calibri" w:hAnsi="Calibri" w:cs="Calibri"/>
          <w:sz w:val="24"/>
          <w:szCs w:val="24"/>
        </w:rPr>
        <w:t>. Agencies are encouraged to collaborate with LBE to maximize their use of biofuel blends whenever feasible. Exemptions may apply when biofuels are unavailable, cost-prohibitive, or incompatible with specific equipment needs.</w:t>
      </w:r>
    </w:p>
    <w:p w14:paraId="128FDACB" w14:textId="77777777" w:rsidR="0075657D" w:rsidRPr="002E2D42" w:rsidRDefault="0075657D" w:rsidP="0075657D">
      <w:pPr>
        <w:spacing w:before="240" w:after="240"/>
        <w:rPr>
          <w:rFonts w:ascii="Calibri" w:eastAsia="Calibri" w:hAnsi="Calibri" w:cs="Calibri"/>
          <w:sz w:val="24"/>
          <w:szCs w:val="24"/>
        </w:rPr>
      </w:pPr>
      <w:r w:rsidRPr="26D3DFE0">
        <w:rPr>
          <w:rFonts w:ascii="Calibri" w:eastAsia="Calibri" w:hAnsi="Calibri" w:cs="Calibri"/>
          <w:sz w:val="24"/>
          <w:szCs w:val="24"/>
        </w:rPr>
        <w:t xml:space="preserve">Additionally, </w:t>
      </w:r>
      <w:r w:rsidRPr="26D3DFE0">
        <w:rPr>
          <w:rFonts w:ascii="Calibri" w:eastAsia="Calibri" w:hAnsi="Calibri" w:cs="Calibri"/>
          <w:b/>
          <w:bCs/>
          <w:sz w:val="24"/>
          <w:szCs w:val="24"/>
        </w:rPr>
        <w:t>Massachusetts APS-eligible liquid biofuels</w:t>
      </w:r>
      <w:r w:rsidRPr="26D3DFE0">
        <w:rPr>
          <w:rFonts w:ascii="Calibri" w:eastAsia="Calibri" w:hAnsi="Calibri" w:cs="Calibri"/>
          <w:sz w:val="24"/>
          <w:szCs w:val="24"/>
        </w:rPr>
        <w:t xml:space="preserve"> must comply with the criteria set forth in</w:t>
      </w:r>
      <w:r w:rsidRPr="26D3DFE0">
        <w:rPr>
          <w:sz w:val="24"/>
          <w:szCs w:val="24"/>
        </w:rPr>
        <w:t xml:space="preserve"> </w:t>
      </w:r>
      <w:hyperlink r:id="rId58">
        <w:r w:rsidRPr="26D3DFE0">
          <w:rPr>
            <w:rStyle w:val="Hyperlink"/>
            <w:sz w:val="24"/>
            <w:szCs w:val="24"/>
          </w:rPr>
          <w:t>225CMR16.02</w:t>
        </w:r>
      </w:hyperlink>
      <w:r w:rsidRPr="26D3DFE0">
        <w:rPr>
          <w:sz w:val="24"/>
          <w:szCs w:val="24"/>
        </w:rPr>
        <w:t xml:space="preserve"> </w:t>
      </w:r>
      <w:r>
        <w:rPr>
          <w:sz w:val="24"/>
          <w:szCs w:val="24"/>
        </w:rPr>
        <w:t>as well as</w:t>
      </w:r>
      <w:r w:rsidRPr="26D3DFE0">
        <w:rPr>
          <w:sz w:val="24"/>
          <w:szCs w:val="24"/>
        </w:rPr>
        <w:t xml:space="preserve"> all the requirements of </w:t>
      </w:r>
      <w:hyperlink r:id="rId59">
        <w:r w:rsidRPr="26D3DFE0">
          <w:rPr>
            <w:rStyle w:val="Hyperlink"/>
            <w:sz w:val="24"/>
            <w:szCs w:val="24"/>
          </w:rPr>
          <w:t>225CMR16.02</w:t>
        </w:r>
      </w:hyperlink>
      <w:r w:rsidRPr="26D3DFE0">
        <w:rPr>
          <w:sz w:val="24"/>
          <w:szCs w:val="24"/>
        </w:rPr>
        <w:t xml:space="preserve"> and </w:t>
      </w:r>
      <w:hyperlink r:id="rId60">
        <w:r w:rsidRPr="26D3DFE0">
          <w:rPr>
            <w:rStyle w:val="Hyperlink"/>
            <w:sz w:val="24"/>
            <w:szCs w:val="24"/>
          </w:rPr>
          <w:t>225CMR16.05</w:t>
        </w:r>
      </w:hyperlink>
      <w:r w:rsidRPr="26D3DFE0">
        <w:rPr>
          <w:sz w:val="24"/>
          <w:szCs w:val="24"/>
        </w:rPr>
        <w:t xml:space="preserve"> and</w:t>
      </w:r>
      <w:r>
        <w:rPr>
          <w:sz w:val="24"/>
          <w:szCs w:val="24"/>
        </w:rPr>
        <w:t xml:space="preserve"> their</w:t>
      </w:r>
      <w:r w:rsidRPr="26D3DFE0">
        <w:rPr>
          <w:sz w:val="24"/>
          <w:szCs w:val="24"/>
        </w:rPr>
        <w:t xml:space="preserve"> related guidelines</w:t>
      </w:r>
      <w:r w:rsidRPr="26D3DFE0">
        <w:rPr>
          <w:rFonts w:ascii="Calibri" w:eastAsia="Calibri" w:hAnsi="Calibri" w:cs="Calibri"/>
          <w:b/>
          <w:bCs/>
          <w:sz w:val="24"/>
          <w:szCs w:val="24"/>
        </w:rPr>
        <w:t>.</w:t>
      </w:r>
    </w:p>
    <w:p w14:paraId="33C9684D" w14:textId="77777777" w:rsidR="0075657D" w:rsidRPr="00394981" w:rsidRDefault="0075657D" w:rsidP="0075657D">
      <w:pPr>
        <w:rPr>
          <w:sz w:val="24"/>
          <w:szCs w:val="24"/>
        </w:rPr>
      </w:pPr>
      <w:r w:rsidRPr="00394981">
        <w:rPr>
          <w:sz w:val="24"/>
          <w:szCs w:val="24"/>
        </w:rPr>
        <w:t>Vendors are required to obtain written customer consent specifying the maximum allowable biofuel percentage to be delivered, based on fuel quality standards and equipment manufacturer warranties. To place an order for heating oil containing biofuel, buyers must either:</w:t>
      </w:r>
    </w:p>
    <w:p w14:paraId="50B3218C" w14:textId="77777777" w:rsidR="0075657D" w:rsidRPr="00394981" w:rsidRDefault="0075657D" w:rsidP="00FF7DB5">
      <w:pPr>
        <w:pStyle w:val="ListParagraph"/>
        <w:numPr>
          <w:ilvl w:val="0"/>
          <w:numId w:val="6"/>
        </w:numPr>
        <w:rPr>
          <w:sz w:val="24"/>
          <w:szCs w:val="24"/>
        </w:rPr>
      </w:pPr>
      <w:r w:rsidRPr="00394981">
        <w:rPr>
          <w:sz w:val="24"/>
          <w:szCs w:val="24"/>
        </w:rPr>
        <w:t>Request a written agreement specifying the acceptable biofuel blend to be delivered (e.g., B5, B10, B20); or</w:t>
      </w:r>
    </w:p>
    <w:p w14:paraId="031ACDF5" w14:textId="77777777" w:rsidR="0075657D" w:rsidRPr="00394981" w:rsidRDefault="0075657D" w:rsidP="00FF7DB5">
      <w:pPr>
        <w:pStyle w:val="ListParagraph"/>
        <w:numPr>
          <w:ilvl w:val="0"/>
          <w:numId w:val="6"/>
        </w:numPr>
        <w:rPr>
          <w:sz w:val="24"/>
          <w:szCs w:val="24"/>
        </w:rPr>
      </w:pPr>
      <w:r w:rsidRPr="00394981">
        <w:rPr>
          <w:sz w:val="24"/>
          <w:szCs w:val="24"/>
        </w:rPr>
        <w:t>Include the desired biofuel percentage directly in the Request for Quotes (RFQ).</w:t>
      </w:r>
    </w:p>
    <w:p w14:paraId="365BD82B" w14:textId="77777777" w:rsidR="0075657D" w:rsidRPr="00394981" w:rsidRDefault="0075657D" w:rsidP="0075657D">
      <w:pPr>
        <w:rPr>
          <w:b/>
          <w:bCs/>
          <w:sz w:val="24"/>
          <w:szCs w:val="24"/>
        </w:rPr>
      </w:pPr>
      <w:r w:rsidRPr="14217D97">
        <w:rPr>
          <w:sz w:val="24"/>
          <w:szCs w:val="24"/>
        </w:rPr>
        <w:t>This ensures that buyers maintain a clear paper trail documenting the requested biofuel blend.</w:t>
      </w:r>
    </w:p>
    <w:p w14:paraId="2CFB93F2" w14:textId="01E8AE49" w:rsidR="001B473C" w:rsidRDefault="001B473C" w:rsidP="001B473C">
      <w:pPr>
        <w:pStyle w:val="Heading3"/>
      </w:pPr>
      <w:bookmarkStart w:id="68" w:name="_Toc209710812"/>
      <w:r>
        <w:t>Learn More</w:t>
      </w:r>
      <w:bookmarkEnd w:id="68"/>
    </w:p>
    <w:p w14:paraId="7C80AAE2" w14:textId="1BA1E5DA" w:rsidR="0075657D" w:rsidRDefault="0075657D" w:rsidP="0075657D">
      <w:pPr>
        <w:spacing w:after="160"/>
      </w:pPr>
      <w:r w:rsidRPr="14217D97">
        <w:rPr>
          <w:rFonts w:ascii="Calibri" w:eastAsia="Calibri" w:hAnsi="Calibri" w:cs="Calibri"/>
          <w:sz w:val="24"/>
          <w:szCs w:val="24"/>
        </w:rPr>
        <w:t xml:space="preserve">Explore the </w:t>
      </w:r>
      <w:hyperlink r:id="rId61">
        <w:r w:rsidRPr="00950A0B">
          <w:rPr>
            <w:rStyle w:val="Hyperlink"/>
            <w:rFonts w:ascii="Calibri" w:eastAsia="Calibri" w:hAnsi="Calibri" w:cs="Calibri"/>
            <w:sz w:val="24"/>
            <w:szCs w:val="24"/>
          </w:rPr>
          <w:t>Environmentally Preferable Products (EPP) Procurement Program</w:t>
        </w:r>
      </w:hyperlink>
      <w:r w:rsidRPr="14217D97">
        <w:rPr>
          <w:rFonts w:ascii="Calibri" w:eastAsia="Calibri" w:hAnsi="Calibri" w:cs="Calibri"/>
          <w:sz w:val="24"/>
          <w:szCs w:val="24"/>
        </w:rPr>
        <w:t xml:space="preserve"> and discover detailed guidance in the </w:t>
      </w:r>
      <w:hyperlink r:id="rId62">
        <w:r w:rsidRPr="00950A0B">
          <w:rPr>
            <w:rStyle w:val="Hyperlink"/>
            <w:rFonts w:ascii="Calibri" w:eastAsia="Calibri" w:hAnsi="Calibri" w:cs="Calibri"/>
            <w:sz w:val="24"/>
            <w:szCs w:val="24"/>
          </w:rPr>
          <w:t>EPP Products and Services Guide</w:t>
        </w:r>
      </w:hyperlink>
      <w:r w:rsidRPr="14217D97">
        <w:rPr>
          <w:rFonts w:ascii="Calibri" w:eastAsia="Calibri" w:hAnsi="Calibri" w:cs="Calibri"/>
          <w:sz w:val="24"/>
          <w:szCs w:val="24"/>
        </w:rPr>
        <w:t>.</w:t>
      </w:r>
    </w:p>
    <w:p w14:paraId="401E5311" w14:textId="10360EED" w:rsidR="004C38FD" w:rsidRPr="002E2D42" w:rsidRDefault="004C38FD" w:rsidP="00633557">
      <w:pPr>
        <w:pStyle w:val="Heading2"/>
      </w:pPr>
      <w:bookmarkStart w:id="69" w:name="_Memorandum_of_Understanding"/>
      <w:bookmarkStart w:id="70" w:name="_Toc194066620"/>
      <w:bookmarkStart w:id="71" w:name="_Toc209710813"/>
      <w:bookmarkEnd w:id="69"/>
      <w:r>
        <w:t>Instructions for</w:t>
      </w:r>
      <w:r w:rsidR="00BA483E">
        <w:t xml:space="preserve"> Massachusetts Management Accounting and Reporting System (MMARS)</w:t>
      </w:r>
      <w:r>
        <w:t xml:space="preserve"> Users</w:t>
      </w:r>
      <w:bookmarkEnd w:id="70"/>
      <w:bookmarkEnd w:id="71"/>
    </w:p>
    <w:p w14:paraId="7E58B0D1" w14:textId="252FAD56"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8F35EF" w:rsidRPr="008F35EF">
        <w:rPr>
          <w:b/>
          <w:sz w:val="24"/>
          <w:szCs w:val="24"/>
        </w:rPr>
        <w:t>ENE52*</w:t>
      </w:r>
      <w:r w:rsidR="00BD68D3">
        <w:rPr>
          <w:bCs/>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72" w:name="_Contract_Summary"/>
      <w:bookmarkStart w:id="73" w:name="_Who_Can_Use_2"/>
      <w:bookmarkStart w:id="74" w:name="_Find_Bid/Contract_Documents"/>
      <w:bookmarkStart w:id="75" w:name="_Who_Can_Use_3"/>
      <w:bookmarkStart w:id="76" w:name="_Contract_Categories_3"/>
      <w:bookmarkStart w:id="77" w:name="_Additional_Information/FAQs_3"/>
      <w:bookmarkStart w:id="78" w:name="_Frequently_Purchased_Items"/>
      <w:bookmarkEnd w:id="72"/>
      <w:bookmarkEnd w:id="73"/>
      <w:bookmarkEnd w:id="74"/>
      <w:bookmarkEnd w:id="75"/>
      <w:bookmarkEnd w:id="76"/>
      <w:bookmarkEnd w:id="77"/>
      <w:bookmarkEnd w:id="78"/>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MMARS</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63"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4"/>
          <w:footnotePr>
            <w:pos w:val="beneathText"/>
            <w:numRestart w:val="eachSect"/>
          </w:footnotePr>
          <w:endnotePr>
            <w:numFmt w:val="decimal"/>
            <w:numRestart w:val="eachSect"/>
          </w:endnotePr>
          <w:type w:val="continuous"/>
          <w:pgSz w:w="12240" w:h="15840"/>
          <w:pgMar w:top="125" w:right="1152" w:bottom="1440" w:left="1152" w:header="864" w:footer="360" w:gutter="0"/>
          <w:cols w:space="720"/>
          <w:titlePg/>
          <w:docGrid w:linePitch="360"/>
        </w:sectPr>
      </w:pPr>
    </w:p>
    <w:p w14:paraId="553F66DF" w14:textId="77777777" w:rsidR="00582696" w:rsidRDefault="00E51057" w:rsidP="00633557">
      <w:pPr>
        <w:pStyle w:val="Heading2"/>
      </w:pPr>
      <w:bookmarkStart w:id="79" w:name="_Appendix_A:_Vendor"/>
      <w:bookmarkStart w:id="80" w:name="_Vendor_Specific_Information"/>
      <w:bookmarkStart w:id="81" w:name="_Vendor_Information*"/>
      <w:bookmarkStart w:id="82" w:name="_Vendor_List_and"/>
      <w:bookmarkStart w:id="83" w:name="_Appendix_A:_1"/>
      <w:bookmarkStart w:id="84" w:name="_Toc194066623"/>
      <w:bookmarkStart w:id="85" w:name="_Toc209710814"/>
      <w:bookmarkEnd w:id="79"/>
      <w:bookmarkEnd w:id="80"/>
      <w:bookmarkEnd w:id="81"/>
      <w:bookmarkEnd w:id="82"/>
      <w:bookmarkEnd w:id="83"/>
      <w:r>
        <w:lastRenderedPageBreak/>
        <w:t>Vendor List and Information</w:t>
      </w:r>
      <w:bookmarkEnd w:id="84"/>
      <w:bookmarkEnd w:id="85"/>
    </w:p>
    <w:p w14:paraId="309F642F" w14:textId="2AE4B05F" w:rsidR="003515F0" w:rsidRPr="004363BE" w:rsidRDefault="003515F0" w:rsidP="003515F0">
      <w:pPr>
        <w:spacing w:after="0"/>
        <w:rPr>
          <w:sz w:val="24"/>
          <w:szCs w:val="24"/>
        </w:rPr>
      </w:pPr>
      <w:r w:rsidRPr="004363BE">
        <w:rPr>
          <w:b/>
          <w:bCs/>
          <w:sz w:val="24"/>
          <w:szCs w:val="24"/>
        </w:rPr>
        <w:t>Note:</w:t>
      </w:r>
      <w:r w:rsidRPr="004363BE">
        <w:rPr>
          <w:sz w:val="24"/>
          <w:szCs w:val="24"/>
        </w:rPr>
        <w:t xml:space="preserve"> N/A = Not Applicable</w:t>
      </w:r>
    </w:p>
    <w:p w14:paraId="406280A3" w14:textId="77777777" w:rsidR="00E27125" w:rsidRPr="00582696" w:rsidRDefault="00E51057" w:rsidP="00582696">
      <w:pPr>
        <w:pStyle w:val="BodyText"/>
        <w:rPr>
          <w:b w:val="0"/>
          <w:bCs w:val="0"/>
          <w:sz w:val="24"/>
          <w:szCs w:val="24"/>
          <w:u w:val="double"/>
        </w:rPr>
      </w:pPr>
      <w:r w:rsidRPr="00B142B5">
        <w:t xml:space="preserve"> </w:t>
      </w:r>
    </w:p>
    <w:p w14:paraId="6CE1D727" w14:textId="77777777" w:rsidR="00103D3D" w:rsidRDefault="00103D3D" w:rsidP="00457B16">
      <w:pPr>
        <w:pStyle w:val="TableParagraph"/>
        <w:spacing w:before="1"/>
        <w:ind w:left="4"/>
        <w:jc w:val="center"/>
        <w:rPr>
          <w:b/>
          <w:spacing w:val="-2"/>
          <w:sz w:val="18"/>
        </w:rPr>
        <w:sectPr w:rsidR="00103D3D" w:rsidSect="00103D3D">
          <w:type w:val="continuous"/>
          <w:pgSz w:w="15840" w:h="12240" w:orient="landscape"/>
          <w:pgMar w:top="1440" w:right="1800" w:bottom="1440" w:left="1800" w:header="864" w:footer="360" w:gutter="0"/>
          <w:cols w:space="720"/>
          <w:titlePg/>
          <w:docGrid w:linePitch="360"/>
        </w:sectPr>
      </w:pPr>
    </w:p>
    <w:tbl>
      <w:tblPr>
        <w:tblW w:w="14285" w:type="dxa"/>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Vendor Information Table"/>
        <w:tblDescription w:val="This table lists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685"/>
        <w:gridCol w:w="1980"/>
        <w:gridCol w:w="1530"/>
        <w:gridCol w:w="1170"/>
        <w:gridCol w:w="2070"/>
        <w:gridCol w:w="990"/>
        <w:gridCol w:w="720"/>
        <w:gridCol w:w="1530"/>
        <w:gridCol w:w="1350"/>
        <w:gridCol w:w="1260"/>
      </w:tblGrid>
      <w:tr w:rsidR="00971DF3" w14:paraId="2F32D22C" w14:textId="77777777" w:rsidTr="00A85FC1">
        <w:trPr>
          <w:trHeight w:val="659"/>
          <w:tblHeader/>
        </w:trPr>
        <w:tc>
          <w:tcPr>
            <w:tcW w:w="1685" w:type="dxa"/>
            <w:shd w:val="clear" w:color="auto" w:fill="C8D9EB"/>
          </w:tcPr>
          <w:p w14:paraId="47CBE0CF" w14:textId="3BB3E2D5" w:rsidR="00971DF3" w:rsidRDefault="00E27125" w:rsidP="00457B16">
            <w:pPr>
              <w:pStyle w:val="TableParagraph"/>
              <w:spacing w:before="1"/>
              <w:ind w:left="4"/>
              <w:jc w:val="center"/>
              <w:rPr>
                <w:b/>
                <w:sz w:val="18"/>
              </w:rPr>
            </w:pPr>
            <w:r>
              <w:rPr>
                <w:b/>
                <w:spacing w:val="-2"/>
                <w:sz w:val="18"/>
              </w:rPr>
              <w:t>Vendor</w:t>
            </w:r>
            <w:r w:rsidR="00971DF3">
              <w:rPr>
                <w:rStyle w:val="FootnoteReference"/>
                <w:b/>
                <w:spacing w:val="-2"/>
                <w:sz w:val="18"/>
              </w:rPr>
              <w:footnoteReference w:id="3"/>
            </w:r>
          </w:p>
        </w:tc>
        <w:tc>
          <w:tcPr>
            <w:tcW w:w="1980" w:type="dxa"/>
            <w:shd w:val="clear" w:color="auto" w:fill="C5D9F0"/>
          </w:tcPr>
          <w:p w14:paraId="737C2F27" w14:textId="77777777" w:rsidR="00971DF3" w:rsidRDefault="00971DF3" w:rsidP="00457B16">
            <w:pPr>
              <w:pStyle w:val="TableParagraph"/>
              <w:spacing w:before="1"/>
              <w:ind w:firstLine="69"/>
              <w:jc w:val="center"/>
              <w:rPr>
                <w:b/>
                <w:sz w:val="18"/>
              </w:rPr>
            </w:pPr>
            <w:r>
              <w:rPr>
                <w:b/>
                <w:sz w:val="18"/>
              </w:rPr>
              <w:t>Master Blanket Purchase</w:t>
            </w:r>
            <w:r>
              <w:rPr>
                <w:b/>
                <w:spacing w:val="-11"/>
                <w:sz w:val="18"/>
              </w:rPr>
              <w:t xml:space="preserve"> </w:t>
            </w:r>
            <w:r>
              <w:rPr>
                <w:b/>
                <w:sz w:val="18"/>
              </w:rPr>
              <w:t>Order</w:t>
            </w:r>
            <w:r>
              <w:rPr>
                <w:b/>
                <w:spacing w:val="-10"/>
                <w:sz w:val="18"/>
              </w:rPr>
              <w:t xml:space="preserve"> </w:t>
            </w:r>
            <w:r>
              <w:rPr>
                <w:b/>
                <w:sz w:val="18"/>
              </w:rPr>
              <w:t>Number</w:t>
            </w:r>
          </w:p>
        </w:tc>
        <w:tc>
          <w:tcPr>
            <w:tcW w:w="1530" w:type="dxa"/>
            <w:shd w:val="clear" w:color="auto" w:fill="C5D9F0"/>
          </w:tcPr>
          <w:p w14:paraId="7E29CFB8" w14:textId="77777777" w:rsidR="00971DF3" w:rsidRDefault="00971DF3" w:rsidP="00457B16">
            <w:pPr>
              <w:pStyle w:val="TableParagraph"/>
              <w:spacing w:before="1"/>
              <w:ind w:left="283" w:right="237" w:hanging="32"/>
              <w:rPr>
                <w:b/>
                <w:sz w:val="18"/>
              </w:rPr>
            </w:pPr>
            <w:r>
              <w:rPr>
                <w:b/>
                <w:spacing w:val="-2"/>
                <w:sz w:val="18"/>
              </w:rPr>
              <w:t>Contact</w:t>
            </w:r>
            <w:r>
              <w:rPr>
                <w:b/>
                <w:sz w:val="18"/>
              </w:rPr>
              <w:t xml:space="preserve"> </w:t>
            </w:r>
            <w:r>
              <w:rPr>
                <w:b/>
                <w:spacing w:val="-2"/>
                <w:sz w:val="18"/>
              </w:rPr>
              <w:t>Person</w:t>
            </w:r>
          </w:p>
        </w:tc>
        <w:tc>
          <w:tcPr>
            <w:tcW w:w="1170" w:type="dxa"/>
            <w:shd w:val="clear" w:color="auto" w:fill="C5D9F0"/>
          </w:tcPr>
          <w:p w14:paraId="2512BD0E" w14:textId="77777777" w:rsidR="00971DF3" w:rsidRDefault="00971DF3" w:rsidP="00457B16">
            <w:pPr>
              <w:pStyle w:val="TableParagraph"/>
              <w:spacing w:before="1"/>
              <w:ind w:left="10"/>
              <w:jc w:val="center"/>
              <w:rPr>
                <w:b/>
                <w:sz w:val="18"/>
              </w:rPr>
            </w:pPr>
            <w:r>
              <w:rPr>
                <w:b/>
                <w:sz w:val="18"/>
              </w:rPr>
              <w:t>Phone</w:t>
            </w:r>
            <w:r>
              <w:rPr>
                <w:b/>
                <w:spacing w:val="-3"/>
                <w:sz w:val="18"/>
              </w:rPr>
              <w:t xml:space="preserve"> </w:t>
            </w:r>
            <w:r>
              <w:rPr>
                <w:b/>
                <w:spacing w:val="-10"/>
                <w:sz w:val="18"/>
              </w:rPr>
              <w:t>Number</w:t>
            </w:r>
          </w:p>
        </w:tc>
        <w:tc>
          <w:tcPr>
            <w:tcW w:w="2070" w:type="dxa"/>
            <w:shd w:val="clear" w:color="auto" w:fill="C5D9F0"/>
          </w:tcPr>
          <w:p w14:paraId="5AEB9BA0" w14:textId="77777777" w:rsidR="00971DF3" w:rsidRDefault="00971DF3" w:rsidP="00457B16">
            <w:pPr>
              <w:pStyle w:val="TableParagraph"/>
              <w:spacing w:before="1"/>
              <w:ind w:left="9"/>
              <w:jc w:val="center"/>
              <w:rPr>
                <w:b/>
                <w:sz w:val="18"/>
              </w:rPr>
            </w:pPr>
            <w:r>
              <w:rPr>
                <w:b/>
                <w:spacing w:val="-2"/>
                <w:sz w:val="18"/>
              </w:rPr>
              <w:t>Email</w:t>
            </w:r>
          </w:p>
        </w:tc>
        <w:tc>
          <w:tcPr>
            <w:tcW w:w="990" w:type="dxa"/>
            <w:shd w:val="clear" w:color="auto" w:fill="C5D9F0"/>
          </w:tcPr>
          <w:p w14:paraId="1BBE254A" w14:textId="77777777" w:rsidR="00971DF3" w:rsidRDefault="00971DF3" w:rsidP="00457B16">
            <w:pPr>
              <w:pStyle w:val="TableParagraph"/>
              <w:spacing w:before="1"/>
              <w:ind w:left="369" w:right="9" w:hanging="231"/>
              <w:rPr>
                <w:b/>
                <w:sz w:val="18"/>
              </w:rPr>
            </w:pPr>
            <w:r>
              <w:rPr>
                <w:b/>
                <w:spacing w:val="-2"/>
                <w:sz w:val="18"/>
              </w:rPr>
              <w:t>Categori</w:t>
            </w:r>
            <w:r>
              <w:rPr>
                <w:b/>
                <w:spacing w:val="-6"/>
                <w:sz w:val="18"/>
              </w:rPr>
              <w:t>es</w:t>
            </w:r>
          </w:p>
        </w:tc>
        <w:tc>
          <w:tcPr>
            <w:tcW w:w="720" w:type="dxa"/>
            <w:shd w:val="clear" w:color="auto" w:fill="C5D9F0"/>
          </w:tcPr>
          <w:p w14:paraId="68A94B64" w14:textId="77777777" w:rsidR="00971DF3" w:rsidRDefault="00971DF3" w:rsidP="00A85FC1">
            <w:pPr>
              <w:pStyle w:val="TableParagraph"/>
              <w:ind w:left="144"/>
              <w:rPr>
                <w:b/>
                <w:sz w:val="18"/>
              </w:rPr>
            </w:pPr>
            <w:r>
              <w:rPr>
                <w:b/>
                <w:spacing w:val="-4"/>
                <w:sz w:val="18"/>
              </w:rPr>
              <w:t>Zone</w:t>
            </w:r>
          </w:p>
        </w:tc>
        <w:tc>
          <w:tcPr>
            <w:tcW w:w="1530" w:type="dxa"/>
            <w:shd w:val="clear" w:color="auto" w:fill="C5D9F0"/>
          </w:tcPr>
          <w:p w14:paraId="41BE2E6B" w14:textId="77777777" w:rsidR="00971DF3" w:rsidRDefault="00971DF3" w:rsidP="00A85FC1">
            <w:pPr>
              <w:pStyle w:val="TableParagraph"/>
              <w:ind w:left="356" w:hanging="212"/>
              <w:rPr>
                <w:b/>
                <w:sz w:val="18"/>
              </w:rPr>
            </w:pPr>
            <w:r>
              <w:rPr>
                <w:b/>
                <w:sz w:val="18"/>
              </w:rPr>
              <w:t>Prompt Payment Discount (</w:t>
            </w:r>
            <w:r>
              <w:rPr>
                <w:b/>
                <w:spacing w:val="-4"/>
                <w:sz w:val="18"/>
              </w:rPr>
              <w:t>PPD)</w:t>
            </w:r>
          </w:p>
        </w:tc>
        <w:tc>
          <w:tcPr>
            <w:tcW w:w="1350" w:type="dxa"/>
            <w:shd w:val="clear" w:color="auto" w:fill="C5D9F0"/>
          </w:tcPr>
          <w:p w14:paraId="380798B6" w14:textId="77777777" w:rsidR="00971DF3" w:rsidRDefault="00971DF3" w:rsidP="00457B16">
            <w:pPr>
              <w:pStyle w:val="TableParagraph"/>
              <w:spacing w:before="1" w:line="219" w:lineRule="exact"/>
              <w:ind w:left="18" w:right="3"/>
              <w:jc w:val="center"/>
              <w:rPr>
                <w:b/>
                <w:sz w:val="18"/>
              </w:rPr>
            </w:pPr>
            <w:r>
              <w:rPr>
                <w:b/>
                <w:spacing w:val="-5"/>
                <w:sz w:val="18"/>
              </w:rPr>
              <w:t>Supplier Diversity Office (SDO)</w:t>
            </w:r>
          </w:p>
          <w:p w14:paraId="167A4FCB" w14:textId="77777777" w:rsidR="00971DF3" w:rsidRDefault="00971DF3" w:rsidP="00457B16">
            <w:pPr>
              <w:pStyle w:val="TableParagraph"/>
              <w:spacing w:line="219" w:lineRule="exact"/>
              <w:ind w:left="18" w:right="2"/>
              <w:jc w:val="center"/>
              <w:rPr>
                <w:b/>
                <w:sz w:val="18"/>
              </w:rPr>
            </w:pPr>
            <w:r>
              <w:rPr>
                <w:b/>
                <w:spacing w:val="-2"/>
                <w:sz w:val="18"/>
              </w:rPr>
              <w:t>Certification</w:t>
            </w:r>
          </w:p>
          <w:p w14:paraId="6D53D1C5" w14:textId="77777777" w:rsidR="00971DF3" w:rsidRDefault="00971DF3" w:rsidP="00457B16">
            <w:pPr>
              <w:pStyle w:val="TableParagraph"/>
              <w:spacing w:before="1" w:line="199" w:lineRule="exact"/>
              <w:ind w:left="18" w:right="2"/>
              <w:jc w:val="center"/>
              <w:rPr>
                <w:b/>
                <w:sz w:val="18"/>
              </w:rPr>
            </w:pPr>
            <w:r>
              <w:rPr>
                <w:b/>
                <w:spacing w:val="-4"/>
                <w:sz w:val="18"/>
              </w:rPr>
              <w:t>Type</w:t>
            </w:r>
          </w:p>
        </w:tc>
        <w:tc>
          <w:tcPr>
            <w:tcW w:w="1260" w:type="dxa"/>
            <w:shd w:val="clear" w:color="auto" w:fill="C5D9F0"/>
          </w:tcPr>
          <w:p w14:paraId="43A36728" w14:textId="77777777" w:rsidR="00971DF3" w:rsidRDefault="00971DF3" w:rsidP="00457B16">
            <w:pPr>
              <w:pStyle w:val="TableParagraph"/>
              <w:spacing w:before="1" w:line="219" w:lineRule="exact"/>
              <w:ind w:left="23" w:right="3"/>
              <w:jc w:val="center"/>
              <w:rPr>
                <w:b/>
                <w:sz w:val="18"/>
              </w:rPr>
            </w:pPr>
            <w:r>
              <w:rPr>
                <w:b/>
                <w:spacing w:val="-5"/>
                <w:sz w:val="18"/>
              </w:rPr>
              <w:t>Supplier Diversity Program (SDP)</w:t>
            </w:r>
          </w:p>
          <w:p w14:paraId="6EB93548" w14:textId="77777777" w:rsidR="00971DF3" w:rsidRDefault="00971DF3" w:rsidP="00457B16">
            <w:pPr>
              <w:pStyle w:val="TableParagraph"/>
              <w:spacing w:line="219" w:lineRule="exact"/>
              <w:ind w:left="23" w:right="5"/>
              <w:jc w:val="center"/>
              <w:rPr>
                <w:b/>
                <w:sz w:val="18"/>
              </w:rPr>
            </w:pPr>
            <w:r>
              <w:rPr>
                <w:b/>
                <w:spacing w:val="-2"/>
                <w:sz w:val="18"/>
              </w:rPr>
              <w:t>Commitment</w:t>
            </w:r>
          </w:p>
          <w:p w14:paraId="523DFD7F" w14:textId="77777777" w:rsidR="00971DF3" w:rsidRDefault="00971DF3" w:rsidP="00457B16">
            <w:pPr>
              <w:pStyle w:val="TableParagraph"/>
              <w:spacing w:before="1" w:line="199" w:lineRule="exact"/>
              <w:ind w:left="23"/>
              <w:jc w:val="center"/>
              <w:rPr>
                <w:b/>
                <w:sz w:val="18"/>
              </w:rPr>
            </w:pPr>
            <w:r>
              <w:rPr>
                <w:b/>
                <w:spacing w:val="-2"/>
                <w:sz w:val="18"/>
              </w:rPr>
              <w:t>Percentage</w:t>
            </w:r>
          </w:p>
        </w:tc>
      </w:tr>
      <w:tr w:rsidR="00971DF3" w14:paraId="24ACDF5A" w14:textId="77777777" w:rsidTr="00A85FC1">
        <w:trPr>
          <w:trHeight w:val="539"/>
        </w:trPr>
        <w:tc>
          <w:tcPr>
            <w:tcW w:w="1685" w:type="dxa"/>
          </w:tcPr>
          <w:p w14:paraId="4BB59E14" w14:textId="77777777" w:rsidR="00971DF3" w:rsidRDefault="00971DF3" w:rsidP="00457B16">
            <w:pPr>
              <w:pStyle w:val="TableParagraph"/>
              <w:ind w:left="107" w:right="192"/>
              <w:rPr>
                <w:sz w:val="16"/>
              </w:rPr>
            </w:pPr>
            <w:r>
              <w:rPr>
                <w:sz w:val="16"/>
              </w:rPr>
              <w:t>Master</w:t>
            </w:r>
            <w:r>
              <w:rPr>
                <w:spacing w:val="-10"/>
                <w:sz w:val="16"/>
              </w:rPr>
              <w:t xml:space="preserve"> </w:t>
            </w:r>
            <w:r>
              <w:rPr>
                <w:sz w:val="16"/>
              </w:rPr>
              <w:t>Contract</w:t>
            </w:r>
            <w:r>
              <w:rPr>
                <w:spacing w:val="-9"/>
                <w:sz w:val="16"/>
              </w:rPr>
              <w:t xml:space="preserve"> </w:t>
            </w:r>
            <w:r>
              <w:rPr>
                <w:sz w:val="16"/>
              </w:rPr>
              <w:t>Record</w:t>
            </w:r>
            <w:r>
              <w:rPr>
                <w:spacing w:val="40"/>
                <w:sz w:val="16"/>
              </w:rPr>
              <w:t xml:space="preserve"> </w:t>
            </w:r>
            <w:r>
              <w:rPr>
                <w:sz w:val="16"/>
              </w:rPr>
              <w:t>(All contract documents)</w:t>
            </w:r>
            <w:r>
              <w:rPr>
                <w:rStyle w:val="FootnoteReference"/>
                <w:sz w:val="16"/>
              </w:rPr>
              <w:footnoteReference w:id="4"/>
            </w:r>
          </w:p>
        </w:tc>
        <w:tc>
          <w:tcPr>
            <w:tcW w:w="1980" w:type="dxa"/>
          </w:tcPr>
          <w:p w14:paraId="117E32AB" w14:textId="77777777" w:rsidR="00971DF3" w:rsidRDefault="00971DF3" w:rsidP="00457B16">
            <w:pPr>
              <w:pStyle w:val="TableParagraph"/>
              <w:spacing w:before="131" w:line="194" w:lineRule="exact"/>
              <w:ind w:left="559" w:right="323" w:hanging="226"/>
              <w:rPr>
                <w:sz w:val="16"/>
              </w:rPr>
            </w:pPr>
            <w:hyperlink r:id="rId65">
              <w:r>
                <w:rPr>
                  <w:color w:val="0000FF"/>
                  <w:spacing w:val="-2"/>
                  <w:sz w:val="16"/>
                  <w:u w:val="single" w:color="0000FF"/>
                </w:rPr>
                <w:t>PO-22-1080-OSD03-</w:t>
              </w:r>
            </w:hyperlink>
            <w:r>
              <w:rPr>
                <w:color w:val="0000FF"/>
                <w:spacing w:val="40"/>
                <w:sz w:val="16"/>
              </w:rPr>
              <w:t xml:space="preserve"> </w:t>
            </w:r>
            <w:hyperlink r:id="rId66">
              <w:r>
                <w:rPr>
                  <w:color w:val="0000FF"/>
                  <w:spacing w:val="-2"/>
                  <w:sz w:val="16"/>
                  <w:u w:val="single" w:color="0000FF"/>
                </w:rPr>
                <w:t>SRC01-23109</w:t>
              </w:r>
            </w:hyperlink>
          </w:p>
        </w:tc>
        <w:tc>
          <w:tcPr>
            <w:tcW w:w="1530" w:type="dxa"/>
          </w:tcPr>
          <w:p w14:paraId="316A95F3" w14:textId="77777777" w:rsidR="00971DF3" w:rsidRDefault="00971DF3" w:rsidP="00457B16">
            <w:pPr>
              <w:pStyle w:val="TableParagraph"/>
              <w:spacing w:before="131" w:line="194" w:lineRule="exact"/>
              <w:ind w:left="108" w:right="439"/>
              <w:rPr>
                <w:spacing w:val="-2"/>
                <w:sz w:val="16"/>
              </w:rPr>
            </w:pPr>
            <w:r>
              <w:rPr>
                <w:spacing w:val="-2"/>
                <w:sz w:val="16"/>
              </w:rPr>
              <w:t>Michael</w:t>
            </w:r>
            <w:r>
              <w:rPr>
                <w:spacing w:val="40"/>
                <w:sz w:val="16"/>
              </w:rPr>
              <w:t xml:space="preserve"> </w:t>
            </w:r>
            <w:r>
              <w:rPr>
                <w:spacing w:val="-2"/>
                <w:sz w:val="16"/>
              </w:rPr>
              <w:t>Barry</w:t>
            </w:r>
          </w:p>
          <w:p w14:paraId="61075E39" w14:textId="77777777" w:rsidR="00971DF3" w:rsidRDefault="00971DF3" w:rsidP="00457B16">
            <w:pPr>
              <w:pStyle w:val="TableParagraph"/>
              <w:spacing w:before="131" w:line="194" w:lineRule="exact"/>
              <w:ind w:left="108" w:right="439"/>
              <w:rPr>
                <w:sz w:val="16"/>
              </w:rPr>
            </w:pPr>
            <w:r w:rsidRPr="00C55C5F">
              <w:rPr>
                <w:sz w:val="16"/>
              </w:rPr>
              <w:t>Kelly Minichello</w:t>
            </w:r>
          </w:p>
        </w:tc>
        <w:tc>
          <w:tcPr>
            <w:tcW w:w="1170" w:type="dxa"/>
          </w:tcPr>
          <w:p w14:paraId="72B68D77" w14:textId="77777777" w:rsidR="00971DF3" w:rsidRDefault="00971DF3" w:rsidP="00457B16">
            <w:pPr>
              <w:pStyle w:val="TableParagraph"/>
              <w:spacing w:before="154"/>
              <w:rPr>
                <w:rFonts w:ascii="Cambria"/>
                <w:b/>
                <w:sz w:val="16"/>
              </w:rPr>
            </w:pPr>
          </w:p>
          <w:p w14:paraId="605E097C" w14:textId="77777777" w:rsidR="00971DF3" w:rsidRDefault="00971DF3" w:rsidP="00457B16">
            <w:pPr>
              <w:pStyle w:val="TableParagraph"/>
              <w:spacing w:line="178" w:lineRule="exact"/>
              <w:ind w:left="108"/>
              <w:rPr>
                <w:spacing w:val="-4"/>
                <w:sz w:val="16"/>
              </w:rPr>
            </w:pPr>
            <w:r>
              <w:rPr>
                <w:spacing w:val="-2"/>
                <w:sz w:val="16"/>
              </w:rPr>
              <w:t>617-720-</w:t>
            </w:r>
            <w:r>
              <w:rPr>
                <w:spacing w:val="-4"/>
                <w:sz w:val="16"/>
              </w:rPr>
              <w:t>3182</w:t>
            </w:r>
          </w:p>
          <w:p w14:paraId="129ED29C" w14:textId="77777777" w:rsidR="00971DF3" w:rsidRDefault="00971DF3" w:rsidP="00457B16">
            <w:pPr>
              <w:pStyle w:val="TableParagraph"/>
              <w:spacing w:line="178" w:lineRule="exact"/>
              <w:ind w:left="108"/>
              <w:rPr>
                <w:spacing w:val="-4"/>
                <w:sz w:val="16"/>
              </w:rPr>
            </w:pPr>
          </w:p>
          <w:p w14:paraId="7202681C" w14:textId="77777777" w:rsidR="00971DF3" w:rsidRDefault="00971DF3" w:rsidP="00457B16">
            <w:pPr>
              <w:pStyle w:val="TableParagraph"/>
              <w:spacing w:line="178" w:lineRule="exact"/>
              <w:ind w:left="108"/>
              <w:rPr>
                <w:sz w:val="16"/>
              </w:rPr>
            </w:pPr>
            <w:r w:rsidRPr="008E5936">
              <w:rPr>
                <w:sz w:val="16"/>
              </w:rPr>
              <w:t>351-667-9536</w:t>
            </w:r>
          </w:p>
        </w:tc>
        <w:tc>
          <w:tcPr>
            <w:tcW w:w="2070" w:type="dxa"/>
          </w:tcPr>
          <w:p w14:paraId="6160F846" w14:textId="77777777" w:rsidR="00971DF3" w:rsidRDefault="00971DF3" w:rsidP="00457B16">
            <w:pPr>
              <w:pStyle w:val="TableParagraph"/>
              <w:spacing w:before="169"/>
              <w:rPr>
                <w:rFonts w:ascii="Cambria"/>
                <w:b/>
                <w:sz w:val="16"/>
              </w:rPr>
            </w:pPr>
          </w:p>
          <w:p w14:paraId="60218A3E" w14:textId="77777777" w:rsidR="00971DF3" w:rsidRDefault="00971DF3" w:rsidP="00457B16">
            <w:pPr>
              <w:pStyle w:val="TableParagraph"/>
              <w:spacing w:line="163" w:lineRule="exact"/>
              <w:ind w:left="106"/>
            </w:pPr>
            <w:hyperlink r:id="rId67">
              <w:r>
                <w:rPr>
                  <w:rFonts w:ascii="Times New Roman"/>
                  <w:color w:val="0000FF"/>
                  <w:spacing w:val="-2"/>
                  <w:sz w:val="16"/>
                  <w:u w:val="single" w:color="0000FF"/>
                </w:rPr>
                <w:t>michael.barry3@mass.gov</w:t>
              </w:r>
            </w:hyperlink>
          </w:p>
          <w:p w14:paraId="01C14D2F" w14:textId="77777777" w:rsidR="00971DF3" w:rsidRDefault="00971DF3" w:rsidP="00457B16">
            <w:pPr>
              <w:pStyle w:val="TableParagraph"/>
              <w:spacing w:line="163" w:lineRule="exact"/>
              <w:ind w:left="106"/>
            </w:pPr>
          </w:p>
          <w:p w14:paraId="6FBAC3B0" w14:textId="77777777" w:rsidR="00971DF3" w:rsidRDefault="00971DF3" w:rsidP="00457B16">
            <w:pPr>
              <w:pStyle w:val="TableParagraph"/>
              <w:spacing w:line="163" w:lineRule="exact"/>
              <w:ind w:left="106"/>
              <w:rPr>
                <w:rFonts w:ascii="Times New Roman"/>
                <w:sz w:val="16"/>
              </w:rPr>
            </w:pPr>
            <w:hyperlink r:id="rId68" w:history="1">
              <w:r>
                <w:rPr>
                  <w:rStyle w:val="Hyperlink"/>
                  <w:rFonts w:ascii="Times New Roman"/>
                  <w:sz w:val="16"/>
                </w:rPr>
                <w:t>kelly.minichello@mass.gov</w:t>
              </w:r>
            </w:hyperlink>
          </w:p>
        </w:tc>
        <w:tc>
          <w:tcPr>
            <w:tcW w:w="990" w:type="dxa"/>
          </w:tcPr>
          <w:p w14:paraId="6AF218F2" w14:textId="77777777" w:rsidR="00971DF3" w:rsidRDefault="00971DF3" w:rsidP="00457B16">
            <w:pPr>
              <w:pStyle w:val="TableParagraph"/>
              <w:spacing w:before="154"/>
              <w:rPr>
                <w:rFonts w:ascii="Cambria"/>
                <w:b/>
                <w:sz w:val="16"/>
              </w:rPr>
            </w:pPr>
          </w:p>
          <w:p w14:paraId="64B3DCF2" w14:textId="77777777" w:rsidR="00971DF3" w:rsidRDefault="00971DF3" w:rsidP="00457B16">
            <w:pPr>
              <w:pStyle w:val="TableParagraph"/>
              <w:spacing w:line="178" w:lineRule="exact"/>
              <w:ind w:left="110"/>
              <w:rPr>
                <w:sz w:val="16"/>
              </w:rPr>
            </w:pPr>
            <w:r>
              <w:rPr>
                <w:spacing w:val="-5"/>
                <w:sz w:val="16"/>
              </w:rPr>
              <w:t>N/A</w:t>
            </w:r>
          </w:p>
        </w:tc>
        <w:tc>
          <w:tcPr>
            <w:tcW w:w="720" w:type="dxa"/>
          </w:tcPr>
          <w:p w14:paraId="63301271" w14:textId="77777777" w:rsidR="00971DF3" w:rsidRDefault="00971DF3" w:rsidP="00457B16">
            <w:pPr>
              <w:pStyle w:val="TableParagraph"/>
              <w:spacing w:before="154"/>
              <w:rPr>
                <w:rFonts w:ascii="Cambria"/>
                <w:b/>
                <w:sz w:val="16"/>
              </w:rPr>
            </w:pPr>
          </w:p>
          <w:p w14:paraId="464073C9" w14:textId="77777777" w:rsidR="00971DF3" w:rsidRDefault="00971DF3" w:rsidP="00457B16">
            <w:pPr>
              <w:pStyle w:val="TableParagraph"/>
              <w:spacing w:line="178" w:lineRule="exact"/>
              <w:ind w:left="110"/>
              <w:rPr>
                <w:sz w:val="16"/>
              </w:rPr>
            </w:pPr>
            <w:r>
              <w:rPr>
                <w:spacing w:val="-5"/>
                <w:sz w:val="16"/>
              </w:rPr>
              <w:t>N/A</w:t>
            </w:r>
          </w:p>
        </w:tc>
        <w:tc>
          <w:tcPr>
            <w:tcW w:w="1530" w:type="dxa"/>
          </w:tcPr>
          <w:p w14:paraId="31A6ADBA" w14:textId="77777777" w:rsidR="00971DF3" w:rsidRDefault="00971DF3" w:rsidP="00457B16">
            <w:pPr>
              <w:pStyle w:val="TableParagraph"/>
              <w:spacing w:before="154"/>
              <w:rPr>
                <w:rFonts w:ascii="Cambria"/>
                <w:b/>
                <w:sz w:val="16"/>
              </w:rPr>
            </w:pPr>
          </w:p>
          <w:p w14:paraId="62638BE4" w14:textId="77777777" w:rsidR="00971DF3" w:rsidRDefault="00971DF3" w:rsidP="00457B16">
            <w:pPr>
              <w:pStyle w:val="TableParagraph"/>
              <w:spacing w:line="178" w:lineRule="exact"/>
              <w:ind w:left="16"/>
              <w:jc w:val="center"/>
              <w:rPr>
                <w:sz w:val="16"/>
              </w:rPr>
            </w:pPr>
            <w:r>
              <w:rPr>
                <w:spacing w:val="-5"/>
                <w:sz w:val="16"/>
              </w:rPr>
              <w:t>N/A</w:t>
            </w:r>
          </w:p>
        </w:tc>
        <w:tc>
          <w:tcPr>
            <w:tcW w:w="1350" w:type="dxa"/>
          </w:tcPr>
          <w:p w14:paraId="1FFA8312" w14:textId="77777777" w:rsidR="00971DF3" w:rsidRDefault="00971DF3" w:rsidP="00457B16">
            <w:pPr>
              <w:pStyle w:val="TableParagraph"/>
              <w:spacing w:before="154"/>
              <w:rPr>
                <w:rFonts w:ascii="Cambria"/>
                <w:b/>
                <w:sz w:val="16"/>
              </w:rPr>
            </w:pPr>
          </w:p>
          <w:p w14:paraId="688309D3" w14:textId="77777777" w:rsidR="00971DF3" w:rsidRDefault="00971DF3" w:rsidP="00457B16">
            <w:pPr>
              <w:pStyle w:val="TableParagraph"/>
              <w:spacing w:line="178" w:lineRule="exact"/>
              <w:ind w:left="18"/>
              <w:jc w:val="center"/>
              <w:rPr>
                <w:sz w:val="16"/>
              </w:rPr>
            </w:pPr>
            <w:r>
              <w:rPr>
                <w:spacing w:val="-5"/>
                <w:sz w:val="16"/>
              </w:rPr>
              <w:t>N/A</w:t>
            </w:r>
          </w:p>
        </w:tc>
        <w:tc>
          <w:tcPr>
            <w:tcW w:w="1260" w:type="dxa"/>
          </w:tcPr>
          <w:p w14:paraId="061CDE04" w14:textId="77777777" w:rsidR="00971DF3" w:rsidRDefault="00971DF3" w:rsidP="00457B16">
            <w:pPr>
              <w:pStyle w:val="TableParagraph"/>
              <w:spacing w:before="154"/>
              <w:rPr>
                <w:rFonts w:ascii="Cambria"/>
                <w:b/>
                <w:sz w:val="16"/>
              </w:rPr>
            </w:pPr>
          </w:p>
          <w:p w14:paraId="1C7DE452" w14:textId="77777777" w:rsidR="00971DF3" w:rsidRDefault="00971DF3" w:rsidP="00457B16">
            <w:pPr>
              <w:pStyle w:val="TableParagraph"/>
              <w:spacing w:line="178" w:lineRule="exact"/>
              <w:ind w:left="23" w:right="3"/>
              <w:jc w:val="center"/>
              <w:rPr>
                <w:sz w:val="16"/>
              </w:rPr>
            </w:pPr>
            <w:r>
              <w:rPr>
                <w:spacing w:val="-5"/>
                <w:sz w:val="16"/>
              </w:rPr>
              <w:t>N/A</w:t>
            </w:r>
          </w:p>
        </w:tc>
      </w:tr>
      <w:tr w:rsidR="00E27125" w14:paraId="73E538F0" w14:textId="77777777" w:rsidTr="00A85FC1">
        <w:trPr>
          <w:trHeight w:val="609"/>
        </w:trPr>
        <w:tc>
          <w:tcPr>
            <w:tcW w:w="1685" w:type="dxa"/>
          </w:tcPr>
          <w:p w14:paraId="17015711" w14:textId="77777777" w:rsidR="00971DF3" w:rsidRPr="00D70DA1" w:rsidRDefault="00971DF3" w:rsidP="00457B16">
            <w:pPr>
              <w:pStyle w:val="TableParagraph"/>
              <w:ind w:left="107" w:right="192"/>
              <w:rPr>
                <w:rFonts w:asciiTheme="minorHAnsi" w:hAnsiTheme="minorHAnsi" w:cstheme="minorHAnsi"/>
                <w:sz w:val="16"/>
              </w:rPr>
            </w:pPr>
            <w:r w:rsidRPr="00D70DA1">
              <w:rPr>
                <w:rFonts w:asciiTheme="minorHAnsi" w:hAnsiTheme="minorHAnsi" w:cstheme="minorHAnsi"/>
                <w:sz w:val="16"/>
              </w:rPr>
              <w:t>Solicitation</w:t>
            </w:r>
            <w:r>
              <w:rPr>
                <w:rFonts w:asciiTheme="minorHAnsi" w:hAnsiTheme="minorHAnsi" w:cstheme="minorHAnsi"/>
                <w:spacing w:val="-7"/>
                <w:sz w:val="16"/>
              </w:rPr>
              <w:t>-</w:t>
            </w:r>
            <w:r w:rsidRPr="00D70DA1">
              <w:rPr>
                <w:rFonts w:asciiTheme="minorHAnsi" w:hAnsiTheme="minorHAnsi" w:cstheme="minorHAnsi"/>
                <w:sz w:val="16"/>
              </w:rPr>
              <w:t>Enabled</w:t>
            </w:r>
            <w:r w:rsidRPr="00D70DA1">
              <w:rPr>
                <w:rFonts w:asciiTheme="minorHAnsi" w:hAnsiTheme="minorHAnsi" w:cstheme="minorHAnsi"/>
                <w:spacing w:val="40"/>
                <w:sz w:val="16"/>
              </w:rPr>
              <w:t xml:space="preserve"> </w:t>
            </w:r>
            <w:r w:rsidRPr="00D70DA1">
              <w:rPr>
                <w:rFonts w:asciiTheme="minorHAnsi" w:hAnsiTheme="minorHAnsi" w:cstheme="minorHAnsi"/>
                <w:sz w:val="16"/>
              </w:rPr>
              <w:t>Blanket</w:t>
            </w:r>
            <w:r w:rsidRPr="00D70DA1">
              <w:rPr>
                <w:rFonts w:asciiTheme="minorHAnsi" w:hAnsiTheme="minorHAnsi" w:cstheme="minorHAnsi"/>
                <w:spacing w:val="-7"/>
                <w:sz w:val="16"/>
              </w:rPr>
              <w:t xml:space="preserve"> </w:t>
            </w:r>
            <w:r w:rsidRPr="00D70DA1">
              <w:rPr>
                <w:rFonts w:asciiTheme="minorHAnsi" w:hAnsiTheme="minorHAnsi" w:cstheme="minorHAnsi"/>
                <w:sz w:val="16"/>
              </w:rPr>
              <w:t>(only</w:t>
            </w:r>
            <w:r w:rsidRPr="00D70DA1">
              <w:rPr>
                <w:rFonts w:asciiTheme="minorHAnsi" w:hAnsiTheme="minorHAnsi" w:cstheme="minorHAnsi"/>
                <w:spacing w:val="-8"/>
                <w:sz w:val="16"/>
              </w:rPr>
              <w:t xml:space="preserve"> </w:t>
            </w:r>
            <w:r w:rsidRPr="00D70DA1">
              <w:rPr>
                <w:rFonts w:asciiTheme="minorHAnsi" w:hAnsiTheme="minorHAnsi" w:cstheme="minorHAnsi"/>
                <w:sz w:val="16"/>
              </w:rPr>
              <w:t>to</w:t>
            </w:r>
            <w:r w:rsidRPr="00D70DA1">
              <w:rPr>
                <w:rFonts w:asciiTheme="minorHAnsi" w:hAnsiTheme="minorHAnsi" w:cstheme="minorHAnsi"/>
                <w:spacing w:val="-10"/>
                <w:sz w:val="16"/>
              </w:rPr>
              <w:t xml:space="preserve"> </w:t>
            </w:r>
            <w:r w:rsidRPr="00D70DA1">
              <w:rPr>
                <w:rFonts w:asciiTheme="minorHAnsi" w:hAnsiTheme="minorHAnsi" w:cstheme="minorHAnsi"/>
                <w:sz w:val="16"/>
              </w:rPr>
              <w:t>be</w:t>
            </w:r>
            <w:r w:rsidRPr="00D70DA1">
              <w:rPr>
                <w:rFonts w:asciiTheme="minorHAnsi" w:hAnsiTheme="minorHAnsi" w:cstheme="minorHAnsi"/>
                <w:spacing w:val="-11"/>
                <w:sz w:val="16"/>
              </w:rPr>
              <w:t xml:space="preserve"> </w:t>
            </w:r>
            <w:r w:rsidRPr="00D70DA1">
              <w:rPr>
                <w:rFonts w:asciiTheme="minorHAnsi" w:hAnsiTheme="minorHAnsi" w:cstheme="minorHAnsi"/>
                <w:sz w:val="16"/>
              </w:rPr>
              <w:t>used to obtain quotes)</w:t>
            </w:r>
            <w:r>
              <w:rPr>
                <w:rStyle w:val="FootnoteReference"/>
                <w:rFonts w:asciiTheme="minorHAnsi" w:hAnsiTheme="minorHAnsi" w:cstheme="minorHAnsi"/>
                <w:sz w:val="16"/>
              </w:rPr>
              <w:footnoteReference w:id="5"/>
            </w:r>
          </w:p>
        </w:tc>
        <w:tc>
          <w:tcPr>
            <w:tcW w:w="1980" w:type="dxa"/>
          </w:tcPr>
          <w:p w14:paraId="2975D2B6" w14:textId="77777777" w:rsidR="00E27125" w:rsidRDefault="00E27125" w:rsidP="00457B16">
            <w:pPr>
              <w:pStyle w:val="TableParagraph"/>
              <w:spacing w:before="13"/>
              <w:rPr>
                <w:rFonts w:ascii="Cambria"/>
                <w:b/>
                <w:sz w:val="16"/>
              </w:rPr>
            </w:pPr>
          </w:p>
          <w:p w14:paraId="2821580D" w14:textId="77777777" w:rsidR="00E27125" w:rsidRDefault="00E27125" w:rsidP="00457B16">
            <w:pPr>
              <w:pStyle w:val="TableParagraph"/>
              <w:spacing w:line="194" w:lineRule="exact"/>
              <w:ind w:left="559" w:right="323" w:hanging="226"/>
              <w:rPr>
                <w:sz w:val="16"/>
              </w:rPr>
            </w:pPr>
            <w:hyperlink r:id="rId69">
              <w:r>
                <w:rPr>
                  <w:color w:val="0000FF"/>
                  <w:spacing w:val="-2"/>
                  <w:sz w:val="16"/>
                  <w:u w:val="single" w:color="0000FF"/>
                </w:rPr>
                <w:t>PO-22-1080-OSD03-</w:t>
              </w:r>
            </w:hyperlink>
            <w:r>
              <w:rPr>
                <w:color w:val="0000FF"/>
                <w:spacing w:val="40"/>
                <w:sz w:val="16"/>
              </w:rPr>
              <w:t xml:space="preserve"> </w:t>
            </w:r>
            <w:hyperlink r:id="rId70">
              <w:r>
                <w:rPr>
                  <w:color w:val="0000FF"/>
                  <w:spacing w:val="-2"/>
                  <w:sz w:val="16"/>
                  <w:u w:val="single" w:color="0000FF"/>
                </w:rPr>
                <w:t>SRC01-23110</w:t>
              </w:r>
            </w:hyperlink>
          </w:p>
        </w:tc>
        <w:tc>
          <w:tcPr>
            <w:tcW w:w="1530" w:type="dxa"/>
          </w:tcPr>
          <w:p w14:paraId="223BAC96" w14:textId="77777777" w:rsidR="00E27125" w:rsidRDefault="00E27125" w:rsidP="00457B16">
            <w:pPr>
              <w:pStyle w:val="TableParagraph"/>
              <w:spacing w:before="13"/>
              <w:rPr>
                <w:rFonts w:ascii="Cambria"/>
                <w:b/>
                <w:sz w:val="16"/>
              </w:rPr>
            </w:pPr>
          </w:p>
          <w:p w14:paraId="6658C35E" w14:textId="77777777" w:rsidR="00E27125" w:rsidRDefault="00E27125" w:rsidP="00457B16">
            <w:pPr>
              <w:pStyle w:val="TableParagraph"/>
              <w:spacing w:line="194" w:lineRule="exact"/>
              <w:ind w:left="108" w:right="439"/>
              <w:rPr>
                <w:spacing w:val="-2"/>
                <w:sz w:val="16"/>
              </w:rPr>
            </w:pPr>
            <w:r>
              <w:rPr>
                <w:spacing w:val="-2"/>
                <w:sz w:val="16"/>
              </w:rPr>
              <w:t>Michael</w:t>
            </w:r>
            <w:r>
              <w:rPr>
                <w:spacing w:val="40"/>
                <w:sz w:val="16"/>
              </w:rPr>
              <w:t xml:space="preserve"> </w:t>
            </w:r>
            <w:r>
              <w:rPr>
                <w:spacing w:val="-2"/>
                <w:sz w:val="16"/>
              </w:rPr>
              <w:t>Barry</w:t>
            </w:r>
          </w:p>
          <w:p w14:paraId="764BD4EC" w14:textId="77777777" w:rsidR="00E27125" w:rsidRDefault="00E27125" w:rsidP="00457B16">
            <w:pPr>
              <w:pStyle w:val="TableParagraph"/>
              <w:spacing w:line="194" w:lineRule="exact"/>
              <w:ind w:left="108" w:right="439"/>
              <w:rPr>
                <w:spacing w:val="-2"/>
                <w:sz w:val="16"/>
              </w:rPr>
            </w:pPr>
          </w:p>
          <w:p w14:paraId="56345187" w14:textId="77777777" w:rsidR="00E27125" w:rsidRDefault="00E27125" w:rsidP="00457B16">
            <w:pPr>
              <w:pStyle w:val="TableParagraph"/>
              <w:spacing w:line="194" w:lineRule="exact"/>
              <w:ind w:left="108" w:right="439"/>
              <w:rPr>
                <w:sz w:val="16"/>
              </w:rPr>
            </w:pPr>
            <w:r w:rsidRPr="00C55C5F">
              <w:rPr>
                <w:sz w:val="16"/>
              </w:rPr>
              <w:t>Kelly Minichello</w:t>
            </w:r>
          </w:p>
        </w:tc>
        <w:tc>
          <w:tcPr>
            <w:tcW w:w="1170" w:type="dxa"/>
          </w:tcPr>
          <w:p w14:paraId="3028822F" w14:textId="77777777" w:rsidR="00E27125" w:rsidRDefault="00E27125" w:rsidP="00457B16">
            <w:pPr>
              <w:pStyle w:val="TableParagraph"/>
              <w:rPr>
                <w:rFonts w:ascii="Cambria"/>
                <w:b/>
                <w:sz w:val="16"/>
              </w:rPr>
            </w:pPr>
          </w:p>
          <w:p w14:paraId="1D170C42" w14:textId="77777777" w:rsidR="00E27125" w:rsidRDefault="00E27125" w:rsidP="00457B16">
            <w:pPr>
              <w:pStyle w:val="TableParagraph"/>
              <w:spacing w:before="38"/>
              <w:rPr>
                <w:rFonts w:ascii="Cambria"/>
                <w:b/>
                <w:sz w:val="16"/>
              </w:rPr>
            </w:pPr>
          </w:p>
          <w:p w14:paraId="183E08E2" w14:textId="77777777" w:rsidR="00E27125" w:rsidRDefault="00E27125" w:rsidP="00457B16">
            <w:pPr>
              <w:pStyle w:val="TableParagraph"/>
              <w:spacing w:line="175" w:lineRule="exact"/>
              <w:ind w:left="108"/>
              <w:rPr>
                <w:spacing w:val="-4"/>
                <w:sz w:val="16"/>
              </w:rPr>
            </w:pPr>
            <w:r>
              <w:rPr>
                <w:spacing w:val="-2"/>
                <w:sz w:val="16"/>
              </w:rPr>
              <w:t>617-720-</w:t>
            </w:r>
            <w:r>
              <w:rPr>
                <w:spacing w:val="-4"/>
                <w:sz w:val="16"/>
              </w:rPr>
              <w:t>3182</w:t>
            </w:r>
          </w:p>
          <w:p w14:paraId="1EE795D4" w14:textId="77777777" w:rsidR="00E27125" w:rsidRDefault="00E27125" w:rsidP="00457B16">
            <w:pPr>
              <w:pStyle w:val="TableParagraph"/>
              <w:spacing w:line="175" w:lineRule="exact"/>
              <w:ind w:left="108"/>
              <w:rPr>
                <w:spacing w:val="-4"/>
                <w:sz w:val="16"/>
              </w:rPr>
            </w:pPr>
          </w:p>
          <w:p w14:paraId="356BA3AF" w14:textId="77777777" w:rsidR="00E27125" w:rsidRDefault="00E27125" w:rsidP="00457B16">
            <w:pPr>
              <w:pStyle w:val="TableParagraph"/>
              <w:spacing w:line="175" w:lineRule="exact"/>
              <w:ind w:left="108"/>
              <w:rPr>
                <w:sz w:val="16"/>
              </w:rPr>
            </w:pPr>
            <w:r w:rsidRPr="008E5936">
              <w:rPr>
                <w:sz w:val="16"/>
              </w:rPr>
              <w:t>351-667-9536</w:t>
            </w:r>
          </w:p>
        </w:tc>
        <w:tc>
          <w:tcPr>
            <w:tcW w:w="2070" w:type="dxa"/>
          </w:tcPr>
          <w:p w14:paraId="7D7336DB" w14:textId="77777777" w:rsidR="00E27125" w:rsidRDefault="00E27125" w:rsidP="00457B16">
            <w:pPr>
              <w:pStyle w:val="TableParagraph"/>
              <w:rPr>
                <w:rFonts w:ascii="Cambria"/>
                <w:b/>
                <w:sz w:val="16"/>
              </w:rPr>
            </w:pPr>
          </w:p>
          <w:p w14:paraId="480C57EF" w14:textId="77777777" w:rsidR="00E27125" w:rsidRDefault="00E27125" w:rsidP="00457B16">
            <w:pPr>
              <w:pStyle w:val="TableParagraph"/>
              <w:spacing w:before="51"/>
              <w:rPr>
                <w:rFonts w:ascii="Cambria"/>
                <w:b/>
                <w:sz w:val="16"/>
              </w:rPr>
            </w:pPr>
          </w:p>
          <w:p w14:paraId="1C9646B7" w14:textId="77777777" w:rsidR="00E27125" w:rsidRDefault="00E27125" w:rsidP="00457B16">
            <w:pPr>
              <w:pStyle w:val="TableParagraph"/>
              <w:spacing w:line="163" w:lineRule="exact"/>
              <w:ind w:left="106"/>
            </w:pPr>
            <w:hyperlink r:id="rId71">
              <w:r>
                <w:rPr>
                  <w:rFonts w:ascii="Times New Roman"/>
                  <w:color w:val="0000FF"/>
                  <w:spacing w:val="-2"/>
                  <w:sz w:val="16"/>
                  <w:u w:val="single" w:color="0000FF"/>
                </w:rPr>
                <w:t>michael.barry3@mass.gov</w:t>
              </w:r>
            </w:hyperlink>
          </w:p>
          <w:p w14:paraId="4C239A9E" w14:textId="77777777" w:rsidR="00E27125" w:rsidRDefault="00E27125" w:rsidP="00457B16">
            <w:pPr>
              <w:pStyle w:val="TableParagraph"/>
              <w:spacing w:line="163" w:lineRule="exact"/>
              <w:ind w:left="106"/>
            </w:pPr>
          </w:p>
          <w:p w14:paraId="0CEF8BD3" w14:textId="77777777" w:rsidR="00E27125" w:rsidRDefault="00E27125" w:rsidP="00457B16">
            <w:pPr>
              <w:pStyle w:val="TableParagraph"/>
              <w:spacing w:line="163" w:lineRule="exact"/>
              <w:ind w:left="106"/>
              <w:rPr>
                <w:rFonts w:ascii="Times New Roman"/>
                <w:sz w:val="16"/>
              </w:rPr>
            </w:pPr>
            <w:hyperlink r:id="rId72" w:history="1">
              <w:r>
                <w:rPr>
                  <w:rStyle w:val="Hyperlink"/>
                  <w:rFonts w:ascii="Times New Roman"/>
                  <w:sz w:val="16"/>
                </w:rPr>
                <w:t>kelly.minichello@mass.gov</w:t>
              </w:r>
            </w:hyperlink>
          </w:p>
        </w:tc>
        <w:tc>
          <w:tcPr>
            <w:tcW w:w="990" w:type="dxa"/>
          </w:tcPr>
          <w:p w14:paraId="5CD3CAC2" w14:textId="77777777" w:rsidR="00E27125" w:rsidRDefault="00E27125" w:rsidP="00457B16">
            <w:pPr>
              <w:pStyle w:val="TableParagraph"/>
              <w:rPr>
                <w:rFonts w:ascii="Cambria"/>
                <w:b/>
                <w:sz w:val="16"/>
              </w:rPr>
            </w:pPr>
          </w:p>
          <w:p w14:paraId="44165BA7" w14:textId="77777777" w:rsidR="00E27125" w:rsidRDefault="00E27125" w:rsidP="00457B16">
            <w:pPr>
              <w:pStyle w:val="TableParagraph"/>
              <w:spacing w:before="38"/>
              <w:rPr>
                <w:rFonts w:ascii="Cambria"/>
                <w:b/>
                <w:sz w:val="16"/>
              </w:rPr>
            </w:pPr>
          </w:p>
          <w:p w14:paraId="28C6F414" w14:textId="77777777" w:rsidR="00E27125" w:rsidRDefault="00E27125" w:rsidP="00457B16">
            <w:pPr>
              <w:pStyle w:val="TableParagraph"/>
              <w:spacing w:line="175" w:lineRule="exact"/>
              <w:ind w:left="110"/>
              <w:rPr>
                <w:sz w:val="16"/>
              </w:rPr>
            </w:pPr>
            <w:r>
              <w:rPr>
                <w:spacing w:val="-5"/>
                <w:sz w:val="16"/>
              </w:rPr>
              <w:t>N/A</w:t>
            </w:r>
          </w:p>
        </w:tc>
        <w:tc>
          <w:tcPr>
            <w:tcW w:w="720" w:type="dxa"/>
          </w:tcPr>
          <w:p w14:paraId="738E7802" w14:textId="77777777" w:rsidR="00E27125" w:rsidRDefault="00E27125" w:rsidP="00457B16">
            <w:pPr>
              <w:pStyle w:val="TableParagraph"/>
              <w:rPr>
                <w:rFonts w:ascii="Cambria"/>
                <w:b/>
                <w:sz w:val="16"/>
              </w:rPr>
            </w:pPr>
          </w:p>
          <w:p w14:paraId="3B9ECF46" w14:textId="77777777" w:rsidR="00E27125" w:rsidRDefault="00E27125" w:rsidP="00457B16">
            <w:pPr>
              <w:pStyle w:val="TableParagraph"/>
              <w:spacing w:before="38"/>
              <w:rPr>
                <w:rFonts w:ascii="Cambria"/>
                <w:b/>
                <w:sz w:val="16"/>
              </w:rPr>
            </w:pPr>
          </w:p>
          <w:p w14:paraId="568295A8" w14:textId="77777777" w:rsidR="00E27125" w:rsidRDefault="00E27125" w:rsidP="00457B16">
            <w:pPr>
              <w:pStyle w:val="TableParagraph"/>
              <w:spacing w:line="175" w:lineRule="exact"/>
              <w:ind w:left="110"/>
              <w:rPr>
                <w:sz w:val="16"/>
              </w:rPr>
            </w:pPr>
            <w:r>
              <w:rPr>
                <w:spacing w:val="-5"/>
                <w:sz w:val="16"/>
              </w:rPr>
              <w:t>N/A</w:t>
            </w:r>
          </w:p>
        </w:tc>
        <w:tc>
          <w:tcPr>
            <w:tcW w:w="1530" w:type="dxa"/>
          </w:tcPr>
          <w:p w14:paraId="6AB43714" w14:textId="77777777" w:rsidR="00E27125" w:rsidRDefault="00E27125" w:rsidP="00457B16">
            <w:pPr>
              <w:pStyle w:val="TableParagraph"/>
              <w:rPr>
                <w:rFonts w:ascii="Cambria"/>
                <w:b/>
                <w:sz w:val="16"/>
              </w:rPr>
            </w:pPr>
          </w:p>
          <w:p w14:paraId="1EB1ED6F" w14:textId="77777777" w:rsidR="00E27125" w:rsidRDefault="00E27125" w:rsidP="00457B16">
            <w:pPr>
              <w:pStyle w:val="TableParagraph"/>
              <w:spacing w:before="38"/>
              <w:rPr>
                <w:rFonts w:ascii="Cambria"/>
                <w:b/>
                <w:sz w:val="16"/>
              </w:rPr>
            </w:pPr>
          </w:p>
          <w:p w14:paraId="2AEE75C5" w14:textId="77777777" w:rsidR="00E27125" w:rsidRDefault="00E27125" w:rsidP="00457B16">
            <w:pPr>
              <w:pStyle w:val="TableParagraph"/>
              <w:spacing w:line="175" w:lineRule="exact"/>
              <w:ind w:left="16"/>
              <w:jc w:val="center"/>
              <w:rPr>
                <w:sz w:val="16"/>
              </w:rPr>
            </w:pPr>
            <w:r>
              <w:rPr>
                <w:spacing w:val="-5"/>
                <w:sz w:val="16"/>
              </w:rPr>
              <w:t>N/A</w:t>
            </w:r>
          </w:p>
        </w:tc>
        <w:tc>
          <w:tcPr>
            <w:tcW w:w="1350" w:type="dxa"/>
          </w:tcPr>
          <w:p w14:paraId="1928D41F" w14:textId="77777777" w:rsidR="00E27125" w:rsidRDefault="00E27125" w:rsidP="00457B16">
            <w:pPr>
              <w:pStyle w:val="TableParagraph"/>
              <w:rPr>
                <w:rFonts w:ascii="Cambria"/>
                <w:b/>
                <w:sz w:val="16"/>
              </w:rPr>
            </w:pPr>
          </w:p>
          <w:p w14:paraId="4E5E5CA9" w14:textId="77777777" w:rsidR="00E27125" w:rsidRDefault="00E27125" w:rsidP="00457B16">
            <w:pPr>
              <w:pStyle w:val="TableParagraph"/>
              <w:spacing w:before="38"/>
              <w:rPr>
                <w:rFonts w:ascii="Cambria"/>
                <w:b/>
                <w:sz w:val="16"/>
              </w:rPr>
            </w:pPr>
          </w:p>
          <w:p w14:paraId="1515B077" w14:textId="77777777" w:rsidR="00E27125" w:rsidRDefault="00E27125" w:rsidP="00457B16">
            <w:pPr>
              <w:pStyle w:val="TableParagraph"/>
              <w:spacing w:line="175" w:lineRule="exact"/>
              <w:ind w:left="18"/>
              <w:jc w:val="center"/>
              <w:rPr>
                <w:sz w:val="16"/>
              </w:rPr>
            </w:pPr>
            <w:r>
              <w:rPr>
                <w:spacing w:val="-5"/>
                <w:sz w:val="16"/>
              </w:rPr>
              <w:t>N/A</w:t>
            </w:r>
          </w:p>
        </w:tc>
        <w:tc>
          <w:tcPr>
            <w:tcW w:w="1260" w:type="dxa"/>
          </w:tcPr>
          <w:p w14:paraId="7C1F7C60" w14:textId="77777777" w:rsidR="00E27125" w:rsidRDefault="00E27125" w:rsidP="00457B16">
            <w:pPr>
              <w:pStyle w:val="TableParagraph"/>
              <w:rPr>
                <w:rFonts w:ascii="Cambria"/>
                <w:b/>
                <w:sz w:val="16"/>
              </w:rPr>
            </w:pPr>
          </w:p>
          <w:p w14:paraId="5EF36316" w14:textId="77777777" w:rsidR="00E27125" w:rsidRDefault="00E27125" w:rsidP="00457B16">
            <w:pPr>
              <w:pStyle w:val="TableParagraph"/>
              <w:spacing w:before="38"/>
              <w:rPr>
                <w:rFonts w:ascii="Cambria"/>
                <w:b/>
                <w:sz w:val="16"/>
              </w:rPr>
            </w:pPr>
          </w:p>
          <w:p w14:paraId="3A2D38B5" w14:textId="77777777" w:rsidR="00E27125" w:rsidRDefault="00E27125" w:rsidP="00457B16">
            <w:pPr>
              <w:pStyle w:val="TableParagraph"/>
              <w:spacing w:line="175" w:lineRule="exact"/>
              <w:ind w:left="23" w:right="3"/>
              <w:jc w:val="center"/>
              <w:rPr>
                <w:sz w:val="16"/>
              </w:rPr>
            </w:pPr>
            <w:r>
              <w:rPr>
                <w:spacing w:val="-5"/>
                <w:sz w:val="16"/>
              </w:rPr>
              <w:t>N/A</w:t>
            </w:r>
          </w:p>
        </w:tc>
      </w:tr>
      <w:tr w:rsidR="00E27125" w14:paraId="3CEBC441" w14:textId="77777777" w:rsidTr="00DB3F5A">
        <w:trPr>
          <w:trHeight w:val="390"/>
        </w:trPr>
        <w:tc>
          <w:tcPr>
            <w:tcW w:w="1685" w:type="dxa"/>
            <w:shd w:val="clear" w:color="auto" w:fill="C8D9EB"/>
            <w:vAlign w:val="center"/>
          </w:tcPr>
          <w:p w14:paraId="3BC65070" w14:textId="521FACDB" w:rsidR="00E27125" w:rsidRPr="00DB3F5A" w:rsidRDefault="001B473C" w:rsidP="00DB3F5A">
            <w:pPr>
              <w:pStyle w:val="TableParagraph"/>
              <w:rPr>
                <w:rFonts w:asciiTheme="minorHAnsi" w:hAnsiTheme="minorHAnsi" w:cstheme="minorHAnsi"/>
                <w:sz w:val="16"/>
              </w:rPr>
            </w:pPr>
            <w:r w:rsidRPr="00DB3F5A">
              <w:rPr>
                <w:rFonts w:asciiTheme="minorHAnsi" w:hAnsiTheme="minorHAnsi" w:cstheme="minorHAnsi"/>
                <w:sz w:val="16"/>
              </w:rPr>
              <w:t>N/A</w:t>
            </w:r>
          </w:p>
        </w:tc>
        <w:tc>
          <w:tcPr>
            <w:tcW w:w="1980" w:type="dxa"/>
            <w:shd w:val="clear" w:color="auto" w:fill="C8D9EB"/>
            <w:vAlign w:val="center"/>
          </w:tcPr>
          <w:p w14:paraId="4208BF44" w14:textId="4E46D428" w:rsidR="00E27125" w:rsidRPr="00DB3F5A" w:rsidRDefault="00DB3F5A" w:rsidP="00DB3F5A">
            <w:pPr>
              <w:pStyle w:val="TableParagraph"/>
              <w:rPr>
                <w:rFonts w:asciiTheme="minorHAnsi" w:hAnsiTheme="minorHAnsi" w:cstheme="minorHAnsi"/>
                <w:sz w:val="16"/>
              </w:rPr>
            </w:pPr>
            <w:r w:rsidRPr="00DB3F5A">
              <w:rPr>
                <w:rFonts w:asciiTheme="minorHAnsi" w:hAnsiTheme="minorHAnsi" w:cstheme="minorHAnsi"/>
                <w:sz w:val="16"/>
              </w:rPr>
              <w:t>N/A</w:t>
            </w:r>
          </w:p>
        </w:tc>
        <w:tc>
          <w:tcPr>
            <w:tcW w:w="1530" w:type="dxa"/>
            <w:shd w:val="clear" w:color="auto" w:fill="C8D9EB"/>
            <w:vAlign w:val="center"/>
          </w:tcPr>
          <w:p w14:paraId="649E60BA" w14:textId="0E45EC7C" w:rsidR="00E27125" w:rsidRPr="00DB3F5A" w:rsidRDefault="00DB3F5A" w:rsidP="00DB3F5A">
            <w:pPr>
              <w:pStyle w:val="TableParagraph"/>
              <w:rPr>
                <w:rFonts w:asciiTheme="minorHAnsi" w:hAnsiTheme="minorHAnsi" w:cstheme="minorHAnsi"/>
                <w:sz w:val="16"/>
              </w:rPr>
            </w:pPr>
            <w:r w:rsidRPr="00DB3F5A">
              <w:rPr>
                <w:rFonts w:asciiTheme="minorHAnsi" w:hAnsiTheme="minorHAnsi" w:cstheme="minorHAnsi"/>
                <w:sz w:val="16"/>
              </w:rPr>
              <w:t>N/A</w:t>
            </w:r>
          </w:p>
        </w:tc>
        <w:tc>
          <w:tcPr>
            <w:tcW w:w="1170" w:type="dxa"/>
            <w:shd w:val="clear" w:color="auto" w:fill="C8D9EB"/>
            <w:vAlign w:val="center"/>
          </w:tcPr>
          <w:p w14:paraId="2AF1B549" w14:textId="2B8DFE61" w:rsidR="00E27125" w:rsidRPr="00DB3F5A" w:rsidRDefault="00DB3F5A" w:rsidP="00DB3F5A">
            <w:pPr>
              <w:pStyle w:val="TableParagraph"/>
              <w:rPr>
                <w:rFonts w:asciiTheme="minorHAnsi" w:hAnsiTheme="minorHAnsi" w:cstheme="minorHAnsi"/>
                <w:sz w:val="16"/>
              </w:rPr>
            </w:pPr>
            <w:r w:rsidRPr="00DB3F5A">
              <w:rPr>
                <w:rFonts w:asciiTheme="minorHAnsi" w:hAnsiTheme="minorHAnsi" w:cstheme="minorHAnsi"/>
                <w:sz w:val="16"/>
              </w:rPr>
              <w:t>N/A</w:t>
            </w:r>
          </w:p>
        </w:tc>
        <w:tc>
          <w:tcPr>
            <w:tcW w:w="2070" w:type="dxa"/>
            <w:shd w:val="clear" w:color="auto" w:fill="C8D9EB"/>
            <w:vAlign w:val="center"/>
          </w:tcPr>
          <w:p w14:paraId="15C472B6" w14:textId="0164A4F6" w:rsidR="00E27125" w:rsidRPr="00DB3F5A" w:rsidRDefault="00DB3F5A" w:rsidP="00DB3F5A">
            <w:pPr>
              <w:pStyle w:val="TableParagraph"/>
              <w:rPr>
                <w:rFonts w:asciiTheme="minorHAnsi" w:hAnsiTheme="minorHAnsi" w:cstheme="minorHAnsi"/>
                <w:sz w:val="16"/>
              </w:rPr>
            </w:pPr>
            <w:r w:rsidRPr="00DB3F5A">
              <w:rPr>
                <w:rFonts w:asciiTheme="minorHAnsi" w:hAnsiTheme="minorHAnsi" w:cstheme="minorHAnsi"/>
                <w:sz w:val="16"/>
              </w:rPr>
              <w:t>N/A</w:t>
            </w:r>
          </w:p>
        </w:tc>
        <w:tc>
          <w:tcPr>
            <w:tcW w:w="990" w:type="dxa"/>
            <w:shd w:val="clear" w:color="auto" w:fill="F1F1F1"/>
          </w:tcPr>
          <w:p w14:paraId="2C7164A5" w14:textId="77777777" w:rsidR="00E27125" w:rsidRDefault="00E27125" w:rsidP="00457B16">
            <w:pPr>
              <w:pStyle w:val="TableParagraph"/>
              <w:spacing w:before="1" w:line="195" w:lineRule="exact"/>
              <w:ind w:left="14"/>
              <w:jc w:val="center"/>
              <w:rPr>
                <w:b/>
                <w:sz w:val="16"/>
              </w:rPr>
            </w:pPr>
            <w:r>
              <w:rPr>
                <w:b/>
                <w:spacing w:val="-2"/>
                <w:sz w:val="16"/>
              </w:rPr>
              <w:t>Category</w:t>
            </w:r>
          </w:p>
          <w:p w14:paraId="152ECE15" w14:textId="77777777" w:rsidR="00E27125" w:rsidRDefault="00E27125" w:rsidP="00457B16">
            <w:pPr>
              <w:pStyle w:val="TableParagraph"/>
              <w:spacing w:line="175" w:lineRule="exact"/>
              <w:ind w:left="14" w:right="2"/>
              <w:jc w:val="center"/>
              <w:rPr>
                <w:b/>
                <w:sz w:val="16"/>
              </w:rPr>
            </w:pPr>
            <w:r>
              <w:rPr>
                <w:b/>
                <w:spacing w:val="-10"/>
                <w:sz w:val="16"/>
              </w:rPr>
              <w:t>1</w:t>
            </w:r>
          </w:p>
        </w:tc>
        <w:tc>
          <w:tcPr>
            <w:tcW w:w="720" w:type="dxa"/>
            <w:shd w:val="clear" w:color="auto" w:fill="C8D9EB"/>
            <w:vAlign w:val="center"/>
          </w:tcPr>
          <w:p w14:paraId="3FA4C1B0" w14:textId="0D191D0E" w:rsidR="00E27125" w:rsidRPr="00DB3F5A" w:rsidRDefault="00DB3F5A" w:rsidP="00DB3F5A">
            <w:pPr>
              <w:pStyle w:val="TableParagraph"/>
              <w:rPr>
                <w:rFonts w:asciiTheme="minorHAnsi" w:hAnsiTheme="minorHAnsi" w:cstheme="minorHAnsi"/>
                <w:sz w:val="16"/>
              </w:rPr>
            </w:pPr>
            <w:r w:rsidRPr="00DB3F5A">
              <w:rPr>
                <w:rFonts w:asciiTheme="minorHAnsi" w:hAnsiTheme="minorHAnsi" w:cstheme="minorHAnsi"/>
                <w:sz w:val="16"/>
              </w:rPr>
              <w:t>N/A</w:t>
            </w:r>
          </w:p>
        </w:tc>
        <w:tc>
          <w:tcPr>
            <w:tcW w:w="1530" w:type="dxa"/>
            <w:shd w:val="clear" w:color="auto" w:fill="C8D9EB"/>
            <w:vAlign w:val="center"/>
          </w:tcPr>
          <w:p w14:paraId="2EA75069" w14:textId="177C5198" w:rsidR="00E27125" w:rsidRPr="00DB3F5A" w:rsidRDefault="00DB3F5A" w:rsidP="00DB3F5A">
            <w:pPr>
              <w:pStyle w:val="TableParagraph"/>
              <w:rPr>
                <w:rFonts w:asciiTheme="minorHAnsi" w:hAnsiTheme="minorHAnsi" w:cstheme="minorHAnsi"/>
                <w:sz w:val="16"/>
              </w:rPr>
            </w:pPr>
            <w:r w:rsidRPr="00DB3F5A">
              <w:rPr>
                <w:rFonts w:asciiTheme="minorHAnsi" w:hAnsiTheme="minorHAnsi" w:cstheme="minorHAnsi"/>
                <w:sz w:val="16"/>
              </w:rPr>
              <w:t>N/A</w:t>
            </w:r>
          </w:p>
        </w:tc>
        <w:tc>
          <w:tcPr>
            <w:tcW w:w="1350" w:type="dxa"/>
            <w:shd w:val="clear" w:color="auto" w:fill="C8D9EB"/>
            <w:vAlign w:val="center"/>
          </w:tcPr>
          <w:p w14:paraId="63C48CF5" w14:textId="1752F958" w:rsidR="00E27125" w:rsidRPr="00DB3F5A" w:rsidRDefault="00DB3F5A" w:rsidP="00DB3F5A">
            <w:pPr>
              <w:pStyle w:val="TableParagraph"/>
              <w:rPr>
                <w:rFonts w:asciiTheme="minorHAnsi" w:hAnsiTheme="minorHAnsi" w:cstheme="minorHAnsi"/>
                <w:sz w:val="16"/>
              </w:rPr>
            </w:pPr>
            <w:r w:rsidRPr="00DB3F5A">
              <w:rPr>
                <w:rFonts w:asciiTheme="minorHAnsi" w:hAnsiTheme="minorHAnsi" w:cstheme="minorHAnsi"/>
                <w:sz w:val="16"/>
              </w:rPr>
              <w:t>N/A</w:t>
            </w:r>
          </w:p>
        </w:tc>
        <w:tc>
          <w:tcPr>
            <w:tcW w:w="1260" w:type="dxa"/>
            <w:shd w:val="clear" w:color="auto" w:fill="C8D9EB"/>
            <w:vAlign w:val="center"/>
          </w:tcPr>
          <w:p w14:paraId="0660716B" w14:textId="65345AE1" w:rsidR="00E27125" w:rsidRPr="00DB3F5A" w:rsidRDefault="00DB3F5A" w:rsidP="00DB3F5A">
            <w:pPr>
              <w:pStyle w:val="TableParagraph"/>
              <w:rPr>
                <w:rFonts w:asciiTheme="minorHAnsi" w:hAnsiTheme="minorHAnsi" w:cstheme="minorHAnsi"/>
                <w:sz w:val="16"/>
              </w:rPr>
            </w:pPr>
            <w:r w:rsidRPr="00DB3F5A">
              <w:rPr>
                <w:rFonts w:asciiTheme="minorHAnsi" w:hAnsiTheme="minorHAnsi" w:cstheme="minorHAnsi"/>
                <w:sz w:val="16"/>
              </w:rPr>
              <w:t>N/A</w:t>
            </w:r>
          </w:p>
        </w:tc>
      </w:tr>
      <w:tr w:rsidR="00E27125" w14:paraId="7B47D071" w14:textId="77777777" w:rsidTr="00A85FC1">
        <w:trPr>
          <w:trHeight w:val="390"/>
        </w:trPr>
        <w:tc>
          <w:tcPr>
            <w:tcW w:w="1685" w:type="dxa"/>
          </w:tcPr>
          <w:p w14:paraId="3BD4B5CC" w14:textId="77777777" w:rsidR="00E27125" w:rsidRDefault="00E27125" w:rsidP="00457B16">
            <w:pPr>
              <w:pStyle w:val="TableParagraph"/>
              <w:spacing w:before="7"/>
              <w:rPr>
                <w:rFonts w:ascii="Cambria"/>
                <w:b/>
                <w:sz w:val="16"/>
              </w:rPr>
            </w:pPr>
          </w:p>
          <w:p w14:paraId="6A4F382F" w14:textId="77777777" w:rsidR="00E27125" w:rsidRDefault="00E27125" w:rsidP="00457B16">
            <w:pPr>
              <w:pStyle w:val="TableParagraph"/>
              <w:spacing w:before="1" w:line="175" w:lineRule="exact"/>
              <w:ind w:left="107"/>
              <w:rPr>
                <w:sz w:val="16"/>
              </w:rPr>
            </w:pPr>
            <w:r>
              <w:rPr>
                <w:sz w:val="16"/>
              </w:rPr>
              <w:t>Global</w:t>
            </w:r>
            <w:r>
              <w:rPr>
                <w:spacing w:val="-9"/>
                <w:sz w:val="16"/>
              </w:rPr>
              <w:t xml:space="preserve"> </w:t>
            </w:r>
            <w:r>
              <w:rPr>
                <w:spacing w:val="-2"/>
                <w:sz w:val="16"/>
              </w:rPr>
              <w:t>Montello</w:t>
            </w:r>
          </w:p>
        </w:tc>
        <w:tc>
          <w:tcPr>
            <w:tcW w:w="1980" w:type="dxa"/>
          </w:tcPr>
          <w:p w14:paraId="7C2B648C" w14:textId="77777777" w:rsidR="00E27125" w:rsidRDefault="00E27125" w:rsidP="00457B16">
            <w:pPr>
              <w:pStyle w:val="TableParagraph"/>
              <w:spacing w:before="1" w:line="195" w:lineRule="exact"/>
              <w:ind w:left="12" w:right="4"/>
              <w:jc w:val="center"/>
              <w:rPr>
                <w:sz w:val="16"/>
              </w:rPr>
            </w:pPr>
            <w:hyperlink r:id="rId73">
              <w:r>
                <w:rPr>
                  <w:color w:val="0000FF"/>
                  <w:spacing w:val="-2"/>
                  <w:sz w:val="16"/>
                  <w:u w:val="single" w:color="0000FF"/>
                </w:rPr>
                <w:t>PO-21-1080-OSD03-</w:t>
              </w:r>
            </w:hyperlink>
          </w:p>
          <w:p w14:paraId="27BD4A45" w14:textId="77777777" w:rsidR="00E27125" w:rsidRDefault="00E27125" w:rsidP="00457B16">
            <w:pPr>
              <w:pStyle w:val="TableParagraph"/>
              <w:spacing w:line="175" w:lineRule="exact"/>
              <w:ind w:left="12"/>
              <w:jc w:val="center"/>
              <w:rPr>
                <w:sz w:val="16"/>
              </w:rPr>
            </w:pPr>
            <w:hyperlink r:id="rId74">
              <w:r>
                <w:rPr>
                  <w:color w:val="0000FF"/>
                  <w:spacing w:val="-2"/>
                  <w:sz w:val="16"/>
                  <w:u w:val="single" w:color="0000FF"/>
                </w:rPr>
                <w:t>SRC02-23102</w:t>
              </w:r>
            </w:hyperlink>
          </w:p>
        </w:tc>
        <w:tc>
          <w:tcPr>
            <w:tcW w:w="1530" w:type="dxa"/>
          </w:tcPr>
          <w:p w14:paraId="23D6F2D7" w14:textId="77777777" w:rsidR="00E27125" w:rsidRDefault="00E27125" w:rsidP="00457B16">
            <w:pPr>
              <w:pStyle w:val="TableParagraph"/>
              <w:spacing w:before="1" w:line="195" w:lineRule="exact"/>
              <w:ind w:left="108"/>
              <w:rPr>
                <w:sz w:val="16"/>
              </w:rPr>
            </w:pPr>
            <w:r>
              <w:rPr>
                <w:spacing w:val="-2"/>
                <w:sz w:val="16"/>
              </w:rPr>
              <w:t>Kathryn</w:t>
            </w:r>
          </w:p>
          <w:p w14:paraId="082ED74F" w14:textId="77777777" w:rsidR="00E27125" w:rsidRDefault="00E27125" w:rsidP="00457B16">
            <w:pPr>
              <w:pStyle w:val="TableParagraph"/>
              <w:spacing w:line="175" w:lineRule="exact"/>
              <w:ind w:left="108"/>
              <w:rPr>
                <w:sz w:val="16"/>
              </w:rPr>
            </w:pPr>
            <w:r>
              <w:rPr>
                <w:spacing w:val="-2"/>
                <w:sz w:val="16"/>
              </w:rPr>
              <w:t>Doherty</w:t>
            </w:r>
          </w:p>
        </w:tc>
        <w:tc>
          <w:tcPr>
            <w:tcW w:w="1170" w:type="dxa"/>
          </w:tcPr>
          <w:p w14:paraId="0806A3D4" w14:textId="77777777" w:rsidR="00E27125" w:rsidRDefault="00E27125" w:rsidP="00457B16">
            <w:pPr>
              <w:pStyle w:val="TableParagraph"/>
              <w:spacing w:before="7"/>
              <w:rPr>
                <w:rFonts w:ascii="Cambria"/>
                <w:b/>
                <w:sz w:val="16"/>
              </w:rPr>
            </w:pPr>
          </w:p>
          <w:p w14:paraId="01C7C35A" w14:textId="77777777" w:rsidR="00E27125" w:rsidRDefault="00E27125" w:rsidP="00457B16">
            <w:pPr>
              <w:pStyle w:val="TableParagraph"/>
              <w:spacing w:before="1" w:line="175" w:lineRule="exact"/>
              <w:ind w:left="108"/>
              <w:rPr>
                <w:sz w:val="16"/>
              </w:rPr>
            </w:pPr>
            <w:r>
              <w:rPr>
                <w:spacing w:val="-2"/>
                <w:sz w:val="16"/>
              </w:rPr>
              <w:t>781-398-</w:t>
            </w:r>
            <w:r>
              <w:rPr>
                <w:spacing w:val="-4"/>
                <w:sz w:val="16"/>
              </w:rPr>
              <w:t>4003</w:t>
            </w:r>
          </w:p>
        </w:tc>
        <w:tc>
          <w:tcPr>
            <w:tcW w:w="2070" w:type="dxa"/>
          </w:tcPr>
          <w:p w14:paraId="679E042C" w14:textId="77777777" w:rsidR="00E27125" w:rsidRDefault="00E27125" w:rsidP="00457B16">
            <w:pPr>
              <w:pStyle w:val="TableParagraph"/>
              <w:spacing w:before="7"/>
              <w:rPr>
                <w:rFonts w:ascii="Cambria"/>
                <w:b/>
                <w:sz w:val="16"/>
              </w:rPr>
            </w:pPr>
          </w:p>
          <w:p w14:paraId="3412F9D5" w14:textId="77777777" w:rsidR="00E27125" w:rsidRDefault="00E27125" w:rsidP="00457B16">
            <w:pPr>
              <w:pStyle w:val="TableParagraph"/>
              <w:spacing w:before="1" w:line="175" w:lineRule="exact"/>
              <w:ind w:left="106"/>
              <w:rPr>
                <w:sz w:val="16"/>
              </w:rPr>
            </w:pPr>
            <w:hyperlink r:id="rId75">
              <w:r>
                <w:rPr>
                  <w:color w:val="0000FF"/>
                  <w:spacing w:val="-2"/>
                  <w:sz w:val="16"/>
                  <w:u w:val="single" w:color="0000FF"/>
                </w:rPr>
                <w:t>bids@globalp.com</w:t>
              </w:r>
            </w:hyperlink>
          </w:p>
        </w:tc>
        <w:tc>
          <w:tcPr>
            <w:tcW w:w="990" w:type="dxa"/>
          </w:tcPr>
          <w:p w14:paraId="570735CC" w14:textId="77777777" w:rsidR="00E27125" w:rsidRDefault="00E27125" w:rsidP="00457B16">
            <w:pPr>
              <w:pStyle w:val="TableParagraph"/>
              <w:spacing w:before="7"/>
              <w:rPr>
                <w:rFonts w:ascii="Cambria"/>
                <w:b/>
                <w:sz w:val="16"/>
              </w:rPr>
            </w:pPr>
          </w:p>
          <w:p w14:paraId="4AA7AFA5" w14:textId="77777777" w:rsidR="00E27125" w:rsidRDefault="00E27125" w:rsidP="00457B16">
            <w:pPr>
              <w:pStyle w:val="TableParagraph"/>
              <w:spacing w:before="1" w:line="175" w:lineRule="exact"/>
              <w:ind w:left="110"/>
              <w:rPr>
                <w:sz w:val="16"/>
              </w:rPr>
            </w:pPr>
            <w:r>
              <w:rPr>
                <w:spacing w:val="-10"/>
                <w:sz w:val="16"/>
              </w:rPr>
              <w:t>X</w:t>
            </w:r>
          </w:p>
        </w:tc>
        <w:tc>
          <w:tcPr>
            <w:tcW w:w="720" w:type="dxa"/>
          </w:tcPr>
          <w:p w14:paraId="1E0A334C" w14:textId="77777777" w:rsidR="00E27125" w:rsidRDefault="00E27125" w:rsidP="00457B16">
            <w:pPr>
              <w:pStyle w:val="TableParagraph"/>
              <w:spacing w:before="7"/>
              <w:rPr>
                <w:rFonts w:ascii="Cambria"/>
                <w:b/>
                <w:sz w:val="16"/>
              </w:rPr>
            </w:pPr>
          </w:p>
          <w:p w14:paraId="085EA2BC" w14:textId="77777777" w:rsidR="00E27125" w:rsidRDefault="00E27125" w:rsidP="00457B16">
            <w:pPr>
              <w:pStyle w:val="TableParagraph"/>
              <w:spacing w:before="1" w:line="175" w:lineRule="exact"/>
              <w:ind w:left="110"/>
              <w:rPr>
                <w:sz w:val="16"/>
              </w:rPr>
            </w:pPr>
            <w:r>
              <w:rPr>
                <w:spacing w:val="-2"/>
                <w:sz w:val="16"/>
              </w:rPr>
              <w:t>1, 3, 7</w:t>
            </w:r>
          </w:p>
        </w:tc>
        <w:tc>
          <w:tcPr>
            <w:tcW w:w="1530" w:type="dxa"/>
          </w:tcPr>
          <w:p w14:paraId="3195BBA6" w14:textId="77777777" w:rsidR="00E27125" w:rsidRDefault="00E27125" w:rsidP="00457B16">
            <w:pPr>
              <w:pStyle w:val="TableParagraph"/>
              <w:spacing w:before="7"/>
              <w:rPr>
                <w:rFonts w:ascii="Cambria"/>
                <w:b/>
                <w:sz w:val="16"/>
              </w:rPr>
            </w:pPr>
          </w:p>
          <w:p w14:paraId="584C8F5E" w14:textId="77777777" w:rsidR="00E27125" w:rsidRDefault="00E27125" w:rsidP="00457B16">
            <w:pPr>
              <w:pStyle w:val="TableParagraph"/>
              <w:spacing w:before="1" w:line="175" w:lineRule="exact"/>
              <w:ind w:right="150"/>
              <w:jc w:val="right"/>
              <w:rPr>
                <w:sz w:val="16"/>
              </w:rPr>
            </w:pPr>
            <w:r>
              <w:rPr>
                <w:sz w:val="16"/>
              </w:rPr>
              <w:t>0.25%</w:t>
            </w:r>
            <w:r>
              <w:rPr>
                <w:spacing w:val="-5"/>
                <w:sz w:val="16"/>
              </w:rPr>
              <w:t xml:space="preserve"> </w:t>
            </w:r>
            <w:r>
              <w:rPr>
                <w:sz w:val="16"/>
              </w:rPr>
              <w:t>-</w:t>
            </w:r>
            <w:r>
              <w:rPr>
                <w:spacing w:val="1"/>
                <w:sz w:val="16"/>
              </w:rPr>
              <w:t xml:space="preserve"> </w:t>
            </w:r>
            <w:r>
              <w:rPr>
                <w:sz w:val="16"/>
              </w:rPr>
              <w:t>10</w:t>
            </w:r>
            <w:r>
              <w:rPr>
                <w:spacing w:val="-1"/>
                <w:sz w:val="16"/>
              </w:rPr>
              <w:t xml:space="preserve"> </w:t>
            </w:r>
            <w:r>
              <w:rPr>
                <w:spacing w:val="-4"/>
                <w:sz w:val="16"/>
              </w:rPr>
              <w:t>days</w:t>
            </w:r>
          </w:p>
        </w:tc>
        <w:tc>
          <w:tcPr>
            <w:tcW w:w="1350" w:type="dxa"/>
          </w:tcPr>
          <w:p w14:paraId="0C24EE9B" w14:textId="77777777" w:rsidR="00E27125" w:rsidRDefault="00E27125" w:rsidP="00457B16">
            <w:pPr>
              <w:pStyle w:val="TableParagraph"/>
              <w:spacing w:before="7"/>
              <w:rPr>
                <w:rFonts w:ascii="Cambria"/>
                <w:b/>
                <w:sz w:val="16"/>
              </w:rPr>
            </w:pPr>
          </w:p>
          <w:p w14:paraId="7FE26188" w14:textId="77777777" w:rsidR="00E27125" w:rsidRDefault="00E27125" w:rsidP="00457B16">
            <w:pPr>
              <w:pStyle w:val="TableParagraph"/>
              <w:spacing w:before="1" w:line="175" w:lineRule="exact"/>
              <w:ind w:left="18"/>
              <w:jc w:val="center"/>
              <w:rPr>
                <w:sz w:val="16"/>
              </w:rPr>
            </w:pPr>
            <w:r>
              <w:rPr>
                <w:spacing w:val="-5"/>
                <w:sz w:val="16"/>
              </w:rPr>
              <w:t>N/A</w:t>
            </w:r>
          </w:p>
        </w:tc>
        <w:tc>
          <w:tcPr>
            <w:tcW w:w="1260" w:type="dxa"/>
          </w:tcPr>
          <w:p w14:paraId="2AC4AB93" w14:textId="77777777" w:rsidR="00E27125" w:rsidRDefault="00E27125" w:rsidP="00457B16">
            <w:pPr>
              <w:pStyle w:val="TableParagraph"/>
              <w:spacing w:before="7"/>
              <w:rPr>
                <w:rFonts w:ascii="Cambria"/>
                <w:b/>
                <w:sz w:val="16"/>
              </w:rPr>
            </w:pPr>
          </w:p>
          <w:p w14:paraId="55F6E1F8" w14:textId="77777777" w:rsidR="00E27125" w:rsidRDefault="00E27125" w:rsidP="00457B16">
            <w:pPr>
              <w:pStyle w:val="TableParagraph"/>
              <w:spacing w:before="1" w:line="175" w:lineRule="exact"/>
              <w:ind w:left="23" w:right="3"/>
              <w:jc w:val="center"/>
              <w:rPr>
                <w:sz w:val="16"/>
              </w:rPr>
            </w:pPr>
            <w:r>
              <w:rPr>
                <w:spacing w:val="-5"/>
                <w:sz w:val="16"/>
              </w:rPr>
              <w:t>2%</w:t>
            </w:r>
          </w:p>
        </w:tc>
      </w:tr>
      <w:tr w:rsidR="00E27125" w14:paraId="0636D332" w14:textId="77777777" w:rsidTr="00A85FC1">
        <w:trPr>
          <w:trHeight w:val="390"/>
        </w:trPr>
        <w:tc>
          <w:tcPr>
            <w:tcW w:w="1685" w:type="dxa"/>
          </w:tcPr>
          <w:p w14:paraId="0D1467BB" w14:textId="77777777" w:rsidR="00E27125" w:rsidRDefault="00E27125" w:rsidP="00457B16">
            <w:pPr>
              <w:pStyle w:val="TableParagraph"/>
              <w:spacing w:before="7"/>
              <w:rPr>
                <w:rFonts w:ascii="Cambria"/>
                <w:b/>
                <w:sz w:val="16"/>
              </w:rPr>
            </w:pPr>
          </w:p>
          <w:p w14:paraId="62DC1AF7" w14:textId="77777777" w:rsidR="00E27125" w:rsidRDefault="00E27125" w:rsidP="00457B16">
            <w:pPr>
              <w:pStyle w:val="TableParagraph"/>
              <w:spacing w:before="1" w:line="175" w:lineRule="exact"/>
              <w:ind w:left="107"/>
              <w:rPr>
                <w:sz w:val="16"/>
              </w:rPr>
            </w:pPr>
            <w:r>
              <w:rPr>
                <w:sz w:val="16"/>
              </w:rPr>
              <w:t>Peterson's</w:t>
            </w:r>
            <w:r>
              <w:rPr>
                <w:spacing w:val="-9"/>
                <w:sz w:val="16"/>
              </w:rPr>
              <w:t xml:space="preserve"> </w:t>
            </w:r>
            <w:r>
              <w:rPr>
                <w:spacing w:val="-5"/>
                <w:sz w:val="16"/>
              </w:rPr>
              <w:t>Oil</w:t>
            </w:r>
          </w:p>
        </w:tc>
        <w:tc>
          <w:tcPr>
            <w:tcW w:w="1980" w:type="dxa"/>
          </w:tcPr>
          <w:p w14:paraId="3103721D" w14:textId="77777777" w:rsidR="00E27125" w:rsidRDefault="00E27125" w:rsidP="00457B16">
            <w:pPr>
              <w:pStyle w:val="TableParagraph"/>
              <w:spacing w:line="194" w:lineRule="exact"/>
              <w:ind w:left="12" w:right="4"/>
              <w:jc w:val="center"/>
              <w:rPr>
                <w:sz w:val="16"/>
              </w:rPr>
            </w:pPr>
            <w:hyperlink r:id="rId76">
              <w:r>
                <w:rPr>
                  <w:color w:val="0000FF"/>
                  <w:spacing w:val="-2"/>
                  <w:sz w:val="16"/>
                  <w:u w:val="single" w:color="0000FF"/>
                </w:rPr>
                <w:t>PO-21-1080-OSD03-</w:t>
              </w:r>
            </w:hyperlink>
          </w:p>
          <w:p w14:paraId="6C3D8A17" w14:textId="77777777" w:rsidR="00E27125" w:rsidRDefault="00E27125" w:rsidP="00457B16">
            <w:pPr>
              <w:pStyle w:val="TableParagraph"/>
              <w:spacing w:before="1" w:line="175" w:lineRule="exact"/>
              <w:ind w:left="12"/>
              <w:jc w:val="center"/>
              <w:rPr>
                <w:sz w:val="16"/>
              </w:rPr>
            </w:pPr>
            <w:hyperlink r:id="rId77">
              <w:r>
                <w:rPr>
                  <w:color w:val="0000FF"/>
                  <w:spacing w:val="-2"/>
                  <w:sz w:val="16"/>
                  <w:u w:val="single" w:color="0000FF"/>
                </w:rPr>
                <w:t>SRC02-23100</w:t>
              </w:r>
            </w:hyperlink>
          </w:p>
        </w:tc>
        <w:tc>
          <w:tcPr>
            <w:tcW w:w="1530" w:type="dxa"/>
          </w:tcPr>
          <w:p w14:paraId="0FE7801B" w14:textId="77777777" w:rsidR="00E27125" w:rsidRDefault="00E27125" w:rsidP="00457B16">
            <w:pPr>
              <w:pStyle w:val="TableParagraph"/>
              <w:spacing w:before="7"/>
              <w:rPr>
                <w:rFonts w:ascii="Cambria"/>
                <w:b/>
                <w:sz w:val="16"/>
              </w:rPr>
            </w:pPr>
          </w:p>
          <w:p w14:paraId="3F2A4714" w14:textId="77777777" w:rsidR="00E27125" w:rsidRDefault="00E27125" w:rsidP="00457B16">
            <w:pPr>
              <w:pStyle w:val="TableParagraph"/>
              <w:spacing w:before="1" w:line="175" w:lineRule="exact"/>
              <w:ind w:left="108"/>
              <w:rPr>
                <w:sz w:val="16"/>
              </w:rPr>
            </w:pPr>
            <w:r>
              <w:rPr>
                <w:sz w:val="16"/>
              </w:rPr>
              <w:t>Wendy</w:t>
            </w:r>
            <w:r>
              <w:rPr>
                <w:spacing w:val="-4"/>
                <w:sz w:val="16"/>
              </w:rPr>
              <w:t xml:space="preserve"> </w:t>
            </w:r>
            <w:r>
              <w:rPr>
                <w:spacing w:val="-2"/>
                <w:sz w:val="16"/>
              </w:rPr>
              <w:t>Renzi</w:t>
            </w:r>
          </w:p>
        </w:tc>
        <w:tc>
          <w:tcPr>
            <w:tcW w:w="1170" w:type="dxa"/>
          </w:tcPr>
          <w:p w14:paraId="53F597BE" w14:textId="77777777" w:rsidR="00E27125" w:rsidRDefault="00E27125" w:rsidP="00457B16">
            <w:pPr>
              <w:pStyle w:val="TableParagraph"/>
              <w:spacing w:before="7"/>
              <w:rPr>
                <w:rFonts w:ascii="Cambria"/>
                <w:b/>
                <w:sz w:val="16"/>
              </w:rPr>
            </w:pPr>
          </w:p>
          <w:p w14:paraId="0FCB26D3" w14:textId="77777777" w:rsidR="00E27125" w:rsidRDefault="00E27125" w:rsidP="00457B16">
            <w:pPr>
              <w:pStyle w:val="TableParagraph"/>
              <w:spacing w:before="1" w:line="175" w:lineRule="exact"/>
              <w:ind w:left="108"/>
              <w:rPr>
                <w:sz w:val="16"/>
              </w:rPr>
            </w:pPr>
            <w:r>
              <w:rPr>
                <w:spacing w:val="-2"/>
                <w:sz w:val="16"/>
              </w:rPr>
              <w:t>508-368-</w:t>
            </w:r>
            <w:r>
              <w:rPr>
                <w:spacing w:val="-4"/>
                <w:sz w:val="16"/>
              </w:rPr>
              <w:t>1000</w:t>
            </w:r>
          </w:p>
        </w:tc>
        <w:tc>
          <w:tcPr>
            <w:tcW w:w="2070" w:type="dxa"/>
          </w:tcPr>
          <w:p w14:paraId="7F9D151C" w14:textId="77777777" w:rsidR="00E27125" w:rsidRDefault="00E27125" w:rsidP="00457B16">
            <w:pPr>
              <w:pStyle w:val="TableParagraph"/>
              <w:spacing w:before="7"/>
              <w:rPr>
                <w:rFonts w:ascii="Cambria"/>
                <w:b/>
                <w:sz w:val="16"/>
              </w:rPr>
            </w:pPr>
          </w:p>
          <w:p w14:paraId="483FD6AC" w14:textId="77777777" w:rsidR="00E27125" w:rsidRDefault="00E27125" w:rsidP="00457B16">
            <w:pPr>
              <w:pStyle w:val="TableParagraph"/>
              <w:spacing w:before="1" w:line="175" w:lineRule="exact"/>
              <w:ind w:left="106"/>
              <w:rPr>
                <w:sz w:val="16"/>
              </w:rPr>
            </w:pPr>
            <w:hyperlink r:id="rId78">
              <w:r>
                <w:rPr>
                  <w:color w:val="0000FF"/>
                  <w:spacing w:val="-2"/>
                  <w:sz w:val="16"/>
                  <w:u w:val="single" w:color="0000FF"/>
                </w:rPr>
                <w:t>wrenzi@petersonoil.com</w:t>
              </w:r>
            </w:hyperlink>
          </w:p>
        </w:tc>
        <w:tc>
          <w:tcPr>
            <w:tcW w:w="990" w:type="dxa"/>
          </w:tcPr>
          <w:p w14:paraId="541B55EE" w14:textId="77777777" w:rsidR="00E27125" w:rsidRDefault="00E27125" w:rsidP="00457B16">
            <w:pPr>
              <w:pStyle w:val="TableParagraph"/>
              <w:spacing w:before="7"/>
              <w:rPr>
                <w:rFonts w:ascii="Cambria"/>
                <w:b/>
                <w:sz w:val="16"/>
              </w:rPr>
            </w:pPr>
          </w:p>
          <w:p w14:paraId="37BC764F" w14:textId="77777777" w:rsidR="00E27125" w:rsidRDefault="00E27125" w:rsidP="00457B16">
            <w:pPr>
              <w:pStyle w:val="TableParagraph"/>
              <w:spacing w:before="1" w:line="175" w:lineRule="exact"/>
              <w:ind w:left="110"/>
              <w:rPr>
                <w:sz w:val="16"/>
              </w:rPr>
            </w:pPr>
            <w:r>
              <w:rPr>
                <w:spacing w:val="-10"/>
                <w:sz w:val="16"/>
              </w:rPr>
              <w:t>X</w:t>
            </w:r>
          </w:p>
        </w:tc>
        <w:tc>
          <w:tcPr>
            <w:tcW w:w="720" w:type="dxa"/>
          </w:tcPr>
          <w:p w14:paraId="54138F49" w14:textId="77777777" w:rsidR="00E27125" w:rsidRDefault="00E27125" w:rsidP="00457B16">
            <w:pPr>
              <w:pStyle w:val="TableParagraph"/>
              <w:spacing w:before="7"/>
              <w:rPr>
                <w:rFonts w:ascii="Cambria"/>
                <w:b/>
                <w:sz w:val="16"/>
              </w:rPr>
            </w:pPr>
          </w:p>
          <w:p w14:paraId="0D6CD484" w14:textId="77777777" w:rsidR="00E27125" w:rsidRDefault="00E27125" w:rsidP="00457B16">
            <w:pPr>
              <w:pStyle w:val="TableParagraph"/>
              <w:spacing w:before="1" w:line="175" w:lineRule="exact"/>
              <w:ind w:left="110"/>
              <w:rPr>
                <w:sz w:val="16"/>
              </w:rPr>
            </w:pPr>
            <w:r>
              <w:rPr>
                <w:spacing w:val="-2"/>
                <w:sz w:val="16"/>
              </w:rPr>
              <w:t>2, 4, 5, 6</w:t>
            </w:r>
          </w:p>
        </w:tc>
        <w:tc>
          <w:tcPr>
            <w:tcW w:w="1530" w:type="dxa"/>
          </w:tcPr>
          <w:p w14:paraId="23217C22" w14:textId="77777777" w:rsidR="00E27125" w:rsidRDefault="00E27125" w:rsidP="00457B16">
            <w:pPr>
              <w:pStyle w:val="TableParagraph"/>
              <w:spacing w:line="194" w:lineRule="exact"/>
              <w:ind w:left="210"/>
              <w:rPr>
                <w:sz w:val="16"/>
              </w:rPr>
            </w:pPr>
            <w:r>
              <w:rPr>
                <w:sz w:val="16"/>
              </w:rPr>
              <w:t>0.3% -</w:t>
            </w:r>
            <w:r>
              <w:rPr>
                <w:spacing w:val="-2"/>
                <w:sz w:val="16"/>
              </w:rPr>
              <w:t xml:space="preserve"> </w:t>
            </w:r>
            <w:r>
              <w:rPr>
                <w:sz w:val="16"/>
              </w:rPr>
              <w:t>10</w:t>
            </w:r>
            <w:r>
              <w:rPr>
                <w:spacing w:val="-1"/>
                <w:sz w:val="16"/>
              </w:rPr>
              <w:t xml:space="preserve"> </w:t>
            </w:r>
            <w:r>
              <w:rPr>
                <w:spacing w:val="-4"/>
                <w:sz w:val="16"/>
              </w:rPr>
              <w:t>days</w:t>
            </w:r>
          </w:p>
          <w:p w14:paraId="56A3F652" w14:textId="77777777" w:rsidR="00E27125" w:rsidRDefault="00E27125" w:rsidP="00457B16">
            <w:pPr>
              <w:pStyle w:val="TableParagraph"/>
              <w:spacing w:before="1" w:line="175" w:lineRule="exact"/>
              <w:ind w:left="195"/>
              <w:rPr>
                <w:sz w:val="16"/>
              </w:rPr>
            </w:pPr>
            <w:r>
              <w:rPr>
                <w:sz w:val="16"/>
              </w:rPr>
              <w:t>0.3% -</w:t>
            </w:r>
            <w:r>
              <w:rPr>
                <w:spacing w:val="-2"/>
                <w:sz w:val="16"/>
              </w:rPr>
              <w:t xml:space="preserve"> </w:t>
            </w:r>
            <w:r>
              <w:rPr>
                <w:sz w:val="16"/>
              </w:rPr>
              <w:t>15</w:t>
            </w:r>
            <w:r>
              <w:rPr>
                <w:spacing w:val="-1"/>
                <w:sz w:val="16"/>
              </w:rPr>
              <w:t xml:space="preserve"> </w:t>
            </w:r>
            <w:r>
              <w:rPr>
                <w:spacing w:val="-4"/>
                <w:sz w:val="16"/>
              </w:rPr>
              <w:t>days</w:t>
            </w:r>
          </w:p>
        </w:tc>
        <w:tc>
          <w:tcPr>
            <w:tcW w:w="1350" w:type="dxa"/>
          </w:tcPr>
          <w:p w14:paraId="6B2D9D0D" w14:textId="77777777" w:rsidR="00E27125" w:rsidRDefault="00E27125" w:rsidP="00457B16">
            <w:pPr>
              <w:pStyle w:val="TableParagraph"/>
              <w:spacing w:before="7"/>
              <w:rPr>
                <w:rFonts w:ascii="Cambria"/>
                <w:b/>
                <w:sz w:val="16"/>
              </w:rPr>
            </w:pPr>
          </w:p>
          <w:p w14:paraId="4FEEDFD4" w14:textId="77777777" w:rsidR="00E27125" w:rsidRDefault="00E27125" w:rsidP="00457B16">
            <w:pPr>
              <w:pStyle w:val="TableParagraph"/>
              <w:spacing w:before="1" w:line="175" w:lineRule="exact"/>
              <w:ind w:left="18"/>
              <w:jc w:val="center"/>
              <w:rPr>
                <w:sz w:val="16"/>
              </w:rPr>
            </w:pPr>
            <w:r>
              <w:rPr>
                <w:spacing w:val="-5"/>
                <w:sz w:val="16"/>
              </w:rPr>
              <w:t>N/A</w:t>
            </w:r>
          </w:p>
        </w:tc>
        <w:tc>
          <w:tcPr>
            <w:tcW w:w="1260" w:type="dxa"/>
          </w:tcPr>
          <w:p w14:paraId="1A0D9545" w14:textId="77777777" w:rsidR="00E27125" w:rsidRDefault="00E27125" w:rsidP="00457B16">
            <w:pPr>
              <w:pStyle w:val="TableParagraph"/>
              <w:spacing w:before="7"/>
              <w:rPr>
                <w:rFonts w:ascii="Cambria"/>
                <w:b/>
                <w:sz w:val="16"/>
              </w:rPr>
            </w:pPr>
          </w:p>
          <w:p w14:paraId="162435F6" w14:textId="77777777" w:rsidR="00E27125" w:rsidRDefault="00E27125" w:rsidP="00457B16">
            <w:pPr>
              <w:pStyle w:val="TableParagraph"/>
              <w:spacing w:before="1" w:line="175" w:lineRule="exact"/>
              <w:ind w:left="23" w:right="3"/>
              <w:jc w:val="center"/>
              <w:rPr>
                <w:sz w:val="16"/>
              </w:rPr>
            </w:pPr>
            <w:r>
              <w:rPr>
                <w:spacing w:val="-5"/>
                <w:sz w:val="16"/>
              </w:rPr>
              <w:t>3%</w:t>
            </w:r>
          </w:p>
        </w:tc>
      </w:tr>
      <w:tr w:rsidR="00E27125" w14:paraId="11CCD9A7" w14:textId="77777777" w:rsidTr="00A85FC1">
        <w:trPr>
          <w:trHeight w:val="409"/>
        </w:trPr>
        <w:tc>
          <w:tcPr>
            <w:tcW w:w="1685" w:type="dxa"/>
          </w:tcPr>
          <w:p w14:paraId="0050DAD1" w14:textId="77777777" w:rsidR="00E27125" w:rsidRDefault="00E27125" w:rsidP="00457B16">
            <w:pPr>
              <w:pStyle w:val="TableParagraph"/>
              <w:spacing w:before="10" w:line="191" w:lineRule="exact"/>
              <w:ind w:left="107"/>
              <w:rPr>
                <w:sz w:val="16"/>
              </w:rPr>
            </w:pPr>
            <w:r>
              <w:rPr>
                <w:sz w:val="16"/>
              </w:rPr>
              <w:t>Sprague</w:t>
            </w:r>
            <w:r>
              <w:rPr>
                <w:spacing w:val="-4"/>
                <w:sz w:val="16"/>
              </w:rPr>
              <w:t xml:space="preserve"> </w:t>
            </w:r>
            <w:r>
              <w:rPr>
                <w:spacing w:val="-2"/>
                <w:sz w:val="16"/>
              </w:rPr>
              <w:t>Operating</w:t>
            </w:r>
          </w:p>
          <w:p w14:paraId="38E73980" w14:textId="77777777" w:rsidR="00E27125" w:rsidRDefault="00E27125" w:rsidP="00457B16">
            <w:pPr>
              <w:pStyle w:val="TableParagraph"/>
              <w:spacing w:line="159" w:lineRule="exact"/>
              <w:ind w:left="107"/>
              <w:rPr>
                <w:sz w:val="16"/>
              </w:rPr>
            </w:pPr>
            <w:r>
              <w:rPr>
                <w:spacing w:val="-2"/>
                <w:sz w:val="16"/>
              </w:rPr>
              <w:t>Resources</w:t>
            </w:r>
          </w:p>
        </w:tc>
        <w:tc>
          <w:tcPr>
            <w:tcW w:w="1980" w:type="dxa"/>
          </w:tcPr>
          <w:p w14:paraId="1995B879" w14:textId="77777777" w:rsidR="00E27125" w:rsidRDefault="00E27125" w:rsidP="00457B16">
            <w:pPr>
              <w:pStyle w:val="TableParagraph"/>
              <w:spacing w:before="10" w:line="191" w:lineRule="exact"/>
              <w:ind w:left="12" w:right="4"/>
              <w:jc w:val="center"/>
              <w:rPr>
                <w:sz w:val="16"/>
              </w:rPr>
            </w:pPr>
            <w:hyperlink r:id="rId79">
              <w:r>
                <w:rPr>
                  <w:color w:val="0000FF"/>
                  <w:spacing w:val="-2"/>
                  <w:sz w:val="16"/>
                  <w:u w:val="single" w:color="0000FF"/>
                </w:rPr>
                <w:t>PO-21-1080-OSD03-</w:t>
              </w:r>
            </w:hyperlink>
          </w:p>
          <w:p w14:paraId="1FD2BB12" w14:textId="77777777" w:rsidR="00E27125" w:rsidRDefault="00E27125" w:rsidP="00457B16">
            <w:pPr>
              <w:pStyle w:val="TableParagraph"/>
              <w:spacing w:line="159" w:lineRule="exact"/>
              <w:ind w:left="12"/>
              <w:jc w:val="center"/>
              <w:rPr>
                <w:sz w:val="16"/>
              </w:rPr>
            </w:pPr>
            <w:hyperlink r:id="rId80">
              <w:r>
                <w:rPr>
                  <w:color w:val="0000FF"/>
                  <w:spacing w:val="-2"/>
                  <w:sz w:val="16"/>
                  <w:u w:val="single" w:color="0000FF"/>
                </w:rPr>
                <w:t>SRC02-23099</w:t>
              </w:r>
            </w:hyperlink>
          </w:p>
        </w:tc>
        <w:tc>
          <w:tcPr>
            <w:tcW w:w="1530" w:type="dxa"/>
          </w:tcPr>
          <w:p w14:paraId="725F7575" w14:textId="77777777" w:rsidR="00E27125" w:rsidRDefault="00E27125" w:rsidP="00457B16">
            <w:pPr>
              <w:pStyle w:val="TableParagraph"/>
              <w:spacing w:before="35" w:line="166" w:lineRule="exact"/>
              <w:ind w:left="108"/>
              <w:rPr>
                <w:rFonts w:ascii="Times New Roman"/>
                <w:sz w:val="16"/>
              </w:rPr>
            </w:pPr>
            <w:r>
              <w:rPr>
                <w:rFonts w:ascii="Times New Roman"/>
                <w:spacing w:val="-2"/>
                <w:sz w:val="16"/>
              </w:rPr>
              <w:t>Jeanette</w:t>
            </w:r>
          </w:p>
          <w:p w14:paraId="5329F420" w14:textId="77777777" w:rsidR="00E27125" w:rsidRDefault="00E27125" w:rsidP="00457B16">
            <w:pPr>
              <w:pStyle w:val="TableParagraph"/>
              <w:spacing w:line="159" w:lineRule="exact"/>
              <w:ind w:left="108"/>
              <w:rPr>
                <w:rFonts w:ascii="Times New Roman"/>
                <w:sz w:val="16"/>
              </w:rPr>
            </w:pPr>
            <w:r>
              <w:rPr>
                <w:rFonts w:ascii="Times New Roman"/>
                <w:spacing w:val="-2"/>
                <w:sz w:val="16"/>
              </w:rPr>
              <w:t>Finley</w:t>
            </w:r>
          </w:p>
        </w:tc>
        <w:tc>
          <w:tcPr>
            <w:tcW w:w="1170" w:type="dxa"/>
            <w:vAlign w:val="bottom"/>
          </w:tcPr>
          <w:p w14:paraId="0B875BC0" w14:textId="77777777" w:rsidR="00E27125" w:rsidRDefault="00E27125" w:rsidP="00457B16">
            <w:pPr>
              <w:pStyle w:val="TableParagraph"/>
              <w:spacing w:line="159" w:lineRule="exact"/>
              <w:ind w:left="108"/>
              <w:rPr>
                <w:rFonts w:ascii="Times New Roman"/>
                <w:sz w:val="14"/>
              </w:rPr>
            </w:pPr>
            <w:r>
              <w:rPr>
                <w:rFonts w:ascii="Times New Roman"/>
                <w:spacing w:val="-2"/>
                <w:sz w:val="16"/>
              </w:rPr>
              <w:t>877-689-</w:t>
            </w:r>
            <w:r>
              <w:rPr>
                <w:rFonts w:ascii="Times New Roman"/>
                <w:spacing w:val="-4"/>
                <w:sz w:val="16"/>
              </w:rPr>
              <w:t>1880</w:t>
            </w:r>
          </w:p>
        </w:tc>
        <w:tc>
          <w:tcPr>
            <w:tcW w:w="2070" w:type="dxa"/>
          </w:tcPr>
          <w:p w14:paraId="62D78C58" w14:textId="77777777" w:rsidR="00E27125" w:rsidRDefault="00E27125" w:rsidP="00457B16">
            <w:pPr>
              <w:pStyle w:val="TableParagraph"/>
              <w:spacing w:before="10" w:line="191" w:lineRule="exact"/>
              <w:ind w:left="106"/>
              <w:rPr>
                <w:sz w:val="16"/>
              </w:rPr>
            </w:pPr>
            <w:hyperlink r:id="rId81">
              <w:r>
                <w:rPr>
                  <w:color w:val="0000FF"/>
                  <w:spacing w:val="-2"/>
                  <w:sz w:val="16"/>
                  <w:u w:val="single" w:color="0000FF"/>
                </w:rPr>
                <w:t>contractmgmt@spragueenergy.com</w:t>
              </w:r>
            </w:hyperlink>
          </w:p>
        </w:tc>
        <w:tc>
          <w:tcPr>
            <w:tcW w:w="990" w:type="dxa"/>
            <w:vAlign w:val="bottom"/>
          </w:tcPr>
          <w:p w14:paraId="023003A2" w14:textId="77777777" w:rsidR="00E27125" w:rsidRDefault="00E27125" w:rsidP="00457B16">
            <w:pPr>
              <w:pStyle w:val="TableParagraph"/>
              <w:spacing w:line="159" w:lineRule="exact"/>
              <w:ind w:left="110"/>
              <w:rPr>
                <w:rFonts w:ascii="Times New Roman"/>
                <w:sz w:val="14"/>
              </w:rPr>
            </w:pPr>
            <w:r>
              <w:rPr>
                <w:spacing w:val="-10"/>
                <w:sz w:val="16"/>
              </w:rPr>
              <w:t>X</w:t>
            </w:r>
          </w:p>
        </w:tc>
        <w:tc>
          <w:tcPr>
            <w:tcW w:w="720" w:type="dxa"/>
            <w:vAlign w:val="bottom"/>
          </w:tcPr>
          <w:p w14:paraId="07081467" w14:textId="77777777" w:rsidR="00E27125" w:rsidRDefault="00E27125" w:rsidP="00457B16">
            <w:pPr>
              <w:pStyle w:val="TableParagraph"/>
              <w:spacing w:line="159" w:lineRule="exact"/>
              <w:ind w:left="110"/>
              <w:rPr>
                <w:rFonts w:ascii="Times New Roman"/>
                <w:sz w:val="14"/>
              </w:rPr>
            </w:pPr>
            <w:r>
              <w:rPr>
                <w:rFonts w:ascii="Times New Roman"/>
                <w:spacing w:val="-10"/>
                <w:sz w:val="16"/>
              </w:rPr>
              <w:t>8</w:t>
            </w:r>
          </w:p>
        </w:tc>
        <w:tc>
          <w:tcPr>
            <w:tcW w:w="1530" w:type="dxa"/>
            <w:vAlign w:val="bottom"/>
          </w:tcPr>
          <w:p w14:paraId="5C036FE3" w14:textId="77777777" w:rsidR="00E27125" w:rsidRDefault="00E27125" w:rsidP="00457B16">
            <w:pPr>
              <w:pStyle w:val="TableParagraph"/>
              <w:spacing w:line="159" w:lineRule="exact"/>
              <w:ind w:right="251"/>
              <w:jc w:val="center"/>
              <w:rPr>
                <w:rFonts w:ascii="Times New Roman"/>
                <w:sz w:val="14"/>
              </w:rPr>
            </w:pPr>
            <w:r>
              <w:rPr>
                <w:sz w:val="16"/>
              </w:rPr>
              <w:t>1%</w:t>
            </w:r>
            <w:r>
              <w:rPr>
                <w:spacing w:val="-2"/>
                <w:sz w:val="16"/>
              </w:rPr>
              <w:t xml:space="preserve"> </w:t>
            </w:r>
            <w:r>
              <w:rPr>
                <w:sz w:val="16"/>
              </w:rPr>
              <w:t>-</w:t>
            </w:r>
            <w:r>
              <w:rPr>
                <w:spacing w:val="1"/>
                <w:sz w:val="16"/>
              </w:rPr>
              <w:t xml:space="preserve"> </w:t>
            </w:r>
            <w:r>
              <w:rPr>
                <w:sz w:val="16"/>
              </w:rPr>
              <w:t>10</w:t>
            </w:r>
            <w:r>
              <w:rPr>
                <w:spacing w:val="-1"/>
                <w:sz w:val="16"/>
              </w:rPr>
              <w:t xml:space="preserve"> </w:t>
            </w:r>
            <w:r>
              <w:rPr>
                <w:spacing w:val="-4"/>
                <w:sz w:val="16"/>
              </w:rPr>
              <w:t>days</w:t>
            </w:r>
          </w:p>
        </w:tc>
        <w:tc>
          <w:tcPr>
            <w:tcW w:w="1350" w:type="dxa"/>
            <w:vAlign w:val="bottom"/>
          </w:tcPr>
          <w:p w14:paraId="0AE83857" w14:textId="77777777" w:rsidR="00E27125" w:rsidRDefault="00E27125" w:rsidP="00457B16">
            <w:pPr>
              <w:pStyle w:val="TableParagraph"/>
              <w:spacing w:line="159" w:lineRule="exact"/>
              <w:ind w:left="18"/>
              <w:rPr>
                <w:rFonts w:ascii="Times New Roman"/>
                <w:sz w:val="14"/>
              </w:rPr>
            </w:pPr>
            <w:r>
              <w:rPr>
                <w:spacing w:val="-5"/>
                <w:sz w:val="16"/>
              </w:rPr>
              <w:t>N/A</w:t>
            </w:r>
          </w:p>
        </w:tc>
        <w:tc>
          <w:tcPr>
            <w:tcW w:w="1260" w:type="dxa"/>
            <w:vAlign w:val="bottom"/>
          </w:tcPr>
          <w:p w14:paraId="09C626D8" w14:textId="77777777" w:rsidR="00E27125" w:rsidRDefault="00E27125" w:rsidP="00457B16">
            <w:pPr>
              <w:pStyle w:val="TableParagraph"/>
              <w:spacing w:line="159" w:lineRule="exact"/>
              <w:ind w:left="23" w:right="3"/>
              <w:rPr>
                <w:rFonts w:ascii="Times New Roman"/>
                <w:sz w:val="14"/>
              </w:rPr>
            </w:pPr>
            <w:r>
              <w:rPr>
                <w:spacing w:val="-5"/>
                <w:sz w:val="16"/>
              </w:rPr>
              <w:t>10%</w:t>
            </w:r>
          </w:p>
        </w:tc>
      </w:tr>
      <w:tr w:rsidR="00E27125" w14:paraId="3843FE0C" w14:textId="77777777" w:rsidTr="00AF24CC">
        <w:trPr>
          <w:trHeight w:val="390"/>
        </w:trPr>
        <w:tc>
          <w:tcPr>
            <w:tcW w:w="1685" w:type="dxa"/>
            <w:shd w:val="clear" w:color="auto" w:fill="C8D9EB"/>
            <w:vAlign w:val="center"/>
          </w:tcPr>
          <w:p w14:paraId="7AC6A372" w14:textId="38DB8FF2" w:rsidR="00E27125" w:rsidRDefault="00985CD7" w:rsidP="00AF24CC">
            <w:pPr>
              <w:pStyle w:val="TableParagraph"/>
              <w:rPr>
                <w:rFonts w:ascii="Times New Roman"/>
                <w:sz w:val="16"/>
              </w:rPr>
            </w:pPr>
            <w:r w:rsidRPr="00DB3F5A">
              <w:rPr>
                <w:rFonts w:asciiTheme="minorHAnsi" w:hAnsiTheme="minorHAnsi" w:cstheme="minorHAnsi"/>
                <w:sz w:val="16"/>
              </w:rPr>
              <w:t>N/A</w:t>
            </w:r>
          </w:p>
        </w:tc>
        <w:tc>
          <w:tcPr>
            <w:tcW w:w="1980" w:type="dxa"/>
            <w:shd w:val="clear" w:color="auto" w:fill="C8D9EB"/>
            <w:vAlign w:val="center"/>
          </w:tcPr>
          <w:p w14:paraId="31794D11" w14:textId="5A2E0CA1" w:rsidR="00E27125" w:rsidRDefault="00985CD7" w:rsidP="00AF24CC">
            <w:pPr>
              <w:pStyle w:val="TableParagraph"/>
              <w:rPr>
                <w:rFonts w:ascii="Times New Roman"/>
                <w:sz w:val="16"/>
              </w:rPr>
            </w:pPr>
            <w:r w:rsidRPr="00DB3F5A">
              <w:rPr>
                <w:rFonts w:asciiTheme="minorHAnsi" w:hAnsiTheme="minorHAnsi" w:cstheme="minorHAnsi"/>
                <w:sz w:val="16"/>
              </w:rPr>
              <w:t>N/A</w:t>
            </w:r>
          </w:p>
        </w:tc>
        <w:tc>
          <w:tcPr>
            <w:tcW w:w="1530" w:type="dxa"/>
            <w:shd w:val="clear" w:color="auto" w:fill="C8D9EB"/>
            <w:vAlign w:val="center"/>
          </w:tcPr>
          <w:p w14:paraId="158E5A5F" w14:textId="33A774E6" w:rsidR="00E27125" w:rsidRDefault="00985CD7" w:rsidP="00AF24CC">
            <w:pPr>
              <w:pStyle w:val="TableParagraph"/>
              <w:rPr>
                <w:rFonts w:ascii="Times New Roman"/>
                <w:sz w:val="16"/>
              </w:rPr>
            </w:pPr>
            <w:r w:rsidRPr="00DB3F5A">
              <w:rPr>
                <w:rFonts w:asciiTheme="minorHAnsi" w:hAnsiTheme="minorHAnsi" w:cstheme="minorHAnsi"/>
                <w:sz w:val="16"/>
              </w:rPr>
              <w:t>N/A</w:t>
            </w:r>
          </w:p>
        </w:tc>
        <w:tc>
          <w:tcPr>
            <w:tcW w:w="1170" w:type="dxa"/>
            <w:shd w:val="clear" w:color="auto" w:fill="C8D9EB"/>
            <w:vAlign w:val="center"/>
          </w:tcPr>
          <w:p w14:paraId="112DB625" w14:textId="3A3C716C" w:rsidR="00E27125" w:rsidRDefault="00985CD7" w:rsidP="00AF24CC">
            <w:pPr>
              <w:pStyle w:val="TableParagraph"/>
              <w:rPr>
                <w:rFonts w:ascii="Times New Roman"/>
                <w:sz w:val="16"/>
              </w:rPr>
            </w:pPr>
            <w:r w:rsidRPr="00DB3F5A">
              <w:rPr>
                <w:rFonts w:asciiTheme="minorHAnsi" w:hAnsiTheme="minorHAnsi" w:cstheme="minorHAnsi"/>
                <w:sz w:val="16"/>
              </w:rPr>
              <w:t>N/A</w:t>
            </w:r>
          </w:p>
        </w:tc>
        <w:tc>
          <w:tcPr>
            <w:tcW w:w="2070" w:type="dxa"/>
            <w:shd w:val="clear" w:color="auto" w:fill="C8D9EB"/>
            <w:vAlign w:val="center"/>
          </w:tcPr>
          <w:p w14:paraId="21B175CC" w14:textId="3BD81C38" w:rsidR="00E27125" w:rsidRDefault="00985CD7" w:rsidP="00AF24CC">
            <w:pPr>
              <w:pStyle w:val="TableParagraph"/>
              <w:rPr>
                <w:rFonts w:ascii="Times New Roman"/>
                <w:sz w:val="16"/>
              </w:rPr>
            </w:pPr>
            <w:r w:rsidRPr="00DB3F5A">
              <w:rPr>
                <w:rFonts w:asciiTheme="minorHAnsi" w:hAnsiTheme="minorHAnsi" w:cstheme="minorHAnsi"/>
                <w:sz w:val="16"/>
              </w:rPr>
              <w:t>N/A</w:t>
            </w:r>
          </w:p>
        </w:tc>
        <w:tc>
          <w:tcPr>
            <w:tcW w:w="990" w:type="dxa"/>
            <w:shd w:val="clear" w:color="auto" w:fill="F1F1F1"/>
          </w:tcPr>
          <w:p w14:paraId="3000CA1C" w14:textId="77777777" w:rsidR="00E27125" w:rsidRDefault="00E27125" w:rsidP="00457B16">
            <w:pPr>
              <w:pStyle w:val="TableParagraph"/>
              <w:spacing w:before="1" w:line="195" w:lineRule="exact"/>
              <w:ind w:left="14"/>
              <w:jc w:val="center"/>
              <w:rPr>
                <w:b/>
                <w:sz w:val="16"/>
              </w:rPr>
            </w:pPr>
            <w:r>
              <w:rPr>
                <w:b/>
                <w:spacing w:val="-2"/>
                <w:sz w:val="16"/>
              </w:rPr>
              <w:t>Category</w:t>
            </w:r>
          </w:p>
          <w:p w14:paraId="29565416" w14:textId="77777777" w:rsidR="00E27125" w:rsidRDefault="00E27125" w:rsidP="00457B16">
            <w:pPr>
              <w:pStyle w:val="TableParagraph"/>
              <w:spacing w:line="175" w:lineRule="exact"/>
              <w:ind w:left="14" w:right="2"/>
              <w:jc w:val="center"/>
              <w:rPr>
                <w:b/>
                <w:sz w:val="16"/>
              </w:rPr>
            </w:pPr>
            <w:r>
              <w:rPr>
                <w:b/>
                <w:spacing w:val="-10"/>
                <w:sz w:val="16"/>
              </w:rPr>
              <w:t>2</w:t>
            </w:r>
          </w:p>
        </w:tc>
        <w:tc>
          <w:tcPr>
            <w:tcW w:w="720" w:type="dxa"/>
            <w:shd w:val="clear" w:color="auto" w:fill="C8D9EB"/>
            <w:vAlign w:val="center"/>
          </w:tcPr>
          <w:p w14:paraId="6FE4A781" w14:textId="6CBF5DF8" w:rsidR="00E27125" w:rsidRDefault="00985CD7" w:rsidP="00AF24CC">
            <w:pPr>
              <w:pStyle w:val="TableParagraph"/>
              <w:rPr>
                <w:rFonts w:ascii="Times New Roman"/>
                <w:sz w:val="16"/>
              </w:rPr>
            </w:pPr>
            <w:r w:rsidRPr="00DB3F5A">
              <w:rPr>
                <w:rFonts w:asciiTheme="minorHAnsi" w:hAnsiTheme="minorHAnsi" w:cstheme="minorHAnsi"/>
                <w:sz w:val="16"/>
              </w:rPr>
              <w:t>N/A</w:t>
            </w:r>
          </w:p>
        </w:tc>
        <w:tc>
          <w:tcPr>
            <w:tcW w:w="1530" w:type="dxa"/>
            <w:shd w:val="clear" w:color="auto" w:fill="C8D9EB"/>
            <w:vAlign w:val="center"/>
          </w:tcPr>
          <w:p w14:paraId="31FB0610" w14:textId="0484D3D5" w:rsidR="00E27125" w:rsidRDefault="00985CD7" w:rsidP="00AF24CC">
            <w:pPr>
              <w:pStyle w:val="TableParagraph"/>
              <w:rPr>
                <w:rFonts w:ascii="Times New Roman"/>
                <w:sz w:val="16"/>
              </w:rPr>
            </w:pPr>
            <w:r w:rsidRPr="00DB3F5A">
              <w:rPr>
                <w:rFonts w:asciiTheme="minorHAnsi" w:hAnsiTheme="minorHAnsi" w:cstheme="minorHAnsi"/>
                <w:sz w:val="16"/>
              </w:rPr>
              <w:t>N/A</w:t>
            </w:r>
          </w:p>
        </w:tc>
        <w:tc>
          <w:tcPr>
            <w:tcW w:w="1350" w:type="dxa"/>
            <w:shd w:val="clear" w:color="auto" w:fill="C8D9EB"/>
            <w:vAlign w:val="center"/>
          </w:tcPr>
          <w:p w14:paraId="06245395" w14:textId="76BF32AC" w:rsidR="00E27125" w:rsidRDefault="00985CD7" w:rsidP="00AF24CC">
            <w:pPr>
              <w:pStyle w:val="TableParagraph"/>
              <w:rPr>
                <w:rFonts w:ascii="Times New Roman"/>
                <w:sz w:val="16"/>
              </w:rPr>
            </w:pPr>
            <w:r w:rsidRPr="00DB3F5A">
              <w:rPr>
                <w:rFonts w:asciiTheme="minorHAnsi" w:hAnsiTheme="minorHAnsi" w:cstheme="minorHAnsi"/>
                <w:sz w:val="16"/>
              </w:rPr>
              <w:t>N/A</w:t>
            </w:r>
          </w:p>
        </w:tc>
        <w:tc>
          <w:tcPr>
            <w:tcW w:w="1260" w:type="dxa"/>
            <w:shd w:val="clear" w:color="auto" w:fill="C8D9EB"/>
            <w:vAlign w:val="center"/>
          </w:tcPr>
          <w:p w14:paraId="3AA71E59" w14:textId="2007D557" w:rsidR="00E27125" w:rsidRDefault="00985CD7" w:rsidP="00AF24CC">
            <w:pPr>
              <w:pStyle w:val="TableParagraph"/>
              <w:rPr>
                <w:rFonts w:ascii="Times New Roman"/>
                <w:sz w:val="16"/>
              </w:rPr>
            </w:pPr>
            <w:r w:rsidRPr="00DB3F5A">
              <w:rPr>
                <w:rFonts w:asciiTheme="minorHAnsi" w:hAnsiTheme="minorHAnsi" w:cstheme="minorHAnsi"/>
                <w:sz w:val="16"/>
              </w:rPr>
              <w:t>N/A</w:t>
            </w:r>
          </w:p>
        </w:tc>
      </w:tr>
      <w:tr w:rsidR="00E27125" w14:paraId="029802DD" w14:textId="77777777" w:rsidTr="00A85FC1">
        <w:trPr>
          <w:trHeight w:val="390"/>
        </w:trPr>
        <w:tc>
          <w:tcPr>
            <w:tcW w:w="1685" w:type="dxa"/>
          </w:tcPr>
          <w:p w14:paraId="2375D14D" w14:textId="77777777" w:rsidR="00E27125" w:rsidRDefault="00E27125" w:rsidP="00457B16">
            <w:pPr>
              <w:pStyle w:val="TableParagraph"/>
              <w:spacing w:before="7"/>
              <w:rPr>
                <w:rFonts w:ascii="Cambria"/>
                <w:b/>
                <w:sz w:val="16"/>
              </w:rPr>
            </w:pPr>
          </w:p>
          <w:p w14:paraId="79EB40A0" w14:textId="77777777" w:rsidR="00E27125" w:rsidRDefault="00E27125" w:rsidP="00457B16">
            <w:pPr>
              <w:pStyle w:val="TableParagraph"/>
              <w:spacing w:before="1" w:line="175" w:lineRule="exact"/>
              <w:ind w:left="107"/>
              <w:rPr>
                <w:sz w:val="16"/>
              </w:rPr>
            </w:pPr>
            <w:r>
              <w:rPr>
                <w:sz w:val="16"/>
              </w:rPr>
              <w:t>Broco</w:t>
            </w:r>
            <w:r>
              <w:rPr>
                <w:spacing w:val="-7"/>
                <w:sz w:val="16"/>
              </w:rPr>
              <w:t xml:space="preserve"> </w:t>
            </w:r>
            <w:r>
              <w:rPr>
                <w:spacing w:val="-5"/>
                <w:sz w:val="16"/>
              </w:rPr>
              <w:t>Oil</w:t>
            </w:r>
          </w:p>
        </w:tc>
        <w:tc>
          <w:tcPr>
            <w:tcW w:w="1980" w:type="dxa"/>
          </w:tcPr>
          <w:p w14:paraId="511B292B" w14:textId="77777777" w:rsidR="00E27125" w:rsidRDefault="00E27125" w:rsidP="00457B16">
            <w:pPr>
              <w:pStyle w:val="TableParagraph"/>
              <w:spacing w:before="1" w:line="195" w:lineRule="exact"/>
              <w:ind w:left="12" w:right="4"/>
              <w:jc w:val="center"/>
              <w:rPr>
                <w:sz w:val="16"/>
              </w:rPr>
            </w:pPr>
            <w:hyperlink r:id="rId82">
              <w:r>
                <w:rPr>
                  <w:color w:val="0000FF"/>
                  <w:spacing w:val="-2"/>
                  <w:sz w:val="16"/>
                  <w:u w:val="single" w:color="0000FF"/>
                </w:rPr>
                <w:t>PO-21-1080-OSD03-</w:t>
              </w:r>
            </w:hyperlink>
          </w:p>
          <w:p w14:paraId="1A0737F5" w14:textId="77777777" w:rsidR="00E27125" w:rsidRDefault="00E27125" w:rsidP="00457B16">
            <w:pPr>
              <w:pStyle w:val="TableParagraph"/>
              <w:spacing w:line="175" w:lineRule="exact"/>
              <w:ind w:left="12"/>
              <w:jc w:val="center"/>
              <w:rPr>
                <w:sz w:val="16"/>
              </w:rPr>
            </w:pPr>
            <w:hyperlink r:id="rId83">
              <w:r>
                <w:rPr>
                  <w:color w:val="0000FF"/>
                  <w:spacing w:val="-2"/>
                  <w:sz w:val="16"/>
                  <w:u w:val="single" w:color="0000FF"/>
                </w:rPr>
                <w:t>SRC02-23098</w:t>
              </w:r>
            </w:hyperlink>
          </w:p>
        </w:tc>
        <w:tc>
          <w:tcPr>
            <w:tcW w:w="1530" w:type="dxa"/>
          </w:tcPr>
          <w:p w14:paraId="21FA639C" w14:textId="77777777" w:rsidR="00E27125" w:rsidRDefault="00E27125" w:rsidP="00457B16">
            <w:pPr>
              <w:pStyle w:val="TableParagraph"/>
              <w:spacing w:before="1" w:line="195" w:lineRule="exact"/>
              <w:ind w:left="108"/>
              <w:rPr>
                <w:sz w:val="16"/>
              </w:rPr>
            </w:pPr>
            <w:r>
              <w:rPr>
                <w:spacing w:val="-2"/>
                <w:sz w:val="16"/>
              </w:rPr>
              <w:t>Kristopher</w:t>
            </w:r>
          </w:p>
          <w:p w14:paraId="1DCC1497" w14:textId="77777777" w:rsidR="00E27125" w:rsidRDefault="00E27125" w:rsidP="00457B16">
            <w:pPr>
              <w:pStyle w:val="TableParagraph"/>
              <w:spacing w:line="175" w:lineRule="exact"/>
              <w:ind w:left="108"/>
              <w:rPr>
                <w:sz w:val="16"/>
              </w:rPr>
            </w:pPr>
            <w:r>
              <w:rPr>
                <w:spacing w:val="-2"/>
                <w:sz w:val="16"/>
              </w:rPr>
              <w:t>Ellis</w:t>
            </w:r>
          </w:p>
        </w:tc>
        <w:tc>
          <w:tcPr>
            <w:tcW w:w="1170" w:type="dxa"/>
          </w:tcPr>
          <w:p w14:paraId="393EB22F" w14:textId="77777777" w:rsidR="00E27125" w:rsidRDefault="00E27125" w:rsidP="00457B16">
            <w:pPr>
              <w:pStyle w:val="TableParagraph"/>
              <w:spacing w:before="7"/>
              <w:rPr>
                <w:rFonts w:ascii="Cambria"/>
                <w:b/>
                <w:sz w:val="16"/>
              </w:rPr>
            </w:pPr>
          </w:p>
          <w:p w14:paraId="354679EF" w14:textId="77777777" w:rsidR="00E27125" w:rsidRDefault="00E27125" w:rsidP="00457B16">
            <w:pPr>
              <w:pStyle w:val="TableParagraph"/>
              <w:spacing w:before="1" w:line="175" w:lineRule="exact"/>
              <w:ind w:left="108"/>
              <w:rPr>
                <w:sz w:val="16"/>
              </w:rPr>
            </w:pPr>
            <w:r>
              <w:rPr>
                <w:spacing w:val="-2"/>
                <w:sz w:val="16"/>
              </w:rPr>
              <w:t>978-228-</w:t>
            </w:r>
            <w:r>
              <w:rPr>
                <w:spacing w:val="-4"/>
                <w:sz w:val="16"/>
              </w:rPr>
              <w:t>0613</w:t>
            </w:r>
          </w:p>
        </w:tc>
        <w:tc>
          <w:tcPr>
            <w:tcW w:w="2070" w:type="dxa"/>
          </w:tcPr>
          <w:p w14:paraId="6BC09CE3" w14:textId="77777777" w:rsidR="00E27125" w:rsidRDefault="00E27125" w:rsidP="00457B16">
            <w:pPr>
              <w:pStyle w:val="TableParagraph"/>
              <w:spacing w:before="7"/>
              <w:rPr>
                <w:rFonts w:ascii="Cambria"/>
                <w:b/>
                <w:sz w:val="16"/>
              </w:rPr>
            </w:pPr>
          </w:p>
          <w:p w14:paraId="574FB337" w14:textId="77777777" w:rsidR="00E27125" w:rsidRDefault="00E27125" w:rsidP="00457B16">
            <w:pPr>
              <w:pStyle w:val="TableParagraph"/>
              <w:spacing w:before="1" w:line="175" w:lineRule="exact"/>
              <w:ind w:left="106"/>
              <w:rPr>
                <w:sz w:val="16"/>
              </w:rPr>
            </w:pPr>
            <w:hyperlink r:id="rId84">
              <w:r>
                <w:rPr>
                  <w:color w:val="0000FF"/>
                  <w:spacing w:val="-2"/>
                  <w:sz w:val="16"/>
                  <w:u w:val="single" w:color="0000FF"/>
                </w:rPr>
                <w:t>kellis@brocooil.com</w:t>
              </w:r>
            </w:hyperlink>
          </w:p>
        </w:tc>
        <w:tc>
          <w:tcPr>
            <w:tcW w:w="990" w:type="dxa"/>
          </w:tcPr>
          <w:p w14:paraId="279B1D79" w14:textId="77777777" w:rsidR="00E27125" w:rsidRDefault="00E27125" w:rsidP="00457B16">
            <w:pPr>
              <w:pStyle w:val="TableParagraph"/>
              <w:spacing w:before="7"/>
              <w:rPr>
                <w:rFonts w:ascii="Cambria"/>
                <w:b/>
                <w:sz w:val="16"/>
              </w:rPr>
            </w:pPr>
          </w:p>
          <w:p w14:paraId="04C6724B" w14:textId="77777777" w:rsidR="00E27125" w:rsidRDefault="00E27125" w:rsidP="00457B16">
            <w:pPr>
              <w:pStyle w:val="TableParagraph"/>
              <w:spacing w:before="1" w:line="175" w:lineRule="exact"/>
              <w:ind w:left="110"/>
              <w:rPr>
                <w:sz w:val="16"/>
              </w:rPr>
            </w:pPr>
            <w:r>
              <w:rPr>
                <w:spacing w:val="-10"/>
                <w:sz w:val="16"/>
              </w:rPr>
              <w:t>X</w:t>
            </w:r>
          </w:p>
        </w:tc>
        <w:tc>
          <w:tcPr>
            <w:tcW w:w="720" w:type="dxa"/>
          </w:tcPr>
          <w:p w14:paraId="4C1B57B9" w14:textId="77777777" w:rsidR="00E27125" w:rsidRDefault="00E27125" w:rsidP="00457B16">
            <w:pPr>
              <w:pStyle w:val="TableParagraph"/>
              <w:spacing w:before="7"/>
              <w:rPr>
                <w:rFonts w:ascii="Cambria"/>
                <w:b/>
                <w:sz w:val="16"/>
              </w:rPr>
            </w:pPr>
          </w:p>
          <w:p w14:paraId="5001420D" w14:textId="77777777" w:rsidR="00E27125" w:rsidRDefault="00E27125" w:rsidP="00457B16">
            <w:pPr>
              <w:pStyle w:val="TableParagraph"/>
              <w:spacing w:before="1" w:line="175" w:lineRule="exact"/>
              <w:ind w:left="110"/>
              <w:rPr>
                <w:sz w:val="16"/>
              </w:rPr>
            </w:pPr>
            <w:r>
              <w:rPr>
                <w:spacing w:val="-5"/>
                <w:sz w:val="16"/>
              </w:rPr>
              <w:t>1, 2</w:t>
            </w:r>
          </w:p>
        </w:tc>
        <w:tc>
          <w:tcPr>
            <w:tcW w:w="1530" w:type="dxa"/>
          </w:tcPr>
          <w:p w14:paraId="5B4FD180" w14:textId="77777777" w:rsidR="00E27125" w:rsidRDefault="00E27125" w:rsidP="00457B16">
            <w:pPr>
              <w:pStyle w:val="TableParagraph"/>
              <w:spacing w:before="7"/>
              <w:rPr>
                <w:rFonts w:ascii="Cambria"/>
                <w:b/>
                <w:sz w:val="16"/>
              </w:rPr>
            </w:pPr>
          </w:p>
          <w:p w14:paraId="2025011B" w14:textId="77777777" w:rsidR="00E27125" w:rsidRDefault="00E27125" w:rsidP="00457B16">
            <w:pPr>
              <w:pStyle w:val="TableParagraph"/>
              <w:spacing w:before="1" w:line="175" w:lineRule="exact"/>
              <w:ind w:right="150"/>
              <w:jc w:val="right"/>
              <w:rPr>
                <w:sz w:val="16"/>
              </w:rPr>
            </w:pPr>
            <w:r>
              <w:rPr>
                <w:sz w:val="16"/>
              </w:rPr>
              <w:t>0.01%</w:t>
            </w:r>
            <w:r>
              <w:rPr>
                <w:spacing w:val="-5"/>
                <w:sz w:val="16"/>
              </w:rPr>
              <w:t xml:space="preserve"> </w:t>
            </w:r>
            <w:r>
              <w:rPr>
                <w:sz w:val="16"/>
              </w:rPr>
              <w:t>-</w:t>
            </w:r>
            <w:r>
              <w:rPr>
                <w:spacing w:val="1"/>
                <w:sz w:val="16"/>
              </w:rPr>
              <w:t xml:space="preserve"> </w:t>
            </w:r>
            <w:r>
              <w:rPr>
                <w:sz w:val="16"/>
              </w:rPr>
              <w:t>10</w:t>
            </w:r>
            <w:r>
              <w:rPr>
                <w:spacing w:val="-1"/>
                <w:sz w:val="16"/>
              </w:rPr>
              <w:t xml:space="preserve"> </w:t>
            </w:r>
            <w:r>
              <w:rPr>
                <w:spacing w:val="-4"/>
                <w:sz w:val="16"/>
              </w:rPr>
              <w:t>days</w:t>
            </w:r>
          </w:p>
        </w:tc>
        <w:tc>
          <w:tcPr>
            <w:tcW w:w="1350" w:type="dxa"/>
          </w:tcPr>
          <w:p w14:paraId="46A827F9" w14:textId="77777777" w:rsidR="00E27125" w:rsidRDefault="00E27125" w:rsidP="00457B16">
            <w:pPr>
              <w:pStyle w:val="TableParagraph"/>
              <w:spacing w:before="7"/>
              <w:rPr>
                <w:rFonts w:ascii="Cambria"/>
                <w:b/>
                <w:sz w:val="16"/>
              </w:rPr>
            </w:pPr>
          </w:p>
          <w:p w14:paraId="3C125A04" w14:textId="77777777" w:rsidR="00E27125" w:rsidRDefault="00E27125" w:rsidP="00457B16">
            <w:pPr>
              <w:pStyle w:val="TableParagraph"/>
              <w:spacing w:before="1" w:line="175" w:lineRule="exact"/>
              <w:ind w:left="18" w:right="4"/>
              <w:jc w:val="center"/>
              <w:rPr>
                <w:sz w:val="16"/>
              </w:rPr>
            </w:pPr>
            <w:r>
              <w:rPr>
                <w:sz w:val="16"/>
              </w:rPr>
              <w:t>DBE,</w:t>
            </w:r>
            <w:r>
              <w:rPr>
                <w:spacing w:val="-3"/>
                <w:sz w:val="16"/>
              </w:rPr>
              <w:t xml:space="preserve"> </w:t>
            </w:r>
            <w:r>
              <w:rPr>
                <w:spacing w:val="-2"/>
                <w:sz w:val="16"/>
              </w:rPr>
              <w:t>SDVOBE</w:t>
            </w:r>
          </w:p>
        </w:tc>
        <w:tc>
          <w:tcPr>
            <w:tcW w:w="1260" w:type="dxa"/>
          </w:tcPr>
          <w:p w14:paraId="27142E23" w14:textId="77777777" w:rsidR="00E27125" w:rsidRDefault="00E27125" w:rsidP="00457B16">
            <w:pPr>
              <w:pStyle w:val="TableParagraph"/>
              <w:spacing w:before="7"/>
              <w:rPr>
                <w:rFonts w:ascii="Cambria"/>
                <w:b/>
                <w:sz w:val="16"/>
              </w:rPr>
            </w:pPr>
          </w:p>
          <w:p w14:paraId="4C3AB0A8" w14:textId="77777777" w:rsidR="00E27125" w:rsidRDefault="00E27125" w:rsidP="00457B16">
            <w:pPr>
              <w:pStyle w:val="TableParagraph"/>
              <w:spacing w:before="1" w:line="175" w:lineRule="exact"/>
              <w:ind w:left="23" w:right="3"/>
              <w:jc w:val="center"/>
              <w:rPr>
                <w:sz w:val="16"/>
              </w:rPr>
            </w:pPr>
            <w:r>
              <w:rPr>
                <w:spacing w:val="-5"/>
                <w:sz w:val="16"/>
              </w:rPr>
              <w:t>1%</w:t>
            </w:r>
          </w:p>
        </w:tc>
      </w:tr>
      <w:tr w:rsidR="00E27125" w14:paraId="75404898" w14:textId="77777777" w:rsidTr="00A85FC1">
        <w:trPr>
          <w:trHeight w:val="390"/>
        </w:trPr>
        <w:tc>
          <w:tcPr>
            <w:tcW w:w="1685" w:type="dxa"/>
          </w:tcPr>
          <w:p w14:paraId="1CB285FE" w14:textId="77777777" w:rsidR="00E27125" w:rsidRDefault="00E27125" w:rsidP="00457B16">
            <w:pPr>
              <w:pStyle w:val="TableParagraph"/>
              <w:spacing w:before="7"/>
              <w:rPr>
                <w:rFonts w:ascii="Cambria"/>
                <w:b/>
                <w:sz w:val="16"/>
              </w:rPr>
            </w:pPr>
          </w:p>
          <w:p w14:paraId="07CB337A" w14:textId="77777777" w:rsidR="00E27125" w:rsidRDefault="00E27125" w:rsidP="00457B16">
            <w:pPr>
              <w:pStyle w:val="TableParagraph"/>
              <w:spacing w:before="1" w:line="175" w:lineRule="exact"/>
              <w:ind w:left="107"/>
              <w:rPr>
                <w:sz w:val="16"/>
              </w:rPr>
            </w:pPr>
            <w:r>
              <w:rPr>
                <w:sz w:val="16"/>
              </w:rPr>
              <w:t>Peterson's</w:t>
            </w:r>
            <w:r>
              <w:rPr>
                <w:spacing w:val="-9"/>
                <w:sz w:val="16"/>
              </w:rPr>
              <w:t xml:space="preserve"> </w:t>
            </w:r>
            <w:r>
              <w:rPr>
                <w:spacing w:val="-5"/>
                <w:sz w:val="16"/>
              </w:rPr>
              <w:t>Oil</w:t>
            </w:r>
          </w:p>
        </w:tc>
        <w:tc>
          <w:tcPr>
            <w:tcW w:w="1980" w:type="dxa"/>
          </w:tcPr>
          <w:p w14:paraId="19827D67" w14:textId="77777777" w:rsidR="00E27125" w:rsidRDefault="00E27125" w:rsidP="00457B16">
            <w:pPr>
              <w:pStyle w:val="TableParagraph"/>
              <w:spacing w:before="1" w:line="195" w:lineRule="exact"/>
              <w:ind w:left="12" w:right="4"/>
              <w:jc w:val="center"/>
              <w:rPr>
                <w:sz w:val="16"/>
              </w:rPr>
            </w:pPr>
            <w:hyperlink r:id="rId85">
              <w:r>
                <w:rPr>
                  <w:color w:val="0000FF"/>
                  <w:spacing w:val="-2"/>
                  <w:sz w:val="16"/>
                  <w:u w:val="single" w:color="0000FF"/>
                </w:rPr>
                <w:t>PO-21-1080-OSD03-</w:t>
              </w:r>
            </w:hyperlink>
          </w:p>
          <w:p w14:paraId="3E11A718" w14:textId="77777777" w:rsidR="00E27125" w:rsidRDefault="00E27125" w:rsidP="00457B16">
            <w:pPr>
              <w:pStyle w:val="TableParagraph"/>
              <w:spacing w:line="175" w:lineRule="exact"/>
              <w:ind w:left="12"/>
              <w:jc w:val="center"/>
              <w:rPr>
                <w:sz w:val="16"/>
              </w:rPr>
            </w:pPr>
            <w:hyperlink r:id="rId86">
              <w:r>
                <w:rPr>
                  <w:color w:val="0000FF"/>
                  <w:spacing w:val="-2"/>
                  <w:sz w:val="16"/>
                  <w:u w:val="single" w:color="0000FF"/>
                </w:rPr>
                <w:t>SRC02-23100</w:t>
              </w:r>
            </w:hyperlink>
          </w:p>
        </w:tc>
        <w:tc>
          <w:tcPr>
            <w:tcW w:w="1530" w:type="dxa"/>
          </w:tcPr>
          <w:p w14:paraId="464412EB" w14:textId="77777777" w:rsidR="00E27125" w:rsidRDefault="00E27125" w:rsidP="00457B16">
            <w:pPr>
              <w:pStyle w:val="TableParagraph"/>
              <w:spacing w:before="7"/>
              <w:rPr>
                <w:rFonts w:ascii="Cambria"/>
                <w:b/>
                <w:sz w:val="16"/>
              </w:rPr>
            </w:pPr>
          </w:p>
          <w:p w14:paraId="3C969AFC" w14:textId="77777777" w:rsidR="00E27125" w:rsidRDefault="00E27125" w:rsidP="00457B16">
            <w:pPr>
              <w:pStyle w:val="TableParagraph"/>
              <w:spacing w:before="1" w:line="175" w:lineRule="exact"/>
              <w:ind w:left="108"/>
              <w:rPr>
                <w:sz w:val="16"/>
              </w:rPr>
            </w:pPr>
            <w:r>
              <w:rPr>
                <w:sz w:val="16"/>
              </w:rPr>
              <w:t>Wendy</w:t>
            </w:r>
            <w:r>
              <w:rPr>
                <w:spacing w:val="-4"/>
                <w:sz w:val="16"/>
              </w:rPr>
              <w:t xml:space="preserve"> </w:t>
            </w:r>
            <w:r>
              <w:rPr>
                <w:spacing w:val="-2"/>
                <w:sz w:val="16"/>
              </w:rPr>
              <w:t>Renzi</w:t>
            </w:r>
          </w:p>
        </w:tc>
        <w:tc>
          <w:tcPr>
            <w:tcW w:w="1170" w:type="dxa"/>
          </w:tcPr>
          <w:p w14:paraId="78C498AD" w14:textId="77777777" w:rsidR="00E27125" w:rsidRDefault="00E27125" w:rsidP="00457B16">
            <w:pPr>
              <w:pStyle w:val="TableParagraph"/>
              <w:spacing w:before="7"/>
              <w:rPr>
                <w:rFonts w:ascii="Cambria"/>
                <w:b/>
                <w:sz w:val="16"/>
              </w:rPr>
            </w:pPr>
          </w:p>
          <w:p w14:paraId="29220A9A" w14:textId="77777777" w:rsidR="00E27125" w:rsidRDefault="00E27125" w:rsidP="00457B16">
            <w:pPr>
              <w:pStyle w:val="TableParagraph"/>
              <w:spacing w:before="1" w:line="175" w:lineRule="exact"/>
              <w:ind w:left="108"/>
              <w:rPr>
                <w:sz w:val="16"/>
              </w:rPr>
            </w:pPr>
            <w:r>
              <w:rPr>
                <w:spacing w:val="-2"/>
                <w:sz w:val="16"/>
              </w:rPr>
              <w:t>508-368-</w:t>
            </w:r>
            <w:r>
              <w:rPr>
                <w:spacing w:val="-4"/>
                <w:sz w:val="16"/>
              </w:rPr>
              <w:t>1000</w:t>
            </w:r>
          </w:p>
        </w:tc>
        <w:tc>
          <w:tcPr>
            <w:tcW w:w="2070" w:type="dxa"/>
          </w:tcPr>
          <w:p w14:paraId="19FD8333" w14:textId="77777777" w:rsidR="00E27125" w:rsidRDefault="00E27125" w:rsidP="00457B16">
            <w:pPr>
              <w:pStyle w:val="TableParagraph"/>
              <w:spacing w:before="7"/>
              <w:rPr>
                <w:rFonts w:ascii="Cambria"/>
                <w:b/>
                <w:sz w:val="16"/>
              </w:rPr>
            </w:pPr>
          </w:p>
          <w:p w14:paraId="2D9EF96B" w14:textId="77777777" w:rsidR="00E27125" w:rsidRDefault="00E27125" w:rsidP="00457B16">
            <w:pPr>
              <w:pStyle w:val="TableParagraph"/>
              <w:spacing w:before="1" w:line="175" w:lineRule="exact"/>
              <w:ind w:left="106"/>
              <w:rPr>
                <w:sz w:val="16"/>
              </w:rPr>
            </w:pPr>
            <w:hyperlink r:id="rId87">
              <w:r>
                <w:rPr>
                  <w:color w:val="0000FF"/>
                  <w:spacing w:val="-2"/>
                  <w:sz w:val="16"/>
                  <w:u w:val="single" w:color="0000FF"/>
                </w:rPr>
                <w:t>wrenzi@petersonoil.com</w:t>
              </w:r>
            </w:hyperlink>
          </w:p>
        </w:tc>
        <w:tc>
          <w:tcPr>
            <w:tcW w:w="990" w:type="dxa"/>
          </w:tcPr>
          <w:p w14:paraId="46D3590F" w14:textId="77777777" w:rsidR="00E27125" w:rsidRDefault="00E27125" w:rsidP="00457B16">
            <w:pPr>
              <w:pStyle w:val="TableParagraph"/>
              <w:spacing w:before="7"/>
              <w:rPr>
                <w:rFonts w:ascii="Cambria"/>
                <w:b/>
                <w:sz w:val="16"/>
              </w:rPr>
            </w:pPr>
          </w:p>
          <w:p w14:paraId="350C7076" w14:textId="77777777" w:rsidR="00E27125" w:rsidRDefault="00E27125" w:rsidP="00457B16">
            <w:pPr>
              <w:pStyle w:val="TableParagraph"/>
              <w:spacing w:before="1" w:line="175" w:lineRule="exact"/>
              <w:ind w:left="110"/>
              <w:rPr>
                <w:sz w:val="16"/>
              </w:rPr>
            </w:pPr>
            <w:r>
              <w:rPr>
                <w:spacing w:val="-10"/>
                <w:sz w:val="16"/>
              </w:rPr>
              <w:t>X</w:t>
            </w:r>
          </w:p>
        </w:tc>
        <w:tc>
          <w:tcPr>
            <w:tcW w:w="720" w:type="dxa"/>
          </w:tcPr>
          <w:p w14:paraId="39433ACE" w14:textId="77777777" w:rsidR="00E27125" w:rsidRDefault="00E27125" w:rsidP="00457B16">
            <w:pPr>
              <w:pStyle w:val="TableParagraph"/>
              <w:spacing w:before="7"/>
              <w:rPr>
                <w:rFonts w:ascii="Cambria"/>
                <w:b/>
                <w:sz w:val="16"/>
              </w:rPr>
            </w:pPr>
          </w:p>
          <w:p w14:paraId="6333C5CE" w14:textId="77777777" w:rsidR="00E27125" w:rsidRDefault="00E27125" w:rsidP="00457B16">
            <w:pPr>
              <w:pStyle w:val="TableParagraph"/>
              <w:spacing w:before="1" w:line="175" w:lineRule="exact"/>
              <w:ind w:left="110"/>
              <w:rPr>
                <w:sz w:val="16"/>
              </w:rPr>
            </w:pPr>
            <w:r>
              <w:rPr>
                <w:spacing w:val="-2"/>
                <w:sz w:val="16"/>
              </w:rPr>
              <w:t>3, 4, 5, 6, 7</w:t>
            </w:r>
          </w:p>
        </w:tc>
        <w:tc>
          <w:tcPr>
            <w:tcW w:w="1530" w:type="dxa"/>
          </w:tcPr>
          <w:p w14:paraId="543848ED" w14:textId="77777777" w:rsidR="00E27125" w:rsidRDefault="00E27125" w:rsidP="00457B16">
            <w:pPr>
              <w:pStyle w:val="TableParagraph"/>
              <w:spacing w:before="1" w:line="195" w:lineRule="exact"/>
              <w:ind w:left="210"/>
              <w:rPr>
                <w:sz w:val="16"/>
              </w:rPr>
            </w:pPr>
            <w:r>
              <w:rPr>
                <w:sz w:val="16"/>
              </w:rPr>
              <w:t>0.3% -</w:t>
            </w:r>
            <w:r>
              <w:rPr>
                <w:spacing w:val="-2"/>
                <w:sz w:val="16"/>
              </w:rPr>
              <w:t xml:space="preserve"> </w:t>
            </w:r>
            <w:r>
              <w:rPr>
                <w:sz w:val="16"/>
              </w:rPr>
              <w:t>10</w:t>
            </w:r>
            <w:r>
              <w:rPr>
                <w:spacing w:val="-1"/>
                <w:sz w:val="16"/>
              </w:rPr>
              <w:t xml:space="preserve"> </w:t>
            </w:r>
            <w:r>
              <w:rPr>
                <w:spacing w:val="-4"/>
                <w:sz w:val="16"/>
              </w:rPr>
              <w:t>days</w:t>
            </w:r>
          </w:p>
          <w:p w14:paraId="0E5284D1" w14:textId="77777777" w:rsidR="00E27125" w:rsidRDefault="00E27125" w:rsidP="00457B16">
            <w:pPr>
              <w:pStyle w:val="TableParagraph"/>
              <w:spacing w:line="175" w:lineRule="exact"/>
              <w:ind w:left="195"/>
              <w:rPr>
                <w:sz w:val="16"/>
              </w:rPr>
            </w:pPr>
            <w:r>
              <w:rPr>
                <w:sz w:val="16"/>
              </w:rPr>
              <w:t>0.3% -</w:t>
            </w:r>
            <w:r>
              <w:rPr>
                <w:spacing w:val="-2"/>
                <w:sz w:val="16"/>
              </w:rPr>
              <w:t xml:space="preserve"> </w:t>
            </w:r>
            <w:r>
              <w:rPr>
                <w:sz w:val="16"/>
              </w:rPr>
              <w:t>15</w:t>
            </w:r>
            <w:r>
              <w:rPr>
                <w:spacing w:val="-1"/>
                <w:sz w:val="16"/>
              </w:rPr>
              <w:t xml:space="preserve"> </w:t>
            </w:r>
            <w:r>
              <w:rPr>
                <w:spacing w:val="-4"/>
                <w:sz w:val="16"/>
              </w:rPr>
              <w:t>days</w:t>
            </w:r>
          </w:p>
        </w:tc>
        <w:tc>
          <w:tcPr>
            <w:tcW w:w="1350" w:type="dxa"/>
          </w:tcPr>
          <w:p w14:paraId="0EBDFBCD" w14:textId="77777777" w:rsidR="00E27125" w:rsidRDefault="00E27125" w:rsidP="00457B16">
            <w:pPr>
              <w:pStyle w:val="TableParagraph"/>
              <w:spacing w:before="7"/>
              <w:rPr>
                <w:rFonts w:ascii="Cambria"/>
                <w:b/>
                <w:sz w:val="16"/>
              </w:rPr>
            </w:pPr>
          </w:p>
          <w:p w14:paraId="2971B1F4" w14:textId="77777777" w:rsidR="00E27125" w:rsidRDefault="00E27125" w:rsidP="00457B16">
            <w:pPr>
              <w:pStyle w:val="TableParagraph"/>
              <w:spacing w:before="1" w:line="175" w:lineRule="exact"/>
              <w:ind w:left="18"/>
              <w:jc w:val="center"/>
              <w:rPr>
                <w:sz w:val="16"/>
              </w:rPr>
            </w:pPr>
            <w:r>
              <w:rPr>
                <w:spacing w:val="-5"/>
                <w:sz w:val="16"/>
              </w:rPr>
              <w:t>N/A</w:t>
            </w:r>
          </w:p>
        </w:tc>
        <w:tc>
          <w:tcPr>
            <w:tcW w:w="1260" w:type="dxa"/>
          </w:tcPr>
          <w:p w14:paraId="09C4A640" w14:textId="77777777" w:rsidR="00E27125" w:rsidRDefault="00E27125" w:rsidP="00457B16">
            <w:pPr>
              <w:pStyle w:val="TableParagraph"/>
              <w:spacing w:before="7"/>
              <w:rPr>
                <w:rFonts w:ascii="Cambria"/>
                <w:b/>
                <w:sz w:val="16"/>
              </w:rPr>
            </w:pPr>
          </w:p>
          <w:p w14:paraId="582A9919" w14:textId="77777777" w:rsidR="00E27125" w:rsidRDefault="00E27125" w:rsidP="00457B16">
            <w:pPr>
              <w:pStyle w:val="TableParagraph"/>
              <w:spacing w:before="1" w:line="175" w:lineRule="exact"/>
              <w:ind w:left="23" w:right="3"/>
              <w:jc w:val="center"/>
              <w:rPr>
                <w:sz w:val="16"/>
              </w:rPr>
            </w:pPr>
            <w:r>
              <w:rPr>
                <w:spacing w:val="-5"/>
                <w:sz w:val="16"/>
              </w:rPr>
              <w:t>3%</w:t>
            </w:r>
          </w:p>
        </w:tc>
      </w:tr>
      <w:tr w:rsidR="00E27125" w14:paraId="1A1E48BD" w14:textId="77777777" w:rsidTr="00A85FC1">
        <w:trPr>
          <w:trHeight w:val="399"/>
        </w:trPr>
        <w:tc>
          <w:tcPr>
            <w:tcW w:w="1685" w:type="dxa"/>
          </w:tcPr>
          <w:p w14:paraId="3E2DDA5E" w14:textId="77777777" w:rsidR="00E27125" w:rsidRDefault="00E27125" w:rsidP="00457B16">
            <w:pPr>
              <w:pStyle w:val="TableParagraph"/>
              <w:spacing w:line="192" w:lineRule="exact"/>
              <w:ind w:left="107"/>
              <w:rPr>
                <w:sz w:val="16"/>
              </w:rPr>
            </w:pPr>
            <w:r>
              <w:rPr>
                <w:sz w:val="16"/>
              </w:rPr>
              <w:t>Sprague</w:t>
            </w:r>
            <w:r>
              <w:rPr>
                <w:spacing w:val="-4"/>
                <w:sz w:val="16"/>
              </w:rPr>
              <w:t xml:space="preserve"> </w:t>
            </w:r>
            <w:r>
              <w:rPr>
                <w:spacing w:val="-2"/>
                <w:sz w:val="16"/>
              </w:rPr>
              <w:t>Operating</w:t>
            </w:r>
          </w:p>
          <w:p w14:paraId="001F1867" w14:textId="77777777" w:rsidR="00E27125" w:rsidRDefault="00E27125" w:rsidP="00457B16">
            <w:pPr>
              <w:pStyle w:val="TableParagraph"/>
              <w:spacing w:line="159" w:lineRule="exact"/>
              <w:ind w:left="107"/>
              <w:rPr>
                <w:sz w:val="16"/>
              </w:rPr>
            </w:pPr>
            <w:r>
              <w:rPr>
                <w:spacing w:val="-2"/>
                <w:sz w:val="16"/>
              </w:rPr>
              <w:t>Resources</w:t>
            </w:r>
          </w:p>
        </w:tc>
        <w:tc>
          <w:tcPr>
            <w:tcW w:w="1980" w:type="dxa"/>
          </w:tcPr>
          <w:p w14:paraId="43F7C923" w14:textId="77777777" w:rsidR="00E27125" w:rsidRDefault="00E27125" w:rsidP="00457B16">
            <w:pPr>
              <w:pStyle w:val="TableParagraph"/>
              <w:spacing w:line="192" w:lineRule="exact"/>
              <w:ind w:left="12" w:right="4"/>
              <w:jc w:val="center"/>
              <w:rPr>
                <w:sz w:val="16"/>
              </w:rPr>
            </w:pPr>
            <w:hyperlink r:id="rId88">
              <w:r>
                <w:rPr>
                  <w:color w:val="0000FF"/>
                  <w:spacing w:val="-2"/>
                  <w:sz w:val="16"/>
                  <w:u w:val="single" w:color="0000FF"/>
                </w:rPr>
                <w:t>PO-21-1080-OSD03-</w:t>
              </w:r>
            </w:hyperlink>
          </w:p>
          <w:p w14:paraId="13EC1385" w14:textId="77777777" w:rsidR="00E27125" w:rsidRDefault="00E27125" w:rsidP="00457B16">
            <w:pPr>
              <w:pStyle w:val="TableParagraph"/>
              <w:spacing w:line="159" w:lineRule="exact"/>
              <w:ind w:left="12"/>
              <w:jc w:val="center"/>
              <w:rPr>
                <w:sz w:val="16"/>
              </w:rPr>
            </w:pPr>
            <w:hyperlink r:id="rId89">
              <w:r>
                <w:rPr>
                  <w:color w:val="0000FF"/>
                  <w:spacing w:val="-2"/>
                  <w:sz w:val="16"/>
                  <w:u w:val="single" w:color="0000FF"/>
                </w:rPr>
                <w:t>SRC02-23099</w:t>
              </w:r>
            </w:hyperlink>
          </w:p>
        </w:tc>
        <w:tc>
          <w:tcPr>
            <w:tcW w:w="1530" w:type="dxa"/>
          </w:tcPr>
          <w:p w14:paraId="62B581F9" w14:textId="77777777" w:rsidR="00E27125" w:rsidRDefault="00E27125" w:rsidP="00457B16">
            <w:pPr>
              <w:pStyle w:val="TableParagraph"/>
              <w:spacing w:before="25" w:line="166" w:lineRule="exact"/>
              <w:ind w:left="108"/>
              <w:rPr>
                <w:rFonts w:ascii="Times New Roman"/>
                <w:sz w:val="16"/>
              </w:rPr>
            </w:pPr>
            <w:r>
              <w:rPr>
                <w:rFonts w:ascii="Times New Roman"/>
                <w:spacing w:val="-2"/>
                <w:sz w:val="16"/>
              </w:rPr>
              <w:t>Jeanette</w:t>
            </w:r>
          </w:p>
          <w:p w14:paraId="6848112F" w14:textId="77777777" w:rsidR="00E27125" w:rsidRDefault="00E27125" w:rsidP="00457B16">
            <w:pPr>
              <w:pStyle w:val="TableParagraph"/>
              <w:spacing w:line="159" w:lineRule="exact"/>
              <w:ind w:left="108"/>
              <w:rPr>
                <w:rFonts w:ascii="Times New Roman"/>
                <w:sz w:val="16"/>
              </w:rPr>
            </w:pPr>
            <w:r>
              <w:rPr>
                <w:rFonts w:ascii="Times New Roman"/>
                <w:spacing w:val="-2"/>
                <w:sz w:val="16"/>
              </w:rPr>
              <w:t>Finley</w:t>
            </w:r>
          </w:p>
        </w:tc>
        <w:tc>
          <w:tcPr>
            <w:tcW w:w="1170" w:type="dxa"/>
            <w:vAlign w:val="bottom"/>
          </w:tcPr>
          <w:p w14:paraId="2FC82F36" w14:textId="77777777" w:rsidR="00E27125" w:rsidRDefault="00E27125" w:rsidP="00457B16">
            <w:pPr>
              <w:pStyle w:val="TableParagraph"/>
              <w:spacing w:line="159" w:lineRule="exact"/>
              <w:ind w:left="108"/>
              <w:rPr>
                <w:rFonts w:ascii="Times New Roman"/>
                <w:sz w:val="14"/>
              </w:rPr>
            </w:pPr>
            <w:r>
              <w:rPr>
                <w:rFonts w:ascii="Times New Roman"/>
                <w:spacing w:val="-2"/>
                <w:sz w:val="16"/>
              </w:rPr>
              <w:t>877-689-</w:t>
            </w:r>
            <w:r>
              <w:rPr>
                <w:rFonts w:ascii="Times New Roman"/>
                <w:spacing w:val="-4"/>
                <w:sz w:val="16"/>
              </w:rPr>
              <w:t>1880</w:t>
            </w:r>
          </w:p>
        </w:tc>
        <w:tc>
          <w:tcPr>
            <w:tcW w:w="2070" w:type="dxa"/>
            <w:vAlign w:val="bottom"/>
          </w:tcPr>
          <w:p w14:paraId="2DC7FD1D" w14:textId="77777777" w:rsidR="00E27125" w:rsidRDefault="00E27125" w:rsidP="00457B16">
            <w:pPr>
              <w:pStyle w:val="TableParagraph"/>
              <w:spacing w:line="159" w:lineRule="exact"/>
              <w:ind w:left="106"/>
              <w:rPr>
                <w:sz w:val="16"/>
              </w:rPr>
            </w:pPr>
            <w:hyperlink r:id="rId90">
              <w:r>
                <w:rPr>
                  <w:color w:val="0000FF"/>
                  <w:spacing w:val="-2"/>
                  <w:sz w:val="16"/>
                  <w:u w:val="single" w:color="0000FF"/>
                </w:rPr>
                <w:t>contractmgmt@spragueenergy.com</w:t>
              </w:r>
            </w:hyperlink>
          </w:p>
        </w:tc>
        <w:tc>
          <w:tcPr>
            <w:tcW w:w="990" w:type="dxa"/>
            <w:vAlign w:val="bottom"/>
          </w:tcPr>
          <w:p w14:paraId="6C461AD9" w14:textId="77777777" w:rsidR="00E27125" w:rsidRDefault="00E27125" w:rsidP="00457B16">
            <w:pPr>
              <w:pStyle w:val="TableParagraph"/>
              <w:spacing w:line="159" w:lineRule="exact"/>
              <w:ind w:left="110"/>
              <w:rPr>
                <w:rFonts w:ascii="Times New Roman"/>
                <w:sz w:val="14"/>
              </w:rPr>
            </w:pPr>
            <w:r>
              <w:rPr>
                <w:spacing w:val="-10"/>
                <w:sz w:val="16"/>
              </w:rPr>
              <w:t>X</w:t>
            </w:r>
          </w:p>
        </w:tc>
        <w:tc>
          <w:tcPr>
            <w:tcW w:w="720" w:type="dxa"/>
            <w:vAlign w:val="bottom"/>
          </w:tcPr>
          <w:p w14:paraId="5880E473" w14:textId="77777777" w:rsidR="00E27125" w:rsidRDefault="00E27125" w:rsidP="00457B16">
            <w:pPr>
              <w:pStyle w:val="TableParagraph"/>
              <w:spacing w:line="159" w:lineRule="exact"/>
              <w:ind w:left="110"/>
              <w:rPr>
                <w:rFonts w:ascii="Times New Roman"/>
                <w:sz w:val="14"/>
              </w:rPr>
            </w:pPr>
            <w:r>
              <w:rPr>
                <w:rFonts w:ascii="Times New Roman"/>
                <w:spacing w:val="-10"/>
                <w:sz w:val="16"/>
              </w:rPr>
              <w:t>8</w:t>
            </w:r>
          </w:p>
        </w:tc>
        <w:tc>
          <w:tcPr>
            <w:tcW w:w="1530" w:type="dxa"/>
            <w:vAlign w:val="bottom"/>
          </w:tcPr>
          <w:p w14:paraId="63C90616" w14:textId="77777777" w:rsidR="00E27125" w:rsidRDefault="00E27125" w:rsidP="00457B16">
            <w:pPr>
              <w:pStyle w:val="TableParagraph"/>
              <w:spacing w:line="159" w:lineRule="exact"/>
              <w:ind w:right="251"/>
              <w:jc w:val="center"/>
              <w:rPr>
                <w:rFonts w:ascii="Times New Roman"/>
                <w:sz w:val="14"/>
              </w:rPr>
            </w:pPr>
            <w:r>
              <w:rPr>
                <w:sz w:val="16"/>
              </w:rPr>
              <w:t>1%</w:t>
            </w:r>
            <w:r>
              <w:rPr>
                <w:spacing w:val="-2"/>
                <w:sz w:val="16"/>
              </w:rPr>
              <w:t xml:space="preserve"> </w:t>
            </w:r>
            <w:r>
              <w:rPr>
                <w:sz w:val="16"/>
              </w:rPr>
              <w:t>-</w:t>
            </w:r>
            <w:r>
              <w:rPr>
                <w:spacing w:val="1"/>
                <w:sz w:val="16"/>
              </w:rPr>
              <w:t xml:space="preserve"> </w:t>
            </w:r>
            <w:r>
              <w:rPr>
                <w:sz w:val="16"/>
              </w:rPr>
              <w:t>10</w:t>
            </w:r>
            <w:r>
              <w:rPr>
                <w:spacing w:val="-1"/>
                <w:sz w:val="16"/>
              </w:rPr>
              <w:t xml:space="preserve"> </w:t>
            </w:r>
            <w:r>
              <w:rPr>
                <w:spacing w:val="-4"/>
                <w:sz w:val="16"/>
              </w:rPr>
              <w:t>days</w:t>
            </w:r>
          </w:p>
        </w:tc>
        <w:tc>
          <w:tcPr>
            <w:tcW w:w="1350" w:type="dxa"/>
            <w:vAlign w:val="bottom"/>
          </w:tcPr>
          <w:p w14:paraId="31FB72ED" w14:textId="77777777" w:rsidR="00E27125" w:rsidRDefault="00E27125" w:rsidP="00457B16">
            <w:pPr>
              <w:pStyle w:val="TableParagraph"/>
              <w:spacing w:line="159" w:lineRule="exact"/>
              <w:ind w:left="18"/>
              <w:jc w:val="center"/>
              <w:rPr>
                <w:rFonts w:ascii="Times New Roman"/>
                <w:sz w:val="14"/>
              </w:rPr>
            </w:pPr>
            <w:r>
              <w:rPr>
                <w:spacing w:val="-5"/>
                <w:sz w:val="16"/>
              </w:rPr>
              <w:t>N/A</w:t>
            </w:r>
          </w:p>
        </w:tc>
        <w:tc>
          <w:tcPr>
            <w:tcW w:w="1260" w:type="dxa"/>
            <w:vAlign w:val="bottom"/>
          </w:tcPr>
          <w:p w14:paraId="1674CE62" w14:textId="77777777" w:rsidR="00E27125" w:rsidRDefault="00E27125" w:rsidP="00457B16">
            <w:pPr>
              <w:pStyle w:val="TableParagraph"/>
              <w:spacing w:line="159" w:lineRule="exact"/>
              <w:ind w:left="23" w:right="3"/>
              <w:jc w:val="center"/>
              <w:rPr>
                <w:rFonts w:ascii="Times New Roman"/>
                <w:sz w:val="14"/>
              </w:rPr>
            </w:pPr>
            <w:r>
              <w:rPr>
                <w:spacing w:val="-5"/>
                <w:sz w:val="16"/>
              </w:rPr>
              <w:t>10%</w:t>
            </w:r>
          </w:p>
        </w:tc>
      </w:tr>
      <w:tr w:rsidR="00E27125" w14:paraId="2E8B598A" w14:textId="77777777" w:rsidTr="00AF24CC">
        <w:trPr>
          <w:trHeight w:val="390"/>
        </w:trPr>
        <w:tc>
          <w:tcPr>
            <w:tcW w:w="1685" w:type="dxa"/>
            <w:shd w:val="clear" w:color="auto" w:fill="C8D9EB"/>
            <w:vAlign w:val="center"/>
          </w:tcPr>
          <w:p w14:paraId="16D94AE9" w14:textId="52E0DD46" w:rsidR="00E27125" w:rsidRDefault="00AF24CC" w:rsidP="00AF24CC">
            <w:pPr>
              <w:pStyle w:val="TableParagraph"/>
              <w:rPr>
                <w:rFonts w:ascii="Times New Roman"/>
                <w:sz w:val="16"/>
              </w:rPr>
            </w:pPr>
            <w:r w:rsidRPr="00DB3F5A">
              <w:rPr>
                <w:rFonts w:asciiTheme="minorHAnsi" w:hAnsiTheme="minorHAnsi" w:cstheme="minorHAnsi"/>
                <w:sz w:val="16"/>
              </w:rPr>
              <w:t>N/A</w:t>
            </w:r>
          </w:p>
        </w:tc>
        <w:tc>
          <w:tcPr>
            <w:tcW w:w="1980" w:type="dxa"/>
            <w:shd w:val="clear" w:color="auto" w:fill="C8D9EB"/>
            <w:vAlign w:val="center"/>
          </w:tcPr>
          <w:p w14:paraId="291B94BA" w14:textId="2C82DB0C" w:rsidR="00E27125" w:rsidRDefault="00AF24CC" w:rsidP="00AF24CC">
            <w:pPr>
              <w:pStyle w:val="TableParagraph"/>
              <w:rPr>
                <w:rFonts w:ascii="Times New Roman"/>
                <w:sz w:val="16"/>
              </w:rPr>
            </w:pPr>
            <w:r w:rsidRPr="00DB3F5A">
              <w:rPr>
                <w:rFonts w:asciiTheme="minorHAnsi" w:hAnsiTheme="minorHAnsi" w:cstheme="minorHAnsi"/>
                <w:sz w:val="16"/>
              </w:rPr>
              <w:t>N/A</w:t>
            </w:r>
          </w:p>
        </w:tc>
        <w:tc>
          <w:tcPr>
            <w:tcW w:w="1530" w:type="dxa"/>
            <w:shd w:val="clear" w:color="auto" w:fill="C8D9EB"/>
            <w:vAlign w:val="center"/>
          </w:tcPr>
          <w:p w14:paraId="2225735F" w14:textId="331A37F9" w:rsidR="00E27125" w:rsidRDefault="00AF24CC" w:rsidP="00AF24CC">
            <w:pPr>
              <w:pStyle w:val="TableParagraph"/>
              <w:rPr>
                <w:rFonts w:ascii="Times New Roman"/>
                <w:sz w:val="16"/>
              </w:rPr>
            </w:pPr>
            <w:r w:rsidRPr="00DB3F5A">
              <w:rPr>
                <w:rFonts w:asciiTheme="minorHAnsi" w:hAnsiTheme="minorHAnsi" w:cstheme="minorHAnsi"/>
                <w:sz w:val="16"/>
              </w:rPr>
              <w:t>N/A</w:t>
            </w:r>
          </w:p>
        </w:tc>
        <w:tc>
          <w:tcPr>
            <w:tcW w:w="1170" w:type="dxa"/>
            <w:shd w:val="clear" w:color="auto" w:fill="C8D9EB"/>
            <w:vAlign w:val="center"/>
          </w:tcPr>
          <w:p w14:paraId="11C7C826" w14:textId="0FE2126B" w:rsidR="00E27125" w:rsidRDefault="00AF24CC" w:rsidP="00AF24CC">
            <w:pPr>
              <w:pStyle w:val="TableParagraph"/>
              <w:rPr>
                <w:rFonts w:ascii="Times New Roman"/>
                <w:sz w:val="16"/>
              </w:rPr>
            </w:pPr>
            <w:r w:rsidRPr="00DB3F5A">
              <w:rPr>
                <w:rFonts w:asciiTheme="minorHAnsi" w:hAnsiTheme="minorHAnsi" w:cstheme="minorHAnsi"/>
                <w:sz w:val="16"/>
              </w:rPr>
              <w:t>N/A</w:t>
            </w:r>
          </w:p>
        </w:tc>
        <w:tc>
          <w:tcPr>
            <w:tcW w:w="2070" w:type="dxa"/>
            <w:shd w:val="clear" w:color="auto" w:fill="C8D9EB"/>
            <w:vAlign w:val="center"/>
          </w:tcPr>
          <w:p w14:paraId="38561BF8" w14:textId="6EE946DE" w:rsidR="00E27125" w:rsidRDefault="00AF24CC" w:rsidP="00AF24CC">
            <w:pPr>
              <w:pStyle w:val="TableParagraph"/>
              <w:rPr>
                <w:rFonts w:ascii="Times New Roman"/>
                <w:sz w:val="16"/>
              </w:rPr>
            </w:pPr>
            <w:r w:rsidRPr="00DB3F5A">
              <w:rPr>
                <w:rFonts w:asciiTheme="minorHAnsi" w:hAnsiTheme="minorHAnsi" w:cstheme="minorHAnsi"/>
                <w:sz w:val="16"/>
              </w:rPr>
              <w:t>N/A</w:t>
            </w:r>
          </w:p>
        </w:tc>
        <w:tc>
          <w:tcPr>
            <w:tcW w:w="990" w:type="dxa"/>
            <w:shd w:val="clear" w:color="auto" w:fill="F1F1F1"/>
          </w:tcPr>
          <w:p w14:paraId="5A7BBB7B" w14:textId="77777777" w:rsidR="00E27125" w:rsidRDefault="00E27125" w:rsidP="00457B16">
            <w:pPr>
              <w:pStyle w:val="TableParagraph"/>
              <w:spacing w:line="194" w:lineRule="exact"/>
              <w:ind w:left="14"/>
              <w:jc w:val="center"/>
              <w:rPr>
                <w:b/>
                <w:sz w:val="16"/>
              </w:rPr>
            </w:pPr>
            <w:r>
              <w:rPr>
                <w:b/>
                <w:spacing w:val="-2"/>
                <w:sz w:val="16"/>
              </w:rPr>
              <w:t>Category</w:t>
            </w:r>
          </w:p>
          <w:p w14:paraId="57D434F9" w14:textId="77777777" w:rsidR="00E27125" w:rsidRDefault="00E27125" w:rsidP="00457B16">
            <w:pPr>
              <w:pStyle w:val="TableParagraph"/>
              <w:spacing w:before="1" w:line="175" w:lineRule="exact"/>
              <w:ind w:left="14" w:right="2"/>
              <w:jc w:val="center"/>
              <w:rPr>
                <w:b/>
                <w:sz w:val="16"/>
              </w:rPr>
            </w:pPr>
            <w:r>
              <w:rPr>
                <w:b/>
                <w:spacing w:val="-10"/>
                <w:sz w:val="16"/>
              </w:rPr>
              <w:t>3</w:t>
            </w:r>
          </w:p>
        </w:tc>
        <w:tc>
          <w:tcPr>
            <w:tcW w:w="720" w:type="dxa"/>
            <w:shd w:val="clear" w:color="auto" w:fill="C8D9EB"/>
            <w:vAlign w:val="center"/>
          </w:tcPr>
          <w:p w14:paraId="030125C1" w14:textId="0650B51A" w:rsidR="00E27125" w:rsidRDefault="00AF24CC" w:rsidP="00AF24CC">
            <w:pPr>
              <w:pStyle w:val="TableParagraph"/>
              <w:rPr>
                <w:rFonts w:ascii="Times New Roman"/>
                <w:sz w:val="16"/>
              </w:rPr>
            </w:pPr>
            <w:r w:rsidRPr="00DB3F5A">
              <w:rPr>
                <w:rFonts w:asciiTheme="minorHAnsi" w:hAnsiTheme="minorHAnsi" w:cstheme="minorHAnsi"/>
                <w:sz w:val="16"/>
              </w:rPr>
              <w:t>N/A</w:t>
            </w:r>
          </w:p>
        </w:tc>
        <w:tc>
          <w:tcPr>
            <w:tcW w:w="1530" w:type="dxa"/>
            <w:shd w:val="clear" w:color="auto" w:fill="C8D9EB"/>
            <w:vAlign w:val="center"/>
          </w:tcPr>
          <w:p w14:paraId="5E1202CD" w14:textId="61406310" w:rsidR="00E27125" w:rsidRDefault="00AF24CC" w:rsidP="00AF24CC">
            <w:pPr>
              <w:pStyle w:val="TableParagraph"/>
              <w:rPr>
                <w:rFonts w:ascii="Times New Roman"/>
                <w:sz w:val="16"/>
              </w:rPr>
            </w:pPr>
            <w:r w:rsidRPr="00DB3F5A">
              <w:rPr>
                <w:rFonts w:asciiTheme="minorHAnsi" w:hAnsiTheme="minorHAnsi" w:cstheme="minorHAnsi"/>
                <w:sz w:val="16"/>
              </w:rPr>
              <w:t>N/A</w:t>
            </w:r>
          </w:p>
        </w:tc>
        <w:tc>
          <w:tcPr>
            <w:tcW w:w="1350" w:type="dxa"/>
            <w:shd w:val="clear" w:color="auto" w:fill="C8D9EB"/>
            <w:vAlign w:val="center"/>
          </w:tcPr>
          <w:p w14:paraId="74025A53" w14:textId="7E2534A0" w:rsidR="00E27125" w:rsidRDefault="00AF24CC" w:rsidP="00AF24CC">
            <w:pPr>
              <w:pStyle w:val="TableParagraph"/>
              <w:rPr>
                <w:rFonts w:ascii="Times New Roman"/>
                <w:sz w:val="16"/>
              </w:rPr>
            </w:pPr>
            <w:r w:rsidRPr="00DB3F5A">
              <w:rPr>
                <w:rFonts w:asciiTheme="minorHAnsi" w:hAnsiTheme="minorHAnsi" w:cstheme="minorHAnsi"/>
                <w:sz w:val="16"/>
              </w:rPr>
              <w:t>N/A</w:t>
            </w:r>
          </w:p>
        </w:tc>
        <w:tc>
          <w:tcPr>
            <w:tcW w:w="1260" w:type="dxa"/>
            <w:shd w:val="clear" w:color="auto" w:fill="C8D9EB"/>
            <w:vAlign w:val="center"/>
          </w:tcPr>
          <w:p w14:paraId="1950098E" w14:textId="7460D9D4" w:rsidR="00E27125" w:rsidRDefault="00AF24CC" w:rsidP="00AF24CC">
            <w:pPr>
              <w:pStyle w:val="TableParagraph"/>
              <w:rPr>
                <w:rFonts w:ascii="Times New Roman"/>
                <w:sz w:val="16"/>
              </w:rPr>
            </w:pPr>
            <w:r w:rsidRPr="00DB3F5A">
              <w:rPr>
                <w:rFonts w:asciiTheme="minorHAnsi" w:hAnsiTheme="minorHAnsi" w:cstheme="minorHAnsi"/>
                <w:sz w:val="16"/>
              </w:rPr>
              <w:t>N/A</w:t>
            </w:r>
          </w:p>
        </w:tc>
      </w:tr>
      <w:tr w:rsidR="00E27125" w14:paraId="491F9BA3" w14:textId="77777777" w:rsidTr="00A85FC1">
        <w:trPr>
          <w:trHeight w:val="390"/>
        </w:trPr>
        <w:tc>
          <w:tcPr>
            <w:tcW w:w="1685" w:type="dxa"/>
          </w:tcPr>
          <w:p w14:paraId="32F6CB84" w14:textId="77777777" w:rsidR="00E27125" w:rsidRDefault="00E27125" w:rsidP="00457B16">
            <w:pPr>
              <w:pStyle w:val="TableParagraph"/>
              <w:spacing w:before="7"/>
              <w:rPr>
                <w:rFonts w:ascii="Cambria"/>
                <w:b/>
                <w:sz w:val="16"/>
              </w:rPr>
            </w:pPr>
          </w:p>
          <w:p w14:paraId="40EA4C43" w14:textId="77777777" w:rsidR="00E27125" w:rsidRDefault="00E27125" w:rsidP="00457B16">
            <w:pPr>
              <w:pStyle w:val="TableParagraph"/>
              <w:spacing w:before="1" w:line="175" w:lineRule="exact"/>
              <w:ind w:left="107"/>
              <w:rPr>
                <w:sz w:val="16"/>
              </w:rPr>
            </w:pPr>
            <w:r>
              <w:rPr>
                <w:sz w:val="16"/>
              </w:rPr>
              <w:t>Broco</w:t>
            </w:r>
            <w:r>
              <w:rPr>
                <w:spacing w:val="-7"/>
                <w:sz w:val="16"/>
              </w:rPr>
              <w:t xml:space="preserve"> </w:t>
            </w:r>
            <w:r>
              <w:rPr>
                <w:spacing w:val="-5"/>
                <w:sz w:val="16"/>
              </w:rPr>
              <w:t>Oil</w:t>
            </w:r>
          </w:p>
        </w:tc>
        <w:tc>
          <w:tcPr>
            <w:tcW w:w="1980" w:type="dxa"/>
          </w:tcPr>
          <w:p w14:paraId="777C80DA" w14:textId="77777777" w:rsidR="00E27125" w:rsidRDefault="00E27125" w:rsidP="00457B16">
            <w:pPr>
              <w:pStyle w:val="TableParagraph"/>
              <w:spacing w:line="194" w:lineRule="exact"/>
              <w:ind w:left="12" w:right="4"/>
              <w:jc w:val="center"/>
              <w:rPr>
                <w:sz w:val="16"/>
              </w:rPr>
            </w:pPr>
            <w:hyperlink r:id="rId91">
              <w:r>
                <w:rPr>
                  <w:color w:val="0000FF"/>
                  <w:spacing w:val="-2"/>
                  <w:sz w:val="16"/>
                  <w:u w:val="single" w:color="0000FF"/>
                </w:rPr>
                <w:t>PO-21-1080-OSD03-</w:t>
              </w:r>
            </w:hyperlink>
          </w:p>
          <w:p w14:paraId="7E681537" w14:textId="77777777" w:rsidR="00E27125" w:rsidRDefault="00E27125" w:rsidP="00457B16">
            <w:pPr>
              <w:pStyle w:val="TableParagraph"/>
              <w:spacing w:before="1" w:line="175" w:lineRule="exact"/>
              <w:ind w:left="12"/>
              <w:jc w:val="center"/>
              <w:rPr>
                <w:sz w:val="16"/>
              </w:rPr>
            </w:pPr>
            <w:hyperlink r:id="rId92">
              <w:r>
                <w:rPr>
                  <w:color w:val="0000FF"/>
                  <w:spacing w:val="-2"/>
                  <w:sz w:val="16"/>
                  <w:u w:val="single" w:color="0000FF"/>
                </w:rPr>
                <w:t>SRC02-23098</w:t>
              </w:r>
            </w:hyperlink>
          </w:p>
        </w:tc>
        <w:tc>
          <w:tcPr>
            <w:tcW w:w="1530" w:type="dxa"/>
          </w:tcPr>
          <w:p w14:paraId="7A02E014" w14:textId="77777777" w:rsidR="00E27125" w:rsidRDefault="00E27125" w:rsidP="00457B16">
            <w:pPr>
              <w:pStyle w:val="TableParagraph"/>
              <w:spacing w:line="194" w:lineRule="exact"/>
              <w:ind w:left="108"/>
              <w:rPr>
                <w:sz w:val="16"/>
              </w:rPr>
            </w:pPr>
            <w:r>
              <w:rPr>
                <w:spacing w:val="-2"/>
                <w:sz w:val="16"/>
              </w:rPr>
              <w:t>Kristopher</w:t>
            </w:r>
          </w:p>
          <w:p w14:paraId="5B5B5E45" w14:textId="77777777" w:rsidR="00E27125" w:rsidRDefault="00E27125" w:rsidP="00457B16">
            <w:pPr>
              <w:pStyle w:val="TableParagraph"/>
              <w:spacing w:before="1" w:line="175" w:lineRule="exact"/>
              <w:ind w:left="108"/>
              <w:rPr>
                <w:sz w:val="16"/>
              </w:rPr>
            </w:pPr>
            <w:r>
              <w:rPr>
                <w:spacing w:val="-2"/>
                <w:sz w:val="16"/>
              </w:rPr>
              <w:t>Ellis</w:t>
            </w:r>
          </w:p>
        </w:tc>
        <w:tc>
          <w:tcPr>
            <w:tcW w:w="1170" w:type="dxa"/>
          </w:tcPr>
          <w:p w14:paraId="5B3C5269" w14:textId="77777777" w:rsidR="00E27125" w:rsidRDefault="00E27125" w:rsidP="00457B16">
            <w:pPr>
              <w:pStyle w:val="TableParagraph"/>
              <w:spacing w:before="7"/>
              <w:rPr>
                <w:rFonts w:ascii="Cambria"/>
                <w:b/>
                <w:sz w:val="16"/>
              </w:rPr>
            </w:pPr>
          </w:p>
          <w:p w14:paraId="34325BB7" w14:textId="77777777" w:rsidR="00E27125" w:rsidRDefault="00E27125" w:rsidP="00457B16">
            <w:pPr>
              <w:pStyle w:val="TableParagraph"/>
              <w:spacing w:before="1" w:line="175" w:lineRule="exact"/>
              <w:ind w:left="108"/>
              <w:rPr>
                <w:sz w:val="16"/>
              </w:rPr>
            </w:pPr>
            <w:r>
              <w:rPr>
                <w:spacing w:val="-2"/>
                <w:sz w:val="16"/>
              </w:rPr>
              <w:t>978-228-</w:t>
            </w:r>
            <w:r>
              <w:rPr>
                <w:spacing w:val="-4"/>
                <w:sz w:val="16"/>
              </w:rPr>
              <w:t>0613</w:t>
            </w:r>
          </w:p>
        </w:tc>
        <w:tc>
          <w:tcPr>
            <w:tcW w:w="2070" w:type="dxa"/>
          </w:tcPr>
          <w:p w14:paraId="0AF53F98" w14:textId="77777777" w:rsidR="00E27125" w:rsidRDefault="00E27125" w:rsidP="00457B16">
            <w:pPr>
              <w:pStyle w:val="TableParagraph"/>
              <w:spacing w:before="7"/>
              <w:rPr>
                <w:rFonts w:ascii="Cambria"/>
                <w:b/>
                <w:sz w:val="16"/>
              </w:rPr>
            </w:pPr>
          </w:p>
          <w:p w14:paraId="7D9561F6" w14:textId="77777777" w:rsidR="00E27125" w:rsidRDefault="00E27125" w:rsidP="00457B16">
            <w:pPr>
              <w:pStyle w:val="TableParagraph"/>
              <w:spacing w:before="1" w:line="175" w:lineRule="exact"/>
              <w:ind w:left="106"/>
              <w:rPr>
                <w:sz w:val="16"/>
              </w:rPr>
            </w:pPr>
            <w:hyperlink r:id="rId93">
              <w:r>
                <w:rPr>
                  <w:color w:val="0000FF"/>
                  <w:spacing w:val="-2"/>
                  <w:sz w:val="16"/>
                  <w:u w:val="single" w:color="0000FF"/>
                </w:rPr>
                <w:t>kellis@brocooil.com</w:t>
              </w:r>
            </w:hyperlink>
          </w:p>
        </w:tc>
        <w:tc>
          <w:tcPr>
            <w:tcW w:w="990" w:type="dxa"/>
          </w:tcPr>
          <w:p w14:paraId="66DC1FF6" w14:textId="77777777" w:rsidR="00E27125" w:rsidRDefault="00E27125" w:rsidP="00457B16">
            <w:pPr>
              <w:pStyle w:val="TableParagraph"/>
              <w:spacing w:before="7"/>
              <w:rPr>
                <w:rFonts w:ascii="Cambria"/>
                <w:b/>
                <w:sz w:val="16"/>
              </w:rPr>
            </w:pPr>
          </w:p>
          <w:p w14:paraId="25C31B7A" w14:textId="77777777" w:rsidR="00E27125" w:rsidRDefault="00E27125" w:rsidP="00457B16">
            <w:pPr>
              <w:pStyle w:val="TableParagraph"/>
              <w:spacing w:before="1" w:line="175" w:lineRule="exact"/>
              <w:ind w:left="110"/>
              <w:rPr>
                <w:sz w:val="16"/>
              </w:rPr>
            </w:pPr>
            <w:r>
              <w:rPr>
                <w:spacing w:val="-10"/>
                <w:sz w:val="16"/>
              </w:rPr>
              <w:t>X</w:t>
            </w:r>
          </w:p>
        </w:tc>
        <w:tc>
          <w:tcPr>
            <w:tcW w:w="720" w:type="dxa"/>
          </w:tcPr>
          <w:p w14:paraId="4901DB81" w14:textId="77777777" w:rsidR="00E27125" w:rsidRDefault="00E27125" w:rsidP="00457B16">
            <w:pPr>
              <w:pStyle w:val="TableParagraph"/>
              <w:spacing w:before="7"/>
              <w:rPr>
                <w:rFonts w:ascii="Cambria"/>
                <w:b/>
                <w:sz w:val="16"/>
              </w:rPr>
            </w:pPr>
          </w:p>
          <w:p w14:paraId="674EC8F1" w14:textId="77777777" w:rsidR="00E27125" w:rsidRDefault="00E27125" w:rsidP="00457B16">
            <w:pPr>
              <w:pStyle w:val="TableParagraph"/>
              <w:spacing w:before="1" w:line="175" w:lineRule="exact"/>
              <w:ind w:left="110"/>
              <w:rPr>
                <w:sz w:val="16"/>
              </w:rPr>
            </w:pPr>
            <w:r>
              <w:rPr>
                <w:spacing w:val="-2"/>
                <w:sz w:val="16"/>
              </w:rPr>
              <w:t>1, 2, 5</w:t>
            </w:r>
          </w:p>
        </w:tc>
        <w:tc>
          <w:tcPr>
            <w:tcW w:w="1530" w:type="dxa"/>
          </w:tcPr>
          <w:p w14:paraId="547FA0AA" w14:textId="77777777" w:rsidR="00E27125" w:rsidRDefault="00E27125" w:rsidP="00457B16">
            <w:pPr>
              <w:pStyle w:val="TableParagraph"/>
              <w:spacing w:before="7"/>
              <w:rPr>
                <w:rFonts w:ascii="Cambria"/>
                <w:b/>
                <w:sz w:val="16"/>
              </w:rPr>
            </w:pPr>
          </w:p>
          <w:p w14:paraId="3F436ECD" w14:textId="77777777" w:rsidR="00E27125" w:rsidRDefault="00E27125" w:rsidP="00457B16">
            <w:pPr>
              <w:pStyle w:val="TableParagraph"/>
              <w:spacing w:before="1" w:line="175" w:lineRule="exact"/>
              <w:ind w:left="111"/>
              <w:rPr>
                <w:sz w:val="16"/>
              </w:rPr>
            </w:pPr>
            <w:r>
              <w:rPr>
                <w:sz w:val="16"/>
              </w:rPr>
              <w:t>0.01%</w:t>
            </w:r>
            <w:r>
              <w:rPr>
                <w:spacing w:val="-5"/>
                <w:sz w:val="16"/>
              </w:rPr>
              <w:t xml:space="preserve"> </w:t>
            </w:r>
            <w:r>
              <w:rPr>
                <w:sz w:val="16"/>
              </w:rPr>
              <w:t>-</w:t>
            </w:r>
            <w:r>
              <w:rPr>
                <w:spacing w:val="1"/>
                <w:sz w:val="16"/>
              </w:rPr>
              <w:t xml:space="preserve"> </w:t>
            </w:r>
            <w:r>
              <w:rPr>
                <w:sz w:val="16"/>
              </w:rPr>
              <w:t>10</w:t>
            </w:r>
            <w:r>
              <w:rPr>
                <w:spacing w:val="-1"/>
                <w:sz w:val="16"/>
              </w:rPr>
              <w:t xml:space="preserve"> </w:t>
            </w:r>
            <w:r>
              <w:rPr>
                <w:spacing w:val="-4"/>
                <w:sz w:val="16"/>
              </w:rPr>
              <w:t>days</w:t>
            </w:r>
          </w:p>
        </w:tc>
        <w:tc>
          <w:tcPr>
            <w:tcW w:w="1350" w:type="dxa"/>
          </w:tcPr>
          <w:p w14:paraId="18FE8E89" w14:textId="77777777" w:rsidR="00E27125" w:rsidRDefault="00E27125" w:rsidP="00457B16">
            <w:pPr>
              <w:pStyle w:val="TableParagraph"/>
              <w:spacing w:before="7"/>
              <w:rPr>
                <w:rFonts w:ascii="Cambria"/>
                <w:b/>
                <w:sz w:val="16"/>
              </w:rPr>
            </w:pPr>
          </w:p>
          <w:p w14:paraId="78AECBFF" w14:textId="77777777" w:rsidR="00E27125" w:rsidRDefault="00E27125" w:rsidP="00457B16">
            <w:pPr>
              <w:pStyle w:val="TableParagraph"/>
              <w:spacing w:before="1" w:line="175" w:lineRule="exact"/>
              <w:ind w:left="18" w:right="4"/>
              <w:jc w:val="center"/>
              <w:rPr>
                <w:sz w:val="16"/>
              </w:rPr>
            </w:pPr>
            <w:r>
              <w:rPr>
                <w:sz w:val="16"/>
              </w:rPr>
              <w:t>DBE,</w:t>
            </w:r>
            <w:r>
              <w:rPr>
                <w:spacing w:val="-3"/>
                <w:sz w:val="16"/>
              </w:rPr>
              <w:t xml:space="preserve"> </w:t>
            </w:r>
            <w:r>
              <w:rPr>
                <w:spacing w:val="-2"/>
                <w:sz w:val="16"/>
              </w:rPr>
              <w:t>SDVOBE</w:t>
            </w:r>
          </w:p>
        </w:tc>
        <w:tc>
          <w:tcPr>
            <w:tcW w:w="1260" w:type="dxa"/>
          </w:tcPr>
          <w:p w14:paraId="64D4F89C" w14:textId="77777777" w:rsidR="00E27125" w:rsidRDefault="00E27125" w:rsidP="00457B16">
            <w:pPr>
              <w:pStyle w:val="TableParagraph"/>
              <w:spacing w:before="7"/>
              <w:rPr>
                <w:rFonts w:ascii="Cambria"/>
                <w:b/>
                <w:sz w:val="16"/>
              </w:rPr>
            </w:pPr>
          </w:p>
          <w:p w14:paraId="595265FE" w14:textId="77777777" w:rsidR="00E27125" w:rsidRDefault="00E27125" w:rsidP="00457B16">
            <w:pPr>
              <w:pStyle w:val="TableParagraph"/>
              <w:spacing w:before="1" w:line="175" w:lineRule="exact"/>
              <w:ind w:left="23" w:right="3"/>
              <w:jc w:val="center"/>
              <w:rPr>
                <w:sz w:val="16"/>
              </w:rPr>
            </w:pPr>
            <w:r>
              <w:rPr>
                <w:spacing w:val="-5"/>
                <w:sz w:val="16"/>
              </w:rPr>
              <w:t>1%</w:t>
            </w:r>
          </w:p>
        </w:tc>
      </w:tr>
      <w:tr w:rsidR="00E27125" w14:paraId="43B83321" w14:textId="77777777" w:rsidTr="00A85FC1">
        <w:trPr>
          <w:trHeight w:val="390"/>
        </w:trPr>
        <w:tc>
          <w:tcPr>
            <w:tcW w:w="1685" w:type="dxa"/>
          </w:tcPr>
          <w:p w14:paraId="5CA2984D" w14:textId="77777777" w:rsidR="00E27125" w:rsidRDefault="00E27125" w:rsidP="00457B16">
            <w:pPr>
              <w:pStyle w:val="TableParagraph"/>
              <w:spacing w:before="7"/>
              <w:rPr>
                <w:rFonts w:ascii="Cambria"/>
                <w:b/>
                <w:sz w:val="16"/>
              </w:rPr>
            </w:pPr>
          </w:p>
          <w:p w14:paraId="64B9A4E0" w14:textId="77777777" w:rsidR="00E27125" w:rsidRDefault="00E27125" w:rsidP="00457B16">
            <w:pPr>
              <w:pStyle w:val="TableParagraph"/>
              <w:spacing w:before="1" w:line="175" w:lineRule="exact"/>
              <w:ind w:left="107"/>
              <w:rPr>
                <w:sz w:val="16"/>
              </w:rPr>
            </w:pPr>
            <w:r>
              <w:rPr>
                <w:sz w:val="16"/>
              </w:rPr>
              <w:t>East</w:t>
            </w:r>
            <w:r>
              <w:rPr>
                <w:spacing w:val="-5"/>
                <w:sz w:val="16"/>
              </w:rPr>
              <w:t xml:space="preserve"> </w:t>
            </w:r>
            <w:r>
              <w:rPr>
                <w:sz w:val="16"/>
              </w:rPr>
              <w:t>River</w:t>
            </w:r>
            <w:r>
              <w:rPr>
                <w:spacing w:val="-5"/>
                <w:sz w:val="16"/>
              </w:rPr>
              <w:t xml:space="preserve"> </w:t>
            </w:r>
            <w:r>
              <w:rPr>
                <w:spacing w:val="-2"/>
                <w:sz w:val="16"/>
              </w:rPr>
              <w:t>Energy</w:t>
            </w:r>
          </w:p>
        </w:tc>
        <w:tc>
          <w:tcPr>
            <w:tcW w:w="1980" w:type="dxa"/>
          </w:tcPr>
          <w:p w14:paraId="40F71C96" w14:textId="77777777" w:rsidR="00E27125" w:rsidRDefault="00E27125" w:rsidP="00457B16">
            <w:pPr>
              <w:pStyle w:val="TableParagraph"/>
              <w:spacing w:line="194" w:lineRule="exact"/>
              <w:ind w:left="12" w:right="4"/>
              <w:jc w:val="center"/>
              <w:rPr>
                <w:sz w:val="16"/>
              </w:rPr>
            </w:pPr>
            <w:hyperlink r:id="rId94">
              <w:r>
                <w:rPr>
                  <w:color w:val="0000FF"/>
                  <w:spacing w:val="-2"/>
                  <w:sz w:val="16"/>
                  <w:u w:val="single" w:color="0000FF"/>
                </w:rPr>
                <w:t>PO-21-1080-OSD03-</w:t>
              </w:r>
            </w:hyperlink>
          </w:p>
          <w:p w14:paraId="63107FF4" w14:textId="77777777" w:rsidR="00E27125" w:rsidRDefault="00E27125" w:rsidP="00457B16">
            <w:pPr>
              <w:pStyle w:val="TableParagraph"/>
              <w:spacing w:before="1" w:line="175" w:lineRule="exact"/>
              <w:ind w:left="12"/>
              <w:jc w:val="center"/>
              <w:rPr>
                <w:sz w:val="16"/>
              </w:rPr>
            </w:pPr>
            <w:hyperlink r:id="rId95">
              <w:r>
                <w:rPr>
                  <w:color w:val="0000FF"/>
                  <w:spacing w:val="-2"/>
                  <w:sz w:val="16"/>
                  <w:u w:val="single" w:color="0000FF"/>
                </w:rPr>
                <w:t>SRC02-23101</w:t>
              </w:r>
            </w:hyperlink>
          </w:p>
        </w:tc>
        <w:tc>
          <w:tcPr>
            <w:tcW w:w="1530" w:type="dxa"/>
          </w:tcPr>
          <w:p w14:paraId="0B09AF33" w14:textId="77777777" w:rsidR="00E27125" w:rsidRDefault="00E27125" w:rsidP="00457B16">
            <w:pPr>
              <w:pStyle w:val="TableParagraph"/>
              <w:spacing w:line="194" w:lineRule="exact"/>
              <w:ind w:left="108"/>
              <w:rPr>
                <w:sz w:val="16"/>
              </w:rPr>
            </w:pPr>
            <w:r>
              <w:rPr>
                <w:spacing w:val="-2"/>
                <w:sz w:val="16"/>
              </w:rPr>
              <w:t>Maryann</w:t>
            </w:r>
          </w:p>
          <w:p w14:paraId="0D92FF2A" w14:textId="77777777" w:rsidR="00E27125" w:rsidRDefault="00E27125" w:rsidP="00457B16">
            <w:pPr>
              <w:pStyle w:val="TableParagraph"/>
              <w:spacing w:before="1" w:line="175" w:lineRule="exact"/>
              <w:ind w:left="108"/>
              <w:rPr>
                <w:sz w:val="16"/>
              </w:rPr>
            </w:pPr>
            <w:r>
              <w:rPr>
                <w:spacing w:val="-2"/>
                <w:sz w:val="16"/>
              </w:rPr>
              <w:t>Little</w:t>
            </w:r>
          </w:p>
        </w:tc>
        <w:tc>
          <w:tcPr>
            <w:tcW w:w="1170" w:type="dxa"/>
          </w:tcPr>
          <w:p w14:paraId="5B53943F" w14:textId="77777777" w:rsidR="00E27125" w:rsidRDefault="00E27125" w:rsidP="00457B16">
            <w:pPr>
              <w:pStyle w:val="TableParagraph"/>
              <w:spacing w:before="7"/>
              <w:rPr>
                <w:rFonts w:ascii="Cambria"/>
                <w:b/>
                <w:sz w:val="16"/>
              </w:rPr>
            </w:pPr>
          </w:p>
          <w:p w14:paraId="306B1240" w14:textId="77777777" w:rsidR="00E27125" w:rsidRDefault="00E27125" w:rsidP="00457B16">
            <w:pPr>
              <w:pStyle w:val="TableParagraph"/>
              <w:spacing w:before="1" w:line="175" w:lineRule="exact"/>
              <w:ind w:left="108"/>
              <w:rPr>
                <w:sz w:val="16"/>
              </w:rPr>
            </w:pPr>
            <w:r>
              <w:rPr>
                <w:spacing w:val="-2"/>
                <w:sz w:val="16"/>
              </w:rPr>
              <w:t>1-800-336-</w:t>
            </w:r>
            <w:r>
              <w:rPr>
                <w:spacing w:val="-4"/>
                <w:sz w:val="16"/>
              </w:rPr>
              <w:t>3762</w:t>
            </w:r>
          </w:p>
        </w:tc>
        <w:tc>
          <w:tcPr>
            <w:tcW w:w="2070" w:type="dxa"/>
          </w:tcPr>
          <w:p w14:paraId="16A7E12B" w14:textId="77777777" w:rsidR="00E27125" w:rsidRDefault="00E27125" w:rsidP="00457B16">
            <w:pPr>
              <w:pStyle w:val="TableParagraph"/>
              <w:spacing w:before="7"/>
              <w:rPr>
                <w:rFonts w:ascii="Cambria"/>
                <w:b/>
                <w:sz w:val="16"/>
              </w:rPr>
            </w:pPr>
          </w:p>
          <w:p w14:paraId="4175DFC6" w14:textId="77777777" w:rsidR="00E27125" w:rsidRDefault="00E27125" w:rsidP="00457B16">
            <w:pPr>
              <w:pStyle w:val="TableParagraph"/>
              <w:spacing w:before="1" w:line="175" w:lineRule="exact"/>
              <w:ind w:left="106"/>
              <w:rPr>
                <w:sz w:val="16"/>
              </w:rPr>
            </w:pPr>
            <w:hyperlink r:id="rId96">
              <w:r>
                <w:rPr>
                  <w:color w:val="0000FF"/>
                  <w:spacing w:val="-2"/>
                  <w:sz w:val="16"/>
                  <w:u w:val="single" w:color="0000FF"/>
                </w:rPr>
                <w:t>mel@eastriverenergy.com</w:t>
              </w:r>
            </w:hyperlink>
          </w:p>
        </w:tc>
        <w:tc>
          <w:tcPr>
            <w:tcW w:w="990" w:type="dxa"/>
          </w:tcPr>
          <w:p w14:paraId="62168EC3" w14:textId="77777777" w:rsidR="00E27125" w:rsidRDefault="00E27125" w:rsidP="00457B16">
            <w:pPr>
              <w:pStyle w:val="TableParagraph"/>
              <w:spacing w:before="7"/>
              <w:rPr>
                <w:rFonts w:ascii="Cambria"/>
                <w:b/>
                <w:sz w:val="16"/>
              </w:rPr>
            </w:pPr>
          </w:p>
          <w:p w14:paraId="166FB4E5" w14:textId="77777777" w:rsidR="00E27125" w:rsidRDefault="00E27125" w:rsidP="00457B16">
            <w:pPr>
              <w:pStyle w:val="TableParagraph"/>
              <w:spacing w:before="1" w:line="175" w:lineRule="exact"/>
              <w:ind w:left="110"/>
              <w:rPr>
                <w:sz w:val="16"/>
              </w:rPr>
            </w:pPr>
            <w:r>
              <w:rPr>
                <w:spacing w:val="-10"/>
                <w:sz w:val="16"/>
              </w:rPr>
              <w:t>X</w:t>
            </w:r>
          </w:p>
        </w:tc>
        <w:tc>
          <w:tcPr>
            <w:tcW w:w="720" w:type="dxa"/>
          </w:tcPr>
          <w:p w14:paraId="567B77CD" w14:textId="77777777" w:rsidR="00E27125" w:rsidRDefault="00E27125" w:rsidP="00457B16">
            <w:pPr>
              <w:pStyle w:val="TableParagraph"/>
              <w:spacing w:before="7"/>
              <w:rPr>
                <w:rFonts w:ascii="Cambria"/>
                <w:b/>
                <w:sz w:val="16"/>
              </w:rPr>
            </w:pPr>
          </w:p>
          <w:p w14:paraId="59AFDFAB" w14:textId="77777777" w:rsidR="00E27125" w:rsidRDefault="00E27125" w:rsidP="00457B16">
            <w:pPr>
              <w:pStyle w:val="TableParagraph"/>
              <w:spacing w:before="1" w:line="175" w:lineRule="exact"/>
              <w:ind w:left="110"/>
              <w:rPr>
                <w:sz w:val="16"/>
              </w:rPr>
            </w:pPr>
            <w:r>
              <w:rPr>
                <w:spacing w:val="-10"/>
                <w:sz w:val="16"/>
              </w:rPr>
              <w:t>6</w:t>
            </w:r>
          </w:p>
        </w:tc>
        <w:tc>
          <w:tcPr>
            <w:tcW w:w="1530" w:type="dxa"/>
          </w:tcPr>
          <w:p w14:paraId="4B24880D" w14:textId="77777777" w:rsidR="00E27125" w:rsidRDefault="00E27125" w:rsidP="00457B16">
            <w:pPr>
              <w:pStyle w:val="TableParagraph"/>
              <w:spacing w:line="194" w:lineRule="exact"/>
              <w:ind w:left="111"/>
              <w:rPr>
                <w:sz w:val="16"/>
              </w:rPr>
            </w:pPr>
            <w:r>
              <w:rPr>
                <w:sz w:val="16"/>
              </w:rPr>
              <w:t>0.00125%</w:t>
            </w:r>
            <w:r>
              <w:rPr>
                <w:spacing w:val="-2"/>
                <w:sz w:val="16"/>
              </w:rPr>
              <w:t xml:space="preserve"> </w:t>
            </w:r>
            <w:r>
              <w:rPr>
                <w:sz w:val="16"/>
              </w:rPr>
              <w:t xml:space="preserve">- </w:t>
            </w:r>
            <w:r>
              <w:rPr>
                <w:spacing w:val="-5"/>
                <w:sz w:val="16"/>
              </w:rPr>
              <w:t>10</w:t>
            </w:r>
          </w:p>
          <w:p w14:paraId="538427E6" w14:textId="77777777" w:rsidR="00E27125" w:rsidRDefault="00E27125" w:rsidP="00457B16">
            <w:pPr>
              <w:pStyle w:val="TableParagraph"/>
              <w:spacing w:before="1" w:line="175" w:lineRule="exact"/>
              <w:ind w:left="111"/>
              <w:rPr>
                <w:sz w:val="16"/>
              </w:rPr>
            </w:pPr>
            <w:r>
              <w:rPr>
                <w:spacing w:val="-4"/>
                <w:sz w:val="16"/>
              </w:rPr>
              <w:t>days</w:t>
            </w:r>
          </w:p>
        </w:tc>
        <w:tc>
          <w:tcPr>
            <w:tcW w:w="1350" w:type="dxa"/>
          </w:tcPr>
          <w:p w14:paraId="0FFB7FD8" w14:textId="77777777" w:rsidR="00E27125" w:rsidRDefault="00E27125" w:rsidP="00457B16">
            <w:pPr>
              <w:pStyle w:val="TableParagraph"/>
              <w:spacing w:before="7"/>
              <w:rPr>
                <w:rFonts w:ascii="Cambria"/>
                <w:b/>
                <w:sz w:val="16"/>
              </w:rPr>
            </w:pPr>
          </w:p>
          <w:p w14:paraId="3E643A6A" w14:textId="77777777" w:rsidR="00E27125" w:rsidRDefault="00E27125" w:rsidP="00457B16">
            <w:pPr>
              <w:pStyle w:val="TableParagraph"/>
              <w:spacing w:before="1" w:line="175" w:lineRule="exact"/>
              <w:ind w:left="18"/>
              <w:jc w:val="center"/>
              <w:rPr>
                <w:sz w:val="16"/>
              </w:rPr>
            </w:pPr>
            <w:r>
              <w:rPr>
                <w:spacing w:val="-5"/>
                <w:sz w:val="16"/>
              </w:rPr>
              <w:t>N/A</w:t>
            </w:r>
          </w:p>
        </w:tc>
        <w:tc>
          <w:tcPr>
            <w:tcW w:w="1260" w:type="dxa"/>
          </w:tcPr>
          <w:p w14:paraId="2621D026" w14:textId="77777777" w:rsidR="00E27125" w:rsidRDefault="00E27125" w:rsidP="00457B16">
            <w:pPr>
              <w:pStyle w:val="TableParagraph"/>
              <w:spacing w:before="7"/>
              <w:rPr>
                <w:rFonts w:ascii="Cambria"/>
                <w:b/>
                <w:sz w:val="16"/>
              </w:rPr>
            </w:pPr>
          </w:p>
          <w:p w14:paraId="7A3AFAE6" w14:textId="77777777" w:rsidR="00E27125" w:rsidRDefault="00E27125" w:rsidP="00457B16">
            <w:pPr>
              <w:pStyle w:val="TableParagraph"/>
              <w:spacing w:before="1" w:line="175" w:lineRule="exact"/>
              <w:ind w:left="23" w:right="3"/>
              <w:jc w:val="center"/>
              <w:rPr>
                <w:sz w:val="16"/>
              </w:rPr>
            </w:pPr>
            <w:r>
              <w:rPr>
                <w:spacing w:val="-5"/>
                <w:sz w:val="16"/>
              </w:rPr>
              <w:t>1%</w:t>
            </w:r>
          </w:p>
        </w:tc>
      </w:tr>
      <w:tr w:rsidR="00E27125" w14:paraId="7E950202" w14:textId="77777777" w:rsidTr="00A85FC1">
        <w:trPr>
          <w:trHeight w:val="390"/>
        </w:trPr>
        <w:tc>
          <w:tcPr>
            <w:tcW w:w="1685" w:type="dxa"/>
          </w:tcPr>
          <w:p w14:paraId="0C8E5049" w14:textId="77777777" w:rsidR="00E27125" w:rsidRDefault="00E27125" w:rsidP="00457B16">
            <w:pPr>
              <w:pStyle w:val="TableParagraph"/>
              <w:spacing w:before="7"/>
              <w:rPr>
                <w:rFonts w:ascii="Cambria"/>
                <w:b/>
                <w:sz w:val="16"/>
              </w:rPr>
            </w:pPr>
          </w:p>
          <w:p w14:paraId="4AAAA516" w14:textId="77777777" w:rsidR="00E27125" w:rsidRDefault="00E27125" w:rsidP="00457B16">
            <w:pPr>
              <w:pStyle w:val="TableParagraph"/>
              <w:spacing w:before="1" w:line="175" w:lineRule="exact"/>
              <w:ind w:left="107"/>
              <w:rPr>
                <w:sz w:val="16"/>
              </w:rPr>
            </w:pPr>
            <w:r>
              <w:rPr>
                <w:sz w:val="16"/>
              </w:rPr>
              <w:t>Global</w:t>
            </w:r>
            <w:r>
              <w:rPr>
                <w:spacing w:val="-9"/>
                <w:sz w:val="16"/>
              </w:rPr>
              <w:t xml:space="preserve"> </w:t>
            </w:r>
            <w:r>
              <w:rPr>
                <w:spacing w:val="-2"/>
                <w:sz w:val="16"/>
              </w:rPr>
              <w:t>Montello</w:t>
            </w:r>
          </w:p>
        </w:tc>
        <w:tc>
          <w:tcPr>
            <w:tcW w:w="1980" w:type="dxa"/>
          </w:tcPr>
          <w:p w14:paraId="0F8C090C" w14:textId="77777777" w:rsidR="00E27125" w:rsidRDefault="00E27125" w:rsidP="00457B16">
            <w:pPr>
              <w:pStyle w:val="TableParagraph"/>
              <w:spacing w:line="194" w:lineRule="exact"/>
              <w:ind w:left="12" w:right="4"/>
              <w:jc w:val="center"/>
              <w:rPr>
                <w:sz w:val="16"/>
              </w:rPr>
            </w:pPr>
            <w:hyperlink r:id="rId97">
              <w:r>
                <w:rPr>
                  <w:color w:val="0000FF"/>
                  <w:spacing w:val="-2"/>
                  <w:sz w:val="16"/>
                  <w:u w:val="single" w:color="0000FF"/>
                </w:rPr>
                <w:t>PO-21-1080-OSD03-</w:t>
              </w:r>
            </w:hyperlink>
          </w:p>
          <w:p w14:paraId="0A43D2DA" w14:textId="77777777" w:rsidR="00E27125" w:rsidRDefault="00E27125" w:rsidP="00457B16">
            <w:pPr>
              <w:pStyle w:val="TableParagraph"/>
              <w:spacing w:before="1" w:line="175" w:lineRule="exact"/>
              <w:ind w:left="12"/>
              <w:jc w:val="center"/>
              <w:rPr>
                <w:sz w:val="16"/>
              </w:rPr>
            </w:pPr>
            <w:hyperlink r:id="rId98">
              <w:r>
                <w:rPr>
                  <w:color w:val="0000FF"/>
                  <w:spacing w:val="-2"/>
                  <w:sz w:val="16"/>
                  <w:u w:val="single" w:color="0000FF"/>
                </w:rPr>
                <w:t>SRC02-23102</w:t>
              </w:r>
            </w:hyperlink>
          </w:p>
        </w:tc>
        <w:tc>
          <w:tcPr>
            <w:tcW w:w="1530" w:type="dxa"/>
          </w:tcPr>
          <w:p w14:paraId="66FC9F3A" w14:textId="77777777" w:rsidR="00E27125" w:rsidRDefault="00E27125" w:rsidP="00457B16">
            <w:pPr>
              <w:pStyle w:val="TableParagraph"/>
              <w:spacing w:line="194" w:lineRule="exact"/>
              <w:ind w:left="108"/>
              <w:rPr>
                <w:sz w:val="16"/>
              </w:rPr>
            </w:pPr>
            <w:r>
              <w:rPr>
                <w:spacing w:val="-2"/>
                <w:sz w:val="16"/>
              </w:rPr>
              <w:t>Kathryn</w:t>
            </w:r>
          </w:p>
          <w:p w14:paraId="04757075" w14:textId="77777777" w:rsidR="00E27125" w:rsidRDefault="00E27125" w:rsidP="00457B16">
            <w:pPr>
              <w:pStyle w:val="TableParagraph"/>
              <w:spacing w:before="1" w:line="175" w:lineRule="exact"/>
              <w:ind w:left="108"/>
              <w:rPr>
                <w:sz w:val="16"/>
              </w:rPr>
            </w:pPr>
            <w:r>
              <w:rPr>
                <w:spacing w:val="-2"/>
                <w:sz w:val="16"/>
              </w:rPr>
              <w:t>Doherty</w:t>
            </w:r>
          </w:p>
        </w:tc>
        <w:tc>
          <w:tcPr>
            <w:tcW w:w="1170" w:type="dxa"/>
          </w:tcPr>
          <w:p w14:paraId="2867D9B3" w14:textId="77777777" w:rsidR="00E27125" w:rsidRDefault="00E27125" w:rsidP="00457B16">
            <w:pPr>
              <w:pStyle w:val="TableParagraph"/>
              <w:spacing w:before="7"/>
              <w:rPr>
                <w:rFonts w:ascii="Cambria"/>
                <w:b/>
                <w:sz w:val="16"/>
              </w:rPr>
            </w:pPr>
          </w:p>
          <w:p w14:paraId="33176D69" w14:textId="77777777" w:rsidR="00E27125" w:rsidRDefault="00E27125" w:rsidP="00457B16">
            <w:pPr>
              <w:pStyle w:val="TableParagraph"/>
              <w:spacing w:before="1" w:line="175" w:lineRule="exact"/>
              <w:ind w:left="108"/>
              <w:rPr>
                <w:sz w:val="16"/>
              </w:rPr>
            </w:pPr>
            <w:r>
              <w:rPr>
                <w:spacing w:val="-2"/>
                <w:sz w:val="16"/>
              </w:rPr>
              <w:t>781-398-</w:t>
            </w:r>
            <w:r>
              <w:rPr>
                <w:spacing w:val="-4"/>
                <w:sz w:val="16"/>
              </w:rPr>
              <w:t>4003</w:t>
            </w:r>
          </w:p>
        </w:tc>
        <w:tc>
          <w:tcPr>
            <w:tcW w:w="2070" w:type="dxa"/>
          </w:tcPr>
          <w:p w14:paraId="24CD36A1" w14:textId="77777777" w:rsidR="00E27125" w:rsidRDefault="00E27125" w:rsidP="00457B16">
            <w:pPr>
              <w:pStyle w:val="TableParagraph"/>
              <w:spacing w:before="7"/>
              <w:rPr>
                <w:rFonts w:ascii="Cambria"/>
                <w:b/>
                <w:sz w:val="16"/>
              </w:rPr>
            </w:pPr>
          </w:p>
          <w:p w14:paraId="6FB57E06" w14:textId="77777777" w:rsidR="00E27125" w:rsidRDefault="00E27125" w:rsidP="00457B16">
            <w:pPr>
              <w:pStyle w:val="TableParagraph"/>
              <w:spacing w:before="1" w:line="175" w:lineRule="exact"/>
              <w:ind w:left="106"/>
              <w:rPr>
                <w:sz w:val="16"/>
              </w:rPr>
            </w:pPr>
            <w:hyperlink r:id="rId99">
              <w:r>
                <w:rPr>
                  <w:color w:val="0000FF"/>
                  <w:spacing w:val="-2"/>
                  <w:sz w:val="16"/>
                  <w:u w:val="single" w:color="0000FF"/>
                </w:rPr>
                <w:t>bids@globalp.com</w:t>
              </w:r>
            </w:hyperlink>
          </w:p>
        </w:tc>
        <w:tc>
          <w:tcPr>
            <w:tcW w:w="990" w:type="dxa"/>
          </w:tcPr>
          <w:p w14:paraId="20B0AD95" w14:textId="77777777" w:rsidR="00E27125" w:rsidRDefault="00E27125" w:rsidP="00457B16">
            <w:pPr>
              <w:pStyle w:val="TableParagraph"/>
              <w:spacing w:before="7"/>
              <w:rPr>
                <w:rFonts w:ascii="Cambria"/>
                <w:b/>
                <w:sz w:val="16"/>
              </w:rPr>
            </w:pPr>
          </w:p>
          <w:p w14:paraId="34FFFB48" w14:textId="77777777" w:rsidR="00E27125" w:rsidRDefault="00E27125" w:rsidP="00457B16">
            <w:pPr>
              <w:pStyle w:val="TableParagraph"/>
              <w:spacing w:before="1" w:line="175" w:lineRule="exact"/>
              <w:ind w:left="110"/>
              <w:rPr>
                <w:sz w:val="16"/>
              </w:rPr>
            </w:pPr>
            <w:r>
              <w:rPr>
                <w:spacing w:val="-10"/>
                <w:sz w:val="16"/>
              </w:rPr>
              <w:t>X</w:t>
            </w:r>
          </w:p>
        </w:tc>
        <w:tc>
          <w:tcPr>
            <w:tcW w:w="720" w:type="dxa"/>
          </w:tcPr>
          <w:p w14:paraId="5B57BDF0" w14:textId="77777777" w:rsidR="00E27125" w:rsidRDefault="00E27125" w:rsidP="00457B16">
            <w:pPr>
              <w:pStyle w:val="TableParagraph"/>
              <w:spacing w:before="7"/>
              <w:rPr>
                <w:rFonts w:ascii="Cambria"/>
                <w:b/>
                <w:sz w:val="16"/>
              </w:rPr>
            </w:pPr>
          </w:p>
          <w:p w14:paraId="501E96A6" w14:textId="77777777" w:rsidR="00E27125" w:rsidRDefault="00E27125" w:rsidP="00457B16">
            <w:pPr>
              <w:pStyle w:val="TableParagraph"/>
              <w:spacing w:before="1" w:line="175" w:lineRule="exact"/>
              <w:ind w:left="110"/>
              <w:rPr>
                <w:sz w:val="16"/>
              </w:rPr>
            </w:pPr>
            <w:r>
              <w:rPr>
                <w:spacing w:val="-5"/>
                <w:sz w:val="16"/>
              </w:rPr>
              <w:t>All</w:t>
            </w:r>
          </w:p>
        </w:tc>
        <w:tc>
          <w:tcPr>
            <w:tcW w:w="1530" w:type="dxa"/>
          </w:tcPr>
          <w:p w14:paraId="40863ED0" w14:textId="77777777" w:rsidR="00E27125" w:rsidRDefault="00E27125" w:rsidP="00457B16">
            <w:pPr>
              <w:pStyle w:val="TableParagraph"/>
              <w:spacing w:before="7"/>
              <w:rPr>
                <w:rFonts w:ascii="Cambria"/>
                <w:b/>
                <w:sz w:val="16"/>
              </w:rPr>
            </w:pPr>
          </w:p>
          <w:p w14:paraId="7924899A" w14:textId="77777777" w:rsidR="00E27125" w:rsidRDefault="00E27125" w:rsidP="00457B16">
            <w:pPr>
              <w:pStyle w:val="TableParagraph"/>
              <w:spacing w:before="1" w:line="175" w:lineRule="exact"/>
              <w:ind w:left="111"/>
              <w:rPr>
                <w:sz w:val="16"/>
              </w:rPr>
            </w:pPr>
            <w:r>
              <w:rPr>
                <w:sz w:val="16"/>
              </w:rPr>
              <w:t>0.25%</w:t>
            </w:r>
            <w:r>
              <w:rPr>
                <w:spacing w:val="-5"/>
                <w:sz w:val="16"/>
              </w:rPr>
              <w:t xml:space="preserve"> </w:t>
            </w:r>
            <w:r>
              <w:rPr>
                <w:sz w:val="16"/>
              </w:rPr>
              <w:t>-</w:t>
            </w:r>
            <w:r>
              <w:rPr>
                <w:spacing w:val="1"/>
                <w:sz w:val="16"/>
              </w:rPr>
              <w:t xml:space="preserve"> </w:t>
            </w:r>
            <w:r>
              <w:rPr>
                <w:sz w:val="16"/>
              </w:rPr>
              <w:t>10</w:t>
            </w:r>
            <w:r>
              <w:rPr>
                <w:spacing w:val="-1"/>
                <w:sz w:val="16"/>
              </w:rPr>
              <w:t xml:space="preserve"> </w:t>
            </w:r>
            <w:r>
              <w:rPr>
                <w:spacing w:val="-4"/>
                <w:sz w:val="16"/>
              </w:rPr>
              <w:t>days</w:t>
            </w:r>
          </w:p>
        </w:tc>
        <w:tc>
          <w:tcPr>
            <w:tcW w:w="1350" w:type="dxa"/>
          </w:tcPr>
          <w:p w14:paraId="09BFC333" w14:textId="77777777" w:rsidR="00E27125" w:rsidRDefault="00E27125" w:rsidP="00457B16">
            <w:pPr>
              <w:pStyle w:val="TableParagraph"/>
              <w:spacing w:before="7"/>
              <w:rPr>
                <w:rFonts w:ascii="Cambria"/>
                <w:b/>
                <w:sz w:val="16"/>
              </w:rPr>
            </w:pPr>
          </w:p>
          <w:p w14:paraId="1CB01E85" w14:textId="77777777" w:rsidR="00E27125" w:rsidRDefault="00E27125" w:rsidP="00457B16">
            <w:pPr>
              <w:pStyle w:val="TableParagraph"/>
              <w:spacing w:before="1" w:line="175" w:lineRule="exact"/>
              <w:ind w:left="18"/>
              <w:jc w:val="center"/>
              <w:rPr>
                <w:sz w:val="16"/>
              </w:rPr>
            </w:pPr>
            <w:r>
              <w:rPr>
                <w:spacing w:val="-5"/>
                <w:sz w:val="16"/>
              </w:rPr>
              <w:t>N/A</w:t>
            </w:r>
          </w:p>
        </w:tc>
        <w:tc>
          <w:tcPr>
            <w:tcW w:w="1260" w:type="dxa"/>
          </w:tcPr>
          <w:p w14:paraId="2B8FA77D" w14:textId="77777777" w:rsidR="00E27125" w:rsidRDefault="00E27125" w:rsidP="00457B16">
            <w:pPr>
              <w:pStyle w:val="TableParagraph"/>
              <w:spacing w:before="7"/>
              <w:rPr>
                <w:rFonts w:ascii="Cambria"/>
                <w:b/>
                <w:sz w:val="16"/>
              </w:rPr>
            </w:pPr>
          </w:p>
          <w:p w14:paraId="411931B7" w14:textId="77777777" w:rsidR="00E27125" w:rsidRDefault="00E27125" w:rsidP="00457B16">
            <w:pPr>
              <w:pStyle w:val="TableParagraph"/>
              <w:spacing w:before="1" w:line="175" w:lineRule="exact"/>
              <w:ind w:left="23" w:right="3"/>
              <w:jc w:val="center"/>
              <w:rPr>
                <w:sz w:val="16"/>
              </w:rPr>
            </w:pPr>
            <w:r>
              <w:rPr>
                <w:spacing w:val="-5"/>
                <w:sz w:val="16"/>
              </w:rPr>
              <w:t>2%</w:t>
            </w:r>
          </w:p>
        </w:tc>
      </w:tr>
      <w:tr w:rsidR="00E27125" w14:paraId="6821030E" w14:textId="77777777" w:rsidTr="00A85FC1">
        <w:trPr>
          <w:trHeight w:val="390"/>
        </w:trPr>
        <w:tc>
          <w:tcPr>
            <w:tcW w:w="1685" w:type="dxa"/>
          </w:tcPr>
          <w:p w14:paraId="357B0056" w14:textId="77777777" w:rsidR="00E27125" w:rsidRDefault="00E27125" w:rsidP="00457B16">
            <w:pPr>
              <w:pStyle w:val="TableParagraph"/>
              <w:spacing w:before="5"/>
              <w:rPr>
                <w:rFonts w:ascii="Cambria"/>
                <w:b/>
                <w:sz w:val="16"/>
              </w:rPr>
            </w:pPr>
          </w:p>
          <w:p w14:paraId="4AC8B597" w14:textId="77777777" w:rsidR="00E27125" w:rsidRDefault="00E27125" w:rsidP="00457B16">
            <w:pPr>
              <w:pStyle w:val="TableParagraph"/>
              <w:spacing w:line="178" w:lineRule="exact"/>
              <w:ind w:left="107"/>
              <w:rPr>
                <w:sz w:val="16"/>
              </w:rPr>
            </w:pPr>
            <w:r>
              <w:rPr>
                <w:sz w:val="16"/>
              </w:rPr>
              <w:t>Peterson's</w:t>
            </w:r>
            <w:r>
              <w:rPr>
                <w:spacing w:val="-9"/>
                <w:sz w:val="16"/>
              </w:rPr>
              <w:t xml:space="preserve"> </w:t>
            </w:r>
            <w:r>
              <w:rPr>
                <w:spacing w:val="-5"/>
                <w:sz w:val="16"/>
              </w:rPr>
              <w:t>Oil</w:t>
            </w:r>
          </w:p>
        </w:tc>
        <w:tc>
          <w:tcPr>
            <w:tcW w:w="1980" w:type="dxa"/>
          </w:tcPr>
          <w:p w14:paraId="10EB2D3D" w14:textId="77777777" w:rsidR="00E27125" w:rsidRDefault="00E27125" w:rsidP="00457B16">
            <w:pPr>
              <w:pStyle w:val="TableParagraph"/>
              <w:spacing w:line="194" w:lineRule="exact"/>
              <w:ind w:left="12" w:right="4"/>
              <w:jc w:val="center"/>
              <w:rPr>
                <w:sz w:val="16"/>
              </w:rPr>
            </w:pPr>
            <w:hyperlink r:id="rId100">
              <w:r>
                <w:rPr>
                  <w:color w:val="0000FF"/>
                  <w:spacing w:val="-2"/>
                  <w:sz w:val="16"/>
                  <w:u w:val="single" w:color="0000FF"/>
                </w:rPr>
                <w:t>PO-21-1080-OSD03-</w:t>
              </w:r>
            </w:hyperlink>
          </w:p>
          <w:p w14:paraId="2933264C" w14:textId="77777777" w:rsidR="00E27125" w:rsidRDefault="00E27125" w:rsidP="00457B16">
            <w:pPr>
              <w:pStyle w:val="TableParagraph"/>
              <w:spacing w:line="177" w:lineRule="exact"/>
              <w:ind w:left="12"/>
              <w:jc w:val="center"/>
              <w:rPr>
                <w:sz w:val="16"/>
              </w:rPr>
            </w:pPr>
            <w:hyperlink r:id="rId101">
              <w:r>
                <w:rPr>
                  <w:color w:val="0000FF"/>
                  <w:spacing w:val="-2"/>
                  <w:sz w:val="16"/>
                  <w:u w:val="single" w:color="0000FF"/>
                </w:rPr>
                <w:t>SRC02-23100</w:t>
              </w:r>
            </w:hyperlink>
          </w:p>
        </w:tc>
        <w:tc>
          <w:tcPr>
            <w:tcW w:w="1530" w:type="dxa"/>
          </w:tcPr>
          <w:p w14:paraId="2A5100BC" w14:textId="77777777" w:rsidR="00E27125" w:rsidRDefault="00E27125" w:rsidP="00457B16">
            <w:pPr>
              <w:pStyle w:val="TableParagraph"/>
              <w:spacing w:before="5"/>
              <w:rPr>
                <w:rFonts w:ascii="Cambria"/>
                <w:b/>
                <w:sz w:val="16"/>
              </w:rPr>
            </w:pPr>
          </w:p>
          <w:p w14:paraId="0095FEF2" w14:textId="77777777" w:rsidR="00E27125" w:rsidRDefault="00E27125" w:rsidP="00457B16">
            <w:pPr>
              <w:pStyle w:val="TableParagraph"/>
              <w:spacing w:line="178" w:lineRule="exact"/>
              <w:ind w:left="108"/>
              <w:rPr>
                <w:sz w:val="16"/>
              </w:rPr>
            </w:pPr>
            <w:r>
              <w:rPr>
                <w:sz w:val="16"/>
              </w:rPr>
              <w:t>Wendy</w:t>
            </w:r>
            <w:r>
              <w:rPr>
                <w:spacing w:val="-4"/>
                <w:sz w:val="16"/>
              </w:rPr>
              <w:t xml:space="preserve"> </w:t>
            </w:r>
            <w:r>
              <w:rPr>
                <w:spacing w:val="-2"/>
                <w:sz w:val="16"/>
              </w:rPr>
              <w:t>Renzi</w:t>
            </w:r>
          </w:p>
        </w:tc>
        <w:tc>
          <w:tcPr>
            <w:tcW w:w="1170" w:type="dxa"/>
          </w:tcPr>
          <w:p w14:paraId="15624ACE" w14:textId="77777777" w:rsidR="00E27125" w:rsidRDefault="00E27125" w:rsidP="00457B16">
            <w:pPr>
              <w:pStyle w:val="TableParagraph"/>
              <w:spacing w:before="5"/>
              <w:rPr>
                <w:rFonts w:ascii="Cambria"/>
                <w:b/>
                <w:sz w:val="16"/>
              </w:rPr>
            </w:pPr>
          </w:p>
          <w:p w14:paraId="76DC7FD9" w14:textId="77777777" w:rsidR="00E27125" w:rsidRDefault="00E27125" w:rsidP="00457B16">
            <w:pPr>
              <w:pStyle w:val="TableParagraph"/>
              <w:spacing w:line="178" w:lineRule="exact"/>
              <w:ind w:left="108"/>
              <w:rPr>
                <w:sz w:val="16"/>
              </w:rPr>
            </w:pPr>
            <w:r>
              <w:rPr>
                <w:spacing w:val="-2"/>
                <w:sz w:val="16"/>
              </w:rPr>
              <w:t>508-368-</w:t>
            </w:r>
            <w:r>
              <w:rPr>
                <w:spacing w:val="-4"/>
                <w:sz w:val="16"/>
              </w:rPr>
              <w:t>1000</w:t>
            </w:r>
          </w:p>
        </w:tc>
        <w:tc>
          <w:tcPr>
            <w:tcW w:w="2070" w:type="dxa"/>
          </w:tcPr>
          <w:p w14:paraId="0421AA53" w14:textId="77777777" w:rsidR="00E27125" w:rsidRDefault="00E27125" w:rsidP="00457B16">
            <w:pPr>
              <w:pStyle w:val="TableParagraph"/>
              <w:spacing w:before="5"/>
              <w:rPr>
                <w:rFonts w:ascii="Cambria"/>
                <w:b/>
                <w:sz w:val="16"/>
              </w:rPr>
            </w:pPr>
          </w:p>
          <w:p w14:paraId="1A8FDF09" w14:textId="77777777" w:rsidR="00E27125" w:rsidRDefault="00E27125" w:rsidP="00457B16">
            <w:pPr>
              <w:pStyle w:val="TableParagraph"/>
              <w:spacing w:line="178" w:lineRule="exact"/>
              <w:ind w:left="106"/>
              <w:rPr>
                <w:sz w:val="16"/>
              </w:rPr>
            </w:pPr>
            <w:hyperlink r:id="rId102">
              <w:r>
                <w:rPr>
                  <w:color w:val="0000FF"/>
                  <w:spacing w:val="-2"/>
                  <w:sz w:val="16"/>
                  <w:u w:val="single" w:color="0000FF"/>
                </w:rPr>
                <w:t>wrenzi@petersonoil.com</w:t>
              </w:r>
            </w:hyperlink>
          </w:p>
        </w:tc>
        <w:tc>
          <w:tcPr>
            <w:tcW w:w="990" w:type="dxa"/>
          </w:tcPr>
          <w:p w14:paraId="1C6C2E8B" w14:textId="77777777" w:rsidR="00E27125" w:rsidRDefault="00E27125" w:rsidP="00457B16">
            <w:pPr>
              <w:pStyle w:val="TableParagraph"/>
              <w:spacing w:before="5"/>
              <w:rPr>
                <w:rFonts w:ascii="Cambria"/>
                <w:b/>
                <w:sz w:val="16"/>
              </w:rPr>
            </w:pPr>
          </w:p>
          <w:p w14:paraId="7D424EE7" w14:textId="77777777" w:rsidR="00E27125" w:rsidRDefault="00E27125" w:rsidP="00457B16">
            <w:pPr>
              <w:pStyle w:val="TableParagraph"/>
              <w:spacing w:line="178" w:lineRule="exact"/>
              <w:ind w:left="110"/>
              <w:rPr>
                <w:sz w:val="16"/>
              </w:rPr>
            </w:pPr>
            <w:r>
              <w:rPr>
                <w:spacing w:val="-10"/>
                <w:sz w:val="16"/>
              </w:rPr>
              <w:t>X</w:t>
            </w:r>
          </w:p>
        </w:tc>
        <w:tc>
          <w:tcPr>
            <w:tcW w:w="720" w:type="dxa"/>
          </w:tcPr>
          <w:p w14:paraId="73D9EDE6" w14:textId="77777777" w:rsidR="00E27125" w:rsidRDefault="00E27125" w:rsidP="00457B16">
            <w:pPr>
              <w:pStyle w:val="TableParagraph"/>
              <w:spacing w:before="5"/>
              <w:rPr>
                <w:rFonts w:ascii="Cambria"/>
                <w:b/>
                <w:sz w:val="16"/>
              </w:rPr>
            </w:pPr>
          </w:p>
          <w:p w14:paraId="0A8885AC" w14:textId="77777777" w:rsidR="00E27125" w:rsidRDefault="00E27125" w:rsidP="00457B16">
            <w:pPr>
              <w:pStyle w:val="TableParagraph"/>
              <w:spacing w:line="178" w:lineRule="exact"/>
              <w:ind w:left="110"/>
              <w:rPr>
                <w:sz w:val="16"/>
              </w:rPr>
            </w:pPr>
            <w:r>
              <w:rPr>
                <w:spacing w:val="-5"/>
                <w:sz w:val="16"/>
              </w:rPr>
              <w:t>All</w:t>
            </w:r>
          </w:p>
        </w:tc>
        <w:tc>
          <w:tcPr>
            <w:tcW w:w="1530" w:type="dxa"/>
          </w:tcPr>
          <w:p w14:paraId="327CC75D" w14:textId="77777777" w:rsidR="00E27125" w:rsidRDefault="00E27125" w:rsidP="00457B16">
            <w:pPr>
              <w:pStyle w:val="TableParagraph"/>
              <w:spacing w:line="194" w:lineRule="exact"/>
              <w:ind w:left="210"/>
              <w:rPr>
                <w:sz w:val="16"/>
              </w:rPr>
            </w:pPr>
            <w:r>
              <w:rPr>
                <w:sz w:val="16"/>
              </w:rPr>
              <w:t>0.3% -</w:t>
            </w:r>
            <w:r>
              <w:rPr>
                <w:spacing w:val="-2"/>
                <w:sz w:val="16"/>
              </w:rPr>
              <w:t xml:space="preserve"> </w:t>
            </w:r>
            <w:r>
              <w:rPr>
                <w:sz w:val="16"/>
              </w:rPr>
              <w:t>10</w:t>
            </w:r>
            <w:r>
              <w:rPr>
                <w:spacing w:val="-1"/>
                <w:sz w:val="16"/>
              </w:rPr>
              <w:t xml:space="preserve"> </w:t>
            </w:r>
            <w:r>
              <w:rPr>
                <w:spacing w:val="-4"/>
                <w:sz w:val="16"/>
              </w:rPr>
              <w:t>days</w:t>
            </w:r>
          </w:p>
          <w:p w14:paraId="77F9173E" w14:textId="77777777" w:rsidR="00E27125" w:rsidRDefault="00E27125" w:rsidP="00457B16">
            <w:pPr>
              <w:pStyle w:val="TableParagraph"/>
              <w:spacing w:line="177" w:lineRule="exact"/>
              <w:ind w:left="210"/>
              <w:rPr>
                <w:sz w:val="16"/>
              </w:rPr>
            </w:pPr>
            <w:r>
              <w:rPr>
                <w:sz w:val="16"/>
              </w:rPr>
              <w:t>0.3% -</w:t>
            </w:r>
            <w:r>
              <w:rPr>
                <w:spacing w:val="-2"/>
                <w:sz w:val="16"/>
              </w:rPr>
              <w:t xml:space="preserve"> </w:t>
            </w:r>
            <w:r>
              <w:rPr>
                <w:sz w:val="16"/>
              </w:rPr>
              <w:t>15</w:t>
            </w:r>
            <w:r>
              <w:rPr>
                <w:spacing w:val="-1"/>
                <w:sz w:val="16"/>
              </w:rPr>
              <w:t xml:space="preserve"> </w:t>
            </w:r>
            <w:r>
              <w:rPr>
                <w:spacing w:val="-4"/>
                <w:sz w:val="16"/>
              </w:rPr>
              <w:t>days</w:t>
            </w:r>
          </w:p>
        </w:tc>
        <w:tc>
          <w:tcPr>
            <w:tcW w:w="1350" w:type="dxa"/>
          </w:tcPr>
          <w:p w14:paraId="29FDAB46" w14:textId="77777777" w:rsidR="00E27125" w:rsidRDefault="00E27125" w:rsidP="00457B16">
            <w:pPr>
              <w:pStyle w:val="TableParagraph"/>
              <w:spacing w:before="5"/>
              <w:rPr>
                <w:rFonts w:ascii="Cambria"/>
                <w:b/>
                <w:sz w:val="16"/>
              </w:rPr>
            </w:pPr>
          </w:p>
          <w:p w14:paraId="03A058C0" w14:textId="77777777" w:rsidR="00E27125" w:rsidRDefault="00E27125" w:rsidP="00457B16">
            <w:pPr>
              <w:pStyle w:val="TableParagraph"/>
              <w:spacing w:line="178" w:lineRule="exact"/>
              <w:ind w:left="18"/>
              <w:jc w:val="center"/>
              <w:rPr>
                <w:sz w:val="16"/>
              </w:rPr>
            </w:pPr>
            <w:r>
              <w:rPr>
                <w:spacing w:val="-5"/>
                <w:sz w:val="16"/>
              </w:rPr>
              <w:t>N/A</w:t>
            </w:r>
          </w:p>
        </w:tc>
        <w:tc>
          <w:tcPr>
            <w:tcW w:w="1260" w:type="dxa"/>
          </w:tcPr>
          <w:p w14:paraId="397979B2" w14:textId="77777777" w:rsidR="00E27125" w:rsidRDefault="00E27125" w:rsidP="00457B16">
            <w:pPr>
              <w:pStyle w:val="TableParagraph"/>
              <w:spacing w:before="5"/>
              <w:rPr>
                <w:rFonts w:ascii="Cambria"/>
                <w:b/>
                <w:sz w:val="16"/>
              </w:rPr>
            </w:pPr>
          </w:p>
          <w:p w14:paraId="043E6122" w14:textId="77777777" w:rsidR="00E27125" w:rsidRDefault="00E27125" w:rsidP="00457B16">
            <w:pPr>
              <w:pStyle w:val="TableParagraph"/>
              <w:spacing w:line="178" w:lineRule="exact"/>
              <w:ind w:left="23" w:right="3"/>
              <w:jc w:val="center"/>
              <w:rPr>
                <w:sz w:val="16"/>
              </w:rPr>
            </w:pPr>
            <w:r>
              <w:rPr>
                <w:spacing w:val="-5"/>
                <w:sz w:val="16"/>
              </w:rPr>
              <w:t>3%</w:t>
            </w:r>
          </w:p>
        </w:tc>
      </w:tr>
      <w:tr w:rsidR="00E27125" w14:paraId="17A0C999" w14:textId="77777777" w:rsidTr="00A85FC1">
        <w:trPr>
          <w:trHeight w:val="390"/>
        </w:trPr>
        <w:tc>
          <w:tcPr>
            <w:tcW w:w="1685" w:type="dxa"/>
          </w:tcPr>
          <w:p w14:paraId="557F28A5" w14:textId="77777777" w:rsidR="00E27125" w:rsidRDefault="00E27125" w:rsidP="00457B16">
            <w:pPr>
              <w:pStyle w:val="TableParagraph"/>
              <w:spacing w:before="5"/>
              <w:rPr>
                <w:rFonts w:ascii="Cambria"/>
                <w:b/>
                <w:sz w:val="16"/>
              </w:rPr>
            </w:pPr>
          </w:p>
          <w:p w14:paraId="0A4725C0" w14:textId="77777777" w:rsidR="00E27125" w:rsidRDefault="00E27125" w:rsidP="00457B16">
            <w:pPr>
              <w:pStyle w:val="TableParagraph"/>
              <w:spacing w:line="178" w:lineRule="exact"/>
              <w:ind w:left="107"/>
              <w:rPr>
                <w:sz w:val="16"/>
              </w:rPr>
            </w:pPr>
            <w:r>
              <w:rPr>
                <w:sz w:val="16"/>
              </w:rPr>
              <w:t>Sprague</w:t>
            </w:r>
            <w:r>
              <w:rPr>
                <w:spacing w:val="-4"/>
                <w:sz w:val="16"/>
              </w:rPr>
              <w:t xml:space="preserve"> </w:t>
            </w:r>
            <w:r>
              <w:rPr>
                <w:spacing w:val="-2"/>
                <w:sz w:val="16"/>
              </w:rPr>
              <w:t>Energy</w:t>
            </w:r>
          </w:p>
        </w:tc>
        <w:tc>
          <w:tcPr>
            <w:tcW w:w="1980" w:type="dxa"/>
          </w:tcPr>
          <w:p w14:paraId="667FE820" w14:textId="77777777" w:rsidR="00E27125" w:rsidRDefault="00E27125" w:rsidP="00457B16">
            <w:pPr>
              <w:pStyle w:val="TableParagraph"/>
              <w:spacing w:line="194" w:lineRule="exact"/>
              <w:ind w:left="12" w:right="4"/>
              <w:jc w:val="center"/>
              <w:rPr>
                <w:sz w:val="16"/>
              </w:rPr>
            </w:pPr>
            <w:hyperlink r:id="rId103">
              <w:r>
                <w:rPr>
                  <w:color w:val="0000FF"/>
                  <w:spacing w:val="-2"/>
                  <w:sz w:val="16"/>
                  <w:u w:val="single" w:color="0000FF"/>
                </w:rPr>
                <w:t>PO-21-1080-OSD03-</w:t>
              </w:r>
            </w:hyperlink>
          </w:p>
          <w:p w14:paraId="53F9085D" w14:textId="77777777" w:rsidR="00E27125" w:rsidRDefault="00E27125" w:rsidP="00457B16">
            <w:pPr>
              <w:pStyle w:val="TableParagraph"/>
              <w:spacing w:line="177" w:lineRule="exact"/>
              <w:ind w:left="12"/>
              <w:jc w:val="center"/>
              <w:rPr>
                <w:sz w:val="16"/>
              </w:rPr>
            </w:pPr>
            <w:hyperlink r:id="rId104">
              <w:r>
                <w:rPr>
                  <w:color w:val="0000FF"/>
                  <w:spacing w:val="-2"/>
                  <w:sz w:val="16"/>
                  <w:u w:val="single" w:color="0000FF"/>
                </w:rPr>
                <w:t>SRC02-23099</w:t>
              </w:r>
            </w:hyperlink>
          </w:p>
        </w:tc>
        <w:tc>
          <w:tcPr>
            <w:tcW w:w="1530" w:type="dxa"/>
          </w:tcPr>
          <w:p w14:paraId="13C2B17A" w14:textId="77777777" w:rsidR="00E27125" w:rsidRDefault="00E27125" w:rsidP="00457B16">
            <w:pPr>
              <w:pStyle w:val="TableParagraph"/>
              <w:spacing w:line="194" w:lineRule="exact"/>
              <w:ind w:left="108"/>
              <w:rPr>
                <w:sz w:val="16"/>
              </w:rPr>
            </w:pPr>
            <w:r>
              <w:rPr>
                <w:spacing w:val="-2"/>
                <w:sz w:val="16"/>
              </w:rPr>
              <w:t>Barry</w:t>
            </w:r>
          </w:p>
          <w:p w14:paraId="2F1F590F" w14:textId="77777777" w:rsidR="00E27125" w:rsidRDefault="00E27125" w:rsidP="00457B16">
            <w:pPr>
              <w:pStyle w:val="TableParagraph"/>
              <w:spacing w:line="177" w:lineRule="exact"/>
              <w:ind w:left="108"/>
              <w:rPr>
                <w:sz w:val="16"/>
              </w:rPr>
            </w:pPr>
            <w:r>
              <w:rPr>
                <w:spacing w:val="-2"/>
                <w:sz w:val="16"/>
              </w:rPr>
              <w:t>Panicola</w:t>
            </w:r>
          </w:p>
        </w:tc>
        <w:tc>
          <w:tcPr>
            <w:tcW w:w="1170" w:type="dxa"/>
          </w:tcPr>
          <w:p w14:paraId="60A84FB7" w14:textId="77777777" w:rsidR="00E27125" w:rsidRDefault="00E27125" w:rsidP="00457B16">
            <w:pPr>
              <w:pStyle w:val="TableParagraph"/>
              <w:spacing w:before="5"/>
              <w:rPr>
                <w:rFonts w:ascii="Cambria"/>
                <w:b/>
                <w:sz w:val="16"/>
              </w:rPr>
            </w:pPr>
          </w:p>
          <w:p w14:paraId="34071352" w14:textId="77777777" w:rsidR="00E27125" w:rsidRDefault="00E27125" w:rsidP="00457B16">
            <w:pPr>
              <w:pStyle w:val="TableParagraph"/>
              <w:spacing w:line="178" w:lineRule="exact"/>
              <w:ind w:left="108"/>
              <w:rPr>
                <w:sz w:val="16"/>
              </w:rPr>
            </w:pPr>
            <w:r>
              <w:rPr>
                <w:spacing w:val="-2"/>
                <w:sz w:val="16"/>
              </w:rPr>
              <w:t>516-622-</w:t>
            </w:r>
            <w:r>
              <w:rPr>
                <w:spacing w:val="-4"/>
                <w:sz w:val="16"/>
              </w:rPr>
              <w:t>7091</w:t>
            </w:r>
          </w:p>
        </w:tc>
        <w:tc>
          <w:tcPr>
            <w:tcW w:w="2070" w:type="dxa"/>
            <w:vAlign w:val="bottom"/>
          </w:tcPr>
          <w:p w14:paraId="0E7D0397" w14:textId="77777777" w:rsidR="00E27125" w:rsidRDefault="00E27125" w:rsidP="00457B16">
            <w:pPr>
              <w:pStyle w:val="TableParagraph"/>
              <w:spacing w:line="177" w:lineRule="exact"/>
              <w:ind w:left="106"/>
              <w:rPr>
                <w:sz w:val="16"/>
              </w:rPr>
            </w:pPr>
            <w:hyperlink r:id="rId105">
              <w:r>
                <w:rPr>
                  <w:color w:val="0000FF"/>
                  <w:spacing w:val="-2"/>
                  <w:sz w:val="16"/>
                  <w:u w:val="single" w:color="0000FF"/>
                </w:rPr>
                <w:t>contractmgmt@spragueenergy.com</w:t>
              </w:r>
            </w:hyperlink>
          </w:p>
        </w:tc>
        <w:tc>
          <w:tcPr>
            <w:tcW w:w="990" w:type="dxa"/>
          </w:tcPr>
          <w:p w14:paraId="6CFF6050" w14:textId="77777777" w:rsidR="00E27125" w:rsidRDefault="00E27125" w:rsidP="00457B16">
            <w:pPr>
              <w:pStyle w:val="TableParagraph"/>
              <w:spacing w:before="5"/>
              <w:rPr>
                <w:rFonts w:ascii="Cambria"/>
                <w:b/>
                <w:sz w:val="16"/>
              </w:rPr>
            </w:pPr>
          </w:p>
          <w:p w14:paraId="1C1EE090" w14:textId="77777777" w:rsidR="00E27125" w:rsidRDefault="00E27125" w:rsidP="00457B16">
            <w:pPr>
              <w:pStyle w:val="TableParagraph"/>
              <w:spacing w:line="178" w:lineRule="exact"/>
              <w:ind w:left="110"/>
              <w:rPr>
                <w:sz w:val="16"/>
              </w:rPr>
            </w:pPr>
            <w:r>
              <w:rPr>
                <w:spacing w:val="-10"/>
                <w:sz w:val="16"/>
              </w:rPr>
              <w:t>X</w:t>
            </w:r>
          </w:p>
        </w:tc>
        <w:tc>
          <w:tcPr>
            <w:tcW w:w="720" w:type="dxa"/>
          </w:tcPr>
          <w:p w14:paraId="6799C5C2" w14:textId="77777777" w:rsidR="00E27125" w:rsidRDefault="00E27125" w:rsidP="00457B16">
            <w:pPr>
              <w:pStyle w:val="TableParagraph"/>
              <w:spacing w:before="5"/>
              <w:rPr>
                <w:rFonts w:ascii="Cambria"/>
                <w:b/>
                <w:sz w:val="16"/>
              </w:rPr>
            </w:pPr>
          </w:p>
          <w:p w14:paraId="11448E54" w14:textId="77777777" w:rsidR="00E27125" w:rsidRDefault="00E27125" w:rsidP="00457B16">
            <w:pPr>
              <w:pStyle w:val="TableParagraph"/>
              <w:spacing w:line="178" w:lineRule="exact"/>
              <w:ind w:left="110"/>
              <w:rPr>
                <w:sz w:val="16"/>
              </w:rPr>
            </w:pPr>
            <w:r>
              <w:rPr>
                <w:spacing w:val="-2"/>
                <w:sz w:val="16"/>
              </w:rPr>
              <w:t>2, 4, 7, 8</w:t>
            </w:r>
          </w:p>
        </w:tc>
        <w:tc>
          <w:tcPr>
            <w:tcW w:w="1530" w:type="dxa"/>
          </w:tcPr>
          <w:p w14:paraId="0E14E0BE" w14:textId="77777777" w:rsidR="00E27125" w:rsidRDefault="00E27125" w:rsidP="00457B16">
            <w:pPr>
              <w:pStyle w:val="TableParagraph"/>
              <w:spacing w:before="5"/>
              <w:rPr>
                <w:rFonts w:ascii="Cambria"/>
                <w:b/>
                <w:sz w:val="16"/>
              </w:rPr>
            </w:pPr>
          </w:p>
          <w:p w14:paraId="51FEA3A7" w14:textId="77777777" w:rsidR="00E27125" w:rsidRDefault="00E27125" w:rsidP="00457B16">
            <w:pPr>
              <w:pStyle w:val="TableParagraph"/>
              <w:spacing w:line="178" w:lineRule="exact"/>
              <w:ind w:left="111"/>
              <w:rPr>
                <w:sz w:val="16"/>
              </w:rPr>
            </w:pPr>
            <w:r>
              <w:rPr>
                <w:sz w:val="16"/>
              </w:rPr>
              <w:t>1%</w:t>
            </w:r>
            <w:r>
              <w:rPr>
                <w:spacing w:val="-2"/>
                <w:sz w:val="16"/>
              </w:rPr>
              <w:t xml:space="preserve"> </w:t>
            </w:r>
            <w:r>
              <w:rPr>
                <w:sz w:val="16"/>
              </w:rPr>
              <w:t>-</w:t>
            </w:r>
            <w:r>
              <w:rPr>
                <w:spacing w:val="1"/>
                <w:sz w:val="16"/>
              </w:rPr>
              <w:t xml:space="preserve"> </w:t>
            </w:r>
            <w:r>
              <w:rPr>
                <w:sz w:val="16"/>
              </w:rPr>
              <w:t>10</w:t>
            </w:r>
            <w:r>
              <w:rPr>
                <w:spacing w:val="-1"/>
                <w:sz w:val="16"/>
              </w:rPr>
              <w:t xml:space="preserve"> </w:t>
            </w:r>
            <w:r>
              <w:rPr>
                <w:spacing w:val="-4"/>
                <w:sz w:val="16"/>
              </w:rPr>
              <w:t>days</w:t>
            </w:r>
          </w:p>
        </w:tc>
        <w:tc>
          <w:tcPr>
            <w:tcW w:w="1350" w:type="dxa"/>
          </w:tcPr>
          <w:p w14:paraId="30D91436" w14:textId="77777777" w:rsidR="00E27125" w:rsidRDefault="00E27125" w:rsidP="00457B16">
            <w:pPr>
              <w:pStyle w:val="TableParagraph"/>
              <w:spacing w:before="5"/>
              <w:rPr>
                <w:rFonts w:ascii="Cambria"/>
                <w:b/>
                <w:sz w:val="16"/>
              </w:rPr>
            </w:pPr>
          </w:p>
          <w:p w14:paraId="12E92D98" w14:textId="77777777" w:rsidR="00E27125" w:rsidRDefault="00E27125" w:rsidP="00457B16">
            <w:pPr>
              <w:pStyle w:val="TableParagraph"/>
              <w:spacing w:line="178" w:lineRule="exact"/>
              <w:ind w:left="18"/>
              <w:jc w:val="center"/>
              <w:rPr>
                <w:sz w:val="16"/>
              </w:rPr>
            </w:pPr>
            <w:r>
              <w:rPr>
                <w:spacing w:val="-5"/>
                <w:sz w:val="16"/>
              </w:rPr>
              <w:t>N/A</w:t>
            </w:r>
          </w:p>
        </w:tc>
        <w:tc>
          <w:tcPr>
            <w:tcW w:w="1260" w:type="dxa"/>
          </w:tcPr>
          <w:p w14:paraId="1686C8C2" w14:textId="77777777" w:rsidR="00E27125" w:rsidRDefault="00E27125" w:rsidP="00457B16">
            <w:pPr>
              <w:pStyle w:val="TableParagraph"/>
              <w:spacing w:before="5"/>
              <w:rPr>
                <w:rFonts w:ascii="Cambria"/>
                <w:b/>
                <w:sz w:val="16"/>
              </w:rPr>
            </w:pPr>
          </w:p>
          <w:p w14:paraId="4BD07838" w14:textId="77777777" w:rsidR="00E27125" w:rsidRDefault="00E27125" w:rsidP="00457B16">
            <w:pPr>
              <w:pStyle w:val="TableParagraph"/>
              <w:spacing w:line="178" w:lineRule="exact"/>
              <w:ind w:left="23" w:right="3"/>
              <w:jc w:val="center"/>
              <w:rPr>
                <w:sz w:val="16"/>
              </w:rPr>
            </w:pPr>
            <w:r>
              <w:rPr>
                <w:spacing w:val="-5"/>
                <w:sz w:val="16"/>
              </w:rPr>
              <w:t>10%</w:t>
            </w:r>
          </w:p>
        </w:tc>
      </w:tr>
    </w:tbl>
    <w:p w14:paraId="66F6F6D9" w14:textId="22A8CA38" w:rsidR="00E51057" w:rsidRDefault="00E51057" w:rsidP="00582696">
      <w:pPr>
        <w:pStyle w:val="BodyText"/>
        <w:rPr>
          <w:b w:val="0"/>
          <w:bCs w:val="0"/>
          <w:sz w:val="24"/>
          <w:szCs w:val="24"/>
          <w:u w:val="double"/>
        </w:rPr>
      </w:pPr>
    </w:p>
    <w:p w14:paraId="02B04EBB" w14:textId="5BDDCAE3" w:rsidR="004B6292" w:rsidRDefault="004B6292">
      <w:pPr>
        <w:rPr>
          <w:rFonts w:ascii="Calibri" w:eastAsia="Calibri" w:hAnsi="Calibri" w:cs="Calibri"/>
          <w:sz w:val="24"/>
          <w:szCs w:val="24"/>
          <w:u w:val="double"/>
        </w:rPr>
      </w:pPr>
      <w:r>
        <w:rPr>
          <w:b/>
          <w:bCs/>
          <w:sz w:val="24"/>
          <w:szCs w:val="24"/>
          <w:u w:val="double"/>
        </w:rPr>
        <w:br w:type="page"/>
      </w:r>
    </w:p>
    <w:p w14:paraId="387CC61A" w14:textId="74EB25B8" w:rsidR="00304C6F" w:rsidRDefault="00275216" w:rsidP="00DD2FB1">
      <w:pPr>
        <w:pStyle w:val="Heading2"/>
      </w:pPr>
      <w:bookmarkStart w:id="86" w:name="_Appendix_B:_Vendor"/>
      <w:bookmarkStart w:id="87" w:name="_Appendix_C:_Vendor"/>
      <w:bookmarkStart w:id="88" w:name="_Appendix_A:_[add"/>
      <w:bookmarkStart w:id="89" w:name="_Toc194066624"/>
      <w:bookmarkStart w:id="90" w:name="_Toc209710815"/>
      <w:bookmarkEnd w:id="86"/>
      <w:bookmarkEnd w:id="87"/>
      <w:bookmarkEnd w:id="88"/>
      <w:r>
        <w:lastRenderedPageBreak/>
        <w:t>United Nations Standard Products and Services Code</w:t>
      </w:r>
      <w:r w:rsidR="00F0545F" w:rsidRPr="2BD2769D">
        <w:rPr>
          <w:vertAlign w:val="superscript"/>
        </w:rPr>
        <w:t>®</w:t>
      </w:r>
      <w:r>
        <w:t xml:space="preserve"> (UNSPSC</w:t>
      </w:r>
      <w:r w:rsidR="00F0545F" w:rsidRPr="2BD2769D">
        <w:rPr>
          <w:vertAlign w:val="superscript"/>
        </w:rPr>
        <w:t>®</w:t>
      </w:r>
      <w:r>
        <w:t>)</w:t>
      </w:r>
      <w:bookmarkEnd w:id="89"/>
      <w:bookmarkEnd w:id="90"/>
    </w:p>
    <w:p w14:paraId="25E5685B" w14:textId="5D81907A" w:rsidR="00DD2FB1" w:rsidRDefault="00DD2FB1" w:rsidP="00DD2FB1">
      <w:pPr>
        <w:rPr>
          <w:sz w:val="24"/>
          <w:szCs w:val="24"/>
        </w:rPr>
      </w:pPr>
      <w:r w:rsidRPr="00E53E55">
        <w:rPr>
          <w:sz w:val="24"/>
          <w:szCs w:val="24"/>
        </w:rPr>
        <w:t>UNSPSC</w:t>
      </w:r>
      <w:r>
        <w:rPr>
          <w:sz w:val="24"/>
          <w:szCs w:val="24"/>
        </w:rPr>
        <w:t>s</w:t>
      </w:r>
      <w:r w:rsidRPr="00E53E55">
        <w:rPr>
          <w:sz w:val="24"/>
          <w:szCs w:val="24"/>
        </w:rPr>
        <w:t xml:space="preserve"> for </w:t>
      </w:r>
      <w:r w:rsidRPr="00BD7E21">
        <w:rPr>
          <w:b/>
          <w:sz w:val="24"/>
          <w:szCs w:val="24"/>
        </w:rPr>
        <w:t>ENE52</w:t>
      </w:r>
      <w:r w:rsidRPr="00E53E55">
        <w:rPr>
          <w:sz w:val="24"/>
          <w:szCs w:val="24"/>
        </w:rPr>
        <w:t xml:space="preserve"> are listed as follows:</w:t>
      </w:r>
    </w:p>
    <w:p w14:paraId="6CE13A68" w14:textId="77777777" w:rsidR="00DD2FB1" w:rsidRPr="00541F22" w:rsidRDefault="00DD2FB1" w:rsidP="00FF7DB5">
      <w:pPr>
        <w:pStyle w:val="ListParagraph"/>
        <w:numPr>
          <w:ilvl w:val="0"/>
          <w:numId w:val="17"/>
        </w:numPr>
        <w:rPr>
          <w:sz w:val="24"/>
          <w:szCs w:val="24"/>
        </w:rPr>
      </w:pPr>
      <w:r w:rsidRPr="00541F22">
        <w:rPr>
          <w:sz w:val="24"/>
          <w:szCs w:val="24"/>
        </w:rPr>
        <w:t>15</w:t>
      </w:r>
      <w:r>
        <w:rPr>
          <w:sz w:val="24"/>
          <w:szCs w:val="24"/>
        </w:rPr>
        <w:t>–</w:t>
      </w:r>
      <w:r w:rsidRPr="00541F22">
        <w:rPr>
          <w:sz w:val="24"/>
          <w:szCs w:val="24"/>
        </w:rPr>
        <w:t>10</w:t>
      </w:r>
      <w:r>
        <w:rPr>
          <w:sz w:val="24"/>
          <w:szCs w:val="24"/>
        </w:rPr>
        <w:t>–</w:t>
      </w:r>
      <w:r w:rsidRPr="00541F22">
        <w:rPr>
          <w:sz w:val="24"/>
          <w:szCs w:val="24"/>
        </w:rPr>
        <w:t>17</w:t>
      </w:r>
      <w:r>
        <w:rPr>
          <w:sz w:val="24"/>
          <w:szCs w:val="24"/>
        </w:rPr>
        <w:t>–</w:t>
      </w:r>
      <w:r w:rsidRPr="00541F22">
        <w:rPr>
          <w:sz w:val="24"/>
          <w:szCs w:val="24"/>
        </w:rPr>
        <w:t>01</w:t>
      </w:r>
      <w:r>
        <w:rPr>
          <w:sz w:val="24"/>
          <w:szCs w:val="24"/>
        </w:rPr>
        <w:t>–</w:t>
      </w:r>
      <w:r w:rsidRPr="00541F22">
        <w:rPr>
          <w:sz w:val="24"/>
          <w:szCs w:val="24"/>
        </w:rPr>
        <w:t>0000</w:t>
      </w:r>
    </w:p>
    <w:p w14:paraId="178A8F56" w14:textId="77777777" w:rsidR="00DD2FB1" w:rsidRPr="00541F22" w:rsidRDefault="00DD2FB1" w:rsidP="00FF7DB5">
      <w:pPr>
        <w:pStyle w:val="ListParagraph"/>
        <w:numPr>
          <w:ilvl w:val="0"/>
          <w:numId w:val="17"/>
        </w:numPr>
        <w:rPr>
          <w:sz w:val="24"/>
          <w:szCs w:val="24"/>
        </w:rPr>
      </w:pPr>
      <w:r w:rsidRPr="00541F22">
        <w:rPr>
          <w:sz w:val="24"/>
          <w:szCs w:val="24"/>
        </w:rPr>
        <w:t>15</w:t>
      </w:r>
      <w:r>
        <w:rPr>
          <w:sz w:val="24"/>
          <w:szCs w:val="24"/>
        </w:rPr>
        <w:t>–</w:t>
      </w:r>
      <w:r w:rsidRPr="00541F22">
        <w:rPr>
          <w:sz w:val="24"/>
          <w:szCs w:val="24"/>
        </w:rPr>
        <w:t>10</w:t>
      </w:r>
      <w:r>
        <w:rPr>
          <w:sz w:val="24"/>
          <w:szCs w:val="24"/>
        </w:rPr>
        <w:t>–</w:t>
      </w:r>
      <w:r w:rsidRPr="00541F22">
        <w:rPr>
          <w:sz w:val="24"/>
          <w:szCs w:val="24"/>
        </w:rPr>
        <w:t>18</w:t>
      </w:r>
      <w:r>
        <w:rPr>
          <w:sz w:val="24"/>
          <w:szCs w:val="24"/>
        </w:rPr>
        <w:t>–</w:t>
      </w:r>
      <w:r w:rsidRPr="00541F22">
        <w:rPr>
          <w:sz w:val="24"/>
          <w:szCs w:val="24"/>
        </w:rPr>
        <w:t>00</w:t>
      </w:r>
      <w:r>
        <w:rPr>
          <w:sz w:val="24"/>
          <w:szCs w:val="24"/>
        </w:rPr>
        <w:t>–</w:t>
      </w:r>
      <w:r w:rsidRPr="00541F22">
        <w:rPr>
          <w:sz w:val="24"/>
          <w:szCs w:val="24"/>
        </w:rPr>
        <w:t>0000</w:t>
      </w:r>
    </w:p>
    <w:p w14:paraId="39A98AEB" w14:textId="77777777" w:rsidR="00DD2FB1" w:rsidRDefault="00DD2FB1" w:rsidP="0030283A">
      <w:pPr>
        <w:pStyle w:val="ListParagraph"/>
        <w:numPr>
          <w:ilvl w:val="0"/>
          <w:numId w:val="17"/>
        </w:numPr>
        <w:spacing w:after="100" w:afterAutospacing="1"/>
        <w:rPr>
          <w:sz w:val="24"/>
          <w:szCs w:val="24"/>
        </w:rPr>
      </w:pPr>
      <w:r w:rsidRPr="00541F22">
        <w:rPr>
          <w:sz w:val="24"/>
          <w:szCs w:val="24"/>
        </w:rPr>
        <w:t>15</w:t>
      </w:r>
      <w:r>
        <w:rPr>
          <w:sz w:val="24"/>
          <w:szCs w:val="24"/>
        </w:rPr>
        <w:t>–</w:t>
      </w:r>
      <w:r w:rsidRPr="00541F22">
        <w:rPr>
          <w:sz w:val="24"/>
          <w:szCs w:val="24"/>
        </w:rPr>
        <w:t>10</w:t>
      </w:r>
      <w:r>
        <w:rPr>
          <w:sz w:val="24"/>
          <w:szCs w:val="24"/>
        </w:rPr>
        <w:t>–</w:t>
      </w:r>
      <w:r w:rsidRPr="00541F22">
        <w:rPr>
          <w:sz w:val="24"/>
          <w:szCs w:val="24"/>
        </w:rPr>
        <w:t>17</w:t>
      </w:r>
      <w:r>
        <w:rPr>
          <w:sz w:val="24"/>
          <w:szCs w:val="24"/>
        </w:rPr>
        <w:t>–</w:t>
      </w:r>
      <w:r w:rsidRPr="00541F22">
        <w:rPr>
          <w:sz w:val="24"/>
          <w:szCs w:val="24"/>
        </w:rPr>
        <w:t>01</w:t>
      </w:r>
    </w:p>
    <w:p w14:paraId="05CFC2F3" w14:textId="7B200C83" w:rsidR="00A867A8" w:rsidRDefault="00A867A8" w:rsidP="00A867A8">
      <w:pPr>
        <w:pStyle w:val="Heading2"/>
        <w:spacing w:before="0"/>
      </w:pPr>
      <w:bookmarkStart w:id="91" w:name="_Toc209710816"/>
      <w:r>
        <w:t xml:space="preserve">Appendix A: </w:t>
      </w:r>
      <w:r w:rsidR="005A21A1">
        <w:t>Truck Safety Standards Issued by RMV</w:t>
      </w:r>
      <w:bookmarkEnd w:id="91"/>
    </w:p>
    <w:p w14:paraId="0BF78A7B" w14:textId="1E80161B" w:rsidR="00F3644B" w:rsidRPr="00F3644B" w:rsidRDefault="00F3644B" w:rsidP="00F3644B">
      <w:pPr>
        <w:spacing w:after="0"/>
        <w:rPr>
          <w:rFonts w:cs="Arial"/>
          <w:b/>
          <w:bCs/>
          <w:color w:val="000000" w:themeColor="text1"/>
          <w:sz w:val="24"/>
          <w:szCs w:val="24"/>
        </w:rPr>
      </w:pPr>
      <w:r w:rsidRPr="00F3644B">
        <w:rPr>
          <w:rFonts w:cs="Arial"/>
          <w:b/>
          <w:bCs/>
          <w:color w:val="000000" w:themeColor="text1"/>
          <w:sz w:val="24"/>
          <w:szCs w:val="24"/>
        </w:rPr>
        <w:t>Truck Safety Standards</w:t>
      </w:r>
    </w:p>
    <w:p w14:paraId="18C0099B" w14:textId="621648E6" w:rsidR="00DB64C7" w:rsidRPr="00BA391D" w:rsidRDefault="0031618E" w:rsidP="00F3644B">
      <w:pPr>
        <w:spacing w:after="0"/>
        <w:rPr>
          <w:rFonts w:cs="Arial"/>
          <w:color w:val="000000" w:themeColor="text1"/>
          <w:sz w:val="24"/>
          <w:szCs w:val="24"/>
        </w:rPr>
      </w:pPr>
      <w:r w:rsidRPr="00BA391D">
        <w:rPr>
          <w:rFonts w:cs="Arial"/>
          <w:color w:val="000000" w:themeColor="text1"/>
          <w:sz w:val="24"/>
          <w:szCs w:val="24"/>
        </w:rPr>
        <w:t xml:space="preserve">The RMV enacted new regulations (540 CMR 4.10 to 4.13) that apply to certain registered motor vehicles, trailers, semi-trailers and semi-trailer units classified as class 3 or above by the Federal Highway Administration, with a gross vehicle weight (GVW) rating of 10,001 pounds or more (“Heavy Vehicles”). Heavy Vehicles that are (1) leased or purchased by the Commonwealth on or after January 1, 2023, or (2) operated under contracts with the Commonwealth executed on or after January 1, 2025, that require the use of Heavy Vehicles in writing or by necessary implication, must be equipped with the following truck safety devices: </w:t>
      </w:r>
    </w:p>
    <w:p w14:paraId="3CBA6DB0" w14:textId="4F7A984C" w:rsidR="00DB64C7" w:rsidRPr="005E0825" w:rsidRDefault="0031618E" w:rsidP="005E0825">
      <w:pPr>
        <w:pStyle w:val="ListParagraph"/>
        <w:numPr>
          <w:ilvl w:val="0"/>
          <w:numId w:val="18"/>
        </w:numPr>
        <w:spacing w:after="0"/>
        <w:rPr>
          <w:sz w:val="24"/>
          <w:szCs w:val="24"/>
        </w:rPr>
      </w:pPr>
      <w:r w:rsidRPr="005E0825">
        <w:rPr>
          <w:sz w:val="24"/>
          <w:szCs w:val="24"/>
        </w:rPr>
        <w:t xml:space="preserve">Lateral protective devices (LPD), commonly called “Side Guards,” </w:t>
      </w:r>
    </w:p>
    <w:p w14:paraId="6C744816" w14:textId="60986A3C" w:rsidR="00DB64C7" w:rsidRPr="005E0825" w:rsidRDefault="0031618E" w:rsidP="005E0825">
      <w:pPr>
        <w:pStyle w:val="ListParagraph"/>
        <w:numPr>
          <w:ilvl w:val="0"/>
          <w:numId w:val="18"/>
        </w:numPr>
        <w:spacing w:after="0"/>
        <w:rPr>
          <w:sz w:val="24"/>
          <w:szCs w:val="24"/>
        </w:rPr>
      </w:pPr>
      <w:r w:rsidRPr="005E0825">
        <w:rPr>
          <w:sz w:val="24"/>
          <w:szCs w:val="24"/>
        </w:rPr>
        <w:t xml:space="preserve">Convex mirrors, </w:t>
      </w:r>
    </w:p>
    <w:p w14:paraId="1C538676" w14:textId="2927179F" w:rsidR="00BA391D" w:rsidRPr="005E0825" w:rsidRDefault="0031618E" w:rsidP="005E0825">
      <w:pPr>
        <w:pStyle w:val="ListParagraph"/>
        <w:numPr>
          <w:ilvl w:val="0"/>
          <w:numId w:val="18"/>
        </w:numPr>
        <w:spacing w:after="0"/>
        <w:rPr>
          <w:sz w:val="24"/>
          <w:szCs w:val="24"/>
        </w:rPr>
      </w:pPr>
      <w:r w:rsidRPr="005E0825">
        <w:rPr>
          <w:sz w:val="24"/>
          <w:szCs w:val="24"/>
        </w:rPr>
        <w:t xml:space="preserve">Crossover mirrors, and </w:t>
      </w:r>
    </w:p>
    <w:p w14:paraId="5A992179" w14:textId="3D695246" w:rsidR="00BA391D" w:rsidRPr="005E0825" w:rsidRDefault="0031618E" w:rsidP="005E0825">
      <w:pPr>
        <w:pStyle w:val="ListParagraph"/>
        <w:numPr>
          <w:ilvl w:val="0"/>
          <w:numId w:val="18"/>
        </w:numPr>
        <w:spacing w:after="0"/>
        <w:rPr>
          <w:sz w:val="24"/>
          <w:szCs w:val="24"/>
        </w:rPr>
      </w:pPr>
      <w:r w:rsidRPr="005E0825">
        <w:rPr>
          <w:sz w:val="24"/>
          <w:szCs w:val="24"/>
        </w:rPr>
        <w:t xml:space="preserve">Back-up cameras. </w:t>
      </w:r>
    </w:p>
    <w:p w14:paraId="677A31A3" w14:textId="77777777" w:rsidR="00BA391D" w:rsidRDefault="00BA391D" w:rsidP="00A867A8">
      <w:pPr>
        <w:spacing w:after="100" w:afterAutospacing="1"/>
        <w:rPr>
          <w:sz w:val="24"/>
          <w:szCs w:val="24"/>
        </w:rPr>
      </w:pPr>
    </w:p>
    <w:p w14:paraId="570FF5C8" w14:textId="353E1BBF" w:rsidR="00A867A8" w:rsidRPr="00A867A8" w:rsidRDefault="0031618E" w:rsidP="00A867A8">
      <w:pPr>
        <w:spacing w:after="100" w:afterAutospacing="1"/>
        <w:rPr>
          <w:sz w:val="24"/>
          <w:szCs w:val="24"/>
        </w:rPr>
      </w:pPr>
      <w:r w:rsidRPr="0031618E">
        <w:rPr>
          <w:sz w:val="24"/>
          <w:szCs w:val="24"/>
        </w:rPr>
        <w:lastRenderedPageBreak/>
        <w:t xml:space="preserve">For snow and ice management and removal services and towing services, these regulations apply to Heavy Vehicles operated under contracts with the Commonwealth that were executed on or after July 1, 2025. Heavy Vehicles affected by the RMV regulations must be certified as compliant with these requirements beginning 12/31/2025 using the RMV portal. Please refer to MassDOT’s guidance here for information about updates on truck safety devices, the certification and waiver process, and guidance for </w:t>
      </w:r>
      <w:r w:rsidR="00F46816">
        <w:rPr>
          <w:sz w:val="24"/>
          <w:szCs w:val="24"/>
        </w:rPr>
        <w:t>vendor</w:t>
      </w:r>
      <w:r w:rsidRPr="0031618E">
        <w:rPr>
          <w:sz w:val="24"/>
          <w:szCs w:val="24"/>
        </w:rPr>
        <w:t>s. Further guidance will soon be available on the OSD website.</w:t>
      </w:r>
    </w:p>
    <w:p w14:paraId="4A49F485" w14:textId="0A06D6CD" w:rsidR="00DF719C" w:rsidRDefault="00DF719C" w:rsidP="008807B4">
      <w:pPr>
        <w:pStyle w:val="Heading2"/>
        <w:spacing w:before="0"/>
      </w:pPr>
      <w:bookmarkStart w:id="92" w:name="_Appendix_B:_Geographical"/>
      <w:bookmarkStart w:id="93" w:name="_Toc207366007"/>
      <w:bookmarkStart w:id="94" w:name="_Toc209710817"/>
      <w:bookmarkEnd w:id="92"/>
      <w:r>
        <w:t>Appendix</w:t>
      </w:r>
      <w:r w:rsidR="00A867A8">
        <w:t xml:space="preserve"> B</w:t>
      </w:r>
      <w:r>
        <w:t>: Geographical Service Areas</w:t>
      </w:r>
      <w:bookmarkEnd w:id="93"/>
      <w:bookmarkEnd w:id="94"/>
    </w:p>
    <w:p w14:paraId="40645D7F" w14:textId="77777777" w:rsidR="003515F0" w:rsidRPr="004363BE" w:rsidRDefault="003515F0" w:rsidP="003515F0">
      <w:pPr>
        <w:spacing w:after="0"/>
        <w:rPr>
          <w:sz w:val="24"/>
          <w:szCs w:val="24"/>
        </w:rPr>
      </w:pPr>
      <w:r w:rsidRPr="004363BE">
        <w:rPr>
          <w:b/>
          <w:bCs/>
          <w:sz w:val="24"/>
          <w:szCs w:val="24"/>
        </w:rPr>
        <w:t>Note:</w:t>
      </w:r>
      <w:r w:rsidRPr="004363BE">
        <w:rPr>
          <w:sz w:val="24"/>
          <w:szCs w:val="24"/>
        </w:rPr>
        <w:t xml:space="preserve"> N/A = Not Applicable</w:t>
      </w:r>
    </w:p>
    <w:tbl>
      <w:tblPr>
        <w:tblStyle w:val="TableGrid"/>
        <w:tblpPr w:leftFromText="187" w:rightFromText="187" w:vertAnchor="text" w:horzAnchor="margin" w:tblpY="203"/>
        <w:tblW w:w="12022" w:type="dxa"/>
        <w:tblLayout w:type="fixed"/>
        <w:tblLook w:val="01E0" w:firstRow="1" w:lastRow="1" w:firstColumn="1" w:lastColumn="1" w:noHBand="0" w:noVBand="0"/>
        <w:tblCaption w:val="Geographical Service Areas"/>
        <w:tblDescription w:val="This table lists the regions that are serviced in Massachusetts divided into Zones 1 to 9. Zone 1: ARLINGTON&#10;BELMONT&#10;BOSTON&#10;BRAINTREE&#10;BROOKLINE&#10;BURLINGTON&#10;CAMBRIDGE&#10;CANTON&#10;CHELSEA&#10;COHASSET&#10;DEDHAM&#10;DOVER&#10;EVERETT&#10;HINGHAM&#10;HOLBROOK&#10;HULL&#10;LEXINGTON&#10;LINCOLN&#10;MALDEN&#10;MEDFORD&#10;MELROSE&#10;MILTON&#10;NEEDHAM&#10;NEWTON&#10;NORWOOD&#10;QUINCY&#10;RANDOLPH&#10;REVERE&#10;SAUGUS&#10;SOMERVILLE&#10;STONEHAM&#10;WAKEFIELD&#10;WALTHAM&#10;WATERTOWN&#10;WELLESLEY&#10;WESTON&#10;WESTWOOD&#10;WEYMOUTH&#10;WILMINGTON&#10;WINCHESTER&#10;WINTHROP&#10;WOBURN Zone 2: AMESBURY&#10;ANDOVER&#10;BEVERLY&#10;BOXFORD&#10;DANVERS&#10;DRACUT&#10;ESSEX&#10;GEORGETOWN&#10;GLOUCESTER&#10;GROVELAND&#10;HAMILTON&#10;HAVERHILL&#10;IPSWICH&#10;LAWRENCE&#10;LOWELL&#10;LYNN&#10;LYNNFIELD&#10;MANCHESTER&#10;MARBLEHEAD&#10;MERRIMAC&#10;METHUEN&#10;MIDDLETON&#10;NAHANT&#10;NEWBURY&#10;NEWBURYPORT&#10;NORTH ANDOVER&#10;NORTH READING&#10;PEABODY&#10;READING&#10;ROCKPORT&#10;ROWLEY&#10;SALEM&#10;SALISBURY&#10;SWAMPSCOTT&#10;TEWKSBURY&#10;TOPSFIELD&#10;WENHAM&#10;WEST NEWBURY&#10;Zone 3: ABINGTON&#10;ACUSHNET&#10;ATTLEBORO&#10;AVON&#10;BERKLEY&#10;BRIDGEWATER&#10;BROCKTON&#10;CARVER&#10;DARTMOUTH&#10;DIGHTON&#10;DUXBURY&#10;EAST BRIDGEWATER&#10;EASTON&#10;FAIRHAVEN&#10;FALL RIVER&#10;FOXBOROUGH&#10;FREETOWN&#10;HALIFAX&#10;HANOVER&#10;HANSON&#10;KINGSTON&#10;LAKEVILLE&#10;MANSFIELD&#10;MARION&#10;MARSHFIELD&#10;MATTAPOISETT&#10;MEDFIELD&#10;MIDDLEBOROUGH&#10;NEW BEDFORD&#10;NORFOLK&#10;NORTH ATTLEBOROUGH&#10;NORTON&#10;NORWELL&#10;PEMBROKE&#10;PLAINVILLE&#10;PLYMOUTH&#10;PLYMPTON&#10;RAYNHAM&#10;REHOBOTH&#10;ROCHESTER&#10;ROCKLAND&#10;SCITUATE&#10;SEEKONK&#10;SHARON&#10;SOMERSET&#10;STOUGHTON&#10;SWANSEA&#10;TAUNTON&#10;WALPOLE&#10;WAREHAM&#10;WEST BRIDGEWATER&#10;WESTPORT&#10;WHITMAN&#10;WRENTHAM&#10;Zone 4:&#10;BARNSTABLE&#10;BOURNE&#10;BREWSTER&#10;CHATHAM&#10;DENNIS&#10;EASTHAM&#10;FALMOUTH&#10;GOSNOLD&#10;HARWICH&#10;MASHPEE&#10;ORLEANS&#10;PROVINCETOWN&#10;SANDWICH&#10;TRURO&#10;WELLFLEET&#10;YARMOUTH&#10;Zone 5: ACTON&#10;ASHLAND&#10;AUBURN&#10;AYER&#10;BARRE&#10;BEDFORD&#10;BELLINGHAM&#10;BERLIN&#10;BILLERICA&#10;BLACKSTONE&#10;BOLTON&#10;BOXBOROUGH&#10;BOYLSTON&#10;BROOKFIELD&#10;CARLISLE&#10;CHARLTON&#10;CHELMSFORD&#10;CLINTON&#10;CONCORD&#10;DOUGLAS&#10;DUDLEY&#10;DUNSTABLE&#10;EAST BROOKFIELD&#10;FRAMINGHAM&#10;FRANKLIN&#10;GRAFTON&#10;GROTON&#10;HARDWICK&#10;HARVARD&#10;HOLDEN&#10;HOLLISTON&#10;HOPEDALE&#10;HOPKINTON&#10;HUBBARDSTON&#10;HUDSON&#10;LANCASTER&#10;LEICESTER&#10;LITTLETON&#10;MARLBOROUGH&#10;MAYNARD&#10;MEDWAY&#10;MENDON&#10;MILFORD&#10;MILLBURY&#10;MILLIS&#10;MILLVILLE&#10;NATICK&#10;NEW BRAINTREE&#10;NORTH BROOKFIELD&#10;NORTHBOROUGH&#10;NORTHBRIDGE&#10;OAKHAM&#10;OXFORD&#10;PAXTON&#10;PEPPERELL&#10;PETERSHAM&#10;PRINCETON&#10;RUTLAND&#10;SHERBORN&#10;SHIRLEY&#10;SHREWSBURY&#10;SOUTHBOROUGH&#10;SOUTHBRIDGE&#10;SPENCER&#10;STERLING&#10;STOW&#10;STURBRIDGE&#10;SUDBURY&#10;SUTTON&#10;TYNGSBOROUGH&#10;UPTON&#10;UXBRIDGE&#10;WARREN&#10;WAYLAND&#10;WEBSTER&#10;WEST BOYLSTON&#10;WEST BROOKFIELD&#10;WESTBOROUGH&#10;WESTFORD&#10;WORCESTER&#10;Zone 6: ASHBURNHAM&#10;ASHBY&#10;ATHOL&#10;BERNARDSTON&#10;BUCKLAND&#10;CHARLEMONT&#10;COLRAIN&#10;DEERFIELD&#10;ERVING&#10;FITCHBURG&#10;GARDNER&#10;GILL&#10;GREENFIELD&#10;HAWLEY&#10;HEATH&#10;LEOMINSTER&#10;LEVERETT&#10;LEYDEN&#10;LUNENBURG&#10;MONTAGUE&#10;NEW SALEM&#10;NORTHFIELD&#10;ORANGE&#10;PELHAM&#10;PHILLIPSTON&#10;ROWE&#10;ROYALSTON&#10;SHELBURNE&#10;SHUTESBURY&#10;SUNDERLAND&#10;TEMPLETON&#10;TOWNSEND&#10;WARWICK&#10;WENDELL&#10;WESTMINSTER&#10;WINCHENDON&#10;Zone 7: AGAWAM&#10;AMHERST&#10;ASHFIELD&#10;BELCHERTOWN&#10;BLANDFORD&#10;BRIMFIELD&#10;CHESTER&#10;CHESTERFIELD&#10;CHICOPEE&#10;CONWAY&#10;CUMMINGTON&#10;EAST LONGMEADOW&#10;EASTHAMPTON&#10;GOSHEN&#10;GRANBY&#10;GRANVILLE&#10;HADLEY&#10;HAMPDEN&#10;HATFIELD&#10;HOLLAND&#10;HOLYOKE&#10;HUNTINGTON&#10;LONGMEADOW&#10;LUDLOW&#10;MIDDLEFIELD&#10;MONSON&#10;MONTGOMERY&#10;NORTHAMPTON&#10;PALMER&#10;PLAINFIELD&#10;RUSSELL&#10;SOUTH HADLEY&#10;SOUTHAMPTON&#10;SOUTHWICK&#10;SPRINGFIELD&#10;TOLLAND&#10;WALES&#10;WARE&#10;WEST SPRINGFIELD&#10;WESTFIELD&#10;WESTHAMPTON&#10;WHATELY&#10;WILBRAHAM&#10;WILLIAMSBURG&#10;WORTHINGTON&#10;Zone 8: ADAMS&#10;ALFORD&#10;BECKET&#10;CHESHIRE&#10;CLARKSBURG&#10;DALTON&#10;EGREMONT&#10;FLORIDA&#10;GREAT BARRINGTON&#10;HANCOCK&#10;HINSDALE&#10;LANESBOROUGH&#10;LEE&#10;LENOX&#10;MONROE&#10;MONTEREY&#10;MOUNT WASHINGTON&#10;NEW ASHFORD&#10;NEW MARLBOROUGH&#10;NORTH ADAMS&#10;OTIS&#10;PERU&#10;PITTSFIELD&#10;RICHMOND&#10;SANDISFIELD&#10;SAVOY&#10;SHEFFIELD&#10;STOCKBRIDGE&#10;TYRINGHAM&#10;WASHINGTON&#10;WEST STOCKBRIDGE&#10;WILLIAMSTOWN&#10;WINDSOR&#10;"/>
      </w:tblPr>
      <w:tblGrid>
        <w:gridCol w:w="1301"/>
        <w:gridCol w:w="1354"/>
        <w:gridCol w:w="1911"/>
        <w:gridCol w:w="1282"/>
        <w:gridCol w:w="1524"/>
        <w:gridCol w:w="1162"/>
        <w:gridCol w:w="1577"/>
        <w:gridCol w:w="1911"/>
      </w:tblGrid>
      <w:tr w:rsidR="008807B4" w:rsidRPr="001C0149" w14:paraId="1E380504" w14:textId="77777777" w:rsidTr="00457B16">
        <w:trPr>
          <w:trHeight w:val="350"/>
          <w:tblHeader/>
        </w:trPr>
        <w:tc>
          <w:tcPr>
            <w:tcW w:w="1301" w:type="dxa"/>
            <w:shd w:val="clear" w:color="auto" w:fill="C8D9EB"/>
          </w:tcPr>
          <w:p w14:paraId="7DE86ED7" w14:textId="77777777" w:rsidR="008807B4" w:rsidRPr="001C0149" w:rsidRDefault="008807B4" w:rsidP="00457B16">
            <w:pPr>
              <w:pStyle w:val="TableParagraph"/>
              <w:spacing w:before="120" w:line="114" w:lineRule="exact"/>
              <w:rPr>
                <w:rFonts w:asciiTheme="minorHAnsi" w:hAnsiTheme="minorHAnsi" w:cstheme="minorHAnsi"/>
                <w:b/>
                <w:sz w:val="16"/>
                <w:szCs w:val="16"/>
              </w:rPr>
            </w:pPr>
            <w:r w:rsidRPr="001C0149">
              <w:rPr>
                <w:rFonts w:asciiTheme="minorHAnsi" w:hAnsiTheme="minorHAnsi" w:cstheme="minorHAnsi"/>
                <w:b/>
                <w:sz w:val="16"/>
                <w:szCs w:val="16"/>
              </w:rPr>
              <w:t>Zone</w:t>
            </w:r>
            <w:r w:rsidRPr="001C0149">
              <w:rPr>
                <w:rFonts w:asciiTheme="minorHAnsi" w:hAnsiTheme="minorHAnsi" w:cstheme="minorHAnsi"/>
                <w:b/>
                <w:spacing w:val="-2"/>
                <w:sz w:val="16"/>
                <w:szCs w:val="16"/>
              </w:rPr>
              <w:t xml:space="preserve"> </w:t>
            </w:r>
            <w:r w:rsidRPr="001C0149">
              <w:rPr>
                <w:rFonts w:asciiTheme="minorHAnsi" w:hAnsiTheme="minorHAnsi" w:cstheme="minorHAnsi"/>
                <w:b/>
                <w:spacing w:val="-12"/>
                <w:sz w:val="16"/>
                <w:szCs w:val="16"/>
              </w:rPr>
              <w:t>1</w:t>
            </w:r>
          </w:p>
        </w:tc>
        <w:tc>
          <w:tcPr>
            <w:tcW w:w="1354" w:type="dxa"/>
            <w:shd w:val="clear" w:color="auto" w:fill="C8D9EB"/>
          </w:tcPr>
          <w:p w14:paraId="58F12ADC" w14:textId="77777777" w:rsidR="008807B4" w:rsidRPr="001C0149" w:rsidRDefault="008807B4" w:rsidP="00457B16">
            <w:pPr>
              <w:pStyle w:val="TableParagraph"/>
              <w:spacing w:before="120" w:line="114" w:lineRule="exact"/>
              <w:rPr>
                <w:rFonts w:asciiTheme="minorHAnsi" w:hAnsiTheme="minorHAnsi" w:cstheme="minorHAnsi"/>
                <w:b/>
                <w:sz w:val="16"/>
                <w:szCs w:val="16"/>
              </w:rPr>
            </w:pPr>
            <w:r w:rsidRPr="001C0149">
              <w:rPr>
                <w:rFonts w:asciiTheme="minorHAnsi" w:hAnsiTheme="minorHAnsi" w:cstheme="minorHAnsi"/>
                <w:b/>
                <w:sz w:val="16"/>
                <w:szCs w:val="16"/>
              </w:rPr>
              <w:t>Zone</w:t>
            </w:r>
            <w:r w:rsidRPr="001C0149">
              <w:rPr>
                <w:rFonts w:asciiTheme="minorHAnsi" w:hAnsiTheme="minorHAnsi" w:cstheme="minorHAnsi"/>
                <w:b/>
                <w:spacing w:val="-2"/>
                <w:sz w:val="16"/>
                <w:szCs w:val="16"/>
              </w:rPr>
              <w:t xml:space="preserve"> </w:t>
            </w:r>
            <w:r w:rsidRPr="001C0149">
              <w:rPr>
                <w:rFonts w:asciiTheme="minorHAnsi" w:hAnsiTheme="minorHAnsi" w:cstheme="minorHAnsi"/>
                <w:b/>
                <w:spacing w:val="-12"/>
                <w:sz w:val="16"/>
                <w:szCs w:val="16"/>
              </w:rPr>
              <w:t>2</w:t>
            </w:r>
          </w:p>
        </w:tc>
        <w:tc>
          <w:tcPr>
            <w:tcW w:w="1911" w:type="dxa"/>
            <w:shd w:val="clear" w:color="auto" w:fill="C8D9EB"/>
          </w:tcPr>
          <w:p w14:paraId="37062465" w14:textId="77777777" w:rsidR="008807B4" w:rsidRPr="001C0149" w:rsidRDefault="008807B4" w:rsidP="00457B16">
            <w:pPr>
              <w:pStyle w:val="TableParagraph"/>
              <w:spacing w:before="120" w:line="114" w:lineRule="exact"/>
              <w:rPr>
                <w:rFonts w:asciiTheme="minorHAnsi" w:hAnsiTheme="minorHAnsi" w:cstheme="minorHAnsi"/>
                <w:b/>
                <w:sz w:val="16"/>
                <w:szCs w:val="16"/>
              </w:rPr>
            </w:pPr>
            <w:r w:rsidRPr="001C0149">
              <w:rPr>
                <w:rFonts w:asciiTheme="minorHAnsi" w:hAnsiTheme="minorHAnsi" w:cstheme="minorHAnsi"/>
                <w:b/>
                <w:sz w:val="16"/>
                <w:szCs w:val="16"/>
              </w:rPr>
              <w:t>Zone</w:t>
            </w:r>
            <w:r w:rsidRPr="001C0149">
              <w:rPr>
                <w:rFonts w:asciiTheme="minorHAnsi" w:hAnsiTheme="minorHAnsi" w:cstheme="minorHAnsi"/>
                <w:b/>
                <w:spacing w:val="-2"/>
                <w:sz w:val="16"/>
                <w:szCs w:val="16"/>
              </w:rPr>
              <w:t xml:space="preserve"> </w:t>
            </w:r>
            <w:r w:rsidRPr="001C0149">
              <w:rPr>
                <w:rFonts w:asciiTheme="minorHAnsi" w:hAnsiTheme="minorHAnsi" w:cstheme="minorHAnsi"/>
                <w:b/>
                <w:spacing w:val="-12"/>
                <w:sz w:val="16"/>
                <w:szCs w:val="16"/>
              </w:rPr>
              <w:t>3</w:t>
            </w:r>
          </w:p>
        </w:tc>
        <w:tc>
          <w:tcPr>
            <w:tcW w:w="1282" w:type="dxa"/>
            <w:shd w:val="clear" w:color="auto" w:fill="C8D9EB"/>
          </w:tcPr>
          <w:p w14:paraId="01AF14CE" w14:textId="77777777" w:rsidR="008807B4" w:rsidRPr="001C0149" w:rsidRDefault="008807B4" w:rsidP="00457B16">
            <w:pPr>
              <w:pStyle w:val="TableParagraph"/>
              <w:spacing w:before="120" w:line="114" w:lineRule="exact"/>
              <w:rPr>
                <w:rFonts w:asciiTheme="minorHAnsi" w:hAnsiTheme="minorHAnsi" w:cstheme="minorHAnsi"/>
                <w:b/>
                <w:sz w:val="16"/>
                <w:szCs w:val="16"/>
              </w:rPr>
            </w:pPr>
            <w:r w:rsidRPr="001C0149">
              <w:rPr>
                <w:rFonts w:asciiTheme="minorHAnsi" w:hAnsiTheme="minorHAnsi" w:cstheme="minorHAnsi"/>
                <w:b/>
                <w:sz w:val="16"/>
                <w:szCs w:val="16"/>
              </w:rPr>
              <w:t>Zone</w:t>
            </w:r>
            <w:r w:rsidRPr="001C0149">
              <w:rPr>
                <w:rFonts w:asciiTheme="minorHAnsi" w:hAnsiTheme="minorHAnsi" w:cstheme="minorHAnsi"/>
                <w:b/>
                <w:spacing w:val="-2"/>
                <w:sz w:val="16"/>
                <w:szCs w:val="16"/>
              </w:rPr>
              <w:t xml:space="preserve"> </w:t>
            </w:r>
            <w:r w:rsidRPr="001C0149">
              <w:rPr>
                <w:rFonts w:asciiTheme="minorHAnsi" w:hAnsiTheme="minorHAnsi" w:cstheme="minorHAnsi"/>
                <w:b/>
                <w:spacing w:val="-12"/>
                <w:sz w:val="16"/>
                <w:szCs w:val="16"/>
              </w:rPr>
              <w:t>4</w:t>
            </w:r>
          </w:p>
        </w:tc>
        <w:tc>
          <w:tcPr>
            <w:tcW w:w="1524" w:type="dxa"/>
            <w:shd w:val="clear" w:color="auto" w:fill="C8D9EB"/>
          </w:tcPr>
          <w:p w14:paraId="34BDDBB5" w14:textId="77777777" w:rsidR="008807B4" w:rsidRPr="001C0149" w:rsidRDefault="008807B4" w:rsidP="00457B16">
            <w:pPr>
              <w:pStyle w:val="TableParagraph"/>
              <w:spacing w:before="120" w:line="114" w:lineRule="exact"/>
              <w:rPr>
                <w:rFonts w:asciiTheme="minorHAnsi" w:hAnsiTheme="minorHAnsi" w:cstheme="minorHAnsi"/>
                <w:b/>
                <w:sz w:val="16"/>
                <w:szCs w:val="16"/>
              </w:rPr>
            </w:pPr>
            <w:r w:rsidRPr="001C0149">
              <w:rPr>
                <w:rFonts w:asciiTheme="minorHAnsi" w:hAnsiTheme="minorHAnsi" w:cstheme="minorHAnsi"/>
                <w:b/>
                <w:sz w:val="16"/>
                <w:szCs w:val="16"/>
              </w:rPr>
              <w:t>Zone</w:t>
            </w:r>
            <w:r w:rsidRPr="001C0149">
              <w:rPr>
                <w:rFonts w:asciiTheme="minorHAnsi" w:hAnsiTheme="minorHAnsi" w:cstheme="minorHAnsi"/>
                <w:b/>
                <w:spacing w:val="-2"/>
                <w:sz w:val="16"/>
                <w:szCs w:val="16"/>
              </w:rPr>
              <w:t xml:space="preserve"> </w:t>
            </w:r>
            <w:r w:rsidRPr="001C0149">
              <w:rPr>
                <w:rFonts w:asciiTheme="minorHAnsi" w:hAnsiTheme="minorHAnsi" w:cstheme="minorHAnsi"/>
                <w:b/>
                <w:spacing w:val="-12"/>
                <w:sz w:val="16"/>
                <w:szCs w:val="16"/>
              </w:rPr>
              <w:t>5</w:t>
            </w:r>
          </w:p>
        </w:tc>
        <w:tc>
          <w:tcPr>
            <w:tcW w:w="1162" w:type="dxa"/>
            <w:shd w:val="clear" w:color="auto" w:fill="C8D9EB"/>
          </w:tcPr>
          <w:p w14:paraId="72A2836C" w14:textId="77777777" w:rsidR="008807B4" w:rsidRPr="001C0149" w:rsidRDefault="008807B4" w:rsidP="00457B16">
            <w:pPr>
              <w:pStyle w:val="TableParagraph"/>
              <w:spacing w:before="120" w:line="114" w:lineRule="exact"/>
              <w:rPr>
                <w:rFonts w:asciiTheme="minorHAnsi" w:hAnsiTheme="minorHAnsi" w:cstheme="minorHAnsi"/>
                <w:b/>
                <w:sz w:val="16"/>
                <w:szCs w:val="16"/>
              </w:rPr>
            </w:pPr>
            <w:r w:rsidRPr="001C0149">
              <w:rPr>
                <w:rFonts w:asciiTheme="minorHAnsi" w:hAnsiTheme="minorHAnsi" w:cstheme="minorHAnsi"/>
                <w:b/>
                <w:sz w:val="16"/>
                <w:szCs w:val="16"/>
              </w:rPr>
              <w:t>Zone</w:t>
            </w:r>
            <w:r w:rsidRPr="001C0149">
              <w:rPr>
                <w:rFonts w:asciiTheme="minorHAnsi" w:hAnsiTheme="minorHAnsi" w:cstheme="minorHAnsi"/>
                <w:b/>
                <w:spacing w:val="-2"/>
                <w:sz w:val="16"/>
                <w:szCs w:val="16"/>
              </w:rPr>
              <w:t xml:space="preserve"> </w:t>
            </w:r>
            <w:r w:rsidRPr="001C0149">
              <w:rPr>
                <w:rFonts w:asciiTheme="minorHAnsi" w:hAnsiTheme="minorHAnsi" w:cstheme="minorHAnsi"/>
                <w:b/>
                <w:spacing w:val="-12"/>
                <w:sz w:val="16"/>
                <w:szCs w:val="16"/>
              </w:rPr>
              <w:t>6</w:t>
            </w:r>
          </w:p>
        </w:tc>
        <w:tc>
          <w:tcPr>
            <w:tcW w:w="1577" w:type="dxa"/>
            <w:shd w:val="clear" w:color="auto" w:fill="C8D9EB"/>
          </w:tcPr>
          <w:p w14:paraId="5F98C0D1" w14:textId="77777777" w:rsidR="008807B4" w:rsidRPr="001C0149" w:rsidRDefault="008807B4" w:rsidP="00457B16">
            <w:pPr>
              <w:pStyle w:val="TableParagraph"/>
              <w:spacing w:before="120" w:line="114" w:lineRule="exact"/>
              <w:rPr>
                <w:rFonts w:asciiTheme="minorHAnsi" w:hAnsiTheme="minorHAnsi" w:cstheme="minorHAnsi"/>
                <w:b/>
                <w:sz w:val="16"/>
                <w:szCs w:val="16"/>
              </w:rPr>
            </w:pPr>
            <w:r w:rsidRPr="001C0149">
              <w:rPr>
                <w:rFonts w:asciiTheme="minorHAnsi" w:hAnsiTheme="minorHAnsi" w:cstheme="minorHAnsi"/>
                <w:b/>
                <w:sz w:val="16"/>
                <w:szCs w:val="16"/>
              </w:rPr>
              <w:t>Zone</w:t>
            </w:r>
            <w:r w:rsidRPr="001C0149">
              <w:rPr>
                <w:rFonts w:asciiTheme="minorHAnsi" w:hAnsiTheme="minorHAnsi" w:cstheme="minorHAnsi"/>
                <w:b/>
                <w:spacing w:val="-2"/>
                <w:sz w:val="16"/>
                <w:szCs w:val="16"/>
              </w:rPr>
              <w:t xml:space="preserve"> </w:t>
            </w:r>
            <w:r w:rsidRPr="001C0149">
              <w:rPr>
                <w:rFonts w:asciiTheme="minorHAnsi" w:hAnsiTheme="minorHAnsi" w:cstheme="minorHAnsi"/>
                <w:b/>
                <w:spacing w:val="-12"/>
                <w:sz w:val="16"/>
                <w:szCs w:val="16"/>
              </w:rPr>
              <w:t>7</w:t>
            </w:r>
          </w:p>
        </w:tc>
        <w:tc>
          <w:tcPr>
            <w:tcW w:w="1911" w:type="dxa"/>
            <w:shd w:val="clear" w:color="auto" w:fill="C8D9EB"/>
          </w:tcPr>
          <w:p w14:paraId="0229F210" w14:textId="77777777" w:rsidR="008807B4" w:rsidRPr="001C0149" w:rsidRDefault="008807B4" w:rsidP="00457B16">
            <w:pPr>
              <w:pStyle w:val="TableParagraph"/>
              <w:spacing w:before="120" w:line="114" w:lineRule="exact"/>
              <w:rPr>
                <w:rFonts w:asciiTheme="minorHAnsi" w:hAnsiTheme="minorHAnsi" w:cstheme="minorHAnsi"/>
                <w:b/>
                <w:sz w:val="16"/>
                <w:szCs w:val="16"/>
              </w:rPr>
            </w:pPr>
            <w:r w:rsidRPr="001C0149">
              <w:rPr>
                <w:rFonts w:asciiTheme="minorHAnsi" w:hAnsiTheme="minorHAnsi" w:cstheme="minorHAnsi"/>
                <w:b/>
                <w:sz w:val="16"/>
                <w:szCs w:val="16"/>
              </w:rPr>
              <w:t>Zone</w:t>
            </w:r>
            <w:r w:rsidRPr="001C0149">
              <w:rPr>
                <w:rFonts w:asciiTheme="minorHAnsi" w:hAnsiTheme="minorHAnsi" w:cstheme="minorHAnsi"/>
                <w:b/>
                <w:spacing w:val="-2"/>
                <w:sz w:val="16"/>
                <w:szCs w:val="16"/>
              </w:rPr>
              <w:t xml:space="preserve"> </w:t>
            </w:r>
            <w:r w:rsidRPr="001C0149">
              <w:rPr>
                <w:rFonts w:asciiTheme="minorHAnsi" w:hAnsiTheme="minorHAnsi" w:cstheme="minorHAnsi"/>
                <w:b/>
                <w:spacing w:val="-12"/>
                <w:sz w:val="16"/>
                <w:szCs w:val="16"/>
              </w:rPr>
              <w:t>8</w:t>
            </w:r>
          </w:p>
        </w:tc>
      </w:tr>
      <w:tr w:rsidR="008807B4" w:rsidRPr="001C0149" w14:paraId="71EC0806" w14:textId="77777777" w:rsidTr="00457B16">
        <w:trPr>
          <w:trHeight w:val="228"/>
        </w:trPr>
        <w:tc>
          <w:tcPr>
            <w:tcW w:w="1301" w:type="dxa"/>
          </w:tcPr>
          <w:p w14:paraId="66251C95" w14:textId="77777777" w:rsidR="008807B4" w:rsidRPr="001C0149" w:rsidRDefault="008807B4" w:rsidP="00457B16">
            <w:pPr>
              <w:pStyle w:val="TableParagraph"/>
              <w:spacing w:before="120" w:line="107" w:lineRule="exact"/>
              <w:rPr>
                <w:rFonts w:asciiTheme="minorHAnsi" w:hAnsiTheme="minorHAnsi" w:cstheme="minorHAnsi"/>
                <w:sz w:val="16"/>
                <w:szCs w:val="16"/>
              </w:rPr>
            </w:pPr>
            <w:r w:rsidRPr="001C0149">
              <w:rPr>
                <w:rFonts w:asciiTheme="minorHAnsi" w:hAnsiTheme="minorHAnsi" w:cstheme="minorHAnsi"/>
                <w:spacing w:val="-2"/>
                <w:sz w:val="16"/>
                <w:szCs w:val="16"/>
              </w:rPr>
              <w:t>Arlington</w:t>
            </w:r>
          </w:p>
        </w:tc>
        <w:tc>
          <w:tcPr>
            <w:tcW w:w="1354" w:type="dxa"/>
          </w:tcPr>
          <w:p w14:paraId="38C65E77" w14:textId="77777777" w:rsidR="008807B4" w:rsidRPr="001C0149" w:rsidRDefault="008807B4" w:rsidP="00457B16">
            <w:pPr>
              <w:pStyle w:val="TableParagraph"/>
              <w:spacing w:before="120" w:line="107" w:lineRule="exact"/>
              <w:rPr>
                <w:rFonts w:asciiTheme="minorHAnsi" w:hAnsiTheme="minorHAnsi" w:cstheme="minorHAnsi"/>
                <w:sz w:val="16"/>
                <w:szCs w:val="16"/>
              </w:rPr>
            </w:pPr>
            <w:r w:rsidRPr="001C0149">
              <w:rPr>
                <w:rFonts w:asciiTheme="minorHAnsi" w:hAnsiTheme="minorHAnsi" w:cstheme="minorHAnsi"/>
                <w:spacing w:val="-2"/>
                <w:sz w:val="16"/>
                <w:szCs w:val="16"/>
              </w:rPr>
              <w:t>Amesbury</w:t>
            </w:r>
          </w:p>
        </w:tc>
        <w:tc>
          <w:tcPr>
            <w:tcW w:w="1911" w:type="dxa"/>
          </w:tcPr>
          <w:p w14:paraId="2D22C902" w14:textId="77777777" w:rsidR="008807B4" w:rsidRPr="001C0149" w:rsidRDefault="008807B4" w:rsidP="00457B16">
            <w:pPr>
              <w:pStyle w:val="TableParagraph"/>
              <w:spacing w:before="120" w:line="107" w:lineRule="exact"/>
              <w:rPr>
                <w:rFonts w:asciiTheme="minorHAnsi" w:hAnsiTheme="minorHAnsi" w:cstheme="minorHAnsi"/>
                <w:sz w:val="16"/>
                <w:szCs w:val="16"/>
              </w:rPr>
            </w:pPr>
            <w:r w:rsidRPr="001C0149">
              <w:rPr>
                <w:rFonts w:asciiTheme="minorHAnsi" w:hAnsiTheme="minorHAnsi" w:cstheme="minorHAnsi"/>
                <w:spacing w:val="-2"/>
                <w:sz w:val="16"/>
                <w:szCs w:val="16"/>
              </w:rPr>
              <w:t>Abington</w:t>
            </w:r>
          </w:p>
        </w:tc>
        <w:tc>
          <w:tcPr>
            <w:tcW w:w="1282" w:type="dxa"/>
          </w:tcPr>
          <w:p w14:paraId="2A861A09" w14:textId="77777777" w:rsidR="008807B4" w:rsidRPr="001C0149" w:rsidRDefault="008807B4" w:rsidP="00457B16">
            <w:pPr>
              <w:pStyle w:val="TableParagraph"/>
              <w:spacing w:before="120" w:line="107" w:lineRule="exact"/>
              <w:rPr>
                <w:rFonts w:asciiTheme="minorHAnsi" w:hAnsiTheme="minorHAnsi" w:cstheme="minorHAnsi"/>
                <w:sz w:val="16"/>
                <w:szCs w:val="16"/>
              </w:rPr>
            </w:pPr>
            <w:r w:rsidRPr="001C0149">
              <w:rPr>
                <w:rFonts w:asciiTheme="minorHAnsi" w:hAnsiTheme="minorHAnsi" w:cstheme="minorHAnsi"/>
                <w:spacing w:val="-2"/>
                <w:sz w:val="16"/>
                <w:szCs w:val="16"/>
              </w:rPr>
              <w:t>Barnstable</w:t>
            </w:r>
          </w:p>
        </w:tc>
        <w:tc>
          <w:tcPr>
            <w:tcW w:w="1524" w:type="dxa"/>
          </w:tcPr>
          <w:p w14:paraId="75A1899B" w14:textId="77777777" w:rsidR="008807B4" w:rsidRPr="001C0149" w:rsidRDefault="008807B4" w:rsidP="00457B16">
            <w:pPr>
              <w:pStyle w:val="TableParagraph"/>
              <w:spacing w:before="120" w:line="107" w:lineRule="exact"/>
              <w:rPr>
                <w:rFonts w:asciiTheme="minorHAnsi" w:hAnsiTheme="minorHAnsi" w:cstheme="minorHAnsi"/>
                <w:sz w:val="16"/>
                <w:szCs w:val="16"/>
              </w:rPr>
            </w:pPr>
            <w:r w:rsidRPr="001C0149">
              <w:rPr>
                <w:rFonts w:asciiTheme="minorHAnsi" w:hAnsiTheme="minorHAnsi" w:cstheme="minorHAnsi"/>
                <w:spacing w:val="-2"/>
                <w:sz w:val="16"/>
                <w:szCs w:val="16"/>
              </w:rPr>
              <w:t>Acton</w:t>
            </w:r>
          </w:p>
        </w:tc>
        <w:tc>
          <w:tcPr>
            <w:tcW w:w="1162" w:type="dxa"/>
          </w:tcPr>
          <w:p w14:paraId="5129044E" w14:textId="77777777" w:rsidR="008807B4" w:rsidRPr="001C0149" w:rsidRDefault="008807B4" w:rsidP="00457B16">
            <w:pPr>
              <w:pStyle w:val="TableParagraph"/>
              <w:spacing w:before="120" w:line="107" w:lineRule="exact"/>
              <w:rPr>
                <w:rFonts w:asciiTheme="minorHAnsi" w:hAnsiTheme="minorHAnsi" w:cstheme="minorHAnsi"/>
                <w:sz w:val="16"/>
                <w:szCs w:val="16"/>
              </w:rPr>
            </w:pPr>
            <w:r w:rsidRPr="001C0149">
              <w:rPr>
                <w:rFonts w:asciiTheme="minorHAnsi" w:hAnsiTheme="minorHAnsi" w:cstheme="minorHAnsi"/>
                <w:spacing w:val="-2"/>
                <w:sz w:val="16"/>
                <w:szCs w:val="16"/>
              </w:rPr>
              <w:t>Ashburnham</w:t>
            </w:r>
          </w:p>
        </w:tc>
        <w:tc>
          <w:tcPr>
            <w:tcW w:w="1577" w:type="dxa"/>
          </w:tcPr>
          <w:p w14:paraId="2D970E10" w14:textId="77777777" w:rsidR="008807B4" w:rsidRPr="001C0149" w:rsidRDefault="008807B4" w:rsidP="00457B16">
            <w:pPr>
              <w:pStyle w:val="TableParagraph"/>
              <w:spacing w:before="120" w:line="107" w:lineRule="exact"/>
              <w:rPr>
                <w:rFonts w:asciiTheme="minorHAnsi" w:hAnsiTheme="minorHAnsi" w:cstheme="minorHAnsi"/>
                <w:sz w:val="16"/>
                <w:szCs w:val="16"/>
              </w:rPr>
            </w:pPr>
            <w:r w:rsidRPr="001C0149">
              <w:rPr>
                <w:rFonts w:asciiTheme="minorHAnsi" w:hAnsiTheme="minorHAnsi" w:cstheme="minorHAnsi"/>
                <w:spacing w:val="-2"/>
                <w:sz w:val="16"/>
                <w:szCs w:val="16"/>
              </w:rPr>
              <w:t>Agawam</w:t>
            </w:r>
          </w:p>
        </w:tc>
        <w:tc>
          <w:tcPr>
            <w:tcW w:w="1911" w:type="dxa"/>
          </w:tcPr>
          <w:p w14:paraId="17033A9B" w14:textId="77777777" w:rsidR="008807B4" w:rsidRPr="001C0149" w:rsidRDefault="008807B4" w:rsidP="00457B16">
            <w:pPr>
              <w:pStyle w:val="TableParagraph"/>
              <w:spacing w:before="120" w:line="107" w:lineRule="exact"/>
              <w:rPr>
                <w:rFonts w:asciiTheme="minorHAnsi" w:hAnsiTheme="minorHAnsi" w:cstheme="minorHAnsi"/>
                <w:sz w:val="16"/>
                <w:szCs w:val="16"/>
              </w:rPr>
            </w:pPr>
            <w:r w:rsidRPr="001C0149">
              <w:rPr>
                <w:rFonts w:asciiTheme="minorHAnsi" w:hAnsiTheme="minorHAnsi" w:cstheme="minorHAnsi"/>
                <w:spacing w:val="-2"/>
                <w:sz w:val="16"/>
                <w:szCs w:val="16"/>
              </w:rPr>
              <w:t>Adams</w:t>
            </w:r>
          </w:p>
        </w:tc>
      </w:tr>
      <w:tr w:rsidR="008807B4" w:rsidRPr="001C0149" w14:paraId="6C142DDB" w14:textId="77777777" w:rsidTr="00457B16">
        <w:trPr>
          <w:trHeight w:val="228"/>
        </w:trPr>
        <w:tc>
          <w:tcPr>
            <w:tcW w:w="1301" w:type="dxa"/>
          </w:tcPr>
          <w:p w14:paraId="06FCC578"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Belmont</w:t>
            </w:r>
          </w:p>
        </w:tc>
        <w:tc>
          <w:tcPr>
            <w:tcW w:w="1354" w:type="dxa"/>
          </w:tcPr>
          <w:p w14:paraId="2A3046AA"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Andover</w:t>
            </w:r>
          </w:p>
        </w:tc>
        <w:tc>
          <w:tcPr>
            <w:tcW w:w="1911" w:type="dxa"/>
          </w:tcPr>
          <w:p w14:paraId="1913B8D5"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Acushnet</w:t>
            </w:r>
          </w:p>
        </w:tc>
        <w:tc>
          <w:tcPr>
            <w:tcW w:w="1282" w:type="dxa"/>
          </w:tcPr>
          <w:p w14:paraId="24A68B63"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Bourne</w:t>
            </w:r>
          </w:p>
        </w:tc>
        <w:tc>
          <w:tcPr>
            <w:tcW w:w="1524" w:type="dxa"/>
          </w:tcPr>
          <w:p w14:paraId="243E1DCC"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Ashland</w:t>
            </w:r>
          </w:p>
        </w:tc>
        <w:tc>
          <w:tcPr>
            <w:tcW w:w="1162" w:type="dxa"/>
          </w:tcPr>
          <w:p w14:paraId="7E09E3DC"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Ashby</w:t>
            </w:r>
          </w:p>
        </w:tc>
        <w:tc>
          <w:tcPr>
            <w:tcW w:w="1577" w:type="dxa"/>
          </w:tcPr>
          <w:p w14:paraId="5C777D6F"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Amherst</w:t>
            </w:r>
          </w:p>
        </w:tc>
        <w:tc>
          <w:tcPr>
            <w:tcW w:w="1911" w:type="dxa"/>
          </w:tcPr>
          <w:p w14:paraId="6F13F7BE"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Alford</w:t>
            </w:r>
          </w:p>
        </w:tc>
      </w:tr>
      <w:tr w:rsidR="008807B4" w:rsidRPr="001C0149" w14:paraId="5E3D5167" w14:textId="77777777" w:rsidTr="00457B16">
        <w:trPr>
          <w:trHeight w:val="228"/>
        </w:trPr>
        <w:tc>
          <w:tcPr>
            <w:tcW w:w="1301" w:type="dxa"/>
          </w:tcPr>
          <w:p w14:paraId="5D3011E2"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Boston</w:t>
            </w:r>
          </w:p>
        </w:tc>
        <w:tc>
          <w:tcPr>
            <w:tcW w:w="1354" w:type="dxa"/>
          </w:tcPr>
          <w:p w14:paraId="182AF787"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Beverly</w:t>
            </w:r>
          </w:p>
        </w:tc>
        <w:tc>
          <w:tcPr>
            <w:tcW w:w="1911" w:type="dxa"/>
          </w:tcPr>
          <w:p w14:paraId="4366A326"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Attleboro</w:t>
            </w:r>
          </w:p>
        </w:tc>
        <w:tc>
          <w:tcPr>
            <w:tcW w:w="1282" w:type="dxa"/>
          </w:tcPr>
          <w:p w14:paraId="538DCFFB"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Brewster</w:t>
            </w:r>
          </w:p>
        </w:tc>
        <w:tc>
          <w:tcPr>
            <w:tcW w:w="1524" w:type="dxa"/>
          </w:tcPr>
          <w:p w14:paraId="0270AE99"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Auburn</w:t>
            </w:r>
          </w:p>
        </w:tc>
        <w:tc>
          <w:tcPr>
            <w:tcW w:w="1162" w:type="dxa"/>
          </w:tcPr>
          <w:p w14:paraId="37E6D1F7"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Athol</w:t>
            </w:r>
          </w:p>
        </w:tc>
        <w:tc>
          <w:tcPr>
            <w:tcW w:w="1577" w:type="dxa"/>
          </w:tcPr>
          <w:p w14:paraId="2D11B4EB"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Ashfield</w:t>
            </w:r>
          </w:p>
        </w:tc>
        <w:tc>
          <w:tcPr>
            <w:tcW w:w="1911" w:type="dxa"/>
          </w:tcPr>
          <w:p w14:paraId="1B567117"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Becket</w:t>
            </w:r>
          </w:p>
        </w:tc>
      </w:tr>
      <w:tr w:rsidR="008807B4" w:rsidRPr="001C0149" w14:paraId="6AEC782C" w14:textId="77777777" w:rsidTr="00457B16">
        <w:trPr>
          <w:trHeight w:val="228"/>
        </w:trPr>
        <w:tc>
          <w:tcPr>
            <w:tcW w:w="1301" w:type="dxa"/>
          </w:tcPr>
          <w:p w14:paraId="7168B248"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Braintree</w:t>
            </w:r>
          </w:p>
        </w:tc>
        <w:tc>
          <w:tcPr>
            <w:tcW w:w="1354" w:type="dxa"/>
          </w:tcPr>
          <w:p w14:paraId="588C7A80"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Boxford</w:t>
            </w:r>
          </w:p>
        </w:tc>
        <w:tc>
          <w:tcPr>
            <w:tcW w:w="1911" w:type="dxa"/>
          </w:tcPr>
          <w:p w14:paraId="20447491"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4"/>
                <w:sz w:val="16"/>
                <w:szCs w:val="16"/>
              </w:rPr>
              <w:t>Avon</w:t>
            </w:r>
          </w:p>
        </w:tc>
        <w:tc>
          <w:tcPr>
            <w:tcW w:w="1282" w:type="dxa"/>
          </w:tcPr>
          <w:p w14:paraId="7D38A003"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Chatham</w:t>
            </w:r>
          </w:p>
        </w:tc>
        <w:tc>
          <w:tcPr>
            <w:tcW w:w="1524" w:type="dxa"/>
          </w:tcPr>
          <w:p w14:paraId="005F7BEB"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4"/>
                <w:sz w:val="16"/>
                <w:szCs w:val="16"/>
              </w:rPr>
              <w:t>Ayer</w:t>
            </w:r>
          </w:p>
        </w:tc>
        <w:tc>
          <w:tcPr>
            <w:tcW w:w="1162" w:type="dxa"/>
          </w:tcPr>
          <w:p w14:paraId="6A219E57"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Bernardston</w:t>
            </w:r>
          </w:p>
        </w:tc>
        <w:tc>
          <w:tcPr>
            <w:tcW w:w="1577" w:type="dxa"/>
          </w:tcPr>
          <w:p w14:paraId="26C463BF"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Belchertown</w:t>
            </w:r>
          </w:p>
        </w:tc>
        <w:tc>
          <w:tcPr>
            <w:tcW w:w="1911" w:type="dxa"/>
          </w:tcPr>
          <w:p w14:paraId="57336D14"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Cheshire</w:t>
            </w:r>
          </w:p>
        </w:tc>
      </w:tr>
      <w:tr w:rsidR="008807B4" w:rsidRPr="001C0149" w14:paraId="653EB284" w14:textId="77777777" w:rsidTr="00457B16">
        <w:trPr>
          <w:trHeight w:val="228"/>
        </w:trPr>
        <w:tc>
          <w:tcPr>
            <w:tcW w:w="1301" w:type="dxa"/>
          </w:tcPr>
          <w:p w14:paraId="0CCB1D02"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Brookline</w:t>
            </w:r>
          </w:p>
        </w:tc>
        <w:tc>
          <w:tcPr>
            <w:tcW w:w="1354" w:type="dxa"/>
          </w:tcPr>
          <w:p w14:paraId="6724944A"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Danvers</w:t>
            </w:r>
          </w:p>
        </w:tc>
        <w:tc>
          <w:tcPr>
            <w:tcW w:w="1911" w:type="dxa"/>
          </w:tcPr>
          <w:p w14:paraId="0159CE6D"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Berkley</w:t>
            </w:r>
          </w:p>
        </w:tc>
        <w:tc>
          <w:tcPr>
            <w:tcW w:w="1282" w:type="dxa"/>
          </w:tcPr>
          <w:p w14:paraId="6D50E285"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Dennis</w:t>
            </w:r>
          </w:p>
        </w:tc>
        <w:tc>
          <w:tcPr>
            <w:tcW w:w="1524" w:type="dxa"/>
          </w:tcPr>
          <w:p w14:paraId="530EE7A0"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Barre</w:t>
            </w:r>
          </w:p>
        </w:tc>
        <w:tc>
          <w:tcPr>
            <w:tcW w:w="1162" w:type="dxa"/>
          </w:tcPr>
          <w:p w14:paraId="7DD8CC4C"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Buckland</w:t>
            </w:r>
          </w:p>
        </w:tc>
        <w:tc>
          <w:tcPr>
            <w:tcW w:w="1577" w:type="dxa"/>
          </w:tcPr>
          <w:p w14:paraId="01228463"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Blandford</w:t>
            </w:r>
          </w:p>
        </w:tc>
        <w:tc>
          <w:tcPr>
            <w:tcW w:w="1911" w:type="dxa"/>
          </w:tcPr>
          <w:p w14:paraId="243D7859"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Clarksburg</w:t>
            </w:r>
          </w:p>
        </w:tc>
      </w:tr>
      <w:tr w:rsidR="008807B4" w:rsidRPr="001C0149" w14:paraId="719DFD31" w14:textId="77777777" w:rsidTr="00457B16">
        <w:trPr>
          <w:trHeight w:val="228"/>
        </w:trPr>
        <w:tc>
          <w:tcPr>
            <w:tcW w:w="1301" w:type="dxa"/>
          </w:tcPr>
          <w:p w14:paraId="31536289"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Burlington</w:t>
            </w:r>
          </w:p>
        </w:tc>
        <w:tc>
          <w:tcPr>
            <w:tcW w:w="1354" w:type="dxa"/>
          </w:tcPr>
          <w:p w14:paraId="66F7E534"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Dracut</w:t>
            </w:r>
          </w:p>
        </w:tc>
        <w:tc>
          <w:tcPr>
            <w:tcW w:w="1911" w:type="dxa"/>
          </w:tcPr>
          <w:p w14:paraId="4F20E803"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Bridgewater</w:t>
            </w:r>
          </w:p>
        </w:tc>
        <w:tc>
          <w:tcPr>
            <w:tcW w:w="1282" w:type="dxa"/>
          </w:tcPr>
          <w:p w14:paraId="3C71990D"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Eastham</w:t>
            </w:r>
          </w:p>
        </w:tc>
        <w:tc>
          <w:tcPr>
            <w:tcW w:w="1524" w:type="dxa"/>
          </w:tcPr>
          <w:p w14:paraId="6D095904"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Bedford</w:t>
            </w:r>
          </w:p>
        </w:tc>
        <w:tc>
          <w:tcPr>
            <w:tcW w:w="1162" w:type="dxa"/>
          </w:tcPr>
          <w:p w14:paraId="1AA8F1BB"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Charlemont</w:t>
            </w:r>
          </w:p>
        </w:tc>
        <w:tc>
          <w:tcPr>
            <w:tcW w:w="1577" w:type="dxa"/>
          </w:tcPr>
          <w:p w14:paraId="5E4E4F66"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Brimfield</w:t>
            </w:r>
          </w:p>
        </w:tc>
        <w:tc>
          <w:tcPr>
            <w:tcW w:w="1911" w:type="dxa"/>
          </w:tcPr>
          <w:p w14:paraId="7D48EC4B"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Dalton</w:t>
            </w:r>
          </w:p>
        </w:tc>
      </w:tr>
      <w:tr w:rsidR="008807B4" w:rsidRPr="001C0149" w14:paraId="302F5636" w14:textId="77777777" w:rsidTr="00457B16">
        <w:trPr>
          <w:trHeight w:val="228"/>
        </w:trPr>
        <w:tc>
          <w:tcPr>
            <w:tcW w:w="1301" w:type="dxa"/>
          </w:tcPr>
          <w:p w14:paraId="55073C0F"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Cambridge</w:t>
            </w:r>
          </w:p>
        </w:tc>
        <w:tc>
          <w:tcPr>
            <w:tcW w:w="1354" w:type="dxa"/>
          </w:tcPr>
          <w:p w14:paraId="1197DDA6"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Essex</w:t>
            </w:r>
          </w:p>
        </w:tc>
        <w:tc>
          <w:tcPr>
            <w:tcW w:w="1911" w:type="dxa"/>
          </w:tcPr>
          <w:p w14:paraId="0A1EE6C0"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Brockton</w:t>
            </w:r>
          </w:p>
        </w:tc>
        <w:tc>
          <w:tcPr>
            <w:tcW w:w="1282" w:type="dxa"/>
          </w:tcPr>
          <w:p w14:paraId="5E870520"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Falmouth</w:t>
            </w:r>
          </w:p>
        </w:tc>
        <w:tc>
          <w:tcPr>
            <w:tcW w:w="1524" w:type="dxa"/>
          </w:tcPr>
          <w:p w14:paraId="7CDC915C"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Bellingham</w:t>
            </w:r>
          </w:p>
        </w:tc>
        <w:tc>
          <w:tcPr>
            <w:tcW w:w="1162" w:type="dxa"/>
          </w:tcPr>
          <w:p w14:paraId="34C1767A"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Colrain</w:t>
            </w:r>
          </w:p>
        </w:tc>
        <w:tc>
          <w:tcPr>
            <w:tcW w:w="1577" w:type="dxa"/>
          </w:tcPr>
          <w:p w14:paraId="7CEAEA21"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Chester</w:t>
            </w:r>
          </w:p>
        </w:tc>
        <w:tc>
          <w:tcPr>
            <w:tcW w:w="1911" w:type="dxa"/>
          </w:tcPr>
          <w:p w14:paraId="5B24DC96"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Egremont</w:t>
            </w:r>
          </w:p>
        </w:tc>
      </w:tr>
      <w:tr w:rsidR="008807B4" w:rsidRPr="001C0149" w14:paraId="2120485F" w14:textId="77777777" w:rsidTr="00457B16">
        <w:trPr>
          <w:trHeight w:val="228"/>
        </w:trPr>
        <w:tc>
          <w:tcPr>
            <w:tcW w:w="1301" w:type="dxa"/>
          </w:tcPr>
          <w:p w14:paraId="230B28CA"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Canton</w:t>
            </w:r>
          </w:p>
        </w:tc>
        <w:tc>
          <w:tcPr>
            <w:tcW w:w="1354" w:type="dxa"/>
          </w:tcPr>
          <w:p w14:paraId="7E2898AF"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Georgetown</w:t>
            </w:r>
          </w:p>
        </w:tc>
        <w:tc>
          <w:tcPr>
            <w:tcW w:w="1911" w:type="dxa"/>
          </w:tcPr>
          <w:p w14:paraId="76766077"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Carver</w:t>
            </w:r>
          </w:p>
        </w:tc>
        <w:tc>
          <w:tcPr>
            <w:tcW w:w="1282" w:type="dxa"/>
          </w:tcPr>
          <w:p w14:paraId="365FAED7"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Gosnold</w:t>
            </w:r>
          </w:p>
        </w:tc>
        <w:tc>
          <w:tcPr>
            <w:tcW w:w="1524" w:type="dxa"/>
          </w:tcPr>
          <w:p w14:paraId="0FC34074"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Berlin</w:t>
            </w:r>
          </w:p>
        </w:tc>
        <w:tc>
          <w:tcPr>
            <w:tcW w:w="1162" w:type="dxa"/>
          </w:tcPr>
          <w:p w14:paraId="508C6D85"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Deerfield</w:t>
            </w:r>
          </w:p>
        </w:tc>
        <w:tc>
          <w:tcPr>
            <w:tcW w:w="1577" w:type="dxa"/>
          </w:tcPr>
          <w:p w14:paraId="365256D1"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Chesterfield</w:t>
            </w:r>
          </w:p>
        </w:tc>
        <w:tc>
          <w:tcPr>
            <w:tcW w:w="1911" w:type="dxa"/>
          </w:tcPr>
          <w:p w14:paraId="0FD95F0E"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Florida</w:t>
            </w:r>
          </w:p>
        </w:tc>
      </w:tr>
      <w:tr w:rsidR="008807B4" w:rsidRPr="001C0149" w14:paraId="39FAC081" w14:textId="77777777" w:rsidTr="00457B16">
        <w:trPr>
          <w:trHeight w:val="228"/>
        </w:trPr>
        <w:tc>
          <w:tcPr>
            <w:tcW w:w="1301" w:type="dxa"/>
          </w:tcPr>
          <w:p w14:paraId="6E852566"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Chelsea</w:t>
            </w:r>
          </w:p>
        </w:tc>
        <w:tc>
          <w:tcPr>
            <w:tcW w:w="1354" w:type="dxa"/>
          </w:tcPr>
          <w:p w14:paraId="04F89F70"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Gloucester</w:t>
            </w:r>
          </w:p>
        </w:tc>
        <w:tc>
          <w:tcPr>
            <w:tcW w:w="1911" w:type="dxa"/>
          </w:tcPr>
          <w:p w14:paraId="51093605"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Dartmouth</w:t>
            </w:r>
          </w:p>
        </w:tc>
        <w:tc>
          <w:tcPr>
            <w:tcW w:w="1282" w:type="dxa"/>
          </w:tcPr>
          <w:p w14:paraId="696A4FB5"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Harwich</w:t>
            </w:r>
          </w:p>
        </w:tc>
        <w:tc>
          <w:tcPr>
            <w:tcW w:w="1524" w:type="dxa"/>
          </w:tcPr>
          <w:p w14:paraId="2E80B031"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Billerica</w:t>
            </w:r>
          </w:p>
        </w:tc>
        <w:tc>
          <w:tcPr>
            <w:tcW w:w="1162" w:type="dxa"/>
          </w:tcPr>
          <w:p w14:paraId="19F40EB0"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Erving</w:t>
            </w:r>
          </w:p>
        </w:tc>
        <w:tc>
          <w:tcPr>
            <w:tcW w:w="1577" w:type="dxa"/>
          </w:tcPr>
          <w:p w14:paraId="42E422F8"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Chicopee</w:t>
            </w:r>
          </w:p>
        </w:tc>
        <w:tc>
          <w:tcPr>
            <w:tcW w:w="1911" w:type="dxa"/>
          </w:tcPr>
          <w:p w14:paraId="451E644D"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z w:val="16"/>
                <w:szCs w:val="16"/>
              </w:rPr>
              <w:t>Great</w:t>
            </w:r>
            <w:r w:rsidRPr="001C0149">
              <w:rPr>
                <w:rFonts w:asciiTheme="minorHAnsi" w:hAnsiTheme="minorHAnsi" w:cstheme="minorHAnsi"/>
                <w:spacing w:val="-2"/>
                <w:sz w:val="16"/>
                <w:szCs w:val="16"/>
              </w:rPr>
              <w:t xml:space="preserve"> Barrington</w:t>
            </w:r>
          </w:p>
        </w:tc>
      </w:tr>
      <w:tr w:rsidR="008807B4" w:rsidRPr="001C0149" w14:paraId="2C363C63" w14:textId="77777777" w:rsidTr="00457B16">
        <w:trPr>
          <w:trHeight w:val="228"/>
        </w:trPr>
        <w:tc>
          <w:tcPr>
            <w:tcW w:w="1301" w:type="dxa"/>
          </w:tcPr>
          <w:p w14:paraId="63B7E93B"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Cohasset</w:t>
            </w:r>
          </w:p>
        </w:tc>
        <w:tc>
          <w:tcPr>
            <w:tcW w:w="1354" w:type="dxa"/>
          </w:tcPr>
          <w:p w14:paraId="217B6A81"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Groveland</w:t>
            </w:r>
          </w:p>
        </w:tc>
        <w:tc>
          <w:tcPr>
            <w:tcW w:w="1911" w:type="dxa"/>
          </w:tcPr>
          <w:p w14:paraId="16B1AA30"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Dighton</w:t>
            </w:r>
          </w:p>
        </w:tc>
        <w:tc>
          <w:tcPr>
            <w:tcW w:w="1282" w:type="dxa"/>
          </w:tcPr>
          <w:p w14:paraId="38DAA651"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Mashpee</w:t>
            </w:r>
          </w:p>
        </w:tc>
        <w:tc>
          <w:tcPr>
            <w:tcW w:w="1524" w:type="dxa"/>
          </w:tcPr>
          <w:p w14:paraId="372B31B7"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Blackstone</w:t>
            </w:r>
          </w:p>
        </w:tc>
        <w:tc>
          <w:tcPr>
            <w:tcW w:w="1162" w:type="dxa"/>
          </w:tcPr>
          <w:p w14:paraId="0F1F0D7A"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Fitchburg</w:t>
            </w:r>
          </w:p>
        </w:tc>
        <w:tc>
          <w:tcPr>
            <w:tcW w:w="1577" w:type="dxa"/>
          </w:tcPr>
          <w:p w14:paraId="3554CC8D"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Conway</w:t>
            </w:r>
          </w:p>
        </w:tc>
        <w:tc>
          <w:tcPr>
            <w:tcW w:w="1911" w:type="dxa"/>
          </w:tcPr>
          <w:p w14:paraId="1137FECA"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Hancock</w:t>
            </w:r>
          </w:p>
        </w:tc>
      </w:tr>
      <w:tr w:rsidR="008807B4" w:rsidRPr="001C0149" w14:paraId="2F0C4A69" w14:textId="77777777" w:rsidTr="00457B16">
        <w:trPr>
          <w:trHeight w:val="228"/>
        </w:trPr>
        <w:tc>
          <w:tcPr>
            <w:tcW w:w="1301" w:type="dxa"/>
          </w:tcPr>
          <w:p w14:paraId="37B773DD"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Dedham</w:t>
            </w:r>
          </w:p>
        </w:tc>
        <w:tc>
          <w:tcPr>
            <w:tcW w:w="1354" w:type="dxa"/>
          </w:tcPr>
          <w:p w14:paraId="13E4AD38"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Hamilton</w:t>
            </w:r>
          </w:p>
        </w:tc>
        <w:tc>
          <w:tcPr>
            <w:tcW w:w="1911" w:type="dxa"/>
          </w:tcPr>
          <w:p w14:paraId="46D5FF35"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Duxbury</w:t>
            </w:r>
          </w:p>
        </w:tc>
        <w:tc>
          <w:tcPr>
            <w:tcW w:w="1282" w:type="dxa"/>
          </w:tcPr>
          <w:p w14:paraId="1AAC6122"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Orleans</w:t>
            </w:r>
          </w:p>
        </w:tc>
        <w:tc>
          <w:tcPr>
            <w:tcW w:w="1524" w:type="dxa"/>
          </w:tcPr>
          <w:p w14:paraId="621716C3"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Bolton</w:t>
            </w:r>
          </w:p>
        </w:tc>
        <w:tc>
          <w:tcPr>
            <w:tcW w:w="1162" w:type="dxa"/>
          </w:tcPr>
          <w:p w14:paraId="2AD126A2"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Gardner</w:t>
            </w:r>
          </w:p>
        </w:tc>
        <w:tc>
          <w:tcPr>
            <w:tcW w:w="1577" w:type="dxa"/>
          </w:tcPr>
          <w:p w14:paraId="34C3EEFE"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Cummington</w:t>
            </w:r>
          </w:p>
        </w:tc>
        <w:tc>
          <w:tcPr>
            <w:tcW w:w="1911" w:type="dxa"/>
          </w:tcPr>
          <w:p w14:paraId="5BB44D74"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Hinsdale</w:t>
            </w:r>
          </w:p>
        </w:tc>
      </w:tr>
      <w:tr w:rsidR="008807B4" w:rsidRPr="001C0149" w14:paraId="5F93237F" w14:textId="77777777" w:rsidTr="00457B16">
        <w:trPr>
          <w:trHeight w:val="228"/>
        </w:trPr>
        <w:tc>
          <w:tcPr>
            <w:tcW w:w="1301" w:type="dxa"/>
          </w:tcPr>
          <w:p w14:paraId="058F6DDF"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Dover</w:t>
            </w:r>
          </w:p>
        </w:tc>
        <w:tc>
          <w:tcPr>
            <w:tcW w:w="1354" w:type="dxa"/>
          </w:tcPr>
          <w:p w14:paraId="6A76C1AD"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Haverhill</w:t>
            </w:r>
          </w:p>
        </w:tc>
        <w:tc>
          <w:tcPr>
            <w:tcW w:w="1911" w:type="dxa"/>
          </w:tcPr>
          <w:p w14:paraId="68F0F67E"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z w:val="16"/>
                <w:szCs w:val="16"/>
              </w:rPr>
              <w:t>East</w:t>
            </w:r>
            <w:r w:rsidRPr="001C0149">
              <w:rPr>
                <w:rFonts w:asciiTheme="minorHAnsi" w:hAnsiTheme="minorHAnsi" w:cstheme="minorHAnsi"/>
                <w:spacing w:val="-1"/>
                <w:sz w:val="16"/>
                <w:szCs w:val="16"/>
              </w:rPr>
              <w:t xml:space="preserve"> </w:t>
            </w:r>
            <w:r w:rsidRPr="001C0149">
              <w:rPr>
                <w:rFonts w:asciiTheme="minorHAnsi" w:hAnsiTheme="minorHAnsi" w:cstheme="minorHAnsi"/>
                <w:spacing w:val="-2"/>
                <w:sz w:val="16"/>
                <w:szCs w:val="16"/>
              </w:rPr>
              <w:t>Bridgewater</w:t>
            </w:r>
          </w:p>
        </w:tc>
        <w:tc>
          <w:tcPr>
            <w:tcW w:w="1282" w:type="dxa"/>
          </w:tcPr>
          <w:p w14:paraId="7F2D2825"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Provincetown</w:t>
            </w:r>
          </w:p>
        </w:tc>
        <w:tc>
          <w:tcPr>
            <w:tcW w:w="1524" w:type="dxa"/>
          </w:tcPr>
          <w:p w14:paraId="026A149F"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Boxborough</w:t>
            </w:r>
          </w:p>
        </w:tc>
        <w:tc>
          <w:tcPr>
            <w:tcW w:w="1162" w:type="dxa"/>
          </w:tcPr>
          <w:p w14:paraId="3AA5D0EF"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4"/>
                <w:sz w:val="16"/>
                <w:szCs w:val="16"/>
              </w:rPr>
              <w:t>Gill</w:t>
            </w:r>
          </w:p>
        </w:tc>
        <w:tc>
          <w:tcPr>
            <w:tcW w:w="1577" w:type="dxa"/>
          </w:tcPr>
          <w:p w14:paraId="064D2B02"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z w:val="16"/>
                <w:szCs w:val="16"/>
              </w:rPr>
              <w:t>East</w:t>
            </w:r>
            <w:r w:rsidRPr="001C0149">
              <w:rPr>
                <w:rFonts w:asciiTheme="minorHAnsi" w:hAnsiTheme="minorHAnsi" w:cstheme="minorHAnsi"/>
                <w:spacing w:val="-1"/>
                <w:sz w:val="16"/>
                <w:szCs w:val="16"/>
              </w:rPr>
              <w:t xml:space="preserve"> </w:t>
            </w:r>
            <w:r w:rsidRPr="001C0149">
              <w:rPr>
                <w:rFonts w:asciiTheme="minorHAnsi" w:hAnsiTheme="minorHAnsi" w:cstheme="minorHAnsi"/>
                <w:spacing w:val="-2"/>
                <w:sz w:val="16"/>
                <w:szCs w:val="16"/>
              </w:rPr>
              <w:t>Longmeadow</w:t>
            </w:r>
          </w:p>
        </w:tc>
        <w:tc>
          <w:tcPr>
            <w:tcW w:w="1911" w:type="dxa"/>
          </w:tcPr>
          <w:p w14:paraId="5977AF76"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Lanesborough</w:t>
            </w:r>
          </w:p>
        </w:tc>
      </w:tr>
      <w:tr w:rsidR="008807B4" w:rsidRPr="001C0149" w14:paraId="08386593" w14:textId="77777777" w:rsidTr="00457B16">
        <w:trPr>
          <w:trHeight w:val="228"/>
        </w:trPr>
        <w:tc>
          <w:tcPr>
            <w:tcW w:w="1301" w:type="dxa"/>
          </w:tcPr>
          <w:p w14:paraId="2AC5B2FA"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Everett</w:t>
            </w:r>
          </w:p>
        </w:tc>
        <w:tc>
          <w:tcPr>
            <w:tcW w:w="1354" w:type="dxa"/>
          </w:tcPr>
          <w:p w14:paraId="7D6FF39D"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Ipswich</w:t>
            </w:r>
          </w:p>
        </w:tc>
        <w:tc>
          <w:tcPr>
            <w:tcW w:w="1911" w:type="dxa"/>
          </w:tcPr>
          <w:p w14:paraId="4AE1C339"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Easton</w:t>
            </w:r>
          </w:p>
        </w:tc>
        <w:tc>
          <w:tcPr>
            <w:tcW w:w="1282" w:type="dxa"/>
          </w:tcPr>
          <w:p w14:paraId="520B3ED8"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Sandwich</w:t>
            </w:r>
          </w:p>
        </w:tc>
        <w:tc>
          <w:tcPr>
            <w:tcW w:w="1524" w:type="dxa"/>
          </w:tcPr>
          <w:p w14:paraId="1476B5D8"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Boylston</w:t>
            </w:r>
          </w:p>
        </w:tc>
        <w:tc>
          <w:tcPr>
            <w:tcW w:w="1162" w:type="dxa"/>
          </w:tcPr>
          <w:p w14:paraId="292ADCFD"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Greenfield</w:t>
            </w:r>
          </w:p>
        </w:tc>
        <w:tc>
          <w:tcPr>
            <w:tcW w:w="1577" w:type="dxa"/>
          </w:tcPr>
          <w:p w14:paraId="6C6C8E41"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Easthampton</w:t>
            </w:r>
          </w:p>
        </w:tc>
        <w:tc>
          <w:tcPr>
            <w:tcW w:w="1911" w:type="dxa"/>
          </w:tcPr>
          <w:p w14:paraId="1B9A443C"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5"/>
                <w:sz w:val="16"/>
                <w:szCs w:val="16"/>
              </w:rPr>
              <w:t>Lee</w:t>
            </w:r>
          </w:p>
        </w:tc>
      </w:tr>
      <w:tr w:rsidR="008807B4" w:rsidRPr="001C0149" w14:paraId="201B9A31" w14:textId="77777777" w:rsidTr="00457B16">
        <w:trPr>
          <w:trHeight w:val="228"/>
        </w:trPr>
        <w:tc>
          <w:tcPr>
            <w:tcW w:w="1301" w:type="dxa"/>
          </w:tcPr>
          <w:p w14:paraId="769D7F95"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Hingham</w:t>
            </w:r>
          </w:p>
        </w:tc>
        <w:tc>
          <w:tcPr>
            <w:tcW w:w="1354" w:type="dxa"/>
          </w:tcPr>
          <w:p w14:paraId="13346667"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Lawrence</w:t>
            </w:r>
          </w:p>
        </w:tc>
        <w:tc>
          <w:tcPr>
            <w:tcW w:w="1911" w:type="dxa"/>
          </w:tcPr>
          <w:p w14:paraId="5C4926DA"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Fairhaven</w:t>
            </w:r>
          </w:p>
        </w:tc>
        <w:tc>
          <w:tcPr>
            <w:tcW w:w="1282" w:type="dxa"/>
          </w:tcPr>
          <w:p w14:paraId="7D646431"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Truro</w:t>
            </w:r>
          </w:p>
        </w:tc>
        <w:tc>
          <w:tcPr>
            <w:tcW w:w="1524" w:type="dxa"/>
          </w:tcPr>
          <w:p w14:paraId="0F649454"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Brookfield</w:t>
            </w:r>
          </w:p>
        </w:tc>
        <w:tc>
          <w:tcPr>
            <w:tcW w:w="1162" w:type="dxa"/>
          </w:tcPr>
          <w:p w14:paraId="209B1CFB"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Hawley</w:t>
            </w:r>
          </w:p>
        </w:tc>
        <w:tc>
          <w:tcPr>
            <w:tcW w:w="1577" w:type="dxa"/>
          </w:tcPr>
          <w:p w14:paraId="79B38114"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Goshen</w:t>
            </w:r>
          </w:p>
        </w:tc>
        <w:tc>
          <w:tcPr>
            <w:tcW w:w="1911" w:type="dxa"/>
          </w:tcPr>
          <w:p w14:paraId="766BC96F"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Lenox</w:t>
            </w:r>
          </w:p>
        </w:tc>
      </w:tr>
      <w:tr w:rsidR="008807B4" w:rsidRPr="001C0149" w14:paraId="57AD02C4" w14:textId="77777777" w:rsidTr="00457B16">
        <w:trPr>
          <w:trHeight w:val="228"/>
        </w:trPr>
        <w:tc>
          <w:tcPr>
            <w:tcW w:w="1301" w:type="dxa"/>
          </w:tcPr>
          <w:p w14:paraId="5DF70ECF"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Holbrook</w:t>
            </w:r>
          </w:p>
        </w:tc>
        <w:tc>
          <w:tcPr>
            <w:tcW w:w="1354" w:type="dxa"/>
          </w:tcPr>
          <w:p w14:paraId="6A000033"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Lowell</w:t>
            </w:r>
          </w:p>
        </w:tc>
        <w:tc>
          <w:tcPr>
            <w:tcW w:w="1911" w:type="dxa"/>
          </w:tcPr>
          <w:p w14:paraId="1D149F0A"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z w:val="16"/>
                <w:szCs w:val="16"/>
              </w:rPr>
              <w:t>Fall</w:t>
            </w:r>
            <w:r w:rsidRPr="001C0149">
              <w:rPr>
                <w:rFonts w:asciiTheme="minorHAnsi" w:hAnsiTheme="minorHAnsi" w:cstheme="minorHAnsi"/>
                <w:spacing w:val="-4"/>
                <w:sz w:val="16"/>
                <w:szCs w:val="16"/>
              </w:rPr>
              <w:t xml:space="preserve"> </w:t>
            </w:r>
            <w:r w:rsidRPr="001C0149">
              <w:rPr>
                <w:rFonts w:asciiTheme="minorHAnsi" w:hAnsiTheme="minorHAnsi" w:cstheme="minorHAnsi"/>
                <w:spacing w:val="-2"/>
                <w:sz w:val="16"/>
                <w:szCs w:val="16"/>
              </w:rPr>
              <w:t>River</w:t>
            </w:r>
          </w:p>
        </w:tc>
        <w:tc>
          <w:tcPr>
            <w:tcW w:w="1282" w:type="dxa"/>
          </w:tcPr>
          <w:p w14:paraId="3B25F56F"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Wellfleet</w:t>
            </w:r>
          </w:p>
        </w:tc>
        <w:tc>
          <w:tcPr>
            <w:tcW w:w="1524" w:type="dxa"/>
          </w:tcPr>
          <w:p w14:paraId="3A458302"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Carlisle</w:t>
            </w:r>
          </w:p>
        </w:tc>
        <w:tc>
          <w:tcPr>
            <w:tcW w:w="1162" w:type="dxa"/>
          </w:tcPr>
          <w:p w14:paraId="17BFBBD8"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Heath</w:t>
            </w:r>
          </w:p>
        </w:tc>
        <w:tc>
          <w:tcPr>
            <w:tcW w:w="1577" w:type="dxa"/>
          </w:tcPr>
          <w:p w14:paraId="31961853"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Granby</w:t>
            </w:r>
          </w:p>
        </w:tc>
        <w:tc>
          <w:tcPr>
            <w:tcW w:w="1911" w:type="dxa"/>
          </w:tcPr>
          <w:p w14:paraId="662FED3C"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Monroe</w:t>
            </w:r>
          </w:p>
        </w:tc>
      </w:tr>
      <w:tr w:rsidR="008807B4" w:rsidRPr="001C0149" w14:paraId="1CBF5CAC" w14:textId="77777777" w:rsidTr="00457B16">
        <w:trPr>
          <w:trHeight w:val="228"/>
        </w:trPr>
        <w:tc>
          <w:tcPr>
            <w:tcW w:w="1301" w:type="dxa"/>
          </w:tcPr>
          <w:p w14:paraId="23500F98"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4"/>
                <w:sz w:val="16"/>
                <w:szCs w:val="16"/>
              </w:rPr>
              <w:lastRenderedPageBreak/>
              <w:t>Hull</w:t>
            </w:r>
          </w:p>
        </w:tc>
        <w:tc>
          <w:tcPr>
            <w:tcW w:w="1354" w:type="dxa"/>
          </w:tcPr>
          <w:p w14:paraId="5172ED65"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4"/>
                <w:sz w:val="16"/>
                <w:szCs w:val="16"/>
              </w:rPr>
              <w:t>Lynn</w:t>
            </w:r>
          </w:p>
        </w:tc>
        <w:tc>
          <w:tcPr>
            <w:tcW w:w="1911" w:type="dxa"/>
          </w:tcPr>
          <w:p w14:paraId="410A17DA"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Foxborough</w:t>
            </w:r>
          </w:p>
        </w:tc>
        <w:tc>
          <w:tcPr>
            <w:tcW w:w="1282" w:type="dxa"/>
          </w:tcPr>
          <w:p w14:paraId="3B41F012"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Yarmouth</w:t>
            </w:r>
          </w:p>
        </w:tc>
        <w:tc>
          <w:tcPr>
            <w:tcW w:w="1524" w:type="dxa"/>
          </w:tcPr>
          <w:p w14:paraId="6BA3AF43"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Charlton</w:t>
            </w:r>
          </w:p>
        </w:tc>
        <w:tc>
          <w:tcPr>
            <w:tcW w:w="1162" w:type="dxa"/>
          </w:tcPr>
          <w:p w14:paraId="01879D8C"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Leominster</w:t>
            </w:r>
          </w:p>
        </w:tc>
        <w:tc>
          <w:tcPr>
            <w:tcW w:w="1577" w:type="dxa"/>
          </w:tcPr>
          <w:p w14:paraId="4AB3AF3E"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Granville</w:t>
            </w:r>
          </w:p>
        </w:tc>
        <w:tc>
          <w:tcPr>
            <w:tcW w:w="1911" w:type="dxa"/>
          </w:tcPr>
          <w:p w14:paraId="6A56BDE1"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Monterey</w:t>
            </w:r>
          </w:p>
        </w:tc>
      </w:tr>
      <w:tr w:rsidR="008807B4" w:rsidRPr="001C0149" w14:paraId="654D1B1F" w14:textId="77777777" w:rsidTr="00457B16">
        <w:trPr>
          <w:trHeight w:val="228"/>
        </w:trPr>
        <w:tc>
          <w:tcPr>
            <w:tcW w:w="1301" w:type="dxa"/>
          </w:tcPr>
          <w:p w14:paraId="7452F697"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Lexington</w:t>
            </w:r>
          </w:p>
        </w:tc>
        <w:tc>
          <w:tcPr>
            <w:tcW w:w="1354" w:type="dxa"/>
          </w:tcPr>
          <w:p w14:paraId="2DCB0355"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Lynnfield</w:t>
            </w:r>
          </w:p>
        </w:tc>
        <w:tc>
          <w:tcPr>
            <w:tcW w:w="1911" w:type="dxa"/>
          </w:tcPr>
          <w:p w14:paraId="604B8CBF"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Freetown</w:t>
            </w:r>
          </w:p>
        </w:tc>
        <w:tc>
          <w:tcPr>
            <w:tcW w:w="1282" w:type="dxa"/>
          </w:tcPr>
          <w:p w14:paraId="4D63766B" w14:textId="15DBBFE3"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7BC2CA73"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Chelmsford</w:t>
            </w:r>
          </w:p>
        </w:tc>
        <w:tc>
          <w:tcPr>
            <w:tcW w:w="1162" w:type="dxa"/>
          </w:tcPr>
          <w:p w14:paraId="7ADD86F9"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Leverett</w:t>
            </w:r>
          </w:p>
        </w:tc>
        <w:tc>
          <w:tcPr>
            <w:tcW w:w="1577" w:type="dxa"/>
          </w:tcPr>
          <w:p w14:paraId="1F8FFF90"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Hadley</w:t>
            </w:r>
          </w:p>
        </w:tc>
        <w:tc>
          <w:tcPr>
            <w:tcW w:w="1911" w:type="dxa"/>
          </w:tcPr>
          <w:p w14:paraId="724BE996"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z w:val="16"/>
                <w:szCs w:val="16"/>
              </w:rPr>
              <w:t>Mount</w:t>
            </w:r>
            <w:r w:rsidRPr="001C0149">
              <w:rPr>
                <w:rFonts w:asciiTheme="minorHAnsi" w:hAnsiTheme="minorHAnsi" w:cstheme="minorHAnsi"/>
                <w:spacing w:val="-5"/>
                <w:sz w:val="16"/>
                <w:szCs w:val="16"/>
              </w:rPr>
              <w:t xml:space="preserve"> </w:t>
            </w:r>
            <w:r w:rsidRPr="001C0149">
              <w:rPr>
                <w:rFonts w:asciiTheme="minorHAnsi" w:hAnsiTheme="minorHAnsi" w:cstheme="minorHAnsi"/>
                <w:spacing w:val="-2"/>
                <w:sz w:val="16"/>
                <w:szCs w:val="16"/>
              </w:rPr>
              <w:t>Washington</w:t>
            </w:r>
          </w:p>
        </w:tc>
      </w:tr>
      <w:tr w:rsidR="008807B4" w:rsidRPr="001C0149" w14:paraId="5918912F" w14:textId="77777777" w:rsidTr="00457B16">
        <w:trPr>
          <w:trHeight w:val="228"/>
        </w:trPr>
        <w:tc>
          <w:tcPr>
            <w:tcW w:w="1301" w:type="dxa"/>
          </w:tcPr>
          <w:p w14:paraId="5A166960"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Lincoln</w:t>
            </w:r>
          </w:p>
        </w:tc>
        <w:tc>
          <w:tcPr>
            <w:tcW w:w="1354" w:type="dxa"/>
          </w:tcPr>
          <w:p w14:paraId="28D55E0B"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Manchester</w:t>
            </w:r>
          </w:p>
        </w:tc>
        <w:tc>
          <w:tcPr>
            <w:tcW w:w="1911" w:type="dxa"/>
          </w:tcPr>
          <w:p w14:paraId="1C85A17E"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Halifax</w:t>
            </w:r>
          </w:p>
        </w:tc>
        <w:tc>
          <w:tcPr>
            <w:tcW w:w="1282" w:type="dxa"/>
          </w:tcPr>
          <w:p w14:paraId="4D911BEA" w14:textId="28ADA371"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52E8C23D"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Clinton</w:t>
            </w:r>
          </w:p>
        </w:tc>
        <w:tc>
          <w:tcPr>
            <w:tcW w:w="1162" w:type="dxa"/>
          </w:tcPr>
          <w:p w14:paraId="46707D05"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Leyden</w:t>
            </w:r>
          </w:p>
        </w:tc>
        <w:tc>
          <w:tcPr>
            <w:tcW w:w="1577" w:type="dxa"/>
          </w:tcPr>
          <w:p w14:paraId="64790101"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Hampden</w:t>
            </w:r>
          </w:p>
        </w:tc>
        <w:tc>
          <w:tcPr>
            <w:tcW w:w="1911" w:type="dxa"/>
          </w:tcPr>
          <w:p w14:paraId="11287B8D"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z w:val="16"/>
                <w:szCs w:val="16"/>
              </w:rPr>
              <w:t>New</w:t>
            </w:r>
            <w:r w:rsidRPr="001C0149">
              <w:rPr>
                <w:rFonts w:asciiTheme="minorHAnsi" w:hAnsiTheme="minorHAnsi" w:cstheme="minorHAnsi"/>
                <w:spacing w:val="-1"/>
                <w:sz w:val="16"/>
                <w:szCs w:val="16"/>
              </w:rPr>
              <w:t xml:space="preserve"> </w:t>
            </w:r>
            <w:r w:rsidRPr="001C0149">
              <w:rPr>
                <w:rFonts w:asciiTheme="minorHAnsi" w:hAnsiTheme="minorHAnsi" w:cstheme="minorHAnsi"/>
                <w:spacing w:val="-2"/>
                <w:sz w:val="16"/>
                <w:szCs w:val="16"/>
              </w:rPr>
              <w:t>Ashford</w:t>
            </w:r>
          </w:p>
        </w:tc>
      </w:tr>
      <w:tr w:rsidR="008807B4" w:rsidRPr="001C0149" w14:paraId="47B2D84C" w14:textId="77777777" w:rsidTr="00457B16">
        <w:trPr>
          <w:trHeight w:val="228"/>
        </w:trPr>
        <w:tc>
          <w:tcPr>
            <w:tcW w:w="1301" w:type="dxa"/>
          </w:tcPr>
          <w:p w14:paraId="1E86A46C"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Malden</w:t>
            </w:r>
          </w:p>
        </w:tc>
        <w:tc>
          <w:tcPr>
            <w:tcW w:w="1354" w:type="dxa"/>
          </w:tcPr>
          <w:p w14:paraId="2E5E8FBD"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Marblehead</w:t>
            </w:r>
          </w:p>
        </w:tc>
        <w:tc>
          <w:tcPr>
            <w:tcW w:w="1911" w:type="dxa"/>
          </w:tcPr>
          <w:p w14:paraId="7CBD0A97"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Hanover</w:t>
            </w:r>
          </w:p>
        </w:tc>
        <w:tc>
          <w:tcPr>
            <w:tcW w:w="1282" w:type="dxa"/>
          </w:tcPr>
          <w:p w14:paraId="7B4C4740" w14:textId="2863DE8C"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385660F4"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Concord</w:t>
            </w:r>
          </w:p>
        </w:tc>
        <w:tc>
          <w:tcPr>
            <w:tcW w:w="1162" w:type="dxa"/>
          </w:tcPr>
          <w:p w14:paraId="64D25079"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Lunenburg</w:t>
            </w:r>
          </w:p>
        </w:tc>
        <w:tc>
          <w:tcPr>
            <w:tcW w:w="1577" w:type="dxa"/>
          </w:tcPr>
          <w:p w14:paraId="73661802"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Hatfield</w:t>
            </w:r>
          </w:p>
        </w:tc>
        <w:tc>
          <w:tcPr>
            <w:tcW w:w="1911" w:type="dxa"/>
          </w:tcPr>
          <w:p w14:paraId="2EB3EDB4"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z w:val="16"/>
                <w:szCs w:val="16"/>
              </w:rPr>
              <w:t>New</w:t>
            </w:r>
            <w:r w:rsidRPr="001C0149">
              <w:rPr>
                <w:rFonts w:asciiTheme="minorHAnsi" w:hAnsiTheme="minorHAnsi" w:cstheme="minorHAnsi"/>
                <w:spacing w:val="-1"/>
                <w:sz w:val="16"/>
                <w:szCs w:val="16"/>
              </w:rPr>
              <w:t xml:space="preserve"> </w:t>
            </w:r>
            <w:r w:rsidRPr="001C0149">
              <w:rPr>
                <w:rFonts w:asciiTheme="minorHAnsi" w:hAnsiTheme="minorHAnsi" w:cstheme="minorHAnsi"/>
                <w:spacing w:val="-2"/>
                <w:sz w:val="16"/>
                <w:szCs w:val="16"/>
              </w:rPr>
              <w:t>Marlborough</w:t>
            </w:r>
          </w:p>
        </w:tc>
      </w:tr>
      <w:tr w:rsidR="008807B4" w:rsidRPr="001C0149" w14:paraId="0E6BA8EB" w14:textId="77777777" w:rsidTr="00457B16">
        <w:trPr>
          <w:trHeight w:val="228"/>
        </w:trPr>
        <w:tc>
          <w:tcPr>
            <w:tcW w:w="1301" w:type="dxa"/>
          </w:tcPr>
          <w:p w14:paraId="3320C782"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Medford</w:t>
            </w:r>
          </w:p>
        </w:tc>
        <w:tc>
          <w:tcPr>
            <w:tcW w:w="1354" w:type="dxa"/>
          </w:tcPr>
          <w:p w14:paraId="0B928F49"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Merrimac</w:t>
            </w:r>
          </w:p>
        </w:tc>
        <w:tc>
          <w:tcPr>
            <w:tcW w:w="1911" w:type="dxa"/>
          </w:tcPr>
          <w:p w14:paraId="108F9AD2"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Hanson</w:t>
            </w:r>
          </w:p>
        </w:tc>
        <w:tc>
          <w:tcPr>
            <w:tcW w:w="1282" w:type="dxa"/>
          </w:tcPr>
          <w:p w14:paraId="70331FB6" w14:textId="1A5D790D"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74547682"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Douglas</w:t>
            </w:r>
          </w:p>
        </w:tc>
        <w:tc>
          <w:tcPr>
            <w:tcW w:w="1162" w:type="dxa"/>
          </w:tcPr>
          <w:p w14:paraId="675360EB"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Montague</w:t>
            </w:r>
          </w:p>
        </w:tc>
        <w:tc>
          <w:tcPr>
            <w:tcW w:w="1577" w:type="dxa"/>
          </w:tcPr>
          <w:p w14:paraId="04BA15C7"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Holland</w:t>
            </w:r>
          </w:p>
        </w:tc>
        <w:tc>
          <w:tcPr>
            <w:tcW w:w="1911" w:type="dxa"/>
          </w:tcPr>
          <w:p w14:paraId="71E2372D"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z w:val="16"/>
                <w:szCs w:val="16"/>
              </w:rPr>
              <w:t>North</w:t>
            </w:r>
            <w:r w:rsidRPr="001C0149">
              <w:rPr>
                <w:rFonts w:asciiTheme="minorHAnsi" w:hAnsiTheme="minorHAnsi" w:cstheme="minorHAnsi"/>
                <w:spacing w:val="-2"/>
                <w:sz w:val="16"/>
                <w:szCs w:val="16"/>
              </w:rPr>
              <w:t xml:space="preserve"> Adams</w:t>
            </w:r>
          </w:p>
        </w:tc>
      </w:tr>
      <w:tr w:rsidR="008807B4" w:rsidRPr="001C0149" w14:paraId="36743AC8" w14:textId="77777777" w:rsidTr="00457B16">
        <w:trPr>
          <w:trHeight w:val="228"/>
        </w:trPr>
        <w:tc>
          <w:tcPr>
            <w:tcW w:w="1301" w:type="dxa"/>
          </w:tcPr>
          <w:p w14:paraId="533C04AE"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Melrose</w:t>
            </w:r>
          </w:p>
        </w:tc>
        <w:tc>
          <w:tcPr>
            <w:tcW w:w="1354" w:type="dxa"/>
          </w:tcPr>
          <w:p w14:paraId="408C61B9"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Methuen</w:t>
            </w:r>
          </w:p>
        </w:tc>
        <w:tc>
          <w:tcPr>
            <w:tcW w:w="1911" w:type="dxa"/>
          </w:tcPr>
          <w:p w14:paraId="648DE03B"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Kingston</w:t>
            </w:r>
          </w:p>
        </w:tc>
        <w:tc>
          <w:tcPr>
            <w:tcW w:w="1282" w:type="dxa"/>
          </w:tcPr>
          <w:p w14:paraId="31E01219" w14:textId="0EF9B98C"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7C231AAD"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Dudley</w:t>
            </w:r>
          </w:p>
        </w:tc>
        <w:tc>
          <w:tcPr>
            <w:tcW w:w="1162" w:type="dxa"/>
          </w:tcPr>
          <w:p w14:paraId="69C357A1"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z w:val="16"/>
                <w:szCs w:val="16"/>
              </w:rPr>
              <w:t xml:space="preserve">New </w:t>
            </w:r>
            <w:r w:rsidRPr="001C0149">
              <w:rPr>
                <w:rFonts w:asciiTheme="minorHAnsi" w:hAnsiTheme="minorHAnsi" w:cstheme="minorHAnsi"/>
                <w:spacing w:val="-2"/>
                <w:sz w:val="16"/>
                <w:szCs w:val="16"/>
              </w:rPr>
              <w:t>Salem</w:t>
            </w:r>
          </w:p>
        </w:tc>
        <w:tc>
          <w:tcPr>
            <w:tcW w:w="1577" w:type="dxa"/>
          </w:tcPr>
          <w:p w14:paraId="0605B434"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Holyoke</w:t>
            </w:r>
          </w:p>
        </w:tc>
        <w:tc>
          <w:tcPr>
            <w:tcW w:w="1911" w:type="dxa"/>
          </w:tcPr>
          <w:p w14:paraId="23DED3E8"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4"/>
                <w:sz w:val="16"/>
                <w:szCs w:val="16"/>
              </w:rPr>
              <w:t>Otis</w:t>
            </w:r>
          </w:p>
        </w:tc>
      </w:tr>
      <w:tr w:rsidR="008807B4" w:rsidRPr="001C0149" w14:paraId="1E4DAD19" w14:textId="77777777" w:rsidTr="00457B16">
        <w:trPr>
          <w:trHeight w:val="228"/>
        </w:trPr>
        <w:tc>
          <w:tcPr>
            <w:tcW w:w="1301" w:type="dxa"/>
          </w:tcPr>
          <w:p w14:paraId="23FFD9C8"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Milton</w:t>
            </w:r>
          </w:p>
        </w:tc>
        <w:tc>
          <w:tcPr>
            <w:tcW w:w="1354" w:type="dxa"/>
          </w:tcPr>
          <w:p w14:paraId="2952A04E"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Middleton</w:t>
            </w:r>
          </w:p>
        </w:tc>
        <w:tc>
          <w:tcPr>
            <w:tcW w:w="1911" w:type="dxa"/>
          </w:tcPr>
          <w:p w14:paraId="61DC9139"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Lakeville</w:t>
            </w:r>
          </w:p>
        </w:tc>
        <w:tc>
          <w:tcPr>
            <w:tcW w:w="1282" w:type="dxa"/>
          </w:tcPr>
          <w:p w14:paraId="65BC1D15" w14:textId="1D4FF0D3"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7CB4A59D"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Dunstable</w:t>
            </w:r>
          </w:p>
        </w:tc>
        <w:tc>
          <w:tcPr>
            <w:tcW w:w="1162" w:type="dxa"/>
          </w:tcPr>
          <w:p w14:paraId="394262F5"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Northfield</w:t>
            </w:r>
          </w:p>
        </w:tc>
        <w:tc>
          <w:tcPr>
            <w:tcW w:w="1577" w:type="dxa"/>
          </w:tcPr>
          <w:p w14:paraId="42DB32A3"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Huntington</w:t>
            </w:r>
          </w:p>
        </w:tc>
        <w:tc>
          <w:tcPr>
            <w:tcW w:w="1911" w:type="dxa"/>
          </w:tcPr>
          <w:p w14:paraId="6E3264B0"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4"/>
                <w:sz w:val="16"/>
                <w:szCs w:val="16"/>
              </w:rPr>
              <w:t>Peru</w:t>
            </w:r>
          </w:p>
        </w:tc>
      </w:tr>
      <w:tr w:rsidR="008807B4" w:rsidRPr="001C0149" w14:paraId="68F1B782" w14:textId="77777777" w:rsidTr="00457B16">
        <w:trPr>
          <w:trHeight w:val="228"/>
        </w:trPr>
        <w:tc>
          <w:tcPr>
            <w:tcW w:w="1301" w:type="dxa"/>
          </w:tcPr>
          <w:p w14:paraId="24F666FC"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Needham</w:t>
            </w:r>
          </w:p>
        </w:tc>
        <w:tc>
          <w:tcPr>
            <w:tcW w:w="1354" w:type="dxa"/>
          </w:tcPr>
          <w:p w14:paraId="1BD98F4A"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Nahant</w:t>
            </w:r>
          </w:p>
        </w:tc>
        <w:tc>
          <w:tcPr>
            <w:tcW w:w="1911" w:type="dxa"/>
          </w:tcPr>
          <w:p w14:paraId="045AD723"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Mansfield</w:t>
            </w:r>
          </w:p>
        </w:tc>
        <w:tc>
          <w:tcPr>
            <w:tcW w:w="1282" w:type="dxa"/>
          </w:tcPr>
          <w:p w14:paraId="2BFC179B" w14:textId="1ED694A3"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01227080"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z w:val="16"/>
                <w:szCs w:val="16"/>
              </w:rPr>
              <w:t>East</w:t>
            </w:r>
            <w:r w:rsidRPr="001C0149">
              <w:rPr>
                <w:rFonts w:asciiTheme="minorHAnsi" w:hAnsiTheme="minorHAnsi" w:cstheme="minorHAnsi"/>
                <w:spacing w:val="-3"/>
                <w:sz w:val="16"/>
                <w:szCs w:val="16"/>
              </w:rPr>
              <w:t xml:space="preserve"> </w:t>
            </w:r>
            <w:r w:rsidRPr="001C0149">
              <w:rPr>
                <w:rFonts w:asciiTheme="minorHAnsi" w:hAnsiTheme="minorHAnsi" w:cstheme="minorHAnsi"/>
                <w:spacing w:val="-2"/>
                <w:sz w:val="16"/>
                <w:szCs w:val="16"/>
              </w:rPr>
              <w:t>Brookfield</w:t>
            </w:r>
          </w:p>
        </w:tc>
        <w:tc>
          <w:tcPr>
            <w:tcW w:w="1162" w:type="dxa"/>
          </w:tcPr>
          <w:p w14:paraId="21429427"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Orange</w:t>
            </w:r>
          </w:p>
        </w:tc>
        <w:tc>
          <w:tcPr>
            <w:tcW w:w="1577" w:type="dxa"/>
          </w:tcPr>
          <w:p w14:paraId="123A51BF"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Longmeadow</w:t>
            </w:r>
          </w:p>
        </w:tc>
        <w:tc>
          <w:tcPr>
            <w:tcW w:w="1911" w:type="dxa"/>
          </w:tcPr>
          <w:p w14:paraId="625EC67E"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Pittsfield</w:t>
            </w:r>
          </w:p>
        </w:tc>
      </w:tr>
      <w:tr w:rsidR="008807B4" w:rsidRPr="001C0149" w14:paraId="25457B6D" w14:textId="77777777" w:rsidTr="00457B16">
        <w:trPr>
          <w:trHeight w:val="228"/>
        </w:trPr>
        <w:tc>
          <w:tcPr>
            <w:tcW w:w="1301" w:type="dxa"/>
          </w:tcPr>
          <w:p w14:paraId="1C19F5C2"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Newton</w:t>
            </w:r>
          </w:p>
        </w:tc>
        <w:tc>
          <w:tcPr>
            <w:tcW w:w="1354" w:type="dxa"/>
          </w:tcPr>
          <w:p w14:paraId="2AF5CCCC"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Newbury</w:t>
            </w:r>
          </w:p>
        </w:tc>
        <w:tc>
          <w:tcPr>
            <w:tcW w:w="1911" w:type="dxa"/>
          </w:tcPr>
          <w:p w14:paraId="32BE863A"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Marion</w:t>
            </w:r>
          </w:p>
        </w:tc>
        <w:tc>
          <w:tcPr>
            <w:tcW w:w="1282" w:type="dxa"/>
          </w:tcPr>
          <w:p w14:paraId="523029EC" w14:textId="2910FDB8"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1CC52E2F"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Framingham</w:t>
            </w:r>
          </w:p>
        </w:tc>
        <w:tc>
          <w:tcPr>
            <w:tcW w:w="1162" w:type="dxa"/>
          </w:tcPr>
          <w:p w14:paraId="538986AF"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Pelham</w:t>
            </w:r>
          </w:p>
        </w:tc>
        <w:tc>
          <w:tcPr>
            <w:tcW w:w="1577" w:type="dxa"/>
          </w:tcPr>
          <w:p w14:paraId="5E00B799"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Ludlow</w:t>
            </w:r>
          </w:p>
        </w:tc>
        <w:tc>
          <w:tcPr>
            <w:tcW w:w="1911" w:type="dxa"/>
          </w:tcPr>
          <w:p w14:paraId="5C90421F"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Richmond</w:t>
            </w:r>
          </w:p>
        </w:tc>
      </w:tr>
      <w:tr w:rsidR="008807B4" w:rsidRPr="001C0149" w14:paraId="4D79F950" w14:textId="77777777" w:rsidTr="00457B16">
        <w:trPr>
          <w:trHeight w:val="228"/>
        </w:trPr>
        <w:tc>
          <w:tcPr>
            <w:tcW w:w="1301" w:type="dxa"/>
          </w:tcPr>
          <w:p w14:paraId="759CC81B"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Norwood</w:t>
            </w:r>
          </w:p>
        </w:tc>
        <w:tc>
          <w:tcPr>
            <w:tcW w:w="1354" w:type="dxa"/>
          </w:tcPr>
          <w:p w14:paraId="1AB5A6E7"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Newburyport</w:t>
            </w:r>
          </w:p>
        </w:tc>
        <w:tc>
          <w:tcPr>
            <w:tcW w:w="1911" w:type="dxa"/>
          </w:tcPr>
          <w:p w14:paraId="45D09F65"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Marshfield</w:t>
            </w:r>
          </w:p>
        </w:tc>
        <w:tc>
          <w:tcPr>
            <w:tcW w:w="1282" w:type="dxa"/>
          </w:tcPr>
          <w:p w14:paraId="6F7FB75C" w14:textId="0BE240C8"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11AA442E"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Franklin</w:t>
            </w:r>
          </w:p>
        </w:tc>
        <w:tc>
          <w:tcPr>
            <w:tcW w:w="1162" w:type="dxa"/>
          </w:tcPr>
          <w:p w14:paraId="4C0640A6"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Phillipston</w:t>
            </w:r>
          </w:p>
        </w:tc>
        <w:tc>
          <w:tcPr>
            <w:tcW w:w="1577" w:type="dxa"/>
          </w:tcPr>
          <w:p w14:paraId="26EAF307"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Middlefield</w:t>
            </w:r>
          </w:p>
        </w:tc>
        <w:tc>
          <w:tcPr>
            <w:tcW w:w="1911" w:type="dxa"/>
          </w:tcPr>
          <w:p w14:paraId="1E7A1B67"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Sandisfield</w:t>
            </w:r>
          </w:p>
        </w:tc>
      </w:tr>
      <w:tr w:rsidR="008807B4" w:rsidRPr="001C0149" w14:paraId="502293B8" w14:textId="77777777" w:rsidTr="00457B16">
        <w:trPr>
          <w:trHeight w:val="228"/>
        </w:trPr>
        <w:tc>
          <w:tcPr>
            <w:tcW w:w="1301" w:type="dxa"/>
          </w:tcPr>
          <w:p w14:paraId="5B5E430F"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Quincy</w:t>
            </w:r>
          </w:p>
        </w:tc>
        <w:tc>
          <w:tcPr>
            <w:tcW w:w="1354" w:type="dxa"/>
          </w:tcPr>
          <w:p w14:paraId="4A3F7DDA"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z w:val="16"/>
                <w:szCs w:val="16"/>
              </w:rPr>
              <w:t>North</w:t>
            </w:r>
            <w:r w:rsidRPr="001C0149">
              <w:rPr>
                <w:rFonts w:asciiTheme="minorHAnsi" w:hAnsiTheme="minorHAnsi" w:cstheme="minorHAnsi"/>
                <w:spacing w:val="-2"/>
                <w:sz w:val="16"/>
                <w:szCs w:val="16"/>
              </w:rPr>
              <w:t xml:space="preserve"> Andover</w:t>
            </w:r>
          </w:p>
        </w:tc>
        <w:tc>
          <w:tcPr>
            <w:tcW w:w="1911" w:type="dxa"/>
          </w:tcPr>
          <w:p w14:paraId="00CBE127"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Mattapoisett</w:t>
            </w:r>
          </w:p>
        </w:tc>
        <w:tc>
          <w:tcPr>
            <w:tcW w:w="1282" w:type="dxa"/>
          </w:tcPr>
          <w:p w14:paraId="28893730" w14:textId="01DBF055"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3316F1C0"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Grafton</w:t>
            </w:r>
          </w:p>
        </w:tc>
        <w:tc>
          <w:tcPr>
            <w:tcW w:w="1162" w:type="dxa"/>
          </w:tcPr>
          <w:p w14:paraId="12451268"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4"/>
                <w:sz w:val="16"/>
                <w:szCs w:val="16"/>
              </w:rPr>
              <w:t>Rowe</w:t>
            </w:r>
          </w:p>
        </w:tc>
        <w:tc>
          <w:tcPr>
            <w:tcW w:w="1577" w:type="dxa"/>
          </w:tcPr>
          <w:p w14:paraId="7EDFCBB9"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Monson</w:t>
            </w:r>
          </w:p>
        </w:tc>
        <w:tc>
          <w:tcPr>
            <w:tcW w:w="1911" w:type="dxa"/>
          </w:tcPr>
          <w:p w14:paraId="6A9779A5"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Savoy</w:t>
            </w:r>
          </w:p>
        </w:tc>
      </w:tr>
      <w:tr w:rsidR="008807B4" w:rsidRPr="001C0149" w14:paraId="306AE5A2" w14:textId="77777777" w:rsidTr="00457B16">
        <w:trPr>
          <w:trHeight w:val="228"/>
        </w:trPr>
        <w:tc>
          <w:tcPr>
            <w:tcW w:w="1301" w:type="dxa"/>
          </w:tcPr>
          <w:p w14:paraId="5989DF72"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Randolph</w:t>
            </w:r>
          </w:p>
        </w:tc>
        <w:tc>
          <w:tcPr>
            <w:tcW w:w="1354" w:type="dxa"/>
          </w:tcPr>
          <w:p w14:paraId="194DFDF2"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z w:val="16"/>
                <w:szCs w:val="16"/>
              </w:rPr>
              <w:t>North</w:t>
            </w:r>
            <w:r w:rsidRPr="001C0149">
              <w:rPr>
                <w:rFonts w:asciiTheme="minorHAnsi" w:hAnsiTheme="minorHAnsi" w:cstheme="minorHAnsi"/>
                <w:spacing w:val="-4"/>
                <w:sz w:val="16"/>
                <w:szCs w:val="16"/>
              </w:rPr>
              <w:t xml:space="preserve"> </w:t>
            </w:r>
            <w:r w:rsidRPr="001C0149">
              <w:rPr>
                <w:rFonts w:asciiTheme="minorHAnsi" w:hAnsiTheme="minorHAnsi" w:cstheme="minorHAnsi"/>
                <w:spacing w:val="-2"/>
                <w:sz w:val="16"/>
                <w:szCs w:val="16"/>
              </w:rPr>
              <w:t>Reading</w:t>
            </w:r>
          </w:p>
        </w:tc>
        <w:tc>
          <w:tcPr>
            <w:tcW w:w="1911" w:type="dxa"/>
          </w:tcPr>
          <w:p w14:paraId="6013E51C"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Medfield</w:t>
            </w:r>
          </w:p>
        </w:tc>
        <w:tc>
          <w:tcPr>
            <w:tcW w:w="1282" w:type="dxa"/>
          </w:tcPr>
          <w:p w14:paraId="764945D9" w14:textId="6D9F9EC7"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74099E80"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Groton</w:t>
            </w:r>
          </w:p>
        </w:tc>
        <w:tc>
          <w:tcPr>
            <w:tcW w:w="1162" w:type="dxa"/>
          </w:tcPr>
          <w:p w14:paraId="30127A54"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Royalston</w:t>
            </w:r>
          </w:p>
        </w:tc>
        <w:tc>
          <w:tcPr>
            <w:tcW w:w="1577" w:type="dxa"/>
          </w:tcPr>
          <w:p w14:paraId="4FEBBCA9"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Montgomery</w:t>
            </w:r>
          </w:p>
        </w:tc>
        <w:tc>
          <w:tcPr>
            <w:tcW w:w="1911" w:type="dxa"/>
          </w:tcPr>
          <w:p w14:paraId="21B17890"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Sheffield</w:t>
            </w:r>
          </w:p>
        </w:tc>
      </w:tr>
      <w:tr w:rsidR="008807B4" w:rsidRPr="001C0149" w14:paraId="23599736" w14:textId="77777777" w:rsidTr="00457B16">
        <w:trPr>
          <w:trHeight w:val="228"/>
        </w:trPr>
        <w:tc>
          <w:tcPr>
            <w:tcW w:w="1301" w:type="dxa"/>
          </w:tcPr>
          <w:p w14:paraId="0FF84FF8"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Revere</w:t>
            </w:r>
          </w:p>
        </w:tc>
        <w:tc>
          <w:tcPr>
            <w:tcW w:w="1354" w:type="dxa"/>
          </w:tcPr>
          <w:p w14:paraId="4420A7F2"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Peabody</w:t>
            </w:r>
          </w:p>
        </w:tc>
        <w:tc>
          <w:tcPr>
            <w:tcW w:w="1911" w:type="dxa"/>
          </w:tcPr>
          <w:p w14:paraId="33D7DA5D"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Middleborough</w:t>
            </w:r>
          </w:p>
        </w:tc>
        <w:tc>
          <w:tcPr>
            <w:tcW w:w="1282" w:type="dxa"/>
          </w:tcPr>
          <w:p w14:paraId="7AE0E764" w14:textId="1F9B3773"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2119DDB8"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Hardwick</w:t>
            </w:r>
          </w:p>
        </w:tc>
        <w:tc>
          <w:tcPr>
            <w:tcW w:w="1162" w:type="dxa"/>
          </w:tcPr>
          <w:p w14:paraId="785B8F04"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Shelburne</w:t>
            </w:r>
          </w:p>
        </w:tc>
        <w:tc>
          <w:tcPr>
            <w:tcW w:w="1577" w:type="dxa"/>
          </w:tcPr>
          <w:p w14:paraId="6B8A8EFA"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Northampton</w:t>
            </w:r>
          </w:p>
        </w:tc>
        <w:tc>
          <w:tcPr>
            <w:tcW w:w="1911" w:type="dxa"/>
          </w:tcPr>
          <w:p w14:paraId="3D9BF6D8"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Stockbridge</w:t>
            </w:r>
          </w:p>
        </w:tc>
      </w:tr>
      <w:tr w:rsidR="008807B4" w:rsidRPr="001C0149" w14:paraId="0654A0D9" w14:textId="77777777" w:rsidTr="00457B16">
        <w:trPr>
          <w:trHeight w:val="228"/>
        </w:trPr>
        <w:tc>
          <w:tcPr>
            <w:tcW w:w="1301" w:type="dxa"/>
          </w:tcPr>
          <w:p w14:paraId="3F0AA4D2"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Saugus</w:t>
            </w:r>
          </w:p>
        </w:tc>
        <w:tc>
          <w:tcPr>
            <w:tcW w:w="1354" w:type="dxa"/>
          </w:tcPr>
          <w:p w14:paraId="1661DA98"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Reading</w:t>
            </w:r>
          </w:p>
        </w:tc>
        <w:tc>
          <w:tcPr>
            <w:tcW w:w="1911" w:type="dxa"/>
          </w:tcPr>
          <w:p w14:paraId="430BA594"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z w:val="16"/>
                <w:szCs w:val="16"/>
              </w:rPr>
              <w:t>New</w:t>
            </w:r>
            <w:r w:rsidRPr="001C0149">
              <w:rPr>
                <w:rFonts w:asciiTheme="minorHAnsi" w:hAnsiTheme="minorHAnsi" w:cstheme="minorHAnsi"/>
                <w:spacing w:val="-1"/>
                <w:sz w:val="16"/>
                <w:szCs w:val="16"/>
              </w:rPr>
              <w:t xml:space="preserve"> </w:t>
            </w:r>
            <w:r w:rsidRPr="001C0149">
              <w:rPr>
                <w:rFonts w:asciiTheme="minorHAnsi" w:hAnsiTheme="minorHAnsi" w:cstheme="minorHAnsi"/>
                <w:spacing w:val="-2"/>
                <w:sz w:val="16"/>
                <w:szCs w:val="16"/>
              </w:rPr>
              <w:t>Bedford</w:t>
            </w:r>
          </w:p>
        </w:tc>
        <w:tc>
          <w:tcPr>
            <w:tcW w:w="1282" w:type="dxa"/>
          </w:tcPr>
          <w:p w14:paraId="30DBE6A0" w14:textId="20AB0AA0"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7F2B4304"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Harvard</w:t>
            </w:r>
          </w:p>
        </w:tc>
        <w:tc>
          <w:tcPr>
            <w:tcW w:w="1162" w:type="dxa"/>
          </w:tcPr>
          <w:p w14:paraId="39B6E7D1"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Shutesbury</w:t>
            </w:r>
          </w:p>
        </w:tc>
        <w:tc>
          <w:tcPr>
            <w:tcW w:w="1577" w:type="dxa"/>
          </w:tcPr>
          <w:p w14:paraId="38E7FE0A"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Palmer</w:t>
            </w:r>
          </w:p>
        </w:tc>
        <w:tc>
          <w:tcPr>
            <w:tcW w:w="1911" w:type="dxa"/>
          </w:tcPr>
          <w:p w14:paraId="3709998E"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Tyringham</w:t>
            </w:r>
          </w:p>
        </w:tc>
      </w:tr>
      <w:tr w:rsidR="008807B4" w:rsidRPr="001C0149" w14:paraId="2309D723" w14:textId="77777777" w:rsidTr="00457B16">
        <w:trPr>
          <w:trHeight w:val="228"/>
        </w:trPr>
        <w:tc>
          <w:tcPr>
            <w:tcW w:w="1301" w:type="dxa"/>
          </w:tcPr>
          <w:p w14:paraId="77AB6A83"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Somerville</w:t>
            </w:r>
          </w:p>
        </w:tc>
        <w:tc>
          <w:tcPr>
            <w:tcW w:w="1354" w:type="dxa"/>
          </w:tcPr>
          <w:p w14:paraId="062220F3"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Rockport</w:t>
            </w:r>
          </w:p>
        </w:tc>
        <w:tc>
          <w:tcPr>
            <w:tcW w:w="1911" w:type="dxa"/>
          </w:tcPr>
          <w:p w14:paraId="6656B968"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Norfolk</w:t>
            </w:r>
          </w:p>
        </w:tc>
        <w:tc>
          <w:tcPr>
            <w:tcW w:w="1282" w:type="dxa"/>
          </w:tcPr>
          <w:p w14:paraId="2813AE4A" w14:textId="5CC3596A"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161208C1"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Holden</w:t>
            </w:r>
          </w:p>
        </w:tc>
        <w:tc>
          <w:tcPr>
            <w:tcW w:w="1162" w:type="dxa"/>
          </w:tcPr>
          <w:p w14:paraId="4CE68C9C"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Sunderland</w:t>
            </w:r>
          </w:p>
        </w:tc>
        <w:tc>
          <w:tcPr>
            <w:tcW w:w="1577" w:type="dxa"/>
          </w:tcPr>
          <w:p w14:paraId="43AD14DD"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Plainfield</w:t>
            </w:r>
          </w:p>
        </w:tc>
        <w:tc>
          <w:tcPr>
            <w:tcW w:w="1911" w:type="dxa"/>
          </w:tcPr>
          <w:p w14:paraId="6206341B"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Washington</w:t>
            </w:r>
          </w:p>
        </w:tc>
      </w:tr>
      <w:tr w:rsidR="008807B4" w:rsidRPr="001C0149" w14:paraId="36BB47E1" w14:textId="77777777" w:rsidTr="00457B16">
        <w:trPr>
          <w:trHeight w:val="228"/>
        </w:trPr>
        <w:tc>
          <w:tcPr>
            <w:tcW w:w="1301" w:type="dxa"/>
          </w:tcPr>
          <w:p w14:paraId="4B8F1FB3"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Stoneham</w:t>
            </w:r>
          </w:p>
        </w:tc>
        <w:tc>
          <w:tcPr>
            <w:tcW w:w="1354" w:type="dxa"/>
          </w:tcPr>
          <w:p w14:paraId="4CBFE287"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Rowley</w:t>
            </w:r>
          </w:p>
        </w:tc>
        <w:tc>
          <w:tcPr>
            <w:tcW w:w="1911" w:type="dxa"/>
          </w:tcPr>
          <w:p w14:paraId="78624056"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z w:val="16"/>
                <w:szCs w:val="16"/>
              </w:rPr>
              <w:t>North</w:t>
            </w:r>
            <w:r w:rsidRPr="001C0149">
              <w:rPr>
                <w:rFonts w:asciiTheme="minorHAnsi" w:hAnsiTheme="minorHAnsi" w:cstheme="minorHAnsi"/>
                <w:spacing w:val="-4"/>
                <w:sz w:val="16"/>
                <w:szCs w:val="16"/>
              </w:rPr>
              <w:t xml:space="preserve"> </w:t>
            </w:r>
            <w:r w:rsidRPr="001C0149">
              <w:rPr>
                <w:rFonts w:asciiTheme="minorHAnsi" w:hAnsiTheme="minorHAnsi" w:cstheme="minorHAnsi"/>
                <w:spacing w:val="-2"/>
                <w:sz w:val="16"/>
                <w:szCs w:val="16"/>
              </w:rPr>
              <w:t>Attleborough</w:t>
            </w:r>
          </w:p>
        </w:tc>
        <w:tc>
          <w:tcPr>
            <w:tcW w:w="1282" w:type="dxa"/>
          </w:tcPr>
          <w:p w14:paraId="6C4B27A3" w14:textId="4D4A27AD"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1A3C96EC"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Holliston</w:t>
            </w:r>
          </w:p>
        </w:tc>
        <w:tc>
          <w:tcPr>
            <w:tcW w:w="1162" w:type="dxa"/>
          </w:tcPr>
          <w:p w14:paraId="21769535"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Templeton</w:t>
            </w:r>
          </w:p>
        </w:tc>
        <w:tc>
          <w:tcPr>
            <w:tcW w:w="1577" w:type="dxa"/>
          </w:tcPr>
          <w:p w14:paraId="5D46D1F1"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Russell</w:t>
            </w:r>
          </w:p>
        </w:tc>
        <w:tc>
          <w:tcPr>
            <w:tcW w:w="1911" w:type="dxa"/>
          </w:tcPr>
          <w:p w14:paraId="00F0F388"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z w:val="16"/>
                <w:szCs w:val="16"/>
              </w:rPr>
              <w:t>West</w:t>
            </w:r>
            <w:r w:rsidRPr="001C0149">
              <w:rPr>
                <w:rFonts w:asciiTheme="minorHAnsi" w:hAnsiTheme="minorHAnsi" w:cstheme="minorHAnsi"/>
                <w:spacing w:val="-3"/>
                <w:sz w:val="16"/>
                <w:szCs w:val="16"/>
              </w:rPr>
              <w:t xml:space="preserve"> </w:t>
            </w:r>
            <w:r w:rsidRPr="001C0149">
              <w:rPr>
                <w:rFonts w:asciiTheme="minorHAnsi" w:hAnsiTheme="minorHAnsi" w:cstheme="minorHAnsi"/>
                <w:spacing w:val="-2"/>
                <w:sz w:val="16"/>
                <w:szCs w:val="16"/>
              </w:rPr>
              <w:t>Stockbridge</w:t>
            </w:r>
          </w:p>
        </w:tc>
      </w:tr>
      <w:tr w:rsidR="008807B4" w:rsidRPr="001C0149" w14:paraId="38C4E238" w14:textId="77777777" w:rsidTr="00457B16">
        <w:trPr>
          <w:trHeight w:val="228"/>
        </w:trPr>
        <w:tc>
          <w:tcPr>
            <w:tcW w:w="1301" w:type="dxa"/>
          </w:tcPr>
          <w:p w14:paraId="49C1414E"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Wakefield</w:t>
            </w:r>
          </w:p>
        </w:tc>
        <w:tc>
          <w:tcPr>
            <w:tcW w:w="1354" w:type="dxa"/>
          </w:tcPr>
          <w:p w14:paraId="15F325FB"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Salem</w:t>
            </w:r>
          </w:p>
        </w:tc>
        <w:tc>
          <w:tcPr>
            <w:tcW w:w="1911" w:type="dxa"/>
          </w:tcPr>
          <w:p w14:paraId="2C04BD17"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Norton</w:t>
            </w:r>
          </w:p>
        </w:tc>
        <w:tc>
          <w:tcPr>
            <w:tcW w:w="1282" w:type="dxa"/>
          </w:tcPr>
          <w:p w14:paraId="4CD6E9F4" w14:textId="30E0EE77"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6BDA243C"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Hopedale</w:t>
            </w:r>
          </w:p>
        </w:tc>
        <w:tc>
          <w:tcPr>
            <w:tcW w:w="1162" w:type="dxa"/>
          </w:tcPr>
          <w:p w14:paraId="2AACEF89"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Townsend</w:t>
            </w:r>
          </w:p>
        </w:tc>
        <w:tc>
          <w:tcPr>
            <w:tcW w:w="1577" w:type="dxa"/>
          </w:tcPr>
          <w:p w14:paraId="476E173D"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z w:val="16"/>
                <w:szCs w:val="16"/>
              </w:rPr>
              <w:t>South</w:t>
            </w:r>
            <w:r w:rsidRPr="001C0149">
              <w:rPr>
                <w:rFonts w:asciiTheme="minorHAnsi" w:hAnsiTheme="minorHAnsi" w:cstheme="minorHAnsi"/>
                <w:spacing w:val="-5"/>
                <w:sz w:val="16"/>
                <w:szCs w:val="16"/>
              </w:rPr>
              <w:t xml:space="preserve"> </w:t>
            </w:r>
            <w:r w:rsidRPr="001C0149">
              <w:rPr>
                <w:rFonts w:asciiTheme="minorHAnsi" w:hAnsiTheme="minorHAnsi" w:cstheme="minorHAnsi"/>
                <w:spacing w:val="-2"/>
                <w:sz w:val="16"/>
                <w:szCs w:val="16"/>
              </w:rPr>
              <w:t>Hadley</w:t>
            </w:r>
          </w:p>
        </w:tc>
        <w:tc>
          <w:tcPr>
            <w:tcW w:w="1911" w:type="dxa"/>
          </w:tcPr>
          <w:p w14:paraId="657E490A"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Williamstown</w:t>
            </w:r>
          </w:p>
        </w:tc>
      </w:tr>
      <w:tr w:rsidR="008807B4" w:rsidRPr="001C0149" w14:paraId="3045F8B6" w14:textId="77777777" w:rsidTr="00457B16">
        <w:trPr>
          <w:trHeight w:val="228"/>
        </w:trPr>
        <w:tc>
          <w:tcPr>
            <w:tcW w:w="1301" w:type="dxa"/>
          </w:tcPr>
          <w:p w14:paraId="74275329"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Waltham</w:t>
            </w:r>
          </w:p>
        </w:tc>
        <w:tc>
          <w:tcPr>
            <w:tcW w:w="1354" w:type="dxa"/>
          </w:tcPr>
          <w:p w14:paraId="23AE3D6A"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Salisbury</w:t>
            </w:r>
          </w:p>
        </w:tc>
        <w:tc>
          <w:tcPr>
            <w:tcW w:w="1911" w:type="dxa"/>
          </w:tcPr>
          <w:p w14:paraId="6E76C62D"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Norwell</w:t>
            </w:r>
          </w:p>
        </w:tc>
        <w:tc>
          <w:tcPr>
            <w:tcW w:w="1282" w:type="dxa"/>
          </w:tcPr>
          <w:p w14:paraId="5D9D8ECD" w14:textId="4029242C"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007C4264"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Hopkinton</w:t>
            </w:r>
          </w:p>
        </w:tc>
        <w:tc>
          <w:tcPr>
            <w:tcW w:w="1162" w:type="dxa"/>
          </w:tcPr>
          <w:p w14:paraId="3A0BA9BB"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Warwick</w:t>
            </w:r>
          </w:p>
        </w:tc>
        <w:tc>
          <w:tcPr>
            <w:tcW w:w="1577" w:type="dxa"/>
          </w:tcPr>
          <w:p w14:paraId="6C7B35A3"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Southampton</w:t>
            </w:r>
          </w:p>
        </w:tc>
        <w:tc>
          <w:tcPr>
            <w:tcW w:w="1911" w:type="dxa"/>
          </w:tcPr>
          <w:p w14:paraId="4DC59730"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Windsor</w:t>
            </w:r>
          </w:p>
        </w:tc>
      </w:tr>
      <w:tr w:rsidR="008807B4" w:rsidRPr="001C0149" w14:paraId="1AA7C996" w14:textId="77777777" w:rsidTr="00457B16">
        <w:trPr>
          <w:trHeight w:val="228"/>
        </w:trPr>
        <w:tc>
          <w:tcPr>
            <w:tcW w:w="1301" w:type="dxa"/>
          </w:tcPr>
          <w:p w14:paraId="076323A8"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Watertown</w:t>
            </w:r>
          </w:p>
        </w:tc>
        <w:tc>
          <w:tcPr>
            <w:tcW w:w="1354" w:type="dxa"/>
          </w:tcPr>
          <w:p w14:paraId="015B86BA"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Swampscott</w:t>
            </w:r>
          </w:p>
        </w:tc>
        <w:tc>
          <w:tcPr>
            <w:tcW w:w="1911" w:type="dxa"/>
          </w:tcPr>
          <w:p w14:paraId="2F4C44DE"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Pembroke</w:t>
            </w:r>
          </w:p>
        </w:tc>
        <w:tc>
          <w:tcPr>
            <w:tcW w:w="1282" w:type="dxa"/>
          </w:tcPr>
          <w:p w14:paraId="1BFAD470" w14:textId="055D76C4"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00B49F3A"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Hubbardston</w:t>
            </w:r>
          </w:p>
        </w:tc>
        <w:tc>
          <w:tcPr>
            <w:tcW w:w="1162" w:type="dxa"/>
          </w:tcPr>
          <w:p w14:paraId="2C4D1753"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Wendell</w:t>
            </w:r>
          </w:p>
        </w:tc>
        <w:tc>
          <w:tcPr>
            <w:tcW w:w="1577" w:type="dxa"/>
          </w:tcPr>
          <w:p w14:paraId="2484A389"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Southwick</w:t>
            </w:r>
          </w:p>
        </w:tc>
        <w:tc>
          <w:tcPr>
            <w:tcW w:w="1911" w:type="dxa"/>
          </w:tcPr>
          <w:p w14:paraId="0F8273F9" w14:textId="0E61AC21" w:rsidR="008807B4" w:rsidRPr="001C0149" w:rsidRDefault="009E053B" w:rsidP="00457B16">
            <w:pPr>
              <w:pStyle w:val="TableParagraph"/>
              <w:spacing w:before="120"/>
              <w:rPr>
                <w:rFonts w:asciiTheme="minorHAnsi" w:hAnsiTheme="minorHAnsi" w:cstheme="minorHAnsi"/>
                <w:b/>
                <w:bCs/>
                <w:sz w:val="16"/>
                <w:szCs w:val="16"/>
              </w:rPr>
            </w:pPr>
            <w:r>
              <w:rPr>
                <w:rFonts w:asciiTheme="minorHAnsi" w:hAnsiTheme="minorHAnsi" w:cstheme="minorHAnsi"/>
                <w:sz w:val="16"/>
                <w:szCs w:val="16"/>
              </w:rPr>
              <w:t>N/A</w:t>
            </w:r>
          </w:p>
        </w:tc>
      </w:tr>
      <w:tr w:rsidR="008807B4" w:rsidRPr="001C0149" w14:paraId="006778A2" w14:textId="77777777" w:rsidTr="00457B16">
        <w:trPr>
          <w:trHeight w:val="228"/>
        </w:trPr>
        <w:tc>
          <w:tcPr>
            <w:tcW w:w="1301" w:type="dxa"/>
          </w:tcPr>
          <w:p w14:paraId="31ED46D3"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Wellesley</w:t>
            </w:r>
          </w:p>
        </w:tc>
        <w:tc>
          <w:tcPr>
            <w:tcW w:w="1354" w:type="dxa"/>
          </w:tcPr>
          <w:p w14:paraId="76C2E37E"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Tewksbury</w:t>
            </w:r>
          </w:p>
        </w:tc>
        <w:tc>
          <w:tcPr>
            <w:tcW w:w="1911" w:type="dxa"/>
          </w:tcPr>
          <w:p w14:paraId="2D9E469F"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Plainville</w:t>
            </w:r>
          </w:p>
        </w:tc>
        <w:tc>
          <w:tcPr>
            <w:tcW w:w="1282" w:type="dxa"/>
          </w:tcPr>
          <w:p w14:paraId="2C080054" w14:textId="6DA1FB51"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4A0163B1"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Hudson</w:t>
            </w:r>
          </w:p>
        </w:tc>
        <w:tc>
          <w:tcPr>
            <w:tcW w:w="1162" w:type="dxa"/>
          </w:tcPr>
          <w:p w14:paraId="325A5A96"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Westminster</w:t>
            </w:r>
          </w:p>
        </w:tc>
        <w:tc>
          <w:tcPr>
            <w:tcW w:w="1577" w:type="dxa"/>
          </w:tcPr>
          <w:p w14:paraId="4F520BCD"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Springfield</w:t>
            </w:r>
          </w:p>
        </w:tc>
        <w:tc>
          <w:tcPr>
            <w:tcW w:w="1911" w:type="dxa"/>
          </w:tcPr>
          <w:p w14:paraId="199B931D" w14:textId="5415352B"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7C442A52" w14:textId="77777777" w:rsidTr="00457B16">
        <w:trPr>
          <w:trHeight w:val="228"/>
        </w:trPr>
        <w:tc>
          <w:tcPr>
            <w:tcW w:w="1301" w:type="dxa"/>
          </w:tcPr>
          <w:p w14:paraId="1C8BA211"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lastRenderedPageBreak/>
              <w:t>Weston</w:t>
            </w:r>
          </w:p>
        </w:tc>
        <w:tc>
          <w:tcPr>
            <w:tcW w:w="1354" w:type="dxa"/>
          </w:tcPr>
          <w:p w14:paraId="33D51708"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Topsfield</w:t>
            </w:r>
          </w:p>
        </w:tc>
        <w:tc>
          <w:tcPr>
            <w:tcW w:w="1911" w:type="dxa"/>
          </w:tcPr>
          <w:p w14:paraId="10E16041"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Plymouth</w:t>
            </w:r>
          </w:p>
        </w:tc>
        <w:tc>
          <w:tcPr>
            <w:tcW w:w="1282" w:type="dxa"/>
          </w:tcPr>
          <w:p w14:paraId="313668FE" w14:textId="7A334284"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0F66A7C7"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Lancaster</w:t>
            </w:r>
          </w:p>
        </w:tc>
        <w:tc>
          <w:tcPr>
            <w:tcW w:w="1162" w:type="dxa"/>
          </w:tcPr>
          <w:p w14:paraId="703F260D"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Winchendon</w:t>
            </w:r>
          </w:p>
        </w:tc>
        <w:tc>
          <w:tcPr>
            <w:tcW w:w="1577" w:type="dxa"/>
          </w:tcPr>
          <w:p w14:paraId="41A3B9BB"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Tolland</w:t>
            </w:r>
          </w:p>
        </w:tc>
        <w:tc>
          <w:tcPr>
            <w:tcW w:w="1911" w:type="dxa"/>
          </w:tcPr>
          <w:p w14:paraId="41192243" w14:textId="4CA5A1E4"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195F0414" w14:textId="77777777" w:rsidTr="00457B16">
        <w:trPr>
          <w:trHeight w:val="228"/>
        </w:trPr>
        <w:tc>
          <w:tcPr>
            <w:tcW w:w="1301" w:type="dxa"/>
          </w:tcPr>
          <w:p w14:paraId="5E187EA7"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Westwood</w:t>
            </w:r>
          </w:p>
        </w:tc>
        <w:tc>
          <w:tcPr>
            <w:tcW w:w="1354" w:type="dxa"/>
          </w:tcPr>
          <w:p w14:paraId="6CBFB80A"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Wenham</w:t>
            </w:r>
          </w:p>
        </w:tc>
        <w:tc>
          <w:tcPr>
            <w:tcW w:w="1911" w:type="dxa"/>
          </w:tcPr>
          <w:p w14:paraId="12043CA4"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Plympton</w:t>
            </w:r>
          </w:p>
        </w:tc>
        <w:tc>
          <w:tcPr>
            <w:tcW w:w="1282" w:type="dxa"/>
          </w:tcPr>
          <w:p w14:paraId="47970D5C" w14:textId="1B8BB7F8"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08E85B97"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Leicester</w:t>
            </w:r>
          </w:p>
        </w:tc>
        <w:tc>
          <w:tcPr>
            <w:tcW w:w="1162" w:type="dxa"/>
          </w:tcPr>
          <w:p w14:paraId="550E692D" w14:textId="244B14B3"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24E5BB77"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Wales</w:t>
            </w:r>
          </w:p>
        </w:tc>
        <w:tc>
          <w:tcPr>
            <w:tcW w:w="1911" w:type="dxa"/>
          </w:tcPr>
          <w:p w14:paraId="1C558F16" w14:textId="0940778E"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4DE2DB3D" w14:textId="77777777" w:rsidTr="00457B16">
        <w:trPr>
          <w:trHeight w:val="228"/>
        </w:trPr>
        <w:tc>
          <w:tcPr>
            <w:tcW w:w="1301" w:type="dxa"/>
          </w:tcPr>
          <w:p w14:paraId="6D2C38DF"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Weymouth</w:t>
            </w:r>
          </w:p>
        </w:tc>
        <w:tc>
          <w:tcPr>
            <w:tcW w:w="1354" w:type="dxa"/>
          </w:tcPr>
          <w:p w14:paraId="548EB966"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z w:val="16"/>
                <w:szCs w:val="16"/>
              </w:rPr>
              <w:t>West</w:t>
            </w:r>
            <w:r w:rsidRPr="001C0149">
              <w:rPr>
                <w:rFonts w:asciiTheme="minorHAnsi" w:hAnsiTheme="minorHAnsi" w:cstheme="minorHAnsi"/>
                <w:spacing w:val="-3"/>
                <w:sz w:val="16"/>
                <w:szCs w:val="16"/>
              </w:rPr>
              <w:t xml:space="preserve"> </w:t>
            </w:r>
            <w:r w:rsidRPr="001C0149">
              <w:rPr>
                <w:rFonts w:asciiTheme="minorHAnsi" w:hAnsiTheme="minorHAnsi" w:cstheme="minorHAnsi"/>
                <w:spacing w:val="-2"/>
                <w:sz w:val="16"/>
                <w:szCs w:val="16"/>
              </w:rPr>
              <w:t>Newbury</w:t>
            </w:r>
          </w:p>
        </w:tc>
        <w:tc>
          <w:tcPr>
            <w:tcW w:w="1911" w:type="dxa"/>
          </w:tcPr>
          <w:p w14:paraId="026B5799"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Raynham</w:t>
            </w:r>
          </w:p>
        </w:tc>
        <w:tc>
          <w:tcPr>
            <w:tcW w:w="1282" w:type="dxa"/>
          </w:tcPr>
          <w:p w14:paraId="6B0C3E61" w14:textId="5A1D5BDD"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4FC1F91D"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Littleton</w:t>
            </w:r>
          </w:p>
        </w:tc>
        <w:tc>
          <w:tcPr>
            <w:tcW w:w="1162" w:type="dxa"/>
          </w:tcPr>
          <w:p w14:paraId="5F7EB143" w14:textId="6F65CF5F"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1A634E7A"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4"/>
                <w:sz w:val="16"/>
                <w:szCs w:val="16"/>
              </w:rPr>
              <w:t>Ware</w:t>
            </w:r>
          </w:p>
        </w:tc>
        <w:tc>
          <w:tcPr>
            <w:tcW w:w="1911" w:type="dxa"/>
          </w:tcPr>
          <w:p w14:paraId="6EC670D0" w14:textId="09374041"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55C96C0D" w14:textId="77777777" w:rsidTr="00457B16">
        <w:trPr>
          <w:trHeight w:val="228"/>
        </w:trPr>
        <w:tc>
          <w:tcPr>
            <w:tcW w:w="1301" w:type="dxa"/>
          </w:tcPr>
          <w:p w14:paraId="1301A0C9"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Wilmington</w:t>
            </w:r>
          </w:p>
        </w:tc>
        <w:tc>
          <w:tcPr>
            <w:tcW w:w="1354" w:type="dxa"/>
          </w:tcPr>
          <w:p w14:paraId="4081E888" w14:textId="2C9A4BF2"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52C27502"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Rehoboth</w:t>
            </w:r>
          </w:p>
        </w:tc>
        <w:tc>
          <w:tcPr>
            <w:tcW w:w="1282" w:type="dxa"/>
          </w:tcPr>
          <w:p w14:paraId="090FB222" w14:textId="335A2506"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3A31851D"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Marlborough</w:t>
            </w:r>
          </w:p>
        </w:tc>
        <w:tc>
          <w:tcPr>
            <w:tcW w:w="1162" w:type="dxa"/>
          </w:tcPr>
          <w:p w14:paraId="18CC7D4F" w14:textId="2FD16021"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77EFF605"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z w:val="16"/>
                <w:szCs w:val="16"/>
              </w:rPr>
              <w:t>West</w:t>
            </w:r>
            <w:r w:rsidRPr="001C0149">
              <w:rPr>
                <w:rFonts w:asciiTheme="minorHAnsi" w:hAnsiTheme="minorHAnsi" w:cstheme="minorHAnsi"/>
                <w:spacing w:val="-4"/>
                <w:sz w:val="16"/>
                <w:szCs w:val="16"/>
              </w:rPr>
              <w:t xml:space="preserve"> </w:t>
            </w:r>
            <w:r w:rsidRPr="001C0149">
              <w:rPr>
                <w:rFonts w:asciiTheme="minorHAnsi" w:hAnsiTheme="minorHAnsi" w:cstheme="minorHAnsi"/>
                <w:spacing w:val="-2"/>
                <w:sz w:val="16"/>
                <w:szCs w:val="16"/>
              </w:rPr>
              <w:t>Springfield</w:t>
            </w:r>
          </w:p>
        </w:tc>
        <w:tc>
          <w:tcPr>
            <w:tcW w:w="1911" w:type="dxa"/>
          </w:tcPr>
          <w:p w14:paraId="4BBE121B" w14:textId="3638657D"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713011E8" w14:textId="77777777" w:rsidTr="00457B16">
        <w:trPr>
          <w:trHeight w:val="228"/>
        </w:trPr>
        <w:tc>
          <w:tcPr>
            <w:tcW w:w="1301" w:type="dxa"/>
          </w:tcPr>
          <w:p w14:paraId="2B430B30"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Winchester</w:t>
            </w:r>
          </w:p>
        </w:tc>
        <w:tc>
          <w:tcPr>
            <w:tcW w:w="1354" w:type="dxa"/>
          </w:tcPr>
          <w:p w14:paraId="4610E975" w14:textId="4ABBBF09"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11D9101D"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Rochester</w:t>
            </w:r>
          </w:p>
        </w:tc>
        <w:tc>
          <w:tcPr>
            <w:tcW w:w="1282" w:type="dxa"/>
          </w:tcPr>
          <w:p w14:paraId="4F4BDD82" w14:textId="2A34B74F"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2C7DAE2D"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Maynard</w:t>
            </w:r>
          </w:p>
        </w:tc>
        <w:tc>
          <w:tcPr>
            <w:tcW w:w="1162" w:type="dxa"/>
          </w:tcPr>
          <w:p w14:paraId="6C8FC80A" w14:textId="4E359679"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62FA23B6"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Westfield</w:t>
            </w:r>
          </w:p>
        </w:tc>
        <w:tc>
          <w:tcPr>
            <w:tcW w:w="1911" w:type="dxa"/>
          </w:tcPr>
          <w:p w14:paraId="3138F587" w14:textId="525CCC3B"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0A5B8BC2" w14:textId="77777777" w:rsidTr="00457B16">
        <w:trPr>
          <w:trHeight w:val="228"/>
        </w:trPr>
        <w:tc>
          <w:tcPr>
            <w:tcW w:w="1301" w:type="dxa"/>
          </w:tcPr>
          <w:p w14:paraId="5C2BF7A0"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Winthrop</w:t>
            </w:r>
          </w:p>
        </w:tc>
        <w:tc>
          <w:tcPr>
            <w:tcW w:w="1354" w:type="dxa"/>
          </w:tcPr>
          <w:p w14:paraId="1DC7A931" w14:textId="1F9C99B5"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0FB27E24"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Rockland</w:t>
            </w:r>
          </w:p>
        </w:tc>
        <w:tc>
          <w:tcPr>
            <w:tcW w:w="1282" w:type="dxa"/>
          </w:tcPr>
          <w:p w14:paraId="4D9DED8A" w14:textId="436926F8"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3EAEA565"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Medway</w:t>
            </w:r>
          </w:p>
        </w:tc>
        <w:tc>
          <w:tcPr>
            <w:tcW w:w="1162" w:type="dxa"/>
          </w:tcPr>
          <w:p w14:paraId="4D0BDA80" w14:textId="78DA73A6"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5ACA2CED"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Westhampton</w:t>
            </w:r>
          </w:p>
        </w:tc>
        <w:tc>
          <w:tcPr>
            <w:tcW w:w="1911" w:type="dxa"/>
          </w:tcPr>
          <w:p w14:paraId="192A646E" w14:textId="4D13D0B8"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4C41FB56" w14:textId="77777777" w:rsidTr="00457B16">
        <w:trPr>
          <w:trHeight w:val="228"/>
        </w:trPr>
        <w:tc>
          <w:tcPr>
            <w:tcW w:w="1301" w:type="dxa"/>
          </w:tcPr>
          <w:p w14:paraId="750D4300"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Woburn</w:t>
            </w:r>
          </w:p>
        </w:tc>
        <w:tc>
          <w:tcPr>
            <w:tcW w:w="1354" w:type="dxa"/>
          </w:tcPr>
          <w:p w14:paraId="18D059AD" w14:textId="55C17BA3"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0C0D134C"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Scituate</w:t>
            </w:r>
          </w:p>
        </w:tc>
        <w:tc>
          <w:tcPr>
            <w:tcW w:w="1282" w:type="dxa"/>
          </w:tcPr>
          <w:p w14:paraId="6CAA0F17" w14:textId="3408C6B2"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5311E64E"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Mendon</w:t>
            </w:r>
          </w:p>
        </w:tc>
        <w:tc>
          <w:tcPr>
            <w:tcW w:w="1162" w:type="dxa"/>
          </w:tcPr>
          <w:p w14:paraId="70BD2F66" w14:textId="6F93A362"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24D05FEE"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Whately</w:t>
            </w:r>
          </w:p>
        </w:tc>
        <w:tc>
          <w:tcPr>
            <w:tcW w:w="1911" w:type="dxa"/>
          </w:tcPr>
          <w:p w14:paraId="68FCFB4F" w14:textId="0C3B0228"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7AF9BF6F" w14:textId="77777777" w:rsidTr="00457B16">
        <w:trPr>
          <w:trHeight w:val="228"/>
        </w:trPr>
        <w:tc>
          <w:tcPr>
            <w:tcW w:w="1301" w:type="dxa"/>
          </w:tcPr>
          <w:p w14:paraId="1A53F2D4" w14:textId="36604D18" w:rsidR="008807B4" w:rsidRPr="001C0149" w:rsidRDefault="009E053B" w:rsidP="00457B16">
            <w:pPr>
              <w:pStyle w:val="TableParagraph"/>
              <w:spacing w:before="120"/>
              <w:rPr>
                <w:rFonts w:asciiTheme="minorHAnsi" w:hAnsiTheme="minorHAnsi" w:cstheme="minorHAnsi"/>
                <w:b/>
                <w:bCs/>
                <w:sz w:val="16"/>
                <w:szCs w:val="16"/>
              </w:rPr>
            </w:pPr>
            <w:r>
              <w:rPr>
                <w:rFonts w:asciiTheme="minorHAnsi" w:hAnsiTheme="minorHAnsi" w:cstheme="minorHAnsi"/>
                <w:sz w:val="16"/>
                <w:szCs w:val="16"/>
              </w:rPr>
              <w:t>N/A</w:t>
            </w:r>
          </w:p>
        </w:tc>
        <w:tc>
          <w:tcPr>
            <w:tcW w:w="1354" w:type="dxa"/>
          </w:tcPr>
          <w:p w14:paraId="219767AA" w14:textId="7AB0EF9B"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4870A486"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Seekonk</w:t>
            </w:r>
          </w:p>
        </w:tc>
        <w:tc>
          <w:tcPr>
            <w:tcW w:w="1282" w:type="dxa"/>
          </w:tcPr>
          <w:p w14:paraId="24647243" w14:textId="50C79C64"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3C80360D"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Milford</w:t>
            </w:r>
          </w:p>
        </w:tc>
        <w:tc>
          <w:tcPr>
            <w:tcW w:w="1162" w:type="dxa"/>
          </w:tcPr>
          <w:p w14:paraId="1DA67607" w14:textId="0DEFDF04"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160AB433"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Wilbraham</w:t>
            </w:r>
          </w:p>
        </w:tc>
        <w:tc>
          <w:tcPr>
            <w:tcW w:w="1911" w:type="dxa"/>
          </w:tcPr>
          <w:p w14:paraId="33AFD135" w14:textId="4ECE6DCE"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132B763A" w14:textId="77777777" w:rsidTr="00457B16">
        <w:trPr>
          <w:trHeight w:val="228"/>
        </w:trPr>
        <w:tc>
          <w:tcPr>
            <w:tcW w:w="1301" w:type="dxa"/>
          </w:tcPr>
          <w:p w14:paraId="5A31F5B7" w14:textId="277A64D1"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49AC5901" w14:textId="70E513E1"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73DF47F0"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Sharon</w:t>
            </w:r>
          </w:p>
        </w:tc>
        <w:tc>
          <w:tcPr>
            <w:tcW w:w="1282" w:type="dxa"/>
          </w:tcPr>
          <w:p w14:paraId="57D7B474" w14:textId="14C78877"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0932A022"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Millbury</w:t>
            </w:r>
          </w:p>
        </w:tc>
        <w:tc>
          <w:tcPr>
            <w:tcW w:w="1162" w:type="dxa"/>
          </w:tcPr>
          <w:p w14:paraId="7635F198" w14:textId="464B4C08"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0E824BBC"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Williamsburg</w:t>
            </w:r>
          </w:p>
        </w:tc>
        <w:tc>
          <w:tcPr>
            <w:tcW w:w="1911" w:type="dxa"/>
          </w:tcPr>
          <w:p w14:paraId="37A013FC" w14:textId="6057574B"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6D33CB4F" w14:textId="77777777" w:rsidTr="00457B16">
        <w:trPr>
          <w:trHeight w:val="228"/>
        </w:trPr>
        <w:tc>
          <w:tcPr>
            <w:tcW w:w="1301" w:type="dxa"/>
          </w:tcPr>
          <w:p w14:paraId="05635415" w14:textId="1D7A6A43"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4E9D6845" w14:textId="1F388145"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07B5F337"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Somerset</w:t>
            </w:r>
          </w:p>
        </w:tc>
        <w:tc>
          <w:tcPr>
            <w:tcW w:w="1282" w:type="dxa"/>
          </w:tcPr>
          <w:p w14:paraId="6A4037C8" w14:textId="45CAF26E"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3CA8D357"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Millis</w:t>
            </w:r>
          </w:p>
        </w:tc>
        <w:tc>
          <w:tcPr>
            <w:tcW w:w="1162" w:type="dxa"/>
          </w:tcPr>
          <w:p w14:paraId="33C088B9" w14:textId="51B0B5DB"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7C49EC0F"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Worthington</w:t>
            </w:r>
          </w:p>
        </w:tc>
        <w:tc>
          <w:tcPr>
            <w:tcW w:w="1911" w:type="dxa"/>
          </w:tcPr>
          <w:p w14:paraId="3AF1E6E6" w14:textId="11BCC1D3"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76476B94" w14:textId="77777777" w:rsidTr="00457B16">
        <w:trPr>
          <w:trHeight w:val="228"/>
        </w:trPr>
        <w:tc>
          <w:tcPr>
            <w:tcW w:w="1301" w:type="dxa"/>
          </w:tcPr>
          <w:p w14:paraId="770B9A05" w14:textId="7C4B58FD"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1320A9A1" w14:textId="55C40882"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67184A0C"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Stoughton</w:t>
            </w:r>
          </w:p>
        </w:tc>
        <w:tc>
          <w:tcPr>
            <w:tcW w:w="1282" w:type="dxa"/>
          </w:tcPr>
          <w:p w14:paraId="29DD8FEB" w14:textId="15C33E74"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33E6F0E1"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Millville</w:t>
            </w:r>
          </w:p>
        </w:tc>
        <w:tc>
          <w:tcPr>
            <w:tcW w:w="1162" w:type="dxa"/>
          </w:tcPr>
          <w:p w14:paraId="3DB3BEA8" w14:textId="033D826E"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33A6017B" w14:textId="49252759"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0293AC58" w14:textId="11646C82"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60FD1C2C" w14:textId="77777777" w:rsidTr="00457B16">
        <w:trPr>
          <w:trHeight w:val="228"/>
        </w:trPr>
        <w:tc>
          <w:tcPr>
            <w:tcW w:w="1301" w:type="dxa"/>
          </w:tcPr>
          <w:p w14:paraId="2CF71524" w14:textId="71A1DB24"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1DF2C0C0" w14:textId="5C875843"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04D941D9"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Swansea</w:t>
            </w:r>
          </w:p>
        </w:tc>
        <w:tc>
          <w:tcPr>
            <w:tcW w:w="1282" w:type="dxa"/>
          </w:tcPr>
          <w:p w14:paraId="1DBFC8DF" w14:textId="7E3FAF78"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6189DED6"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Natick</w:t>
            </w:r>
          </w:p>
        </w:tc>
        <w:tc>
          <w:tcPr>
            <w:tcW w:w="1162" w:type="dxa"/>
          </w:tcPr>
          <w:p w14:paraId="0136B10E" w14:textId="69C170B4"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2A331C7C" w14:textId="31635853"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05D895F2" w14:textId="54A37B30"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23E129D9" w14:textId="77777777" w:rsidTr="00457B16">
        <w:trPr>
          <w:trHeight w:val="228"/>
        </w:trPr>
        <w:tc>
          <w:tcPr>
            <w:tcW w:w="1301" w:type="dxa"/>
          </w:tcPr>
          <w:p w14:paraId="692EAF78" w14:textId="6960F062"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3F0E6AE8" w14:textId="4F51F7E7"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272817BB"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Taunton</w:t>
            </w:r>
          </w:p>
        </w:tc>
        <w:tc>
          <w:tcPr>
            <w:tcW w:w="1282" w:type="dxa"/>
          </w:tcPr>
          <w:p w14:paraId="4823256B" w14:textId="6C3B8BCC"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075F5477"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z w:val="16"/>
                <w:szCs w:val="16"/>
              </w:rPr>
              <w:t>New</w:t>
            </w:r>
            <w:r w:rsidRPr="001C0149">
              <w:rPr>
                <w:rFonts w:asciiTheme="minorHAnsi" w:hAnsiTheme="minorHAnsi" w:cstheme="minorHAnsi"/>
                <w:spacing w:val="-1"/>
                <w:sz w:val="16"/>
                <w:szCs w:val="16"/>
              </w:rPr>
              <w:t xml:space="preserve"> </w:t>
            </w:r>
            <w:r w:rsidRPr="001C0149">
              <w:rPr>
                <w:rFonts w:asciiTheme="minorHAnsi" w:hAnsiTheme="minorHAnsi" w:cstheme="minorHAnsi"/>
                <w:spacing w:val="-2"/>
                <w:sz w:val="16"/>
                <w:szCs w:val="16"/>
              </w:rPr>
              <w:t>Braintree</w:t>
            </w:r>
          </w:p>
        </w:tc>
        <w:tc>
          <w:tcPr>
            <w:tcW w:w="1162" w:type="dxa"/>
          </w:tcPr>
          <w:p w14:paraId="6F37FD7E" w14:textId="3D0D92D1"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5204C7AE" w14:textId="4B403D92"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1C6D3043" w14:textId="1EB9B09D"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577F84EA" w14:textId="77777777" w:rsidTr="00457B16">
        <w:trPr>
          <w:trHeight w:val="228"/>
        </w:trPr>
        <w:tc>
          <w:tcPr>
            <w:tcW w:w="1301" w:type="dxa"/>
          </w:tcPr>
          <w:p w14:paraId="100F2375" w14:textId="46F2C6A1"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2FCFE6C5" w14:textId="16A03289"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55D4CDEF"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Walpole</w:t>
            </w:r>
          </w:p>
        </w:tc>
        <w:tc>
          <w:tcPr>
            <w:tcW w:w="1282" w:type="dxa"/>
          </w:tcPr>
          <w:p w14:paraId="5FED36C5" w14:textId="436EFF08"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2A5B0174"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z w:val="16"/>
                <w:szCs w:val="16"/>
              </w:rPr>
              <w:t>North</w:t>
            </w:r>
            <w:r w:rsidRPr="001C0149">
              <w:rPr>
                <w:rFonts w:asciiTheme="minorHAnsi" w:hAnsiTheme="minorHAnsi" w:cstheme="minorHAnsi"/>
                <w:spacing w:val="-4"/>
                <w:sz w:val="16"/>
                <w:szCs w:val="16"/>
              </w:rPr>
              <w:t xml:space="preserve"> </w:t>
            </w:r>
            <w:r w:rsidRPr="001C0149">
              <w:rPr>
                <w:rFonts w:asciiTheme="minorHAnsi" w:hAnsiTheme="minorHAnsi" w:cstheme="minorHAnsi"/>
                <w:spacing w:val="-2"/>
                <w:sz w:val="16"/>
                <w:szCs w:val="16"/>
              </w:rPr>
              <w:t>Brookfield</w:t>
            </w:r>
          </w:p>
        </w:tc>
        <w:tc>
          <w:tcPr>
            <w:tcW w:w="1162" w:type="dxa"/>
          </w:tcPr>
          <w:p w14:paraId="00538979" w14:textId="4CC63C35"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1FCDA1A1" w14:textId="7A86E692"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2EBE5995" w14:textId="54B93826"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64EBD1F1" w14:textId="77777777" w:rsidTr="00457B16">
        <w:trPr>
          <w:trHeight w:val="228"/>
        </w:trPr>
        <w:tc>
          <w:tcPr>
            <w:tcW w:w="1301" w:type="dxa"/>
          </w:tcPr>
          <w:p w14:paraId="521AF267" w14:textId="6ABADEF6"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6ED23ABF" w14:textId="1ABF6E8A"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1224AFB8"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Wareham</w:t>
            </w:r>
          </w:p>
        </w:tc>
        <w:tc>
          <w:tcPr>
            <w:tcW w:w="1282" w:type="dxa"/>
          </w:tcPr>
          <w:p w14:paraId="2475E2EA" w14:textId="143A9B5E"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598EDFE8"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Northborough</w:t>
            </w:r>
          </w:p>
        </w:tc>
        <w:tc>
          <w:tcPr>
            <w:tcW w:w="1162" w:type="dxa"/>
          </w:tcPr>
          <w:p w14:paraId="5930AA43" w14:textId="6C00A6C0"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3B00A428" w14:textId="24487BC2"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22A667E0" w14:textId="60ABDDB9"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1BF7776B" w14:textId="77777777" w:rsidTr="00457B16">
        <w:trPr>
          <w:trHeight w:val="228"/>
        </w:trPr>
        <w:tc>
          <w:tcPr>
            <w:tcW w:w="1301" w:type="dxa"/>
          </w:tcPr>
          <w:p w14:paraId="45E1F506" w14:textId="1E08605B"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0881C54B" w14:textId="3D006386"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757A871D"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z w:val="16"/>
                <w:szCs w:val="16"/>
              </w:rPr>
              <w:t>West</w:t>
            </w:r>
            <w:r w:rsidRPr="001C0149">
              <w:rPr>
                <w:rFonts w:asciiTheme="minorHAnsi" w:hAnsiTheme="minorHAnsi" w:cstheme="minorHAnsi"/>
                <w:spacing w:val="-5"/>
                <w:sz w:val="16"/>
                <w:szCs w:val="16"/>
              </w:rPr>
              <w:t xml:space="preserve"> </w:t>
            </w:r>
            <w:r w:rsidRPr="001C0149">
              <w:rPr>
                <w:rFonts w:asciiTheme="minorHAnsi" w:hAnsiTheme="minorHAnsi" w:cstheme="minorHAnsi"/>
                <w:spacing w:val="-2"/>
                <w:sz w:val="16"/>
                <w:szCs w:val="16"/>
              </w:rPr>
              <w:t>Bridgewater</w:t>
            </w:r>
          </w:p>
        </w:tc>
        <w:tc>
          <w:tcPr>
            <w:tcW w:w="1282" w:type="dxa"/>
          </w:tcPr>
          <w:p w14:paraId="789E5E90" w14:textId="2767273D"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6E9EC467"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Northbridge</w:t>
            </w:r>
          </w:p>
        </w:tc>
        <w:tc>
          <w:tcPr>
            <w:tcW w:w="1162" w:type="dxa"/>
          </w:tcPr>
          <w:p w14:paraId="5BE19AA1" w14:textId="700A0A5C"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78F5EC06" w14:textId="0BC079C0"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0D6CA4B5" w14:textId="3C65ECD5"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768BEB32" w14:textId="77777777" w:rsidTr="00457B16">
        <w:trPr>
          <w:trHeight w:val="228"/>
        </w:trPr>
        <w:tc>
          <w:tcPr>
            <w:tcW w:w="1301" w:type="dxa"/>
          </w:tcPr>
          <w:p w14:paraId="7FACF82B" w14:textId="4265467F"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29B98195" w14:textId="52F6D8C8"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4CAD03A0" w14:textId="77777777" w:rsidR="008807B4" w:rsidRPr="001C0149" w:rsidRDefault="008807B4" w:rsidP="00457B16">
            <w:pPr>
              <w:pStyle w:val="TableParagraph"/>
              <w:spacing w:before="120" w:line="101" w:lineRule="exact"/>
              <w:rPr>
                <w:rFonts w:asciiTheme="minorHAnsi" w:hAnsiTheme="minorHAnsi" w:cstheme="minorHAnsi"/>
                <w:sz w:val="16"/>
                <w:szCs w:val="16"/>
              </w:rPr>
            </w:pPr>
            <w:r w:rsidRPr="001C0149">
              <w:rPr>
                <w:rFonts w:asciiTheme="minorHAnsi" w:hAnsiTheme="minorHAnsi" w:cstheme="minorHAnsi"/>
                <w:spacing w:val="-2"/>
                <w:sz w:val="16"/>
                <w:szCs w:val="16"/>
              </w:rPr>
              <w:t>Westport</w:t>
            </w:r>
          </w:p>
        </w:tc>
        <w:tc>
          <w:tcPr>
            <w:tcW w:w="1282" w:type="dxa"/>
          </w:tcPr>
          <w:p w14:paraId="2470EA71" w14:textId="3B590A94"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1ADEB84F"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Oakham</w:t>
            </w:r>
          </w:p>
        </w:tc>
        <w:tc>
          <w:tcPr>
            <w:tcW w:w="1162" w:type="dxa"/>
          </w:tcPr>
          <w:p w14:paraId="6D517E92" w14:textId="4C3C59F1"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6A719901" w14:textId="720B7E08"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23079FD8" w14:textId="2D3B6D10"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34DFA51E" w14:textId="77777777" w:rsidTr="00457B16">
        <w:trPr>
          <w:trHeight w:val="228"/>
        </w:trPr>
        <w:tc>
          <w:tcPr>
            <w:tcW w:w="1301" w:type="dxa"/>
          </w:tcPr>
          <w:p w14:paraId="70CAD32C" w14:textId="424E3BE5"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3014427C" w14:textId="62E746F9"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1447607F" w14:textId="77777777" w:rsidR="008807B4" w:rsidRPr="001C0149" w:rsidRDefault="008807B4" w:rsidP="00457B16">
            <w:pPr>
              <w:pStyle w:val="TableParagraph"/>
              <w:spacing w:before="120" w:line="102" w:lineRule="exact"/>
              <w:rPr>
                <w:rFonts w:asciiTheme="minorHAnsi" w:hAnsiTheme="minorHAnsi" w:cstheme="minorHAnsi"/>
                <w:sz w:val="16"/>
                <w:szCs w:val="16"/>
              </w:rPr>
            </w:pPr>
            <w:r w:rsidRPr="001C0149">
              <w:rPr>
                <w:rFonts w:asciiTheme="minorHAnsi" w:hAnsiTheme="minorHAnsi" w:cstheme="minorHAnsi"/>
                <w:spacing w:val="-2"/>
                <w:sz w:val="16"/>
                <w:szCs w:val="16"/>
              </w:rPr>
              <w:t>Whitman</w:t>
            </w:r>
          </w:p>
        </w:tc>
        <w:tc>
          <w:tcPr>
            <w:tcW w:w="1282" w:type="dxa"/>
          </w:tcPr>
          <w:p w14:paraId="114DACA0" w14:textId="61F7AB2D"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6BE42A59"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Oxford</w:t>
            </w:r>
          </w:p>
        </w:tc>
        <w:tc>
          <w:tcPr>
            <w:tcW w:w="1162" w:type="dxa"/>
          </w:tcPr>
          <w:p w14:paraId="2B398953" w14:textId="42534965"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59560BB1" w14:textId="3DEEFD74"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550B7DA2" w14:textId="5BD3D5CE"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5CC568A1" w14:textId="77777777" w:rsidTr="00457B16">
        <w:trPr>
          <w:trHeight w:val="228"/>
        </w:trPr>
        <w:tc>
          <w:tcPr>
            <w:tcW w:w="1301" w:type="dxa"/>
          </w:tcPr>
          <w:p w14:paraId="02CE2DA5" w14:textId="4E5C9E27"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3AB9B9D4" w14:textId="5D9AA1E3"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021ADE47" w14:textId="77777777" w:rsidR="008807B4" w:rsidRPr="001C0149" w:rsidRDefault="008807B4" w:rsidP="00457B16">
            <w:pPr>
              <w:pStyle w:val="TableParagraph"/>
              <w:spacing w:before="120" w:line="107" w:lineRule="exact"/>
              <w:rPr>
                <w:rFonts w:asciiTheme="minorHAnsi" w:hAnsiTheme="minorHAnsi" w:cstheme="minorHAnsi"/>
                <w:sz w:val="16"/>
                <w:szCs w:val="16"/>
              </w:rPr>
            </w:pPr>
            <w:r w:rsidRPr="001C0149">
              <w:rPr>
                <w:rFonts w:asciiTheme="minorHAnsi" w:hAnsiTheme="minorHAnsi" w:cstheme="minorHAnsi"/>
                <w:spacing w:val="-2"/>
                <w:sz w:val="16"/>
                <w:szCs w:val="16"/>
              </w:rPr>
              <w:t>Wrentham</w:t>
            </w:r>
          </w:p>
        </w:tc>
        <w:tc>
          <w:tcPr>
            <w:tcW w:w="1282" w:type="dxa"/>
          </w:tcPr>
          <w:p w14:paraId="5BCDEF41" w14:textId="756ECE43"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066089EE"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Paxton</w:t>
            </w:r>
          </w:p>
        </w:tc>
        <w:tc>
          <w:tcPr>
            <w:tcW w:w="1162" w:type="dxa"/>
          </w:tcPr>
          <w:p w14:paraId="40981680" w14:textId="10336F2D"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25A3F854" w14:textId="147E316C"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1E7A8177" w14:textId="68BE1541"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18EA7C78" w14:textId="77777777" w:rsidTr="009E053B">
        <w:trPr>
          <w:trHeight w:val="228"/>
        </w:trPr>
        <w:tc>
          <w:tcPr>
            <w:tcW w:w="1301" w:type="dxa"/>
          </w:tcPr>
          <w:p w14:paraId="1C4BBD62" w14:textId="522C0F77"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20AD2ABA" w14:textId="10415CBB"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2E4CD80B" w14:textId="167495CD" w:rsidR="008807B4" w:rsidRPr="001C0149" w:rsidRDefault="009E053B" w:rsidP="009E053B">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5508F9DB" w14:textId="36EBD647"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54663AEC"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Pepperell</w:t>
            </w:r>
          </w:p>
        </w:tc>
        <w:tc>
          <w:tcPr>
            <w:tcW w:w="1162" w:type="dxa"/>
          </w:tcPr>
          <w:p w14:paraId="70EF4CF1" w14:textId="203CCFC4"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2767B842" w14:textId="483AAD63"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51147572" w14:textId="5F423B26"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5CBBEDE8" w14:textId="77777777" w:rsidTr="009E053B">
        <w:trPr>
          <w:trHeight w:val="228"/>
        </w:trPr>
        <w:tc>
          <w:tcPr>
            <w:tcW w:w="1301" w:type="dxa"/>
          </w:tcPr>
          <w:p w14:paraId="76B5CA34" w14:textId="7F5A2523"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lastRenderedPageBreak/>
              <w:t>N/A</w:t>
            </w:r>
          </w:p>
        </w:tc>
        <w:tc>
          <w:tcPr>
            <w:tcW w:w="1354" w:type="dxa"/>
          </w:tcPr>
          <w:p w14:paraId="371B1917" w14:textId="368F2E8D"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259E45EC" w14:textId="11A39259" w:rsidR="008807B4" w:rsidRPr="001C0149" w:rsidRDefault="009E053B" w:rsidP="009E053B">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43ED3BE9" w14:textId="1088380A"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7F2036ED"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Petersham</w:t>
            </w:r>
          </w:p>
        </w:tc>
        <w:tc>
          <w:tcPr>
            <w:tcW w:w="1162" w:type="dxa"/>
          </w:tcPr>
          <w:p w14:paraId="11E827C6" w14:textId="57FB5171"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124A8C35" w14:textId="0E1A8ECD"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50F18659" w14:textId="0AE40729"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75C231CE" w14:textId="77777777" w:rsidTr="009E053B">
        <w:trPr>
          <w:trHeight w:val="228"/>
        </w:trPr>
        <w:tc>
          <w:tcPr>
            <w:tcW w:w="1301" w:type="dxa"/>
          </w:tcPr>
          <w:p w14:paraId="30A2B480" w14:textId="404FB8E9"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6CF35675" w14:textId="2DF9AF0A"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4E48BD0A" w14:textId="4B320EA3" w:rsidR="008807B4" w:rsidRPr="001C0149" w:rsidRDefault="009E053B" w:rsidP="009E053B">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57891042" w14:textId="54DA8DBB"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404195D5"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Princeton</w:t>
            </w:r>
          </w:p>
        </w:tc>
        <w:tc>
          <w:tcPr>
            <w:tcW w:w="1162" w:type="dxa"/>
          </w:tcPr>
          <w:p w14:paraId="2F1DEEC3" w14:textId="5F704194"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2A5D7546" w14:textId="2BE50E2A"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5E68CE60" w14:textId="68F36803"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59C49003" w14:textId="77777777" w:rsidTr="009E053B">
        <w:trPr>
          <w:trHeight w:val="228"/>
        </w:trPr>
        <w:tc>
          <w:tcPr>
            <w:tcW w:w="1301" w:type="dxa"/>
          </w:tcPr>
          <w:p w14:paraId="35FDB27C" w14:textId="4D758C99"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60B50242" w14:textId="5EBCE7F9"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1B247532" w14:textId="5A6866CB" w:rsidR="008807B4" w:rsidRPr="001C0149" w:rsidRDefault="009E053B" w:rsidP="009E053B">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60B0C31F" w14:textId="5F7C1E51"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783A72CC"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Rutland</w:t>
            </w:r>
          </w:p>
        </w:tc>
        <w:tc>
          <w:tcPr>
            <w:tcW w:w="1162" w:type="dxa"/>
          </w:tcPr>
          <w:p w14:paraId="7552E395" w14:textId="7090A953"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07F1C57E" w14:textId="0D5D23DF"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613217B6" w14:textId="5CEA3D2A"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61730319" w14:textId="77777777" w:rsidTr="009E053B">
        <w:trPr>
          <w:trHeight w:val="228"/>
        </w:trPr>
        <w:tc>
          <w:tcPr>
            <w:tcW w:w="1301" w:type="dxa"/>
          </w:tcPr>
          <w:p w14:paraId="64D59655" w14:textId="319FAE23"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70F53383" w14:textId="101C3764"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09C6135E" w14:textId="723C62F1" w:rsidR="008807B4" w:rsidRPr="001C0149" w:rsidRDefault="009E053B" w:rsidP="009E053B">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0EE1AA7C" w14:textId="37A3EC08"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02560668"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Sherborn</w:t>
            </w:r>
          </w:p>
        </w:tc>
        <w:tc>
          <w:tcPr>
            <w:tcW w:w="1162" w:type="dxa"/>
          </w:tcPr>
          <w:p w14:paraId="39406F77" w14:textId="78BCB7D4"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7800FE19" w14:textId="4935E7D8"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5920FC11" w14:textId="21395AB0"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34BE0752" w14:textId="77777777" w:rsidTr="009E053B">
        <w:trPr>
          <w:trHeight w:val="228"/>
        </w:trPr>
        <w:tc>
          <w:tcPr>
            <w:tcW w:w="1301" w:type="dxa"/>
          </w:tcPr>
          <w:p w14:paraId="144AB7A4" w14:textId="55E84569"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1173D517" w14:textId="2585BB71" w:rsidR="008807B4" w:rsidRPr="001C0149" w:rsidRDefault="009E053B"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23C283E9" w14:textId="11ACB8A8" w:rsidR="008807B4" w:rsidRPr="001C0149" w:rsidRDefault="009E053B" w:rsidP="009E053B">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784B5017" w14:textId="26A2CA3F"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7C4C895F"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Shirley</w:t>
            </w:r>
          </w:p>
        </w:tc>
        <w:tc>
          <w:tcPr>
            <w:tcW w:w="1162" w:type="dxa"/>
          </w:tcPr>
          <w:p w14:paraId="1F3F0E01" w14:textId="7AE548C2"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51090604" w14:textId="340C2E66"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6238B67F" w14:textId="3058D107"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1957C87E" w14:textId="77777777" w:rsidTr="00885D3A">
        <w:trPr>
          <w:trHeight w:val="228"/>
        </w:trPr>
        <w:tc>
          <w:tcPr>
            <w:tcW w:w="1301" w:type="dxa"/>
          </w:tcPr>
          <w:p w14:paraId="792B9ED1" w14:textId="5A57D122"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1978A373" w14:textId="722851D5"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44233F6E" w14:textId="2E0A9900" w:rsidR="008807B4" w:rsidRPr="001C0149" w:rsidRDefault="00885D3A" w:rsidP="00885D3A">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174531D6" w14:textId="69E1411C"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54958E2C"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Shrewsbury</w:t>
            </w:r>
          </w:p>
        </w:tc>
        <w:tc>
          <w:tcPr>
            <w:tcW w:w="1162" w:type="dxa"/>
          </w:tcPr>
          <w:p w14:paraId="087C0701" w14:textId="43B83EC4"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19255CC0" w14:textId="1DE85ED2"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4963EBBF" w14:textId="6761F62B"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2C159D29" w14:textId="77777777" w:rsidTr="00885D3A">
        <w:trPr>
          <w:trHeight w:val="228"/>
        </w:trPr>
        <w:tc>
          <w:tcPr>
            <w:tcW w:w="1301" w:type="dxa"/>
          </w:tcPr>
          <w:p w14:paraId="57B355E6" w14:textId="75FEEC26"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15F34760" w14:textId="0FD84614"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3105FA27" w14:textId="679C6D90" w:rsidR="008807B4" w:rsidRPr="001C0149" w:rsidRDefault="00885D3A" w:rsidP="00885D3A">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4D5A808F" w14:textId="018BB7DA"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2402D859"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Southborough</w:t>
            </w:r>
          </w:p>
        </w:tc>
        <w:tc>
          <w:tcPr>
            <w:tcW w:w="1162" w:type="dxa"/>
          </w:tcPr>
          <w:p w14:paraId="1C32A57A" w14:textId="0E4CADF6"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5E02F64F" w14:textId="768A598E"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32B02F5C" w14:textId="342DCEED"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66D6CB08" w14:textId="77777777" w:rsidTr="00885D3A">
        <w:trPr>
          <w:trHeight w:val="228"/>
        </w:trPr>
        <w:tc>
          <w:tcPr>
            <w:tcW w:w="1301" w:type="dxa"/>
          </w:tcPr>
          <w:p w14:paraId="543B0556" w14:textId="4FB67619"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77488D1B" w14:textId="77051DBE"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355A2EFC" w14:textId="772421F9" w:rsidR="008807B4" w:rsidRPr="001C0149" w:rsidRDefault="00885D3A" w:rsidP="00885D3A">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5FC93BDB" w14:textId="6818D027"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460A373F"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Southbridge</w:t>
            </w:r>
          </w:p>
        </w:tc>
        <w:tc>
          <w:tcPr>
            <w:tcW w:w="1162" w:type="dxa"/>
          </w:tcPr>
          <w:p w14:paraId="10F63AF0" w14:textId="2EBA7828"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513FD4DD" w14:textId="349A906D"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18D60DA9" w14:textId="5C6824E0"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6F36432D" w14:textId="77777777" w:rsidTr="00885D3A">
        <w:trPr>
          <w:trHeight w:val="228"/>
        </w:trPr>
        <w:tc>
          <w:tcPr>
            <w:tcW w:w="1301" w:type="dxa"/>
          </w:tcPr>
          <w:p w14:paraId="5937EC6A" w14:textId="25DD8682"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517577AC" w14:textId="1A52EFDF"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227CE12C" w14:textId="4038468B" w:rsidR="008807B4" w:rsidRPr="001C0149" w:rsidRDefault="00885D3A" w:rsidP="00885D3A">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2BD706BD" w14:textId="1AF65D96"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732A4B83"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Spencer</w:t>
            </w:r>
          </w:p>
        </w:tc>
        <w:tc>
          <w:tcPr>
            <w:tcW w:w="1162" w:type="dxa"/>
          </w:tcPr>
          <w:p w14:paraId="389FCC0A" w14:textId="42A05C71"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65636164" w14:textId="28A3788C"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309C174A" w14:textId="225B89DB"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7D6917CF" w14:textId="77777777" w:rsidTr="00885D3A">
        <w:trPr>
          <w:trHeight w:val="228"/>
        </w:trPr>
        <w:tc>
          <w:tcPr>
            <w:tcW w:w="1301" w:type="dxa"/>
          </w:tcPr>
          <w:p w14:paraId="0FBC18A0" w14:textId="3E7DF282"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3E096E98" w14:textId="7AC8FC93"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0AE4871A" w14:textId="49F70A5A" w:rsidR="008807B4" w:rsidRPr="001C0149" w:rsidRDefault="00885D3A" w:rsidP="00885D3A">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7C1FA7AA" w14:textId="7870F444"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65701FF0"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Sterling</w:t>
            </w:r>
          </w:p>
        </w:tc>
        <w:tc>
          <w:tcPr>
            <w:tcW w:w="1162" w:type="dxa"/>
          </w:tcPr>
          <w:p w14:paraId="19862BB5" w14:textId="1D072096"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4B477959" w14:textId="22544942"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100726D3" w14:textId="2CC4604A"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692E4D06" w14:textId="77777777" w:rsidTr="00885D3A">
        <w:trPr>
          <w:trHeight w:val="228"/>
        </w:trPr>
        <w:tc>
          <w:tcPr>
            <w:tcW w:w="1301" w:type="dxa"/>
          </w:tcPr>
          <w:p w14:paraId="43C35204" w14:textId="00CD316F"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372E39FF" w14:textId="0B8E86F2"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0373BD9D" w14:textId="2554FFF4" w:rsidR="008807B4" w:rsidRPr="001C0149" w:rsidRDefault="00885D3A" w:rsidP="00885D3A">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0A3DD893" w14:textId="2057DE6C"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01AA3D26"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4"/>
                <w:sz w:val="16"/>
                <w:szCs w:val="16"/>
              </w:rPr>
              <w:t>Stow</w:t>
            </w:r>
          </w:p>
        </w:tc>
        <w:tc>
          <w:tcPr>
            <w:tcW w:w="1162" w:type="dxa"/>
          </w:tcPr>
          <w:p w14:paraId="7AF881B0" w14:textId="3579E38C"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2A94478F" w14:textId="168B3DE0"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1589F951" w14:textId="04AEC689"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3FD8879A" w14:textId="77777777" w:rsidTr="00885D3A">
        <w:trPr>
          <w:trHeight w:val="228"/>
        </w:trPr>
        <w:tc>
          <w:tcPr>
            <w:tcW w:w="1301" w:type="dxa"/>
          </w:tcPr>
          <w:p w14:paraId="304DCCA7" w14:textId="5AEE1862"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33B0E49B" w14:textId="75DBA8FC"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243EE228" w14:textId="48EC04A3" w:rsidR="008807B4" w:rsidRPr="001C0149" w:rsidRDefault="00885D3A" w:rsidP="00885D3A">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1B76D5D3" w14:textId="65FCA9AD"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38F5C975"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Sturbridge</w:t>
            </w:r>
          </w:p>
        </w:tc>
        <w:tc>
          <w:tcPr>
            <w:tcW w:w="1162" w:type="dxa"/>
          </w:tcPr>
          <w:p w14:paraId="483E641F" w14:textId="201B4F86"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1C93D234" w14:textId="76D16621"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6DF3DFAB" w14:textId="40032C78"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000223F1" w14:textId="77777777" w:rsidTr="00885D3A">
        <w:trPr>
          <w:trHeight w:val="228"/>
        </w:trPr>
        <w:tc>
          <w:tcPr>
            <w:tcW w:w="1301" w:type="dxa"/>
          </w:tcPr>
          <w:p w14:paraId="70D6E8BF" w14:textId="7B2A561E"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7FABE45D" w14:textId="06EEB8CC"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0064C318" w14:textId="217AC89E" w:rsidR="008807B4" w:rsidRPr="001C0149" w:rsidRDefault="00885D3A" w:rsidP="00885D3A">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349D1436" w14:textId="290646E3"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091D20B5"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Sudbury</w:t>
            </w:r>
          </w:p>
        </w:tc>
        <w:tc>
          <w:tcPr>
            <w:tcW w:w="1162" w:type="dxa"/>
          </w:tcPr>
          <w:p w14:paraId="3D7C6D63" w14:textId="52C67D1A"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697D3A31" w14:textId="5A480330"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042E51BB" w14:textId="54CDC1FF"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7E2753C8" w14:textId="77777777" w:rsidTr="00885D3A">
        <w:trPr>
          <w:trHeight w:val="228"/>
        </w:trPr>
        <w:tc>
          <w:tcPr>
            <w:tcW w:w="1301" w:type="dxa"/>
          </w:tcPr>
          <w:p w14:paraId="6D298015" w14:textId="2236C57F"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6C2393EC" w14:textId="0F34174B"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2BEEBAE6" w14:textId="7E6F2259" w:rsidR="008807B4" w:rsidRPr="001C0149" w:rsidRDefault="00885D3A" w:rsidP="00885D3A">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0084CE45" w14:textId="70DA41A9"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01E9CFD6"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Sutton</w:t>
            </w:r>
          </w:p>
        </w:tc>
        <w:tc>
          <w:tcPr>
            <w:tcW w:w="1162" w:type="dxa"/>
          </w:tcPr>
          <w:p w14:paraId="01D70303" w14:textId="23BA3BD8"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309B46E5" w14:textId="17AF2461"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4FFB7E41" w14:textId="74983BA2"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4F1D79E9" w14:textId="77777777" w:rsidTr="00885D3A">
        <w:trPr>
          <w:trHeight w:val="228"/>
        </w:trPr>
        <w:tc>
          <w:tcPr>
            <w:tcW w:w="1301" w:type="dxa"/>
          </w:tcPr>
          <w:p w14:paraId="45C62D7F" w14:textId="2A4351B6"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5ECC3521" w14:textId="5C6E6007"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5B1F2494" w14:textId="08859F14" w:rsidR="008807B4" w:rsidRPr="001C0149" w:rsidRDefault="00885D3A" w:rsidP="00885D3A">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54CB29B1" w14:textId="0015F060"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110B42AC"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Tyngsborough</w:t>
            </w:r>
          </w:p>
        </w:tc>
        <w:tc>
          <w:tcPr>
            <w:tcW w:w="1162" w:type="dxa"/>
          </w:tcPr>
          <w:p w14:paraId="78096C04" w14:textId="3A968870"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1C81C3C0" w14:textId="35134BD8"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393F5E9D" w14:textId="0F34BA8E"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6FB501CD" w14:textId="77777777" w:rsidTr="00885D3A">
        <w:trPr>
          <w:trHeight w:val="228"/>
        </w:trPr>
        <w:tc>
          <w:tcPr>
            <w:tcW w:w="1301" w:type="dxa"/>
          </w:tcPr>
          <w:p w14:paraId="38DAC76C" w14:textId="73A26BE9"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3C2143AA" w14:textId="1166C6D6"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632DAAE5" w14:textId="093487BA" w:rsidR="008807B4" w:rsidRPr="001C0149" w:rsidRDefault="00885D3A" w:rsidP="00885D3A">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6A0200BC" w14:textId="64B34FA4"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69E31B90"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Upton</w:t>
            </w:r>
          </w:p>
        </w:tc>
        <w:tc>
          <w:tcPr>
            <w:tcW w:w="1162" w:type="dxa"/>
          </w:tcPr>
          <w:p w14:paraId="48A55966" w14:textId="3BFD08A7"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0A638216" w14:textId="4051768F"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26824C47" w14:textId="74E58112"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1B3209AD" w14:textId="77777777" w:rsidTr="00885D3A">
        <w:trPr>
          <w:trHeight w:val="228"/>
        </w:trPr>
        <w:tc>
          <w:tcPr>
            <w:tcW w:w="1301" w:type="dxa"/>
          </w:tcPr>
          <w:p w14:paraId="0E1316A7" w14:textId="3912BDB6"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0D58BDD7" w14:textId="2EE6AE80"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2077AB49" w14:textId="3F47ACA8" w:rsidR="008807B4" w:rsidRPr="001C0149" w:rsidRDefault="00885D3A" w:rsidP="00885D3A">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29F2E29E" w14:textId="4E032C55"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65EC8BBB"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Uxbridge</w:t>
            </w:r>
          </w:p>
        </w:tc>
        <w:tc>
          <w:tcPr>
            <w:tcW w:w="1162" w:type="dxa"/>
          </w:tcPr>
          <w:p w14:paraId="3EB977F3" w14:textId="7541D1F2"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6C3B7825" w14:textId="103E24AB"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407D1F99" w14:textId="2395852E"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1B6C6607" w14:textId="77777777" w:rsidTr="00885D3A">
        <w:trPr>
          <w:trHeight w:val="228"/>
        </w:trPr>
        <w:tc>
          <w:tcPr>
            <w:tcW w:w="1301" w:type="dxa"/>
          </w:tcPr>
          <w:p w14:paraId="69A9E432" w14:textId="1F04B088"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35A454C4" w14:textId="62C12529"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7C54ADAE" w14:textId="3BB78AD0" w:rsidR="008807B4" w:rsidRPr="001C0149" w:rsidRDefault="00885D3A" w:rsidP="00885D3A">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5797DB2E" w14:textId="6AC8939D"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77C04DFF"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Warren</w:t>
            </w:r>
          </w:p>
        </w:tc>
        <w:tc>
          <w:tcPr>
            <w:tcW w:w="1162" w:type="dxa"/>
          </w:tcPr>
          <w:p w14:paraId="277D2B1F" w14:textId="7920249A"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07EC04EE" w14:textId="3B1169FF"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0485C893" w14:textId="3A22F015"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503AC081" w14:textId="77777777" w:rsidTr="00885D3A">
        <w:trPr>
          <w:trHeight w:val="228"/>
        </w:trPr>
        <w:tc>
          <w:tcPr>
            <w:tcW w:w="1301" w:type="dxa"/>
          </w:tcPr>
          <w:p w14:paraId="2892DDFB" w14:textId="11F51AD7"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255AABF2" w14:textId="26BB8CBC"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22831A83" w14:textId="0B5528FB" w:rsidR="008807B4" w:rsidRPr="001C0149" w:rsidRDefault="00885D3A" w:rsidP="00885D3A">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1A9CE4E4" w14:textId="2BD3ECF7"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1005B561"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Wayland</w:t>
            </w:r>
          </w:p>
        </w:tc>
        <w:tc>
          <w:tcPr>
            <w:tcW w:w="1162" w:type="dxa"/>
          </w:tcPr>
          <w:p w14:paraId="460C06B5" w14:textId="6129132A"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566A17A2" w14:textId="261C261E"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3F197F70" w14:textId="69611C36"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04C8EC0E" w14:textId="77777777" w:rsidTr="00885D3A">
        <w:trPr>
          <w:trHeight w:val="228"/>
        </w:trPr>
        <w:tc>
          <w:tcPr>
            <w:tcW w:w="1301" w:type="dxa"/>
          </w:tcPr>
          <w:p w14:paraId="78F80660" w14:textId="03135DE3"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5E199832" w14:textId="0412BEEC"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16F091CE" w14:textId="5D11C95F" w:rsidR="008807B4" w:rsidRPr="001C0149" w:rsidRDefault="00885D3A" w:rsidP="00885D3A">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261644EF" w14:textId="7C368E2D"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3F5F4809"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Webster</w:t>
            </w:r>
          </w:p>
        </w:tc>
        <w:tc>
          <w:tcPr>
            <w:tcW w:w="1162" w:type="dxa"/>
          </w:tcPr>
          <w:p w14:paraId="455B587C" w14:textId="7FD12FC2"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5C5E775E" w14:textId="20EF1582"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2F1647B0" w14:textId="4D842180"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03A510C4" w14:textId="77777777" w:rsidTr="00885D3A">
        <w:trPr>
          <w:trHeight w:val="228"/>
        </w:trPr>
        <w:tc>
          <w:tcPr>
            <w:tcW w:w="1301" w:type="dxa"/>
          </w:tcPr>
          <w:p w14:paraId="2B1482A5" w14:textId="19056E49"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lastRenderedPageBreak/>
              <w:t>N/A</w:t>
            </w:r>
          </w:p>
        </w:tc>
        <w:tc>
          <w:tcPr>
            <w:tcW w:w="1354" w:type="dxa"/>
          </w:tcPr>
          <w:p w14:paraId="4CE4B833" w14:textId="5E33272B"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7D7B6892" w14:textId="0E673774" w:rsidR="008807B4" w:rsidRPr="001C0149" w:rsidRDefault="00885D3A" w:rsidP="00885D3A">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0267A666" w14:textId="53F95B5E"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5D67462F"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z w:val="16"/>
                <w:szCs w:val="16"/>
              </w:rPr>
              <w:t>West</w:t>
            </w:r>
            <w:r w:rsidRPr="001C0149">
              <w:rPr>
                <w:rFonts w:asciiTheme="minorHAnsi" w:hAnsiTheme="minorHAnsi" w:cstheme="minorHAnsi"/>
                <w:spacing w:val="-3"/>
                <w:sz w:val="16"/>
                <w:szCs w:val="16"/>
              </w:rPr>
              <w:t xml:space="preserve"> </w:t>
            </w:r>
            <w:r w:rsidRPr="001C0149">
              <w:rPr>
                <w:rFonts w:asciiTheme="minorHAnsi" w:hAnsiTheme="minorHAnsi" w:cstheme="minorHAnsi"/>
                <w:spacing w:val="-2"/>
                <w:sz w:val="16"/>
                <w:szCs w:val="16"/>
              </w:rPr>
              <w:t>Boylston</w:t>
            </w:r>
          </w:p>
        </w:tc>
        <w:tc>
          <w:tcPr>
            <w:tcW w:w="1162" w:type="dxa"/>
          </w:tcPr>
          <w:p w14:paraId="5DFC5C94" w14:textId="17222F33"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35789300" w14:textId="0F18D015"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6DAC3CCA" w14:textId="61061C31"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3BD2B1FF" w14:textId="77777777" w:rsidTr="00885D3A">
        <w:trPr>
          <w:trHeight w:val="228"/>
        </w:trPr>
        <w:tc>
          <w:tcPr>
            <w:tcW w:w="1301" w:type="dxa"/>
          </w:tcPr>
          <w:p w14:paraId="6E80DA96" w14:textId="0064AF6E"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604E8CD9" w14:textId="6B7288BE"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407E5173" w14:textId="28C70CDF" w:rsidR="008807B4" w:rsidRPr="001C0149" w:rsidRDefault="00885D3A" w:rsidP="00885D3A">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490782D7" w14:textId="20330B47"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403358AF"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z w:val="16"/>
                <w:szCs w:val="16"/>
              </w:rPr>
              <w:t>West</w:t>
            </w:r>
            <w:r w:rsidRPr="001C0149">
              <w:rPr>
                <w:rFonts w:asciiTheme="minorHAnsi" w:hAnsiTheme="minorHAnsi" w:cstheme="minorHAnsi"/>
                <w:spacing w:val="-4"/>
                <w:sz w:val="16"/>
                <w:szCs w:val="16"/>
              </w:rPr>
              <w:t xml:space="preserve"> </w:t>
            </w:r>
            <w:r w:rsidRPr="001C0149">
              <w:rPr>
                <w:rFonts w:asciiTheme="minorHAnsi" w:hAnsiTheme="minorHAnsi" w:cstheme="minorHAnsi"/>
                <w:spacing w:val="-2"/>
                <w:sz w:val="16"/>
                <w:szCs w:val="16"/>
              </w:rPr>
              <w:t>Brookfield</w:t>
            </w:r>
          </w:p>
        </w:tc>
        <w:tc>
          <w:tcPr>
            <w:tcW w:w="1162" w:type="dxa"/>
          </w:tcPr>
          <w:p w14:paraId="0CDDFE9B" w14:textId="1579659C"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3B7D294C" w14:textId="2DDCF618"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4BA609CC" w14:textId="427464D5"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5EC53D72" w14:textId="77777777" w:rsidTr="00885D3A">
        <w:trPr>
          <w:trHeight w:val="228"/>
        </w:trPr>
        <w:tc>
          <w:tcPr>
            <w:tcW w:w="1301" w:type="dxa"/>
          </w:tcPr>
          <w:p w14:paraId="1D036A24" w14:textId="31AACF53"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270BAD23" w14:textId="23F4BEFC"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05FDEB30" w14:textId="77459589" w:rsidR="008807B4" w:rsidRPr="001C0149" w:rsidRDefault="00885D3A" w:rsidP="00885D3A">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7934513F" w14:textId="61446C5F"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671DE2A8"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Westborough</w:t>
            </w:r>
          </w:p>
        </w:tc>
        <w:tc>
          <w:tcPr>
            <w:tcW w:w="1162" w:type="dxa"/>
          </w:tcPr>
          <w:p w14:paraId="008D4225" w14:textId="6D3BE058"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462F2343" w14:textId="10D9CA91"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1968A66C" w14:textId="064D21D7"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10677C2E" w14:textId="77777777" w:rsidTr="00885D3A">
        <w:trPr>
          <w:trHeight w:val="228"/>
        </w:trPr>
        <w:tc>
          <w:tcPr>
            <w:tcW w:w="1301" w:type="dxa"/>
          </w:tcPr>
          <w:p w14:paraId="4FD331CE" w14:textId="00E07E1F"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742A7B2F" w14:textId="7F4F9AFE"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1CC4A1A1" w14:textId="43869065" w:rsidR="008807B4" w:rsidRPr="001C0149" w:rsidRDefault="00885D3A" w:rsidP="00885D3A">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3E79522A" w14:textId="18FE6097"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4F51E355"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Westford</w:t>
            </w:r>
          </w:p>
        </w:tc>
        <w:tc>
          <w:tcPr>
            <w:tcW w:w="1162" w:type="dxa"/>
          </w:tcPr>
          <w:p w14:paraId="138B1810" w14:textId="2D1A8588"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5A26CBAB" w14:textId="0E3CD9F8"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1D603F42" w14:textId="5817DC24"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r w:rsidR="008807B4" w:rsidRPr="001C0149" w14:paraId="48183E1F" w14:textId="77777777" w:rsidTr="00885D3A">
        <w:trPr>
          <w:trHeight w:val="146"/>
        </w:trPr>
        <w:tc>
          <w:tcPr>
            <w:tcW w:w="1301" w:type="dxa"/>
          </w:tcPr>
          <w:p w14:paraId="6D13A2D6" w14:textId="3F531A64"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354" w:type="dxa"/>
          </w:tcPr>
          <w:p w14:paraId="255AD970" w14:textId="2BF9ED1F"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vAlign w:val="bottom"/>
          </w:tcPr>
          <w:p w14:paraId="29547488" w14:textId="1C5E54A0" w:rsidR="008807B4" w:rsidRPr="001C0149" w:rsidRDefault="00885D3A" w:rsidP="00885D3A">
            <w:pPr>
              <w:pStyle w:val="TableParagraph"/>
              <w:spacing w:before="120" w:line="107" w:lineRule="exact"/>
              <w:rPr>
                <w:rFonts w:asciiTheme="minorHAnsi" w:hAnsiTheme="minorHAnsi" w:cstheme="minorHAnsi"/>
                <w:spacing w:val="-2"/>
                <w:sz w:val="16"/>
                <w:szCs w:val="16"/>
              </w:rPr>
            </w:pPr>
            <w:r>
              <w:rPr>
                <w:rFonts w:asciiTheme="minorHAnsi" w:hAnsiTheme="minorHAnsi" w:cstheme="minorHAnsi"/>
                <w:sz w:val="16"/>
                <w:szCs w:val="16"/>
              </w:rPr>
              <w:t>N/A</w:t>
            </w:r>
          </w:p>
        </w:tc>
        <w:tc>
          <w:tcPr>
            <w:tcW w:w="1282" w:type="dxa"/>
          </w:tcPr>
          <w:p w14:paraId="28074CE4" w14:textId="71CC3FCB"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24" w:type="dxa"/>
          </w:tcPr>
          <w:p w14:paraId="3B1D853E" w14:textId="77777777" w:rsidR="008807B4" w:rsidRPr="001C0149" w:rsidRDefault="008807B4" w:rsidP="00457B16">
            <w:pPr>
              <w:pStyle w:val="TableParagraph"/>
              <w:spacing w:before="120"/>
              <w:rPr>
                <w:rFonts w:asciiTheme="minorHAnsi" w:hAnsiTheme="minorHAnsi" w:cstheme="minorHAnsi"/>
                <w:sz w:val="16"/>
                <w:szCs w:val="16"/>
              </w:rPr>
            </w:pPr>
            <w:r w:rsidRPr="001C0149">
              <w:rPr>
                <w:rFonts w:asciiTheme="minorHAnsi" w:hAnsiTheme="minorHAnsi" w:cstheme="minorHAnsi"/>
                <w:spacing w:val="-2"/>
                <w:sz w:val="16"/>
                <w:szCs w:val="16"/>
              </w:rPr>
              <w:t>Worcester</w:t>
            </w:r>
          </w:p>
        </w:tc>
        <w:tc>
          <w:tcPr>
            <w:tcW w:w="1162" w:type="dxa"/>
          </w:tcPr>
          <w:p w14:paraId="768D8120" w14:textId="6D818C18" w:rsidR="008807B4" w:rsidRPr="001C0149" w:rsidRDefault="00885D3A"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577" w:type="dxa"/>
          </w:tcPr>
          <w:p w14:paraId="2D9F8E27" w14:textId="4F82C8E6"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c>
          <w:tcPr>
            <w:tcW w:w="1911" w:type="dxa"/>
          </w:tcPr>
          <w:p w14:paraId="5D1D4CCD" w14:textId="26654345" w:rsidR="008807B4" w:rsidRPr="001C0149" w:rsidRDefault="00D30D70" w:rsidP="00457B16">
            <w:pPr>
              <w:pStyle w:val="TableParagraph"/>
              <w:spacing w:before="120"/>
              <w:rPr>
                <w:rFonts w:asciiTheme="minorHAnsi" w:hAnsiTheme="minorHAnsi" w:cstheme="minorHAnsi"/>
                <w:sz w:val="16"/>
                <w:szCs w:val="16"/>
              </w:rPr>
            </w:pPr>
            <w:r>
              <w:rPr>
                <w:rFonts w:asciiTheme="minorHAnsi" w:hAnsiTheme="minorHAnsi" w:cstheme="minorHAnsi"/>
                <w:sz w:val="16"/>
                <w:szCs w:val="16"/>
              </w:rPr>
              <w:t>N/A</w:t>
            </w:r>
          </w:p>
        </w:tc>
      </w:tr>
    </w:tbl>
    <w:p w14:paraId="6B85F581" w14:textId="7AE8FBE2" w:rsidR="00931DF2" w:rsidRPr="00FF7DB5" w:rsidRDefault="00931DF2" w:rsidP="00FF7DB5">
      <w:pPr>
        <w:rPr>
          <w:sz w:val="2"/>
          <w:szCs w:val="2"/>
        </w:rPr>
      </w:pPr>
    </w:p>
    <w:sectPr w:rsidR="00931DF2" w:rsidRPr="00FF7DB5" w:rsidSect="00103D3D">
      <w:footnotePr>
        <w:numRestart w:val="eachSect"/>
      </w:footnotePr>
      <w:type w:val="continuous"/>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0336" w14:textId="77777777" w:rsidR="00027F4D" w:rsidRDefault="00027F4D" w:rsidP="00BA4C0C">
      <w:pPr>
        <w:spacing w:after="0" w:line="240" w:lineRule="auto"/>
      </w:pPr>
      <w:r>
        <w:separator/>
      </w:r>
    </w:p>
    <w:p w14:paraId="202EEEAF" w14:textId="77777777" w:rsidR="00027F4D" w:rsidRDefault="00027F4D"/>
  </w:endnote>
  <w:endnote w:type="continuationSeparator" w:id="0">
    <w:p w14:paraId="3DAD4759" w14:textId="77777777" w:rsidR="00027F4D" w:rsidRDefault="00027F4D" w:rsidP="00BA4C0C">
      <w:pPr>
        <w:spacing w:after="0" w:line="240" w:lineRule="auto"/>
      </w:pPr>
      <w:r>
        <w:continuationSeparator/>
      </w:r>
    </w:p>
    <w:p w14:paraId="3B970822" w14:textId="77777777" w:rsidR="00027F4D" w:rsidRDefault="00027F4D"/>
  </w:endnote>
  <w:endnote w:type="continuationNotice" w:id="1">
    <w:p w14:paraId="5E38CD81" w14:textId="77777777" w:rsidR="00027F4D" w:rsidRDefault="00027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9377" w14:textId="77777777" w:rsidR="000A718E" w:rsidRPr="00621EE2" w:rsidRDefault="000A718E" w:rsidP="000A718E">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299409EF" w14:textId="77777777" w:rsidR="000A718E" w:rsidRDefault="000A718E" w:rsidP="000A718E">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F4DD72A" w14:textId="77777777" w:rsidR="000A718E" w:rsidRPr="003E118F" w:rsidRDefault="000A718E" w:rsidP="000A718E">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84428B8" w14:textId="77777777" w:rsidR="000A718E" w:rsidRPr="003E118F" w:rsidRDefault="000A718E" w:rsidP="000A718E">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9DAF91A" w14:textId="77777777" w:rsidR="000A718E" w:rsidRDefault="000A718E" w:rsidP="000A718E">
    <w:r>
      <w:rPr>
        <w:noProof/>
      </w:rPr>
      <mc:AlternateContent>
        <mc:Choice Requires="wpg">
          <w:drawing>
            <wp:anchor distT="0" distB="0" distL="114300" distR="114300" simplePos="0" relativeHeight="251659264" behindDoc="0" locked="0" layoutInCell="1" allowOverlap="1" wp14:anchorId="5D2F44D3" wp14:editId="797036F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AE283" id="Group 1730328604"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7093479D" w14:textId="77777777" w:rsidR="000A718E" w:rsidRPr="00E365B8" w:rsidRDefault="000A718E" w:rsidP="000A718E">
    <w:pPr>
      <w:pStyle w:val="Footer"/>
    </w:pPr>
  </w:p>
  <w:p w14:paraId="29F8E603" w14:textId="77777777" w:rsidR="0019409E" w:rsidRPr="000A718E" w:rsidRDefault="0019409E" w:rsidP="000A7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2BD2769D">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AC1E9E" w14:paraId="5F7538E3" w14:textId="77777777" w:rsidTr="00B84519">
      <w:trPr>
        <w:trHeight w:val="198"/>
      </w:trPr>
      <w:tc>
        <w:tcPr>
          <w:tcW w:w="3646" w:type="dxa"/>
        </w:tcPr>
        <w:p w14:paraId="194A232C" w14:textId="6C676280" w:rsidR="00AC1E9E" w:rsidRDefault="00AC1E9E" w:rsidP="00B84519">
          <w:pPr>
            <w:pStyle w:val="Footer"/>
          </w:pPr>
        </w:p>
      </w:tc>
      <w:tc>
        <w:tcPr>
          <w:tcW w:w="3646" w:type="dxa"/>
        </w:tcPr>
        <w:p w14:paraId="4C3411F8" w14:textId="77777777" w:rsidR="00AC1E9E" w:rsidRDefault="00AC1E9E" w:rsidP="4C2A9F3F">
          <w:pPr>
            <w:pStyle w:val="Header"/>
            <w:jc w:val="center"/>
          </w:pPr>
        </w:p>
      </w:tc>
      <w:tc>
        <w:tcPr>
          <w:tcW w:w="3646" w:type="dxa"/>
        </w:tcPr>
        <w:p w14:paraId="04A23FC6" w14:textId="77777777" w:rsidR="00AC1E9E" w:rsidRDefault="00AC1E9E" w:rsidP="4C2A9F3F">
          <w:pPr>
            <w:pStyle w:val="Header"/>
            <w:ind w:right="-115"/>
            <w:jc w:val="right"/>
          </w:pPr>
        </w:p>
      </w:tc>
    </w:tr>
  </w:tbl>
  <w:p w14:paraId="2F1451E1" w14:textId="5C4E8639" w:rsidR="00AC1E9E" w:rsidRPr="00621EE2" w:rsidRDefault="00AC1E9E" w:rsidP="00B84519">
    <w:pPr>
      <w:pStyle w:val="Footer"/>
      <w:rPr>
        <w:rStyle w:val="PageNumber"/>
        <w:sz w:val="16"/>
        <w:szCs w:val="16"/>
      </w:rPr>
    </w:pPr>
    <w:r w:rsidRPr="00ED4906">
      <w:rPr>
        <w:rStyle w:val="PageNumber"/>
        <w:b/>
        <w:bCs/>
        <w:sz w:val="16"/>
        <w:szCs w:val="16"/>
      </w:rPr>
      <w:t>N</w:t>
    </w:r>
    <w:r w:rsidR="001A340E"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3995F06B" w14:textId="1F905EC3" w:rsidR="00AC1E9E" w:rsidRDefault="00AC1E9E" w:rsidP="00B84519">
    <w:pPr>
      <w:pStyle w:val="Footer"/>
      <w:rPr>
        <w:rStyle w:val="PageNumber"/>
        <w:sz w:val="20"/>
        <w:szCs w:val="20"/>
      </w:rPr>
    </w:pPr>
    <w:r>
      <w:rPr>
        <w:rStyle w:val="PageNumber"/>
        <w:sz w:val="20"/>
        <w:szCs w:val="20"/>
      </w:rPr>
      <w:t>U</w:t>
    </w:r>
    <w:r w:rsidRPr="00222273">
      <w:rPr>
        <w:rStyle w:val="PageNumber"/>
        <w:sz w:val="20"/>
        <w:szCs w:val="20"/>
      </w:rPr>
      <w:t>pdated:</w:t>
    </w:r>
    <w:r>
      <w:rPr>
        <w:rStyle w:val="PageNumber"/>
        <w:sz w:val="20"/>
        <w:szCs w:val="20"/>
      </w:rPr>
      <w:t xml:space="preserve"> </w:t>
    </w:r>
    <w:r w:rsidR="00BE1378">
      <w:rPr>
        <w:rStyle w:val="PageNumber"/>
        <w:sz w:val="20"/>
        <w:szCs w:val="20"/>
      </w:rPr>
      <w:t xml:space="preserve">September </w:t>
    </w:r>
    <w:r w:rsidR="005C26FE">
      <w:rPr>
        <w:rStyle w:val="PageNumber"/>
        <w:sz w:val="20"/>
        <w:szCs w:val="20"/>
      </w:rPr>
      <w:t>5, 2025</w:t>
    </w: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4834FDE1" w14:textId="77777777" w:rsidR="00AC1E9E" w:rsidRPr="003E118F" w:rsidRDefault="00AC1E9E"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3FC85BE" w14:textId="0C05EFEE" w:rsidR="00AC1E9E" w:rsidRPr="003E118F" w:rsidRDefault="00AC1E9E" w:rsidP="00B84519">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727-4527</w:t>
    </w:r>
  </w:p>
  <w:p w14:paraId="79A39E2A" w14:textId="77777777" w:rsidR="00AC1E9E" w:rsidRDefault="00AC1E9E" w:rsidP="4C2A9F3F">
    <w:pPr>
      <w:pStyle w:val="Footer"/>
    </w:pP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7B3C7033"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5D90132C"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C35F" w14:textId="77777777" w:rsidR="00027F4D" w:rsidRDefault="00027F4D" w:rsidP="00BA4C0C">
      <w:pPr>
        <w:spacing w:after="0" w:line="240" w:lineRule="auto"/>
      </w:pPr>
      <w:r>
        <w:separator/>
      </w:r>
    </w:p>
    <w:p w14:paraId="72DED286" w14:textId="77777777" w:rsidR="00027F4D" w:rsidRDefault="00027F4D"/>
  </w:footnote>
  <w:footnote w:type="continuationSeparator" w:id="0">
    <w:p w14:paraId="3DC645AE" w14:textId="77777777" w:rsidR="00027F4D" w:rsidRDefault="00027F4D" w:rsidP="00BA4C0C">
      <w:pPr>
        <w:spacing w:after="0" w:line="240" w:lineRule="auto"/>
      </w:pPr>
      <w:r>
        <w:continuationSeparator/>
      </w:r>
    </w:p>
    <w:p w14:paraId="7A6C05C4" w14:textId="77777777" w:rsidR="00027F4D" w:rsidRDefault="00027F4D"/>
  </w:footnote>
  <w:footnote w:type="continuationNotice" w:id="1">
    <w:p w14:paraId="5A3638E5" w14:textId="77777777" w:rsidR="00027F4D" w:rsidRDefault="00027F4D">
      <w:pPr>
        <w:spacing w:after="0" w:line="240" w:lineRule="auto"/>
      </w:pPr>
    </w:p>
  </w:footnote>
  <w:footnote w:id="2">
    <w:p w14:paraId="6CD57E98" w14:textId="226484CD" w:rsidR="001F3661" w:rsidRDefault="001F3661">
      <w:pPr>
        <w:pStyle w:val="FootnoteText"/>
      </w:pPr>
      <w:r>
        <w:rPr>
          <w:rStyle w:val="FootnoteReference"/>
        </w:rPr>
        <w:footnoteRef/>
      </w:r>
      <w:r>
        <w:t xml:space="preserve"> APS stands for </w:t>
      </w:r>
      <w:r w:rsidRPr="004E08B3">
        <w:t>Alternative Energy Portfolio Standard</w:t>
      </w:r>
      <w:r>
        <w:t>.</w:t>
      </w:r>
    </w:p>
  </w:footnote>
  <w:footnote w:id="3">
    <w:p w14:paraId="0E62B07A" w14:textId="77777777" w:rsidR="00971DF3" w:rsidRDefault="00971DF3" w:rsidP="00E27125">
      <w:pPr>
        <w:pStyle w:val="FootnoteText"/>
      </w:pPr>
      <w:r>
        <w:rPr>
          <w:rStyle w:val="FootnoteReference"/>
        </w:rPr>
        <w:footnoteRef/>
      </w:r>
      <w:r>
        <w:t xml:space="preserve"> </w:t>
      </w:r>
      <w:r w:rsidRPr="00AA68A5">
        <w:t>Note that COMMBUYS is the official system of record for vendor contact information.</w:t>
      </w:r>
    </w:p>
  </w:footnote>
  <w:footnote w:id="4">
    <w:p w14:paraId="7B18ED24" w14:textId="77777777" w:rsidR="00971DF3" w:rsidRDefault="00971DF3" w:rsidP="00E27125">
      <w:pPr>
        <w:pStyle w:val="FootnoteText"/>
      </w:pPr>
      <w:r>
        <w:rPr>
          <w:rStyle w:val="FootnoteReference"/>
        </w:rPr>
        <w:footnoteRef/>
      </w:r>
      <w:r>
        <w:t xml:space="preserve"> </w:t>
      </w:r>
      <w:r w:rsidRPr="00AA68A5">
        <w:t>The Master Contract Record MBPO is the central repository for all common contract files. The price files may be found in the individual vendor’s MBPO.</w:t>
      </w:r>
    </w:p>
  </w:footnote>
  <w:footnote w:id="5">
    <w:p w14:paraId="064E8075" w14:textId="77777777" w:rsidR="00971DF3" w:rsidRDefault="00971DF3" w:rsidP="00E27125">
      <w:pPr>
        <w:pStyle w:val="FootnoteText"/>
      </w:pPr>
      <w:r>
        <w:rPr>
          <w:rStyle w:val="FootnoteReference"/>
        </w:rPr>
        <w:footnoteRef/>
      </w:r>
      <w:r>
        <w:t xml:space="preserve"> </w:t>
      </w:r>
      <w:r w:rsidRPr="00E507B9">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68174A3B" w:rsidR="00886F53" w:rsidRPr="00D02B79" w:rsidRDefault="2BD2769D" w:rsidP="2BD2769D">
    <w:pPr>
      <w:tabs>
        <w:tab w:val="left" w:pos="2880"/>
        <w:tab w:val="left" w:pos="10365"/>
      </w:tabs>
      <w:ind w:left="-720"/>
      <w:rPr>
        <w:sz w:val="32"/>
        <w:szCs w:val="32"/>
      </w:rPr>
    </w:pPr>
    <w:r>
      <w:rPr>
        <w:noProof/>
      </w:rPr>
      <w:drawing>
        <wp:inline distT="0" distB="0" distL="0" distR="0" wp14:anchorId="5B0AB1A8" wp14:editId="2CCF42C4">
          <wp:extent cx="2562893" cy="768096"/>
          <wp:effectExtent l="0" t="0" r="0" b="0"/>
          <wp:docPr id="86345440" name="Picture 86345440"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45440" name="Picture 86345440" descr="Operational Services Division Logo"/>
                  <pic:cNvPicPr/>
                </pic:nvPicPr>
                <pic:blipFill>
                  <a:blip r:embed="rId1">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r w:rsidR="00886F53">
      <w:rPr>
        <w:noProof/>
      </w:rPr>
      <mc:AlternateContent>
        <mc:Choice Requires="wps">
          <w:drawing>
            <wp:inline distT="0" distB="0" distL="0" distR="0" wp14:anchorId="6BE6E74D" wp14:editId="2EEE55B3">
              <wp:extent cx="4016415" cy="809388"/>
              <wp:effectExtent l="0" t="0" r="317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6415" cy="809388"/>
                      </a:xfrm>
                      <a:prstGeom prst="rect">
                        <a:avLst/>
                      </a:prstGeom>
                      <a:solidFill>
                        <a:srgbClr val="FFFFFF"/>
                      </a:solidFill>
                      <a:ln w="9525">
                        <a:noFill/>
                        <a:miter lim="800000"/>
                        <a:headEnd/>
                        <a:tailEnd/>
                      </a:ln>
                    </wps:spPr>
                    <wps:txbx>
                      <w:txbxContent>
                        <w:p w14:paraId="7E0367E2" w14:textId="60AA28AD" w:rsidR="00913691" w:rsidRPr="005D4B8A" w:rsidRDefault="0041022E" w:rsidP="00913691">
                          <w:pPr>
                            <w:ind w:right="-50"/>
                            <w:jc w:val="right"/>
                            <w:rPr>
                              <w:b/>
                              <w:sz w:val="48"/>
                            </w:rPr>
                          </w:pPr>
                          <w:r>
                            <w:rPr>
                              <w:b/>
                              <w:sz w:val="48"/>
                            </w:rPr>
                            <w:t>ENE52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6.25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" stroked="f">
              <v:textbox>
                <w:txbxContent>
                  <w:p w14:paraId="7E0367E2" w14:textId="60AA28AD" w:rsidR="00913691" w:rsidRPr="005D4B8A" w:rsidRDefault="0041022E" w:rsidP="00913691">
                    <w:pPr>
                      <w:ind w:right="-50"/>
                      <w:jc w:val="right"/>
                      <w:rPr>
                        <w:b/>
                        <w:sz w:val="48"/>
                      </w:rPr>
                    </w:pPr>
                    <w:r>
                      <w:rPr>
                        <w:b/>
                        <w:sz w:val="48"/>
                      </w:rPr>
                      <w:t>ENE52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D140401"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4A87CB79" w:rsidR="00DD35D3" w:rsidRDefault="00DD35D3" w:rsidP="00D02B79">
    <w:pPr>
      <w:pStyle w:val="Header"/>
      <w:ind w:left="-720"/>
      <w:rPr>
        <w:sz w:val="10"/>
        <w:szCs w:val="32"/>
      </w:rPr>
    </w:pPr>
    <w:r w:rsidRPr="00D02B79">
      <w:rPr>
        <w:sz w:val="10"/>
        <w:szCs w:val="32"/>
      </w:rPr>
      <w:t xml:space="preserve"> </w:t>
    </w:r>
    <w:r>
      <w:rPr>
        <w:noProof/>
      </w:rPr>
      <mc:AlternateContent>
        <mc:Choice Requires="wps">
          <w:drawing>
            <wp:inline distT="0" distB="0" distL="0" distR="0" wp14:anchorId="1597F477" wp14:editId="556A15B3">
              <wp:extent cx="4068501" cy="836816"/>
              <wp:effectExtent l="0" t="0" r="8255"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501" cy="836816"/>
                      </a:xfrm>
                      <a:prstGeom prst="rect">
                        <a:avLst/>
                      </a:prstGeom>
                      <a:solidFill>
                        <a:srgbClr val="FFFFFF"/>
                      </a:solidFill>
                      <a:ln w="9525">
                        <a:noFill/>
                        <a:miter lim="800000"/>
                        <a:headEnd/>
                        <a:tailEnd/>
                      </a:ln>
                    </wps:spPr>
                    <wps:txbx>
                      <w:txbxContent>
                        <w:p w14:paraId="06F7E207" w14:textId="2F0BD6CB" w:rsidR="00DD35D3" w:rsidRPr="005D4B8A" w:rsidRDefault="0041022E">
                          <w:pPr>
                            <w:ind w:right="-50"/>
                            <w:jc w:val="right"/>
                            <w:rPr>
                              <w:b/>
                              <w:sz w:val="48"/>
                            </w:rPr>
                          </w:pPr>
                          <w:r>
                            <w:rPr>
                              <w:b/>
                              <w:sz w:val="48"/>
                            </w:rPr>
                            <w:t>ENE52</w:t>
                          </w:r>
                          <w:r w:rsidR="00DD35D3" w:rsidRPr="00256FA6">
                            <w:rPr>
                              <w:b/>
                              <w:sz w:val="48"/>
                            </w:rPr>
                            <w:t xml:space="preserve">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20.35pt;height:6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" stroked="f">
              <v:textbox>
                <w:txbxContent>
                  <w:p w14:paraId="06F7E207" w14:textId="2F0BD6CB" w:rsidR="00DD35D3" w:rsidRPr="005D4B8A" w:rsidRDefault="0041022E">
                    <w:pPr>
                      <w:ind w:right="-50"/>
                      <w:jc w:val="right"/>
                      <w:rPr>
                        <w:b/>
                        <w:sz w:val="48"/>
                      </w:rPr>
                    </w:pPr>
                    <w:r>
                      <w:rPr>
                        <w:b/>
                        <w:sz w:val="48"/>
                      </w:rPr>
                      <w:t>ENE52</w:t>
                    </w:r>
                    <w:r w:rsidR="00DD35D3" w:rsidRPr="00256FA6">
                      <w:rPr>
                        <w:b/>
                        <w:sz w:val="48"/>
                      </w:rPr>
                      <w:t xml:space="preserve"> </w:t>
                    </w:r>
                    <w:r w:rsidR="00DD35D3">
                      <w:rPr>
                        <w:b/>
                        <w:sz w:val="48"/>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0F0F8F3"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43A6307"/>
    <w:multiLevelType w:val="hybridMultilevel"/>
    <w:tmpl w:val="79D0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B2728"/>
    <w:multiLevelType w:val="hybridMultilevel"/>
    <w:tmpl w:val="DE18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01F7A"/>
    <w:multiLevelType w:val="hybridMultilevel"/>
    <w:tmpl w:val="81D0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04AED"/>
    <w:multiLevelType w:val="hybridMultilevel"/>
    <w:tmpl w:val="43C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30872"/>
    <w:multiLevelType w:val="hybridMultilevel"/>
    <w:tmpl w:val="2C8665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6"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7E0696"/>
    <w:multiLevelType w:val="hybridMultilevel"/>
    <w:tmpl w:val="97CE5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5"/>
  </w:num>
  <w:num w:numId="2" w16cid:durableId="222839226">
    <w:abstractNumId w:val="0"/>
  </w:num>
  <w:num w:numId="3" w16cid:durableId="984166477">
    <w:abstractNumId w:val="7"/>
  </w:num>
  <w:num w:numId="4" w16cid:durableId="896821583">
    <w:abstractNumId w:val="16"/>
  </w:num>
  <w:num w:numId="5" w16cid:durableId="1254818405">
    <w:abstractNumId w:val="4"/>
  </w:num>
  <w:num w:numId="6" w16cid:durableId="1108283029">
    <w:abstractNumId w:val="6"/>
  </w:num>
  <w:num w:numId="7" w16cid:durableId="1586958684">
    <w:abstractNumId w:val="8"/>
  </w:num>
  <w:num w:numId="8" w16cid:durableId="517740112">
    <w:abstractNumId w:val="13"/>
  </w:num>
  <w:num w:numId="9" w16cid:durableId="55519776">
    <w:abstractNumId w:val="14"/>
  </w:num>
  <w:num w:numId="10" w16cid:durableId="9114506">
    <w:abstractNumId w:val="12"/>
  </w:num>
  <w:num w:numId="11" w16cid:durableId="1840392131">
    <w:abstractNumId w:val="3"/>
  </w:num>
  <w:num w:numId="12" w16cid:durableId="271716133">
    <w:abstractNumId w:val="10"/>
  </w:num>
  <w:num w:numId="13" w16cid:durableId="463155763">
    <w:abstractNumId w:val="11"/>
  </w:num>
  <w:num w:numId="14" w16cid:durableId="2101900260">
    <w:abstractNumId w:val="9"/>
  </w:num>
  <w:num w:numId="15" w16cid:durableId="1108741583">
    <w:abstractNumId w:val="17"/>
  </w:num>
  <w:num w:numId="16" w16cid:durableId="1113747399">
    <w:abstractNumId w:val="2"/>
  </w:num>
  <w:num w:numId="17" w16cid:durableId="1962419446">
    <w:abstractNumId w:val="5"/>
  </w:num>
  <w:num w:numId="18" w16cid:durableId="109440270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2"/>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7D0"/>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590"/>
    <w:rsid w:val="00027C5A"/>
    <w:rsid w:val="00027D5D"/>
    <w:rsid w:val="00027E5F"/>
    <w:rsid w:val="00027F4D"/>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074"/>
    <w:rsid w:val="000534C0"/>
    <w:rsid w:val="00053531"/>
    <w:rsid w:val="0005359A"/>
    <w:rsid w:val="00054340"/>
    <w:rsid w:val="0005508B"/>
    <w:rsid w:val="00055156"/>
    <w:rsid w:val="00055222"/>
    <w:rsid w:val="00055356"/>
    <w:rsid w:val="0005582A"/>
    <w:rsid w:val="0005642B"/>
    <w:rsid w:val="0005684F"/>
    <w:rsid w:val="0005780F"/>
    <w:rsid w:val="000578FC"/>
    <w:rsid w:val="00057CE6"/>
    <w:rsid w:val="0006042A"/>
    <w:rsid w:val="000606C7"/>
    <w:rsid w:val="00060815"/>
    <w:rsid w:val="000611C7"/>
    <w:rsid w:val="00061212"/>
    <w:rsid w:val="00062147"/>
    <w:rsid w:val="00062930"/>
    <w:rsid w:val="00062A4B"/>
    <w:rsid w:val="00062AE7"/>
    <w:rsid w:val="00062DDE"/>
    <w:rsid w:val="00062E38"/>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18E"/>
    <w:rsid w:val="000A7577"/>
    <w:rsid w:val="000A7626"/>
    <w:rsid w:val="000A76F0"/>
    <w:rsid w:val="000A7EC2"/>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0F7E4C"/>
    <w:rsid w:val="00100083"/>
    <w:rsid w:val="001003A9"/>
    <w:rsid w:val="001009D0"/>
    <w:rsid w:val="001013F1"/>
    <w:rsid w:val="00101487"/>
    <w:rsid w:val="001015DD"/>
    <w:rsid w:val="00101B86"/>
    <w:rsid w:val="00102025"/>
    <w:rsid w:val="0010203C"/>
    <w:rsid w:val="00102B24"/>
    <w:rsid w:val="00103706"/>
    <w:rsid w:val="00103D3D"/>
    <w:rsid w:val="0010402C"/>
    <w:rsid w:val="0010470D"/>
    <w:rsid w:val="00104817"/>
    <w:rsid w:val="00104B58"/>
    <w:rsid w:val="00104D69"/>
    <w:rsid w:val="00105069"/>
    <w:rsid w:val="0010521E"/>
    <w:rsid w:val="00105274"/>
    <w:rsid w:val="00105721"/>
    <w:rsid w:val="00105D07"/>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4518"/>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7BB3"/>
    <w:rsid w:val="00197FF2"/>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73C"/>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BF"/>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BD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661"/>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16E"/>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22E1"/>
    <w:rsid w:val="002725D9"/>
    <w:rsid w:val="00272A26"/>
    <w:rsid w:val="002733A5"/>
    <w:rsid w:val="002733D1"/>
    <w:rsid w:val="002739BC"/>
    <w:rsid w:val="00273A68"/>
    <w:rsid w:val="00275216"/>
    <w:rsid w:val="00275A74"/>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9118D"/>
    <w:rsid w:val="00291C94"/>
    <w:rsid w:val="00291EE1"/>
    <w:rsid w:val="00291F79"/>
    <w:rsid w:val="002920C3"/>
    <w:rsid w:val="002922C9"/>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3A"/>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18E"/>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4FB5"/>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C44"/>
    <w:rsid w:val="003515F0"/>
    <w:rsid w:val="00351C1A"/>
    <w:rsid w:val="0035246B"/>
    <w:rsid w:val="00352757"/>
    <w:rsid w:val="0035316A"/>
    <w:rsid w:val="003536A5"/>
    <w:rsid w:val="00353ABE"/>
    <w:rsid w:val="00353B2E"/>
    <w:rsid w:val="00353B74"/>
    <w:rsid w:val="00353C29"/>
    <w:rsid w:val="00353C4A"/>
    <w:rsid w:val="00353FE7"/>
    <w:rsid w:val="003541D2"/>
    <w:rsid w:val="00354CA8"/>
    <w:rsid w:val="003552F2"/>
    <w:rsid w:val="00356623"/>
    <w:rsid w:val="0035686C"/>
    <w:rsid w:val="0035697E"/>
    <w:rsid w:val="003569FD"/>
    <w:rsid w:val="00356B9E"/>
    <w:rsid w:val="00356BEB"/>
    <w:rsid w:val="00356FBF"/>
    <w:rsid w:val="00357158"/>
    <w:rsid w:val="00357D1E"/>
    <w:rsid w:val="00357F7A"/>
    <w:rsid w:val="00360811"/>
    <w:rsid w:val="00360AB6"/>
    <w:rsid w:val="003624C5"/>
    <w:rsid w:val="00362843"/>
    <w:rsid w:val="00362B9D"/>
    <w:rsid w:val="00362DFB"/>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D81"/>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5EC"/>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5F"/>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1ED"/>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22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3BE"/>
    <w:rsid w:val="00436AAA"/>
    <w:rsid w:val="004370DA"/>
    <w:rsid w:val="0043720D"/>
    <w:rsid w:val="00437654"/>
    <w:rsid w:val="0044056C"/>
    <w:rsid w:val="00440CA2"/>
    <w:rsid w:val="00440DBE"/>
    <w:rsid w:val="00441612"/>
    <w:rsid w:val="00441883"/>
    <w:rsid w:val="00441AE2"/>
    <w:rsid w:val="00441C35"/>
    <w:rsid w:val="00441CA5"/>
    <w:rsid w:val="00441D53"/>
    <w:rsid w:val="0044257F"/>
    <w:rsid w:val="00442AB3"/>
    <w:rsid w:val="00442B03"/>
    <w:rsid w:val="00442EFA"/>
    <w:rsid w:val="00442EFC"/>
    <w:rsid w:val="00442F68"/>
    <w:rsid w:val="00443224"/>
    <w:rsid w:val="004441DA"/>
    <w:rsid w:val="00444819"/>
    <w:rsid w:val="00444D12"/>
    <w:rsid w:val="004454C6"/>
    <w:rsid w:val="00445A39"/>
    <w:rsid w:val="00445B77"/>
    <w:rsid w:val="00445C84"/>
    <w:rsid w:val="004466B5"/>
    <w:rsid w:val="0044679D"/>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7C4"/>
    <w:rsid w:val="004B2994"/>
    <w:rsid w:val="004B2B07"/>
    <w:rsid w:val="004B3C56"/>
    <w:rsid w:val="004B4BAB"/>
    <w:rsid w:val="004B4E12"/>
    <w:rsid w:val="004B61F6"/>
    <w:rsid w:val="004B6292"/>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3EA0"/>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2D4F"/>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2D1"/>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2696"/>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A1"/>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6FE"/>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0825"/>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30F"/>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1C6"/>
    <w:rsid w:val="00620242"/>
    <w:rsid w:val="00620ECF"/>
    <w:rsid w:val="006219BA"/>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4A9"/>
    <w:rsid w:val="00625F3D"/>
    <w:rsid w:val="006268EB"/>
    <w:rsid w:val="00626FDA"/>
    <w:rsid w:val="00630650"/>
    <w:rsid w:val="0063093E"/>
    <w:rsid w:val="00630CB1"/>
    <w:rsid w:val="006310F6"/>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704"/>
    <w:rsid w:val="00646AC9"/>
    <w:rsid w:val="00646EF9"/>
    <w:rsid w:val="00647608"/>
    <w:rsid w:val="006477A3"/>
    <w:rsid w:val="00647A75"/>
    <w:rsid w:val="00647FEF"/>
    <w:rsid w:val="006506B2"/>
    <w:rsid w:val="00651112"/>
    <w:rsid w:val="006514CA"/>
    <w:rsid w:val="00651E56"/>
    <w:rsid w:val="006523FD"/>
    <w:rsid w:val="00652494"/>
    <w:rsid w:val="00652750"/>
    <w:rsid w:val="0065298B"/>
    <w:rsid w:val="00652A1E"/>
    <w:rsid w:val="00652A5E"/>
    <w:rsid w:val="00652EDE"/>
    <w:rsid w:val="0065311E"/>
    <w:rsid w:val="00653396"/>
    <w:rsid w:val="006533D9"/>
    <w:rsid w:val="00653585"/>
    <w:rsid w:val="0065362F"/>
    <w:rsid w:val="00653677"/>
    <w:rsid w:val="006541F2"/>
    <w:rsid w:val="00654736"/>
    <w:rsid w:val="00654805"/>
    <w:rsid w:val="00654B0F"/>
    <w:rsid w:val="006556A0"/>
    <w:rsid w:val="00655D1B"/>
    <w:rsid w:val="00655E85"/>
    <w:rsid w:val="006560EC"/>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24F3"/>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08F"/>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D8F"/>
    <w:rsid w:val="006F4EB3"/>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20"/>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185"/>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57D"/>
    <w:rsid w:val="00756CDF"/>
    <w:rsid w:val="00756D9B"/>
    <w:rsid w:val="0075729A"/>
    <w:rsid w:val="0075785E"/>
    <w:rsid w:val="007609D7"/>
    <w:rsid w:val="00760DC2"/>
    <w:rsid w:val="0076150F"/>
    <w:rsid w:val="00761812"/>
    <w:rsid w:val="00762005"/>
    <w:rsid w:val="00762492"/>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9C4"/>
    <w:rsid w:val="007A1AA5"/>
    <w:rsid w:val="007A264C"/>
    <w:rsid w:val="007A2B8A"/>
    <w:rsid w:val="007A2C0D"/>
    <w:rsid w:val="007A3393"/>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0FA0"/>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D7B59"/>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361A"/>
    <w:rsid w:val="007F46A1"/>
    <w:rsid w:val="007F4E97"/>
    <w:rsid w:val="007F5076"/>
    <w:rsid w:val="007F507C"/>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2B30"/>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7B4"/>
    <w:rsid w:val="00880E4C"/>
    <w:rsid w:val="00880EBE"/>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5D3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960"/>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5EF"/>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499"/>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582"/>
    <w:rsid w:val="009055E7"/>
    <w:rsid w:val="00905EF0"/>
    <w:rsid w:val="0090649E"/>
    <w:rsid w:val="0090786C"/>
    <w:rsid w:val="00910479"/>
    <w:rsid w:val="009108E0"/>
    <w:rsid w:val="00910916"/>
    <w:rsid w:val="00910B37"/>
    <w:rsid w:val="00910FD9"/>
    <w:rsid w:val="00911671"/>
    <w:rsid w:val="0091216D"/>
    <w:rsid w:val="00912266"/>
    <w:rsid w:val="009127EA"/>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04AA"/>
    <w:rsid w:val="0094112B"/>
    <w:rsid w:val="009412AE"/>
    <w:rsid w:val="009420A2"/>
    <w:rsid w:val="00943337"/>
    <w:rsid w:val="0094354C"/>
    <w:rsid w:val="009436BE"/>
    <w:rsid w:val="00943E7F"/>
    <w:rsid w:val="00944B4D"/>
    <w:rsid w:val="00944F65"/>
    <w:rsid w:val="0094508D"/>
    <w:rsid w:val="00945CFD"/>
    <w:rsid w:val="009460DE"/>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0DEE"/>
    <w:rsid w:val="009612EB"/>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DF3"/>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5CD7"/>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D6"/>
    <w:rsid w:val="009A1361"/>
    <w:rsid w:val="009A15AF"/>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7A7"/>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0E"/>
    <w:rsid w:val="009D2EFD"/>
    <w:rsid w:val="009D3B6F"/>
    <w:rsid w:val="009D400E"/>
    <w:rsid w:val="009D46F8"/>
    <w:rsid w:val="009D4A13"/>
    <w:rsid w:val="009D4EDC"/>
    <w:rsid w:val="009D523B"/>
    <w:rsid w:val="009D54D2"/>
    <w:rsid w:val="009D5BA6"/>
    <w:rsid w:val="009D6864"/>
    <w:rsid w:val="009D6A37"/>
    <w:rsid w:val="009E053B"/>
    <w:rsid w:val="009E0ECD"/>
    <w:rsid w:val="009E12A3"/>
    <w:rsid w:val="009E12DB"/>
    <w:rsid w:val="009E155C"/>
    <w:rsid w:val="009E1707"/>
    <w:rsid w:val="009E1828"/>
    <w:rsid w:val="009E1A15"/>
    <w:rsid w:val="009E1C59"/>
    <w:rsid w:val="009E23AC"/>
    <w:rsid w:val="009E2781"/>
    <w:rsid w:val="009E280D"/>
    <w:rsid w:val="009E28EA"/>
    <w:rsid w:val="009E2D17"/>
    <w:rsid w:val="009E31DC"/>
    <w:rsid w:val="009E3265"/>
    <w:rsid w:val="009E32F6"/>
    <w:rsid w:val="009E39BD"/>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676"/>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0B"/>
    <w:rsid w:val="00A2205C"/>
    <w:rsid w:val="00A22805"/>
    <w:rsid w:val="00A23358"/>
    <w:rsid w:val="00A23392"/>
    <w:rsid w:val="00A237B6"/>
    <w:rsid w:val="00A23D68"/>
    <w:rsid w:val="00A23FD5"/>
    <w:rsid w:val="00A24136"/>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1CEE"/>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5FC1"/>
    <w:rsid w:val="00A866DC"/>
    <w:rsid w:val="00A867A8"/>
    <w:rsid w:val="00A87130"/>
    <w:rsid w:val="00A876A9"/>
    <w:rsid w:val="00A87A58"/>
    <w:rsid w:val="00A9060E"/>
    <w:rsid w:val="00A907CD"/>
    <w:rsid w:val="00A91001"/>
    <w:rsid w:val="00A91056"/>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AF7"/>
    <w:rsid w:val="00A95D09"/>
    <w:rsid w:val="00A95F45"/>
    <w:rsid w:val="00A96457"/>
    <w:rsid w:val="00A96592"/>
    <w:rsid w:val="00A968F7"/>
    <w:rsid w:val="00A97043"/>
    <w:rsid w:val="00A9754D"/>
    <w:rsid w:val="00A979B2"/>
    <w:rsid w:val="00AA0475"/>
    <w:rsid w:val="00AA04BD"/>
    <w:rsid w:val="00AA04D2"/>
    <w:rsid w:val="00AA0559"/>
    <w:rsid w:val="00AA09F5"/>
    <w:rsid w:val="00AA0BBF"/>
    <w:rsid w:val="00AA0BC6"/>
    <w:rsid w:val="00AA0CEE"/>
    <w:rsid w:val="00AA179A"/>
    <w:rsid w:val="00AA17DC"/>
    <w:rsid w:val="00AA2117"/>
    <w:rsid w:val="00AA24F5"/>
    <w:rsid w:val="00AA3017"/>
    <w:rsid w:val="00AA327F"/>
    <w:rsid w:val="00AA35D6"/>
    <w:rsid w:val="00AA3642"/>
    <w:rsid w:val="00AA4D44"/>
    <w:rsid w:val="00AA5BF7"/>
    <w:rsid w:val="00AA6138"/>
    <w:rsid w:val="00AA6402"/>
    <w:rsid w:val="00AA7DE3"/>
    <w:rsid w:val="00AB0878"/>
    <w:rsid w:val="00AB0CF1"/>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7116"/>
    <w:rsid w:val="00AC75CF"/>
    <w:rsid w:val="00AC7695"/>
    <w:rsid w:val="00AC7F57"/>
    <w:rsid w:val="00AD02A0"/>
    <w:rsid w:val="00AD02B2"/>
    <w:rsid w:val="00AD03B1"/>
    <w:rsid w:val="00AD06A5"/>
    <w:rsid w:val="00AD0A7A"/>
    <w:rsid w:val="00AD0EA3"/>
    <w:rsid w:val="00AD10A0"/>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12"/>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24CC"/>
    <w:rsid w:val="00AF2A37"/>
    <w:rsid w:val="00AF332B"/>
    <w:rsid w:val="00AF3DB0"/>
    <w:rsid w:val="00AF41D1"/>
    <w:rsid w:val="00AF445B"/>
    <w:rsid w:val="00AF459F"/>
    <w:rsid w:val="00AF4745"/>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59B"/>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206D"/>
    <w:rsid w:val="00B720C8"/>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91D"/>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1A"/>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747"/>
    <w:rsid w:val="00BD7B75"/>
    <w:rsid w:val="00BE1378"/>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3C8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134"/>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A6"/>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1B91"/>
    <w:rsid w:val="00C622D5"/>
    <w:rsid w:val="00C62548"/>
    <w:rsid w:val="00C63CD1"/>
    <w:rsid w:val="00C63E0C"/>
    <w:rsid w:val="00C649AB"/>
    <w:rsid w:val="00C64FAF"/>
    <w:rsid w:val="00C653B3"/>
    <w:rsid w:val="00C6715F"/>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295"/>
    <w:rsid w:val="00C87449"/>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AFD"/>
    <w:rsid w:val="00CC6BEF"/>
    <w:rsid w:val="00CD00FD"/>
    <w:rsid w:val="00CD023C"/>
    <w:rsid w:val="00CD0547"/>
    <w:rsid w:val="00CD0682"/>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2FB5"/>
    <w:rsid w:val="00D233F3"/>
    <w:rsid w:val="00D2340D"/>
    <w:rsid w:val="00D234B2"/>
    <w:rsid w:val="00D235AD"/>
    <w:rsid w:val="00D2376E"/>
    <w:rsid w:val="00D24256"/>
    <w:rsid w:val="00D24B5F"/>
    <w:rsid w:val="00D24FD4"/>
    <w:rsid w:val="00D2576A"/>
    <w:rsid w:val="00D25D2C"/>
    <w:rsid w:val="00D26413"/>
    <w:rsid w:val="00D26A9B"/>
    <w:rsid w:val="00D26EF8"/>
    <w:rsid w:val="00D27FCC"/>
    <w:rsid w:val="00D3045F"/>
    <w:rsid w:val="00D30589"/>
    <w:rsid w:val="00D306A7"/>
    <w:rsid w:val="00D30D70"/>
    <w:rsid w:val="00D318C3"/>
    <w:rsid w:val="00D321FA"/>
    <w:rsid w:val="00D332F1"/>
    <w:rsid w:val="00D3369B"/>
    <w:rsid w:val="00D33BDB"/>
    <w:rsid w:val="00D3430F"/>
    <w:rsid w:val="00D346D1"/>
    <w:rsid w:val="00D347CD"/>
    <w:rsid w:val="00D3486F"/>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602B5"/>
    <w:rsid w:val="00D6084E"/>
    <w:rsid w:val="00D60A15"/>
    <w:rsid w:val="00D61651"/>
    <w:rsid w:val="00D618B6"/>
    <w:rsid w:val="00D61CD3"/>
    <w:rsid w:val="00D62685"/>
    <w:rsid w:val="00D62D0E"/>
    <w:rsid w:val="00D630A7"/>
    <w:rsid w:val="00D63489"/>
    <w:rsid w:val="00D63D33"/>
    <w:rsid w:val="00D640AC"/>
    <w:rsid w:val="00D64160"/>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14F9"/>
    <w:rsid w:val="00D720E6"/>
    <w:rsid w:val="00D7224A"/>
    <w:rsid w:val="00D72A2A"/>
    <w:rsid w:val="00D72AAA"/>
    <w:rsid w:val="00D72ACD"/>
    <w:rsid w:val="00D72CAA"/>
    <w:rsid w:val="00D72D7C"/>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A3"/>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3F5A"/>
    <w:rsid w:val="00DB4178"/>
    <w:rsid w:val="00DB5D77"/>
    <w:rsid w:val="00DB6094"/>
    <w:rsid w:val="00DB64C7"/>
    <w:rsid w:val="00DB65CC"/>
    <w:rsid w:val="00DB7558"/>
    <w:rsid w:val="00DB7BE1"/>
    <w:rsid w:val="00DB7FFE"/>
    <w:rsid w:val="00DC0042"/>
    <w:rsid w:val="00DC029D"/>
    <w:rsid w:val="00DC0DCF"/>
    <w:rsid w:val="00DC0E3B"/>
    <w:rsid w:val="00DC1A07"/>
    <w:rsid w:val="00DC1D0E"/>
    <w:rsid w:val="00DC2105"/>
    <w:rsid w:val="00DC2900"/>
    <w:rsid w:val="00DC2B56"/>
    <w:rsid w:val="00DC300A"/>
    <w:rsid w:val="00DC36F0"/>
    <w:rsid w:val="00DC3D3F"/>
    <w:rsid w:val="00DC4074"/>
    <w:rsid w:val="00DC4292"/>
    <w:rsid w:val="00DC450E"/>
    <w:rsid w:val="00DC47E6"/>
    <w:rsid w:val="00DC48F0"/>
    <w:rsid w:val="00DC5113"/>
    <w:rsid w:val="00DC5230"/>
    <w:rsid w:val="00DC56C0"/>
    <w:rsid w:val="00DC5830"/>
    <w:rsid w:val="00DC5CC1"/>
    <w:rsid w:val="00DC6078"/>
    <w:rsid w:val="00DC62D3"/>
    <w:rsid w:val="00DC6930"/>
    <w:rsid w:val="00DC71BD"/>
    <w:rsid w:val="00DC74D4"/>
    <w:rsid w:val="00DC7B5F"/>
    <w:rsid w:val="00DD0065"/>
    <w:rsid w:val="00DD0432"/>
    <w:rsid w:val="00DD1F81"/>
    <w:rsid w:val="00DD232F"/>
    <w:rsid w:val="00DD23A3"/>
    <w:rsid w:val="00DD24A4"/>
    <w:rsid w:val="00DD28DB"/>
    <w:rsid w:val="00DD2D97"/>
    <w:rsid w:val="00DD2DF9"/>
    <w:rsid w:val="00DD2FB1"/>
    <w:rsid w:val="00DD2FD3"/>
    <w:rsid w:val="00DD2FE9"/>
    <w:rsid w:val="00DD30E3"/>
    <w:rsid w:val="00DD3107"/>
    <w:rsid w:val="00DD3534"/>
    <w:rsid w:val="00DD35D3"/>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CBE"/>
    <w:rsid w:val="00DF5F40"/>
    <w:rsid w:val="00DF662D"/>
    <w:rsid w:val="00DF6A43"/>
    <w:rsid w:val="00DF719C"/>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3F4C"/>
    <w:rsid w:val="00E24156"/>
    <w:rsid w:val="00E24509"/>
    <w:rsid w:val="00E24DDE"/>
    <w:rsid w:val="00E251A2"/>
    <w:rsid w:val="00E2558E"/>
    <w:rsid w:val="00E25F49"/>
    <w:rsid w:val="00E262A1"/>
    <w:rsid w:val="00E262B2"/>
    <w:rsid w:val="00E2685F"/>
    <w:rsid w:val="00E26AEE"/>
    <w:rsid w:val="00E26E6E"/>
    <w:rsid w:val="00E270D0"/>
    <w:rsid w:val="00E27125"/>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7BA"/>
    <w:rsid w:val="00EB29AA"/>
    <w:rsid w:val="00EB3354"/>
    <w:rsid w:val="00EB3613"/>
    <w:rsid w:val="00EB3910"/>
    <w:rsid w:val="00EB396E"/>
    <w:rsid w:val="00EB3B46"/>
    <w:rsid w:val="00EB3D2D"/>
    <w:rsid w:val="00EB461D"/>
    <w:rsid w:val="00EB4D54"/>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0DC"/>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4B"/>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816"/>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7C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B7A"/>
    <w:rsid w:val="00F65ED5"/>
    <w:rsid w:val="00F6612A"/>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4D8"/>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3A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3A"/>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DB5"/>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657B23"/>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BD2769D"/>
    <w:rsid w:val="2C0F1796"/>
    <w:rsid w:val="2C32C152"/>
    <w:rsid w:val="2C46CF51"/>
    <w:rsid w:val="2C837899"/>
    <w:rsid w:val="2C9158C6"/>
    <w:rsid w:val="2DA1BF57"/>
    <w:rsid w:val="2DEA05BD"/>
    <w:rsid w:val="2DFFAC9A"/>
    <w:rsid w:val="2E7B5CE0"/>
    <w:rsid w:val="2E7C31C9"/>
    <w:rsid w:val="2ECF7505"/>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287C0A"/>
    <w:rsid w:val="36D3BC6C"/>
    <w:rsid w:val="3746FD72"/>
    <w:rsid w:val="37B39D51"/>
    <w:rsid w:val="37B7AB2F"/>
    <w:rsid w:val="37D9AB18"/>
    <w:rsid w:val="37E3E6A4"/>
    <w:rsid w:val="380429CB"/>
    <w:rsid w:val="38092712"/>
    <w:rsid w:val="383AF6BC"/>
    <w:rsid w:val="388A199C"/>
    <w:rsid w:val="3894F219"/>
    <w:rsid w:val="389DBADD"/>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5DE5CD1"/>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E720AE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45DD9B"/>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7E26E0"/>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0C9A943"/>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 w:val="7FBE4F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TableParagraph">
    <w:name w:val="Table Paragraph"/>
    <w:basedOn w:val="Normal"/>
    <w:uiPriority w:val="1"/>
    <w:qFormat/>
    <w:rsid w:val="00E27125"/>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225-cmr-16-alternative-energy-portfolio-standard-aps/download" TargetMode="External"/><Relationship Id="rId21" Type="http://schemas.openxmlformats.org/officeDocument/2006/relationships/hyperlink" Target="https://www.mass.gov/executive-orders/no-594-leading-by-example-decarbonizing-and-minimizing-environmental-impacts-of-state-government" TargetMode="External"/><Relationship Id="rId42" Type="http://schemas.openxmlformats.org/officeDocument/2006/relationships/hyperlink" Target="https://www.mass.gov/supplier-diversity-program-sdp?_gl=1*1dd4k06*_ga*NDExMTU1ODA0LjE3MzYzNDk5NDE.*_ga_MCLPEGW7WM*czE3NTY5MTE2ODkkbzM2OSRnMSR0MTc1NjkxMzk5MCRqNTckbDAkaDA." TargetMode="External"/><Relationship Id="rId47" Type="http://schemas.openxmlformats.org/officeDocument/2006/relationships/hyperlink" Target="https://www.macomptroller.org/wp-content/uploads/instructions_standard-contract-form.pdf" TargetMode="External"/><Relationship Id="rId63" Type="http://schemas.openxmlformats.org/officeDocument/2006/relationships/hyperlink" Target="mailto:Comptroller.Info@mass.gov" TargetMode="External"/><Relationship Id="rId68" Type="http://schemas.openxmlformats.org/officeDocument/2006/relationships/hyperlink" Target="mailto::kelly.minichello@mass.gov" TargetMode="External"/><Relationship Id="rId84" Type="http://schemas.openxmlformats.org/officeDocument/2006/relationships/hyperlink" Target="mailto:kellis@brocooil.com" TargetMode="External"/><Relationship Id="rId89" Type="http://schemas.openxmlformats.org/officeDocument/2006/relationships/hyperlink" Target="https://www.commbuys.com/bso/external/purchaseorder/poSummary.sdo?docId=PO-21-1080-OSD03-SRC02-23099&amp;releaseNbr=0&amp;external=true&amp;parentUrl=close" TargetMode="External"/><Relationship Id="rId16" Type="http://schemas.openxmlformats.org/officeDocument/2006/relationships/footer" Target="footer1.xml"/><Relationship Id="rId107" Type="http://schemas.openxmlformats.org/officeDocument/2006/relationships/theme" Target="theme/theme1.xml"/><Relationship Id="rId11" Type="http://schemas.openxmlformats.org/officeDocument/2006/relationships/image" Target="media/image1.png"/><Relationship Id="rId32" Type="http://schemas.openxmlformats.org/officeDocument/2006/relationships/hyperlink" Target="https://www.commbuys.com/bso/external/purchaseorder/poSummary.sdo?docId=PO-22-1080-OSD03-SRC01-23110&amp;releaseNbr=0&amp;external=true&amp;parentUrl=close" TargetMode="External"/><Relationship Id="rId37" Type="http://schemas.openxmlformats.org/officeDocument/2006/relationships/hyperlink" Target="mailto:OSDhelpdesk@mass.gov" TargetMode="External"/><Relationship Id="rId53" Type="http://schemas.openxmlformats.org/officeDocument/2006/relationships/hyperlink" Target="https://go.procurated.com/ma-statewide/" TargetMode="External"/><Relationship Id="rId58" Type="http://schemas.openxmlformats.org/officeDocument/2006/relationships/hyperlink" Target="https://www.mass.gov/doc/225-cmr-16-alternative-energy-portfolio-standard-aps/download" TargetMode="External"/><Relationship Id="rId74" Type="http://schemas.openxmlformats.org/officeDocument/2006/relationships/hyperlink" Target="https://www.commbuys.com/bso/external/purchaseorder/poSummary.sdo?docId=PO-21-1080-OSD03-SRC02-23102&amp;releaseNbr=0&amp;external=true&amp;parentUrl=close" TargetMode="External"/><Relationship Id="rId79" Type="http://schemas.openxmlformats.org/officeDocument/2006/relationships/hyperlink" Target="https://www.commbuys.com/bso/external/purchaseorder/poSummary.sdo?docId=PO-21-1080-OSD03-SRC02-23099&amp;releaseNbr=0&amp;external=true&amp;parentUrl=close" TargetMode="External"/><Relationship Id="rId102" Type="http://schemas.openxmlformats.org/officeDocument/2006/relationships/hyperlink" Target="mailto:wrenzi@petersonoil.com" TargetMode="External"/><Relationship Id="rId5" Type="http://schemas.openxmlformats.org/officeDocument/2006/relationships/numbering" Target="numbering.xml"/><Relationship Id="rId90" Type="http://schemas.openxmlformats.org/officeDocument/2006/relationships/hyperlink" Target="mailto:contractmgmt@spragueenergy.com" TargetMode="External"/><Relationship Id="rId95" Type="http://schemas.openxmlformats.org/officeDocument/2006/relationships/hyperlink" Target="https://www.commbuys.com/bso/external/purchaseorder/poSummary.sdo?docId=PO-21-1080-OSD03-SRC02-23101&amp;releaseNbr=0&amp;external=true&amp;parentUrl=close" TargetMode="External"/><Relationship Id="rId22" Type="http://schemas.openxmlformats.org/officeDocument/2006/relationships/hyperlink" Target="https://www.mass.gov/orgs/leading-by-example?_gl=1*1nvp3zj*_ga*NDExMTU1ODA0LjE3MzYzNDk5NDE.*_ga_MCLPEGW7WM*MTc0MzY4NzQ4OS4xMTMuMS4xNzQzNjg3ODU1LjAuMC4w" TargetMode="External"/><Relationship Id="rId27" Type="http://schemas.openxmlformats.org/officeDocument/2006/relationships/hyperlink" Target="https://www.commbuys.com/bso/external/purchaseorder/poSummary.sdo?docId=PO-22-1080-OSD03-SRC01-23109&amp;releaseNbr=0&amp;external=true&amp;parentUrl=close" TargetMode="External"/><Relationship Id="rId43" Type="http://schemas.openxmlformats.org/officeDocument/2006/relationships/hyperlink" Target="https://www.mass.gov/doc/statewide-contract-index" TargetMode="External"/><Relationship Id="rId48" Type="http://schemas.openxmlformats.org/officeDocument/2006/relationships/hyperlink" Target="mailto:michael.barry3@mass.gov" TargetMode="External"/><Relationship Id="rId64" Type="http://schemas.openxmlformats.org/officeDocument/2006/relationships/footer" Target="footer4.xml"/><Relationship Id="rId69" Type="http://schemas.openxmlformats.org/officeDocument/2006/relationships/hyperlink" Target="https://www.commbuys.com/bso/external/purchaseorder/poSummary.sdo?docId=PO-22-1080-OSD03-SRC01-23110&amp;releaseNbr=0&amp;external=true&amp;parentUrl=close" TargetMode="External"/><Relationship Id="rId80" Type="http://schemas.openxmlformats.org/officeDocument/2006/relationships/hyperlink" Target="https://www.commbuys.com/bso/external/purchaseorder/poSummary.sdo?docId=PO-21-1080-OSD03-SRC02-23099&amp;releaseNbr=0&amp;external=true&amp;parentUrl=close" TargetMode="External"/><Relationship Id="rId85" Type="http://schemas.openxmlformats.org/officeDocument/2006/relationships/hyperlink" Target="https://www.commbuys.com/bso/external/purchaseorder/poSummary.sdo?docId=PO-21-1080-OSD03-SRC02-23100&amp;releaseNbr=0&amp;external=true&amp;parentUrl=close" TargetMode="External"/><Relationship Id="rId12" Type="http://schemas.openxmlformats.org/officeDocument/2006/relationships/hyperlink" Target="mailto:kelly.minichello@mass.gov" TargetMode="External"/><Relationship Id="rId17" Type="http://schemas.openxmlformats.org/officeDocument/2006/relationships/header" Target="header2.xml"/><Relationship Id="rId33" Type="http://schemas.openxmlformats.org/officeDocument/2006/relationships/hyperlink" Target="https://www.mass.gov/doc/how-to-request-quotes-from-vendors-on-statewide-contracts/download" TargetMode="External"/><Relationship Id="rId38" Type="http://schemas.openxmlformats.org/officeDocument/2006/relationships/hyperlink" Target="http://www.commbuys.com/" TargetMode="External"/><Relationship Id="rId59" Type="http://schemas.openxmlformats.org/officeDocument/2006/relationships/hyperlink" Target="https://www.mass.gov/doc/225-cmr-16-alternative-energy-portfolio-standard-aps/download" TargetMode="External"/><Relationship Id="rId103" Type="http://schemas.openxmlformats.org/officeDocument/2006/relationships/hyperlink" Target="https://www.commbuys.com/bso/external/purchaseorder/poSummary.sdo?docId=PO-21-1080-OSD03-SRC02-23099&amp;releaseNbr=0&amp;external=true&amp;parentUrl=close" TargetMode="External"/><Relationship Id="rId20" Type="http://schemas.openxmlformats.org/officeDocument/2006/relationships/footer" Target="footer3.xml"/><Relationship Id="rId41"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4" Type="http://schemas.openxmlformats.org/officeDocument/2006/relationships/hyperlink" Target="mailto:michael.barry3@mass.gov" TargetMode="External"/><Relationship Id="rId62" Type="http://schemas.openxmlformats.org/officeDocument/2006/relationships/hyperlink" Target="https://www.mass.gov/handbook/environmentally-preferable-products-and-services-guide" TargetMode="External"/><Relationship Id="rId70" Type="http://schemas.openxmlformats.org/officeDocument/2006/relationships/hyperlink" Target="https://www.commbuys.com/bso/external/purchaseorder/poSummary.sdo?docId=PO-22-1080-OSD03-SRC01-23110&amp;releaseNbr=0&amp;external=true&amp;parentUrl=close" TargetMode="External"/><Relationship Id="rId75" Type="http://schemas.openxmlformats.org/officeDocument/2006/relationships/hyperlink" Target="mailto:bids@globalp.com" TargetMode="External"/><Relationship Id="rId83" Type="http://schemas.openxmlformats.org/officeDocument/2006/relationships/hyperlink" Target="https://www.commbuys.com/bso/external/purchaseorder/poSummary.sdo?docId=PO-21-1080-OSD03-SRC02-23098&amp;releaseNbr=0&amp;external=true&amp;parentUrl=close" TargetMode="External"/><Relationship Id="rId88" Type="http://schemas.openxmlformats.org/officeDocument/2006/relationships/hyperlink" Target="https://www.commbuys.com/bso/external/purchaseorder/poSummary.sdo?docId=PO-21-1080-OSD03-SRC02-23099&amp;releaseNbr=0&amp;external=true&amp;parentUrl=close" TargetMode="External"/><Relationship Id="rId91" Type="http://schemas.openxmlformats.org/officeDocument/2006/relationships/hyperlink" Target="https://www.commbuys.com/bso/external/purchaseorder/poSummary.sdo?docId=PO-21-1080-OSD03-SRC02-23098&amp;releaseNbr=0&amp;external=true&amp;parentUrl=close" TargetMode="External"/><Relationship Id="rId96" Type="http://schemas.openxmlformats.org/officeDocument/2006/relationships/hyperlink" Target="mailto:mel@eastriverenergy.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info-details/qualifying-eligible-liquid-biofuel-in-the-aps" TargetMode="External"/><Relationship Id="rId28" Type="http://schemas.openxmlformats.org/officeDocument/2006/relationships/hyperlink" Target="https://www.mass.gov/info-details/non-profit-purchasing-programs" TargetMode="External"/><Relationship Id="rId36" Type="http://schemas.openxmlformats.org/officeDocument/2006/relationships/hyperlink" Target="https://www.mass.gov/doc/qrg-how-to-record-a-contract-purchase-previously-made-rpa-release/download" TargetMode="External"/><Relationship Id="rId49" Type="http://schemas.openxmlformats.org/officeDocument/2006/relationships/hyperlink" Target="mailto:kelly.minichello@mass.gov" TargetMode="External"/><Relationship Id="rId57" Type="http://schemas.openxmlformats.org/officeDocument/2006/relationships/hyperlink" Target="mailto:kelly.minichello@mass.gov"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commbuys.com/bso/external/purchaseorder/poSummary.sdo?docId=PO-22-1080-OSD03-SRC01-23110&amp;releaseNbr=0&amp;external=true&amp;parentUrl=close" TargetMode="External"/><Relationship Id="rId44" Type="http://schemas.openxmlformats.org/officeDocument/2006/relationships/hyperlink" Target="https://www.mass.gov/doc/best-value-evaluation-of-sdp-plan-forms-a-guide-for-strategic-sourcing-teams/download" TargetMode="External"/><Relationship Id="rId52" Type="http://schemas.openxmlformats.org/officeDocument/2006/relationships/hyperlink" Target="https://www.mass.gov/doc/emergency-response-supplies-services-and-equipment-contact-information" TargetMode="External"/><Relationship Id="rId60" Type="http://schemas.openxmlformats.org/officeDocument/2006/relationships/hyperlink" Target="https://www.mass.gov/doc/225-cmr-16-alternative-energy-portfolio-standard-aps/download" TargetMode="External"/><Relationship Id="rId65" Type="http://schemas.openxmlformats.org/officeDocument/2006/relationships/hyperlink" Target="https://www.commbuys.com/bso/external/purchaseorder/poSummary.sdo?docId=PO-22-1080-OSD03-SRC01-23109&amp;releaseNbr=0&amp;external=true&amp;parentUrl=close" TargetMode="External"/><Relationship Id="rId73" Type="http://schemas.openxmlformats.org/officeDocument/2006/relationships/hyperlink" Target="https://www.commbuys.com/bso/external/purchaseorder/poSummary.sdo?docId=PO-21-1080-OSD03-SRC02-23102&amp;releaseNbr=0&amp;external=true&amp;parentUrl=close" TargetMode="External"/><Relationship Id="rId78" Type="http://schemas.openxmlformats.org/officeDocument/2006/relationships/hyperlink" Target="mailto:wrenzi@petersonoil.com" TargetMode="External"/><Relationship Id="rId81" Type="http://schemas.openxmlformats.org/officeDocument/2006/relationships/hyperlink" Target="mailto:contractmgmt@spragueenergy.com" TargetMode="External"/><Relationship Id="rId86" Type="http://schemas.openxmlformats.org/officeDocument/2006/relationships/hyperlink" Target="https://www.commbuys.com/bso/external/purchaseorder/poSummary.sdo?docId=PO-21-1080-OSD03-SRC02-23100&amp;releaseNbr=0&amp;external=true&amp;parentUrl=close" TargetMode="External"/><Relationship Id="rId94" Type="http://schemas.openxmlformats.org/officeDocument/2006/relationships/hyperlink" Target="https://www.commbuys.com/bso/external/purchaseorder/poSummary.sdo?docId=PO-21-1080-OSD03-SRC02-23101&amp;releaseNbr=0&amp;external=true&amp;parentUrl=close" TargetMode="External"/><Relationship Id="rId99" Type="http://schemas.openxmlformats.org/officeDocument/2006/relationships/hyperlink" Target="mailto:bids@globalp.com" TargetMode="External"/><Relationship Id="rId101" Type="http://schemas.openxmlformats.org/officeDocument/2006/relationships/hyperlink" Target="https://www.commbuys.com/bso/external/purchaseorder/poSummary.sdo?docId=PO-21-1080-OSD03-SRC02-23100&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ichael.barry3@mass.gov" TargetMode="External"/><Relationship Id="rId18" Type="http://schemas.openxmlformats.org/officeDocument/2006/relationships/footer" Target="footer2.xml"/><Relationship Id="rId39" Type="http://schemas.openxmlformats.org/officeDocument/2006/relationships/hyperlink" Target="https://www.commbuys.com/bso/external/purchaseorder/poSummary.sdo?docId=PO-22-1080-OSD03-SRC01-23109&amp;releaseNbr=0&amp;external=true&amp;parentUrl=close" TargetMode="External"/><Relationship Id="rId34" Type="http://schemas.openxmlformats.org/officeDocument/2006/relationships/hyperlink" Target="https://www.mass.gov/doc/how-to-make-a-statewide-contact-purchase-in-commbuys/download" TargetMode="External"/><Relationship Id="rId50" Type="http://schemas.openxmlformats.org/officeDocument/2006/relationships/hyperlink" Target="https://www.macomptroller.org/policies/" TargetMode="External"/><Relationship Id="rId55" Type="http://schemas.openxmlformats.org/officeDocument/2006/relationships/hyperlink" Target="mailto:kelly.minichello@mass.gov" TargetMode="External"/><Relationship Id="rId76" Type="http://schemas.openxmlformats.org/officeDocument/2006/relationships/hyperlink" Target="https://www.commbuys.com/bso/external/purchaseorder/poSummary.sdo?docId=PO-21-1080-OSD03-SRC02-23100&amp;releaseNbr=0&amp;external=true&amp;parentUrl=close" TargetMode="External"/><Relationship Id="rId97" Type="http://schemas.openxmlformats.org/officeDocument/2006/relationships/hyperlink" Target="https://www.commbuys.com/bso/external/purchaseorder/poSummary.sdo?docId=PO-21-1080-OSD03-SRC02-23102&amp;releaseNbr=0&amp;external=true&amp;parentUrl=close" TargetMode="External"/><Relationship Id="rId104" Type="http://schemas.openxmlformats.org/officeDocument/2006/relationships/hyperlink" Target="https://www.commbuys.com/bso/external/purchaseorder/poSummary.sdo?docId=PO-21-1080-OSD03-SRC02-23099&amp;releaseNbr=0&amp;external=true&amp;parentUrl=close" TargetMode="External"/><Relationship Id="rId7" Type="http://schemas.openxmlformats.org/officeDocument/2006/relationships/settings" Target="settings.xml"/><Relationship Id="rId71" Type="http://schemas.openxmlformats.org/officeDocument/2006/relationships/hyperlink" Target="mailto:michael.barry3@mass.gov" TargetMode="External"/><Relationship Id="rId92" Type="http://schemas.openxmlformats.org/officeDocument/2006/relationships/hyperlink" Target="https://www.commbuys.com/bso/external/purchaseorder/poSummary.sdo?docId=PO-21-1080-OSD03-SRC02-23098&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www.commbuys.com/" TargetMode="External"/><Relationship Id="rId24" Type="http://schemas.openxmlformats.org/officeDocument/2006/relationships/hyperlink" Target="https://www.mass.gov/doc/225-cmr-16-alternative-energy-portfolio-standard-aps/download" TargetMode="External"/><Relationship Id="rId40" Type="http://schemas.openxmlformats.org/officeDocument/2006/relationships/hyperlink" Target="https://www.mass.gov/orgs/supplier-diversity-office-sdo" TargetMode="External"/><Relationship Id="rId45" Type="http://schemas.openxmlformats.org/officeDocument/2006/relationships/hyperlink" Target="https://www.mass.gov/doc/best-value-evaluation-of-responses-to-small-procurements-a-guide-for-strategic-sourcing-teams/download" TargetMode="External"/><Relationship Id="rId66" Type="http://schemas.openxmlformats.org/officeDocument/2006/relationships/hyperlink" Target="https://www.commbuys.com/bso/external/purchaseorder/poSummary.sdo?docId=PO-22-1080-OSD03-SRC01-23109&amp;releaseNbr=0&amp;external=true&amp;parentUrl=close" TargetMode="External"/><Relationship Id="rId87" Type="http://schemas.openxmlformats.org/officeDocument/2006/relationships/hyperlink" Target="mailto:wrenzi@petersonoil.com" TargetMode="External"/><Relationship Id="rId61" Type="http://schemas.openxmlformats.org/officeDocument/2006/relationships/hyperlink" Target="https://www.mass.gov/environmentally-preferable-products-epp-procurement-program" TargetMode="External"/><Relationship Id="rId82" Type="http://schemas.openxmlformats.org/officeDocument/2006/relationships/hyperlink" Target="https://www.commbuys.com/bso/external/purchaseorder/poSummary.sdo?docId=PO-21-1080-OSD03-SRC02-23098&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https://www.commbuys.com/bso/external/purchaseorder/poSummary.sdo?docId=PO-25-1080-OSD03-SRC3-36558&amp;releaseNbr=0&amp;external=true&amp;parentUrl=close" TargetMode="External"/><Relationship Id="rId35" Type="http://schemas.openxmlformats.org/officeDocument/2006/relationships/hyperlink" Target="https://www.mass.gov/doc/how-to-make-a-statewide-contact-purchase-in-commbuys/download" TargetMode="External"/><Relationship Id="rId56" Type="http://schemas.openxmlformats.org/officeDocument/2006/relationships/hyperlink" Target="mailto:michael.barry3@mass.gov" TargetMode="External"/><Relationship Id="rId77" Type="http://schemas.openxmlformats.org/officeDocument/2006/relationships/hyperlink" Target="https://www.commbuys.com/bso/external/purchaseorder/poSummary.sdo?docId=PO-21-1080-OSD03-SRC02-23100&amp;releaseNbr=0&amp;external=true&amp;parentUrl=close" TargetMode="External"/><Relationship Id="rId100" Type="http://schemas.openxmlformats.org/officeDocument/2006/relationships/hyperlink" Target="https://www.commbuys.com/bso/external/purchaseorder/poSummary.sdo?docId=PO-21-1080-OSD03-SRC02-23100&amp;releaseNbr=0&amp;external=true&amp;parentUrl=close" TargetMode="External"/><Relationship Id="rId105" Type="http://schemas.openxmlformats.org/officeDocument/2006/relationships/hyperlink" Target="mailto:contractmgmt@spragueenergy.com" TargetMode="External"/><Relationship Id="rId8" Type="http://schemas.openxmlformats.org/officeDocument/2006/relationships/webSettings" Target="webSettings.xml"/><Relationship Id="rId51"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72" Type="http://schemas.openxmlformats.org/officeDocument/2006/relationships/hyperlink" Target="mailto::kelly.minichello@mass.gov" TargetMode="External"/><Relationship Id="rId93" Type="http://schemas.openxmlformats.org/officeDocument/2006/relationships/hyperlink" Target="mailto:kellis@brocooil.com" TargetMode="External"/><Relationship Id="rId98" Type="http://schemas.openxmlformats.org/officeDocument/2006/relationships/hyperlink" Target="https://www.commbuys.com/bso/external/purchaseorder/poSummary.sdo?docId=PO-21-1080-OSD03-SRC02-23102&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www.mass.gov/doc/225-cmr-16-alternative-energy-portfolio-standard-aps/download" TargetMode="External"/><Relationship Id="rId46"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7" Type="http://schemas.openxmlformats.org/officeDocument/2006/relationships/hyperlink" Target="mailto:michael.barry3@mass.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42210-35FC-403D-BB2F-7E7710413A82}"/>
</file>

<file path=customXml/itemProps2.xml><?xml version="1.0" encoding="utf-8"?>
<ds:datastoreItem xmlns:ds="http://schemas.openxmlformats.org/officeDocument/2006/customXml" ds:itemID="{20DD85D6-0887-4118-8B8C-1267772729E8}">
  <ds:schemaRef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d6ee9f50-18ec-4818-97aa-2747471add99"/>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17</TotalTime>
  <Pages>26</Pages>
  <Words>7713</Words>
  <Characters>43965</Characters>
  <Application>Microsoft Office Word</Application>
  <DocSecurity>2</DocSecurity>
  <Lines>366</Lines>
  <Paragraphs>103</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51575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Aillon, Catherine (OSD)</cp:lastModifiedBy>
  <cp:revision>19</cp:revision>
  <cp:lastPrinted>2025-03-26T02:19:00Z</cp:lastPrinted>
  <dcterms:created xsi:type="dcterms:W3CDTF">2025-09-25T14:05:00Z</dcterms:created>
  <dcterms:modified xsi:type="dcterms:W3CDTF">2025-09-25T20:39:00Z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