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A81" w14:textId="5D4D256C" w:rsidR="0004760F" w:rsidRPr="0004760F" w:rsidRDefault="39BD78DA" w:rsidP="003C49F9">
      <w:pPr>
        <w:pStyle w:val="Title"/>
        <w:spacing w:after="360"/>
        <w:rPr>
          <w:sz w:val="16"/>
          <w:szCs w:val="16"/>
          <w:highlight w:val="yellow"/>
        </w:rPr>
      </w:pPr>
      <w:r>
        <w:rPr>
          <w:noProof/>
        </w:rPr>
        <w:drawing>
          <wp:inline distT="0" distB="0" distL="0" distR="0" wp14:anchorId="3D01ACAB" wp14:editId="3E2B2840">
            <wp:extent cx="2562893" cy="768096"/>
            <wp:effectExtent l="0" t="0" r="0" b="0"/>
            <wp:docPr id="371157963" name="Picture 371157963"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57963" name="Picture 371157963" descr="Operational Services Divi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1717ED78" w14:textId="36253142" w:rsidR="00680B92" w:rsidRPr="00CA6AF1" w:rsidRDefault="00680B92" w:rsidP="00680B92">
      <w:pPr>
        <w:pStyle w:val="Heading1"/>
        <w:jc w:val="center"/>
      </w:pPr>
      <w:bookmarkStart w:id="1" w:name="_Toc206762628"/>
      <w:bookmarkStart w:id="2" w:name="_Toc209710941"/>
      <w:r w:rsidRPr="00CA6AF1">
        <w:t>Contract User Guid</w:t>
      </w:r>
      <w:r>
        <w:t>e</w:t>
      </w:r>
      <w:r>
        <w:br/>
      </w:r>
      <w:bookmarkEnd w:id="1"/>
      <w:r w:rsidR="00A84AD7" w:rsidRPr="00A84AD7">
        <w:t>ENE55: Electricity Statewide Contract</w:t>
      </w:r>
      <w:bookmarkEnd w:id="2"/>
    </w:p>
    <w:p w14:paraId="531560BC" w14:textId="22529835" w:rsidR="00396D8C" w:rsidRPr="00396D8C" w:rsidRDefault="00803BD8" w:rsidP="001D70E5">
      <w:pPr>
        <w:pStyle w:val="Heading2"/>
      </w:pPr>
      <w:bookmarkStart w:id="3" w:name="_Toc209710942"/>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396D8C" w:rsidRPr="00136526" w14:paraId="045D591C" w14:textId="77777777" w:rsidTr="002C018C">
        <w:trPr>
          <w:cnfStyle w:val="100000000000" w:firstRow="1" w:lastRow="0" w:firstColumn="0" w:lastColumn="0" w:oddVBand="0" w:evenVBand="0" w:oddHBand="0" w:evenHBand="0" w:firstRowFirstColumn="0" w:firstRowLastColumn="0" w:lastRowFirstColumn="0" w:lastRowLastColumn="0"/>
          <w:trHeight w:val="139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5AFAFB4" w14:textId="77777777" w:rsidR="00396D8C" w:rsidRPr="003C49F9" w:rsidRDefault="00396D8C" w:rsidP="002C018C">
            <w:pPr>
              <w:tabs>
                <w:tab w:val="left" w:pos="9165"/>
              </w:tabs>
              <w:rPr>
                <w:sz w:val="24"/>
                <w:szCs w:val="24"/>
              </w:rPr>
            </w:pPr>
            <w:r w:rsidRPr="003C49F9">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D1AE6E8" w14:textId="77777777" w:rsidR="003C1927" w:rsidRPr="003C49F9" w:rsidRDefault="003C1927" w:rsidP="003C1927">
            <w:pPr>
              <w:tabs>
                <w:tab w:val="left" w:pos="9165"/>
              </w:tabs>
              <w:rPr>
                <w:color w:val="000000" w:themeColor="text1"/>
                <w:sz w:val="24"/>
                <w:szCs w:val="24"/>
              </w:rPr>
            </w:pPr>
            <w:hyperlink r:id="rId12" w:history="1">
              <w:r w:rsidRPr="003C49F9">
                <w:rPr>
                  <w:rStyle w:val="Hyperlink"/>
                  <w:b w:val="0"/>
                  <w:bCs w:val="0"/>
                  <w:sz w:val="24"/>
                  <w:szCs w:val="24"/>
                </w:rPr>
                <w:t>Kelly Minichello</w:t>
              </w:r>
            </w:hyperlink>
            <w:r w:rsidRPr="003C49F9">
              <w:rPr>
                <w:color w:val="000000" w:themeColor="text1"/>
                <w:sz w:val="24"/>
                <w:szCs w:val="24"/>
              </w:rPr>
              <w:t xml:space="preserve"> </w:t>
            </w:r>
          </w:p>
          <w:p w14:paraId="330DFE5E" w14:textId="3C193B42" w:rsidR="003C1927" w:rsidRPr="003C49F9" w:rsidRDefault="003C1927" w:rsidP="003C1927">
            <w:pPr>
              <w:tabs>
                <w:tab w:val="left" w:pos="9165"/>
              </w:tabs>
              <w:rPr>
                <w:b w:val="0"/>
                <w:bCs w:val="0"/>
                <w:sz w:val="24"/>
                <w:szCs w:val="24"/>
              </w:rPr>
            </w:pPr>
            <w:r w:rsidRPr="003C49F9">
              <w:rPr>
                <w:b w:val="0"/>
                <w:bCs w:val="0"/>
                <w:color w:val="000000" w:themeColor="text1"/>
                <w:sz w:val="24"/>
                <w:szCs w:val="24"/>
              </w:rPr>
              <w:t>351-667-9536</w:t>
            </w:r>
          </w:p>
          <w:p w14:paraId="5F9EE097" w14:textId="77777777" w:rsidR="003C1927" w:rsidRPr="003C49F9" w:rsidRDefault="003C1927" w:rsidP="002C018C">
            <w:pPr>
              <w:tabs>
                <w:tab w:val="left" w:pos="9165"/>
              </w:tabs>
              <w:rPr>
                <w:b w:val="0"/>
                <w:bCs w:val="0"/>
                <w:sz w:val="24"/>
                <w:szCs w:val="24"/>
              </w:rPr>
            </w:pPr>
          </w:p>
          <w:p w14:paraId="4FF46AA6" w14:textId="3AE433AA" w:rsidR="00396D8C" w:rsidRPr="003C49F9" w:rsidRDefault="00396D8C" w:rsidP="002C018C">
            <w:pPr>
              <w:tabs>
                <w:tab w:val="left" w:pos="9165"/>
              </w:tabs>
              <w:rPr>
                <w:color w:val="000000" w:themeColor="text1"/>
                <w:sz w:val="24"/>
                <w:szCs w:val="24"/>
              </w:rPr>
            </w:pPr>
            <w:hyperlink r:id="rId13" w:history="1">
              <w:r w:rsidRPr="003C49F9">
                <w:rPr>
                  <w:rStyle w:val="Hyperlink"/>
                  <w:b w:val="0"/>
                  <w:bCs w:val="0"/>
                  <w:sz w:val="24"/>
                  <w:szCs w:val="24"/>
                </w:rPr>
                <w:t>Michael Barry</w:t>
              </w:r>
            </w:hyperlink>
          </w:p>
          <w:p w14:paraId="2FEF24A3" w14:textId="41B593D3" w:rsidR="00396D8C" w:rsidRPr="003C49F9" w:rsidRDefault="00396D8C" w:rsidP="003C1927">
            <w:pPr>
              <w:tabs>
                <w:tab w:val="left" w:pos="9165"/>
              </w:tabs>
              <w:rPr>
                <w:color w:val="auto"/>
                <w:sz w:val="24"/>
                <w:szCs w:val="24"/>
              </w:rPr>
            </w:pPr>
            <w:r w:rsidRPr="003C49F9">
              <w:rPr>
                <w:b w:val="0"/>
                <w:bCs w:val="0"/>
                <w:color w:val="000000" w:themeColor="text1"/>
                <w:sz w:val="24"/>
                <w:szCs w:val="24"/>
              </w:rPr>
              <w:t>617-720-3182</w:t>
            </w:r>
          </w:p>
        </w:tc>
      </w:tr>
      <w:tr w:rsidR="00396D8C" w:rsidRPr="00136526" w14:paraId="2A1A678E" w14:textId="77777777" w:rsidTr="001D70E5">
        <w:trPr>
          <w:trHeight w:val="31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C303D20" w14:textId="77777777" w:rsidR="00396D8C" w:rsidRPr="003C49F9" w:rsidRDefault="00396D8C" w:rsidP="002C018C">
            <w:pPr>
              <w:tabs>
                <w:tab w:val="left" w:pos="9165"/>
              </w:tabs>
              <w:rPr>
                <w:sz w:val="24"/>
                <w:szCs w:val="24"/>
              </w:rPr>
            </w:pPr>
            <w:r w:rsidRPr="003C49F9">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31A59FB6" w14:textId="77777777" w:rsidR="00396D8C" w:rsidRPr="003C49F9" w:rsidRDefault="00396D8C" w:rsidP="002C018C">
            <w:pPr>
              <w:pStyle w:val="ListParagraph"/>
              <w:numPr>
                <w:ilvl w:val="0"/>
                <w:numId w:val="9"/>
              </w:numPr>
              <w:rPr>
                <w:rFonts w:cstheme="minorHAnsi"/>
                <w:b/>
                <w:bCs/>
                <w:sz w:val="24"/>
                <w:szCs w:val="24"/>
              </w:rPr>
            </w:pPr>
            <w:r w:rsidRPr="003C49F9">
              <w:rPr>
                <w:rFonts w:cstheme="minorHAnsi"/>
                <w:b/>
                <w:bCs/>
                <w:sz w:val="24"/>
                <w:szCs w:val="24"/>
              </w:rPr>
              <w:t xml:space="preserve">Current Contract Term: </w:t>
            </w:r>
            <w:r w:rsidRPr="003C49F9">
              <w:rPr>
                <w:rFonts w:cstheme="minorHAnsi"/>
                <w:sz w:val="24"/>
                <w:szCs w:val="24"/>
              </w:rPr>
              <w:t>September 01, 2024–August 31, 2027</w:t>
            </w:r>
          </w:p>
          <w:p w14:paraId="39ECCD9A" w14:textId="77777777" w:rsidR="00396D8C" w:rsidRPr="003C49F9" w:rsidRDefault="00396D8C" w:rsidP="002C018C">
            <w:pPr>
              <w:pStyle w:val="ListParagraph"/>
              <w:numPr>
                <w:ilvl w:val="0"/>
                <w:numId w:val="13"/>
              </w:numPr>
              <w:rPr>
                <w:rFonts w:cstheme="minorHAnsi"/>
                <w:sz w:val="24"/>
                <w:szCs w:val="24"/>
              </w:rPr>
            </w:pPr>
            <w:r w:rsidRPr="003C49F9">
              <w:rPr>
                <w:rFonts w:cstheme="minorHAnsi"/>
                <w:b/>
                <w:bCs/>
                <w:sz w:val="24"/>
                <w:szCs w:val="24"/>
              </w:rPr>
              <w:t>Maximum End Date, Either:</w:t>
            </w:r>
          </w:p>
          <w:p w14:paraId="4C986788" w14:textId="77777777" w:rsidR="00396D8C" w:rsidRPr="003C49F9" w:rsidRDefault="00396D8C" w:rsidP="002C018C">
            <w:pPr>
              <w:pStyle w:val="ListParagraph"/>
              <w:numPr>
                <w:ilvl w:val="0"/>
                <w:numId w:val="14"/>
              </w:numPr>
              <w:rPr>
                <w:rFonts w:cstheme="minorHAnsi"/>
                <w:sz w:val="24"/>
                <w:szCs w:val="24"/>
              </w:rPr>
            </w:pPr>
            <w:r w:rsidRPr="003C49F9">
              <w:rPr>
                <w:rFonts w:cstheme="minorHAnsi"/>
                <w:sz w:val="24"/>
                <w:szCs w:val="24"/>
              </w:rPr>
              <w:t>One (1) two-year extension to August 31, 2029</w:t>
            </w:r>
          </w:p>
          <w:p w14:paraId="0DC8BD67" w14:textId="77777777" w:rsidR="00396D8C" w:rsidRPr="003C49F9" w:rsidRDefault="00396D8C" w:rsidP="002C018C">
            <w:pPr>
              <w:pStyle w:val="ListParagraph"/>
              <w:numPr>
                <w:ilvl w:val="0"/>
                <w:numId w:val="14"/>
              </w:numPr>
              <w:rPr>
                <w:rFonts w:cstheme="minorHAnsi"/>
                <w:sz w:val="24"/>
                <w:szCs w:val="24"/>
              </w:rPr>
            </w:pPr>
            <w:r w:rsidRPr="003C49F9">
              <w:rPr>
                <w:rFonts w:cstheme="minorHAnsi"/>
                <w:sz w:val="24"/>
                <w:szCs w:val="24"/>
              </w:rPr>
              <w:t>Two (2) one-year extensions to August 31, 2029</w:t>
            </w:r>
          </w:p>
          <w:p w14:paraId="6916C898" w14:textId="77777777" w:rsidR="00396D8C" w:rsidRPr="003C49F9" w:rsidRDefault="00396D8C" w:rsidP="002C018C">
            <w:pPr>
              <w:pStyle w:val="ListParagraph"/>
              <w:numPr>
                <w:ilvl w:val="0"/>
                <w:numId w:val="9"/>
              </w:numPr>
              <w:rPr>
                <w:sz w:val="24"/>
                <w:szCs w:val="24"/>
              </w:rPr>
            </w:pPr>
            <w:hyperlink w:anchor="_Extend_Beyond_(Performance" w:history="1">
              <w:r w:rsidRPr="003C49F9">
                <w:rPr>
                  <w:rStyle w:val="Hyperlink"/>
                  <w:rFonts w:cstheme="minorHAnsi"/>
                  <w:b/>
                  <w:bCs/>
                  <w:sz w:val="24"/>
                  <w:szCs w:val="24"/>
                </w:rPr>
                <w:t>Extend Beyond Date:</w:t>
              </w:r>
            </w:hyperlink>
            <w:r w:rsidRPr="003C49F9">
              <w:rPr>
                <w:rFonts w:cstheme="minorHAnsi"/>
                <w:b/>
                <w:bCs/>
                <w:sz w:val="24"/>
                <w:szCs w:val="24"/>
              </w:rPr>
              <w:t xml:space="preserve"> </w:t>
            </w:r>
            <w:r w:rsidRPr="003C49F9">
              <w:rPr>
                <w:rFonts w:cstheme="minorHAnsi"/>
                <w:sz w:val="24"/>
                <w:szCs w:val="24"/>
              </w:rPr>
              <w:t xml:space="preserve">All agreements or services </w:t>
            </w:r>
            <w:proofErr w:type="gramStart"/>
            <w:r w:rsidRPr="003C49F9">
              <w:rPr>
                <w:rFonts w:cstheme="minorHAnsi"/>
                <w:sz w:val="24"/>
                <w:szCs w:val="24"/>
              </w:rPr>
              <w:t>entered into</w:t>
            </w:r>
            <w:proofErr w:type="gramEnd"/>
            <w:r w:rsidRPr="003C49F9">
              <w:rPr>
                <w:rFonts w:cstheme="minorHAnsi"/>
                <w:sz w:val="24"/>
                <w:szCs w:val="24"/>
              </w:rPr>
              <w:t xml:space="preserve"> during the duration of this contract must be terminated on or before the contract end date stated above.</w:t>
            </w:r>
          </w:p>
        </w:tc>
      </w:tr>
      <w:tr w:rsidR="00396D8C" w:rsidRPr="00136526" w14:paraId="2E456434" w14:textId="77777777" w:rsidTr="002C018C">
        <w:trPr>
          <w:trHeight w:val="117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5203817C" w14:textId="77777777" w:rsidR="00396D8C" w:rsidRPr="003C49F9" w:rsidRDefault="00396D8C" w:rsidP="002C018C">
            <w:pPr>
              <w:tabs>
                <w:tab w:val="left" w:pos="9165"/>
              </w:tabs>
              <w:rPr>
                <w:sz w:val="24"/>
                <w:szCs w:val="24"/>
              </w:rPr>
            </w:pPr>
            <w:r w:rsidRPr="003C49F9">
              <w:rPr>
                <w:sz w:val="24"/>
                <w:szCs w:val="24"/>
              </w:rPr>
              <w:t>Massachusetts Management Accounting and Reporting System (MMARS)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B8B5626" w14:textId="77777777" w:rsidR="00396D8C" w:rsidRPr="003C49F9" w:rsidRDefault="00396D8C" w:rsidP="002C018C">
            <w:pPr>
              <w:rPr>
                <w:rFonts w:cstheme="minorHAnsi"/>
                <w:b/>
                <w:bCs/>
                <w:sz w:val="24"/>
                <w:szCs w:val="24"/>
              </w:rPr>
            </w:pPr>
            <w:r w:rsidRPr="003C49F9">
              <w:rPr>
                <w:rFonts w:cstheme="minorHAnsi"/>
                <w:b/>
                <w:bCs/>
                <w:sz w:val="24"/>
                <w:szCs w:val="24"/>
              </w:rPr>
              <w:t>ENE55*</w:t>
            </w:r>
          </w:p>
          <w:p w14:paraId="5B74E36B" w14:textId="77777777" w:rsidR="00396D8C" w:rsidRPr="003C49F9" w:rsidRDefault="00396D8C" w:rsidP="002C018C">
            <w:pPr>
              <w:rPr>
                <w:rFonts w:cstheme="minorHAnsi"/>
                <w:b/>
                <w:bCs/>
                <w:sz w:val="24"/>
                <w:szCs w:val="24"/>
              </w:rPr>
            </w:pPr>
            <w:r w:rsidRPr="003C49F9">
              <w:rPr>
                <w:rFonts w:cstheme="minorHAnsi"/>
                <w:b/>
                <w:bCs/>
                <w:sz w:val="24"/>
                <w:szCs w:val="24"/>
              </w:rPr>
              <w:t>Note:</w:t>
            </w:r>
            <w:r w:rsidRPr="003C49F9">
              <w:rPr>
                <w:rFonts w:cstheme="minorHAnsi"/>
                <w:sz w:val="24"/>
                <w:szCs w:val="24"/>
              </w:rPr>
              <w:t xml:space="preserve"> *The asterisk is required when referencing the contract in the Massachusetts Management Accounting Reporting System (MMARS).</w:t>
            </w:r>
          </w:p>
        </w:tc>
      </w:tr>
      <w:tr w:rsidR="00396D8C" w:rsidRPr="00136526" w14:paraId="325C088B" w14:textId="77777777" w:rsidTr="002C018C">
        <w:trPr>
          <w:trHeight w:val="86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3721DAAF" w14:textId="77777777" w:rsidR="00396D8C" w:rsidRPr="003C49F9" w:rsidRDefault="00396D8C" w:rsidP="002C018C">
            <w:pPr>
              <w:tabs>
                <w:tab w:val="left" w:pos="9165"/>
              </w:tabs>
              <w:rPr>
                <w:sz w:val="24"/>
                <w:szCs w:val="24"/>
              </w:rPr>
            </w:pPr>
            <w:r w:rsidRPr="003C49F9">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28CF4378" w14:textId="77777777" w:rsidR="00396D8C" w:rsidRPr="003C49F9" w:rsidRDefault="00396D8C" w:rsidP="002C018C">
            <w:pPr>
              <w:rPr>
                <w:sz w:val="24"/>
                <w:szCs w:val="24"/>
                <w:highlight w:val="yellow"/>
              </w:rPr>
            </w:pPr>
            <w:r w:rsidRPr="003C49F9">
              <w:rPr>
                <w:sz w:val="24"/>
                <w:szCs w:val="24"/>
              </w:rPr>
              <w:t xml:space="preserve">Quotes are required for purchasing. Refer to the </w:t>
            </w:r>
            <w:hyperlink w:anchor="_Quote_Response_and" w:history="1">
              <w:r w:rsidRPr="003C49F9">
                <w:rPr>
                  <w:rStyle w:val="Hyperlink"/>
                  <w:sz w:val="24"/>
                  <w:szCs w:val="24"/>
                </w:rPr>
                <w:t>Quote Response and Requirements</w:t>
              </w:r>
            </w:hyperlink>
            <w:r w:rsidRPr="003C49F9">
              <w:rPr>
                <w:sz w:val="24"/>
                <w:szCs w:val="24"/>
              </w:rPr>
              <w:t xml:space="preserve"> section for guidelines.</w:t>
            </w:r>
          </w:p>
        </w:tc>
      </w:tr>
      <w:tr w:rsidR="00396D8C" w:rsidRPr="00136526" w14:paraId="7C63C0A4" w14:textId="77777777" w:rsidTr="002C018C">
        <w:trPr>
          <w:trHeight w:val="56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FC08DF2" w14:textId="77777777" w:rsidR="00396D8C" w:rsidRPr="003C49F9" w:rsidRDefault="00396D8C" w:rsidP="002C018C">
            <w:pPr>
              <w:tabs>
                <w:tab w:val="left" w:pos="9165"/>
              </w:tabs>
              <w:rPr>
                <w:sz w:val="24"/>
                <w:szCs w:val="24"/>
              </w:rPr>
            </w:pPr>
            <w:r w:rsidRPr="003C49F9">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124165" w14:textId="77777777" w:rsidR="00396D8C" w:rsidRPr="003C49F9" w:rsidRDefault="00396D8C" w:rsidP="002C018C">
            <w:pPr>
              <w:rPr>
                <w:sz w:val="24"/>
                <w:szCs w:val="24"/>
                <w:highlight w:val="yellow"/>
              </w:rPr>
            </w:pPr>
            <w:r w:rsidRPr="003C49F9">
              <w:rPr>
                <w:sz w:val="24"/>
                <w:szCs w:val="24"/>
              </w:rPr>
              <w:t xml:space="preserve">Refer to </w:t>
            </w:r>
            <w:hyperlink w:anchor="_Appendix_A:_Vendor" w:history="1">
              <w:r w:rsidRPr="003C49F9">
                <w:rPr>
                  <w:rStyle w:val="Hyperlink"/>
                  <w:sz w:val="24"/>
                  <w:szCs w:val="24"/>
                </w:rPr>
                <w:t>Vendor List and Information</w:t>
              </w:r>
            </w:hyperlink>
            <w:r w:rsidRPr="003C49F9">
              <w:rPr>
                <w:sz w:val="24"/>
                <w:szCs w:val="24"/>
              </w:rPr>
              <w:t xml:space="preserve"> for eligible vendors on this contract.</w:t>
            </w:r>
          </w:p>
        </w:tc>
      </w:tr>
      <w:tr w:rsidR="00396D8C" w:rsidRPr="00136526" w14:paraId="38C5051A" w14:textId="77777777" w:rsidTr="002C018C">
        <w:trPr>
          <w:trHeight w:val="69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9E24493" w14:textId="77777777" w:rsidR="00396D8C" w:rsidRPr="003C49F9" w:rsidRDefault="00396D8C" w:rsidP="002C018C">
            <w:pPr>
              <w:tabs>
                <w:tab w:val="left" w:pos="9165"/>
              </w:tabs>
              <w:rPr>
                <w:sz w:val="24"/>
                <w:szCs w:val="24"/>
              </w:rPr>
            </w:pPr>
            <w:r w:rsidRPr="003C49F9">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86D6B95" w14:textId="6F0682CC" w:rsidR="00396D8C" w:rsidRPr="003C49F9" w:rsidRDefault="00445943" w:rsidP="002C018C">
            <w:pPr>
              <w:rPr>
                <w:sz w:val="24"/>
                <w:szCs w:val="24"/>
                <w:highlight w:val="yellow"/>
              </w:rPr>
            </w:pPr>
            <w:r w:rsidRPr="003C49F9">
              <w:rPr>
                <w:sz w:val="24"/>
                <w:szCs w:val="24"/>
              </w:rPr>
              <w:t xml:space="preserve">09/03/2024: </w:t>
            </w:r>
            <w:r w:rsidR="00396D8C" w:rsidRPr="003C49F9">
              <w:rPr>
                <w:sz w:val="24"/>
                <w:szCs w:val="24"/>
              </w:rPr>
              <w:t>Added ISO New England Allowable Energy Surcharges Relating to Mystic River Generating.</w:t>
            </w:r>
          </w:p>
        </w:tc>
      </w:tr>
    </w:tbl>
    <w:p w14:paraId="64C74E1D" w14:textId="55A5FE26" w:rsidR="001D70E5" w:rsidRPr="001D70E5" w:rsidRDefault="001D70E5" w:rsidP="001D70E5">
      <w:pPr>
        <w:tabs>
          <w:tab w:val="left" w:pos="9165"/>
        </w:tabs>
        <w:spacing w:after="0"/>
        <w:ind w:left="360"/>
        <w:jc w:val="center"/>
        <w:rPr>
          <w:rStyle w:val="PageNumber"/>
          <w:sz w:val="24"/>
          <w:szCs w:val="24"/>
        </w:rPr>
      </w:pPr>
      <w:r w:rsidRPr="001D70E5">
        <w:rPr>
          <w:rStyle w:val="PageNumber"/>
          <w:b/>
          <w:bCs/>
          <w:sz w:val="24"/>
          <w:szCs w:val="24"/>
        </w:rPr>
        <w:t>Note:</w:t>
      </w:r>
      <w:r w:rsidRPr="001D70E5">
        <w:rPr>
          <w:rStyle w:val="PageNumber"/>
          <w:sz w:val="24"/>
          <w:szCs w:val="24"/>
        </w:rPr>
        <w:t xml:space="preserve"> Contract User Guides are updated regularly. Print copies should be compared against the current version posted on </w:t>
      </w:r>
      <w:r w:rsidRPr="001D70E5">
        <w:rPr>
          <w:sz w:val="24"/>
          <w:szCs w:val="24"/>
        </w:rPr>
        <w:t>mass.gov/</w:t>
      </w:r>
      <w:proofErr w:type="spellStart"/>
      <w:r w:rsidRPr="001D70E5">
        <w:rPr>
          <w:sz w:val="24"/>
          <w:szCs w:val="24"/>
        </w:rPr>
        <w:t>osd</w:t>
      </w:r>
      <w:proofErr w:type="spellEnd"/>
      <w:r w:rsidRPr="001D70E5">
        <w:rPr>
          <w:rStyle w:val="PageNumber"/>
          <w:sz w:val="24"/>
          <w:szCs w:val="24"/>
        </w:rPr>
        <w:t>.</w:t>
      </w:r>
    </w:p>
    <w:p w14:paraId="4D0CA958" w14:textId="062BDCC3" w:rsidR="001D70E5" w:rsidRPr="001D70E5" w:rsidRDefault="001D70E5" w:rsidP="001D70E5">
      <w:pPr>
        <w:pStyle w:val="Footer"/>
        <w:rPr>
          <w:rStyle w:val="PageNumber"/>
          <w:sz w:val="24"/>
          <w:szCs w:val="24"/>
        </w:rPr>
      </w:pPr>
      <w:r w:rsidRPr="001D70E5">
        <w:rPr>
          <w:rStyle w:val="PageNumber"/>
          <w:sz w:val="24"/>
          <w:szCs w:val="24"/>
        </w:rPr>
        <w:tab/>
        <w:t>Template Version: 9.0</w:t>
      </w:r>
      <w:r w:rsidRPr="001D70E5">
        <w:rPr>
          <w:rStyle w:val="PageNumber"/>
          <w:sz w:val="24"/>
          <w:szCs w:val="24"/>
        </w:rPr>
        <w:tab/>
        <w:t xml:space="preserve">Page </w:t>
      </w:r>
      <w:r w:rsidRPr="001D70E5">
        <w:rPr>
          <w:rStyle w:val="PageNumber"/>
          <w:sz w:val="24"/>
          <w:szCs w:val="24"/>
        </w:rPr>
        <w:fldChar w:fldCharType="begin"/>
      </w:r>
      <w:r w:rsidRPr="001D70E5">
        <w:rPr>
          <w:rStyle w:val="PageNumber"/>
          <w:sz w:val="24"/>
          <w:szCs w:val="24"/>
        </w:rPr>
        <w:instrText xml:space="preserve"> PAGE </w:instrText>
      </w:r>
      <w:r w:rsidRPr="001D70E5">
        <w:rPr>
          <w:rStyle w:val="PageNumber"/>
          <w:sz w:val="24"/>
          <w:szCs w:val="24"/>
        </w:rPr>
        <w:fldChar w:fldCharType="separate"/>
      </w:r>
      <w:r w:rsidR="009E1E6B">
        <w:rPr>
          <w:rStyle w:val="PageNumber"/>
          <w:noProof/>
          <w:sz w:val="24"/>
          <w:szCs w:val="24"/>
        </w:rPr>
        <w:t>1</w:t>
      </w:r>
      <w:r w:rsidRPr="001D70E5">
        <w:rPr>
          <w:rStyle w:val="PageNumber"/>
          <w:sz w:val="24"/>
          <w:szCs w:val="24"/>
        </w:rPr>
        <w:fldChar w:fldCharType="end"/>
      </w:r>
      <w:r w:rsidRPr="001D70E5">
        <w:rPr>
          <w:rStyle w:val="PageNumber"/>
          <w:sz w:val="24"/>
          <w:szCs w:val="24"/>
        </w:rPr>
        <w:t xml:space="preserve"> of </w:t>
      </w:r>
      <w:r w:rsidRPr="001D70E5">
        <w:rPr>
          <w:rStyle w:val="PageNumber"/>
          <w:sz w:val="24"/>
          <w:szCs w:val="24"/>
        </w:rPr>
        <w:fldChar w:fldCharType="begin"/>
      </w:r>
      <w:r w:rsidRPr="001D70E5">
        <w:rPr>
          <w:rStyle w:val="PageNumber"/>
          <w:sz w:val="24"/>
          <w:szCs w:val="24"/>
        </w:rPr>
        <w:instrText xml:space="preserve"> NUMPAGES </w:instrText>
      </w:r>
      <w:r w:rsidRPr="001D70E5">
        <w:rPr>
          <w:rStyle w:val="PageNumber"/>
          <w:sz w:val="24"/>
          <w:szCs w:val="24"/>
        </w:rPr>
        <w:fldChar w:fldCharType="separate"/>
      </w:r>
      <w:r w:rsidR="009E1E6B">
        <w:rPr>
          <w:rStyle w:val="PageNumber"/>
          <w:noProof/>
          <w:sz w:val="24"/>
          <w:szCs w:val="24"/>
        </w:rPr>
        <w:t>14</w:t>
      </w:r>
      <w:r w:rsidRPr="001D70E5">
        <w:rPr>
          <w:rStyle w:val="PageNumber"/>
          <w:sz w:val="24"/>
          <w:szCs w:val="24"/>
        </w:rPr>
        <w:fldChar w:fldCharType="end"/>
      </w:r>
    </w:p>
    <w:p w14:paraId="79C963A4" w14:textId="77777777" w:rsidR="001D70E5" w:rsidRPr="001D70E5" w:rsidRDefault="001D70E5" w:rsidP="001D70E5">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1D70E5">
        <w:rPr>
          <w:b/>
          <w:bCs/>
          <w:color w:val="2E368F"/>
          <w:sz w:val="24"/>
          <w:szCs w:val="24"/>
        </w:rPr>
        <w:t>One Ashburton Place, Room 1608 Boston, MA, 02108-1552</w:t>
      </w:r>
    </w:p>
    <w:p w14:paraId="4FB69B43" w14:textId="77777777" w:rsidR="00396D8C" w:rsidRPr="00396D8C" w:rsidRDefault="001D70E5" w:rsidP="0004760F">
      <w:pPr>
        <w:jc w:val="center"/>
      </w:pPr>
      <w:r w:rsidRPr="001D70E5">
        <w:rPr>
          <w:color w:val="2E368F"/>
          <w:sz w:val="24"/>
          <w:szCs w:val="24"/>
        </w:rPr>
        <w:t xml:space="preserve">Telephone: 617-720-3300 | </w:t>
      </w:r>
      <w:hyperlink r:id="rId14">
        <w:r w:rsidRPr="001D70E5">
          <w:rPr>
            <w:color w:val="2E368F"/>
            <w:sz w:val="24"/>
            <w:szCs w:val="24"/>
          </w:rPr>
          <w:t>mass.gov/</w:t>
        </w:r>
        <w:proofErr w:type="spellStart"/>
        <w:r w:rsidRPr="001D70E5">
          <w:rPr>
            <w:color w:val="2E368F"/>
            <w:sz w:val="24"/>
            <w:szCs w:val="24"/>
          </w:rPr>
          <w:t>osd</w:t>
        </w:r>
        <w:proofErr w:type="spellEnd"/>
      </w:hyperlink>
    </w:p>
    <w:p w14:paraId="31D31A2F" w14:textId="77777777" w:rsidR="00920E80" w:rsidRPr="0025040D" w:rsidRDefault="00920E80" w:rsidP="006E4CCA">
      <w:pPr>
        <w:tabs>
          <w:tab w:val="left" w:pos="9165"/>
        </w:tabs>
        <w:spacing w:after="0"/>
        <w:ind w:left="360"/>
        <w:jc w:val="center"/>
        <w:rPr>
          <w:rStyle w:val="PageNumber"/>
          <w:b/>
          <w:bCs/>
          <w:sz w:val="10"/>
          <w:szCs w:val="10"/>
        </w:rPr>
      </w:pP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785A803A" w14:textId="5A2158E4" w:rsidR="009E1E6B" w:rsidRDefault="00817814">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710941" w:history="1">
            <w:r w:rsidR="009E1E6B" w:rsidRPr="00272E43">
              <w:rPr>
                <w:rStyle w:val="Hyperlink"/>
              </w:rPr>
              <w:t>Contract User Guide ENE55: Electricity Statewide Contract</w:t>
            </w:r>
            <w:r w:rsidR="009E1E6B">
              <w:rPr>
                <w:webHidden/>
              </w:rPr>
              <w:tab/>
            </w:r>
            <w:r w:rsidR="009E1E6B">
              <w:rPr>
                <w:webHidden/>
              </w:rPr>
              <w:fldChar w:fldCharType="begin"/>
            </w:r>
            <w:r w:rsidR="009E1E6B">
              <w:rPr>
                <w:webHidden/>
              </w:rPr>
              <w:instrText xml:space="preserve"> PAGEREF _Toc209710941 \h </w:instrText>
            </w:r>
            <w:r w:rsidR="009E1E6B">
              <w:rPr>
                <w:webHidden/>
              </w:rPr>
            </w:r>
            <w:r w:rsidR="009E1E6B">
              <w:rPr>
                <w:webHidden/>
              </w:rPr>
              <w:fldChar w:fldCharType="separate"/>
            </w:r>
            <w:r w:rsidR="009E1E6B">
              <w:rPr>
                <w:webHidden/>
              </w:rPr>
              <w:t>1</w:t>
            </w:r>
            <w:r w:rsidR="009E1E6B">
              <w:rPr>
                <w:webHidden/>
              </w:rPr>
              <w:fldChar w:fldCharType="end"/>
            </w:r>
          </w:hyperlink>
        </w:p>
        <w:p w14:paraId="42F62522" w14:textId="7FCAFFDC" w:rsidR="009E1E6B" w:rsidRDefault="009E1E6B">
          <w:pPr>
            <w:pStyle w:val="TOC2"/>
            <w:tabs>
              <w:tab w:val="right" w:leader="dot" w:pos="4598"/>
            </w:tabs>
            <w:rPr>
              <w:rFonts w:cstheme="minorBidi"/>
              <w:noProof/>
              <w:kern w:val="2"/>
              <w:sz w:val="24"/>
              <w:szCs w:val="24"/>
              <w14:ligatures w14:val="standardContextual"/>
            </w:rPr>
          </w:pPr>
          <w:hyperlink w:anchor="_Toc209710942" w:history="1">
            <w:r w:rsidRPr="00272E43">
              <w:rPr>
                <w:rStyle w:val="Hyperlink"/>
                <w:noProof/>
              </w:rPr>
              <w:t>Contract Overview</w:t>
            </w:r>
            <w:r>
              <w:rPr>
                <w:noProof/>
                <w:webHidden/>
              </w:rPr>
              <w:tab/>
            </w:r>
            <w:r>
              <w:rPr>
                <w:noProof/>
                <w:webHidden/>
              </w:rPr>
              <w:fldChar w:fldCharType="begin"/>
            </w:r>
            <w:r>
              <w:rPr>
                <w:noProof/>
                <w:webHidden/>
              </w:rPr>
              <w:instrText xml:space="preserve"> PAGEREF _Toc209710942 \h </w:instrText>
            </w:r>
            <w:r>
              <w:rPr>
                <w:noProof/>
                <w:webHidden/>
              </w:rPr>
            </w:r>
            <w:r>
              <w:rPr>
                <w:noProof/>
                <w:webHidden/>
              </w:rPr>
              <w:fldChar w:fldCharType="separate"/>
            </w:r>
            <w:r>
              <w:rPr>
                <w:noProof/>
                <w:webHidden/>
              </w:rPr>
              <w:t>1</w:t>
            </w:r>
            <w:r>
              <w:rPr>
                <w:noProof/>
                <w:webHidden/>
              </w:rPr>
              <w:fldChar w:fldCharType="end"/>
            </w:r>
          </w:hyperlink>
        </w:p>
        <w:p w14:paraId="77FB7120" w14:textId="418ABFC5" w:rsidR="009E1E6B" w:rsidRDefault="009E1E6B">
          <w:pPr>
            <w:pStyle w:val="TOC2"/>
            <w:tabs>
              <w:tab w:val="right" w:leader="dot" w:pos="4598"/>
            </w:tabs>
            <w:rPr>
              <w:rFonts w:cstheme="minorBidi"/>
              <w:noProof/>
              <w:kern w:val="2"/>
              <w:sz w:val="24"/>
              <w:szCs w:val="24"/>
              <w14:ligatures w14:val="standardContextual"/>
            </w:rPr>
          </w:pPr>
          <w:hyperlink w:anchor="_Toc209710943" w:history="1">
            <w:r w:rsidRPr="00272E43">
              <w:rPr>
                <w:rStyle w:val="Hyperlink"/>
                <w:noProof/>
              </w:rPr>
              <w:t>Contract Summary</w:t>
            </w:r>
            <w:r>
              <w:rPr>
                <w:noProof/>
                <w:webHidden/>
              </w:rPr>
              <w:tab/>
            </w:r>
            <w:r>
              <w:rPr>
                <w:noProof/>
                <w:webHidden/>
              </w:rPr>
              <w:fldChar w:fldCharType="begin"/>
            </w:r>
            <w:r>
              <w:rPr>
                <w:noProof/>
                <w:webHidden/>
              </w:rPr>
              <w:instrText xml:space="preserve"> PAGEREF _Toc209710943 \h </w:instrText>
            </w:r>
            <w:r>
              <w:rPr>
                <w:noProof/>
                <w:webHidden/>
              </w:rPr>
            </w:r>
            <w:r>
              <w:rPr>
                <w:noProof/>
                <w:webHidden/>
              </w:rPr>
              <w:fldChar w:fldCharType="separate"/>
            </w:r>
            <w:r>
              <w:rPr>
                <w:noProof/>
                <w:webHidden/>
              </w:rPr>
              <w:t>3</w:t>
            </w:r>
            <w:r>
              <w:rPr>
                <w:noProof/>
                <w:webHidden/>
              </w:rPr>
              <w:fldChar w:fldCharType="end"/>
            </w:r>
          </w:hyperlink>
        </w:p>
        <w:p w14:paraId="042FC86C" w14:textId="2B2EAEB4" w:rsidR="009E1E6B" w:rsidRDefault="009E1E6B">
          <w:pPr>
            <w:pStyle w:val="TOC2"/>
            <w:tabs>
              <w:tab w:val="right" w:leader="dot" w:pos="4598"/>
            </w:tabs>
            <w:rPr>
              <w:rFonts w:cstheme="minorBidi"/>
              <w:noProof/>
              <w:kern w:val="2"/>
              <w:sz w:val="24"/>
              <w:szCs w:val="24"/>
              <w14:ligatures w14:val="standardContextual"/>
            </w:rPr>
          </w:pPr>
          <w:hyperlink w:anchor="_Toc209710944" w:history="1">
            <w:r w:rsidRPr="00272E43">
              <w:rPr>
                <w:rStyle w:val="Hyperlink"/>
                <w:noProof/>
              </w:rPr>
              <w:t>Benefits and Cost Savings</w:t>
            </w:r>
            <w:r>
              <w:rPr>
                <w:noProof/>
                <w:webHidden/>
              </w:rPr>
              <w:tab/>
            </w:r>
            <w:r>
              <w:rPr>
                <w:noProof/>
                <w:webHidden/>
              </w:rPr>
              <w:fldChar w:fldCharType="begin"/>
            </w:r>
            <w:r>
              <w:rPr>
                <w:noProof/>
                <w:webHidden/>
              </w:rPr>
              <w:instrText xml:space="preserve"> PAGEREF _Toc209710944 \h </w:instrText>
            </w:r>
            <w:r>
              <w:rPr>
                <w:noProof/>
                <w:webHidden/>
              </w:rPr>
            </w:r>
            <w:r>
              <w:rPr>
                <w:noProof/>
                <w:webHidden/>
              </w:rPr>
              <w:fldChar w:fldCharType="separate"/>
            </w:r>
            <w:r>
              <w:rPr>
                <w:noProof/>
                <w:webHidden/>
              </w:rPr>
              <w:t>3</w:t>
            </w:r>
            <w:r>
              <w:rPr>
                <w:noProof/>
                <w:webHidden/>
              </w:rPr>
              <w:fldChar w:fldCharType="end"/>
            </w:r>
          </w:hyperlink>
        </w:p>
        <w:p w14:paraId="38288B03" w14:textId="0E9ACC0A" w:rsidR="009E1E6B" w:rsidRDefault="009E1E6B">
          <w:pPr>
            <w:pStyle w:val="TOC2"/>
            <w:tabs>
              <w:tab w:val="right" w:leader="dot" w:pos="4598"/>
            </w:tabs>
            <w:rPr>
              <w:rFonts w:cstheme="minorBidi"/>
              <w:noProof/>
              <w:kern w:val="2"/>
              <w:sz w:val="24"/>
              <w:szCs w:val="24"/>
              <w14:ligatures w14:val="standardContextual"/>
            </w:rPr>
          </w:pPr>
          <w:hyperlink w:anchor="_Toc209710945" w:history="1">
            <w:r w:rsidRPr="00272E43">
              <w:rPr>
                <w:rStyle w:val="Hyperlink"/>
                <w:noProof/>
              </w:rPr>
              <w:t>Contract Categories</w:t>
            </w:r>
            <w:r>
              <w:rPr>
                <w:noProof/>
                <w:webHidden/>
              </w:rPr>
              <w:tab/>
            </w:r>
            <w:r>
              <w:rPr>
                <w:noProof/>
                <w:webHidden/>
              </w:rPr>
              <w:fldChar w:fldCharType="begin"/>
            </w:r>
            <w:r>
              <w:rPr>
                <w:noProof/>
                <w:webHidden/>
              </w:rPr>
              <w:instrText xml:space="preserve"> PAGEREF _Toc209710945 \h </w:instrText>
            </w:r>
            <w:r>
              <w:rPr>
                <w:noProof/>
                <w:webHidden/>
              </w:rPr>
            </w:r>
            <w:r>
              <w:rPr>
                <w:noProof/>
                <w:webHidden/>
              </w:rPr>
              <w:fldChar w:fldCharType="separate"/>
            </w:r>
            <w:r>
              <w:rPr>
                <w:noProof/>
                <w:webHidden/>
              </w:rPr>
              <w:t>3</w:t>
            </w:r>
            <w:r>
              <w:rPr>
                <w:noProof/>
                <w:webHidden/>
              </w:rPr>
              <w:fldChar w:fldCharType="end"/>
            </w:r>
          </w:hyperlink>
        </w:p>
        <w:p w14:paraId="0669B947" w14:textId="7F703126" w:rsidR="009E1E6B" w:rsidRDefault="009E1E6B">
          <w:pPr>
            <w:pStyle w:val="TOC2"/>
            <w:tabs>
              <w:tab w:val="right" w:leader="dot" w:pos="4598"/>
            </w:tabs>
            <w:rPr>
              <w:rFonts w:cstheme="minorBidi"/>
              <w:noProof/>
              <w:kern w:val="2"/>
              <w:sz w:val="24"/>
              <w:szCs w:val="24"/>
              <w14:ligatures w14:val="standardContextual"/>
            </w:rPr>
          </w:pPr>
          <w:hyperlink w:anchor="_Toc209710946" w:history="1">
            <w:r w:rsidRPr="00272E43">
              <w:rPr>
                <w:rStyle w:val="Hyperlink"/>
                <w:noProof/>
              </w:rPr>
              <w:t>Who Can Use the Contract</w:t>
            </w:r>
            <w:r>
              <w:rPr>
                <w:noProof/>
                <w:webHidden/>
              </w:rPr>
              <w:tab/>
            </w:r>
            <w:r>
              <w:rPr>
                <w:noProof/>
                <w:webHidden/>
              </w:rPr>
              <w:fldChar w:fldCharType="begin"/>
            </w:r>
            <w:r>
              <w:rPr>
                <w:noProof/>
                <w:webHidden/>
              </w:rPr>
              <w:instrText xml:space="preserve"> PAGEREF _Toc209710946 \h </w:instrText>
            </w:r>
            <w:r>
              <w:rPr>
                <w:noProof/>
                <w:webHidden/>
              </w:rPr>
            </w:r>
            <w:r>
              <w:rPr>
                <w:noProof/>
                <w:webHidden/>
              </w:rPr>
              <w:fldChar w:fldCharType="separate"/>
            </w:r>
            <w:r>
              <w:rPr>
                <w:noProof/>
                <w:webHidden/>
              </w:rPr>
              <w:t>4</w:t>
            </w:r>
            <w:r>
              <w:rPr>
                <w:noProof/>
                <w:webHidden/>
              </w:rPr>
              <w:fldChar w:fldCharType="end"/>
            </w:r>
          </w:hyperlink>
        </w:p>
        <w:p w14:paraId="20F57B56" w14:textId="2B087025" w:rsidR="009E1E6B" w:rsidRDefault="009E1E6B">
          <w:pPr>
            <w:pStyle w:val="TOC2"/>
            <w:tabs>
              <w:tab w:val="right" w:leader="dot" w:pos="4598"/>
            </w:tabs>
            <w:rPr>
              <w:rFonts w:cstheme="minorBidi"/>
              <w:noProof/>
              <w:kern w:val="2"/>
              <w:sz w:val="24"/>
              <w:szCs w:val="24"/>
              <w14:ligatures w14:val="standardContextual"/>
            </w:rPr>
          </w:pPr>
          <w:hyperlink w:anchor="_Toc209710947" w:history="1">
            <w:r w:rsidRPr="00272E43">
              <w:rPr>
                <w:rStyle w:val="Hyperlink"/>
                <w:noProof/>
              </w:rPr>
              <w:t>Pricing Options</w:t>
            </w:r>
            <w:r>
              <w:rPr>
                <w:noProof/>
                <w:webHidden/>
              </w:rPr>
              <w:tab/>
            </w:r>
            <w:r>
              <w:rPr>
                <w:noProof/>
                <w:webHidden/>
              </w:rPr>
              <w:fldChar w:fldCharType="begin"/>
            </w:r>
            <w:r>
              <w:rPr>
                <w:noProof/>
                <w:webHidden/>
              </w:rPr>
              <w:instrText xml:space="preserve"> PAGEREF _Toc209710947 \h </w:instrText>
            </w:r>
            <w:r>
              <w:rPr>
                <w:noProof/>
                <w:webHidden/>
              </w:rPr>
            </w:r>
            <w:r>
              <w:rPr>
                <w:noProof/>
                <w:webHidden/>
              </w:rPr>
              <w:fldChar w:fldCharType="separate"/>
            </w:r>
            <w:r>
              <w:rPr>
                <w:noProof/>
                <w:webHidden/>
              </w:rPr>
              <w:t>4</w:t>
            </w:r>
            <w:r>
              <w:rPr>
                <w:noProof/>
                <w:webHidden/>
              </w:rPr>
              <w:fldChar w:fldCharType="end"/>
            </w:r>
          </w:hyperlink>
        </w:p>
        <w:p w14:paraId="048961F8" w14:textId="3EC9ABB3" w:rsidR="009E1E6B" w:rsidRDefault="009E1E6B">
          <w:pPr>
            <w:pStyle w:val="TOC2"/>
            <w:tabs>
              <w:tab w:val="right" w:leader="dot" w:pos="4598"/>
            </w:tabs>
            <w:rPr>
              <w:rFonts w:cstheme="minorBidi"/>
              <w:noProof/>
              <w:kern w:val="2"/>
              <w:sz w:val="24"/>
              <w:szCs w:val="24"/>
              <w14:ligatures w14:val="standardContextual"/>
            </w:rPr>
          </w:pPr>
          <w:hyperlink w:anchor="_Toc209710948" w:history="1">
            <w:r w:rsidRPr="00272E43">
              <w:rPr>
                <w:rStyle w:val="Hyperlink"/>
                <w:noProof/>
              </w:rPr>
              <w:t>Quote Response and Requirements</w:t>
            </w:r>
            <w:r>
              <w:rPr>
                <w:noProof/>
                <w:webHidden/>
              </w:rPr>
              <w:tab/>
            </w:r>
            <w:r>
              <w:rPr>
                <w:noProof/>
                <w:webHidden/>
              </w:rPr>
              <w:fldChar w:fldCharType="begin"/>
            </w:r>
            <w:r>
              <w:rPr>
                <w:noProof/>
                <w:webHidden/>
              </w:rPr>
              <w:instrText xml:space="preserve"> PAGEREF _Toc209710948 \h </w:instrText>
            </w:r>
            <w:r>
              <w:rPr>
                <w:noProof/>
                <w:webHidden/>
              </w:rPr>
            </w:r>
            <w:r>
              <w:rPr>
                <w:noProof/>
                <w:webHidden/>
              </w:rPr>
              <w:fldChar w:fldCharType="separate"/>
            </w:r>
            <w:r>
              <w:rPr>
                <w:noProof/>
                <w:webHidden/>
              </w:rPr>
              <w:t>5</w:t>
            </w:r>
            <w:r>
              <w:rPr>
                <w:noProof/>
                <w:webHidden/>
              </w:rPr>
              <w:fldChar w:fldCharType="end"/>
            </w:r>
          </w:hyperlink>
        </w:p>
        <w:p w14:paraId="258024C3" w14:textId="22AFBE90" w:rsidR="009E1E6B" w:rsidRDefault="009E1E6B">
          <w:pPr>
            <w:pStyle w:val="TOC3"/>
            <w:rPr>
              <w:rFonts w:cstheme="minorBidi"/>
              <w:iCs w:val="0"/>
              <w:noProof/>
              <w:kern w:val="2"/>
              <w:sz w:val="24"/>
              <w:szCs w:val="24"/>
              <w14:ligatures w14:val="standardContextual"/>
            </w:rPr>
          </w:pPr>
          <w:hyperlink w:anchor="_Toc209710949" w:history="1">
            <w:r w:rsidRPr="00272E43">
              <w:rPr>
                <w:rStyle w:val="Hyperlink"/>
                <w:noProof/>
              </w:rPr>
              <w:t>Requesting Quotes Post-Contract Commencement</w:t>
            </w:r>
            <w:r>
              <w:rPr>
                <w:noProof/>
                <w:webHidden/>
              </w:rPr>
              <w:tab/>
            </w:r>
            <w:r>
              <w:rPr>
                <w:noProof/>
                <w:webHidden/>
              </w:rPr>
              <w:fldChar w:fldCharType="begin"/>
            </w:r>
            <w:r>
              <w:rPr>
                <w:noProof/>
                <w:webHidden/>
              </w:rPr>
              <w:instrText xml:space="preserve"> PAGEREF _Toc209710949 \h </w:instrText>
            </w:r>
            <w:r>
              <w:rPr>
                <w:noProof/>
                <w:webHidden/>
              </w:rPr>
            </w:r>
            <w:r>
              <w:rPr>
                <w:noProof/>
                <w:webHidden/>
              </w:rPr>
              <w:fldChar w:fldCharType="separate"/>
            </w:r>
            <w:r>
              <w:rPr>
                <w:noProof/>
                <w:webHidden/>
              </w:rPr>
              <w:t>5</w:t>
            </w:r>
            <w:r>
              <w:rPr>
                <w:noProof/>
                <w:webHidden/>
              </w:rPr>
              <w:fldChar w:fldCharType="end"/>
            </w:r>
          </w:hyperlink>
        </w:p>
        <w:p w14:paraId="400F131F" w14:textId="4AE3CA9F" w:rsidR="009E1E6B" w:rsidRDefault="009E1E6B">
          <w:pPr>
            <w:pStyle w:val="TOC2"/>
            <w:tabs>
              <w:tab w:val="right" w:leader="dot" w:pos="4598"/>
            </w:tabs>
            <w:rPr>
              <w:rFonts w:cstheme="minorBidi"/>
              <w:noProof/>
              <w:kern w:val="2"/>
              <w:sz w:val="24"/>
              <w:szCs w:val="24"/>
              <w14:ligatures w14:val="standardContextual"/>
            </w:rPr>
          </w:pPr>
          <w:hyperlink w:anchor="_Toc209710950" w:history="1">
            <w:r w:rsidRPr="00272E43">
              <w:rPr>
                <w:rStyle w:val="Hyperlink"/>
                <w:noProof/>
              </w:rPr>
              <w:t>Purchase Options</w:t>
            </w:r>
            <w:r>
              <w:rPr>
                <w:noProof/>
                <w:webHidden/>
              </w:rPr>
              <w:tab/>
            </w:r>
            <w:r>
              <w:rPr>
                <w:noProof/>
                <w:webHidden/>
              </w:rPr>
              <w:fldChar w:fldCharType="begin"/>
            </w:r>
            <w:r>
              <w:rPr>
                <w:noProof/>
                <w:webHidden/>
              </w:rPr>
              <w:instrText xml:space="preserve"> PAGEREF _Toc209710950 \h </w:instrText>
            </w:r>
            <w:r>
              <w:rPr>
                <w:noProof/>
                <w:webHidden/>
              </w:rPr>
            </w:r>
            <w:r>
              <w:rPr>
                <w:noProof/>
                <w:webHidden/>
              </w:rPr>
              <w:fldChar w:fldCharType="separate"/>
            </w:r>
            <w:r>
              <w:rPr>
                <w:noProof/>
                <w:webHidden/>
              </w:rPr>
              <w:t>5</w:t>
            </w:r>
            <w:r>
              <w:rPr>
                <w:noProof/>
                <w:webHidden/>
              </w:rPr>
              <w:fldChar w:fldCharType="end"/>
            </w:r>
          </w:hyperlink>
        </w:p>
        <w:p w14:paraId="1D5D74A4" w14:textId="1ADDB910" w:rsidR="009E1E6B" w:rsidRDefault="009E1E6B">
          <w:pPr>
            <w:pStyle w:val="TOC2"/>
            <w:tabs>
              <w:tab w:val="right" w:leader="dot" w:pos="4598"/>
            </w:tabs>
            <w:rPr>
              <w:rFonts w:cstheme="minorBidi"/>
              <w:noProof/>
              <w:kern w:val="2"/>
              <w:sz w:val="24"/>
              <w:szCs w:val="24"/>
              <w14:ligatures w14:val="standardContextual"/>
            </w:rPr>
          </w:pPr>
          <w:hyperlink w:anchor="_Toc209710951" w:history="1">
            <w:r w:rsidRPr="00272E43">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_Toc209710951 \h </w:instrText>
            </w:r>
            <w:r>
              <w:rPr>
                <w:noProof/>
                <w:webHidden/>
              </w:rPr>
            </w:r>
            <w:r>
              <w:rPr>
                <w:noProof/>
                <w:webHidden/>
              </w:rPr>
              <w:fldChar w:fldCharType="separate"/>
            </w:r>
            <w:r>
              <w:rPr>
                <w:noProof/>
                <w:webHidden/>
              </w:rPr>
              <w:t>6</w:t>
            </w:r>
            <w:r>
              <w:rPr>
                <w:noProof/>
                <w:webHidden/>
              </w:rPr>
              <w:fldChar w:fldCharType="end"/>
            </w:r>
          </w:hyperlink>
        </w:p>
        <w:p w14:paraId="25506C08" w14:textId="026D4B16" w:rsidR="009E1E6B" w:rsidRDefault="009E1E6B">
          <w:pPr>
            <w:pStyle w:val="TOC2"/>
            <w:tabs>
              <w:tab w:val="right" w:leader="dot" w:pos="4598"/>
            </w:tabs>
            <w:rPr>
              <w:rFonts w:cstheme="minorBidi"/>
              <w:noProof/>
              <w:kern w:val="2"/>
              <w:sz w:val="24"/>
              <w:szCs w:val="24"/>
              <w14:ligatures w14:val="standardContextual"/>
            </w:rPr>
          </w:pPr>
          <w:hyperlink w:anchor="_Toc209710952" w:history="1">
            <w:r w:rsidRPr="00272E43">
              <w:rPr>
                <w:rStyle w:val="Hyperlink"/>
                <w:noProof/>
              </w:rPr>
              <w:t>Setting Up a COMMBUYS Account</w:t>
            </w:r>
            <w:r>
              <w:rPr>
                <w:noProof/>
                <w:webHidden/>
              </w:rPr>
              <w:tab/>
            </w:r>
            <w:r>
              <w:rPr>
                <w:noProof/>
                <w:webHidden/>
              </w:rPr>
              <w:fldChar w:fldCharType="begin"/>
            </w:r>
            <w:r>
              <w:rPr>
                <w:noProof/>
                <w:webHidden/>
              </w:rPr>
              <w:instrText xml:space="preserve"> PAGEREF _Toc209710952 \h </w:instrText>
            </w:r>
            <w:r>
              <w:rPr>
                <w:noProof/>
                <w:webHidden/>
              </w:rPr>
            </w:r>
            <w:r>
              <w:rPr>
                <w:noProof/>
                <w:webHidden/>
              </w:rPr>
              <w:fldChar w:fldCharType="separate"/>
            </w:r>
            <w:r>
              <w:rPr>
                <w:noProof/>
                <w:webHidden/>
              </w:rPr>
              <w:t>7</w:t>
            </w:r>
            <w:r>
              <w:rPr>
                <w:noProof/>
                <w:webHidden/>
              </w:rPr>
              <w:fldChar w:fldCharType="end"/>
            </w:r>
          </w:hyperlink>
        </w:p>
        <w:p w14:paraId="194D2814" w14:textId="5E5043BF" w:rsidR="009E1E6B" w:rsidRDefault="009E1E6B">
          <w:pPr>
            <w:pStyle w:val="TOC2"/>
            <w:tabs>
              <w:tab w:val="right" w:leader="dot" w:pos="4598"/>
            </w:tabs>
            <w:rPr>
              <w:rFonts w:cstheme="minorBidi"/>
              <w:noProof/>
              <w:kern w:val="2"/>
              <w:sz w:val="24"/>
              <w:szCs w:val="24"/>
              <w14:ligatures w14:val="standardContextual"/>
            </w:rPr>
          </w:pPr>
          <w:hyperlink w:anchor="_Toc209710953" w:history="1">
            <w:r w:rsidRPr="00272E43">
              <w:rPr>
                <w:rStyle w:val="Hyperlink"/>
                <w:noProof/>
              </w:rPr>
              <w:t>Finding Contract Documents</w:t>
            </w:r>
            <w:r>
              <w:rPr>
                <w:noProof/>
                <w:webHidden/>
              </w:rPr>
              <w:tab/>
            </w:r>
            <w:r>
              <w:rPr>
                <w:noProof/>
                <w:webHidden/>
              </w:rPr>
              <w:fldChar w:fldCharType="begin"/>
            </w:r>
            <w:r>
              <w:rPr>
                <w:noProof/>
                <w:webHidden/>
              </w:rPr>
              <w:instrText xml:space="preserve"> PAGEREF _Toc209710953 \h </w:instrText>
            </w:r>
            <w:r>
              <w:rPr>
                <w:noProof/>
                <w:webHidden/>
              </w:rPr>
            </w:r>
            <w:r>
              <w:rPr>
                <w:noProof/>
                <w:webHidden/>
              </w:rPr>
              <w:fldChar w:fldCharType="separate"/>
            </w:r>
            <w:r>
              <w:rPr>
                <w:noProof/>
                <w:webHidden/>
              </w:rPr>
              <w:t>7</w:t>
            </w:r>
            <w:r>
              <w:rPr>
                <w:noProof/>
                <w:webHidden/>
              </w:rPr>
              <w:fldChar w:fldCharType="end"/>
            </w:r>
          </w:hyperlink>
        </w:p>
        <w:p w14:paraId="40075172" w14:textId="709A4492" w:rsidR="009E1E6B" w:rsidRDefault="009E1E6B">
          <w:pPr>
            <w:pStyle w:val="TOC2"/>
            <w:tabs>
              <w:tab w:val="right" w:leader="dot" w:pos="4598"/>
            </w:tabs>
            <w:rPr>
              <w:rFonts w:cstheme="minorBidi"/>
              <w:noProof/>
              <w:kern w:val="2"/>
              <w:sz w:val="24"/>
              <w:szCs w:val="24"/>
              <w14:ligatures w14:val="standardContextual"/>
            </w:rPr>
          </w:pPr>
          <w:hyperlink w:anchor="_Toc209710954" w:history="1">
            <w:r w:rsidRPr="00272E43">
              <w:rPr>
                <w:rStyle w:val="Hyperlink"/>
                <w:noProof/>
              </w:rPr>
              <w:t>Finding Vendor-Specific Documents</w:t>
            </w:r>
            <w:r>
              <w:rPr>
                <w:noProof/>
                <w:webHidden/>
              </w:rPr>
              <w:tab/>
            </w:r>
            <w:r>
              <w:rPr>
                <w:noProof/>
                <w:webHidden/>
              </w:rPr>
              <w:fldChar w:fldCharType="begin"/>
            </w:r>
            <w:r>
              <w:rPr>
                <w:noProof/>
                <w:webHidden/>
              </w:rPr>
              <w:instrText xml:space="preserve"> PAGEREF _Toc209710954 \h </w:instrText>
            </w:r>
            <w:r>
              <w:rPr>
                <w:noProof/>
                <w:webHidden/>
              </w:rPr>
            </w:r>
            <w:r>
              <w:rPr>
                <w:noProof/>
                <w:webHidden/>
              </w:rPr>
              <w:fldChar w:fldCharType="separate"/>
            </w:r>
            <w:r>
              <w:rPr>
                <w:noProof/>
                <w:webHidden/>
              </w:rPr>
              <w:t>8</w:t>
            </w:r>
            <w:r>
              <w:rPr>
                <w:noProof/>
                <w:webHidden/>
              </w:rPr>
              <w:fldChar w:fldCharType="end"/>
            </w:r>
          </w:hyperlink>
        </w:p>
        <w:p w14:paraId="73CC5582" w14:textId="2B677546" w:rsidR="009E1E6B" w:rsidRDefault="009E1E6B">
          <w:pPr>
            <w:pStyle w:val="TOC2"/>
            <w:tabs>
              <w:tab w:val="right" w:leader="dot" w:pos="4598"/>
            </w:tabs>
            <w:rPr>
              <w:rFonts w:cstheme="minorBidi"/>
              <w:noProof/>
              <w:kern w:val="2"/>
              <w:sz w:val="24"/>
              <w:szCs w:val="24"/>
              <w14:ligatures w14:val="standardContextual"/>
            </w:rPr>
          </w:pPr>
          <w:hyperlink w:anchor="_Toc209710955" w:history="1">
            <w:r w:rsidRPr="00272E43">
              <w:rPr>
                <w:rStyle w:val="Hyperlink"/>
                <w:noProof/>
              </w:rPr>
              <w:t>Supplier Diversity Office (SDO) Requirements</w:t>
            </w:r>
            <w:r>
              <w:rPr>
                <w:noProof/>
                <w:webHidden/>
              </w:rPr>
              <w:tab/>
            </w:r>
            <w:r>
              <w:rPr>
                <w:noProof/>
                <w:webHidden/>
              </w:rPr>
              <w:fldChar w:fldCharType="begin"/>
            </w:r>
            <w:r>
              <w:rPr>
                <w:noProof/>
                <w:webHidden/>
              </w:rPr>
              <w:instrText xml:space="preserve"> PAGEREF _Toc209710955 \h </w:instrText>
            </w:r>
            <w:r>
              <w:rPr>
                <w:noProof/>
                <w:webHidden/>
              </w:rPr>
            </w:r>
            <w:r>
              <w:rPr>
                <w:noProof/>
                <w:webHidden/>
              </w:rPr>
              <w:fldChar w:fldCharType="separate"/>
            </w:r>
            <w:r>
              <w:rPr>
                <w:noProof/>
                <w:webHidden/>
              </w:rPr>
              <w:t>8</w:t>
            </w:r>
            <w:r>
              <w:rPr>
                <w:noProof/>
                <w:webHidden/>
              </w:rPr>
              <w:fldChar w:fldCharType="end"/>
            </w:r>
          </w:hyperlink>
        </w:p>
        <w:p w14:paraId="00F946EE" w14:textId="25A27415" w:rsidR="009E1E6B" w:rsidRDefault="009E1E6B">
          <w:pPr>
            <w:pStyle w:val="TOC3"/>
            <w:rPr>
              <w:rFonts w:cstheme="minorBidi"/>
              <w:iCs w:val="0"/>
              <w:noProof/>
              <w:kern w:val="2"/>
              <w:sz w:val="24"/>
              <w:szCs w:val="24"/>
              <w14:ligatures w14:val="standardContextual"/>
            </w:rPr>
          </w:pPr>
          <w:hyperlink w:anchor="_Toc209710956" w:history="1">
            <w:r w:rsidRPr="00272E43">
              <w:rPr>
                <w:rStyle w:val="Hyperlink"/>
                <w:noProof/>
              </w:rPr>
              <w:t>Supplier Diversity Program (SDP) Requirements</w:t>
            </w:r>
            <w:r>
              <w:rPr>
                <w:noProof/>
                <w:webHidden/>
              </w:rPr>
              <w:tab/>
            </w:r>
            <w:r>
              <w:rPr>
                <w:noProof/>
                <w:webHidden/>
              </w:rPr>
              <w:fldChar w:fldCharType="begin"/>
            </w:r>
            <w:r>
              <w:rPr>
                <w:noProof/>
                <w:webHidden/>
              </w:rPr>
              <w:instrText xml:space="preserve"> PAGEREF _Toc209710956 \h </w:instrText>
            </w:r>
            <w:r>
              <w:rPr>
                <w:noProof/>
                <w:webHidden/>
              </w:rPr>
            </w:r>
            <w:r>
              <w:rPr>
                <w:noProof/>
                <w:webHidden/>
              </w:rPr>
              <w:fldChar w:fldCharType="separate"/>
            </w:r>
            <w:r>
              <w:rPr>
                <w:noProof/>
                <w:webHidden/>
              </w:rPr>
              <w:t>9</w:t>
            </w:r>
            <w:r>
              <w:rPr>
                <w:noProof/>
                <w:webHidden/>
              </w:rPr>
              <w:fldChar w:fldCharType="end"/>
            </w:r>
          </w:hyperlink>
        </w:p>
        <w:p w14:paraId="7622BEBF" w14:textId="55DFFC73" w:rsidR="009E1E6B" w:rsidRDefault="009E1E6B">
          <w:pPr>
            <w:pStyle w:val="TOC3"/>
            <w:rPr>
              <w:rFonts w:cstheme="minorBidi"/>
              <w:iCs w:val="0"/>
              <w:noProof/>
              <w:kern w:val="2"/>
              <w:sz w:val="24"/>
              <w:szCs w:val="24"/>
              <w14:ligatures w14:val="standardContextual"/>
            </w:rPr>
          </w:pPr>
          <w:hyperlink w:anchor="_Toc209710957" w:history="1">
            <w:r w:rsidRPr="00272E43">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_Toc209710957 \h </w:instrText>
            </w:r>
            <w:r>
              <w:rPr>
                <w:noProof/>
                <w:webHidden/>
              </w:rPr>
            </w:r>
            <w:r>
              <w:rPr>
                <w:noProof/>
                <w:webHidden/>
              </w:rPr>
              <w:fldChar w:fldCharType="separate"/>
            </w:r>
            <w:r>
              <w:rPr>
                <w:noProof/>
                <w:webHidden/>
              </w:rPr>
              <w:t>9</w:t>
            </w:r>
            <w:r>
              <w:rPr>
                <w:noProof/>
                <w:webHidden/>
              </w:rPr>
              <w:fldChar w:fldCharType="end"/>
            </w:r>
          </w:hyperlink>
        </w:p>
        <w:p w14:paraId="2DFC9EA0" w14:textId="3A891707" w:rsidR="009E1E6B" w:rsidRDefault="009E1E6B">
          <w:pPr>
            <w:pStyle w:val="TOC2"/>
            <w:tabs>
              <w:tab w:val="right" w:leader="dot" w:pos="4598"/>
            </w:tabs>
            <w:rPr>
              <w:rFonts w:cstheme="minorBidi"/>
              <w:noProof/>
              <w:kern w:val="2"/>
              <w:sz w:val="24"/>
              <w:szCs w:val="24"/>
              <w14:ligatures w14:val="standardContextual"/>
            </w:rPr>
          </w:pPr>
          <w:hyperlink w:anchor="_Toc209710958" w:history="1">
            <w:r w:rsidRPr="00272E43">
              <w:rPr>
                <w:rStyle w:val="Hyperlink"/>
                <w:noProof/>
              </w:rPr>
              <w:t>Emergency Services</w:t>
            </w:r>
            <w:r>
              <w:rPr>
                <w:noProof/>
                <w:webHidden/>
              </w:rPr>
              <w:tab/>
            </w:r>
            <w:r>
              <w:rPr>
                <w:noProof/>
                <w:webHidden/>
              </w:rPr>
              <w:fldChar w:fldCharType="begin"/>
            </w:r>
            <w:r>
              <w:rPr>
                <w:noProof/>
                <w:webHidden/>
              </w:rPr>
              <w:instrText xml:space="preserve"> PAGEREF _Toc209710958 \h </w:instrText>
            </w:r>
            <w:r>
              <w:rPr>
                <w:noProof/>
                <w:webHidden/>
              </w:rPr>
            </w:r>
            <w:r>
              <w:rPr>
                <w:noProof/>
                <w:webHidden/>
              </w:rPr>
              <w:fldChar w:fldCharType="separate"/>
            </w:r>
            <w:r>
              <w:rPr>
                <w:noProof/>
                <w:webHidden/>
              </w:rPr>
              <w:t>9</w:t>
            </w:r>
            <w:r>
              <w:rPr>
                <w:noProof/>
                <w:webHidden/>
              </w:rPr>
              <w:fldChar w:fldCharType="end"/>
            </w:r>
          </w:hyperlink>
        </w:p>
        <w:p w14:paraId="4F5E1B18" w14:textId="52C20B98" w:rsidR="009E1E6B" w:rsidRDefault="009E1E6B">
          <w:pPr>
            <w:pStyle w:val="TOC2"/>
            <w:tabs>
              <w:tab w:val="right" w:leader="dot" w:pos="4598"/>
            </w:tabs>
            <w:rPr>
              <w:rFonts w:cstheme="minorBidi"/>
              <w:noProof/>
              <w:kern w:val="2"/>
              <w:sz w:val="24"/>
              <w:szCs w:val="24"/>
              <w14:ligatures w14:val="standardContextual"/>
            </w:rPr>
          </w:pPr>
          <w:hyperlink w:anchor="_Toc209710959" w:history="1">
            <w:r w:rsidRPr="00272E43">
              <w:rPr>
                <w:rStyle w:val="Hyperlink"/>
                <w:noProof/>
              </w:rPr>
              <w:t>Vendor Performance</w:t>
            </w:r>
            <w:r>
              <w:rPr>
                <w:noProof/>
                <w:webHidden/>
              </w:rPr>
              <w:tab/>
            </w:r>
            <w:r>
              <w:rPr>
                <w:noProof/>
                <w:webHidden/>
              </w:rPr>
              <w:fldChar w:fldCharType="begin"/>
            </w:r>
            <w:r>
              <w:rPr>
                <w:noProof/>
                <w:webHidden/>
              </w:rPr>
              <w:instrText xml:space="preserve"> PAGEREF _Toc209710959 \h </w:instrText>
            </w:r>
            <w:r>
              <w:rPr>
                <w:noProof/>
                <w:webHidden/>
              </w:rPr>
            </w:r>
            <w:r>
              <w:rPr>
                <w:noProof/>
                <w:webHidden/>
              </w:rPr>
              <w:fldChar w:fldCharType="separate"/>
            </w:r>
            <w:r>
              <w:rPr>
                <w:noProof/>
                <w:webHidden/>
              </w:rPr>
              <w:t>9</w:t>
            </w:r>
            <w:r>
              <w:rPr>
                <w:noProof/>
                <w:webHidden/>
              </w:rPr>
              <w:fldChar w:fldCharType="end"/>
            </w:r>
          </w:hyperlink>
        </w:p>
        <w:p w14:paraId="68423FAF" w14:textId="32ADCDA1" w:rsidR="009E1E6B" w:rsidRDefault="009E1E6B">
          <w:pPr>
            <w:pStyle w:val="TOC2"/>
            <w:tabs>
              <w:tab w:val="right" w:leader="dot" w:pos="4598"/>
            </w:tabs>
            <w:rPr>
              <w:rFonts w:cstheme="minorBidi"/>
              <w:noProof/>
              <w:kern w:val="2"/>
              <w:sz w:val="24"/>
              <w:szCs w:val="24"/>
              <w14:ligatures w14:val="standardContextual"/>
            </w:rPr>
          </w:pPr>
          <w:hyperlink w:anchor="_Toc209710960" w:history="1">
            <w:r w:rsidRPr="00272E43">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_Toc209710960 \h </w:instrText>
            </w:r>
            <w:r>
              <w:rPr>
                <w:noProof/>
                <w:webHidden/>
              </w:rPr>
            </w:r>
            <w:r>
              <w:rPr>
                <w:noProof/>
                <w:webHidden/>
              </w:rPr>
              <w:fldChar w:fldCharType="separate"/>
            </w:r>
            <w:r>
              <w:rPr>
                <w:noProof/>
                <w:webHidden/>
              </w:rPr>
              <w:t>10</w:t>
            </w:r>
            <w:r>
              <w:rPr>
                <w:noProof/>
                <w:webHidden/>
              </w:rPr>
              <w:fldChar w:fldCharType="end"/>
            </w:r>
          </w:hyperlink>
        </w:p>
        <w:p w14:paraId="5091FFDB" w14:textId="02F7693E" w:rsidR="009E1E6B" w:rsidRDefault="009E1E6B">
          <w:pPr>
            <w:pStyle w:val="TOC2"/>
            <w:tabs>
              <w:tab w:val="right" w:leader="dot" w:pos="4598"/>
            </w:tabs>
            <w:rPr>
              <w:rFonts w:cstheme="minorBidi"/>
              <w:noProof/>
              <w:kern w:val="2"/>
              <w:sz w:val="24"/>
              <w:szCs w:val="24"/>
              <w14:ligatures w14:val="standardContextual"/>
            </w:rPr>
          </w:pPr>
          <w:hyperlink w:anchor="_Toc209710961" w:history="1">
            <w:r w:rsidRPr="00272E43">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_Toc209710961 \h </w:instrText>
            </w:r>
            <w:r>
              <w:rPr>
                <w:noProof/>
                <w:webHidden/>
              </w:rPr>
            </w:r>
            <w:r>
              <w:rPr>
                <w:noProof/>
                <w:webHidden/>
              </w:rPr>
              <w:fldChar w:fldCharType="separate"/>
            </w:r>
            <w:r>
              <w:rPr>
                <w:noProof/>
                <w:webHidden/>
              </w:rPr>
              <w:t>11</w:t>
            </w:r>
            <w:r>
              <w:rPr>
                <w:noProof/>
                <w:webHidden/>
              </w:rPr>
              <w:fldChar w:fldCharType="end"/>
            </w:r>
          </w:hyperlink>
        </w:p>
        <w:p w14:paraId="0C1141E3" w14:textId="09C98593" w:rsidR="009E1E6B" w:rsidRDefault="009E1E6B">
          <w:pPr>
            <w:pStyle w:val="TOC3"/>
            <w:rPr>
              <w:rFonts w:cstheme="minorBidi"/>
              <w:iCs w:val="0"/>
              <w:noProof/>
              <w:kern w:val="2"/>
              <w:sz w:val="24"/>
              <w:szCs w:val="24"/>
              <w14:ligatures w14:val="standardContextual"/>
            </w:rPr>
          </w:pPr>
          <w:hyperlink w:anchor="_Toc209710962" w:history="1">
            <w:r w:rsidRPr="00272E43">
              <w:rPr>
                <w:rStyle w:val="Hyperlink"/>
                <w:noProof/>
              </w:rPr>
              <w:t>Learn More</w:t>
            </w:r>
            <w:r>
              <w:rPr>
                <w:noProof/>
                <w:webHidden/>
              </w:rPr>
              <w:tab/>
            </w:r>
            <w:r>
              <w:rPr>
                <w:noProof/>
                <w:webHidden/>
              </w:rPr>
              <w:fldChar w:fldCharType="begin"/>
            </w:r>
            <w:r>
              <w:rPr>
                <w:noProof/>
                <w:webHidden/>
              </w:rPr>
              <w:instrText xml:space="preserve"> PAGEREF _Toc209710962 \h </w:instrText>
            </w:r>
            <w:r>
              <w:rPr>
                <w:noProof/>
                <w:webHidden/>
              </w:rPr>
            </w:r>
            <w:r>
              <w:rPr>
                <w:noProof/>
                <w:webHidden/>
              </w:rPr>
              <w:fldChar w:fldCharType="separate"/>
            </w:r>
            <w:r>
              <w:rPr>
                <w:noProof/>
                <w:webHidden/>
              </w:rPr>
              <w:t>11</w:t>
            </w:r>
            <w:r>
              <w:rPr>
                <w:noProof/>
                <w:webHidden/>
              </w:rPr>
              <w:fldChar w:fldCharType="end"/>
            </w:r>
          </w:hyperlink>
        </w:p>
        <w:p w14:paraId="0D196654" w14:textId="4FE0E7C3" w:rsidR="009E1E6B" w:rsidRDefault="009E1E6B">
          <w:pPr>
            <w:pStyle w:val="TOC2"/>
            <w:tabs>
              <w:tab w:val="right" w:leader="dot" w:pos="4598"/>
            </w:tabs>
            <w:rPr>
              <w:rFonts w:cstheme="minorBidi"/>
              <w:noProof/>
              <w:kern w:val="2"/>
              <w:sz w:val="24"/>
              <w:szCs w:val="24"/>
              <w14:ligatures w14:val="standardContextual"/>
            </w:rPr>
          </w:pPr>
          <w:hyperlink w:anchor="_Toc209710963" w:history="1">
            <w:r w:rsidRPr="00272E43">
              <w:rPr>
                <w:rStyle w:val="Hyperlink"/>
                <w:noProof/>
              </w:rPr>
              <w:t>Memorandum of Understanding (MOU)</w:t>
            </w:r>
            <w:r>
              <w:rPr>
                <w:noProof/>
                <w:webHidden/>
              </w:rPr>
              <w:tab/>
            </w:r>
            <w:r>
              <w:rPr>
                <w:noProof/>
                <w:webHidden/>
              </w:rPr>
              <w:fldChar w:fldCharType="begin"/>
            </w:r>
            <w:r>
              <w:rPr>
                <w:noProof/>
                <w:webHidden/>
              </w:rPr>
              <w:instrText xml:space="preserve"> PAGEREF _Toc209710963 \h </w:instrText>
            </w:r>
            <w:r>
              <w:rPr>
                <w:noProof/>
                <w:webHidden/>
              </w:rPr>
            </w:r>
            <w:r>
              <w:rPr>
                <w:noProof/>
                <w:webHidden/>
              </w:rPr>
              <w:fldChar w:fldCharType="separate"/>
            </w:r>
            <w:r>
              <w:rPr>
                <w:noProof/>
                <w:webHidden/>
              </w:rPr>
              <w:t>11</w:t>
            </w:r>
            <w:r>
              <w:rPr>
                <w:noProof/>
                <w:webHidden/>
              </w:rPr>
              <w:fldChar w:fldCharType="end"/>
            </w:r>
          </w:hyperlink>
        </w:p>
        <w:p w14:paraId="22775539" w14:textId="55D3D002" w:rsidR="009E1E6B" w:rsidRDefault="009E1E6B">
          <w:pPr>
            <w:pStyle w:val="TOC2"/>
            <w:tabs>
              <w:tab w:val="right" w:leader="dot" w:pos="4598"/>
            </w:tabs>
            <w:rPr>
              <w:rFonts w:cstheme="minorBidi"/>
              <w:noProof/>
              <w:kern w:val="2"/>
              <w:sz w:val="24"/>
              <w:szCs w:val="24"/>
              <w14:ligatures w14:val="standardContextual"/>
            </w:rPr>
          </w:pPr>
          <w:hyperlink w:anchor="_Toc209710964" w:history="1">
            <w:r w:rsidRPr="00272E43">
              <w:rPr>
                <w:rStyle w:val="Hyperlink"/>
                <w:noProof/>
              </w:rPr>
              <w:t>Instructions for MMARS Users</w:t>
            </w:r>
            <w:r>
              <w:rPr>
                <w:noProof/>
                <w:webHidden/>
              </w:rPr>
              <w:tab/>
            </w:r>
            <w:r>
              <w:rPr>
                <w:noProof/>
                <w:webHidden/>
              </w:rPr>
              <w:fldChar w:fldCharType="begin"/>
            </w:r>
            <w:r>
              <w:rPr>
                <w:noProof/>
                <w:webHidden/>
              </w:rPr>
              <w:instrText xml:space="preserve"> PAGEREF _Toc209710964 \h </w:instrText>
            </w:r>
            <w:r>
              <w:rPr>
                <w:noProof/>
                <w:webHidden/>
              </w:rPr>
            </w:r>
            <w:r>
              <w:rPr>
                <w:noProof/>
                <w:webHidden/>
              </w:rPr>
              <w:fldChar w:fldCharType="separate"/>
            </w:r>
            <w:r>
              <w:rPr>
                <w:noProof/>
                <w:webHidden/>
              </w:rPr>
              <w:t>12</w:t>
            </w:r>
            <w:r>
              <w:rPr>
                <w:noProof/>
                <w:webHidden/>
              </w:rPr>
              <w:fldChar w:fldCharType="end"/>
            </w:r>
          </w:hyperlink>
        </w:p>
        <w:p w14:paraId="570D21BB" w14:textId="576B95D7" w:rsidR="009E1E6B" w:rsidRDefault="009E1E6B">
          <w:pPr>
            <w:pStyle w:val="TOC2"/>
            <w:tabs>
              <w:tab w:val="right" w:leader="dot" w:pos="4598"/>
            </w:tabs>
            <w:rPr>
              <w:rFonts w:cstheme="minorBidi"/>
              <w:noProof/>
              <w:kern w:val="2"/>
              <w:sz w:val="24"/>
              <w:szCs w:val="24"/>
              <w14:ligatures w14:val="standardContextual"/>
            </w:rPr>
          </w:pPr>
          <w:hyperlink w:anchor="_Toc209710965" w:history="1">
            <w:r w:rsidRPr="00272E43">
              <w:rPr>
                <w:rStyle w:val="Hyperlink"/>
                <w:noProof/>
              </w:rPr>
              <w:t>Vendor List and Information</w:t>
            </w:r>
            <w:r>
              <w:rPr>
                <w:noProof/>
                <w:webHidden/>
              </w:rPr>
              <w:tab/>
            </w:r>
            <w:r>
              <w:rPr>
                <w:noProof/>
                <w:webHidden/>
              </w:rPr>
              <w:fldChar w:fldCharType="begin"/>
            </w:r>
            <w:r>
              <w:rPr>
                <w:noProof/>
                <w:webHidden/>
              </w:rPr>
              <w:instrText xml:space="preserve"> PAGEREF _Toc209710965 \h </w:instrText>
            </w:r>
            <w:r>
              <w:rPr>
                <w:noProof/>
                <w:webHidden/>
              </w:rPr>
            </w:r>
            <w:r>
              <w:rPr>
                <w:noProof/>
                <w:webHidden/>
              </w:rPr>
              <w:fldChar w:fldCharType="separate"/>
            </w:r>
            <w:r>
              <w:rPr>
                <w:noProof/>
                <w:webHidden/>
              </w:rPr>
              <w:t>13</w:t>
            </w:r>
            <w:r>
              <w:rPr>
                <w:noProof/>
                <w:webHidden/>
              </w:rPr>
              <w:fldChar w:fldCharType="end"/>
            </w:r>
          </w:hyperlink>
        </w:p>
        <w:p w14:paraId="2DD3DB5A" w14:textId="67A8F2E9" w:rsidR="009E1E6B" w:rsidRDefault="009E1E6B">
          <w:pPr>
            <w:pStyle w:val="TOC2"/>
            <w:tabs>
              <w:tab w:val="right" w:leader="dot" w:pos="4598"/>
            </w:tabs>
            <w:rPr>
              <w:rFonts w:cstheme="minorBidi"/>
              <w:noProof/>
              <w:kern w:val="2"/>
              <w:sz w:val="24"/>
              <w:szCs w:val="24"/>
              <w14:ligatures w14:val="standardContextual"/>
            </w:rPr>
          </w:pPr>
          <w:hyperlink w:anchor="_Toc209710966" w:history="1">
            <w:r w:rsidRPr="00272E43">
              <w:rPr>
                <w:rStyle w:val="Hyperlink"/>
                <w:noProof/>
              </w:rPr>
              <w:t>United Nations Standard Products and Services Code</w:t>
            </w:r>
            <w:r w:rsidRPr="00272E43">
              <w:rPr>
                <w:rStyle w:val="Hyperlink"/>
                <w:noProof/>
                <w:vertAlign w:val="superscript"/>
              </w:rPr>
              <w:t>®</w:t>
            </w:r>
            <w:r w:rsidRPr="00272E43">
              <w:rPr>
                <w:rStyle w:val="Hyperlink"/>
                <w:noProof/>
              </w:rPr>
              <w:t xml:space="preserve"> (UN</w:t>
            </w:r>
            <w:r w:rsidRPr="00272E43">
              <w:rPr>
                <w:rStyle w:val="Hyperlink"/>
                <w:noProof/>
              </w:rPr>
              <w:t>S</w:t>
            </w:r>
            <w:r w:rsidRPr="00272E43">
              <w:rPr>
                <w:rStyle w:val="Hyperlink"/>
                <w:noProof/>
              </w:rPr>
              <w:t>PSC</w:t>
            </w:r>
            <w:r w:rsidRPr="00272E43">
              <w:rPr>
                <w:rStyle w:val="Hyperlink"/>
                <w:noProof/>
                <w:vertAlign w:val="superscript"/>
              </w:rPr>
              <w:t>®</w:t>
            </w:r>
            <w:r w:rsidRPr="00272E43">
              <w:rPr>
                <w:rStyle w:val="Hyperlink"/>
                <w:noProof/>
              </w:rPr>
              <w:t>)</w:t>
            </w:r>
            <w:r>
              <w:rPr>
                <w:noProof/>
                <w:webHidden/>
              </w:rPr>
              <w:tab/>
            </w:r>
            <w:r>
              <w:rPr>
                <w:noProof/>
                <w:webHidden/>
              </w:rPr>
              <w:fldChar w:fldCharType="begin"/>
            </w:r>
            <w:r>
              <w:rPr>
                <w:noProof/>
                <w:webHidden/>
              </w:rPr>
              <w:instrText xml:space="preserve"> PAGEREF _Toc209710966 \h </w:instrText>
            </w:r>
            <w:r>
              <w:rPr>
                <w:noProof/>
                <w:webHidden/>
              </w:rPr>
            </w:r>
            <w:r>
              <w:rPr>
                <w:noProof/>
                <w:webHidden/>
              </w:rPr>
              <w:fldChar w:fldCharType="separate"/>
            </w:r>
            <w:r>
              <w:rPr>
                <w:noProof/>
                <w:webHidden/>
              </w:rPr>
              <w:t>14</w:t>
            </w:r>
            <w:r>
              <w:rPr>
                <w:noProof/>
                <w:webHidden/>
              </w:rPr>
              <w:fldChar w:fldCharType="end"/>
            </w:r>
          </w:hyperlink>
        </w:p>
        <w:p w14:paraId="50AC2B20" w14:textId="3392CC0F" w:rsidR="005A21C6" w:rsidRDefault="00817814">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F9C37A9" w14:textId="77777777" w:rsidR="00DB0317" w:rsidRDefault="00DB0317" w:rsidP="00B854B6">
      <w:pPr>
        <w:jc w:val="center"/>
        <w:rPr>
          <w:b/>
          <w:bCs/>
          <w:sz w:val="26"/>
          <w:szCs w:val="26"/>
        </w:rPr>
      </w:pPr>
    </w:p>
    <w:p w14:paraId="76DCC826" w14:textId="68F0BAD7"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2B1FF411" w14:textId="77777777" w:rsidR="00E85772" w:rsidRDefault="00E85772" w:rsidP="00E85772">
      <w:pPr>
        <w:pStyle w:val="Heading2"/>
      </w:pPr>
      <w:bookmarkStart w:id="5" w:name="_Toc2094703089"/>
      <w:bookmarkStart w:id="6" w:name="_Toc209710943"/>
      <w:bookmarkEnd w:id="4"/>
      <w:r>
        <w:lastRenderedPageBreak/>
        <w:t>Contract Summary</w:t>
      </w:r>
      <w:bookmarkEnd w:id="5"/>
      <w:bookmarkEnd w:id="6"/>
    </w:p>
    <w:p w14:paraId="03E2FD95" w14:textId="77777777" w:rsidR="00E85772" w:rsidRDefault="00E85772" w:rsidP="00E85772">
      <w:pPr>
        <w:rPr>
          <w:sz w:val="24"/>
          <w:szCs w:val="24"/>
        </w:rPr>
      </w:pPr>
      <w:r w:rsidRPr="002336B1">
        <w:rPr>
          <w:b/>
          <w:bCs/>
          <w:sz w:val="24"/>
          <w:szCs w:val="24"/>
        </w:rPr>
        <w:t>ENE55–Electricity Statewide Contract:</w:t>
      </w:r>
      <w:r w:rsidRPr="002336B1">
        <w:rPr>
          <w:sz w:val="24"/>
          <w:szCs w:val="24"/>
        </w:rPr>
        <w:t xml:space="preserve"> This is </w:t>
      </w:r>
      <w:r>
        <w:rPr>
          <w:sz w:val="24"/>
          <w:szCs w:val="24"/>
        </w:rPr>
        <w:t>the primary</w:t>
      </w:r>
      <w:r w:rsidRPr="002336B1">
        <w:rPr>
          <w:sz w:val="24"/>
          <w:szCs w:val="24"/>
        </w:rPr>
        <w:t xml:space="preserve"> Statewide Contract (SWC) for retail electricity purchased from Direct Energy Business, LLC by the Executive Branch and other participating entities.</w:t>
      </w:r>
      <w:r>
        <w:rPr>
          <w:sz w:val="24"/>
          <w:szCs w:val="24"/>
        </w:rPr>
        <w:t xml:space="preserve"> </w:t>
      </w:r>
      <w:r w:rsidRPr="00055436">
        <w:rPr>
          <w:sz w:val="24"/>
          <w:szCs w:val="24"/>
        </w:rPr>
        <w:t>Each Commonwealth Agency and eligible entity is responsible for executing its own purchase orders and paying its own invoices for goods and/or services acquired from this Statewide Contract.</w:t>
      </w:r>
    </w:p>
    <w:p w14:paraId="3626E298" w14:textId="77777777" w:rsidR="00E85772" w:rsidRDefault="00E85772" w:rsidP="00E85772">
      <w:pPr>
        <w:rPr>
          <w:sz w:val="24"/>
          <w:szCs w:val="24"/>
        </w:rPr>
      </w:pPr>
      <w:r w:rsidRPr="004B226A">
        <w:rPr>
          <w:b/>
          <w:bCs/>
          <w:sz w:val="24"/>
          <w:szCs w:val="24"/>
        </w:rPr>
        <w:t>NOTE:</w:t>
      </w:r>
      <w:r w:rsidRPr="004B226A">
        <w:rPr>
          <w:sz w:val="24"/>
          <w:szCs w:val="24"/>
        </w:rPr>
        <w:t xml:space="preserve"> This contract can be used to procure the goods or services described herein </w:t>
      </w:r>
      <w:r w:rsidRPr="004B226A">
        <w:rPr>
          <w:b/>
          <w:bCs/>
          <w:sz w:val="24"/>
          <w:szCs w:val="24"/>
        </w:rPr>
        <w:t>at any dollar amount</w:t>
      </w:r>
      <w:r w:rsidRPr="004B226A">
        <w:rPr>
          <w:sz w:val="24"/>
          <w:szCs w:val="24"/>
        </w:rPr>
        <w:t xml:space="preserve">. Any limitations, including for procurements involving </w:t>
      </w:r>
      <w:r w:rsidRPr="004B226A">
        <w:rPr>
          <w:b/>
          <w:bCs/>
          <w:sz w:val="24"/>
          <w:szCs w:val="24"/>
        </w:rPr>
        <w:t>construction</w:t>
      </w:r>
      <w:r w:rsidRPr="004B226A">
        <w:rPr>
          <w:sz w:val="24"/>
          <w:szCs w:val="24"/>
        </w:rPr>
        <w:t>, are outlined in this Contract User Guide. </w:t>
      </w:r>
    </w:p>
    <w:p w14:paraId="0CCFB42B" w14:textId="39AED41F" w:rsidR="00E85772" w:rsidRPr="002336B1" w:rsidRDefault="00C87628" w:rsidP="58332DC4">
      <w:pPr>
        <w:rPr>
          <w:rFonts w:eastAsiaTheme="majorEastAsia" w:cstheme="majorBidi"/>
          <w:sz w:val="24"/>
          <w:szCs w:val="24"/>
        </w:rPr>
      </w:pPr>
      <w:r w:rsidRPr="58332DC4">
        <w:rPr>
          <w:sz w:val="24"/>
          <w:szCs w:val="24"/>
        </w:rPr>
        <w:t xml:space="preserve">For the Master Contract Record refer to the </w:t>
      </w:r>
      <w:hyperlink r:id="rId21">
        <w:r w:rsidR="00AB2E84">
          <w:rPr>
            <w:rStyle w:val="Hyperlink"/>
            <w:sz w:val="24"/>
            <w:szCs w:val="24"/>
          </w:rPr>
          <w:t>ENE55 Master Contract Record</w:t>
        </w:r>
      </w:hyperlink>
      <w:r>
        <w:t>.</w:t>
      </w:r>
      <w:r w:rsidR="00E85772" w:rsidRPr="58332DC4">
        <w:rPr>
          <w:rFonts w:eastAsiaTheme="majorEastAsia" w:cstheme="majorBidi"/>
          <w:sz w:val="24"/>
          <w:szCs w:val="24"/>
        </w:rPr>
        <w:t xml:space="preserve"> </w:t>
      </w:r>
    </w:p>
    <w:p w14:paraId="173F8C06" w14:textId="77777777" w:rsidR="00E85772" w:rsidRPr="00705E5A" w:rsidRDefault="00E85772" w:rsidP="00E85772">
      <w:pPr>
        <w:pStyle w:val="Heading2"/>
      </w:pPr>
      <w:bookmarkStart w:id="7" w:name="_Toc194066617"/>
      <w:bookmarkStart w:id="8" w:name="_Toc198048687"/>
      <w:bookmarkStart w:id="9" w:name="_Toc1875557719"/>
      <w:bookmarkStart w:id="10" w:name="_Toc209710944"/>
      <w:r>
        <w:t xml:space="preserve">Benefits and </w:t>
      </w:r>
      <w:r w:rsidRPr="00E85772">
        <w:t>Cost</w:t>
      </w:r>
      <w:r>
        <w:t xml:space="preserve"> Savings</w:t>
      </w:r>
      <w:bookmarkEnd w:id="7"/>
      <w:bookmarkEnd w:id="8"/>
      <w:bookmarkEnd w:id="9"/>
      <w:bookmarkEnd w:id="10"/>
    </w:p>
    <w:p w14:paraId="7BEB70B5" w14:textId="0FCC881D" w:rsidR="00E85772" w:rsidRPr="007F0A83" w:rsidRDefault="00E85772" w:rsidP="00E85772">
      <w:pPr>
        <w:rPr>
          <w:b/>
          <w:bCs/>
          <w:color w:val="000000" w:themeColor="text1"/>
          <w:sz w:val="24"/>
          <w:szCs w:val="24"/>
        </w:rPr>
      </w:pPr>
      <w:r w:rsidRPr="007F0A83">
        <w:rPr>
          <w:color w:val="000000" w:themeColor="text1"/>
          <w:sz w:val="24"/>
          <w:szCs w:val="24"/>
        </w:rPr>
        <w:t xml:space="preserve">Statewide </w:t>
      </w:r>
      <w:r w:rsidR="00AB2E84">
        <w:rPr>
          <w:color w:val="000000" w:themeColor="text1"/>
          <w:sz w:val="24"/>
          <w:szCs w:val="24"/>
        </w:rPr>
        <w:t>C</w:t>
      </w:r>
      <w:r w:rsidRPr="007F0A83">
        <w:rPr>
          <w:color w:val="000000" w:themeColor="text1"/>
          <w:sz w:val="24"/>
          <w:szCs w:val="24"/>
        </w:rPr>
        <w:t xml:space="preserve">ontracts (SWCs) are an easy way to obtain benefits for your organization by: </w:t>
      </w:r>
    </w:p>
    <w:p w14:paraId="124FC83E" w14:textId="77777777" w:rsidR="00E85772" w:rsidRPr="007F0A83" w:rsidRDefault="00E85772" w:rsidP="004C65F1">
      <w:pPr>
        <w:pStyle w:val="ListParagraph"/>
        <w:numPr>
          <w:ilvl w:val="0"/>
          <w:numId w:val="8"/>
        </w:numPr>
        <w:rPr>
          <w:b/>
          <w:bCs/>
          <w:color w:val="000000" w:themeColor="text1"/>
          <w:sz w:val="24"/>
          <w:szCs w:val="24"/>
        </w:rPr>
      </w:pPr>
      <w:r w:rsidRPr="007F0A83">
        <w:rPr>
          <w:color w:val="000000" w:themeColor="text1"/>
          <w:sz w:val="24"/>
          <w:szCs w:val="24"/>
        </w:rPr>
        <w:t>Leveraging the Commonwealth’s buying power</w:t>
      </w:r>
    </w:p>
    <w:p w14:paraId="19C1A900" w14:textId="77777777" w:rsidR="00E85772" w:rsidRPr="007F0A83" w:rsidRDefault="00E85772" w:rsidP="004C65F1">
      <w:pPr>
        <w:pStyle w:val="ListParagraph"/>
        <w:numPr>
          <w:ilvl w:val="0"/>
          <w:numId w:val="8"/>
        </w:numPr>
        <w:rPr>
          <w:b/>
          <w:bCs/>
          <w:color w:val="000000" w:themeColor="text1"/>
          <w:sz w:val="24"/>
          <w:szCs w:val="24"/>
        </w:rPr>
      </w:pPr>
      <w:r w:rsidRPr="007F0A83">
        <w:rPr>
          <w:color w:val="000000" w:themeColor="text1"/>
          <w:sz w:val="24"/>
          <w:szCs w:val="24"/>
        </w:rPr>
        <w:t>Simplifying the solicitation process</w:t>
      </w:r>
    </w:p>
    <w:p w14:paraId="357D1A80" w14:textId="77777777" w:rsidR="00E85772" w:rsidRPr="007F0A83" w:rsidRDefault="00E85772" w:rsidP="004C65F1">
      <w:pPr>
        <w:pStyle w:val="ListParagraph"/>
        <w:numPr>
          <w:ilvl w:val="0"/>
          <w:numId w:val="8"/>
        </w:numPr>
        <w:rPr>
          <w:b/>
          <w:bCs/>
          <w:color w:val="000000" w:themeColor="text1"/>
          <w:sz w:val="24"/>
          <w:szCs w:val="24"/>
        </w:rPr>
      </w:pPr>
      <w:r w:rsidRPr="007F0A83">
        <w:rPr>
          <w:color w:val="000000" w:themeColor="text1"/>
          <w:sz w:val="24"/>
          <w:szCs w:val="24"/>
        </w:rPr>
        <w:t>Providing contracting expertise</w:t>
      </w:r>
    </w:p>
    <w:p w14:paraId="1B6E6E81" w14:textId="77777777" w:rsidR="00E85772" w:rsidRPr="007F0A83" w:rsidRDefault="00E85772" w:rsidP="004C65F1">
      <w:pPr>
        <w:pStyle w:val="ListParagraph"/>
        <w:numPr>
          <w:ilvl w:val="0"/>
          <w:numId w:val="8"/>
        </w:numPr>
        <w:rPr>
          <w:color w:val="000000" w:themeColor="text1"/>
          <w:sz w:val="24"/>
          <w:szCs w:val="24"/>
        </w:rPr>
      </w:pPr>
      <w:r w:rsidRPr="007F0A83">
        <w:rPr>
          <w:color w:val="000000" w:themeColor="text1"/>
          <w:sz w:val="24"/>
          <w:szCs w:val="24"/>
        </w:rPr>
        <w:t>Enhancing vendor relationships through proactive management and oversight</w:t>
      </w:r>
    </w:p>
    <w:p w14:paraId="769201B5" w14:textId="77777777" w:rsidR="00E85772" w:rsidRPr="007F0A83" w:rsidRDefault="00E85772" w:rsidP="004C65F1">
      <w:pPr>
        <w:pStyle w:val="ListParagraph"/>
        <w:numPr>
          <w:ilvl w:val="0"/>
          <w:numId w:val="8"/>
        </w:numPr>
        <w:rPr>
          <w:b/>
          <w:bCs/>
          <w:color w:val="000000" w:themeColor="text1"/>
          <w:sz w:val="24"/>
          <w:szCs w:val="24"/>
        </w:rPr>
      </w:pPr>
      <w:r w:rsidRPr="007F0A83">
        <w:rPr>
          <w:color w:val="000000" w:themeColor="text1"/>
          <w:sz w:val="24"/>
          <w:szCs w:val="24"/>
        </w:rPr>
        <w:t>Offering competitive pricing</w:t>
      </w:r>
    </w:p>
    <w:p w14:paraId="5A587B75" w14:textId="77777777" w:rsidR="00E85772" w:rsidRPr="007F0A83" w:rsidRDefault="00E85772" w:rsidP="004C65F1">
      <w:pPr>
        <w:pStyle w:val="ListParagraph"/>
        <w:numPr>
          <w:ilvl w:val="0"/>
          <w:numId w:val="8"/>
        </w:numPr>
        <w:rPr>
          <w:color w:val="000000" w:themeColor="text1"/>
          <w:sz w:val="24"/>
          <w:szCs w:val="24"/>
        </w:rPr>
      </w:pPr>
      <w:r>
        <w:rPr>
          <w:color w:val="000000" w:themeColor="text1"/>
          <w:sz w:val="24"/>
          <w:szCs w:val="24"/>
        </w:rPr>
        <w:t>Partnering with q</w:t>
      </w:r>
      <w:r w:rsidRPr="007F0A83">
        <w:rPr>
          <w:color w:val="000000" w:themeColor="text1"/>
          <w:sz w:val="24"/>
          <w:szCs w:val="24"/>
        </w:rPr>
        <w:t xml:space="preserve">ualified and experienced </w:t>
      </w:r>
      <w:r>
        <w:rPr>
          <w:color w:val="000000" w:themeColor="text1"/>
          <w:sz w:val="24"/>
          <w:szCs w:val="24"/>
        </w:rPr>
        <w:t>consultant</w:t>
      </w:r>
      <w:r w:rsidRPr="007F0A83">
        <w:rPr>
          <w:color w:val="000000" w:themeColor="text1"/>
          <w:sz w:val="24"/>
          <w:szCs w:val="24"/>
        </w:rPr>
        <w:t xml:space="preserve"> </w:t>
      </w:r>
      <w:r>
        <w:rPr>
          <w:color w:val="000000" w:themeColor="text1"/>
          <w:sz w:val="24"/>
          <w:szCs w:val="24"/>
        </w:rPr>
        <w:t>(</w:t>
      </w:r>
      <w:hyperlink r:id="rId22" w:history="1">
        <w:r w:rsidRPr="007F0A83">
          <w:rPr>
            <w:rStyle w:val="Hyperlink"/>
            <w:sz w:val="24"/>
            <w:szCs w:val="24"/>
          </w:rPr>
          <w:t>Enel X</w:t>
        </w:r>
      </w:hyperlink>
      <w:r w:rsidRPr="007F0A83">
        <w:rPr>
          <w:color w:val="000000" w:themeColor="text1"/>
          <w:sz w:val="24"/>
          <w:szCs w:val="24"/>
        </w:rPr>
        <w:t>)</w:t>
      </w:r>
    </w:p>
    <w:p w14:paraId="0F851757" w14:textId="77777777" w:rsidR="00E85772" w:rsidRPr="007F0A83" w:rsidRDefault="00E85772" w:rsidP="004C65F1">
      <w:pPr>
        <w:pStyle w:val="ListParagraph"/>
        <w:numPr>
          <w:ilvl w:val="0"/>
          <w:numId w:val="8"/>
        </w:numPr>
        <w:rPr>
          <w:b/>
          <w:bCs/>
          <w:color w:val="000000" w:themeColor="text1"/>
          <w:sz w:val="24"/>
          <w:szCs w:val="24"/>
        </w:rPr>
      </w:pPr>
      <w:r w:rsidRPr="007F0A83">
        <w:rPr>
          <w:color w:val="000000" w:themeColor="text1"/>
          <w:sz w:val="24"/>
          <w:szCs w:val="24"/>
        </w:rPr>
        <w:t>Offering Prompt Pay Discount</w:t>
      </w:r>
    </w:p>
    <w:p w14:paraId="7FDD244A" w14:textId="77777777" w:rsidR="00E85772" w:rsidRPr="007F0A83" w:rsidRDefault="00E85772" w:rsidP="004C65F1">
      <w:pPr>
        <w:pStyle w:val="ListParagraph"/>
        <w:numPr>
          <w:ilvl w:val="0"/>
          <w:numId w:val="8"/>
        </w:numPr>
        <w:rPr>
          <w:color w:val="000000" w:themeColor="text1"/>
          <w:sz w:val="24"/>
          <w:szCs w:val="24"/>
        </w:rPr>
      </w:pPr>
      <w:r w:rsidRPr="007F0A83">
        <w:rPr>
          <w:color w:val="000000" w:themeColor="text1"/>
          <w:sz w:val="24"/>
          <w:szCs w:val="24"/>
        </w:rPr>
        <w:t>Improving the availability of environmentally preferable products</w:t>
      </w:r>
    </w:p>
    <w:p w14:paraId="334587F8" w14:textId="77777777" w:rsidR="004C4505" w:rsidRDefault="004C4505" w:rsidP="00C87628">
      <w:pPr>
        <w:pStyle w:val="Heading2"/>
      </w:pPr>
      <w:bookmarkStart w:id="11" w:name="_Toc1637210618"/>
      <w:bookmarkStart w:id="12" w:name="_Toc209710945"/>
      <w:r>
        <w:t>Contract Categories</w:t>
      </w:r>
      <w:bookmarkEnd w:id="11"/>
      <w:bookmarkEnd w:id="12"/>
      <w:r>
        <w:t xml:space="preserve"> </w:t>
      </w:r>
    </w:p>
    <w:p w14:paraId="0D7E0A84" w14:textId="77777777" w:rsidR="004C4505" w:rsidRPr="002336B1" w:rsidRDefault="004C4505" w:rsidP="004C4505">
      <w:pPr>
        <w:rPr>
          <w:rFonts w:cstheme="minorHAnsi"/>
          <w:iCs/>
          <w:sz w:val="24"/>
          <w:szCs w:val="24"/>
        </w:rPr>
      </w:pPr>
      <w:r w:rsidRPr="002336B1">
        <w:rPr>
          <w:rFonts w:cstheme="minorHAnsi"/>
          <w:iCs/>
          <w:sz w:val="24"/>
          <w:szCs w:val="24"/>
        </w:rPr>
        <w:t xml:space="preserve">This contract includes two (2) categories of electricity as listed as follows:  </w:t>
      </w:r>
    </w:p>
    <w:p w14:paraId="37662021" w14:textId="77777777" w:rsidR="004C4505" w:rsidRPr="002336B1" w:rsidRDefault="004C4505" w:rsidP="004C65F1">
      <w:pPr>
        <w:pStyle w:val="ListParagraph"/>
        <w:numPr>
          <w:ilvl w:val="0"/>
          <w:numId w:val="5"/>
        </w:numPr>
        <w:rPr>
          <w:rFonts w:cstheme="minorHAnsi"/>
          <w:iCs/>
          <w:sz w:val="24"/>
          <w:szCs w:val="24"/>
        </w:rPr>
      </w:pPr>
      <w:r w:rsidRPr="002336B1">
        <w:rPr>
          <w:rFonts w:cstheme="minorHAnsi"/>
          <w:b/>
          <w:bCs/>
          <w:iCs/>
          <w:sz w:val="24"/>
          <w:szCs w:val="24"/>
        </w:rPr>
        <w:t>Category 1:</w:t>
      </w:r>
      <w:r w:rsidRPr="002336B1">
        <w:rPr>
          <w:rFonts w:cstheme="minorHAnsi"/>
          <w:iCs/>
          <w:sz w:val="24"/>
          <w:szCs w:val="24"/>
        </w:rPr>
        <w:t xml:space="preserve"> Firm Fixed Price</w:t>
      </w:r>
    </w:p>
    <w:p w14:paraId="63EB51FA" w14:textId="77777777" w:rsidR="004C4505" w:rsidRPr="002336B1" w:rsidRDefault="004C4505" w:rsidP="004C65F1">
      <w:pPr>
        <w:pStyle w:val="ListParagraph"/>
        <w:numPr>
          <w:ilvl w:val="0"/>
          <w:numId w:val="5"/>
        </w:numPr>
        <w:rPr>
          <w:rFonts w:cstheme="minorHAnsi"/>
          <w:iCs/>
          <w:sz w:val="24"/>
          <w:szCs w:val="24"/>
        </w:rPr>
      </w:pPr>
      <w:r w:rsidRPr="002336B1">
        <w:rPr>
          <w:rFonts w:cstheme="minorHAnsi"/>
          <w:b/>
          <w:bCs/>
          <w:iCs/>
          <w:sz w:val="24"/>
          <w:szCs w:val="24"/>
        </w:rPr>
        <w:t>Category 2:</w:t>
      </w:r>
      <w:r w:rsidRPr="002336B1">
        <w:rPr>
          <w:rFonts w:cstheme="minorHAnsi"/>
          <w:iCs/>
          <w:sz w:val="24"/>
          <w:szCs w:val="24"/>
        </w:rPr>
        <w:t xml:space="preserve"> Firm Fixed Price with Capacity Pass Through</w:t>
      </w:r>
    </w:p>
    <w:p w14:paraId="55B4C24E" w14:textId="77777777" w:rsidR="004C4505" w:rsidRPr="00DC5CC1" w:rsidRDefault="004C4505" w:rsidP="00C87628">
      <w:pPr>
        <w:pStyle w:val="Heading2"/>
      </w:pPr>
      <w:bookmarkStart w:id="13" w:name="_Toc194066594"/>
      <w:bookmarkStart w:id="14" w:name="_Toc198048690"/>
      <w:bookmarkStart w:id="15" w:name="_Toc453413066"/>
      <w:bookmarkStart w:id="16" w:name="_Toc209710946"/>
      <w:r>
        <w:lastRenderedPageBreak/>
        <w:t>Who Can Use the Contract</w:t>
      </w:r>
      <w:bookmarkEnd w:id="13"/>
      <w:bookmarkEnd w:id="14"/>
      <w:bookmarkEnd w:id="15"/>
      <w:bookmarkEnd w:id="16"/>
    </w:p>
    <w:p w14:paraId="128F060D" w14:textId="77777777" w:rsidR="004C4505" w:rsidRPr="003C62B7" w:rsidRDefault="004C4505" w:rsidP="004C4505">
      <w:pPr>
        <w:rPr>
          <w:sz w:val="24"/>
          <w:szCs w:val="24"/>
        </w:rPr>
      </w:pPr>
      <w:r w:rsidRPr="003C62B7">
        <w:rPr>
          <w:sz w:val="24"/>
          <w:szCs w:val="24"/>
        </w:rPr>
        <w:t>The following is a complete list of the types of organizations generally allowed to use Operational Service Division’s (OSD's) Statewide Contracts (SWCs). Some SWCs may be open to additional organizations, and some are more restricted in usage.</w:t>
      </w:r>
    </w:p>
    <w:p w14:paraId="13E7E0CA" w14:textId="77777777" w:rsidR="004C4505" w:rsidRPr="003C62B7" w:rsidRDefault="004C4505" w:rsidP="004C65F1">
      <w:pPr>
        <w:pStyle w:val="ListParagraph"/>
        <w:numPr>
          <w:ilvl w:val="0"/>
          <w:numId w:val="7"/>
        </w:numPr>
        <w:rPr>
          <w:sz w:val="24"/>
          <w:szCs w:val="24"/>
        </w:rPr>
      </w:pPr>
      <w:r w:rsidRPr="003C62B7">
        <w:rPr>
          <w:sz w:val="24"/>
          <w:szCs w:val="24"/>
        </w:rPr>
        <w:t>Cities, towns, districts, counties, and other political subdivisions</w:t>
      </w:r>
    </w:p>
    <w:p w14:paraId="41A76479" w14:textId="77777777" w:rsidR="004C4505" w:rsidRPr="003C62B7" w:rsidRDefault="004C4505" w:rsidP="004C65F1">
      <w:pPr>
        <w:pStyle w:val="ListParagraph"/>
        <w:numPr>
          <w:ilvl w:val="0"/>
          <w:numId w:val="7"/>
        </w:numPr>
        <w:rPr>
          <w:sz w:val="24"/>
          <w:szCs w:val="24"/>
        </w:rPr>
      </w:pPr>
      <w:r w:rsidRPr="003C62B7">
        <w:rPr>
          <w:sz w:val="24"/>
          <w:szCs w:val="24"/>
        </w:rPr>
        <w:t>Executive, Legislative, and Judicial Branches, including all departments and elected offices therein</w:t>
      </w:r>
    </w:p>
    <w:p w14:paraId="4DC64D8C" w14:textId="77777777" w:rsidR="004C4505" w:rsidRPr="003C62B7" w:rsidRDefault="004C4505" w:rsidP="004C65F1">
      <w:pPr>
        <w:pStyle w:val="ListParagraph"/>
        <w:numPr>
          <w:ilvl w:val="0"/>
          <w:numId w:val="7"/>
        </w:numPr>
        <w:rPr>
          <w:sz w:val="24"/>
          <w:szCs w:val="24"/>
        </w:rPr>
      </w:pPr>
      <w:r w:rsidRPr="003C62B7">
        <w:rPr>
          <w:sz w:val="24"/>
          <w:szCs w:val="24"/>
        </w:rPr>
        <w:t>Independent public authorities, commissions, and quasi-public agencies</w:t>
      </w:r>
    </w:p>
    <w:p w14:paraId="4B99DAA9" w14:textId="77777777" w:rsidR="004C4505" w:rsidRPr="003C62B7" w:rsidRDefault="004C4505" w:rsidP="004C65F1">
      <w:pPr>
        <w:pStyle w:val="ListParagraph"/>
        <w:numPr>
          <w:ilvl w:val="0"/>
          <w:numId w:val="7"/>
        </w:numPr>
        <w:rPr>
          <w:sz w:val="24"/>
          <w:szCs w:val="24"/>
        </w:rPr>
      </w:pPr>
      <w:r w:rsidRPr="003C62B7">
        <w:rPr>
          <w:sz w:val="24"/>
          <w:szCs w:val="24"/>
        </w:rPr>
        <w:t>Local public libraries, public school districts, and charter schools</w:t>
      </w:r>
    </w:p>
    <w:p w14:paraId="68666753" w14:textId="77777777" w:rsidR="004C4505" w:rsidRPr="003C62B7" w:rsidRDefault="004C4505" w:rsidP="004C65F1">
      <w:pPr>
        <w:pStyle w:val="ListParagraph"/>
        <w:numPr>
          <w:ilvl w:val="0"/>
          <w:numId w:val="7"/>
        </w:numPr>
        <w:rPr>
          <w:sz w:val="24"/>
          <w:szCs w:val="24"/>
        </w:rPr>
      </w:pPr>
      <w:r w:rsidRPr="003C62B7">
        <w:rPr>
          <w:sz w:val="24"/>
          <w:szCs w:val="24"/>
        </w:rPr>
        <w:t>Public hospitals owned by the Commonwealth of Massachusetts</w:t>
      </w:r>
    </w:p>
    <w:p w14:paraId="3B96C481" w14:textId="77777777" w:rsidR="004C4505" w:rsidRPr="003C62B7" w:rsidRDefault="004C4505" w:rsidP="004C65F1">
      <w:pPr>
        <w:pStyle w:val="ListParagraph"/>
        <w:numPr>
          <w:ilvl w:val="0"/>
          <w:numId w:val="7"/>
        </w:numPr>
        <w:rPr>
          <w:sz w:val="24"/>
          <w:szCs w:val="24"/>
        </w:rPr>
      </w:pPr>
      <w:r w:rsidRPr="003C62B7">
        <w:rPr>
          <w:sz w:val="24"/>
          <w:szCs w:val="24"/>
        </w:rPr>
        <w:t>Public institutions of higher education</w:t>
      </w:r>
    </w:p>
    <w:p w14:paraId="21FD4B2D" w14:textId="77777777" w:rsidR="004C4505" w:rsidRPr="003C62B7" w:rsidRDefault="004C4505" w:rsidP="004C65F1">
      <w:pPr>
        <w:pStyle w:val="ListParagraph"/>
        <w:numPr>
          <w:ilvl w:val="0"/>
          <w:numId w:val="7"/>
        </w:numPr>
        <w:rPr>
          <w:sz w:val="24"/>
          <w:szCs w:val="24"/>
        </w:rPr>
      </w:pPr>
      <w:r w:rsidRPr="003C62B7">
        <w:rPr>
          <w:sz w:val="24"/>
          <w:szCs w:val="24"/>
        </w:rPr>
        <w:t>Public purchasing cooperatives</w:t>
      </w:r>
    </w:p>
    <w:p w14:paraId="0D39CDAD" w14:textId="77777777" w:rsidR="004C4505" w:rsidRPr="003C62B7" w:rsidRDefault="004C4505" w:rsidP="004C65F1">
      <w:pPr>
        <w:pStyle w:val="ListParagraph"/>
        <w:numPr>
          <w:ilvl w:val="0"/>
          <w:numId w:val="7"/>
        </w:numPr>
        <w:rPr>
          <w:sz w:val="24"/>
          <w:szCs w:val="24"/>
        </w:rPr>
      </w:pPr>
      <w:hyperlink r:id="rId23" w:history="1">
        <w:r w:rsidRPr="003C62B7">
          <w:rPr>
            <w:rStyle w:val="Hyperlink"/>
            <w:sz w:val="24"/>
            <w:szCs w:val="24"/>
          </w:rPr>
          <w:t>Non-profit</w:t>
        </w:r>
      </w:hyperlink>
      <w:r w:rsidRPr="003C62B7">
        <w:rPr>
          <w:sz w:val="24"/>
          <w:szCs w:val="24"/>
        </w:rPr>
        <w:t>, UFR-certified organizations that are doing business with the Commonwealth</w:t>
      </w:r>
    </w:p>
    <w:p w14:paraId="7D940E88" w14:textId="77777777" w:rsidR="004C4505" w:rsidRPr="003C62B7" w:rsidRDefault="004C4505" w:rsidP="004C65F1">
      <w:pPr>
        <w:pStyle w:val="ListParagraph"/>
        <w:numPr>
          <w:ilvl w:val="0"/>
          <w:numId w:val="7"/>
        </w:numPr>
        <w:rPr>
          <w:sz w:val="24"/>
          <w:szCs w:val="24"/>
        </w:rPr>
      </w:pPr>
      <w:r w:rsidRPr="003C62B7">
        <w:rPr>
          <w:sz w:val="24"/>
          <w:szCs w:val="24"/>
        </w:rPr>
        <w:t xml:space="preserve">Other states and territories and their cities, towns, districts, counties, other political subdivisions, and public institutions of higher education without prior approval from the State Purchasing Agent </w:t>
      </w:r>
    </w:p>
    <w:p w14:paraId="33FE6973" w14:textId="77777777" w:rsidR="004C4505" w:rsidRPr="003C62B7" w:rsidRDefault="004C4505" w:rsidP="004C65F1">
      <w:pPr>
        <w:pStyle w:val="ListParagraph"/>
        <w:numPr>
          <w:ilvl w:val="0"/>
          <w:numId w:val="7"/>
        </w:numPr>
        <w:rPr>
          <w:sz w:val="24"/>
          <w:szCs w:val="24"/>
        </w:rPr>
      </w:pPr>
      <w:r w:rsidRPr="003C62B7">
        <w:rPr>
          <w:sz w:val="24"/>
          <w:szCs w:val="24"/>
        </w:rPr>
        <w:t>Other entities when designated in writing by the State Purchasing Agent</w:t>
      </w:r>
    </w:p>
    <w:p w14:paraId="422025F0" w14:textId="77777777" w:rsidR="004C4505" w:rsidRDefault="004C4505" w:rsidP="00C87628">
      <w:pPr>
        <w:pStyle w:val="Heading2"/>
      </w:pPr>
      <w:bookmarkStart w:id="17" w:name="_Toc1191979448"/>
      <w:bookmarkStart w:id="18" w:name="_Toc209710947"/>
      <w:r>
        <w:t>Pricing Options</w:t>
      </w:r>
      <w:bookmarkEnd w:id="17"/>
      <w:bookmarkEnd w:id="18"/>
    </w:p>
    <w:p w14:paraId="665C34C3" w14:textId="77777777" w:rsidR="004C4505" w:rsidRPr="006371C6" w:rsidRDefault="004C4505" w:rsidP="004C4505">
      <w:pPr>
        <w:rPr>
          <w:iCs/>
          <w:sz w:val="24"/>
          <w:szCs w:val="24"/>
        </w:rPr>
      </w:pPr>
      <w:r w:rsidRPr="006371C6">
        <w:rPr>
          <w:iCs/>
          <w:sz w:val="24"/>
          <w:szCs w:val="24"/>
        </w:rPr>
        <w:t xml:space="preserve">This contract offers two finalized pricing options as follows, and no further negotiations may be made: </w:t>
      </w:r>
    </w:p>
    <w:p w14:paraId="7A610F1A" w14:textId="77777777" w:rsidR="004C4505" w:rsidRPr="006371C6" w:rsidRDefault="004C4505" w:rsidP="004C65F1">
      <w:pPr>
        <w:pStyle w:val="ListParagraph"/>
        <w:numPr>
          <w:ilvl w:val="0"/>
          <w:numId w:val="15"/>
        </w:numPr>
        <w:rPr>
          <w:b/>
          <w:bCs/>
          <w:iCs/>
          <w:sz w:val="24"/>
          <w:szCs w:val="24"/>
        </w:rPr>
      </w:pPr>
      <w:r w:rsidRPr="006371C6">
        <w:rPr>
          <w:b/>
          <w:bCs/>
          <w:iCs/>
          <w:sz w:val="24"/>
          <w:szCs w:val="24"/>
        </w:rPr>
        <w:t>Category 1–Firm Fixed Price:</w:t>
      </w:r>
    </w:p>
    <w:p w14:paraId="788D58B8" w14:textId="77777777" w:rsidR="004C4505" w:rsidRPr="006371C6" w:rsidRDefault="004C4505" w:rsidP="004C65F1">
      <w:pPr>
        <w:pStyle w:val="ListParagraph"/>
        <w:numPr>
          <w:ilvl w:val="1"/>
          <w:numId w:val="15"/>
        </w:numPr>
        <w:rPr>
          <w:iCs/>
          <w:sz w:val="24"/>
          <w:szCs w:val="24"/>
        </w:rPr>
      </w:pPr>
      <w:r w:rsidRPr="006371C6">
        <w:rPr>
          <w:iCs/>
          <w:sz w:val="24"/>
          <w:szCs w:val="24"/>
        </w:rPr>
        <w:t>For pre-award participants, the electricity rate is $0.11060 cents per kilowatt-hour (kWh) for meter readings taken between September 2024 and August 2027.</w:t>
      </w:r>
    </w:p>
    <w:p w14:paraId="619189D8" w14:textId="77777777" w:rsidR="004C4505" w:rsidRPr="006371C6" w:rsidRDefault="004C4505" w:rsidP="004C65F1">
      <w:pPr>
        <w:pStyle w:val="ListParagraph"/>
        <w:numPr>
          <w:ilvl w:val="1"/>
          <w:numId w:val="15"/>
        </w:numPr>
        <w:rPr>
          <w:iCs/>
          <w:sz w:val="24"/>
          <w:szCs w:val="24"/>
        </w:rPr>
      </w:pPr>
      <w:r w:rsidRPr="006371C6">
        <w:rPr>
          <w:iCs/>
          <w:sz w:val="24"/>
          <w:szCs w:val="24"/>
        </w:rPr>
        <w:t>After the contract is awarded, the accounts will be priced at the then-current market rate, continuing through the contract's end date.</w:t>
      </w:r>
    </w:p>
    <w:p w14:paraId="27621F2D" w14:textId="77777777" w:rsidR="004C4505" w:rsidRPr="006371C6" w:rsidRDefault="004C4505" w:rsidP="004C65F1">
      <w:pPr>
        <w:pStyle w:val="ListParagraph"/>
        <w:numPr>
          <w:ilvl w:val="0"/>
          <w:numId w:val="15"/>
        </w:numPr>
        <w:rPr>
          <w:iCs/>
          <w:sz w:val="24"/>
          <w:szCs w:val="24"/>
        </w:rPr>
      </w:pPr>
      <w:r w:rsidRPr="006371C6">
        <w:rPr>
          <w:b/>
          <w:bCs/>
          <w:iCs/>
          <w:sz w:val="24"/>
          <w:szCs w:val="24"/>
        </w:rPr>
        <w:t>Category 2–Firm Fixed Price with Capacity Pass-Through</w:t>
      </w:r>
      <w:r w:rsidRPr="006371C6">
        <w:rPr>
          <w:iCs/>
          <w:sz w:val="24"/>
          <w:szCs w:val="24"/>
        </w:rPr>
        <w:t>: The electricity rate is $0.10199 per kWh.</w:t>
      </w:r>
    </w:p>
    <w:p w14:paraId="7A52D6EA" w14:textId="77777777" w:rsidR="004C4505" w:rsidRPr="006371C6" w:rsidRDefault="004C4505" w:rsidP="004C4505">
      <w:pPr>
        <w:rPr>
          <w:iCs/>
          <w:sz w:val="24"/>
          <w:szCs w:val="24"/>
        </w:rPr>
      </w:pPr>
      <w:r w:rsidRPr="006371C6">
        <w:rPr>
          <w:iCs/>
          <w:sz w:val="24"/>
          <w:szCs w:val="24"/>
        </w:rPr>
        <w:t>Please note the following guidelines:</w:t>
      </w:r>
    </w:p>
    <w:p w14:paraId="570BB97B" w14:textId="77777777" w:rsidR="004C4505" w:rsidRPr="006371C6" w:rsidRDefault="004C4505" w:rsidP="004C65F1">
      <w:pPr>
        <w:pStyle w:val="ListParagraph"/>
        <w:numPr>
          <w:ilvl w:val="0"/>
          <w:numId w:val="15"/>
        </w:numPr>
        <w:rPr>
          <w:iCs/>
          <w:sz w:val="24"/>
          <w:szCs w:val="24"/>
        </w:rPr>
      </w:pPr>
      <w:r w:rsidRPr="006371C6">
        <w:rPr>
          <w:iCs/>
          <w:sz w:val="24"/>
          <w:szCs w:val="24"/>
        </w:rPr>
        <w:lastRenderedPageBreak/>
        <w:t xml:space="preserve">All orders should reference </w:t>
      </w:r>
      <w:r w:rsidRPr="006371C6">
        <w:rPr>
          <w:b/>
          <w:bCs/>
          <w:iCs/>
          <w:sz w:val="24"/>
          <w:szCs w:val="24"/>
        </w:rPr>
        <w:t>ENE55</w:t>
      </w:r>
      <w:r w:rsidRPr="006371C6">
        <w:rPr>
          <w:iCs/>
          <w:sz w:val="24"/>
          <w:szCs w:val="24"/>
        </w:rPr>
        <w:t xml:space="preserve"> to ensure buyers get statewide contract pricing.</w:t>
      </w:r>
    </w:p>
    <w:p w14:paraId="77D781DE" w14:textId="77777777" w:rsidR="004C4505" w:rsidRPr="006371C6" w:rsidRDefault="004C4505" w:rsidP="004C65F1">
      <w:pPr>
        <w:pStyle w:val="ListParagraph"/>
        <w:numPr>
          <w:ilvl w:val="0"/>
          <w:numId w:val="15"/>
        </w:numPr>
        <w:rPr>
          <w:iCs/>
          <w:sz w:val="24"/>
          <w:szCs w:val="24"/>
        </w:rPr>
      </w:pPr>
      <w:r w:rsidRPr="006371C6">
        <w:rPr>
          <w:iCs/>
          <w:sz w:val="24"/>
          <w:szCs w:val="24"/>
        </w:rPr>
        <w:t xml:space="preserve">Fuel Securitization Reliability Must Run (RMR) surcharges </w:t>
      </w:r>
      <w:r>
        <w:rPr>
          <w:iCs/>
          <w:sz w:val="24"/>
          <w:szCs w:val="24"/>
        </w:rPr>
        <w:t xml:space="preserve">added </w:t>
      </w:r>
      <w:r w:rsidRPr="006371C6">
        <w:rPr>
          <w:iCs/>
          <w:sz w:val="24"/>
          <w:szCs w:val="24"/>
        </w:rPr>
        <w:t>for Mystic Generating Station (both surcharges are allowed though rates are subject to change)</w:t>
      </w:r>
      <w:r>
        <w:rPr>
          <w:iCs/>
          <w:sz w:val="24"/>
          <w:szCs w:val="24"/>
        </w:rPr>
        <w:t>. Buyers will see the following on their invoice</w:t>
      </w:r>
      <w:r w:rsidRPr="006371C6">
        <w:rPr>
          <w:iCs/>
          <w:sz w:val="24"/>
          <w:szCs w:val="24"/>
        </w:rPr>
        <w:t>:</w:t>
      </w:r>
    </w:p>
    <w:p w14:paraId="219E07DA" w14:textId="77777777" w:rsidR="004C4505" w:rsidRPr="006371C6" w:rsidRDefault="004C4505" w:rsidP="004C65F1">
      <w:pPr>
        <w:pStyle w:val="ListParagraph"/>
        <w:numPr>
          <w:ilvl w:val="1"/>
          <w:numId w:val="15"/>
        </w:numPr>
        <w:rPr>
          <w:iCs/>
          <w:sz w:val="24"/>
          <w:szCs w:val="24"/>
        </w:rPr>
      </w:pPr>
      <w:r>
        <w:rPr>
          <w:iCs/>
          <w:sz w:val="24"/>
          <w:szCs w:val="24"/>
        </w:rPr>
        <w:t>Reliability Must Run (RMR)</w:t>
      </w:r>
    </w:p>
    <w:p w14:paraId="46A006BE" w14:textId="77777777" w:rsidR="004C4505" w:rsidRPr="006371C6" w:rsidRDefault="004C4505" w:rsidP="004C65F1">
      <w:pPr>
        <w:pStyle w:val="ListParagraph"/>
        <w:numPr>
          <w:ilvl w:val="1"/>
          <w:numId w:val="15"/>
        </w:numPr>
        <w:rPr>
          <w:iCs/>
          <w:sz w:val="24"/>
          <w:szCs w:val="24"/>
        </w:rPr>
      </w:pPr>
      <w:r>
        <w:rPr>
          <w:iCs/>
          <w:sz w:val="24"/>
          <w:szCs w:val="24"/>
        </w:rPr>
        <w:t>Fuel Security Costs (</w:t>
      </w:r>
      <w:r w:rsidRPr="006371C6">
        <w:rPr>
          <w:iCs/>
          <w:sz w:val="24"/>
          <w:szCs w:val="24"/>
        </w:rPr>
        <w:t>IEP/FSS</w:t>
      </w:r>
      <w:r>
        <w:rPr>
          <w:iCs/>
          <w:sz w:val="24"/>
          <w:szCs w:val="24"/>
        </w:rPr>
        <w:t>)</w:t>
      </w:r>
    </w:p>
    <w:p w14:paraId="042F8AFB" w14:textId="77777777" w:rsidR="004C4505" w:rsidRPr="006371C6" w:rsidRDefault="004C4505" w:rsidP="004C65F1">
      <w:pPr>
        <w:pStyle w:val="ListParagraph"/>
        <w:numPr>
          <w:ilvl w:val="0"/>
          <w:numId w:val="15"/>
        </w:numPr>
        <w:rPr>
          <w:iCs/>
          <w:sz w:val="24"/>
          <w:szCs w:val="24"/>
        </w:rPr>
      </w:pPr>
      <w:r w:rsidRPr="006371C6">
        <w:rPr>
          <w:sz w:val="24"/>
          <w:szCs w:val="24"/>
        </w:rPr>
        <w:t>The price files and vendor catalogs are accessible through public view in COMMBUYS; therefore, buyers can access the price files and vendor catalogs without needing to sign into a COMMBUYS account.</w:t>
      </w:r>
    </w:p>
    <w:p w14:paraId="2EF37E80" w14:textId="77777777" w:rsidR="004C4505" w:rsidRPr="00941458" w:rsidRDefault="004C4505" w:rsidP="004C65F1">
      <w:pPr>
        <w:pStyle w:val="ListParagraph"/>
        <w:numPr>
          <w:ilvl w:val="0"/>
          <w:numId w:val="15"/>
        </w:numPr>
        <w:rPr>
          <w:iCs/>
          <w:sz w:val="24"/>
          <w:szCs w:val="24"/>
        </w:rPr>
      </w:pPr>
      <w:r w:rsidRPr="006371C6">
        <w:rPr>
          <w:color w:val="000000" w:themeColor="text1"/>
          <w:sz w:val="24"/>
          <w:szCs w:val="24"/>
        </w:rPr>
        <w:t xml:space="preserve">Product pricing may be found on the </w:t>
      </w:r>
      <w:bookmarkStart w:id="19" w:name="_Hlk199261373"/>
      <w:r>
        <w:fldChar w:fldCharType="begin"/>
      </w:r>
      <w:r>
        <w:instrText>HYPERLINK \l "_Appendix_A:_Vendor"</w:instrText>
      </w:r>
      <w:r>
        <w:fldChar w:fldCharType="separate"/>
      </w:r>
      <w:r w:rsidRPr="006371C6">
        <w:rPr>
          <w:rStyle w:val="Hyperlink"/>
          <w:rFonts w:cs="Arial"/>
          <w:sz w:val="24"/>
          <w:szCs w:val="24"/>
        </w:rPr>
        <w:t>vendor information</w:t>
      </w:r>
      <w:r>
        <w:fldChar w:fldCharType="end"/>
      </w:r>
      <w:bookmarkEnd w:id="19"/>
      <w:r w:rsidRPr="006371C6">
        <w:rPr>
          <w:rFonts w:cs="Arial"/>
          <w:sz w:val="24"/>
          <w:szCs w:val="24"/>
        </w:rPr>
        <w:t xml:space="preserve"> </w:t>
      </w:r>
      <w:r w:rsidRPr="006371C6">
        <w:rPr>
          <w:rFonts w:cs="Arial"/>
          <w:color w:val="000000" w:themeColor="text1"/>
          <w:sz w:val="24"/>
          <w:szCs w:val="24"/>
        </w:rPr>
        <w:t>page, where links to all the vendors’ MBPOs are provided.</w:t>
      </w:r>
    </w:p>
    <w:p w14:paraId="3D34E7A9" w14:textId="33B3EFB4" w:rsidR="00941458" w:rsidRPr="006371C6" w:rsidRDefault="00941458" w:rsidP="00941458">
      <w:pPr>
        <w:pStyle w:val="Heading2"/>
      </w:pPr>
      <w:bookmarkStart w:id="20" w:name="_Quote_Response_and"/>
      <w:bookmarkStart w:id="21" w:name="_Toc209710948"/>
      <w:bookmarkEnd w:id="20"/>
      <w:r>
        <w:t>Quote Response and Requirements</w:t>
      </w:r>
      <w:bookmarkEnd w:id="21"/>
    </w:p>
    <w:p w14:paraId="4E48BAA2" w14:textId="77777777" w:rsidR="004C4505" w:rsidRDefault="004C4505" w:rsidP="00C87628">
      <w:pPr>
        <w:pStyle w:val="Heading3"/>
      </w:pPr>
      <w:bookmarkStart w:id="22" w:name="_Toc1626976537"/>
      <w:bookmarkStart w:id="23" w:name="_Toc209710949"/>
      <w:r>
        <w:t>Requesting Quotes Post-Contract Commencement</w:t>
      </w:r>
      <w:bookmarkEnd w:id="22"/>
      <w:bookmarkEnd w:id="23"/>
    </w:p>
    <w:p w14:paraId="572CB34A" w14:textId="77777777" w:rsidR="004C4505" w:rsidRPr="00380E53" w:rsidRDefault="004C4505" w:rsidP="004C4505">
      <w:pPr>
        <w:rPr>
          <w:sz w:val="24"/>
          <w:szCs w:val="24"/>
        </w:rPr>
      </w:pPr>
      <w:r w:rsidRPr="00380E53">
        <w:rPr>
          <w:sz w:val="24"/>
          <w:szCs w:val="24"/>
        </w:rPr>
        <w:t>Eligible Entities wishing to participate after a contract award must:</w:t>
      </w:r>
    </w:p>
    <w:p w14:paraId="68E700F0" w14:textId="77777777" w:rsidR="004C4505" w:rsidRPr="00380E53" w:rsidRDefault="004C4505" w:rsidP="004C65F1">
      <w:pPr>
        <w:pStyle w:val="ListParagraph"/>
        <w:numPr>
          <w:ilvl w:val="0"/>
          <w:numId w:val="16"/>
        </w:numPr>
        <w:rPr>
          <w:sz w:val="24"/>
          <w:szCs w:val="24"/>
        </w:rPr>
      </w:pPr>
      <w:r w:rsidRPr="00380E53">
        <w:rPr>
          <w:sz w:val="24"/>
          <w:szCs w:val="24"/>
        </w:rPr>
        <w:t>Contact the Category Manager.</w:t>
      </w:r>
    </w:p>
    <w:p w14:paraId="011BD5FA" w14:textId="77777777" w:rsidR="004C4505" w:rsidRPr="00380E53" w:rsidRDefault="004C4505" w:rsidP="004C65F1">
      <w:pPr>
        <w:pStyle w:val="ListParagraph"/>
        <w:numPr>
          <w:ilvl w:val="0"/>
          <w:numId w:val="16"/>
        </w:numPr>
        <w:rPr>
          <w:sz w:val="24"/>
          <w:szCs w:val="24"/>
        </w:rPr>
      </w:pPr>
      <w:r w:rsidRPr="00380E53">
        <w:rPr>
          <w:sz w:val="24"/>
          <w:szCs w:val="24"/>
        </w:rPr>
        <w:t xml:space="preserve">Sign a Letter of Authorization (LOA) with Direct Energy and provide them with copies of three (3) months of invoices per account. </w:t>
      </w:r>
    </w:p>
    <w:p w14:paraId="23EC82AE" w14:textId="77777777" w:rsidR="004C4505" w:rsidRPr="00CA3358" w:rsidRDefault="004C4505" w:rsidP="004C65F1">
      <w:pPr>
        <w:pStyle w:val="ListParagraph"/>
        <w:numPr>
          <w:ilvl w:val="0"/>
          <w:numId w:val="16"/>
        </w:numPr>
        <w:rPr>
          <w:iCs/>
          <w:sz w:val="24"/>
          <w:szCs w:val="24"/>
        </w:rPr>
      </w:pPr>
      <w:r w:rsidRPr="00380E53">
        <w:rPr>
          <w:sz w:val="24"/>
          <w:szCs w:val="24"/>
        </w:rPr>
        <w:t>If pricing is agreed upon, Eligible Entities are required to execute a Memorandum of Understanding (MOU), which will bind them to the contract pricing and terms established by the Operational Services Division.</w:t>
      </w:r>
    </w:p>
    <w:p w14:paraId="435E2328" w14:textId="5B485002" w:rsidR="004C4505" w:rsidRPr="00380E53" w:rsidRDefault="004C4505" w:rsidP="004C65F1">
      <w:pPr>
        <w:pStyle w:val="ListParagraph"/>
        <w:numPr>
          <w:ilvl w:val="0"/>
          <w:numId w:val="16"/>
        </w:numPr>
        <w:rPr>
          <w:iCs/>
          <w:sz w:val="24"/>
          <w:szCs w:val="24"/>
        </w:rPr>
      </w:pPr>
      <w:r w:rsidRPr="00386FCF">
        <w:rPr>
          <w:iCs/>
          <w:sz w:val="24"/>
          <w:szCs w:val="24"/>
        </w:rPr>
        <w:t xml:space="preserve">Due to the nature of energy market pricing, post award entities must be prepared to agree to the price quoted by </w:t>
      </w:r>
      <w:r>
        <w:rPr>
          <w:iCs/>
          <w:sz w:val="24"/>
          <w:szCs w:val="24"/>
        </w:rPr>
        <w:t>Direct Energy (</w:t>
      </w:r>
      <w:r w:rsidRPr="00386FCF">
        <w:rPr>
          <w:iCs/>
          <w:sz w:val="24"/>
          <w:szCs w:val="24"/>
        </w:rPr>
        <w:t>NRG</w:t>
      </w:r>
      <w:r>
        <w:rPr>
          <w:iCs/>
          <w:sz w:val="24"/>
          <w:szCs w:val="24"/>
        </w:rPr>
        <w:t>)</w:t>
      </w:r>
      <w:r w:rsidRPr="00386FCF">
        <w:rPr>
          <w:iCs/>
          <w:sz w:val="24"/>
          <w:szCs w:val="24"/>
        </w:rPr>
        <w:t xml:space="preserve"> before 12pm-noon of that day to </w:t>
      </w:r>
      <w:r w:rsidR="00272DD3" w:rsidRPr="00386FCF">
        <w:rPr>
          <w:iCs/>
          <w:sz w:val="24"/>
          <w:szCs w:val="24"/>
        </w:rPr>
        <w:t>ensure</w:t>
      </w:r>
      <w:r w:rsidRPr="00386FCF">
        <w:rPr>
          <w:iCs/>
          <w:sz w:val="24"/>
          <w:szCs w:val="24"/>
        </w:rPr>
        <w:t xml:space="preserve"> price execution.</w:t>
      </w:r>
    </w:p>
    <w:p w14:paraId="0D7781A0" w14:textId="77777777" w:rsidR="004C4505" w:rsidRDefault="004C4505" w:rsidP="00C87628">
      <w:pPr>
        <w:pStyle w:val="Heading2"/>
      </w:pPr>
      <w:bookmarkStart w:id="24" w:name="_Toc1676630530"/>
      <w:bookmarkStart w:id="25" w:name="_Toc209710950"/>
      <w:r>
        <w:t>Purchase Options</w:t>
      </w:r>
      <w:bookmarkEnd w:id="24"/>
      <w:bookmarkEnd w:id="25"/>
    </w:p>
    <w:p w14:paraId="3CB488E1" w14:textId="77777777" w:rsidR="004C4505" w:rsidRDefault="004C4505" w:rsidP="004C4505">
      <w:pPr>
        <w:rPr>
          <w:sz w:val="24"/>
          <w:szCs w:val="24"/>
        </w:rPr>
      </w:pPr>
      <w:r w:rsidRPr="00A053BE">
        <w:rPr>
          <w:sz w:val="24"/>
          <w:szCs w:val="24"/>
        </w:rPr>
        <w:t xml:space="preserve">Purchases made through this contract will be direct, outright purchases. </w:t>
      </w:r>
    </w:p>
    <w:p w14:paraId="74F3EA97" w14:textId="77777777" w:rsidR="004C4505" w:rsidRPr="00A053BE" w:rsidRDefault="004C4505" w:rsidP="004C4505">
      <w:pPr>
        <w:rPr>
          <w:sz w:val="24"/>
          <w:szCs w:val="24"/>
        </w:rPr>
      </w:pPr>
      <w:r w:rsidRPr="00A053BE">
        <w:rPr>
          <w:sz w:val="24"/>
          <w:szCs w:val="24"/>
          <w:lang w:val="en"/>
        </w:rPr>
        <w:lastRenderedPageBreak/>
        <w:t xml:space="preserve">All Executive Departments must use Statewide Contracts (SWCs) for their purchases if the goods and services they seek are available on an SWC. </w:t>
      </w:r>
      <w:r w:rsidRPr="00A053BE">
        <w:rPr>
          <w:sz w:val="24"/>
          <w:szCs w:val="24"/>
        </w:rPr>
        <w:t xml:space="preserve">Executive agencies must use COMMBUYS for all related statewide contract purchasing activity. For more details, see the </w:t>
      </w:r>
      <w:hyperlink r:id="rId24" w:history="1">
        <w:r w:rsidRPr="00A053BE">
          <w:rPr>
            <w:rStyle w:val="Hyperlink"/>
            <w:sz w:val="24"/>
            <w:szCs w:val="24"/>
          </w:rPr>
          <w:t>Best Value Procurement Handbook</w:t>
        </w:r>
      </w:hyperlink>
      <w:r w:rsidRPr="00A053BE">
        <w:rPr>
          <w:sz w:val="24"/>
          <w:szCs w:val="24"/>
        </w:rPr>
        <w:t>.</w:t>
      </w:r>
    </w:p>
    <w:p w14:paraId="4C7B8E4D" w14:textId="77777777" w:rsidR="004C4505" w:rsidRDefault="004C4505" w:rsidP="004C4505">
      <w:pPr>
        <w:rPr>
          <w:sz w:val="24"/>
          <w:szCs w:val="24"/>
        </w:rPr>
      </w:pPr>
      <w:r w:rsidRPr="00A053BE">
        <w:rPr>
          <w:sz w:val="24"/>
          <w:szCs w:val="24"/>
        </w:rPr>
        <w:t xml:space="preserve">While all Non-Executive Eligible Entities are encouraged to use COMMBUYS for SWCs purchasing, it is </w:t>
      </w:r>
      <w:r w:rsidRPr="00A053BE">
        <w:rPr>
          <w:b/>
          <w:bCs/>
          <w:sz w:val="24"/>
          <w:szCs w:val="24"/>
        </w:rPr>
        <w:t>not</w:t>
      </w:r>
      <w:r w:rsidRPr="00A053BE">
        <w:rPr>
          <w:sz w:val="24"/>
          <w:szCs w:val="24"/>
        </w:rPr>
        <w:t xml:space="preserve"> mandatory.</w:t>
      </w:r>
    </w:p>
    <w:p w14:paraId="61F7B3E9" w14:textId="76BDEC60" w:rsidR="00297EFF" w:rsidRPr="00297EFF" w:rsidRDefault="00297EFF" w:rsidP="004C4505">
      <w:pPr>
        <w:rPr>
          <w:sz w:val="24"/>
          <w:szCs w:val="24"/>
        </w:rPr>
      </w:pPr>
      <w:r w:rsidRPr="00297EFF">
        <w:rPr>
          <w:iCs/>
          <w:sz w:val="24"/>
          <w:szCs w:val="24"/>
        </w:rPr>
        <w:t>This contract provides for the following methods of purchase:</w:t>
      </w:r>
    </w:p>
    <w:p w14:paraId="3B0F0C18" w14:textId="77777777" w:rsidR="004C4505" w:rsidRPr="003B0898" w:rsidRDefault="004C4505" w:rsidP="004C4505">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Used for products and services with fixed pricing</w:t>
      </w:r>
      <w:r>
        <w:rPr>
          <w:sz w:val="24"/>
          <w:szCs w:val="24"/>
        </w:rPr>
        <w:t xml:space="preserve"> and is </w:t>
      </w:r>
      <w:r w:rsidRPr="003B0898">
        <w:rPr>
          <w:sz w:val="24"/>
          <w:szCs w:val="24"/>
        </w:rPr>
        <w:t xml:space="preserve">viewable in vendor catalogs or price files. </w:t>
      </w:r>
      <w:r w:rsidRPr="003B0898">
        <w:rPr>
          <w:rFonts w:cs="Arial"/>
          <w:sz w:val="24"/>
          <w:szCs w:val="24"/>
        </w:rPr>
        <w:t>S</w:t>
      </w:r>
      <w:r w:rsidRPr="003B0898">
        <w:rPr>
          <w:sz w:val="24"/>
          <w:szCs w:val="24"/>
        </w:rPr>
        <w:t>ee the Vendor MBPO Listin</w:t>
      </w:r>
      <w:r>
        <w:rPr>
          <w:sz w:val="24"/>
          <w:szCs w:val="24"/>
        </w:rPr>
        <w:t xml:space="preserve">g on the </w:t>
      </w:r>
      <w:r w:rsidRPr="003B0898">
        <w:rPr>
          <w:sz w:val="24"/>
          <w:szCs w:val="24"/>
        </w:rPr>
        <w:t xml:space="preserve"> </w:t>
      </w:r>
      <w:hyperlink w:anchor="_Appendix_A:_Vendor" w:history="1">
        <w:r w:rsidRPr="003D20FA">
          <w:rPr>
            <w:rStyle w:val="Hyperlink"/>
            <w:sz w:val="24"/>
            <w:szCs w:val="24"/>
          </w:rPr>
          <w:t>vendor information</w:t>
        </w:r>
      </w:hyperlink>
      <w:r>
        <w:rPr>
          <w:sz w:val="24"/>
          <w:szCs w:val="24"/>
        </w:rPr>
        <w:t xml:space="preserve"> page for additional vendor details</w:t>
      </w:r>
      <w:r w:rsidRPr="003B0898">
        <w:rPr>
          <w:sz w:val="24"/>
          <w:szCs w:val="24"/>
        </w:rPr>
        <w:t xml:space="preserve">.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4B4FD2AE" w14:textId="77777777" w:rsidR="004C4505" w:rsidRPr="003B0898" w:rsidRDefault="004C4505" w:rsidP="004C4505">
      <w:pPr>
        <w:ind w:left="720"/>
        <w:rPr>
          <w:sz w:val="24"/>
          <w:szCs w:val="24"/>
        </w:rPr>
      </w:pPr>
      <w:r w:rsidRPr="003B0898">
        <w:rPr>
          <w:sz w:val="24"/>
          <w:szCs w:val="24"/>
        </w:rPr>
        <w:t xml:space="preserve">See the </w:t>
      </w:r>
      <w:hyperlink r:id="rId25">
        <w:r w:rsidRPr="003B0898">
          <w:rPr>
            <w:rStyle w:val="Hyperlink"/>
            <w:sz w:val="24"/>
            <w:szCs w:val="24"/>
          </w:rPr>
          <w:t>How to Make a Statewide Contract Purchase in COMMBUYS</w:t>
        </w:r>
      </w:hyperlink>
      <w:r w:rsidRPr="003B0898">
        <w:rPr>
          <w:sz w:val="24"/>
          <w:szCs w:val="24"/>
        </w:rPr>
        <w:t xml:space="preserve"> job aid for more details. </w:t>
      </w:r>
    </w:p>
    <w:p w14:paraId="50522E82" w14:textId="77777777" w:rsidR="004C4505" w:rsidRPr="003B0898" w:rsidRDefault="004C4505" w:rsidP="004C4505">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7BCF0E22" w14:textId="77777777" w:rsidR="004C4505" w:rsidRPr="003B0898" w:rsidRDefault="004C4505" w:rsidP="004C4505">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see the </w:t>
      </w:r>
      <w:hyperlink r:id="rId26"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515E378B" w14:textId="77777777" w:rsidR="004C4505" w:rsidRPr="00136C46" w:rsidRDefault="004C4505" w:rsidP="00CF04E4">
      <w:pPr>
        <w:pStyle w:val="Heading2"/>
        <w:rPr>
          <w:sz w:val="24"/>
        </w:rPr>
      </w:pPr>
      <w:bookmarkStart w:id="26" w:name="_Extend_Beyond_(Performance"/>
      <w:bookmarkStart w:id="27" w:name="_Toc1451751303"/>
      <w:bookmarkStart w:id="28" w:name="_Toc194066599"/>
      <w:bookmarkStart w:id="29" w:name="_Toc198048694"/>
      <w:bookmarkStart w:id="30" w:name="_Toc209710951"/>
      <w:bookmarkEnd w:id="26"/>
      <w:r>
        <w:t>Extend Beyond (Performance and Payment That Goes Beyond Contract End Date)</w:t>
      </w:r>
      <w:bookmarkEnd w:id="27"/>
      <w:bookmarkEnd w:id="30"/>
      <w:r>
        <w:t xml:space="preserve"> </w:t>
      </w:r>
      <w:bookmarkEnd w:id="28"/>
      <w:bookmarkEnd w:id="29"/>
    </w:p>
    <w:p w14:paraId="741C731D" w14:textId="77777777" w:rsidR="004C4505" w:rsidRPr="00136C46" w:rsidRDefault="004C4505" w:rsidP="004C4505">
      <w:pPr>
        <w:rPr>
          <w:rFonts w:cstheme="minorHAnsi"/>
          <w:b/>
          <w:bCs/>
          <w:iCs/>
          <w:sz w:val="24"/>
          <w:szCs w:val="24"/>
        </w:rPr>
      </w:pPr>
      <w:r w:rsidRPr="00136C46">
        <w:rPr>
          <w:iCs/>
          <w:sz w:val="24"/>
          <w:szCs w:val="24"/>
        </w:rPr>
        <w:t>For extend beyond, the following stipulations are in place:</w:t>
      </w:r>
    </w:p>
    <w:p w14:paraId="0279169A" w14:textId="77777777" w:rsidR="004C4505" w:rsidRPr="00136C46" w:rsidRDefault="004C4505" w:rsidP="004C65F1">
      <w:pPr>
        <w:pStyle w:val="ListParagraph"/>
        <w:numPr>
          <w:ilvl w:val="0"/>
          <w:numId w:val="6"/>
        </w:numPr>
        <w:rPr>
          <w:rFonts w:cstheme="minorHAnsi"/>
          <w:sz w:val="24"/>
          <w:szCs w:val="24"/>
        </w:rPr>
      </w:pPr>
      <w:r w:rsidRPr="00136C46">
        <w:rPr>
          <w:sz w:val="24"/>
          <w:szCs w:val="24"/>
        </w:rPr>
        <w:t xml:space="preserve">Buyers </w:t>
      </w:r>
      <w:r w:rsidRPr="00136C46">
        <w:rPr>
          <w:b/>
          <w:bCs/>
          <w:sz w:val="24"/>
          <w:szCs w:val="24"/>
        </w:rPr>
        <w:t>cannot</w:t>
      </w:r>
      <w:r w:rsidRPr="00136C46">
        <w:rPr>
          <w:sz w:val="24"/>
          <w:szCs w:val="24"/>
        </w:rPr>
        <w:t xml:space="preserve"> enter into any written agreement that will go</w:t>
      </w:r>
      <w:r>
        <w:rPr>
          <w:sz w:val="24"/>
          <w:szCs w:val="24"/>
        </w:rPr>
        <w:t xml:space="preserve"> </w:t>
      </w:r>
      <w:r w:rsidRPr="00136C46">
        <w:rPr>
          <w:sz w:val="24"/>
          <w:szCs w:val="24"/>
        </w:rPr>
        <w:t xml:space="preserve">beyond the maximum end date of the contract. Existing services may be completed and payments made during this period. </w:t>
      </w:r>
    </w:p>
    <w:p w14:paraId="7A64B72E" w14:textId="77777777" w:rsidR="004C4505" w:rsidRPr="00136C46" w:rsidRDefault="004C4505" w:rsidP="004C65F1">
      <w:pPr>
        <w:pStyle w:val="ListParagraph"/>
        <w:numPr>
          <w:ilvl w:val="0"/>
          <w:numId w:val="6"/>
        </w:numPr>
        <w:rPr>
          <w:sz w:val="24"/>
          <w:szCs w:val="24"/>
        </w:rPr>
      </w:pPr>
      <w:r w:rsidRPr="00136C46">
        <w:rPr>
          <w:sz w:val="24"/>
          <w:szCs w:val="24"/>
        </w:rPr>
        <w:lastRenderedPageBreak/>
        <w:t>No new agreements, including leases, rentals, or service contracts, may be made after the contract's expiration.</w:t>
      </w:r>
    </w:p>
    <w:p w14:paraId="04D46A7C" w14:textId="77777777" w:rsidR="004C4505" w:rsidRPr="0056126C" w:rsidRDefault="004C4505" w:rsidP="004C65F1">
      <w:pPr>
        <w:pStyle w:val="ListParagraph"/>
        <w:numPr>
          <w:ilvl w:val="0"/>
          <w:numId w:val="6"/>
        </w:numPr>
        <w:rPr>
          <w:sz w:val="24"/>
          <w:szCs w:val="24"/>
        </w:rPr>
      </w:pPr>
      <w:r w:rsidRPr="0056126C">
        <w:rPr>
          <w:rFonts w:cstheme="minorHAnsi"/>
          <w:sz w:val="24"/>
          <w:szCs w:val="24"/>
        </w:rPr>
        <w:t>All agreements or services entered into during the duration of this contract must be terminated on or before the contract end date stated above</w:t>
      </w:r>
    </w:p>
    <w:p w14:paraId="6405CA85" w14:textId="77777777" w:rsidR="004C4505" w:rsidRDefault="004C4505" w:rsidP="00573BDD">
      <w:pPr>
        <w:pStyle w:val="Heading2"/>
      </w:pPr>
      <w:bookmarkStart w:id="31" w:name="_Toc198048695"/>
      <w:bookmarkStart w:id="32" w:name="_Toc72798742"/>
      <w:bookmarkStart w:id="33" w:name="_Toc209710952"/>
      <w:r>
        <w:t>Setting Up a COMMBUYS Account</w:t>
      </w:r>
      <w:bookmarkEnd w:id="31"/>
      <w:bookmarkEnd w:id="32"/>
      <w:bookmarkEnd w:id="33"/>
    </w:p>
    <w:p w14:paraId="71D8036E" w14:textId="77777777" w:rsidR="000036BF" w:rsidRDefault="000036BF" w:rsidP="000036BF">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Pr>
          <w:rFonts w:cstheme="minorHAnsi"/>
          <w:sz w:val="24"/>
          <w:szCs w:val="24"/>
        </w:rPr>
        <w:t xml:space="preserve">and other Eligible Entities </w:t>
      </w:r>
      <w:r w:rsidRPr="00136C46">
        <w:rPr>
          <w:rFonts w:cstheme="minorHAnsi"/>
          <w:sz w:val="24"/>
          <w:szCs w:val="24"/>
        </w:rPr>
        <w:t>to procure goods and services, connecting government buyers and businesses. It aims to streamline the purchasing process, ensuring transparency</w:t>
      </w:r>
      <w:r>
        <w:rPr>
          <w:rFonts w:cstheme="minorHAnsi"/>
          <w:sz w:val="24"/>
          <w:szCs w:val="24"/>
        </w:rPr>
        <w:t xml:space="preserve"> and </w:t>
      </w:r>
      <w:r w:rsidRPr="00136C46">
        <w:rPr>
          <w:rFonts w:cstheme="minorHAnsi"/>
          <w:sz w:val="24"/>
          <w:szCs w:val="24"/>
        </w:rPr>
        <w:t>efficiency in the procurement process.</w:t>
      </w:r>
    </w:p>
    <w:p w14:paraId="07087EB6" w14:textId="77777777" w:rsidR="000036BF" w:rsidRPr="00136C46" w:rsidRDefault="000036BF" w:rsidP="000036BF">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To set up a COMMBUYS buyer account or to update an existing agency account,</w:t>
      </w:r>
      <w:r>
        <w:rPr>
          <w:rFonts w:cstheme="minorHAnsi"/>
          <w:sz w:val="24"/>
          <w:szCs w:val="24"/>
        </w:rPr>
        <w:t xml:space="preserve"> </w:t>
      </w:r>
      <w:r w:rsidRPr="00136C46">
        <w:rPr>
          <w:rFonts w:cstheme="minorHAnsi"/>
          <w:sz w:val="24"/>
          <w:szCs w:val="24"/>
        </w:rPr>
        <w:t xml:space="preserve">the buyers must </w:t>
      </w:r>
      <w:r>
        <w:rPr>
          <w:rFonts w:cstheme="minorHAnsi"/>
          <w:sz w:val="24"/>
          <w:szCs w:val="24"/>
        </w:rPr>
        <w:t xml:space="preserve">email the </w:t>
      </w:r>
      <w:hyperlink r:id="rId27" w:history="1">
        <w:r>
          <w:rPr>
            <w:rStyle w:val="Hyperlink"/>
            <w:rFonts w:cstheme="minorHAnsi"/>
            <w:sz w:val="24"/>
            <w:szCs w:val="24"/>
          </w:rPr>
          <w:t>OSD Help Desk</w:t>
        </w:r>
      </w:hyperlink>
      <w:r w:rsidRPr="00136C46">
        <w:rPr>
          <w:rFonts w:cstheme="minorHAnsi"/>
          <w:sz w:val="24"/>
          <w:szCs w:val="24"/>
        </w:rPr>
        <w:t xml:space="preserve"> </w:t>
      </w:r>
      <w:r>
        <w:rPr>
          <w:rFonts w:cstheme="minorHAnsi"/>
          <w:sz w:val="24"/>
          <w:szCs w:val="24"/>
        </w:rPr>
        <w:t>or call 1-</w:t>
      </w:r>
      <w:r w:rsidRPr="00136C46">
        <w:rPr>
          <w:rFonts w:cstheme="minorHAnsi"/>
          <w:sz w:val="24"/>
          <w:szCs w:val="24"/>
        </w:rPr>
        <w:t>888-627-8283.</w:t>
      </w:r>
    </w:p>
    <w:p w14:paraId="6BF1C762" w14:textId="77777777" w:rsidR="000036BF" w:rsidRPr="00136C46" w:rsidRDefault="000036BF" w:rsidP="000036BF">
      <w:pPr>
        <w:rPr>
          <w:rFonts w:cstheme="minorHAnsi"/>
          <w:sz w:val="24"/>
          <w:szCs w:val="24"/>
        </w:rPr>
      </w:pPr>
      <w:r w:rsidRPr="00136C46">
        <w:rPr>
          <w:rFonts w:cstheme="minorHAnsi"/>
          <w:sz w:val="24"/>
          <w:szCs w:val="24"/>
        </w:rPr>
        <w:t>While COMMBUYS use is not mandated for Non-Executive Agencies</w:t>
      </w:r>
      <w:r>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Pr>
          <w:rFonts w:cstheme="minorHAnsi"/>
          <w:sz w:val="24"/>
          <w:szCs w:val="24"/>
        </w:rPr>
        <w:t xml:space="preserve">assist buyers in </w:t>
      </w:r>
      <w:r w:rsidRPr="00136C46">
        <w:rPr>
          <w:rFonts w:cstheme="minorHAnsi"/>
          <w:sz w:val="24"/>
          <w:szCs w:val="24"/>
        </w:rPr>
        <w:t>mak</w:t>
      </w:r>
      <w:r>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414A9019" w14:textId="4A8B7EDB" w:rsidR="004C4505" w:rsidRDefault="004C4505" w:rsidP="000036BF">
      <w:pPr>
        <w:pStyle w:val="Heading2"/>
      </w:pPr>
      <w:bookmarkStart w:id="34" w:name="_Toc194066601"/>
      <w:bookmarkStart w:id="35" w:name="_Toc198048696"/>
      <w:bookmarkStart w:id="36" w:name="_Toc754332399"/>
      <w:bookmarkStart w:id="37" w:name="_Toc209710953"/>
      <w:r>
        <w:t>Finding Contract Documents</w:t>
      </w:r>
      <w:bookmarkEnd w:id="37"/>
      <w:r>
        <w:t xml:space="preserve"> </w:t>
      </w:r>
      <w:bookmarkEnd w:id="34"/>
      <w:bookmarkEnd w:id="35"/>
      <w:bookmarkEnd w:id="36"/>
    </w:p>
    <w:p w14:paraId="6486DB0F" w14:textId="58178404" w:rsidR="004C4505" w:rsidRPr="00321967" w:rsidRDefault="004C4505" w:rsidP="004C4505">
      <w:pPr>
        <w:rPr>
          <w:sz w:val="24"/>
          <w:szCs w:val="24"/>
        </w:rPr>
      </w:pPr>
      <w:r w:rsidRPr="00321967">
        <w:rPr>
          <w:sz w:val="24"/>
          <w:szCs w:val="24"/>
        </w:rPr>
        <w:t xml:space="preserve">Buyers </w:t>
      </w:r>
      <w:r w:rsidR="003941DF" w:rsidRPr="00321967">
        <w:rPr>
          <w:sz w:val="24"/>
          <w:szCs w:val="24"/>
        </w:rPr>
        <w:t>may</w:t>
      </w:r>
      <w:r w:rsidRPr="00321967">
        <w:rPr>
          <w:sz w:val="24"/>
          <w:szCs w:val="24"/>
        </w:rPr>
        <w:t xml:space="preserve"> view contract </w:t>
      </w:r>
      <w:r w:rsidR="003941DF" w:rsidRPr="00321967">
        <w:rPr>
          <w:sz w:val="24"/>
          <w:szCs w:val="24"/>
        </w:rPr>
        <w:t>Including (Contract User Guides, R</w:t>
      </w:r>
      <w:r w:rsidR="00321967" w:rsidRPr="00321967">
        <w:rPr>
          <w:sz w:val="24"/>
          <w:szCs w:val="24"/>
        </w:rPr>
        <w:t>equest for Response</w:t>
      </w:r>
      <w:r w:rsidR="003941DF" w:rsidRPr="00321967">
        <w:rPr>
          <w:sz w:val="24"/>
          <w:szCs w:val="24"/>
        </w:rPr>
        <w:t xml:space="preserve">, </w:t>
      </w:r>
      <w:r w:rsidR="00321967" w:rsidRPr="00321967">
        <w:rPr>
          <w:sz w:val="24"/>
          <w:szCs w:val="24"/>
        </w:rPr>
        <w:t>s</w:t>
      </w:r>
      <w:r w:rsidR="003941DF" w:rsidRPr="00321967">
        <w:rPr>
          <w:sz w:val="24"/>
          <w:szCs w:val="24"/>
        </w:rPr>
        <w:t xml:space="preserve">pecifications, and other attachments) </w:t>
      </w:r>
      <w:r w:rsidRPr="00321967">
        <w:rPr>
          <w:sz w:val="24"/>
          <w:szCs w:val="24"/>
        </w:rPr>
        <w:t xml:space="preserve">documents on COMMBUYS without requiring a COMMBUYS account or logging in.  </w:t>
      </w:r>
    </w:p>
    <w:p w14:paraId="248EAF55" w14:textId="77777777" w:rsidR="004C4505" w:rsidRPr="00136C46" w:rsidRDefault="004C4505" w:rsidP="004C4505">
      <w:pPr>
        <w:rPr>
          <w:sz w:val="24"/>
          <w:szCs w:val="24"/>
        </w:rPr>
      </w:pPr>
      <w:r w:rsidRPr="00136C46">
        <w:rPr>
          <w:sz w:val="24"/>
          <w:szCs w:val="24"/>
        </w:rPr>
        <w:t>To find contract documents in COMMBUYS, follow these steps:</w:t>
      </w:r>
    </w:p>
    <w:p w14:paraId="10E92467" w14:textId="77777777" w:rsidR="004C4505" w:rsidRPr="00136C46" w:rsidRDefault="004C4505" w:rsidP="004C65F1">
      <w:pPr>
        <w:pStyle w:val="ListParagraph"/>
        <w:numPr>
          <w:ilvl w:val="0"/>
          <w:numId w:val="3"/>
        </w:numPr>
        <w:rPr>
          <w:bCs/>
          <w:sz w:val="24"/>
          <w:szCs w:val="24"/>
        </w:rPr>
      </w:pPr>
      <w:r w:rsidRPr="00136C46">
        <w:rPr>
          <w:sz w:val="24"/>
          <w:szCs w:val="24"/>
        </w:rPr>
        <w:t xml:space="preserve">On the </w:t>
      </w:r>
      <w:hyperlink r:id="rId28">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Pr="00426BA9">
        <w:rPr>
          <w:b/>
          <w:sz w:val="24"/>
          <w:szCs w:val="24"/>
        </w:rPr>
        <w:t>ENE55</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B2632B2" w14:textId="3BD1241E" w:rsidR="004C4505" w:rsidRPr="00136C46" w:rsidRDefault="00E54FBA" w:rsidP="004C65F1">
      <w:pPr>
        <w:pStyle w:val="ListParagraph"/>
        <w:numPr>
          <w:ilvl w:val="0"/>
          <w:numId w:val="3"/>
        </w:numPr>
        <w:rPr>
          <w:bCs/>
          <w:sz w:val="24"/>
          <w:szCs w:val="24"/>
        </w:rPr>
      </w:pPr>
      <w:r>
        <w:rPr>
          <w:bCs/>
          <w:sz w:val="24"/>
          <w:szCs w:val="24"/>
        </w:rPr>
        <w:t>Select</w:t>
      </w:r>
      <w:r w:rsidR="004C4505" w:rsidRPr="00136C46">
        <w:rPr>
          <w:bCs/>
          <w:sz w:val="24"/>
          <w:szCs w:val="24"/>
        </w:rPr>
        <w:t xml:space="preserve"> the Search icon. The related Master Blanket Purchase Orders (MBPOs) information opens in a table format. </w:t>
      </w:r>
    </w:p>
    <w:p w14:paraId="6373C81B" w14:textId="37181388" w:rsidR="004C4505" w:rsidRPr="00136C46" w:rsidRDefault="004C4505" w:rsidP="004C65F1">
      <w:pPr>
        <w:pStyle w:val="ListParagraph"/>
        <w:numPr>
          <w:ilvl w:val="0"/>
          <w:numId w:val="3"/>
        </w:numPr>
        <w:rPr>
          <w:rFonts w:cstheme="minorHAnsi"/>
          <w:sz w:val="24"/>
          <w:szCs w:val="24"/>
        </w:rPr>
      </w:pPr>
      <w:r w:rsidRPr="00136C46">
        <w:rPr>
          <w:sz w:val="24"/>
          <w:szCs w:val="24"/>
        </w:rPr>
        <w:lastRenderedPageBreak/>
        <w:t xml:space="preserve">To view the associated contract documents, under the </w:t>
      </w:r>
      <w:r w:rsidRPr="00136C46">
        <w:rPr>
          <w:b/>
          <w:bCs/>
          <w:sz w:val="24"/>
          <w:szCs w:val="24"/>
        </w:rPr>
        <w:t>Blanket #</w:t>
      </w:r>
      <w:r w:rsidRPr="00136C46">
        <w:rPr>
          <w:sz w:val="24"/>
          <w:szCs w:val="24"/>
        </w:rPr>
        <w:t xml:space="preserve"> column, </w:t>
      </w:r>
      <w:r w:rsidR="00E54FBA">
        <w:rPr>
          <w:sz w:val="24"/>
          <w:szCs w:val="24"/>
        </w:rPr>
        <w:t>select</w:t>
      </w:r>
      <w:r w:rsidRPr="00136C46">
        <w:rPr>
          <w:sz w:val="24"/>
          <w:szCs w:val="24"/>
        </w:rPr>
        <w:t xml:space="preserve"> the applicable Purchase Order (PO) link. MBPO opens for the selected PO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 </w:t>
      </w:r>
    </w:p>
    <w:p w14:paraId="6BD08DCC" w14:textId="26BDB84F" w:rsidR="004C4505" w:rsidRPr="00136C46" w:rsidRDefault="004C4505" w:rsidP="004C65F1">
      <w:pPr>
        <w:pStyle w:val="ListParagraph"/>
        <w:numPr>
          <w:ilvl w:val="0"/>
          <w:numId w:val="3"/>
        </w:numPr>
        <w:rPr>
          <w:rFonts w:cstheme="minorHAnsi"/>
          <w:sz w:val="24"/>
          <w:szCs w:val="24"/>
        </w:rPr>
      </w:pPr>
      <w:r w:rsidRPr="00136C46">
        <w:rPr>
          <w:sz w:val="24"/>
          <w:szCs w:val="24"/>
        </w:rPr>
        <w:t xml:space="preserve">All standard contract documents are within the Master Contract Record. Access them directly by </w:t>
      </w:r>
      <w:r w:rsidR="00E54FBA">
        <w:rPr>
          <w:sz w:val="24"/>
          <w:szCs w:val="24"/>
        </w:rPr>
        <w:t>selecting</w:t>
      </w:r>
      <w:r>
        <w:rPr>
          <w:sz w:val="24"/>
          <w:szCs w:val="24"/>
        </w:rPr>
        <w:t xml:space="preserve"> </w:t>
      </w:r>
      <w:hyperlink r:id="rId29" w:history="1">
        <w:r w:rsidR="00B85E5E">
          <w:rPr>
            <w:rStyle w:val="Hyperlink"/>
            <w:sz w:val="24"/>
            <w:szCs w:val="24"/>
          </w:rPr>
          <w:t>ENE55 Master Contract Record</w:t>
        </w:r>
      </w:hyperlink>
      <w:r>
        <w:rPr>
          <w:sz w:val="24"/>
          <w:szCs w:val="24"/>
        </w:rPr>
        <w:t>.</w:t>
      </w:r>
      <w:r w:rsidRPr="00136C46">
        <w:rPr>
          <w:sz w:val="24"/>
          <w:szCs w:val="24"/>
        </w:rPr>
        <w:t xml:space="preserve"> </w:t>
      </w:r>
    </w:p>
    <w:p w14:paraId="3ADCAAB8" w14:textId="77777777" w:rsidR="004C4505" w:rsidRDefault="004C4505" w:rsidP="000036BF">
      <w:pPr>
        <w:pStyle w:val="Heading2"/>
      </w:pPr>
      <w:bookmarkStart w:id="38" w:name="_Toc194066602"/>
      <w:bookmarkStart w:id="39" w:name="_Toc198048697"/>
      <w:bookmarkStart w:id="40" w:name="_Toc1433843251"/>
      <w:bookmarkStart w:id="41" w:name="_Toc209710954"/>
      <w:r>
        <w:t>Finding Vendor-Specific Documents</w:t>
      </w:r>
      <w:bookmarkEnd w:id="38"/>
      <w:bookmarkEnd w:id="39"/>
      <w:bookmarkEnd w:id="40"/>
      <w:bookmarkEnd w:id="41"/>
    </w:p>
    <w:p w14:paraId="3E8E25FE" w14:textId="5D365CD8" w:rsidR="004C4505" w:rsidRPr="00136C46" w:rsidRDefault="004C4505" w:rsidP="004C4505">
      <w:pPr>
        <w:rPr>
          <w:bCs/>
          <w:sz w:val="24"/>
          <w:szCs w:val="24"/>
        </w:rPr>
      </w:pPr>
      <w:r w:rsidRPr="00136C46">
        <w:rPr>
          <w:bCs/>
          <w:sz w:val="24"/>
          <w:szCs w:val="24"/>
        </w:rPr>
        <w:t xml:space="preserve">To find vendor-specific documents, including </w:t>
      </w:r>
      <w:r>
        <w:rPr>
          <w:bCs/>
          <w:sz w:val="24"/>
          <w:szCs w:val="24"/>
        </w:rPr>
        <w:t xml:space="preserve">the MOU and LOA </w:t>
      </w:r>
      <w:r w:rsidR="000036BF">
        <w:rPr>
          <w:bCs/>
          <w:sz w:val="24"/>
          <w:szCs w:val="24"/>
        </w:rPr>
        <w:t>Templates,</w:t>
      </w:r>
      <w:r w:rsidRPr="00136C46">
        <w:rPr>
          <w:bCs/>
          <w:sz w:val="24"/>
          <w:szCs w:val="24"/>
        </w:rPr>
        <w:t xml:space="preserve"> </w:t>
      </w:r>
      <w:r w:rsidR="000036BF">
        <w:rPr>
          <w:bCs/>
          <w:sz w:val="24"/>
          <w:szCs w:val="24"/>
        </w:rPr>
        <w:t>view</w:t>
      </w:r>
      <w:r w:rsidRPr="00136C46">
        <w:rPr>
          <w:bCs/>
          <w:sz w:val="24"/>
          <w:szCs w:val="24"/>
        </w:rPr>
        <w:t xml:space="preserve"> the links to the individual vendor MBPO on the </w:t>
      </w:r>
      <w:hyperlink w:anchor="_Appendix_A:_Vendor" w:history="1">
        <w:r w:rsidRPr="00136C46">
          <w:rPr>
            <w:rStyle w:val="Hyperlink"/>
            <w:bCs/>
            <w:sz w:val="24"/>
            <w:szCs w:val="24"/>
          </w:rPr>
          <w:t>Vendor Information</w:t>
        </w:r>
      </w:hyperlink>
      <w:r w:rsidRPr="00136C46">
        <w:rPr>
          <w:bCs/>
          <w:sz w:val="24"/>
          <w:szCs w:val="24"/>
        </w:rPr>
        <w:t xml:space="preserve"> page, and follow these steps:</w:t>
      </w:r>
    </w:p>
    <w:p w14:paraId="6E54503F" w14:textId="2A1AD676" w:rsidR="004C4505" w:rsidRPr="00136C46" w:rsidRDefault="004C4505" w:rsidP="004C65F1">
      <w:pPr>
        <w:pStyle w:val="ListParagraph"/>
        <w:numPr>
          <w:ilvl w:val="0"/>
          <w:numId w:val="10"/>
        </w:numPr>
        <w:rPr>
          <w:bCs/>
          <w:sz w:val="24"/>
          <w:szCs w:val="24"/>
        </w:rPr>
      </w:pPr>
      <w:r w:rsidRPr="00136C46">
        <w:rPr>
          <w:bCs/>
          <w:sz w:val="24"/>
          <w:szCs w:val="24"/>
        </w:rPr>
        <w:t xml:space="preserve">On the </w:t>
      </w:r>
      <w:hyperlink w:anchor="_Appendix_A:_Vendor" w:history="1">
        <w:r w:rsidRPr="00136C46">
          <w:rPr>
            <w:rStyle w:val="Hyperlink"/>
            <w:bCs/>
            <w:sz w:val="24"/>
            <w:szCs w:val="24"/>
          </w:rPr>
          <w:t>Vendor Information</w:t>
        </w:r>
      </w:hyperlink>
      <w:r w:rsidRPr="00136C46">
        <w:rPr>
          <w:bCs/>
          <w:sz w:val="24"/>
          <w:szCs w:val="24"/>
        </w:rPr>
        <w:t xml:space="preserve"> page, under the </w:t>
      </w:r>
      <w:r w:rsidRPr="00136C46">
        <w:rPr>
          <w:b/>
          <w:sz w:val="24"/>
          <w:szCs w:val="24"/>
        </w:rPr>
        <w:t>Master Blanket Purchase Order #</w:t>
      </w:r>
      <w:r w:rsidRPr="00136C46">
        <w:rPr>
          <w:bCs/>
          <w:sz w:val="24"/>
          <w:szCs w:val="24"/>
        </w:rPr>
        <w:t xml:space="preserve"> Column, </w:t>
      </w:r>
      <w:r w:rsidR="0018310B">
        <w:rPr>
          <w:bCs/>
          <w:sz w:val="24"/>
          <w:szCs w:val="24"/>
        </w:rPr>
        <w:t>select</w:t>
      </w:r>
      <w:r w:rsidRPr="00136C46">
        <w:rPr>
          <w:bCs/>
          <w:sz w:val="24"/>
          <w:szCs w:val="24"/>
        </w:rPr>
        <w:t xml:space="preserve"> the applicable Purchase Order (PO) link. The Master Blanket Purchase Order (MBPO) opens for the selected PO.</w:t>
      </w:r>
    </w:p>
    <w:p w14:paraId="33976BF6" w14:textId="77777777" w:rsidR="004C4505" w:rsidRPr="00136C46" w:rsidRDefault="004C4505" w:rsidP="004C65F1">
      <w:pPr>
        <w:pStyle w:val="ListParagraph"/>
        <w:numPr>
          <w:ilvl w:val="0"/>
          <w:numId w:val="10"/>
        </w:numPr>
        <w:rPr>
          <w:bCs/>
          <w:sz w:val="24"/>
          <w:szCs w:val="24"/>
        </w:rPr>
      </w:pPr>
      <w:r w:rsidRPr="00136C46">
        <w:rPr>
          <w:bCs/>
          <w:sz w:val="24"/>
          <w:szCs w:val="24"/>
        </w:rPr>
        <w:t xml:space="preserve">On the MBPO, scroll down to the </w:t>
      </w:r>
      <w:r w:rsidRPr="00136C46">
        <w:rPr>
          <w:b/>
          <w:sz w:val="24"/>
          <w:szCs w:val="24"/>
        </w:rPr>
        <w:t>Vendor Attachments</w:t>
      </w:r>
      <w:r w:rsidRPr="00136C46">
        <w:rPr>
          <w:bCs/>
          <w:sz w:val="24"/>
          <w:szCs w:val="24"/>
        </w:rPr>
        <w:t xml:space="preserve"> section to find the vendor-specific documents.</w:t>
      </w:r>
    </w:p>
    <w:p w14:paraId="53158592" w14:textId="6D48492B" w:rsidR="004C4505" w:rsidRPr="000036BF" w:rsidRDefault="004C4505" w:rsidP="004C65F1">
      <w:pPr>
        <w:pStyle w:val="ListParagraph"/>
        <w:numPr>
          <w:ilvl w:val="0"/>
          <w:numId w:val="10"/>
        </w:numPr>
        <w:rPr>
          <w:bCs/>
          <w:sz w:val="20"/>
          <w:szCs w:val="20"/>
        </w:rPr>
      </w:pPr>
      <w:r w:rsidRPr="00136C46">
        <w:rPr>
          <w:bCs/>
          <w:sz w:val="24"/>
          <w:szCs w:val="24"/>
        </w:rPr>
        <w:t xml:space="preserve">To view, </w:t>
      </w:r>
      <w:r w:rsidR="0018310B">
        <w:rPr>
          <w:bCs/>
          <w:sz w:val="24"/>
          <w:szCs w:val="24"/>
        </w:rPr>
        <w:t>select</w:t>
      </w:r>
      <w:r w:rsidRPr="00136C46">
        <w:rPr>
          <w:bCs/>
          <w:sz w:val="24"/>
          <w:szCs w:val="24"/>
        </w:rPr>
        <w:t xml:space="preserve"> the desired document link.</w:t>
      </w:r>
    </w:p>
    <w:p w14:paraId="5334226C" w14:textId="77777777" w:rsidR="00DD27C2" w:rsidRPr="00B6218B" w:rsidRDefault="00DD27C2" w:rsidP="00DD27C2">
      <w:pPr>
        <w:pStyle w:val="Heading2"/>
      </w:pPr>
      <w:bookmarkStart w:id="42" w:name="_Toc201925128"/>
      <w:bookmarkStart w:id="43" w:name="_Toc207800544"/>
      <w:bookmarkStart w:id="44" w:name="_Toc209710955"/>
      <w:r w:rsidRPr="00B6218B">
        <w:t xml:space="preserve">Supplier Diversity </w:t>
      </w:r>
      <w:r>
        <w:t>Office (SDO) Requirements</w:t>
      </w:r>
      <w:bookmarkEnd w:id="42"/>
      <w:bookmarkEnd w:id="43"/>
      <w:bookmarkEnd w:id="44"/>
    </w:p>
    <w:p w14:paraId="121961E1" w14:textId="77777777" w:rsidR="00DD27C2" w:rsidRDefault="00DD27C2" w:rsidP="00DD27C2">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72CCA3A4" w14:textId="77777777" w:rsidR="00DD27C2" w:rsidRDefault="00DD27C2" w:rsidP="004C65F1">
      <w:pPr>
        <w:pStyle w:val="ListParagraph"/>
        <w:numPr>
          <w:ilvl w:val="0"/>
          <w:numId w:val="4"/>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0"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2FAEBF8B" w14:textId="77777777" w:rsidR="00DD27C2" w:rsidRDefault="00DD27C2" w:rsidP="004C65F1">
      <w:pPr>
        <w:pStyle w:val="ListParagraph"/>
        <w:numPr>
          <w:ilvl w:val="0"/>
          <w:numId w:val="4"/>
        </w:numPr>
        <w:rPr>
          <w:rFonts w:cstheme="minorHAnsi"/>
          <w:sz w:val="24"/>
          <w:szCs w:val="24"/>
        </w:rPr>
      </w:pPr>
      <w:r w:rsidRPr="00D16914">
        <w:rPr>
          <w:rFonts w:cstheme="minorHAnsi"/>
          <w:sz w:val="24"/>
          <w:szCs w:val="24"/>
        </w:rPr>
        <w:t xml:space="preserve">The </w:t>
      </w:r>
      <w:hyperlink r:id="rId31"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2"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5DF6FFCD" w14:textId="77777777" w:rsidR="00DD27C2" w:rsidRDefault="00DD27C2" w:rsidP="004C65F1">
      <w:pPr>
        <w:pStyle w:val="ListParagraph"/>
        <w:numPr>
          <w:ilvl w:val="0"/>
          <w:numId w:val="4"/>
        </w:numPr>
        <w:rPr>
          <w:rFonts w:cstheme="minorHAnsi"/>
          <w:sz w:val="24"/>
          <w:szCs w:val="24"/>
        </w:rPr>
      </w:pPr>
      <w:r w:rsidRPr="00A4039E">
        <w:rPr>
          <w:rFonts w:cstheme="minorHAnsi"/>
          <w:sz w:val="24"/>
          <w:szCs w:val="24"/>
        </w:rPr>
        <w:t xml:space="preserve">Operational Services Division (OSD) provides a list of SDO businesses through the </w:t>
      </w:r>
      <w:hyperlink r:id="rId33"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67C0402D" w14:textId="77777777" w:rsidR="00DD27C2" w:rsidRDefault="00DD27C2" w:rsidP="00DD27C2">
      <w:pPr>
        <w:pStyle w:val="Heading3"/>
      </w:pPr>
      <w:bookmarkStart w:id="45" w:name="_Toc207800545"/>
      <w:bookmarkStart w:id="46" w:name="_Toc209710956"/>
      <w:r w:rsidRPr="00DD5236">
        <w:lastRenderedPageBreak/>
        <w:t>Supplier Diversity Program (SDP) Requirements</w:t>
      </w:r>
      <w:bookmarkEnd w:id="45"/>
      <w:bookmarkEnd w:id="46"/>
    </w:p>
    <w:p w14:paraId="556ADCFB" w14:textId="77777777" w:rsidR="00DD27C2" w:rsidRDefault="00DD27C2" w:rsidP="00DD27C2">
      <w:pPr>
        <w:rPr>
          <w:sz w:val="24"/>
          <w:szCs w:val="24"/>
        </w:rPr>
      </w:pPr>
      <w:r w:rsidRPr="00DD5236">
        <w:rPr>
          <w:sz w:val="24"/>
          <w:szCs w:val="24"/>
        </w:rPr>
        <w:t>Please view the following guidelines:</w:t>
      </w:r>
    </w:p>
    <w:p w14:paraId="7FAC72D4" w14:textId="77777777" w:rsidR="00DD27C2" w:rsidRDefault="00DD27C2" w:rsidP="004C65F1">
      <w:pPr>
        <w:pStyle w:val="ListParagraph"/>
        <w:numPr>
          <w:ilvl w:val="0"/>
          <w:numId w:val="12"/>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15BE3391" w14:textId="77777777" w:rsidR="00DD27C2" w:rsidRPr="007002E9" w:rsidRDefault="00DD27C2" w:rsidP="004C65F1">
      <w:pPr>
        <w:pStyle w:val="ListParagraph"/>
        <w:numPr>
          <w:ilvl w:val="0"/>
          <w:numId w:val="12"/>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34"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3CCD0197" w14:textId="77777777" w:rsidR="00DD27C2" w:rsidRDefault="00DD27C2" w:rsidP="004C65F1">
      <w:pPr>
        <w:pStyle w:val="ListParagraph"/>
        <w:numPr>
          <w:ilvl w:val="0"/>
          <w:numId w:val="4"/>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1FC2D560" w14:textId="77777777" w:rsidR="00DD27C2" w:rsidRDefault="00DD27C2" w:rsidP="00DD27C2">
      <w:pPr>
        <w:pStyle w:val="Heading3"/>
      </w:pPr>
      <w:bookmarkStart w:id="47" w:name="_Toc207800546"/>
      <w:bookmarkStart w:id="48" w:name="_Toc209710957"/>
      <w:r w:rsidRPr="007418B6">
        <w:t>Small Business Purchasing Program (SBPP) Requirements</w:t>
      </w:r>
      <w:bookmarkEnd w:id="47"/>
      <w:bookmarkEnd w:id="48"/>
    </w:p>
    <w:p w14:paraId="10807D59" w14:textId="77777777" w:rsidR="00DD27C2" w:rsidRDefault="00DD27C2" w:rsidP="00DD27C2">
      <w:pPr>
        <w:rPr>
          <w:sz w:val="24"/>
          <w:szCs w:val="24"/>
        </w:rPr>
      </w:pPr>
      <w:r w:rsidRPr="003C6101">
        <w:rPr>
          <w:sz w:val="24"/>
          <w:szCs w:val="24"/>
        </w:rPr>
        <w:t>Please view the following guidelines:</w:t>
      </w:r>
    </w:p>
    <w:p w14:paraId="2C557F06" w14:textId="77777777" w:rsidR="00DD27C2" w:rsidRDefault="00DD27C2" w:rsidP="004C65F1">
      <w:pPr>
        <w:pStyle w:val="ListParagraph"/>
        <w:numPr>
          <w:ilvl w:val="0"/>
          <w:numId w:val="4"/>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6F6CBCA" w14:textId="77777777" w:rsidR="00DD27C2" w:rsidRDefault="00DD27C2" w:rsidP="004C65F1">
      <w:pPr>
        <w:pStyle w:val="ListParagraph"/>
        <w:numPr>
          <w:ilvl w:val="0"/>
          <w:numId w:val="4"/>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5"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24F4F095" w14:textId="77777777" w:rsidR="00DD27C2" w:rsidRPr="003C6101" w:rsidRDefault="00DD27C2" w:rsidP="004C65F1">
      <w:pPr>
        <w:pStyle w:val="ListParagraph"/>
        <w:numPr>
          <w:ilvl w:val="0"/>
          <w:numId w:val="4"/>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24BED614" w14:textId="77777777" w:rsidR="004C4505" w:rsidRDefault="004C4505" w:rsidP="00DD27C2">
      <w:pPr>
        <w:pStyle w:val="Heading2"/>
      </w:pPr>
      <w:bookmarkStart w:id="49" w:name="_Toc194066612"/>
      <w:bookmarkStart w:id="50" w:name="_Toc198048710"/>
      <w:bookmarkStart w:id="51" w:name="_Toc1281892824"/>
      <w:bookmarkStart w:id="52" w:name="_Toc209710958"/>
      <w:r>
        <w:t>Emergency Services</w:t>
      </w:r>
      <w:bookmarkEnd w:id="49"/>
      <w:bookmarkEnd w:id="50"/>
      <w:bookmarkEnd w:id="51"/>
      <w:bookmarkEnd w:id="52"/>
    </w:p>
    <w:p w14:paraId="227AECC2" w14:textId="77777777" w:rsidR="00DF2F0A" w:rsidRDefault="00DF2F0A" w:rsidP="00DF2F0A">
      <w:pPr>
        <w:rPr>
          <w:sz w:val="24"/>
          <w:szCs w:val="24"/>
        </w:rPr>
      </w:pPr>
      <w:r w:rsidRPr="009E12A3">
        <w:rPr>
          <w:sz w:val="24"/>
          <w:szCs w:val="24"/>
        </w:rPr>
        <w:t>Vendors on this contract may be required to provide products or services in cases of statewide emergencies</w:t>
      </w:r>
      <w:r>
        <w:rPr>
          <w:sz w:val="24"/>
          <w:szCs w:val="24"/>
        </w:rPr>
        <w:t xml:space="preserve">. The </w:t>
      </w:r>
      <w:hyperlink r:id="rId36" w:history="1">
        <w:r w:rsidRPr="00003B08">
          <w:rPr>
            <w:rStyle w:val="Hyperlink"/>
            <w:sz w:val="24"/>
            <w:szCs w:val="24"/>
          </w:rPr>
          <w:t>801 CMR 21.05(3)</w:t>
        </w:r>
      </w:hyperlink>
      <w:r>
        <w:rPr>
          <w:sz w:val="24"/>
          <w:szCs w:val="24"/>
        </w:rPr>
        <w:t xml:space="preserve"> </w:t>
      </w:r>
      <w:r w:rsidRPr="009E12A3">
        <w:rPr>
          <w:sz w:val="24"/>
          <w:szCs w:val="24"/>
        </w:rPr>
        <w:t xml:space="preserve">defines emergency for procurement purposes. Visit the </w:t>
      </w:r>
      <w:hyperlink r:id="rId37"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48CB5E5F" w14:textId="77777777" w:rsidR="003E61CF" w:rsidRDefault="003E61CF" w:rsidP="003E61CF">
      <w:pPr>
        <w:pStyle w:val="Heading2"/>
      </w:pPr>
      <w:bookmarkStart w:id="53" w:name="_Toc194066614"/>
      <w:bookmarkStart w:id="54" w:name="_Toc207874389"/>
      <w:bookmarkStart w:id="55" w:name="_Toc209710959"/>
      <w:r w:rsidRPr="00564A93">
        <w:t>Vendor Performance</w:t>
      </w:r>
      <w:bookmarkEnd w:id="53"/>
      <w:bookmarkEnd w:id="54"/>
      <w:bookmarkEnd w:id="55"/>
    </w:p>
    <w:p w14:paraId="3CF0469E" w14:textId="77777777" w:rsidR="003E61CF" w:rsidRPr="009E12A3" w:rsidRDefault="003E61CF" w:rsidP="003E61CF">
      <w:pPr>
        <w:rPr>
          <w:sz w:val="24"/>
          <w:szCs w:val="24"/>
        </w:rPr>
      </w:pPr>
      <w:r w:rsidRPr="00F0752D">
        <w:rPr>
          <w:sz w:val="24"/>
          <w:szCs w:val="24"/>
        </w:rPr>
        <w:t>Key points concerning vendor performance are outlined below</w:t>
      </w:r>
      <w:r w:rsidRPr="009E12A3">
        <w:rPr>
          <w:sz w:val="24"/>
          <w:szCs w:val="24"/>
        </w:rPr>
        <w:t>:</w:t>
      </w:r>
    </w:p>
    <w:p w14:paraId="68D1E8A6" w14:textId="77777777" w:rsidR="003E61CF" w:rsidRPr="009E12A3" w:rsidRDefault="003E61CF" w:rsidP="004C65F1">
      <w:pPr>
        <w:pStyle w:val="ListParagraph"/>
        <w:numPr>
          <w:ilvl w:val="0"/>
          <w:numId w:val="11"/>
        </w:numPr>
        <w:rPr>
          <w:sz w:val="24"/>
          <w:szCs w:val="24"/>
        </w:rPr>
      </w:pPr>
      <w:r w:rsidRPr="00A36AA5">
        <w:rPr>
          <w:sz w:val="24"/>
          <w:szCs w:val="24"/>
        </w:rPr>
        <w:lastRenderedPageBreak/>
        <w:t xml:space="preserve">Provide actionable feedback on vendors for this contract to optimize performance </w:t>
      </w:r>
      <w:r>
        <w:rPr>
          <w:sz w:val="24"/>
          <w:szCs w:val="24"/>
        </w:rPr>
        <w:t xml:space="preserve">through the </w:t>
      </w:r>
      <w:hyperlink r:id="rId38" w:history="1">
        <w:proofErr w:type="spellStart"/>
        <w:r w:rsidRPr="001F178A">
          <w:rPr>
            <w:rStyle w:val="Hyperlink"/>
            <w:sz w:val="24"/>
            <w:szCs w:val="24"/>
          </w:rPr>
          <w:t>Procurated</w:t>
        </w:r>
        <w:proofErr w:type="spellEnd"/>
        <w:r w:rsidRPr="001F178A">
          <w:rPr>
            <w:rStyle w:val="Hyperlink"/>
            <w:sz w:val="24"/>
            <w:szCs w:val="24"/>
          </w:rPr>
          <w:t xml:space="preserve"> Platform</w:t>
        </w:r>
      </w:hyperlink>
      <w:r w:rsidRPr="00A36AA5">
        <w:rPr>
          <w:sz w:val="24"/>
          <w:szCs w:val="24"/>
        </w:rPr>
        <w:t>.</w:t>
      </w:r>
      <w:r>
        <w:rPr>
          <w:sz w:val="24"/>
          <w:szCs w:val="24"/>
        </w:rPr>
        <w:t xml:space="preserve"> On the </w:t>
      </w:r>
      <w:proofErr w:type="spellStart"/>
      <w:r>
        <w:rPr>
          <w:sz w:val="24"/>
          <w:szCs w:val="24"/>
        </w:rPr>
        <w:t>Procurated</w:t>
      </w:r>
      <w:proofErr w:type="spellEnd"/>
      <w:r>
        <w:rPr>
          <w:sz w:val="24"/>
          <w:szCs w:val="24"/>
        </w:rPr>
        <w:t xml:space="preserve"> website, select an OSD contract, choose </w:t>
      </w:r>
      <w:r w:rsidRPr="00E8347B">
        <w:rPr>
          <w:b/>
          <w:bCs/>
          <w:sz w:val="24"/>
          <w:szCs w:val="24"/>
        </w:rPr>
        <w:t>Select</w:t>
      </w:r>
      <w:r>
        <w:rPr>
          <w:sz w:val="24"/>
          <w:szCs w:val="24"/>
        </w:rPr>
        <w:t xml:space="preserve">, and then choose </w:t>
      </w:r>
      <w:r w:rsidRPr="00E8347B">
        <w:rPr>
          <w:b/>
          <w:bCs/>
          <w:sz w:val="24"/>
          <w:szCs w:val="24"/>
        </w:rPr>
        <w:t>Provide a Review</w:t>
      </w:r>
      <w:r>
        <w:rPr>
          <w:sz w:val="24"/>
          <w:szCs w:val="24"/>
        </w:rPr>
        <w:t xml:space="preserve"> for the applicable vendor listed. </w:t>
      </w:r>
    </w:p>
    <w:p w14:paraId="57D70C8F" w14:textId="77777777" w:rsidR="003E61CF" w:rsidRPr="009E12A3" w:rsidRDefault="003E61CF" w:rsidP="004C65F1">
      <w:pPr>
        <w:pStyle w:val="ListParagraph"/>
        <w:numPr>
          <w:ilvl w:val="0"/>
          <w:numId w:val="11"/>
        </w:numPr>
        <w:rPr>
          <w:sz w:val="24"/>
          <w:szCs w:val="24"/>
        </w:rPr>
      </w:pPr>
      <w:r w:rsidRPr="009E12A3">
        <w:rPr>
          <w:sz w:val="24"/>
          <w:szCs w:val="24"/>
        </w:rPr>
        <w:t xml:space="preserve">Buyers are encouraged to reach out to the </w:t>
      </w:r>
      <w:r w:rsidRPr="009E12A3">
        <w:rPr>
          <w:color w:val="000000" w:themeColor="text1"/>
          <w:sz w:val="24"/>
          <w:szCs w:val="24"/>
        </w:rPr>
        <w:t xml:space="preserve">Category Manager </w:t>
      </w:r>
      <w:r>
        <w:rPr>
          <w:sz w:val="24"/>
          <w:szCs w:val="24"/>
        </w:rPr>
        <w:t>(</w:t>
      </w:r>
      <w:hyperlink r:id="rId39" w:history="1">
        <w:r w:rsidRPr="006A30DC">
          <w:rPr>
            <w:rStyle w:val="Hyperlink"/>
            <w:sz w:val="24"/>
            <w:szCs w:val="24"/>
          </w:rPr>
          <w:t>Michael Barry</w:t>
        </w:r>
      </w:hyperlink>
      <w:r>
        <w:rPr>
          <w:b/>
          <w:bCs/>
          <w:color w:val="000000" w:themeColor="text1"/>
          <w:sz w:val="24"/>
          <w:szCs w:val="24"/>
        </w:rPr>
        <w:t xml:space="preserve"> </w:t>
      </w:r>
      <w:r w:rsidRPr="004817E1">
        <w:rPr>
          <w:color w:val="000000" w:themeColor="text1"/>
          <w:sz w:val="24"/>
          <w:szCs w:val="24"/>
        </w:rPr>
        <w:t>or</w:t>
      </w:r>
      <w:r>
        <w:rPr>
          <w:b/>
          <w:bCs/>
          <w:color w:val="000000" w:themeColor="text1"/>
          <w:sz w:val="24"/>
          <w:szCs w:val="24"/>
        </w:rPr>
        <w:t xml:space="preserve"> </w:t>
      </w:r>
      <w:hyperlink r:id="rId40" w:history="1">
        <w:r w:rsidRPr="006A30DC">
          <w:rPr>
            <w:rStyle w:val="Hyperlink"/>
            <w:sz w:val="24"/>
            <w:szCs w:val="24"/>
          </w:rPr>
          <w:t>Kelly Minichello</w:t>
        </w:r>
      </w:hyperlink>
      <w:r>
        <w:rPr>
          <w:sz w:val="24"/>
          <w:szCs w:val="24"/>
        </w:rPr>
        <w:t xml:space="preserve">) </w:t>
      </w:r>
      <w:r w:rsidRPr="009E12A3">
        <w:rPr>
          <w:sz w:val="24"/>
          <w:szCs w:val="24"/>
        </w:rPr>
        <w:t>if vendors are not meeting their contractual obligations and buyers may be surveyed for vendor performance feedback.</w:t>
      </w:r>
    </w:p>
    <w:p w14:paraId="7009A522" w14:textId="77777777" w:rsidR="003E61CF" w:rsidRPr="009E12A3" w:rsidRDefault="003E61CF" w:rsidP="004C65F1">
      <w:pPr>
        <w:pStyle w:val="ListParagraph"/>
        <w:numPr>
          <w:ilvl w:val="0"/>
          <w:numId w:val="11"/>
        </w:numPr>
        <w:rPr>
          <w:sz w:val="24"/>
          <w:szCs w:val="24"/>
        </w:rPr>
      </w:pPr>
      <w:r>
        <w:rPr>
          <w:sz w:val="24"/>
          <w:szCs w:val="24"/>
        </w:rPr>
        <w:t>Vendors</w:t>
      </w:r>
      <w:r w:rsidRPr="009E12A3">
        <w:rPr>
          <w:sz w:val="24"/>
          <w:szCs w:val="24"/>
        </w:rPr>
        <w:t xml:space="preserve"> will be evaluated on their current performance and may be asked to work with the Commonwealth toward improvement.</w:t>
      </w:r>
    </w:p>
    <w:p w14:paraId="3D110BBA" w14:textId="77777777" w:rsidR="003E61CF" w:rsidRPr="009E12A3" w:rsidRDefault="003E61CF" w:rsidP="004C65F1">
      <w:pPr>
        <w:pStyle w:val="ListParagraph"/>
        <w:numPr>
          <w:ilvl w:val="1"/>
          <w:numId w:val="11"/>
        </w:numPr>
        <w:rPr>
          <w:sz w:val="24"/>
          <w:szCs w:val="24"/>
        </w:rPr>
      </w:pPr>
      <w:r w:rsidRPr="009E12A3">
        <w:rPr>
          <w:sz w:val="24"/>
          <w:szCs w:val="24"/>
        </w:rPr>
        <w:t xml:space="preserve">If </w:t>
      </w:r>
      <w:r>
        <w:rPr>
          <w:sz w:val="24"/>
          <w:szCs w:val="24"/>
        </w:rPr>
        <w:t>vendor</w:t>
      </w:r>
      <w:r w:rsidRPr="009E12A3">
        <w:rPr>
          <w:sz w:val="24"/>
          <w:szCs w:val="24"/>
        </w:rPr>
        <w:t xml:space="preserve"> performance is unacceptable but </w:t>
      </w:r>
      <w:r>
        <w:rPr>
          <w:sz w:val="24"/>
          <w:szCs w:val="24"/>
        </w:rPr>
        <w:t>may</w:t>
      </w:r>
      <w:r w:rsidRPr="009E12A3">
        <w:rPr>
          <w:sz w:val="24"/>
          <w:szCs w:val="24"/>
        </w:rPr>
        <w:t xml:space="preserve"> be corrected, the </w:t>
      </w:r>
      <w:r>
        <w:rPr>
          <w:sz w:val="24"/>
          <w:szCs w:val="24"/>
        </w:rPr>
        <w:t>vendor</w:t>
      </w:r>
      <w:r w:rsidRPr="009E12A3">
        <w:rPr>
          <w:sz w:val="24"/>
          <w:szCs w:val="24"/>
        </w:rPr>
        <w:t xml:space="preserve"> will be given the opportunity to develop and implement a </w:t>
      </w:r>
      <w:r>
        <w:rPr>
          <w:sz w:val="24"/>
          <w:szCs w:val="24"/>
        </w:rPr>
        <w:t>C</w:t>
      </w:r>
      <w:r w:rsidRPr="009E12A3">
        <w:rPr>
          <w:sz w:val="24"/>
          <w:szCs w:val="24"/>
        </w:rPr>
        <w:t xml:space="preserve">orrective </w:t>
      </w:r>
      <w:r>
        <w:rPr>
          <w:sz w:val="24"/>
          <w:szCs w:val="24"/>
        </w:rPr>
        <w:t>A</w:t>
      </w:r>
      <w:r w:rsidRPr="009E12A3">
        <w:rPr>
          <w:sz w:val="24"/>
          <w:szCs w:val="24"/>
        </w:rPr>
        <w:t xml:space="preserve">ction </w:t>
      </w:r>
      <w:r>
        <w:rPr>
          <w:sz w:val="24"/>
          <w:szCs w:val="24"/>
        </w:rPr>
        <w:t>P</w:t>
      </w:r>
      <w:r w:rsidRPr="009E12A3">
        <w:rPr>
          <w:sz w:val="24"/>
          <w:szCs w:val="24"/>
        </w:rPr>
        <w:t>lan</w:t>
      </w:r>
      <w:r>
        <w:rPr>
          <w:sz w:val="24"/>
          <w:szCs w:val="24"/>
        </w:rPr>
        <w:t xml:space="preserve"> (CAP)</w:t>
      </w:r>
      <w:r w:rsidRPr="009E12A3">
        <w:rPr>
          <w:sz w:val="24"/>
          <w:szCs w:val="24"/>
        </w:rPr>
        <w:t>, working collaboratively with OSD and the relevant purchasing entities.</w:t>
      </w:r>
    </w:p>
    <w:p w14:paraId="51FBBA82" w14:textId="77777777" w:rsidR="003E61CF" w:rsidRPr="009E12A3" w:rsidRDefault="003E61CF" w:rsidP="004C65F1">
      <w:pPr>
        <w:pStyle w:val="ListParagraph"/>
        <w:numPr>
          <w:ilvl w:val="1"/>
          <w:numId w:val="11"/>
        </w:numPr>
        <w:rPr>
          <w:sz w:val="24"/>
          <w:szCs w:val="24"/>
        </w:rPr>
      </w:pPr>
      <w:r w:rsidRPr="009E12A3">
        <w:rPr>
          <w:sz w:val="24"/>
          <w:szCs w:val="24"/>
        </w:rPr>
        <w:t xml:space="preserve">If </w:t>
      </w:r>
      <w:r>
        <w:rPr>
          <w:sz w:val="24"/>
          <w:szCs w:val="24"/>
        </w:rPr>
        <w:t>vendor</w:t>
      </w:r>
      <w:r w:rsidRPr="009E12A3">
        <w:rPr>
          <w:sz w:val="24"/>
          <w:szCs w:val="24"/>
        </w:rPr>
        <w:t xml:space="preserve"> performance is inadequate or breaches the RFR terms, including attachments and agreements, the OSD Category Manager may issue a warning, implement a </w:t>
      </w:r>
      <w:r>
        <w:rPr>
          <w:sz w:val="24"/>
          <w:szCs w:val="24"/>
        </w:rPr>
        <w:t>CAP</w:t>
      </w:r>
      <w:r w:rsidRPr="009E12A3">
        <w:rPr>
          <w:sz w:val="24"/>
          <w:szCs w:val="24"/>
        </w:rPr>
        <w:t>, or suspend/terminate the contract.</w:t>
      </w:r>
    </w:p>
    <w:p w14:paraId="412EE232" w14:textId="77777777" w:rsidR="003E61CF" w:rsidRPr="009E12A3" w:rsidRDefault="003E61CF" w:rsidP="004C65F1">
      <w:pPr>
        <w:pStyle w:val="ListParagraph"/>
        <w:numPr>
          <w:ilvl w:val="0"/>
          <w:numId w:val="11"/>
        </w:numPr>
        <w:rPr>
          <w:sz w:val="24"/>
          <w:szCs w:val="24"/>
        </w:rPr>
      </w:pPr>
      <w:r>
        <w:rPr>
          <w:sz w:val="24"/>
          <w:szCs w:val="24"/>
        </w:rPr>
        <w:t>Vendors</w:t>
      </w:r>
      <w:r w:rsidRPr="009E12A3">
        <w:rPr>
          <w:sz w:val="24"/>
          <w:szCs w:val="24"/>
        </w:rPr>
        <w:t xml:space="preserve"> must meet all contractual requirements throughout the life of the contract, including requirements for timely and accurate report submission, to remain in good standing under the contract.</w:t>
      </w:r>
    </w:p>
    <w:p w14:paraId="3EA87141" w14:textId="77777777" w:rsidR="003E61CF" w:rsidRDefault="003E61CF" w:rsidP="003E61CF">
      <w:pPr>
        <w:pStyle w:val="Heading2"/>
      </w:pPr>
      <w:bookmarkStart w:id="56" w:name="_Toc194066615"/>
      <w:bookmarkStart w:id="57" w:name="_Toc207874390"/>
      <w:bookmarkStart w:id="58" w:name="_Toc209710960"/>
      <w:r>
        <w:t>General Procurement Guidelines and Best Practices</w:t>
      </w:r>
      <w:bookmarkEnd w:id="56"/>
      <w:bookmarkEnd w:id="57"/>
      <w:bookmarkEnd w:id="58"/>
    </w:p>
    <w:p w14:paraId="5F0DA354" w14:textId="77777777" w:rsidR="003E61CF" w:rsidRPr="009E12A3" w:rsidRDefault="003E61CF" w:rsidP="003E61CF">
      <w:pPr>
        <w:rPr>
          <w:sz w:val="24"/>
          <w:szCs w:val="24"/>
        </w:rPr>
      </w:pPr>
      <w:r w:rsidRPr="009E12A3">
        <w:rPr>
          <w:sz w:val="24"/>
          <w:szCs w:val="24"/>
        </w:rPr>
        <w:t>For general procurement guidelines and best practices, follow these recommendations:</w:t>
      </w:r>
    </w:p>
    <w:p w14:paraId="293FA9C1" w14:textId="77777777" w:rsidR="003E61CF" w:rsidRPr="009E12A3" w:rsidRDefault="003E61CF" w:rsidP="004C65F1">
      <w:pPr>
        <w:pStyle w:val="ListParagraph"/>
        <w:numPr>
          <w:ilvl w:val="0"/>
          <w:numId w:val="7"/>
        </w:numPr>
        <w:rPr>
          <w:sz w:val="24"/>
          <w:szCs w:val="24"/>
        </w:rPr>
      </w:pPr>
      <w:r w:rsidRPr="009E12A3">
        <w:rPr>
          <w:sz w:val="24"/>
          <w:szCs w:val="24"/>
        </w:rPr>
        <w:t xml:space="preserve">Buyers should inform vendors to reference </w:t>
      </w:r>
      <w:r>
        <w:rPr>
          <w:sz w:val="24"/>
          <w:szCs w:val="24"/>
        </w:rPr>
        <w:t xml:space="preserve">Statewide </w:t>
      </w:r>
      <w:r w:rsidRPr="009E12A3">
        <w:rPr>
          <w:sz w:val="24"/>
          <w:szCs w:val="24"/>
        </w:rPr>
        <w:t xml:space="preserve">Contract </w:t>
      </w:r>
      <w:r w:rsidRPr="00BB266A">
        <w:rPr>
          <w:b/>
          <w:sz w:val="24"/>
          <w:szCs w:val="24"/>
        </w:rPr>
        <w:t>ENE50</w:t>
      </w:r>
      <w:r>
        <w:rPr>
          <w:bCs/>
          <w:sz w:val="24"/>
          <w:szCs w:val="24"/>
        </w:rPr>
        <w:t xml:space="preserve"> </w:t>
      </w:r>
      <w:r w:rsidRPr="009E12A3">
        <w:rPr>
          <w:sz w:val="24"/>
          <w:szCs w:val="24"/>
        </w:rPr>
        <w:t>on all quotes and invoices.</w:t>
      </w:r>
    </w:p>
    <w:p w14:paraId="0A601B98" w14:textId="77777777" w:rsidR="003E61CF" w:rsidRPr="009E12A3" w:rsidRDefault="003E61CF" w:rsidP="004C65F1">
      <w:pPr>
        <w:pStyle w:val="ListParagraph"/>
        <w:numPr>
          <w:ilvl w:val="0"/>
          <w:numId w:val="7"/>
        </w:numPr>
        <w:rPr>
          <w:sz w:val="24"/>
          <w:szCs w:val="24"/>
        </w:rPr>
      </w:pPr>
      <w:r w:rsidRPr="009E12A3">
        <w:rPr>
          <w:sz w:val="24"/>
          <w:szCs w:val="24"/>
        </w:rPr>
        <w:t>No prepayment should be made for products not yet delivered or services not yet rendered.</w:t>
      </w:r>
    </w:p>
    <w:p w14:paraId="240F5ED4" w14:textId="77777777"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7CB59EDD" w14:textId="77777777"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t>No fees or surcharges (including travel, fuel, delivery) should be applied to invoices.</w:t>
      </w:r>
    </w:p>
    <w:p w14:paraId="5E9C78CC" w14:textId="77777777"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33D31555" w14:textId="77777777"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t>Payments for products or services provided must be paid within 45 days per Massachusetts Bill Payment Policy, or sooner if applying Prompt Payment Discount.</w:t>
      </w:r>
    </w:p>
    <w:p w14:paraId="43E634F2" w14:textId="77777777" w:rsidR="003E61CF" w:rsidRPr="009E12A3" w:rsidRDefault="003E61CF" w:rsidP="004C65F1">
      <w:pPr>
        <w:pStyle w:val="ListParagraph"/>
        <w:numPr>
          <w:ilvl w:val="0"/>
          <w:numId w:val="7"/>
        </w:numPr>
        <w:rPr>
          <w:rFonts w:cstheme="minorHAnsi"/>
          <w:sz w:val="24"/>
          <w:szCs w:val="24"/>
        </w:rPr>
      </w:pPr>
      <w:r w:rsidRPr="009E12A3">
        <w:rPr>
          <w:rFonts w:cstheme="minorHAnsi"/>
          <w:sz w:val="24"/>
          <w:szCs w:val="24"/>
        </w:rPr>
        <w:lastRenderedPageBreak/>
        <w:t>Buyers are not required to sign additional agreements with vendors that conflict with the Request for Response (RFR) Terms and Conditions</w:t>
      </w:r>
      <w:r>
        <w:rPr>
          <w:rFonts w:cstheme="minorHAnsi"/>
          <w:sz w:val="24"/>
          <w:szCs w:val="24"/>
        </w:rPr>
        <w:t>.</w:t>
      </w:r>
      <w:r w:rsidRPr="009E12A3">
        <w:rPr>
          <w:rFonts w:cstheme="minorHAnsi"/>
          <w:sz w:val="24"/>
          <w:szCs w:val="24"/>
        </w:rPr>
        <w:t xml:space="preserve"> </w:t>
      </w:r>
      <w:r>
        <w:rPr>
          <w:rFonts w:cstheme="minorHAnsi"/>
          <w:sz w:val="24"/>
          <w:szCs w:val="24"/>
        </w:rPr>
        <w:t>C</w:t>
      </w:r>
      <w:r w:rsidRPr="009E12A3">
        <w:rPr>
          <w:rFonts w:cstheme="minorHAnsi"/>
          <w:sz w:val="24"/>
          <w:szCs w:val="24"/>
        </w:rPr>
        <w:t xml:space="preserve">ontact </w:t>
      </w:r>
      <w:r>
        <w:rPr>
          <w:rFonts w:cstheme="minorHAnsi"/>
          <w:sz w:val="24"/>
          <w:szCs w:val="24"/>
        </w:rPr>
        <w:t xml:space="preserve">the </w:t>
      </w:r>
      <w:r w:rsidRPr="009E12A3">
        <w:rPr>
          <w:rFonts w:cstheme="minorHAnsi"/>
          <w:sz w:val="24"/>
          <w:szCs w:val="24"/>
        </w:rPr>
        <w:t xml:space="preserve">Category Manager </w:t>
      </w:r>
      <w:r>
        <w:rPr>
          <w:sz w:val="24"/>
          <w:szCs w:val="24"/>
        </w:rPr>
        <w:t>(</w:t>
      </w:r>
      <w:hyperlink r:id="rId41" w:history="1">
        <w:r w:rsidRPr="006A30DC">
          <w:rPr>
            <w:rStyle w:val="Hyperlink"/>
            <w:sz w:val="24"/>
            <w:szCs w:val="24"/>
          </w:rPr>
          <w:t>Michael Barry</w:t>
        </w:r>
      </w:hyperlink>
      <w:r>
        <w:rPr>
          <w:b/>
          <w:bCs/>
          <w:color w:val="000000" w:themeColor="text1"/>
          <w:sz w:val="24"/>
          <w:szCs w:val="24"/>
        </w:rPr>
        <w:t xml:space="preserve"> </w:t>
      </w:r>
      <w:r w:rsidRPr="004817E1">
        <w:rPr>
          <w:color w:val="000000" w:themeColor="text1"/>
          <w:sz w:val="24"/>
          <w:szCs w:val="24"/>
        </w:rPr>
        <w:t>or</w:t>
      </w:r>
      <w:r>
        <w:rPr>
          <w:b/>
          <w:bCs/>
          <w:color w:val="000000" w:themeColor="text1"/>
          <w:sz w:val="24"/>
          <w:szCs w:val="24"/>
        </w:rPr>
        <w:t xml:space="preserve"> </w:t>
      </w:r>
      <w:hyperlink r:id="rId42" w:history="1">
        <w:r w:rsidRPr="006A30DC">
          <w:rPr>
            <w:rStyle w:val="Hyperlink"/>
            <w:sz w:val="24"/>
            <w:szCs w:val="24"/>
          </w:rPr>
          <w:t>Kelly Minichello</w:t>
        </w:r>
      </w:hyperlink>
      <w:r>
        <w:rPr>
          <w:sz w:val="24"/>
          <w:szCs w:val="24"/>
        </w:rPr>
        <w:t xml:space="preserve">) </w:t>
      </w:r>
      <w:r w:rsidRPr="009E12A3">
        <w:rPr>
          <w:rFonts w:cstheme="minorHAnsi"/>
          <w:sz w:val="24"/>
          <w:szCs w:val="24"/>
        </w:rPr>
        <w:t>for gui</w:t>
      </w:r>
      <w:r>
        <w:rPr>
          <w:rFonts w:cstheme="minorHAnsi"/>
          <w:sz w:val="24"/>
          <w:szCs w:val="24"/>
        </w:rPr>
        <w:t>dance</w:t>
      </w:r>
      <w:r w:rsidRPr="009E12A3">
        <w:rPr>
          <w:rFonts w:cstheme="minorHAnsi"/>
          <w:sz w:val="24"/>
          <w:szCs w:val="24"/>
        </w:rPr>
        <w:t xml:space="preserve">. </w:t>
      </w:r>
    </w:p>
    <w:p w14:paraId="718A044C" w14:textId="77777777" w:rsidR="003E61CF" w:rsidRPr="009E12A3" w:rsidRDefault="003E61CF" w:rsidP="004C65F1">
      <w:pPr>
        <w:pStyle w:val="ListParagraph"/>
        <w:numPr>
          <w:ilvl w:val="0"/>
          <w:numId w:val="6"/>
        </w:numPr>
        <w:rPr>
          <w:sz w:val="24"/>
          <w:szCs w:val="24"/>
        </w:rPr>
      </w:pPr>
      <w:r w:rsidRPr="009E12A3">
        <w:rPr>
          <w:rFonts w:cstheme="minorHAnsi"/>
          <w:sz w:val="24"/>
          <w:szCs w:val="24"/>
        </w:rPr>
        <w:t>Vendors must notify buyers of product substitutions.</w:t>
      </w:r>
    </w:p>
    <w:p w14:paraId="4076B203" w14:textId="77777777" w:rsidR="004C4505" w:rsidRDefault="004C4505" w:rsidP="003E61CF">
      <w:pPr>
        <w:pStyle w:val="Heading2"/>
      </w:pPr>
      <w:bookmarkStart w:id="59" w:name="_Toc435952384"/>
      <w:bookmarkStart w:id="60" w:name="_Toc209710961"/>
      <w:r>
        <w:t>Environmentally Preferable Products and Services (EPPs)</w:t>
      </w:r>
      <w:bookmarkEnd w:id="59"/>
      <w:bookmarkEnd w:id="60"/>
    </w:p>
    <w:p w14:paraId="24980072" w14:textId="77777777" w:rsidR="004C4505" w:rsidRPr="008706B3" w:rsidRDefault="004C4505" w:rsidP="004C4505">
      <w:pPr>
        <w:rPr>
          <w:rFonts w:cs="Times New Roman"/>
          <w:sz w:val="24"/>
          <w:szCs w:val="24"/>
        </w:rPr>
      </w:pPr>
      <w:r w:rsidRPr="79DC7B4E">
        <w:rPr>
          <w:rFonts w:cs="Times New Roman"/>
          <w:sz w:val="24"/>
          <w:szCs w:val="24"/>
        </w:rPr>
        <w:t xml:space="preserve">Massachusetts has built a layered clean energy framework where the </w:t>
      </w:r>
      <w:hyperlink r:id="rId43">
        <w:r w:rsidRPr="79DC7B4E">
          <w:rPr>
            <w:rStyle w:val="Hyperlink"/>
            <w:rFonts w:cs="Times New Roman"/>
            <w:sz w:val="24"/>
            <w:szCs w:val="24"/>
          </w:rPr>
          <w:t>Clean Energy Standard</w:t>
        </w:r>
      </w:hyperlink>
      <w:r w:rsidRPr="79DC7B4E">
        <w:rPr>
          <w:rFonts w:cs="Times New Roman"/>
          <w:sz w:val="24"/>
          <w:szCs w:val="24"/>
        </w:rPr>
        <w:t xml:space="preserve"> (CES), </w:t>
      </w:r>
      <w:hyperlink r:id="rId44">
        <w:r w:rsidRPr="79DC7B4E">
          <w:rPr>
            <w:rStyle w:val="Hyperlink"/>
            <w:rFonts w:cs="Times New Roman"/>
            <w:sz w:val="24"/>
            <w:szCs w:val="24"/>
          </w:rPr>
          <w:t>Renewable Portfolio Standard</w:t>
        </w:r>
      </w:hyperlink>
      <w:r w:rsidRPr="79DC7B4E">
        <w:rPr>
          <w:rFonts w:cs="Times New Roman"/>
          <w:sz w:val="24"/>
          <w:szCs w:val="24"/>
        </w:rPr>
        <w:t xml:space="preserve"> (RPS), and </w:t>
      </w:r>
      <w:hyperlink r:id="rId45">
        <w:r w:rsidRPr="79DC7B4E">
          <w:rPr>
            <w:rStyle w:val="Hyperlink"/>
            <w:rFonts w:cs="Times New Roman"/>
            <w:sz w:val="24"/>
            <w:szCs w:val="24"/>
          </w:rPr>
          <w:t>Alternative Energy Portfolio Standard</w:t>
        </w:r>
      </w:hyperlink>
      <w:r w:rsidRPr="79DC7B4E">
        <w:rPr>
          <w:rFonts w:cs="Times New Roman"/>
          <w:sz w:val="24"/>
          <w:szCs w:val="24"/>
        </w:rPr>
        <w:t xml:space="preserve"> (APS) work in tandem to drive the state’s transition to low-carbon energy. The CES sets a minimum percentage of electricity sales that utilities and competitive retail suppliers must procure from clean energy sources.  This amount increases 2% annually to 80% in 2050.  </w:t>
      </w:r>
      <w:hyperlink r:id="rId46">
        <w:r w:rsidRPr="79DC7B4E">
          <w:rPr>
            <w:rStyle w:val="Hyperlink"/>
            <w:rFonts w:cs="Times New Roman"/>
            <w:sz w:val="24"/>
            <w:szCs w:val="24"/>
          </w:rPr>
          <w:t>Renewable Energy Portfolio (RPS) and Alternative Energy Standards (AES)</w:t>
        </w:r>
      </w:hyperlink>
      <w:r w:rsidRPr="79DC7B4E">
        <w:rPr>
          <w:rFonts w:cs="Times New Roman"/>
          <w:sz w:val="24"/>
          <w:szCs w:val="24"/>
        </w:rPr>
        <w:t xml:space="preserve"> were some of the first programs in the nation to require a certain percentage of the state's electricity to come from renewable and alternative energy sources. Direct Energy must demonstrate annually that all suppliers have procured the required clean energy from any of the following sources:   </w:t>
      </w:r>
    </w:p>
    <w:p w14:paraId="7655E9B5" w14:textId="77777777" w:rsidR="004C4505" w:rsidRPr="008706B3" w:rsidRDefault="004C4505" w:rsidP="004C65F1">
      <w:pPr>
        <w:pStyle w:val="ListParagraph"/>
        <w:numPr>
          <w:ilvl w:val="0"/>
          <w:numId w:val="6"/>
        </w:numPr>
        <w:rPr>
          <w:rFonts w:cs="Times New Roman"/>
          <w:sz w:val="24"/>
          <w:szCs w:val="24"/>
        </w:rPr>
      </w:pPr>
      <w:r w:rsidRPr="008706B3">
        <w:rPr>
          <w:rFonts w:cs="Times New Roman"/>
          <w:sz w:val="24"/>
          <w:szCs w:val="24"/>
        </w:rPr>
        <w:t>Renewable Energy Certificates (RECs)</w:t>
      </w:r>
    </w:p>
    <w:p w14:paraId="58F3ABDB" w14:textId="77777777" w:rsidR="004C4505" w:rsidRPr="008706B3" w:rsidRDefault="004C4505" w:rsidP="004C65F1">
      <w:pPr>
        <w:pStyle w:val="ListParagraph"/>
        <w:numPr>
          <w:ilvl w:val="0"/>
          <w:numId w:val="6"/>
        </w:numPr>
        <w:rPr>
          <w:rFonts w:cs="Times New Roman"/>
          <w:sz w:val="24"/>
          <w:szCs w:val="24"/>
        </w:rPr>
      </w:pPr>
      <w:r w:rsidRPr="008706B3">
        <w:rPr>
          <w:rFonts w:cs="Times New Roman"/>
          <w:sz w:val="24"/>
          <w:szCs w:val="24"/>
        </w:rPr>
        <w:t>Alternative Energy Certificates (AECs)</w:t>
      </w:r>
    </w:p>
    <w:p w14:paraId="1714C801" w14:textId="77777777" w:rsidR="004C4505" w:rsidRPr="008706B3" w:rsidRDefault="004C4505" w:rsidP="004C65F1">
      <w:pPr>
        <w:pStyle w:val="ListParagraph"/>
        <w:numPr>
          <w:ilvl w:val="0"/>
          <w:numId w:val="6"/>
        </w:numPr>
        <w:rPr>
          <w:rFonts w:cs="Times New Roman"/>
          <w:sz w:val="24"/>
          <w:szCs w:val="24"/>
        </w:rPr>
      </w:pPr>
      <w:r w:rsidRPr="008706B3">
        <w:rPr>
          <w:rFonts w:cs="Times New Roman"/>
          <w:sz w:val="24"/>
          <w:szCs w:val="24"/>
        </w:rPr>
        <w:t>Waste Energy Certificates (WECs)</w:t>
      </w:r>
    </w:p>
    <w:p w14:paraId="134980DE" w14:textId="77777777" w:rsidR="004C4505" w:rsidRPr="008706B3" w:rsidRDefault="004C4505" w:rsidP="004C65F1">
      <w:pPr>
        <w:pStyle w:val="ListParagraph"/>
        <w:numPr>
          <w:ilvl w:val="0"/>
          <w:numId w:val="6"/>
        </w:numPr>
        <w:rPr>
          <w:rFonts w:cs="Times New Roman"/>
          <w:sz w:val="24"/>
          <w:szCs w:val="24"/>
        </w:rPr>
      </w:pPr>
      <w:r w:rsidRPr="008706B3">
        <w:rPr>
          <w:rFonts w:cs="Times New Roman"/>
          <w:sz w:val="24"/>
          <w:szCs w:val="24"/>
        </w:rPr>
        <w:t>Solar Renewable Energy Certificates (SRECs)</w:t>
      </w:r>
    </w:p>
    <w:p w14:paraId="05E18876" w14:textId="77777777" w:rsidR="004C4505" w:rsidRPr="008706B3" w:rsidRDefault="004C4505" w:rsidP="004C65F1">
      <w:pPr>
        <w:pStyle w:val="ListParagraph"/>
        <w:numPr>
          <w:ilvl w:val="0"/>
          <w:numId w:val="6"/>
        </w:numPr>
        <w:rPr>
          <w:rFonts w:cs="Times New Roman"/>
          <w:sz w:val="24"/>
          <w:szCs w:val="24"/>
        </w:rPr>
      </w:pPr>
      <w:r w:rsidRPr="643076E0">
        <w:rPr>
          <w:rFonts w:cs="Times New Roman"/>
          <w:sz w:val="24"/>
          <w:szCs w:val="24"/>
        </w:rPr>
        <w:t>Solar Renewable Energy Certificate IIs (SREC IIs) to meet the Minimum Standard for that class</w:t>
      </w:r>
    </w:p>
    <w:p w14:paraId="23312D6B" w14:textId="1C76C222" w:rsidR="00A916AE" w:rsidRDefault="00A916AE" w:rsidP="00A916AE">
      <w:pPr>
        <w:pStyle w:val="Heading3"/>
      </w:pPr>
      <w:bookmarkStart w:id="61" w:name="_Toc209710962"/>
      <w:r>
        <w:t>Learn More</w:t>
      </w:r>
      <w:bookmarkEnd w:id="61"/>
    </w:p>
    <w:p w14:paraId="383CD91B" w14:textId="68446706" w:rsidR="004C4505" w:rsidRDefault="004C4505" w:rsidP="004C4505">
      <w:pPr>
        <w:spacing w:after="160"/>
      </w:pPr>
      <w:r w:rsidRPr="643076E0">
        <w:rPr>
          <w:rFonts w:ascii="Calibri" w:eastAsia="Calibri" w:hAnsi="Calibri" w:cs="Calibri"/>
          <w:sz w:val="24"/>
          <w:szCs w:val="24"/>
        </w:rPr>
        <w:t xml:space="preserve">Explore the </w:t>
      </w:r>
      <w:hyperlink r:id="rId47">
        <w:r w:rsidRPr="003E61CF">
          <w:rPr>
            <w:rStyle w:val="Hyperlink"/>
            <w:rFonts w:ascii="Calibri" w:eastAsia="Calibri" w:hAnsi="Calibri" w:cs="Calibri"/>
            <w:sz w:val="24"/>
            <w:szCs w:val="24"/>
          </w:rPr>
          <w:t>Environmentally Preferable Products (EPP) Procurement Program</w:t>
        </w:r>
      </w:hyperlink>
      <w:r w:rsidRPr="643076E0">
        <w:rPr>
          <w:rFonts w:ascii="Calibri" w:eastAsia="Calibri" w:hAnsi="Calibri" w:cs="Calibri"/>
          <w:sz w:val="24"/>
          <w:szCs w:val="24"/>
        </w:rPr>
        <w:t xml:space="preserve"> and discover detailed guidance in the </w:t>
      </w:r>
      <w:hyperlink r:id="rId48">
        <w:r w:rsidRPr="003E61CF">
          <w:rPr>
            <w:rStyle w:val="Hyperlink"/>
            <w:rFonts w:ascii="Calibri" w:eastAsia="Calibri" w:hAnsi="Calibri" w:cs="Calibri"/>
            <w:sz w:val="24"/>
            <w:szCs w:val="24"/>
          </w:rPr>
          <w:t>EPP Products and Services Guide</w:t>
        </w:r>
      </w:hyperlink>
      <w:r w:rsidRPr="643076E0">
        <w:rPr>
          <w:rFonts w:ascii="Calibri" w:eastAsia="Calibri" w:hAnsi="Calibri" w:cs="Calibri"/>
          <w:sz w:val="24"/>
          <w:szCs w:val="24"/>
        </w:rPr>
        <w:t>.</w:t>
      </w:r>
    </w:p>
    <w:p w14:paraId="1161AA2B" w14:textId="77777777" w:rsidR="004C4505" w:rsidRDefault="004C4505" w:rsidP="0005486E">
      <w:pPr>
        <w:pStyle w:val="Heading2"/>
      </w:pPr>
      <w:bookmarkStart w:id="62" w:name="_Toc48735904"/>
      <w:bookmarkStart w:id="63" w:name="_Toc194066619"/>
      <w:bookmarkStart w:id="64" w:name="_Toc198048716"/>
      <w:bookmarkStart w:id="65" w:name="_Toc209710963"/>
      <w:r>
        <w:t>Memorandum of Understanding (MOU)</w:t>
      </w:r>
      <w:bookmarkEnd w:id="62"/>
      <w:bookmarkEnd w:id="65"/>
      <w:r>
        <w:t xml:space="preserve"> </w:t>
      </w:r>
      <w:bookmarkEnd w:id="63"/>
      <w:bookmarkEnd w:id="64"/>
    </w:p>
    <w:p w14:paraId="6AC9E06D" w14:textId="77777777" w:rsidR="004C4505" w:rsidRPr="00822398" w:rsidRDefault="004C4505" w:rsidP="004C4505">
      <w:r w:rsidRPr="00E22903">
        <w:rPr>
          <w:sz w:val="24"/>
          <w:szCs w:val="24"/>
        </w:rPr>
        <w:t>To add an account to the contract, Buyer’s will provide the Commonwealth with a list of accounts to be added, a recent utility invoice for each account, a signed letter of authorization, and a signed MOU.</w:t>
      </w:r>
      <w:r>
        <w:rPr>
          <w:sz w:val="24"/>
          <w:szCs w:val="24"/>
        </w:rPr>
        <w:t xml:space="preserve"> </w:t>
      </w:r>
      <w:r w:rsidRPr="000F10FD">
        <w:rPr>
          <w:sz w:val="24"/>
          <w:szCs w:val="24"/>
        </w:rPr>
        <w:t>The Commonwealth will give these documents to Direct Energy to get a price for adding the account</w:t>
      </w:r>
      <w:r w:rsidRPr="00E22903">
        <w:rPr>
          <w:sz w:val="24"/>
          <w:szCs w:val="24"/>
        </w:rPr>
        <w:t>.</w:t>
      </w:r>
    </w:p>
    <w:p w14:paraId="5DB3A743" w14:textId="77777777" w:rsidR="004C4505" w:rsidRPr="002E2D42" w:rsidRDefault="004C4505" w:rsidP="0005486E">
      <w:pPr>
        <w:pStyle w:val="Heading2"/>
      </w:pPr>
      <w:bookmarkStart w:id="66" w:name="_Toc194066620"/>
      <w:bookmarkStart w:id="67" w:name="_Toc198048717"/>
      <w:bookmarkStart w:id="68" w:name="_Toc1632187442"/>
      <w:bookmarkStart w:id="69" w:name="_Toc209710964"/>
      <w:r>
        <w:lastRenderedPageBreak/>
        <w:t>Instructions for MMARS Users</w:t>
      </w:r>
      <w:bookmarkEnd w:id="66"/>
      <w:bookmarkEnd w:id="67"/>
      <w:bookmarkEnd w:id="68"/>
      <w:bookmarkEnd w:id="69"/>
    </w:p>
    <w:p w14:paraId="394F5238" w14:textId="77777777" w:rsidR="0005486E" w:rsidRDefault="004C4505" w:rsidP="0005486E">
      <w:pPr>
        <w:pStyle w:val="ListParagraph"/>
        <w:spacing w:after="0"/>
        <w:ind w:left="0"/>
        <w:rPr>
          <w:rFonts w:cs="Arial"/>
        </w:rPr>
      </w:pPr>
      <w:r w:rsidRPr="00E006A5">
        <w:rPr>
          <w:rFonts w:cs="Arial"/>
          <w:color w:val="000000" w:themeColor="text1"/>
          <w:sz w:val="24"/>
          <w:szCs w:val="24"/>
        </w:rPr>
        <w:t xml:space="preserve">When placing orders with a contractor, </w:t>
      </w:r>
      <w:r w:rsidRPr="009F554C">
        <w:rPr>
          <w:rFonts w:cs="Arial"/>
          <w:color w:val="000000" w:themeColor="text1"/>
          <w:sz w:val="24"/>
          <w:szCs w:val="24"/>
        </w:rPr>
        <w:t>Massachusetts Management Accounting Reporting System</w:t>
      </w:r>
      <w:r>
        <w:rPr>
          <w:rFonts w:cs="Arial"/>
          <w:color w:val="000000" w:themeColor="text1"/>
          <w:sz w:val="24"/>
          <w:szCs w:val="24"/>
        </w:rPr>
        <w:t xml:space="preserve"> (</w:t>
      </w:r>
      <w:r w:rsidRPr="00E006A5">
        <w:rPr>
          <w:rFonts w:cs="Arial"/>
          <w:color w:val="000000" w:themeColor="text1"/>
          <w:sz w:val="24"/>
          <w:szCs w:val="24"/>
        </w:rPr>
        <w:t>MMARS</w:t>
      </w:r>
      <w:r>
        <w:rPr>
          <w:rFonts w:cs="Arial"/>
          <w:color w:val="000000" w:themeColor="text1"/>
          <w:sz w:val="24"/>
          <w:szCs w:val="24"/>
        </w:rPr>
        <w:t>)</w:t>
      </w:r>
      <w:r w:rsidRPr="00E006A5">
        <w:rPr>
          <w:rFonts w:cs="Arial"/>
          <w:color w:val="000000" w:themeColor="text1"/>
          <w:sz w:val="24"/>
          <w:szCs w:val="24"/>
        </w:rPr>
        <w:t xml:space="preserve">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w:t>
      </w:r>
      <w:r>
        <w:rPr>
          <w:rFonts w:cs="Arial"/>
          <w:color w:val="000000" w:themeColor="text1"/>
          <w:sz w:val="24"/>
          <w:szCs w:val="24"/>
        </w:rPr>
        <w:t xml:space="preserve"> </w:t>
      </w:r>
      <w:r w:rsidRPr="002D4903">
        <w:rPr>
          <w:rFonts w:cs="Arial"/>
          <w:b/>
          <w:bCs/>
          <w:color w:val="000000" w:themeColor="text1"/>
          <w:sz w:val="24"/>
          <w:szCs w:val="24"/>
        </w:rPr>
        <w:t>E</w:t>
      </w:r>
      <w:r>
        <w:rPr>
          <w:rFonts w:cs="Arial"/>
          <w:b/>
          <w:bCs/>
          <w:color w:val="000000" w:themeColor="text1"/>
          <w:sz w:val="24"/>
          <w:szCs w:val="24"/>
        </w:rPr>
        <w:t>NE55</w:t>
      </w:r>
      <w:r w:rsidRPr="00E006A5">
        <w:rPr>
          <w:bCs/>
          <w:sz w:val="24"/>
          <w:szCs w:val="24"/>
        </w:rPr>
        <w:t xml:space="preserve"> </w:t>
      </w:r>
      <w:r w:rsidRPr="00E006A5">
        <w:rPr>
          <w:rFonts w:cs="Arial"/>
          <w:color w:val="000000" w:themeColor="text1"/>
          <w:sz w:val="24"/>
          <w:szCs w:val="24"/>
        </w:rPr>
        <w:t xml:space="preserve">in the applicable field in MMARS. </w:t>
      </w:r>
      <w:r w:rsidR="0005486E" w:rsidRPr="00D27BA2">
        <w:rPr>
          <w:sz w:val="24"/>
          <w:szCs w:val="24"/>
        </w:rPr>
        <w:t>Please address all inquiries regarding</w:t>
      </w:r>
      <w:r w:rsidR="0005486E">
        <w:rPr>
          <w:sz w:val="24"/>
          <w:szCs w:val="24"/>
        </w:rPr>
        <w:t xml:space="preserve"> </w:t>
      </w:r>
      <w:r w:rsidR="0005486E" w:rsidRPr="00E006A5">
        <w:rPr>
          <w:rFonts w:cs="Arial"/>
          <w:color w:val="000000" w:themeColor="text1"/>
          <w:sz w:val="24"/>
          <w:szCs w:val="24"/>
        </w:rPr>
        <w:t>MMARS</w:t>
      </w:r>
      <w:r w:rsidR="0005486E" w:rsidRPr="00D27BA2">
        <w:rPr>
          <w:sz w:val="24"/>
          <w:szCs w:val="24"/>
        </w:rPr>
        <w:t xml:space="preserve"> technical support and job aids </w:t>
      </w:r>
      <w:r w:rsidR="0005486E">
        <w:rPr>
          <w:sz w:val="24"/>
          <w:szCs w:val="24"/>
        </w:rPr>
        <w:t xml:space="preserve">by emailing the </w:t>
      </w:r>
      <w:hyperlink r:id="rId49" w:history="1">
        <w:r w:rsidR="0005486E">
          <w:rPr>
            <w:rStyle w:val="Hyperlink"/>
            <w:sz w:val="24"/>
            <w:szCs w:val="24"/>
          </w:rPr>
          <w:t>Comptroller Help Desk</w:t>
        </w:r>
      </w:hyperlink>
      <w:r w:rsidR="0005486E">
        <w:t xml:space="preserve"> </w:t>
      </w:r>
      <w:r w:rsidR="0005486E">
        <w:rPr>
          <w:sz w:val="24"/>
          <w:szCs w:val="24"/>
        </w:rPr>
        <w:t xml:space="preserve">or by calling </w:t>
      </w:r>
      <w:r w:rsidR="0005486E" w:rsidRPr="00D27BA2">
        <w:rPr>
          <w:sz w:val="24"/>
          <w:szCs w:val="24"/>
        </w:rPr>
        <w:t>617-973-2468</w:t>
      </w:r>
      <w:r w:rsidR="0005486E" w:rsidRPr="00E006A5">
        <w:rPr>
          <w:sz w:val="24"/>
          <w:szCs w:val="24"/>
        </w:rPr>
        <w:t>.</w:t>
      </w:r>
      <w:r w:rsidR="0005486E">
        <w:rPr>
          <w:sz w:val="24"/>
          <w:szCs w:val="24"/>
        </w:rPr>
        <w:t xml:space="preserve"> </w:t>
      </w:r>
    </w:p>
    <w:p w14:paraId="5024A44F" w14:textId="3311F2E7" w:rsidR="004C4505" w:rsidRPr="00E006A5" w:rsidRDefault="004C4505" w:rsidP="004C4505">
      <w:pPr>
        <w:pStyle w:val="ListParagraph"/>
        <w:ind w:left="0"/>
        <w:rPr>
          <w:sz w:val="24"/>
          <w:szCs w:val="24"/>
        </w:rPr>
      </w:pPr>
    </w:p>
    <w:p w14:paraId="71C99DDE" w14:textId="77777777" w:rsidR="00C220F5" w:rsidRDefault="00C220F5" w:rsidP="00266475">
      <w:pPr>
        <w:tabs>
          <w:tab w:val="left" w:pos="540"/>
        </w:tabs>
        <w:spacing w:after="0" w:line="240" w:lineRule="auto"/>
        <w:jc w:val="both"/>
        <w:rPr>
          <w:rFonts w:cs="Arial"/>
        </w:rPr>
        <w:sectPr w:rsidR="00C220F5" w:rsidSect="003E7DC2">
          <w:footerReference w:type="first" r:id="rId50"/>
          <w:type w:val="continuous"/>
          <w:pgSz w:w="12240" w:h="15840"/>
          <w:pgMar w:top="125" w:right="1152" w:bottom="1440" w:left="1152" w:header="864" w:footer="360" w:gutter="0"/>
          <w:cols w:space="720"/>
          <w:titlePg/>
          <w:docGrid w:linePitch="360"/>
        </w:sectPr>
      </w:pPr>
    </w:p>
    <w:p w14:paraId="76AA29E9" w14:textId="77777777" w:rsidR="0093477F" w:rsidRDefault="00E51057" w:rsidP="00380ACF">
      <w:pPr>
        <w:pStyle w:val="Heading2"/>
        <w:spacing w:before="0"/>
      </w:pPr>
      <w:bookmarkStart w:id="70" w:name="_Appendix_A:_Vendor"/>
      <w:bookmarkStart w:id="71" w:name="_Vendor_Specific_Information"/>
      <w:bookmarkStart w:id="72" w:name="_Vendor_Information*"/>
      <w:bookmarkStart w:id="73" w:name="_Vendor_List_and"/>
      <w:bookmarkStart w:id="74" w:name="_Appendix_A:_1"/>
      <w:bookmarkStart w:id="75" w:name="_Toc194066623"/>
      <w:bookmarkStart w:id="76" w:name="_Toc209710965"/>
      <w:bookmarkEnd w:id="70"/>
      <w:bookmarkEnd w:id="71"/>
      <w:bookmarkEnd w:id="72"/>
      <w:bookmarkEnd w:id="73"/>
      <w:bookmarkEnd w:id="74"/>
      <w:r w:rsidRPr="00ED150D">
        <w:lastRenderedPageBreak/>
        <w:t xml:space="preserve">Vendor </w:t>
      </w:r>
      <w:r>
        <w:t xml:space="preserve">List and </w:t>
      </w:r>
      <w:r w:rsidRPr="00ED150D">
        <w:t>Information</w:t>
      </w:r>
      <w:bookmarkEnd w:id="75"/>
      <w:bookmarkEnd w:id="76"/>
    </w:p>
    <w:p w14:paraId="4E839F98" w14:textId="77777777" w:rsidR="00380ACF" w:rsidRPr="003515F0" w:rsidRDefault="00380ACF" w:rsidP="00380ACF">
      <w:pPr>
        <w:spacing w:after="100" w:afterAutospacing="1"/>
      </w:pPr>
      <w:r w:rsidRPr="003515F0">
        <w:rPr>
          <w:b/>
          <w:bCs/>
        </w:rPr>
        <w:t>Note:</w:t>
      </w:r>
      <w:r>
        <w:t xml:space="preserve"> N/A = Not Applicable</w:t>
      </w:r>
    </w:p>
    <w:tbl>
      <w:tblPr>
        <w:tblW w:w="13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Vendor List and Information"/>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460"/>
        <w:gridCol w:w="1415"/>
        <w:gridCol w:w="1085"/>
        <w:gridCol w:w="1890"/>
        <w:gridCol w:w="1975"/>
        <w:gridCol w:w="1985"/>
        <w:gridCol w:w="1080"/>
        <w:gridCol w:w="1170"/>
        <w:gridCol w:w="1170"/>
      </w:tblGrid>
      <w:tr w:rsidR="0093477F" w14:paraId="26B5CDF1" w14:textId="77777777" w:rsidTr="005B3E85">
        <w:trPr>
          <w:trHeight w:val="647"/>
        </w:trPr>
        <w:tc>
          <w:tcPr>
            <w:tcW w:w="1460" w:type="dxa"/>
            <w:shd w:val="clear" w:color="auto" w:fill="C5D9F0"/>
          </w:tcPr>
          <w:p w14:paraId="6BF7F7BA" w14:textId="7BB3ED53" w:rsidR="0093477F" w:rsidRDefault="0093477F" w:rsidP="00930297">
            <w:pPr>
              <w:pStyle w:val="TableParagraph"/>
              <w:spacing w:before="1"/>
              <w:ind w:left="453"/>
              <w:rPr>
                <w:b/>
                <w:sz w:val="18"/>
              </w:rPr>
            </w:pPr>
            <w:r>
              <w:rPr>
                <w:b/>
                <w:spacing w:val="-2"/>
                <w:sz w:val="18"/>
              </w:rPr>
              <w:t>Vendor</w:t>
            </w:r>
            <w:r w:rsidR="00652106">
              <w:rPr>
                <w:rStyle w:val="FootnoteReference"/>
                <w:b/>
                <w:spacing w:val="-2"/>
                <w:sz w:val="18"/>
              </w:rPr>
              <w:footnoteReference w:id="2"/>
            </w:r>
          </w:p>
        </w:tc>
        <w:tc>
          <w:tcPr>
            <w:tcW w:w="1415" w:type="dxa"/>
            <w:shd w:val="clear" w:color="auto" w:fill="C5D9F0"/>
            <w:vAlign w:val="center"/>
          </w:tcPr>
          <w:p w14:paraId="22E79647" w14:textId="0E5AC095" w:rsidR="0093477F" w:rsidRPr="004C08D3" w:rsidRDefault="0093477F" w:rsidP="00930297">
            <w:pPr>
              <w:pStyle w:val="BodyText"/>
              <w:rPr>
                <w:sz w:val="18"/>
                <w:szCs w:val="18"/>
              </w:rPr>
            </w:pPr>
            <w:r w:rsidRPr="004C08D3">
              <w:rPr>
                <w:sz w:val="18"/>
                <w:szCs w:val="18"/>
              </w:rPr>
              <w:t>Master Blanket Purchase</w:t>
            </w:r>
            <w:r>
              <w:rPr>
                <w:sz w:val="18"/>
                <w:szCs w:val="18"/>
              </w:rPr>
              <w:t xml:space="preserve"> Order </w:t>
            </w:r>
            <w:r w:rsidR="0033076A">
              <w:rPr>
                <w:sz w:val="18"/>
                <w:szCs w:val="18"/>
              </w:rPr>
              <w:t>Number</w:t>
            </w:r>
          </w:p>
          <w:p w14:paraId="297CF770" w14:textId="77777777" w:rsidR="0093477F" w:rsidRDefault="0093477F" w:rsidP="00930297">
            <w:pPr>
              <w:pStyle w:val="BodyText"/>
            </w:pPr>
            <w:r w:rsidRPr="004C08D3">
              <w:rPr>
                <w:sz w:val="18"/>
                <w:szCs w:val="18"/>
              </w:rPr>
              <w:t xml:space="preserve">   </w:t>
            </w:r>
          </w:p>
        </w:tc>
        <w:tc>
          <w:tcPr>
            <w:tcW w:w="1085" w:type="dxa"/>
            <w:shd w:val="clear" w:color="auto" w:fill="C5D9F0"/>
          </w:tcPr>
          <w:p w14:paraId="3A2D4EC4" w14:textId="77777777" w:rsidR="0093477F" w:rsidRDefault="0093477F" w:rsidP="00930297">
            <w:pPr>
              <w:pStyle w:val="TableParagraph"/>
              <w:spacing w:before="1"/>
              <w:ind w:left="176" w:right="133" w:hanging="29"/>
              <w:rPr>
                <w:b/>
                <w:sz w:val="18"/>
              </w:rPr>
            </w:pPr>
            <w:r>
              <w:rPr>
                <w:b/>
                <w:spacing w:val="-2"/>
                <w:sz w:val="18"/>
              </w:rPr>
              <w:t>Contact</w:t>
            </w:r>
            <w:r>
              <w:rPr>
                <w:b/>
                <w:sz w:val="18"/>
              </w:rPr>
              <w:t xml:space="preserve"> </w:t>
            </w:r>
            <w:r>
              <w:rPr>
                <w:b/>
                <w:spacing w:val="-2"/>
                <w:sz w:val="18"/>
              </w:rPr>
              <w:t>Person</w:t>
            </w:r>
          </w:p>
        </w:tc>
        <w:tc>
          <w:tcPr>
            <w:tcW w:w="1890" w:type="dxa"/>
            <w:shd w:val="clear" w:color="auto" w:fill="C5D9F0"/>
          </w:tcPr>
          <w:p w14:paraId="77338F30" w14:textId="51FE176F" w:rsidR="0093477F" w:rsidRDefault="0093477F" w:rsidP="00930297">
            <w:pPr>
              <w:pStyle w:val="TableParagraph"/>
              <w:spacing w:before="1"/>
              <w:ind w:left="113"/>
              <w:rPr>
                <w:b/>
                <w:sz w:val="18"/>
              </w:rPr>
            </w:pPr>
            <w:r>
              <w:rPr>
                <w:b/>
                <w:sz w:val="18"/>
              </w:rPr>
              <w:t>Phone</w:t>
            </w:r>
            <w:r>
              <w:rPr>
                <w:b/>
                <w:spacing w:val="-3"/>
                <w:sz w:val="18"/>
              </w:rPr>
              <w:t xml:space="preserve"> </w:t>
            </w:r>
            <w:r w:rsidR="0033076A">
              <w:rPr>
                <w:b/>
                <w:spacing w:val="-10"/>
                <w:sz w:val="18"/>
              </w:rPr>
              <w:t>Number</w:t>
            </w:r>
          </w:p>
        </w:tc>
        <w:tc>
          <w:tcPr>
            <w:tcW w:w="1975" w:type="dxa"/>
            <w:shd w:val="clear" w:color="auto" w:fill="C5D9F0"/>
          </w:tcPr>
          <w:p w14:paraId="10092A6A" w14:textId="77777777" w:rsidR="0093477F" w:rsidRDefault="0093477F" w:rsidP="00930297">
            <w:pPr>
              <w:pStyle w:val="TableParagraph"/>
              <w:spacing w:before="1"/>
              <w:ind w:left="3" w:right="3"/>
              <w:jc w:val="center"/>
              <w:rPr>
                <w:b/>
                <w:sz w:val="18"/>
              </w:rPr>
            </w:pPr>
            <w:r>
              <w:rPr>
                <w:b/>
                <w:spacing w:val="-2"/>
                <w:sz w:val="18"/>
              </w:rPr>
              <w:t>Email</w:t>
            </w:r>
          </w:p>
        </w:tc>
        <w:tc>
          <w:tcPr>
            <w:tcW w:w="1985" w:type="dxa"/>
            <w:shd w:val="clear" w:color="auto" w:fill="C5D9F0"/>
          </w:tcPr>
          <w:p w14:paraId="4AACCF4B" w14:textId="77777777" w:rsidR="0093477F" w:rsidRDefault="0093477F" w:rsidP="00930297">
            <w:pPr>
              <w:pStyle w:val="TableParagraph"/>
              <w:spacing w:before="1"/>
              <w:ind w:left="228"/>
              <w:rPr>
                <w:b/>
                <w:sz w:val="18"/>
              </w:rPr>
            </w:pPr>
            <w:r>
              <w:rPr>
                <w:b/>
                <w:spacing w:val="-2"/>
                <w:sz w:val="18"/>
              </w:rPr>
              <w:t>Categories</w:t>
            </w:r>
          </w:p>
        </w:tc>
        <w:tc>
          <w:tcPr>
            <w:tcW w:w="1080" w:type="dxa"/>
            <w:shd w:val="clear" w:color="auto" w:fill="C5D9F0"/>
          </w:tcPr>
          <w:p w14:paraId="62993F38" w14:textId="77777777" w:rsidR="0093477F" w:rsidRDefault="0093477F" w:rsidP="00930297">
            <w:pPr>
              <w:pStyle w:val="TableParagraph"/>
              <w:spacing w:before="1"/>
              <w:ind w:left="106"/>
              <w:rPr>
                <w:b/>
                <w:sz w:val="18"/>
              </w:rPr>
            </w:pPr>
            <w:r>
              <w:rPr>
                <w:b/>
                <w:spacing w:val="-2"/>
                <w:sz w:val="18"/>
              </w:rPr>
              <w:t>Counties</w:t>
            </w:r>
          </w:p>
        </w:tc>
        <w:tc>
          <w:tcPr>
            <w:tcW w:w="1170" w:type="dxa"/>
            <w:shd w:val="clear" w:color="auto" w:fill="C5D9F0"/>
          </w:tcPr>
          <w:p w14:paraId="2C1B326B" w14:textId="12067CC9" w:rsidR="0093477F" w:rsidRDefault="0033076A" w:rsidP="00930297">
            <w:pPr>
              <w:pStyle w:val="TableParagraph"/>
              <w:spacing w:before="1"/>
              <w:ind w:left="13" w:right="4"/>
              <w:jc w:val="center"/>
              <w:rPr>
                <w:b/>
                <w:sz w:val="18"/>
              </w:rPr>
            </w:pPr>
            <w:r>
              <w:rPr>
                <w:b/>
                <w:spacing w:val="-5"/>
                <w:sz w:val="18"/>
              </w:rPr>
              <w:t>Supplier Diversity Office (</w:t>
            </w:r>
            <w:r w:rsidR="0093477F">
              <w:rPr>
                <w:b/>
                <w:spacing w:val="-5"/>
                <w:sz w:val="18"/>
              </w:rPr>
              <w:t>SDO</w:t>
            </w:r>
            <w:r>
              <w:rPr>
                <w:b/>
                <w:spacing w:val="-5"/>
                <w:sz w:val="18"/>
              </w:rPr>
              <w:t>)</w:t>
            </w:r>
          </w:p>
          <w:p w14:paraId="2A69FC01" w14:textId="77777777" w:rsidR="0093477F" w:rsidRDefault="0093477F" w:rsidP="00930297">
            <w:pPr>
              <w:pStyle w:val="TableParagraph"/>
              <w:spacing w:before="2"/>
              <w:ind w:left="13"/>
              <w:jc w:val="center"/>
              <w:rPr>
                <w:b/>
                <w:sz w:val="18"/>
              </w:rPr>
            </w:pPr>
            <w:r>
              <w:rPr>
                <w:b/>
                <w:spacing w:val="-2"/>
                <w:sz w:val="18"/>
              </w:rPr>
              <w:t>Certification</w:t>
            </w:r>
            <w:r>
              <w:rPr>
                <w:b/>
                <w:sz w:val="18"/>
              </w:rPr>
              <w:t xml:space="preserve"> </w:t>
            </w:r>
            <w:r>
              <w:rPr>
                <w:b/>
                <w:spacing w:val="-4"/>
                <w:sz w:val="18"/>
              </w:rPr>
              <w:t>Type</w:t>
            </w:r>
          </w:p>
        </w:tc>
        <w:tc>
          <w:tcPr>
            <w:tcW w:w="1170" w:type="dxa"/>
            <w:shd w:val="clear" w:color="auto" w:fill="C5D9F0"/>
          </w:tcPr>
          <w:p w14:paraId="3EF570A1" w14:textId="182279F3" w:rsidR="0093477F" w:rsidRDefault="009D54AB" w:rsidP="00930297">
            <w:pPr>
              <w:pStyle w:val="TableParagraph"/>
              <w:spacing w:before="1"/>
              <w:ind w:left="11" w:right="6"/>
              <w:jc w:val="center"/>
              <w:rPr>
                <w:b/>
                <w:sz w:val="18"/>
              </w:rPr>
            </w:pPr>
            <w:r>
              <w:rPr>
                <w:b/>
                <w:spacing w:val="-5"/>
                <w:sz w:val="18"/>
              </w:rPr>
              <w:t>Supplier Diversity Program (</w:t>
            </w:r>
            <w:r w:rsidR="0093477F">
              <w:rPr>
                <w:b/>
                <w:spacing w:val="-5"/>
                <w:sz w:val="18"/>
              </w:rPr>
              <w:t>SDP</w:t>
            </w:r>
            <w:r>
              <w:rPr>
                <w:b/>
                <w:spacing w:val="-5"/>
                <w:sz w:val="18"/>
              </w:rPr>
              <w:t>)</w:t>
            </w:r>
          </w:p>
          <w:p w14:paraId="68EEA827" w14:textId="77777777" w:rsidR="0093477F" w:rsidRDefault="0093477F" w:rsidP="00930297">
            <w:pPr>
              <w:pStyle w:val="TableParagraph"/>
              <w:spacing w:before="2"/>
              <w:ind w:left="11"/>
              <w:jc w:val="center"/>
              <w:rPr>
                <w:b/>
                <w:sz w:val="18"/>
              </w:rPr>
            </w:pPr>
            <w:r>
              <w:rPr>
                <w:b/>
                <w:spacing w:val="-2"/>
                <w:sz w:val="18"/>
              </w:rPr>
              <w:t>Commitment</w:t>
            </w:r>
            <w:r>
              <w:rPr>
                <w:b/>
                <w:sz w:val="18"/>
              </w:rPr>
              <w:t xml:space="preserve"> </w:t>
            </w:r>
            <w:r>
              <w:rPr>
                <w:b/>
                <w:spacing w:val="-2"/>
                <w:sz w:val="18"/>
              </w:rPr>
              <w:t>Percentage</w:t>
            </w:r>
          </w:p>
        </w:tc>
      </w:tr>
      <w:tr w:rsidR="0093477F" w14:paraId="39FF0162" w14:textId="77777777" w:rsidTr="005B3E85">
        <w:trPr>
          <w:trHeight w:val="755"/>
        </w:trPr>
        <w:tc>
          <w:tcPr>
            <w:tcW w:w="1460" w:type="dxa"/>
          </w:tcPr>
          <w:p w14:paraId="27AA4E00" w14:textId="77777777" w:rsidR="0093477F" w:rsidRPr="009561F5" w:rsidRDefault="0093477F" w:rsidP="00930297">
            <w:pPr>
              <w:pStyle w:val="BodyText"/>
              <w:rPr>
                <w:b w:val="0"/>
                <w:bCs w:val="0"/>
                <w:sz w:val="16"/>
                <w:szCs w:val="16"/>
              </w:rPr>
            </w:pPr>
            <w:r w:rsidRPr="009561F5">
              <w:rPr>
                <w:b w:val="0"/>
                <w:bCs w:val="0"/>
                <w:spacing w:val="-2"/>
                <w:sz w:val="16"/>
                <w:szCs w:val="16"/>
              </w:rPr>
              <w:t>Master</w:t>
            </w:r>
            <w:r w:rsidRPr="009561F5">
              <w:rPr>
                <w:b w:val="0"/>
                <w:bCs w:val="0"/>
                <w:spacing w:val="40"/>
                <w:sz w:val="16"/>
                <w:szCs w:val="16"/>
              </w:rPr>
              <w:t xml:space="preserve"> </w:t>
            </w:r>
            <w:r w:rsidRPr="009561F5">
              <w:rPr>
                <w:b w:val="0"/>
                <w:bCs w:val="0"/>
                <w:sz w:val="16"/>
                <w:szCs w:val="16"/>
              </w:rPr>
              <w:t>Contract</w:t>
            </w:r>
            <w:r w:rsidRPr="009561F5">
              <w:rPr>
                <w:b w:val="0"/>
                <w:bCs w:val="0"/>
                <w:spacing w:val="-10"/>
                <w:sz w:val="16"/>
                <w:szCs w:val="16"/>
              </w:rPr>
              <w:t xml:space="preserve"> </w:t>
            </w:r>
            <w:r w:rsidRPr="009561F5">
              <w:rPr>
                <w:b w:val="0"/>
                <w:bCs w:val="0"/>
                <w:sz w:val="16"/>
                <w:szCs w:val="16"/>
              </w:rPr>
              <w:t>Record (All</w:t>
            </w:r>
            <w:r w:rsidRPr="009561F5">
              <w:rPr>
                <w:b w:val="0"/>
                <w:bCs w:val="0"/>
                <w:spacing w:val="-7"/>
                <w:sz w:val="16"/>
                <w:szCs w:val="16"/>
              </w:rPr>
              <w:t xml:space="preserve"> </w:t>
            </w:r>
            <w:r w:rsidRPr="009561F5">
              <w:rPr>
                <w:b w:val="0"/>
                <w:bCs w:val="0"/>
                <w:sz w:val="16"/>
                <w:szCs w:val="16"/>
              </w:rPr>
              <w:t>contract</w:t>
            </w:r>
          </w:p>
          <w:p w14:paraId="4B7F195C" w14:textId="72537EDA" w:rsidR="0093477F" w:rsidRDefault="0093477F" w:rsidP="00930297">
            <w:pPr>
              <w:pStyle w:val="BodyText"/>
            </w:pPr>
            <w:r w:rsidRPr="009561F5">
              <w:rPr>
                <w:b w:val="0"/>
                <w:bCs w:val="0"/>
                <w:spacing w:val="-2"/>
                <w:sz w:val="16"/>
                <w:szCs w:val="16"/>
              </w:rPr>
              <w:t>documents)</w:t>
            </w:r>
            <w:r w:rsidR="002F5777">
              <w:rPr>
                <w:rStyle w:val="FootnoteReference"/>
                <w:b w:val="0"/>
                <w:bCs w:val="0"/>
                <w:spacing w:val="-2"/>
                <w:sz w:val="16"/>
                <w:szCs w:val="16"/>
              </w:rPr>
              <w:footnoteReference w:id="3"/>
            </w:r>
          </w:p>
        </w:tc>
        <w:tc>
          <w:tcPr>
            <w:tcW w:w="1415" w:type="dxa"/>
          </w:tcPr>
          <w:p w14:paraId="65FCC393" w14:textId="77777777" w:rsidR="0093477F" w:rsidRDefault="0093477F" w:rsidP="00930297">
            <w:pPr>
              <w:pStyle w:val="BodyText"/>
              <w:rPr>
                <w:sz w:val="16"/>
              </w:rPr>
            </w:pPr>
            <w:hyperlink r:id="rId51">
              <w:r>
                <w:rPr>
                  <w:color w:val="0000FF"/>
                  <w:spacing w:val="-2"/>
                  <w:sz w:val="16"/>
                  <w:u w:val="single" w:color="0000FF"/>
                </w:rPr>
                <w:t>PO-25-</w:t>
              </w:r>
            </w:hyperlink>
            <w:hyperlink r:id="rId52">
              <w:r>
                <w:rPr>
                  <w:color w:val="0000FF"/>
                  <w:spacing w:val="-2"/>
                  <w:sz w:val="16"/>
                  <w:u w:val="single" w:color="0000FF"/>
                </w:rPr>
                <w:t>1080-</w:t>
              </w:r>
            </w:hyperlink>
            <w:hyperlink r:id="rId53">
              <w:r>
                <w:rPr>
                  <w:color w:val="0000FF"/>
                  <w:spacing w:val="-2"/>
                  <w:sz w:val="16"/>
                  <w:u w:val="single" w:color="0000FF"/>
                </w:rPr>
                <w:t>OSD03-</w:t>
              </w:r>
            </w:hyperlink>
            <w:hyperlink r:id="rId54">
              <w:r>
                <w:rPr>
                  <w:color w:val="0000FF"/>
                  <w:spacing w:val="-2"/>
                  <w:sz w:val="16"/>
                  <w:u w:val="single" w:color="0000FF"/>
                </w:rPr>
                <w:t>OSD03-</w:t>
              </w:r>
            </w:hyperlink>
            <w:hyperlink r:id="rId55">
              <w:r>
                <w:rPr>
                  <w:color w:val="0000FF"/>
                  <w:spacing w:val="-2"/>
                  <w:sz w:val="16"/>
                  <w:u w:val="single" w:color="0000FF"/>
                </w:rPr>
                <w:t>33414</w:t>
              </w:r>
            </w:hyperlink>
          </w:p>
        </w:tc>
        <w:tc>
          <w:tcPr>
            <w:tcW w:w="1085" w:type="dxa"/>
          </w:tcPr>
          <w:p w14:paraId="709FEF40" w14:textId="77777777" w:rsidR="005D42D7" w:rsidRPr="0033076A" w:rsidRDefault="005D42D7" w:rsidP="005D42D7">
            <w:pPr>
              <w:tabs>
                <w:tab w:val="left" w:pos="9165"/>
              </w:tabs>
              <w:rPr>
                <w:sz w:val="16"/>
                <w:szCs w:val="16"/>
              </w:rPr>
            </w:pPr>
            <w:hyperlink r:id="rId56" w:history="1">
              <w:r w:rsidRPr="0033076A">
                <w:rPr>
                  <w:rStyle w:val="Hyperlink"/>
                  <w:sz w:val="16"/>
                  <w:szCs w:val="16"/>
                </w:rPr>
                <w:t>Michael Barry</w:t>
              </w:r>
            </w:hyperlink>
          </w:p>
          <w:p w14:paraId="2CE7C07C" w14:textId="294C90F5" w:rsidR="0093477F" w:rsidRPr="0033076A" w:rsidRDefault="005D42D7" w:rsidP="0033076A">
            <w:pPr>
              <w:tabs>
                <w:tab w:val="left" w:pos="9165"/>
              </w:tabs>
              <w:rPr>
                <w:sz w:val="16"/>
                <w:szCs w:val="16"/>
              </w:rPr>
            </w:pPr>
            <w:hyperlink r:id="rId57" w:history="1">
              <w:r w:rsidRPr="0033076A">
                <w:rPr>
                  <w:rStyle w:val="Hyperlink"/>
                  <w:sz w:val="16"/>
                  <w:szCs w:val="16"/>
                </w:rPr>
                <w:t>Kelly Minichello</w:t>
              </w:r>
            </w:hyperlink>
          </w:p>
        </w:tc>
        <w:tc>
          <w:tcPr>
            <w:tcW w:w="1890" w:type="dxa"/>
          </w:tcPr>
          <w:p w14:paraId="51D025F8" w14:textId="77777777" w:rsidR="0093477F" w:rsidRPr="0033076A" w:rsidRDefault="0093477F" w:rsidP="00930297">
            <w:pPr>
              <w:pStyle w:val="TableParagraph"/>
              <w:spacing w:line="194" w:lineRule="exact"/>
              <w:ind w:left="106"/>
              <w:rPr>
                <w:sz w:val="16"/>
                <w:szCs w:val="16"/>
              </w:rPr>
            </w:pPr>
            <w:r w:rsidRPr="0033076A">
              <w:rPr>
                <w:sz w:val="16"/>
                <w:szCs w:val="16"/>
              </w:rPr>
              <w:t>617-</w:t>
            </w:r>
            <w:r w:rsidRPr="0033076A">
              <w:rPr>
                <w:spacing w:val="-4"/>
                <w:sz w:val="16"/>
                <w:szCs w:val="16"/>
              </w:rPr>
              <w:t>720-3182</w:t>
            </w:r>
          </w:p>
          <w:p w14:paraId="545039C2" w14:textId="77777777" w:rsidR="0093477F" w:rsidRPr="0033076A" w:rsidRDefault="0093477F" w:rsidP="00930297">
            <w:pPr>
              <w:pStyle w:val="TableParagraph"/>
              <w:spacing w:line="195" w:lineRule="exact"/>
              <w:ind w:left="106"/>
              <w:rPr>
                <w:sz w:val="16"/>
                <w:szCs w:val="16"/>
              </w:rPr>
            </w:pPr>
          </w:p>
          <w:p w14:paraId="394D7B87" w14:textId="498B615B" w:rsidR="0033076A" w:rsidRPr="0033076A" w:rsidRDefault="0033076A" w:rsidP="00930297">
            <w:pPr>
              <w:pStyle w:val="TableParagraph"/>
              <w:spacing w:line="195" w:lineRule="exact"/>
              <w:ind w:left="106"/>
              <w:rPr>
                <w:sz w:val="16"/>
                <w:szCs w:val="16"/>
              </w:rPr>
            </w:pPr>
            <w:r w:rsidRPr="0033076A">
              <w:rPr>
                <w:color w:val="000000" w:themeColor="text1"/>
                <w:sz w:val="16"/>
                <w:szCs w:val="16"/>
              </w:rPr>
              <w:t>351-667-9536</w:t>
            </w:r>
          </w:p>
        </w:tc>
        <w:tc>
          <w:tcPr>
            <w:tcW w:w="1975" w:type="dxa"/>
          </w:tcPr>
          <w:p w14:paraId="3877AD1C" w14:textId="77777777" w:rsidR="0093477F" w:rsidRDefault="0093477F" w:rsidP="00930297">
            <w:pPr>
              <w:pStyle w:val="TableParagraph"/>
              <w:spacing w:line="194" w:lineRule="exact"/>
              <w:ind w:left="3" w:right="3"/>
              <w:jc w:val="center"/>
            </w:pPr>
            <w:hyperlink r:id="rId58">
              <w:r>
                <w:rPr>
                  <w:rFonts w:ascii="Times New Roman"/>
                  <w:color w:val="0000FF"/>
                  <w:spacing w:val="-2"/>
                  <w:sz w:val="16"/>
                  <w:u w:val="single" w:color="0000FF"/>
                </w:rPr>
                <w:t>michael.barry3@mass.gov</w:t>
              </w:r>
            </w:hyperlink>
          </w:p>
          <w:p w14:paraId="3C06F224" w14:textId="77777777" w:rsidR="005B3E85" w:rsidRDefault="005B3E85" w:rsidP="00930297">
            <w:pPr>
              <w:pStyle w:val="TableParagraph"/>
              <w:spacing w:line="194" w:lineRule="exact"/>
              <w:ind w:left="3" w:right="3"/>
              <w:jc w:val="center"/>
            </w:pPr>
          </w:p>
          <w:p w14:paraId="6C88BB1D" w14:textId="58271125" w:rsidR="005B3E85" w:rsidRDefault="005B3E85" w:rsidP="00930297">
            <w:pPr>
              <w:pStyle w:val="TableParagraph"/>
              <w:spacing w:line="194" w:lineRule="exact"/>
              <w:ind w:left="3" w:right="3"/>
              <w:jc w:val="center"/>
              <w:rPr>
                <w:sz w:val="16"/>
              </w:rPr>
            </w:pPr>
            <w:hyperlink r:id="rId59" w:history="1">
              <w:r w:rsidRPr="005B3E85">
                <w:rPr>
                  <w:rStyle w:val="Hyperlink"/>
                  <w:sz w:val="16"/>
                </w:rPr>
                <w:t>kelly.minichello@mass.gov</w:t>
              </w:r>
            </w:hyperlink>
          </w:p>
        </w:tc>
        <w:tc>
          <w:tcPr>
            <w:tcW w:w="1985" w:type="dxa"/>
          </w:tcPr>
          <w:p w14:paraId="547F35E7" w14:textId="77777777" w:rsidR="0093477F" w:rsidRDefault="0093477F" w:rsidP="00930297">
            <w:pPr>
              <w:pStyle w:val="TableParagraph"/>
              <w:spacing w:line="194" w:lineRule="exact"/>
              <w:ind w:left="106"/>
              <w:rPr>
                <w:sz w:val="16"/>
              </w:rPr>
            </w:pPr>
            <w:r>
              <w:rPr>
                <w:spacing w:val="-5"/>
                <w:sz w:val="16"/>
              </w:rPr>
              <w:t>N/A</w:t>
            </w:r>
          </w:p>
        </w:tc>
        <w:tc>
          <w:tcPr>
            <w:tcW w:w="1080" w:type="dxa"/>
          </w:tcPr>
          <w:p w14:paraId="2F43CE30" w14:textId="77777777" w:rsidR="0093477F" w:rsidRDefault="0093477F" w:rsidP="00930297">
            <w:pPr>
              <w:pStyle w:val="TableParagraph"/>
              <w:spacing w:line="194" w:lineRule="exact"/>
              <w:ind w:left="106"/>
              <w:rPr>
                <w:sz w:val="16"/>
              </w:rPr>
            </w:pPr>
            <w:r>
              <w:rPr>
                <w:spacing w:val="-5"/>
                <w:sz w:val="16"/>
              </w:rPr>
              <w:t>N/A</w:t>
            </w:r>
          </w:p>
        </w:tc>
        <w:tc>
          <w:tcPr>
            <w:tcW w:w="1170" w:type="dxa"/>
          </w:tcPr>
          <w:p w14:paraId="5749D729" w14:textId="77777777" w:rsidR="0093477F" w:rsidRDefault="0093477F" w:rsidP="00930297">
            <w:pPr>
              <w:pStyle w:val="TableParagraph"/>
              <w:spacing w:line="194" w:lineRule="exact"/>
              <w:ind w:left="106"/>
              <w:rPr>
                <w:sz w:val="16"/>
              </w:rPr>
            </w:pPr>
            <w:r>
              <w:rPr>
                <w:spacing w:val="-5"/>
                <w:sz w:val="16"/>
              </w:rPr>
              <w:t>N/A</w:t>
            </w:r>
          </w:p>
        </w:tc>
        <w:tc>
          <w:tcPr>
            <w:tcW w:w="1170" w:type="dxa"/>
          </w:tcPr>
          <w:p w14:paraId="46D023EC" w14:textId="77777777" w:rsidR="0093477F" w:rsidRDefault="0093477F" w:rsidP="00930297">
            <w:pPr>
              <w:pStyle w:val="TableParagraph"/>
              <w:spacing w:line="194" w:lineRule="exact"/>
              <w:rPr>
                <w:sz w:val="16"/>
              </w:rPr>
            </w:pPr>
            <w:r>
              <w:rPr>
                <w:spacing w:val="-5"/>
                <w:sz w:val="16"/>
              </w:rPr>
              <w:t>N/A</w:t>
            </w:r>
          </w:p>
        </w:tc>
      </w:tr>
      <w:tr w:rsidR="0093477F" w14:paraId="0DB291D2" w14:textId="77777777" w:rsidTr="005B3E85">
        <w:trPr>
          <w:trHeight w:val="976"/>
        </w:trPr>
        <w:tc>
          <w:tcPr>
            <w:tcW w:w="1460" w:type="dxa"/>
          </w:tcPr>
          <w:p w14:paraId="06E4CE9E" w14:textId="77777777" w:rsidR="0093477F" w:rsidRPr="009561F5" w:rsidRDefault="0093477F" w:rsidP="00930297">
            <w:pPr>
              <w:pStyle w:val="BodyText"/>
              <w:rPr>
                <w:b w:val="0"/>
                <w:bCs w:val="0"/>
                <w:sz w:val="16"/>
                <w:szCs w:val="16"/>
              </w:rPr>
            </w:pPr>
            <w:r w:rsidRPr="009561F5">
              <w:rPr>
                <w:b w:val="0"/>
                <w:bCs w:val="0"/>
                <w:sz w:val="16"/>
                <w:szCs w:val="16"/>
              </w:rPr>
              <w:t>Direct</w:t>
            </w:r>
            <w:r w:rsidRPr="009561F5">
              <w:rPr>
                <w:b w:val="0"/>
                <w:bCs w:val="0"/>
                <w:spacing w:val="-10"/>
                <w:sz w:val="16"/>
                <w:szCs w:val="16"/>
              </w:rPr>
              <w:t xml:space="preserve"> </w:t>
            </w:r>
            <w:r w:rsidRPr="009561F5">
              <w:rPr>
                <w:b w:val="0"/>
                <w:bCs w:val="0"/>
                <w:sz w:val="16"/>
                <w:szCs w:val="16"/>
              </w:rPr>
              <w:t>Energy</w:t>
            </w:r>
            <w:r w:rsidRPr="009561F5">
              <w:rPr>
                <w:b w:val="0"/>
                <w:bCs w:val="0"/>
                <w:spacing w:val="40"/>
                <w:sz w:val="16"/>
                <w:szCs w:val="16"/>
              </w:rPr>
              <w:t xml:space="preserve"> </w:t>
            </w:r>
            <w:r w:rsidRPr="009561F5">
              <w:rPr>
                <w:b w:val="0"/>
                <w:bCs w:val="0"/>
                <w:sz w:val="16"/>
                <w:szCs w:val="16"/>
              </w:rPr>
              <w:t>Business,</w:t>
            </w:r>
            <w:r w:rsidRPr="009561F5">
              <w:rPr>
                <w:b w:val="0"/>
                <w:bCs w:val="0"/>
                <w:spacing w:val="-10"/>
                <w:sz w:val="16"/>
                <w:szCs w:val="16"/>
              </w:rPr>
              <w:t xml:space="preserve"> </w:t>
            </w:r>
            <w:r w:rsidRPr="009561F5">
              <w:rPr>
                <w:b w:val="0"/>
                <w:bCs w:val="0"/>
                <w:sz w:val="16"/>
                <w:szCs w:val="16"/>
              </w:rPr>
              <w:t>LLC</w:t>
            </w:r>
            <w:r w:rsidRPr="009561F5">
              <w:rPr>
                <w:b w:val="0"/>
                <w:bCs w:val="0"/>
                <w:spacing w:val="40"/>
                <w:sz w:val="16"/>
                <w:szCs w:val="16"/>
              </w:rPr>
              <w:t xml:space="preserve"> </w:t>
            </w:r>
            <w:r w:rsidRPr="009561F5">
              <w:rPr>
                <w:b w:val="0"/>
                <w:bCs w:val="0"/>
                <w:spacing w:val="-2"/>
                <w:sz w:val="16"/>
                <w:szCs w:val="16"/>
              </w:rPr>
              <w:t>(NRG)</w:t>
            </w:r>
          </w:p>
        </w:tc>
        <w:tc>
          <w:tcPr>
            <w:tcW w:w="1415" w:type="dxa"/>
          </w:tcPr>
          <w:p w14:paraId="12D737DA" w14:textId="77777777" w:rsidR="0093477F" w:rsidRDefault="0093477F" w:rsidP="00930297">
            <w:pPr>
              <w:pStyle w:val="BodyText"/>
              <w:rPr>
                <w:sz w:val="16"/>
              </w:rPr>
            </w:pPr>
            <w:hyperlink r:id="rId60">
              <w:r>
                <w:rPr>
                  <w:color w:val="0000FF"/>
                  <w:spacing w:val="-2"/>
                  <w:sz w:val="16"/>
                  <w:u w:val="single" w:color="0000FF"/>
                </w:rPr>
                <w:t>PO-25-</w:t>
              </w:r>
            </w:hyperlink>
            <w:hyperlink r:id="rId61">
              <w:r>
                <w:rPr>
                  <w:color w:val="0000FF"/>
                  <w:spacing w:val="-2"/>
                  <w:sz w:val="16"/>
                  <w:u w:val="single" w:color="0000FF"/>
                </w:rPr>
                <w:t>1080-</w:t>
              </w:r>
            </w:hyperlink>
            <w:hyperlink r:id="rId62">
              <w:r>
                <w:rPr>
                  <w:color w:val="0000FF"/>
                  <w:spacing w:val="-2"/>
                  <w:sz w:val="16"/>
                  <w:u w:val="single" w:color="0000FF"/>
                </w:rPr>
                <w:t>OSD03-</w:t>
              </w:r>
            </w:hyperlink>
            <w:hyperlink r:id="rId63">
              <w:r>
                <w:rPr>
                  <w:color w:val="0000FF"/>
                  <w:spacing w:val="-2"/>
                  <w:sz w:val="16"/>
                  <w:u w:val="single" w:color="0000FF"/>
                </w:rPr>
                <w:t>OSD03-</w:t>
              </w:r>
            </w:hyperlink>
            <w:hyperlink r:id="rId64">
              <w:r>
                <w:rPr>
                  <w:color w:val="0000FF"/>
                  <w:spacing w:val="-2"/>
                  <w:sz w:val="16"/>
                  <w:u w:val="single" w:color="0000FF"/>
                </w:rPr>
                <w:t>33547</w:t>
              </w:r>
            </w:hyperlink>
          </w:p>
        </w:tc>
        <w:tc>
          <w:tcPr>
            <w:tcW w:w="1085" w:type="dxa"/>
          </w:tcPr>
          <w:p w14:paraId="65865F5D" w14:textId="77777777" w:rsidR="0093477F" w:rsidRDefault="0093477F" w:rsidP="00930297">
            <w:pPr>
              <w:pStyle w:val="TableParagraph"/>
              <w:ind w:left="106"/>
              <w:rPr>
                <w:sz w:val="16"/>
              </w:rPr>
            </w:pPr>
            <w:r>
              <w:rPr>
                <w:spacing w:val="-2"/>
                <w:sz w:val="16"/>
              </w:rPr>
              <w:t>James</w:t>
            </w:r>
            <w:r>
              <w:rPr>
                <w:spacing w:val="40"/>
                <w:sz w:val="16"/>
              </w:rPr>
              <w:t xml:space="preserve"> </w:t>
            </w:r>
            <w:r>
              <w:rPr>
                <w:spacing w:val="-2"/>
                <w:sz w:val="16"/>
              </w:rPr>
              <w:t>Razzaboni</w:t>
            </w:r>
          </w:p>
        </w:tc>
        <w:tc>
          <w:tcPr>
            <w:tcW w:w="1890" w:type="dxa"/>
          </w:tcPr>
          <w:p w14:paraId="6F056353" w14:textId="77777777" w:rsidR="0093477F" w:rsidRDefault="0093477F" w:rsidP="00930297">
            <w:pPr>
              <w:pStyle w:val="TableParagraph"/>
              <w:spacing w:line="194" w:lineRule="exact"/>
              <w:ind w:left="106"/>
              <w:rPr>
                <w:sz w:val="16"/>
              </w:rPr>
            </w:pPr>
            <w:r>
              <w:rPr>
                <w:sz w:val="16"/>
              </w:rPr>
              <w:t>203-</w:t>
            </w:r>
            <w:r>
              <w:rPr>
                <w:spacing w:val="-4"/>
                <w:sz w:val="16"/>
              </w:rPr>
              <w:t>444-6314</w:t>
            </w:r>
          </w:p>
          <w:p w14:paraId="3CC0609D" w14:textId="77777777" w:rsidR="0093477F" w:rsidRDefault="0093477F" w:rsidP="00930297">
            <w:pPr>
              <w:pStyle w:val="TableParagraph"/>
              <w:spacing w:line="195" w:lineRule="exact"/>
              <w:ind w:left="106"/>
              <w:rPr>
                <w:sz w:val="16"/>
              </w:rPr>
            </w:pPr>
          </w:p>
        </w:tc>
        <w:tc>
          <w:tcPr>
            <w:tcW w:w="1975" w:type="dxa"/>
          </w:tcPr>
          <w:p w14:paraId="3B472B72" w14:textId="77777777" w:rsidR="0093477F" w:rsidRDefault="0093477F" w:rsidP="00930297">
            <w:pPr>
              <w:pStyle w:val="TableParagraph"/>
              <w:spacing w:line="194" w:lineRule="exact"/>
              <w:ind w:left="3"/>
              <w:jc w:val="center"/>
              <w:rPr>
                <w:sz w:val="16"/>
              </w:rPr>
            </w:pPr>
            <w:hyperlink r:id="rId65" w:history="1">
              <w:r w:rsidRPr="008A7D47">
                <w:rPr>
                  <w:rStyle w:val="Hyperlink"/>
                  <w:spacing w:val="-2"/>
                  <w:sz w:val="16"/>
                </w:rPr>
                <w:t>james.razzaboni@nrg.com</w:t>
              </w:r>
            </w:hyperlink>
          </w:p>
        </w:tc>
        <w:tc>
          <w:tcPr>
            <w:tcW w:w="1985" w:type="dxa"/>
          </w:tcPr>
          <w:p w14:paraId="345A8809" w14:textId="77777777" w:rsidR="0093477F" w:rsidRDefault="0093477F" w:rsidP="00930297">
            <w:pPr>
              <w:pStyle w:val="TableParagraph"/>
              <w:ind w:left="106" w:right="102"/>
              <w:rPr>
                <w:sz w:val="16"/>
              </w:rPr>
            </w:pPr>
            <w:r>
              <w:rPr>
                <w:sz w:val="16"/>
              </w:rPr>
              <w:t>Category</w:t>
            </w:r>
            <w:r>
              <w:rPr>
                <w:spacing w:val="-7"/>
                <w:sz w:val="16"/>
              </w:rPr>
              <w:t xml:space="preserve"> </w:t>
            </w:r>
            <w:r>
              <w:rPr>
                <w:sz w:val="16"/>
              </w:rPr>
              <w:t>1:</w:t>
            </w:r>
            <w:r>
              <w:rPr>
                <w:spacing w:val="40"/>
                <w:sz w:val="16"/>
              </w:rPr>
              <w:t xml:space="preserve"> </w:t>
            </w:r>
            <w:r>
              <w:rPr>
                <w:sz w:val="16"/>
              </w:rPr>
              <w:t>Firm</w:t>
            </w:r>
            <w:r>
              <w:rPr>
                <w:spacing w:val="-10"/>
                <w:sz w:val="16"/>
              </w:rPr>
              <w:t xml:space="preserve"> </w:t>
            </w:r>
            <w:r>
              <w:rPr>
                <w:sz w:val="16"/>
              </w:rPr>
              <w:t>Fixed</w:t>
            </w:r>
            <w:r>
              <w:rPr>
                <w:spacing w:val="-9"/>
                <w:sz w:val="16"/>
              </w:rPr>
              <w:t xml:space="preserve"> </w:t>
            </w:r>
            <w:r>
              <w:rPr>
                <w:sz w:val="16"/>
              </w:rPr>
              <w:t>Price</w:t>
            </w:r>
            <w:r>
              <w:rPr>
                <w:spacing w:val="40"/>
                <w:sz w:val="16"/>
              </w:rPr>
              <w:t xml:space="preserve"> </w:t>
            </w:r>
            <w:r>
              <w:rPr>
                <w:sz w:val="16"/>
              </w:rPr>
              <w:t>Category</w:t>
            </w:r>
            <w:r>
              <w:rPr>
                <w:spacing w:val="-7"/>
                <w:sz w:val="16"/>
              </w:rPr>
              <w:t xml:space="preserve"> </w:t>
            </w:r>
            <w:r>
              <w:rPr>
                <w:sz w:val="16"/>
              </w:rPr>
              <w:t>2:</w:t>
            </w:r>
            <w:r>
              <w:rPr>
                <w:spacing w:val="40"/>
                <w:sz w:val="16"/>
              </w:rPr>
              <w:t xml:space="preserve"> </w:t>
            </w:r>
            <w:r>
              <w:rPr>
                <w:sz w:val="16"/>
              </w:rPr>
              <w:t>Capacity</w:t>
            </w:r>
            <w:r>
              <w:rPr>
                <w:spacing w:val="-7"/>
                <w:sz w:val="16"/>
              </w:rPr>
              <w:t xml:space="preserve"> </w:t>
            </w:r>
            <w:r>
              <w:rPr>
                <w:sz w:val="16"/>
              </w:rPr>
              <w:t>Pass-</w:t>
            </w:r>
          </w:p>
          <w:p w14:paraId="10219006" w14:textId="77777777" w:rsidR="0093477F" w:rsidRDefault="0093477F" w:rsidP="00930297">
            <w:pPr>
              <w:pStyle w:val="TableParagraph"/>
              <w:spacing w:line="175" w:lineRule="exact"/>
              <w:ind w:left="106"/>
              <w:rPr>
                <w:sz w:val="16"/>
              </w:rPr>
            </w:pPr>
            <w:r>
              <w:rPr>
                <w:spacing w:val="-2"/>
                <w:sz w:val="16"/>
              </w:rPr>
              <w:t>Through</w:t>
            </w:r>
          </w:p>
        </w:tc>
        <w:tc>
          <w:tcPr>
            <w:tcW w:w="1080" w:type="dxa"/>
          </w:tcPr>
          <w:p w14:paraId="729EE5FB" w14:textId="77777777" w:rsidR="0093477F" w:rsidRDefault="0093477F" w:rsidP="00930297">
            <w:pPr>
              <w:pStyle w:val="TableParagraph"/>
              <w:spacing w:line="194" w:lineRule="exact"/>
              <w:ind w:left="142"/>
              <w:rPr>
                <w:sz w:val="16"/>
              </w:rPr>
            </w:pPr>
            <w:r>
              <w:rPr>
                <w:spacing w:val="-5"/>
                <w:sz w:val="16"/>
              </w:rPr>
              <w:t>All</w:t>
            </w:r>
          </w:p>
        </w:tc>
        <w:tc>
          <w:tcPr>
            <w:tcW w:w="1170" w:type="dxa"/>
          </w:tcPr>
          <w:p w14:paraId="54E9CA0A" w14:textId="77777777" w:rsidR="0093477F" w:rsidRDefault="0093477F" w:rsidP="00930297">
            <w:pPr>
              <w:pStyle w:val="TableParagraph"/>
              <w:spacing w:line="194" w:lineRule="exact"/>
              <w:ind w:left="106"/>
              <w:rPr>
                <w:sz w:val="16"/>
              </w:rPr>
            </w:pPr>
            <w:r>
              <w:rPr>
                <w:spacing w:val="-5"/>
                <w:sz w:val="16"/>
              </w:rPr>
              <w:t>N/A</w:t>
            </w:r>
          </w:p>
        </w:tc>
        <w:tc>
          <w:tcPr>
            <w:tcW w:w="1170" w:type="dxa"/>
          </w:tcPr>
          <w:p w14:paraId="27F8C537" w14:textId="77777777" w:rsidR="0093477F" w:rsidRDefault="0093477F" w:rsidP="00930297">
            <w:pPr>
              <w:pStyle w:val="TableParagraph"/>
              <w:spacing w:line="194" w:lineRule="exact"/>
              <w:rPr>
                <w:sz w:val="16"/>
              </w:rPr>
            </w:pPr>
            <w:r>
              <w:rPr>
                <w:spacing w:val="-5"/>
                <w:sz w:val="16"/>
              </w:rPr>
              <w:t>1%</w:t>
            </w:r>
          </w:p>
        </w:tc>
      </w:tr>
    </w:tbl>
    <w:p w14:paraId="2B68DB9E" w14:textId="240FB3C4" w:rsidR="00E51057" w:rsidRDefault="00E51057" w:rsidP="00E51057">
      <w:pPr>
        <w:spacing w:after="0" w:line="240" w:lineRule="auto"/>
        <w:rPr>
          <w:iCs/>
          <w:sz w:val="24"/>
          <w:szCs w:val="24"/>
        </w:rPr>
      </w:pPr>
    </w:p>
    <w:p w14:paraId="387CC61A" w14:textId="5DF3F23D" w:rsidR="00304C6F" w:rsidRDefault="00275216" w:rsidP="58332DC4">
      <w:pPr>
        <w:pStyle w:val="Heading2"/>
        <w:rPr>
          <w:sz w:val="24"/>
        </w:rPr>
      </w:pPr>
      <w:bookmarkStart w:id="77" w:name="_Appendix_B:_Vendor"/>
      <w:bookmarkStart w:id="78" w:name="_Appendix_C:_Vendor"/>
      <w:bookmarkStart w:id="79" w:name="_Appendix_A:_[add"/>
      <w:bookmarkStart w:id="80" w:name="_Toc194066624"/>
      <w:bookmarkStart w:id="81" w:name="_Toc209710966"/>
      <w:bookmarkEnd w:id="77"/>
      <w:bookmarkEnd w:id="78"/>
      <w:bookmarkEnd w:id="79"/>
      <w:r>
        <w:lastRenderedPageBreak/>
        <w:t>United Nations Standard Products and Services Code</w:t>
      </w:r>
      <w:r w:rsidR="00F0545F" w:rsidRPr="58332DC4">
        <w:rPr>
          <w:vertAlign w:val="superscript"/>
        </w:rPr>
        <w:t>®</w:t>
      </w:r>
      <w:r>
        <w:t xml:space="preserve"> (UNSPSC</w:t>
      </w:r>
      <w:r w:rsidR="00F0545F" w:rsidRPr="58332DC4">
        <w:rPr>
          <w:vertAlign w:val="superscript"/>
        </w:rPr>
        <w:t>®</w:t>
      </w:r>
      <w:r>
        <w:t>)</w:t>
      </w:r>
      <w:bookmarkEnd w:id="81"/>
      <w:r w:rsidR="00F0545F">
        <w:t xml:space="preserve"> </w:t>
      </w:r>
      <w:bookmarkEnd w:id="80"/>
    </w:p>
    <w:p w14:paraId="16014BF6" w14:textId="6CC40C3E" w:rsidR="00A7060F" w:rsidRPr="00652106" w:rsidRDefault="00D119CD" w:rsidP="00E3510E">
      <w:pPr>
        <w:rPr>
          <w:sz w:val="24"/>
          <w:szCs w:val="24"/>
        </w:rPr>
      </w:pPr>
      <w:r w:rsidRPr="00652106">
        <w:rPr>
          <w:sz w:val="24"/>
          <w:szCs w:val="24"/>
        </w:rPr>
        <w:t xml:space="preserve">UNSPSC </w:t>
      </w:r>
      <w:r w:rsidR="00E53E55" w:rsidRPr="00652106">
        <w:rPr>
          <w:sz w:val="24"/>
          <w:szCs w:val="24"/>
        </w:rPr>
        <w:t xml:space="preserve">for </w:t>
      </w:r>
      <w:r w:rsidR="00E3510E" w:rsidRPr="00652106">
        <w:rPr>
          <w:b/>
          <w:sz w:val="24"/>
          <w:szCs w:val="24"/>
        </w:rPr>
        <w:t>ENE55</w:t>
      </w:r>
      <w:r w:rsidR="001E6ECD" w:rsidRPr="00652106">
        <w:rPr>
          <w:bCs/>
          <w:sz w:val="24"/>
          <w:szCs w:val="24"/>
        </w:rPr>
        <w:t>:</w:t>
      </w:r>
      <w:r w:rsidR="00652106" w:rsidRPr="00652106">
        <w:rPr>
          <w:bCs/>
          <w:sz w:val="24"/>
          <w:szCs w:val="24"/>
        </w:rPr>
        <w:t xml:space="preserve"> </w:t>
      </w:r>
      <w:r w:rsidR="00652106" w:rsidRPr="00652106">
        <w:rPr>
          <w:b/>
          <w:bCs/>
          <w:sz w:val="24"/>
          <w:szCs w:val="24"/>
        </w:rPr>
        <w:t>83</w:t>
      </w:r>
      <w:r w:rsidR="00652106">
        <w:rPr>
          <w:b/>
          <w:bCs/>
          <w:sz w:val="24"/>
          <w:szCs w:val="24"/>
        </w:rPr>
        <w:t>–</w:t>
      </w:r>
      <w:r w:rsidR="00652106" w:rsidRPr="00652106">
        <w:rPr>
          <w:b/>
          <w:bCs/>
          <w:sz w:val="24"/>
          <w:szCs w:val="24"/>
        </w:rPr>
        <w:t>10</w:t>
      </w:r>
      <w:r w:rsidR="00652106">
        <w:rPr>
          <w:b/>
          <w:bCs/>
          <w:sz w:val="24"/>
          <w:szCs w:val="24"/>
        </w:rPr>
        <w:t>–</w:t>
      </w:r>
      <w:r w:rsidR="00652106" w:rsidRPr="00652106">
        <w:rPr>
          <w:b/>
          <w:bCs/>
          <w:sz w:val="24"/>
          <w:szCs w:val="24"/>
        </w:rPr>
        <w:t>18</w:t>
      </w:r>
      <w:r w:rsidR="00652106">
        <w:rPr>
          <w:b/>
          <w:bCs/>
          <w:sz w:val="24"/>
          <w:szCs w:val="24"/>
        </w:rPr>
        <w:t>–</w:t>
      </w:r>
      <w:r w:rsidR="00652106" w:rsidRPr="00652106">
        <w:rPr>
          <w:b/>
          <w:bCs/>
          <w:sz w:val="24"/>
          <w:szCs w:val="24"/>
        </w:rPr>
        <w:t>00</w:t>
      </w:r>
      <w:r w:rsidR="0058487D" w:rsidRPr="0058487D">
        <w:rPr>
          <w:sz w:val="24"/>
          <w:szCs w:val="24"/>
        </w:rPr>
        <w:t>.</w:t>
      </w:r>
    </w:p>
    <w:sectPr w:rsidR="00A7060F" w:rsidRPr="00652106"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CF00" w14:textId="77777777" w:rsidR="00D2058E" w:rsidRDefault="00D2058E" w:rsidP="00BA4C0C">
      <w:pPr>
        <w:spacing w:after="0" w:line="240" w:lineRule="auto"/>
      </w:pPr>
      <w:r>
        <w:separator/>
      </w:r>
    </w:p>
    <w:p w14:paraId="2C4F32FB" w14:textId="77777777" w:rsidR="00D2058E" w:rsidRDefault="00D2058E"/>
  </w:endnote>
  <w:endnote w:type="continuationSeparator" w:id="0">
    <w:p w14:paraId="05C9E709" w14:textId="77777777" w:rsidR="00D2058E" w:rsidRDefault="00D2058E" w:rsidP="00BA4C0C">
      <w:pPr>
        <w:spacing w:after="0" w:line="240" w:lineRule="auto"/>
      </w:pPr>
      <w:r>
        <w:continuationSeparator/>
      </w:r>
    </w:p>
    <w:p w14:paraId="2DB0EB29" w14:textId="77777777" w:rsidR="00D2058E" w:rsidRDefault="00D2058E"/>
  </w:endnote>
  <w:endnote w:type="continuationNotice" w:id="1">
    <w:p w14:paraId="10FA9736" w14:textId="77777777" w:rsidR="00D2058E" w:rsidRDefault="00D20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EF45" w14:textId="77777777" w:rsidR="009E1E6B" w:rsidRPr="00621EE2" w:rsidRDefault="009E1E6B" w:rsidP="009E1E6B">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289BF333" w14:textId="77777777" w:rsidR="009E1E6B" w:rsidRDefault="009E1E6B" w:rsidP="009E1E6B">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01CDA9CC" w14:textId="77777777" w:rsidR="009E1E6B" w:rsidRPr="003E118F" w:rsidRDefault="009E1E6B" w:rsidP="009E1E6B">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9F7A869" w14:textId="77777777" w:rsidR="009E1E6B" w:rsidRPr="003E118F" w:rsidRDefault="009E1E6B" w:rsidP="009E1E6B">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3D04B1EB" w14:textId="77777777" w:rsidR="009E1E6B" w:rsidRDefault="009E1E6B" w:rsidP="009E1E6B">
    <w:r>
      <w:rPr>
        <w:noProof/>
      </w:rPr>
      <mc:AlternateContent>
        <mc:Choice Requires="wpg">
          <w:drawing>
            <wp:anchor distT="0" distB="0" distL="114300" distR="114300" simplePos="0" relativeHeight="251659264" behindDoc="0" locked="0" layoutInCell="1" allowOverlap="1" wp14:anchorId="0AB822F3" wp14:editId="5521840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87EC5"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782A52D1" w14:textId="77777777" w:rsidR="009E1E6B" w:rsidRPr="00E365B8" w:rsidRDefault="009E1E6B" w:rsidP="009E1E6B">
    <w:pPr>
      <w:pStyle w:val="Footer"/>
    </w:pPr>
  </w:p>
  <w:p w14:paraId="29F8E603" w14:textId="77777777" w:rsidR="0019409E" w:rsidRPr="009E1E6B" w:rsidRDefault="0019409E" w:rsidP="009E1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58332DC4">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08F8229E"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sidRPr="00ED4906">
      <w:rPr>
        <w:rStyle w:val="PageNumber"/>
        <w:b/>
        <w:bCs/>
        <w:sz w:val="16"/>
        <w:szCs w:val="16"/>
      </w:rPr>
      <w:t>N</w:t>
    </w:r>
    <w:r w:rsidR="001A340E"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995F06B" w14:textId="1569FE7A" w:rsidR="00AC1E9E" w:rsidRDefault="00AC1E9E" w:rsidP="00B84519">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4814E9">
      <w:rPr>
        <w:rStyle w:val="PageNumber"/>
        <w:sz w:val="20"/>
        <w:szCs w:val="20"/>
      </w:rPr>
      <w:t>September 5, 2025</w:t>
    </w: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2BD2294B"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3A9B44D5"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8864" w14:textId="77777777" w:rsidR="00D2058E" w:rsidRDefault="00D2058E" w:rsidP="00BA4C0C">
      <w:pPr>
        <w:spacing w:after="0" w:line="240" w:lineRule="auto"/>
      </w:pPr>
      <w:r>
        <w:separator/>
      </w:r>
    </w:p>
    <w:p w14:paraId="52DD2C8F" w14:textId="77777777" w:rsidR="00D2058E" w:rsidRDefault="00D2058E"/>
  </w:footnote>
  <w:footnote w:type="continuationSeparator" w:id="0">
    <w:p w14:paraId="3AE1E755" w14:textId="77777777" w:rsidR="00D2058E" w:rsidRDefault="00D2058E" w:rsidP="00BA4C0C">
      <w:pPr>
        <w:spacing w:after="0" w:line="240" w:lineRule="auto"/>
      </w:pPr>
      <w:r>
        <w:continuationSeparator/>
      </w:r>
    </w:p>
    <w:p w14:paraId="07746ACB" w14:textId="77777777" w:rsidR="00D2058E" w:rsidRDefault="00D2058E"/>
  </w:footnote>
  <w:footnote w:type="continuationNotice" w:id="1">
    <w:p w14:paraId="4430ABCD" w14:textId="77777777" w:rsidR="00D2058E" w:rsidRDefault="00D2058E">
      <w:pPr>
        <w:spacing w:after="0" w:line="240" w:lineRule="auto"/>
      </w:pPr>
    </w:p>
  </w:footnote>
  <w:footnote w:id="2">
    <w:p w14:paraId="40A482C3" w14:textId="6248C980" w:rsidR="00652106" w:rsidRDefault="00652106">
      <w:pPr>
        <w:pStyle w:val="FootnoteText"/>
      </w:pPr>
      <w:r>
        <w:rPr>
          <w:rStyle w:val="FootnoteReference"/>
        </w:rPr>
        <w:footnoteRef/>
      </w:r>
      <w:r>
        <w:t xml:space="preserve"> </w:t>
      </w:r>
      <w:r w:rsidR="002F5777" w:rsidRPr="002F5777">
        <w:t>Note that COMMBUYS is the official system of record for vendor contact information.</w:t>
      </w:r>
    </w:p>
  </w:footnote>
  <w:footnote w:id="3">
    <w:p w14:paraId="083666E9" w14:textId="1F079C90" w:rsidR="002F5777" w:rsidRDefault="002F5777">
      <w:pPr>
        <w:pStyle w:val="FootnoteText"/>
      </w:pPr>
      <w:r>
        <w:rPr>
          <w:rStyle w:val="FootnoteReference"/>
        </w:rPr>
        <w:footnoteRef/>
      </w:r>
      <w:r>
        <w:t xml:space="preserve"> </w:t>
      </w:r>
      <w:r w:rsidR="006C27FC" w:rsidRPr="006C27FC">
        <w:t>The Master Contract Record Master Blanket Purchase Order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40E14BFC" w:rsidR="00886F53" w:rsidRPr="00D02B79" w:rsidRDefault="58332DC4" w:rsidP="58332DC4">
    <w:pPr>
      <w:tabs>
        <w:tab w:val="left" w:pos="2880"/>
        <w:tab w:val="left" w:pos="10365"/>
      </w:tabs>
      <w:ind w:left="-720"/>
      <w:rPr>
        <w:sz w:val="32"/>
        <w:szCs w:val="32"/>
      </w:rPr>
    </w:pPr>
    <w:r>
      <w:rPr>
        <w:noProof/>
      </w:rPr>
      <w:drawing>
        <wp:inline distT="0" distB="0" distL="0" distR="0" wp14:anchorId="6CC9499D" wp14:editId="029ADB86">
          <wp:extent cx="2568079" cy="768096"/>
          <wp:effectExtent l="0" t="0" r="0" b="0"/>
          <wp:docPr id="1673058624" name="Picture 1673058624"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58624" name="Picture 1673058624"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8079" cy="768096"/>
                  </a:xfrm>
                  <a:prstGeom prst="rect">
                    <a:avLst/>
                  </a:prstGeom>
                </pic:spPr>
              </pic:pic>
            </a:graphicData>
          </a:graphic>
        </wp:inline>
      </w:drawing>
    </w:r>
    <w:r w:rsidR="00886F53">
      <w:rPr>
        <w:noProof/>
      </w:rPr>
      <mc:AlternateContent>
        <mc:Choice Requires="wps">
          <w:drawing>
            <wp:inline distT="0" distB="0" distL="0" distR="0" wp14:anchorId="6BE6E74D" wp14:editId="3525E5ED">
              <wp:extent cx="4052951" cy="835990"/>
              <wp:effectExtent l="0" t="0" r="508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951" cy="835990"/>
                      </a:xfrm>
                      <a:prstGeom prst="rect">
                        <a:avLst/>
                      </a:prstGeom>
                      <a:solidFill>
                        <a:srgbClr val="FFFFFF"/>
                      </a:solidFill>
                      <a:ln w="9525">
                        <a:noFill/>
                        <a:miter lim="800000"/>
                        <a:headEnd/>
                        <a:tailEnd/>
                      </a:ln>
                    </wps:spPr>
                    <wps:txbx>
                      <w:txbxContent>
                        <w:p w14:paraId="7E0367E2" w14:textId="7DE515D9" w:rsidR="00913691" w:rsidRPr="005D4B8A" w:rsidRDefault="004814E9" w:rsidP="00913691">
                          <w:pPr>
                            <w:ind w:right="-50"/>
                            <w:jc w:val="right"/>
                            <w:rPr>
                              <w:b/>
                              <w:sz w:val="48"/>
                            </w:rPr>
                          </w:pPr>
                          <w:r>
                            <w:rPr>
                              <w:b/>
                              <w:sz w:val="48"/>
                            </w:rPr>
                            <w:t>ENE55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9.15pt;height: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" stroked="f">
              <v:textbox>
                <w:txbxContent>
                  <w:p w14:paraId="7E0367E2" w14:textId="7DE515D9" w:rsidR="00913691" w:rsidRPr="005D4B8A" w:rsidRDefault="004814E9" w:rsidP="00913691">
                    <w:pPr>
                      <w:ind w:right="-50"/>
                      <w:jc w:val="right"/>
                      <w:rPr>
                        <w:b/>
                        <w:sz w:val="48"/>
                      </w:rPr>
                    </w:pPr>
                    <w:r>
                      <w:rPr>
                        <w:b/>
                        <w:sz w:val="48"/>
                      </w:rPr>
                      <w:t>ENE55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64113906">
            <v:line id="Straight Connector 4" style="visibility:visible;mso-wrap-style:square;mso-left-percent:-10001;mso-top-percent:-10001;mso-position-horizontal:absolute;mso-position-horizontal-relative:char;mso-position-vertical:absolute;mso-position-vertical-relative:line;mso-left-percent:-10001;mso-top-percent:-10001" alt="Title: Horizontal Blue Line - Description: Horizontal Blue Line in the Header" o:spid="_x0000_s1026" strokecolor="#4f81bd [3204]" strokeweight="3pt" from="0,0" to="550.8pt,0" w14:anchorId="249FD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2FACAF90" w:rsidR="00DD35D3" w:rsidRDefault="58332DC4" w:rsidP="58332DC4">
    <w:pPr>
      <w:ind w:left="-720"/>
      <w:rPr>
        <w:sz w:val="10"/>
        <w:szCs w:val="10"/>
      </w:rPr>
    </w:pPr>
    <w:r>
      <w:rPr>
        <w:noProof/>
      </w:rPr>
      <w:drawing>
        <wp:inline distT="0" distB="0" distL="0" distR="0" wp14:anchorId="1A932175" wp14:editId="140ADC55">
          <wp:extent cx="2562893" cy="768096"/>
          <wp:effectExtent l="0" t="0" r="0" b="0"/>
          <wp:docPr id="1289246635" name="Picture 128924663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46635" name="Picture 1289246635" descr="Operational Services Division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Pr="00D02B79">
      <w:rPr>
        <w:sz w:val="10"/>
        <w:szCs w:val="10"/>
      </w:rPr>
      <w:t xml:space="preserve"> </w:t>
    </w:r>
    <w:r w:rsidR="00DD35D3">
      <w:rPr>
        <w:noProof/>
      </w:rPr>
      <mc:AlternateContent>
        <mc:Choice Requires="wps">
          <w:drawing>
            <wp:inline distT="0" distB="0" distL="0" distR="0" wp14:anchorId="1597F477" wp14:editId="7DA8FF4E">
              <wp:extent cx="4068501" cy="856742"/>
              <wp:effectExtent l="0" t="0" r="8255" b="63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501" cy="856742"/>
                      </a:xfrm>
                      <a:prstGeom prst="rect">
                        <a:avLst/>
                      </a:prstGeom>
                      <a:solidFill>
                        <a:srgbClr val="FFFFFF"/>
                      </a:solidFill>
                      <a:ln w="9525">
                        <a:noFill/>
                        <a:miter lim="800000"/>
                        <a:headEnd/>
                        <a:tailEnd/>
                      </a:ln>
                    </wps:spPr>
                    <wps:txbx>
                      <w:txbxContent>
                        <w:p w14:paraId="06F7E207" w14:textId="450BCCB0" w:rsidR="00DD35D3" w:rsidRPr="005D4B8A" w:rsidRDefault="00C42743">
                          <w:pPr>
                            <w:ind w:right="-50"/>
                            <w:jc w:val="right"/>
                            <w:rPr>
                              <w:b/>
                              <w:sz w:val="48"/>
                            </w:rPr>
                          </w:pPr>
                          <w:r>
                            <w:rPr>
                              <w:b/>
                              <w:sz w:val="48"/>
                            </w:rPr>
                            <w:t>ENE55</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20.35pt;height: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" stroked="f">
              <v:textbox>
                <w:txbxContent>
                  <w:p w14:paraId="06F7E207" w14:textId="450BCCB0" w:rsidR="00DD35D3" w:rsidRPr="005D4B8A" w:rsidRDefault="00C42743">
                    <w:pPr>
                      <w:ind w:right="-50"/>
                      <w:jc w:val="right"/>
                      <w:rPr>
                        <w:b/>
                        <w:sz w:val="48"/>
                      </w:rPr>
                    </w:pPr>
                    <w:r>
                      <w:rPr>
                        <w:b/>
                        <w:sz w:val="48"/>
                      </w:rPr>
                      <w:t>ENE55</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4C7F0381">
            <v:line id="Straight Connector 1684346985" style="visibility:visible;mso-wrap-style:square;mso-left-percent:-10001;mso-top-percent:-10001;mso-position-horizontal:absolute;mso-position-horizontal-relative:char;mso-position-vertical:absolute;mso-position-vertical-relative:line;mso-left-percent:-10001;mso-top-percent:-10001" alt="&quot;&quot;" o:spid="_x0000_s1026" strokecolor="#4f81bd [3204]" strokeweight="3pt" from="0,0" to="550.8pt,0" w14:anchorId="5C514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v:shadow on="t" color="black" opacity="22937f" offset="0,.63889mm" origin=",.5"/>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E2821"/>
    <w:multiLevelType w:val="hybridMultilevel"/>
    <w:tmpl w:val="3D3EF0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44A96"/>
    <w:multiLevelType w:val="hybridMultilevel"/>
    <w:tmpl w:val="4A609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727E7"/>
    <w:multiLevelType w:val="hybridMultilevel"/>
    <w:tmpl w:val="F28A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C0621"/>
    <w:multiLevelType w:val="hybridMultilevel"/>
    <w:tmpl w:val="FE50F0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2207326">
    <w:abstractNumId w:val="12"/>
  </w:num>
  <w:num w:numId="2" w16cid:durableId="222839226">
    <w:abstractNumId w:val="0"/>
  </w:num>
  <w:num w:numId="3" w16cid:durableId="984166477">
    <w:abstractNumId w:val="4"/>
  </w:num>
  <w:num w:numId="4" w16cid:durableId="896821583">
    <w:abstractNumId w:val="13"/>
  </w:num>
  <w:num w:numId="5" w16cid:durableId="1254818405">
    <w:abstractNumId w:val="2"/>
  </w:num>
  <w:num w:numId="6" w16cid:durableId="1108283029">
    <w:abstractNumId w:val="3"/>
  </w:num>
  <w:num w:numId="7" w16cid:durableId="1586958684">
    <w:abstractNumId w:val="6"/>
  </w:num>
  <w:num w:numId="8" w16cid:durableId="517740112">
    <w:abstractNumId w:val="9"/>
  </w:num>
  <w:num w:numId="9" w16cid:durableId="55519776">
    <w:abstractNumId w:val="11"/>
  </w:num>
  <w:num w:numId="10" w16cid:durableId="9114506">
    <w:abstractNumId w:val="8"/>
  </w:num>
  <w:num w:numId="11" w16cid:durableId="1840392131">
    <w:abstractNumId w:val="1"/>
  </w:num>
  <w:num w:numId="12" w16cid:durableId="271716133">
    <w:abstractNumId w:val="7"/>
  </w:num>
  <w:num w:numId="13" w16cid:durableId="667294829">
    <w:abstractNumId w:val="10"/>
  </w:num>
  <w:num w:numId="14" w16cid:durableId="1562322273">
    <w:abstractNumId w:val="5"/>
  </w:num>
  <w:num w:numId="15" w16cid:durableId="584072558">
    <w:abstractNumId w:val="14"/>
  </w:num>
  <w:num w:numId="16" w16cid:durableId="114389013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2"/>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6BF"/>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56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60F"/>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486E"/>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2F9A"/>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4FE"/>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59B0"/>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18B"/>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3C03"/>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57605"/>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10B"/>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0E5"/>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6ECD"/>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40D"/>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A26"/>
    <w:rsid w:val="00272DD3"/>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4B"/>
    <w:rsid w:val="0029118D"/>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7EFF"/>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F98"/>
    <w:rsid w:val="002F5141"/>
    <w:rsid w:val="002F5777"/>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967"/>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76A"/>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6C7A"/>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ACF"/>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B1A"/>
    <w:rsid w:val="00390D45"/>
    <w:rsid w:val="0039101A"/>
    <w:rsid w:val="00391DAF"/>
    <w:rsid w:val="003920F0"/>
    <w:rsid w:val="00392559"/>
    <w:rsid w:val="00392DC5"/>
    <w:rsid w:val="0039371E"/>
    <w:rsid w:val="0039398B"/>
    <w:rsid w:val="00393B8F"/>
    <w:rsid w:val="00393C0A"/>
    <w:rsid w:val="003941DF"/>
    <w:rsid w:val="003945EC"/>
    <w:rsid w:val="00396849"/>
    <w:rsid w:val="00396D8C"/>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1927"/>
    <w:rsid w:val="003C2307"/>
    <w:rsid w:val="003C23B2"/>
    <w:rsid w:val="003C309C"/>
    <w:rsid w:val="003C3178"/>
    <w:rsid w:val="003C3ABF"/>
    <w:rsid w:val="003C40A9"/>
    <w:rsid w:val="003C48D6"/>
    <w:rsid w:val="003C49F9"/>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5A2"/>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1CF"/>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131"/>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D12"/>
    <w:rsid w:val="004454C6"/>
    <w:rsid w:val="00445943"/>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4E9"/>
    <w:rsid w:val="00481615"/>
    <w:rsid w:val="00482875"/>
    <w:rsid w:val="00482C3E"/>
    <w:rsid w:val="00482F90"/>
    <w:rsid w:val="00483BC1"/>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505"/>
    <w:rsid w:val="004C4EF3"/>
    <w:rsid w:val="004C5307"/>
    <w:rsid w:val="004C5CB2"/>
    <w:rsid w:val="004C6227"/>
    <w:rsid w:val="004C65F1"/>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0F69"/>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3BDD"/>
    <w:rsid w:val="005741C5"/>
    <w:rsid w:val="005749F2"/>
    <w:rsid w:val="00575ADB"/>
    <w:rsid w:val="00575AE4"/>
    <w:rsid w:val="00575D06"/>
    <w:rsid w:val="00575FD2"/>
    <w:rsid w:val="0057611D"/>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87D"/>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370"/>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3E85"/>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2D7"/>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13B"/>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40C"/>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1112"/>
    <w:rsid w:val="006514CA"/>
    <w:rsid w:val="00651E56"/>
    <w:rsid w:val="0065210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7FC"/>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67C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156"/>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0B3"/>
    <w:rsid w:val="00814F65"/>
    <w:rsid w:val="00815201"/>
    <w:rsid w:val="008161E7"/>
    <w:rsid w:val="00816341"/>
    <w:rsid w:val="00816990"/>
    <w:rsid w:val="00817814"/>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5CE"/>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0E80"/>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7F"/>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1458"/>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AB"/>
    <w:rsid w:val="009D54D2"/>
    <w:rsid w:val="009D5BA6"/>
    <w:rsid w:val="009D6864"/>
    <w:rsid w:val="009D6A37"/>
    <w:rsid w:val="009E0ECD"/>
    <w:rsid w:val="009E12A3"/>
    <w:rsid w:val="009E12DB"/>
    <w:rsid w:val="009E1707"/>
    <w:rsid w:val="009E1828"/>
    <w:rsid w:val="009E1A15"/>
    <w:rsid w:val="009E1C59"/>
    <w:rsid w:val="009E1E6B"/>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3F0"/>
    <w:rsid w:val="009E5417"/>
    <w:rsid w:val="009E57AD"/>
    <w:rsid w:val="009E591E"/>
    <w:rsid w:val="009E5D94"/>
    <w:rsid w:val="009E5E01"/>
    <w:rsid w:val="009E6027"/>
    <w:rsid w:val="009E6054"/>
    <w:rsid w:val="009E612D"/>
    <w:rsid w:val="009E685D"/>
    <w:rsid w:val="009E6D6B"/>
    <w:rsid w:val="009E71B8"/>
    <w:rsid w:val="009E7345"/>
    <w:rsid w:val="009F0227"/>
    <w:rsid w:val="009F0AE9"/>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4F8C"/>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340"/>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AD7"/>
    <w:rsid w:val="00A84D37"/>
    <w:rsid w:val="00A866DC"/>
    <w:rsid w:val="00A87130"/>
    <w:rsid w:val="00A876A9"/>
    <w:rsid w:val="00A87A58"/>
    <w:rsid w:val="00A9060E"/>
    <w:rsid w:val="00A907CD"/>
    <w:rsid w:val="00A91001"/>
    <w:rsid w:val="00A916AE"/>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F7F"/>
    <w:rsid w:val="00AB211E"/>
    <w:rsid w:val="00AB2611"/>
    <w:rsid w:val="00AB2644"/>
    <w:rsid w:val="00AB29DA"/>
    <w:rsid w:val="00AB2E84"/>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2A"/>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E5E"/>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0F5"/>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2743"/>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21"/>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295"/>
    <w:rsid w:val="00C87628"/>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482"/>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15B"/>
    <w:rsid w:val="00CE16B5"/>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5BB"/>
    <w:rsid w:val="00CF03A2"/>
    <w:rsid w:val="00CF04CB"/>
    <w:rsid w:val="00CF04E4"/>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191B"/>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317"/>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292"/>
    <w:rsid w:val="00DC450E"/>
    <w:rsid w:val="00DC47E6"/>
    <w:rsid w:val="00DC48F0"/>
    <w:rsid w:val="00DC5113"/>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7C2"/>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2F0A"/>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3C"/>
    <w:rsid w:val="00E31AA3"/>
    <w:rsid w:val="00E31AC0"/>
    <w:rsid w:val="00E3202F"/>
    <w:rsid w:val="00E32E01"/>
    <w:rsid w:val="00E33503"/>
    <w:rsid w:val="00E3354F"/>
    <w:rsid w:val="00E3399C"/>
    <w:rsid w:val="00E33C01"/>
    <w:rsid w:val="00E348FD"/>
    <w:rsid w:val="00E3510E"/>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4FBA"/>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772"/>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3B53"/>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6CC"/>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8675891"/>
    <w:rsid w:val="0908CC44"/>
    <w:rsid w:val="092AFCCD"/>
    <w:rsid w:val="09754A5C"/>
    <w:rsid w:val="09856568"/>
    <w:rsid w:val="09BD6ECD"/>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2F8FC6FF"/>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BD78DA"/>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542FAF"/>
    <w:rsid w:val="41E4A38E"/>
    <w:rsid w:val="41E66EF7"/>
    <w:rsid w:val="421609B3"/>
    <w:rsid w:val="42CC7BC5"/>
    <w:rsid w:val="42FA3B1F"/>
    <w:rsid w:val="433C90B5"/>
    <w:rsid w:val="43504692"/>
    <w:rsid w:val="4363E230"/>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332DC4"/>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81781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817814"/>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TableParagraph">
    <w:name w:val="Table Paragraph"/>
    <w:basedOn w:val="Normal"/>
    <w:uiPriority w:val="1"/>
    <w:qFormat/>
    <w:rsid w:val="0093477F"/>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qrg-how-to-record-a-contract-purchase-previously-made-rpa-release/download" TargetMode="External"/><Relationship Id="rId21" Type="http://schemas.openxmlformats.org/officeDocument/2006/relationships/hyperlink" Target="https://www.commbuys.com/bso/external/purchaseorder/poSummary.sdo?docId=PO-25-1080-OSD03-OSD03-33414&amp;releaseNbr=0&amp;external=true&amp;parentUrl=close" TargetMode="External"/><Relationship Id="rId34" Type="http://schemas.openxmlformats.org/officeDocument/2006/relationships/hyperlink" Target="https://www.mass.gov/doc/best-value-evaluation-of-sdp-plan-forms-a-guide-for-strategic-sourcing-teams/download" TargetMode="External"/><Relationship Id="rId42" Type="http://schemas.openxmlformats.org/officeDocument/2006/relationships/hyperlink" Target="mailto:kelly.minichello@mass.gov" TargetMode="External"/><Relationship Id="rId47" Type="http://schemas.openxmlformats.org/officeDocument/2006/relationships/hyperlink" Target="https://www.mass.gov/environmentally-preferable-products-epp-procurement-program" TargetMode="External"/><Relationship Id="rId50" Type="http://schemas.openxmlformats.org/officeDocument/2006/relationships/footer" Target="footer4.xml"/><Relationship Id="rId55" Type="http://schemas.openxmlformats.org/officeDocument/2006/relationships/hyperlink" Target="https://www.commbuys.com/bso/external/purchaseorder/poSummary.sdo?docId=PO-25-1080-OSD03-OSD03-33414&amp;releaseNbr=0&amp;external=true&amp;parentUrl=close" TargetMode="External"/><Relationship Id="rId63" Type="http://schemas.openxmlformats.org/officeDocument/2006/relationships/hyperlink" Target="https://www.commbuys.com/bso/external/purchaseorder/poSummary.sdo?docId=PO-25-1080-OSD03-OSD03-33547&amp;releaseNbr=0&amp;external=true&amp;parentUrl=clo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ommbuys.com/bso/external/purchaseorder/poSummary.sdo?docId=PO-25-1080-OSD03-OSD03-33414&amp;releaseNbr=0&amp;external=true&amp;parentUrl=close" TargetMode="External"/><Relationship Id="rId11" Type="http://schemas.openxmlformats.org/officeDocument/2006/relationships/image" Target="media/image1.png"/><Relationship Id="rId24" Type="http://schemas.openxmlformats.org/officeDocument/2006/relationships/hyperlink" Target="https://www.mass.gov/doc/conducting-best-value-procurements-handbook/download?_ga=2.147517943.1511158823.1739193429-1346777894.1722256684&amp;_gl=1*gspsps*_ga*MTM0Njc3Nzg5NC4xNzIyMjU2Njg0*_ga_MCLPEGW7WM*MTczOTM2MzU4Ny45NC4wLjE3MzkzNjM1ODcuMC4wLjA." TargetMode="External"/><Relationship Id="rId32" Type="http://schemas.openxmlformats.org/officeDocument/2006/relationships/hyperlink" Target="https://www.mass.gov/supplier-diversity-program-sdp?_gl=1*1dd4k06*_ga*NDExMTU1ODA0LjE3MzYzNDk5NDE.*_ga_MCLPEGW7WM*czE3NTY5MTE2ODkkbzM2OSRnMSR0MTc1NjkxMzk5MCRqNTckbDAkaDA." TargetMode="External"/><Relationship Id="rId37" Type="http://schemas.openxmlformats.org/officeDocument/2006/relationships/hyperlink" Target="https://www.mass.gov/doc/emergency-response-supplies-services-and-equipment-contact-information" TargetMode="External"/><Relationship Id="rId40" Type="http://schemas.openxmlformats.org/officeDocument/2006/relationships/hyperlink" Target="mailto:kelly.minichello@mass.gov" TargetMode="External"/><Relationship Id="rId45" Type="http://schemas.openxmlformats.org/officeDocument/2006/relationships/hyperlink" Target="https://www.mass.gov/alternative-energy-portfolio-standard" TargetMode="External"/><Relationship Id="rId53" Type="http://schemas.openxmlformats.org/officeDocument/2006/relationships/hyperlink" Target="https://www.commbuys.com/bso/external/purchaseorder/poSummary.sdo?docId=PO-25-1080-OSD03-OSD03-33414&amp;releaseNbr=0&amp;external=true&amp;parentUrl=close" TargetMode="External"/><Relationship Id="rId58" Type="http://schemas.openxmlformats.org/officeDocument/2006/relationships/hyperlink" Target="mailto:michael.barry3@mass.gov"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commbuys.com/bso/external/purchaseorder/poSummary.sdo?docId=PO-25-1080-OSD03-OSD03-33547&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corporate.enelx.com/en" TargetMode="External"/><Relationship Id="rId27" Type="http://schemas.openxmlformats.org/officeDocument/2006/relationships/hyperlink" Target="mailto:OSDhelpdesk@mass.gov" TargetMode="External"/><Relationship Id="rId30" Type="http://schemas.openxmlformats.org/officeDocument/2006/relationships/hyperlink" Target="https://www.mass.gov/orgs/supplier-diversity-office-sdo" TargetMode="External"/><Relationship Id="rId35" Type="http://schemas.openxmlformats.org/officeDocument/2006/relationships/hyperlink" Target="https://www.mass.gov/doc/best-value-evaluation-of-responses-to-small-procurements-a-guide-for-strategic-sourcing-teams/download" TargetMode="External"/><Relationship Id="rId43" Type="http://schemas.openxmlformats.org/officeDocument/2006/relationships/hyperlink" Target="https://www.mass.gov/guides/clean-energy-standard-310-cmr-775" TargetMode="External"/><Relationship Id="rId48" Type="http://schemas.openxmlformats.org/officeDocument/2006/relationships/hyperlink" Target="https://www.mass.gov/handbook/environmentally-preferable-products-and-services-guide" TargetMode="External"/><Relationship Id="rId56" Type="http://schemas.openxmlformats.org/officeDocument/2006/relationships/hyperlink" Target="mailto:michael.barry3@mass.gov" TargetMode="External"/><Relationship Id="rId64" Type="http://schemas.openxmlformats.org/officeDocument/2006/relationships/hyperlink" Target="https://www.commbuys.com/bso/external/purchaseorder/poSummary.sdo?docId=PO-25-1080-OSD03-OSD03-3354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commbuys.com/bso/external/purchaseorder/poSummary.sdo?docId=PO-25-1080-OSD03-OSD03-33414&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kelly.minichello@mass.gov" TargetMode="External"/><Relationship Id="rId17" Type="http://schemas.openxmlformats.org/officeDocument/2006/relationships/header" Target="header2.xml"/><Relationship Id="rId25" Type="http://schemas.openxmlformats.org/officeDocument/2006/relationships/hyperlink" Target="https://www.mass.gov/doc/how-to-make-a-statewide-contact-purchase-in-commbuys/download" TargetMode="External"/><Relationship Id="rId33" Type="http://schemas.openxmlformats.org/officeDocument/2006/relationships/hyperlink" Target="https://www.mass.gov/doc/statewide-contract-index" TargetMode="External"/><Relationship Id="rId38" Type="http://schemas.openxmlformats.org/officeDocument/2006/relationships/hyperlink" Target="https://go.procurated.com/ma-statewide/" TargetMode="External"/><Relationship Id="rId46" Type="http://schemas.openxmlformats.org/officeDocument/2006/relationships/hyperlink" Target="https://www.mass.gov/info-details/program-summaries" TargetMode="External"/><Relationship Id="rId59" Type="http://schemas.openxmlformats.org/officeDocument/2006/relationships/hyperlink" Target="mailto:kelly.minichello@mass.gov"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mailto:michael.barry3@mass.gov" TargetMode="External"/><Relationship Id="rId54" Type="http://schemas.openxmlformats.org/officeDocument/2006/relationships/hyperlink" Target="https://www.commbuys.com/bso/external/purchaseorder/poSummary.sdo?docId=PO-25-1080-OSD03-OSD03-33414&amp;releaseNbr=0&amp;external=true&amp;parentUrl=close" TargetMode="External"/><Relationship Id="rId62" Type="http://schemas.openxmlformats.org/officeDocument/2006/relationships/hyperlink" Target="https://www.commbuys.com/bso/external/purchaseorder/poSummary.sdo?docId=PO-25-1080-OSD03-OSD03-33547&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www.commbuys.com/" TargetMode="External"/><Relationship Id="rId3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9" Type="http://schemas.openxmlformats.org/officeDocument/2006/relationships/hyperlink" Target="mailto:Comptroller.Info@mass.gov" TargetMode="External"/><Relationship Id="rId57" Type="http://schemas.openxmlformats.org/officeDocument/2006/relationships/hyperlink" Target="mailto:kelly.minichello@mass.gov" TargetMode="External"/><Relationship Id="rId10" Type="http://schemas.openxmlformats.org/officeDocument/2006/relationships/endnotes" Target="endnotes.xml"/><Relationship Id="rId3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4" Type="http://schemas.openxmlformats.org/officeDocument/2006/relationships/hyperlink" Target="https://www.mass.gov/renewable-energy-portfolio-standard" TargetMode="External"/><Relationship Id="rId52" Type="http://schemas.openxmlformats.org/officeDocument/2006/relationships/hyperlink" Target="https://www.commbuys.com/bso/external/purchaseorder/poSummary.sdo?docId=PO-25-1080-OSD03-OSD03-33414&amp;releaseNbr=0&amp;external=true&amp;parentUrl=close" TargetMode="External"/><Relationship Id="rId60" Type="http://schemas.openxmlformats.org/officeDocument/2006/relationships/hyperlink" Target="https://www.commbuys.com/bso/external/purchaseorder/poSummary.sdo?docId=PO-25-1080-OSD03-OSD03-33547&amp;releaseNbr=0&amp;external=true&amp;parentUrl=close" TargetMode="External"/><Relationship Id="rId65" Type="http://schemas.openxmlformats.org/officeDocument/2006/relationships/hyperlink" Target="mailto:james.razzaboni@nrg.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chael.barry3@mass.gov" TargetMode="External"/><Relationship Id="rId18" Type="http://schemas.openxmlformats.org/officeDocument/2006/relationships/footer" Target="footer2.xml"/><Relationship Id="rId39" Type="http://schemas.openxmlformats.org/officeDocument/2006/relationships/hyperlink" Target="mailto:michael.barry3@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d6ee9f50-18ec-4818-97aa-2747471add99"/>
    <ds:schemaRef ds:uri="http://purl.org/dc/dcmitype/"/>
    <ds:schemaRef ds:uri="http://purl.org/dc/te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F21AE613-A0F3-4184-B0D5-D41A284D1C0F}"/>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33</TotalTime>
  <Pages>14</Pages>
  <Words>3895</Words>
  <Characters>22205</Characters>
  <Application>Microsoft Office Word</Application>
  <DocSecurity>2</DocSecurity>
  <Lines>185</Lines>
  <Paragraphs>52</Paragraphs>
  <ScaleCrop>false</ScaleCrop>
  <Company>Commonwealth of Massachusetts</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Aillon, Catherine (OSD)</cp:lastModifiedBy>
  <cp:revision>28</cp:revision>
  <cp:lastPrinted>2025-03-26T02:19:00Z</cp:lastPrinted>
  <dcterms:created xsi:type="dcterms:W3CDTF">2025-09-25T14:27:00Z</dcterms:created>
  <dcterms:modified xsi:type="dcterms:W3CDTF">2025-09-25T20:42:00Z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