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0BE1" w:rsidRPr="00E004B9" w:rsidRDefault="00790BE1" w:rsidP="00790BE1">
      <w:pPr>
        <w:jc w:val="center"/>
      </w:pPr>
      <w:bookmarkStart w:id="0" w:name="_GoBack"/>
      <w:bookmarkEnd w:id="0"/>
      <w:r w:rsidRPr="00E004B9">
        <w:t>COMMONWEALTH OF MASSACHUSETTS</w:t>
      </w:r>
    </w:p>
    <w:p w:rsidR="00790BE1" w:rsidRPr="00D93D93" w:rsidRDefault="00790BE1" w:rsidP="00790BE1">
      <w:pPr>
        <w:spacing w:line="240" w:lineRule="auto"/>
        <w:ind w:left="4680"/>
        <w:rPr>
          <w:b/>
        </w:rPr>
      </w:pPr>
      <w:r w:rsidRPr="00D93D93">
        <w:rPr>
          <w:b/>
        </w:rPr>
        <w:t>Division of Administrative Law Appeals</w:t>
      </w:r>
    </w:p>
    <w:p w:rsidR="00790BE1" w:rsidRPr="00D93D93" w:rsidRDefault="00790BE1" w:rsidP="00790BE1">
      <w:pPr>
        <w:spacing w:line="240" w:lineRule="auto"/>
        <w:ind w:left="4680"/>
        <w:rPr>
          <w:b/>
        </w:rPr>
      </w:pPr>
      <w:r>
        <w:rPr>
          <w:b/>
        </w:rPr>
        <w:t>1 Congress</w:t>
      </w:r>
      <w:r w:rsidRPr="00D93D93">
        <w:rPr>
          <w:b/>
        </w:rPr>
        <w:t xml:space="preserve"> Street, </w:t>
      </w:r>
      <w:r>
        <w:rPr>
          <w:b/>
        </w:rPr>
        <w:t>11</w:t>
      </w:r>
      <w:r w:rsidRPr="00D93D93">
        <w:rPr>
          <w:b/>
        </w:rPr>
        <w:t>th Floor</w:t>
      </w:r>
    </w:p>
    <w:p w:rsidR="00790BE1" w:rsidRPr="00D93D93" w:rsidRDefault="00790BE1" w:rsidP="00790BE1">
      <w:pPr>
        <w:spacing w:line="240" w:lineRule="auto"/>
        <w:ind w:left="4680"/>
        <w:rPr>
          <w:b/>
        </w:rPr>
      </w:pPr>
      <w:r w:rsidRPr="00D93D93">
        <w:rPr>
          <w:b/>
        </w:rPr>
        <w:t>Boston, MA 02114</w:t>
      </w:r>
    </w:p>
    <w:p w:rsidR="00790BE1" w:rsidRPr="00D93D93" w:rsidRDefault="00790BE1" w:rsidP="00790BE1">
      <w:pPr>
        <w:spacing w:line="240" w:lineRule="auto"/>
        <w:ind w:left="4680"/>
        <w:rPr>
          <w:b/>
        </w:rPr>
      </w:pPr>
      <w:r w:rsidRPr="00D93D93">
        <w:rPr>
          <w:b/>
        </w:rPr>
        <w:t>www.mass.gov/dala</w:t>
      </w:r>
    </w:p>
    <w:p w:rsidR="00790BE1" w:rsidRPr="00E004B9" w:rsidRDefault="00790BE1" w:rsidP="00790BE1">
      <w:pPr>
        <w:spacing w:line="240" w:lineRule="auto"/>
      </w:pPr>
    </w:p>
    <w:p w:rsidR="00790BE1" w:rsidRPr="00E004B9" w:rsidRDefault="00EB45B7" w:rsidP="00790BE1">
      <w:pPr>
        <w:spacing w:line="240" w:lineRule="auto"/>
      </w:pPr>
      <w:r>
        <w:rPr>
          <w:b/>
        </w:rPr>
        <w:t>Maureen England</w:t>
      </w:r>
      <w:r w:rsidR="00790BE1" w:rsidRPr="00E004B9">
        <w:t>,</w:t>
      </w:r>
    </w:p>
    <w:p w:rsidR="00790BE1" w:rsidRPr="00E004B9" w:rsidRDefault="00790BE1" w:rsidP="00790BE1">
      <w:pPr>
        <w:spacing w:line="240" w:lineRule="auto"/>
      </w:pPr>
      <w:r w:rsidRPr="00E004B9">
        <w:t>Petitioner</w:t>
      </w:r>
    </w:p>
    <w:p w:rsidR="00790BE1" w:rsidRPr="00E004B9" w:rsidRDefault="00790BE1" w:rsidP="00790BE1">
      <w:pPr>
        <w:spacing w:line="240" w:lineRule="auto"/>
      </w:pPr>
    </w:p>
    <w:p w:rsidR="00790BE1" w:rsidRDefault="00790BE1" w:rsidP="00790BE1">
      <w:pPr>
        <w:spacing w:line="240" w:lineRule="auto"/>
      </w:pPr>
      <w:r w:rsidRPr="00E004B9">
        <w:t xml:space="preserve">v.                                                                           Docket No. </w:t>
      </w:r>
      <w:r w:rsidR="00EB45B7">
        <w:t>CR-17-653</w:t>
      </w:r>
    </w:p>
    <w:p w:rsidR="00790BE1" w:rsidRPr="00E004B9" w:rsidRDefault="00790BE1" w:rsidP="00790BE1">
      <w:pPr>
        <w:spacing w:line="240" w:lineRule="auto"/>
      </w:pPr>
    </w:p>
    <w:p w:rsidR="00790BE1" w:rsidRPr="00E004B9" w:rsidRDefault="00EB45B7" w:rsidP="00790BE1">
      <w:pPr>
        <w:spacing w:line="240" w:lineRule="auto"/>
      </w:pPr>
      <w:r>
        <w:rPr>
          <w:b/>
        </w:rPr>
        <w:t>State Board of Retirement</w:t>
      </w:r>
      <w:r w:rsidR="00790BE1" w:rsidRPr="00E004B9">
        <w:t>,</w:t>
      </w:r>
    </w:p>
    <w:p w:rsidR="00790BE1" w:rsidRDefault="00790BE1" w:rsidP="00790BE1">
      <w:pPr>
        <w:spacing w:line="240" w:lineRule="auto"/>
      </w:pPr>
      <w:r w:rsidRPr="00E004B9">
        <w:t xml:space="preserve">Respondent         </w:t>
      </w:r>
    </w:p>
    <w:p w:rsidR="00790BE1" w:rsidRDefault="00790BE1" w:rsidP="00790BE1">
      <w:pPr>
        <w:spacing w:line="240" w:lineRule="auto"/>
      </w:pPr>
    </w:p>
    <w:p w:rsidR="00790BE1" w:rsidRPr="00FD3CDE" w:rsidRDefault="00790BE1" w:rsidP="00790BE1">
      <w:pPr>
        <w:spacing w:line="240" w:lineRule="auto"/>
      </w:pPr>
      <w:r w:rsidRPr="00CF06CA">
        <w:rPr>
          <w:b/>
        </w:rPr>
        <w:t>Appearance for Petitioner</w:t>
      </w:r>
      <w:r w:rsidRPr="00FD3CDE">
        <w:t>:</w:t>
      </w:r>
      <w:r w:rsidRPr="00FD3CDE">
        <w:tab/>
      </w:r>
      <w:r w:rsidRPr="00FD3CDE">
        <w:tab/>
      </w:r>
      <w:r w:rsidRPr="00FD3CDE">
        <w:tab/>
      </w:r>
    </w:p>
    <w:p w:rsidR="00790BE1" w:rsidRDefault="00790BE1" w:rsidP="00790BE1">
      <w:pPr>
        <w:spacing w:line="240" w:lineRule="auto"/>
        <w:rPr>
          <w:highlight w:val="lightGray"/>
        </w:rPr>
      </w:pPr>
    </w:p>
    <w:p w:rsidR="00EB45B7" w:rsidRDefault="00EB45B7" w:rsidP="00790BE1">
      <w:pPr>
        <w:spacing w:line="240" w:lineRule="auto"/>
        <w:ind w:left="720"/>
      </w:pPr>
      <w:r>
        <w:t>Maureen England</w:t>
      </w:r>
    </w:p>
    <w:p w:rsidR="00EB45B7" w:rsidRDefault="00EB45B7" w:rsidP="00790BE1">
      <w:pPr>
        <w:spacing w:line="240" w:lineRule="auto"/>
        <w:ind w:left="720"/>
      </w:pPr>
      <w:r>
        <w:t>28 Newcomb Street</w:t>
      </w:r>
    </w:p>
    <w:p w:rsidR="00EB45B7" w:rsidRPr="005B7797" w:rsidRDefault="00EB45B7" w:rsidP="00790BE1">
      <w:pPr>
        <w:spacing w:line="240" w:lineRule="auto"/>
        <w:ind w:left="720"/>
      </w:pPr>
      <w:r>
        <w:t>Norton, MA 02766</w:t>
      </w:r>
    </w:p>
    <w:p w:rsidR="00790BE1" w:rsidRPr="00FD3CDE" w:rsidRDefault="00790BE1" w:rsidP="00790BE1">
      <w:pPr>
        <w:spacing w:line="240" w:lineRule="auto"/>
        <w:rPr>
          <w:highlight w:val="lightGray"/>
        </w:rPr>
      </w:pPr>
    </w:p>
    <w:p w:rsidR="00790BE1" w:rsidRPr="00FD3CDE" w:rsidRDefault="00790BE1" w:rsidP="00790BE1">
      <w:pPr>
        <w:spacing w:line="240" w:lineRule="auto"/>
      </w:pPr>
      <w:r w:rsidRPr="00CF06CA">
        <w:rPr>
          <w:b/>
        </w:rPr>
        <w:t>Appearance for Respondent</w:t>
      </w:r>
      <w:r w:rsidRPr="00FD3CDE">
        <w:t>:</w:t>
      </w:r>
      <w:r w:rsidRPr="00FD3CDE">
        <w:tab/>
      </w:r>
      <w:r w:rsidRPr="00FD3CDE">
        <w:tab/>
      </w:r>
      <w:r w:rsidRPr="00FD3CDE">
        <w:tab/>
      </w:r>
    </w:p>
    <w:p w:rsidR="00790BE1" w:rsidRPr="00FD3CDE" w:rsidRDefault="00790BE1" w:rsidP="00790BE1">
      <w:pPr>
        <w:spacing w:line="240" w:lineRule="auto"/>
      </w:pPr>
    </w:p>
    <w:p w:rsidR="00790BE1" w:rsidRDefault="00744738" w:rsidP="0061274C">
      <w:pPr>
        <w:spacing w:line="240" w:lineRule="auto"/>
        <w:ind w:right="720" w:firstLine="720"/>
      </w:pPr>
      <w:r>
        <w:t>James Salvie</w:t>
      </w:r>
      <w:r w:rsidR="004E19CD">
        <w:t>, Esq.</w:t>
      </w:r>
    </w:p>
    <w:p w:rsidR="006E2726" w:rsidRDefault="006E2726" w:rsidP="0061274C">
      <w:pPr>
        <w:spacing w:line="240" w:lineRule="auto"/>
        <w:ind w:right="720" w:firstLine="720"/>
      </w:pPr>
      <w:r>
        <w:t xml:space="preserve">Lori </w:t>
      </w:r>
      <w:proofErr w:type="spellStart"/>
      <w:r>
        <w:t>Krusell</w:t>
      </w:r>
      <w:proofErr w:type="spellEnd"/>
      <w:r>
        <w:t>, Esq.</w:t>
      </w:r>
      <w:r w:rsidR="00AD0DDB">
        <w:rPr>
          <w:rStyle w:val="FootnoteReference"/>
        </w:rPr>
        <w:footnoteReference w:id="1"/>
      </w:r>
    </w:p>
    <w:p w:rsidR="004E19CD" w:rsidRDefault="004E19CD" w:rsidP="00790BE1">
      <w:pPr>
        <w:spacing w:line="240" w:lineRule="auto"/>
        <w:ind w:firstLine="720"/>
      </w:pPr>
      <w:r>
        <w:t>State Board of Retirement</w:t>
      </w:r>
    </w:p>
    <w:p w:rsidR="004E19CD" w:rsidRDefault="004E19CD" w:rsidP="00790BE1">
      <w:pPr>
        <w:spacing w:line="240" w:lineRule="auto"/>
        <w:ind w:firstLine="720"/>
      </w:pPr>
      <w:r>
        <w:t>One Winter Street, 8th Floor</w:t>
      </w:r>
    </w:p>
    <w:p w:rsidR="004E19CD" w:rsidRDefault="004E19CD" w:rsidP="00790BE1">
      <w:pPr>
        <w:spacing w:line="240" w:lineRule="auto"/>
        <w:ind w:firstLine="720"/>
      </w:pPr>
      <w:r>
        <w:t>Boston, MA 02108</w:t>
      </w:r>
    </w:p>
    <w:p w:rsidR="00790BE1" w:rsidRPr="00FD3CDE" w:rsidRDefault="00790BE1" w:rsidP="00790BE1">
      <w:pPr>
        <w:spacing w:line="240" w:lineRule="auto"/>
      </w:pPr>
    </w:p>
    <w:p w:rsidR="00790BE1" w:rsidRPr="00FD3CDE" w:rsidRDefault="00790BE1" w:rsidP="00790BE1">
      <w:pPr>
        <w:spacing w:line="240" w:lineRule="auto"/>
      </w:pPr>
      <w:r w:rsidRPr="00CF06CA">
        <w:rPr>
          <w:b/>
        </w:rPr>
        <w:t>Administrative Magistrate</w:t>
      </w:r>
      <w:r w:rsidRPr="00FD3CDE">
        <w:t>:</w:t>
      </w:r>
      <w:r w:rsidRPr="00FD3CDE">
        <w:tab/>
      </w:r>
      <w:r w:rsidRPr="00FD3CDE">
        <w:tab/>
      </w:r>
      <w:r w:rsidRPr="00FD3CDE">
        <w:tab/>
      </w:r>
    </w:p>
    <w:p w:rsidR="00790BE1" w:rsidRPr="00FD3CDE" w:rsidRDefault="00790BE1" w:rsidP="00790BE1">
      <w:pPr>
        <w:spacing w:line="240" w:lineRule="auto"/>
      </w:pPr>
    </w:p>
    <w:p w:rsidR="00790BE1" w:rsidRPr="000D620E" w:rsidRDefault="00790BE1" w:rsidP="00790BE1">
      <w:pPr>
        <w:ind w:firstLine="720"/>
      </w:pPr>
      <w:r w:rsidRPr="000D620E">
        <w:t xml:space="preserve">Kenneth Bresler                                          </w:t>
      </w:r>
    </w:p>
    <w:p w:rsidR="00790BE1" w:rsidRDefault="00790BE1" w:rsidP="00790B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jc w:val="center"/>
        <w:rPr>
          <w:b/>
        </w:rPr>
      </w:pPr>
      <w:r w:rsidRPr="0082171C">
        <w:rPr>
          <w:b/>
        </w:rPr>
        <w:t>SUMMARY OF DECISION</w:t>
      </w:r>
    </w:p>
    <w:p w:rsidR="00790BE1" w:rsidRDefault="00790BE1" w:rsidP="00790B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jc w:val="center"/>
        <w:rPr>
          <w:b/>
        </w:rPr>
      </w:pPr>
    </w:p>
    <w:p w:rsidR="00790BE1" w:rsidRPr="0061274C" w:rsidRDefault="0061274C" w:rsidP="0061274C">
      <w:pPr>
        <w:tabs>
          <w:tab w:val="left" w:pos="-1170"/>
          <w:tab w:val="left" w:pos="720"/>
          <w:tab w:val="left" w:pos="1440"/>
          <w:tab w:val="left" w:pos="2160"/>
          <w:tab w:val="left" w:pos="2880"/>
          <w:tab w:val="left" w:pos="3600"/>
          <w:tab w:val="left" w:pos="4320"/>
          <w:tab w:val="left" w:pos="5040"/>
          <w:tab w:val="left" w:pos="5760"/>
          <w:tab w:val="left" w:pos="6480"/>
          <w:tab w:val="left" w:pos="7200"/>
          <w:tab w:val="left" w:pos="7920"/>
          <w:tab w:val="right" w:pos="10080"/>
        </w:tabs>
        <w:spacing w:line="240" w:lineRule="auto"/>
        <w:ind w:left="720"/>
      </w:pPr>
      <w:r>
        <w:t>The denial of the petitioner’s application for Group 2 classification is affirmed because fewer than half of the people she was in contact with were mentally ill; she was in contact with them for less than half of her working time; and she did not prove that they were in her care, custody, or supervision.</w:t>
      </w:r>
    </w:p>
    <w:p w:rsidR="0061274C" w:rsidRDefault="0061274C" w:rsidP="00790B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rPr>
          <w:b/>
        </w:rPr>
      </w:pPr>
    </w:p>
    <w:p w:rsidR="00790BE1" w:rsidRPr="00E004B9" w:rsidRDefault="00790BE1" w:rsidP="0061274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u w:val="single"/>
        </w:rPr>
      </w:pPr>
      <w:r w:rsidRPr="00E004B9">
        <w:rPr>
          <w:b/>
        </w:rPr>
        <w:t>DECISION</w:t>
      </w:r>
    </w:p>
    <w:p w:rsidR="00790BE1" w:rsidRDefault="00790BE1" w:rsidP="0061274C">
      <w:pPr>
        <w:widowControl w:val="0"/>
      </w:pPr>
      <w:r w:rsidRPr="00E004B9">
        <w:tab/>
      </w:r>
      <w:r>
        <w:t xml:space="preserve">The petitioner, </w:t>
      </w:r>
      <w:r w:rsidR="0061274C">
        <w:t>Maureen England</w:t>
      </w:r>
      <w:r>
        <w:t xml:space="preserve">, </w:t>
      </w:r>
      <w:r w:rsidR="0061274C">
        <w:t xml:space="preserve">appeals the denial by the State Board of Retirement </w:t>
      </w:r>
      <w:r w:rsidR="00AD5C27">
        <w:lastRenderedPageBreak/>
        <w:t xml:space="preserve">(SBR) </w:t>
      </w:r>
      <w:r w:rsidR="0061274C">
        <w:t>of her application for Group 2 classification.</w:t>
      </w:r>
    </w:p>
    <w:p w:rsidR="00790BE1" w:rsidRDefault="00790BE1" w:rsidP="00790BE1">
      <w:r>
        <w:tab/>
        <w:t xml:space="preserve">I held a hearing on </w:t>
      </w:r>
      <w:r w:rsidR="004E19CD">
        <w:t>June 19, 2018</w:t>
      </w:r>
      <w:r w:rsidR="00210C9F">
        <w:t>, which I recorded digitally and which was transcribed. I cite the transcript as “Tr. __.”</w:t>
      </w:r>
      <w:r w:rsidR="0010375D">
        <w:t xml:space="preserve"> </w:t>
      </w:r>
      <w:r w:rsidR="004E19CD">
        <w:t>Ms. England</w:t>
      </w:r>
      <w:r w:rsidR="0010375D">
        <w:t xml:space="preserve"> represented herself,</w:t>
      </w:r>
      <w:r>
        <w:t xml:space="preserve"> testified, and called no other witness. </w:t>
      </w:r>
    </w:p>
    <w:p w:rsidR="00790BE1" w:rsidRDefault="00790BE1" w:rsidP="00790BE1">
      <w:r>
        <w:tab/>
        <w:t xml:space="preserve">I </w:t>
      </w:r>
      <w:r w:rsidR="00AC06C3">
        <w:t xml:space="preserve">admitted seven </w:t>
      </w:r>
      <w:r>
        <w:t>exhibits</w:t>
      </w:r>
      <w:r w:rsidR="006B3091">
        <w:t xml:space="preserve"> at the hearing. </w:t>
      </w:r>
      <w:proofErr w:type="gramStart"/>
      <w:r w:rsidR="00AC06C3">
        <w:t xml:space="preserve">(Tr. </w:t>
      </w:r>
      <w:r w:rsidR="00CF0433">
        <w:t xml:space="preserve">7-8, </w:t>
      </w:r>
      <w:r w:rsidR="00226941">
        <w:t>18</w:t>
      </w:r>
      <w:r w:rsidR="00CF0433">
        <w:t>.)</w:t>
      </w:r>
      <w:proofErr w:type="gramEnd"/>
      <w:r w:rsidR="00CF0433">
        <w:t xml:space="preserve"> </w:t>
      </w:r>
      <w:r w:rsidR="006B3091">
        <w:t>Ms. England arrived at the hearing with a few documents that she hoped to introduce. She had not provided copies to SBR or to me</w:t>
      </w:r>
      <w:r w:rsidR="00B70FA4">
        <w:t>, did not notify SBR or me that she planned to bring documents</w:t>
      </w:r>
      <w:r w:rsidR="003F2C7B">
        <w:t xml:space="preserve"> that she was supposed to submit by October 31, 2017 with her prehearing memorandum, and did not have copies. I allowed her </w:t>
      </w:r>
      <w:r w:rsidR="00920A09">
        <w:t xml:space="preserve">to </w:t>
      </w:r>
      <w:r w:rsidR="003F2C7B">
        <w:t xml:space="preserve">introduce one document as </w:t>
      </w:r>
      <w:r w:rsidR="00CF0433">
        <w:t>an exhibit</w:t>
      </w:r>
      <w:r w:rsidR="003F2C7B">
        <w:t xml:space="preserve"> if she mailed it to me after the hearing. </w:t>
      </w:r>
      <w:proofErr w:type="gramStart"/>
      <w:r w:rsidR="00EC2FA4">
        <w:t>(Tr. 16.)</w:t>
      </w:r>
      <w:proofErr w:type="gramEnd"/>
      <w:r w:rsidR="00EC2FA4">
        <w:t xml:space="preserve"> </w:t>
      </w:r>
      <w:r w:rsidR="003F2C7B">
        <w:t>She did not do</w:t>
      </w:r>
      <w:r w:rsidR="00920A09">
        <w:t xml:space="preserve"> so</w:t>
      </w:r>
      <w:r w:rsidR="003F2C7B">
        <w:t>. Therefore, I do</w:t>
      </w:r>
      <w:r w:rsidR="00AD0DDB">
        <w:t xml:space="preserve"> not</w:t>
      </w:r>
      <w:r w:rsidR="003F2C7B">
        <w:t xml:space="preserve"> (and cannot) admit it as an exhibit.</w:t>
      </w:r>
      <w:r w:rsidR="00CF0433">
        <w:t xml:space="preserve"> (Had I admitted it, it would have Exhibit 8, even though I referred to it as Exhibit 7. </w:t>
      </w:r>
      <w:proofErr w:type="gramStart"/>
      <w:r w:rsidR="00CF0433">
        <w:t xml:space="preserve">(Tr. </w:t>
      </w:r>
      <w:r w:rsidR="00EC2FA4">
        <w:t>16.))</w:t>
      </w:r>
      <w:proofErr w:type="gramEnd"/>
      <w:r w:rsidR="00B70FA4">
        <w:t xml:space="preserve"> </w:t>
      </w:r>
    </w:p>
    <w:p w:rsidR="00790BE1" w:rsidRDefault="00790BE1" w:rsidP="00790BE1">
      <w:r>
        <w:tab/>
      </w:r>
      <w:r w:rsidR="0010375D" w:rsidRPr="0010375D">
        <w:t>SBR</w:t>
      </w:r>
      <w:r w:rsidRPr="0010375D">
        <w:t xml:space="preserve"> submitted </w:t>
      </w:r>
      <w:r w:rsidR="0010375D" w:rsidRPr="0010375D">
        <w:t xml:space="preserve">a </w:t>
      </w:r>
      <w:r w:rsidRPr="0010375D">
        <w:t xml:space="preserve">post-hearing brief. </w:t>
      </w:r>
      <w:r w:rsidR="0010375D">
        <w:t xml:space="preserve">Instead of </w:t>
      </w:r>
      <w:r w:rsidR="00B60C6D">
        <w:t xml:space="preserve">a </w:t>
      </w:r>
      <w:r w:rsidR="0010375D">
        <w:t>brief, Ms. England chose to give an oral closing statement at the end of the hearing.</w:t>
      </w:r>
    </w:p>
    <w:p w:rsidR="00790BE1" w:rsidRDefault="00790BE1" w:rsidP="00790BE1">
      <w:pPr>
        <w:jc w:val="center"/>
        <w:rPr>
          <w:b/>
        </w:rPr>
      </w:pPr>
      <w:r w:rsidRPr="00E004B9">
        <w:rPr>
          <w:b/>
        </w:rPr>
        <w:t>Findings of Fact</w:t>
      </w:r>
    </w:p>
    <w:p w:rsidR="00607290" w:rsidRDefault="00607290" w:rsidP="00790BE1">
      <w:r>
        <w:tab/>
      </w:r>
      <w:r w:rsidR="00255A4C">
        <w:t>1</w:t>
      </w:r>
      <w:r>
        <w:t xml:space="preserve">. </w:t>
      </w:r>
      <w:r w:rsidR="00AB3730">
        <w:t>Ms. England w</w:t>
      </w:r>
      <w:r>
        <w:t xml:space="preserve">orked </w:t>
      </w:r>
      <w:r w:rsidR="00AB3730">
        <w:t xml:space="preserve">at the Department of Mental Health </w:t>
      </w:r>
      <w:r w:rsidR="008479FA">
        <w:t xml:space="preserve">(DMH) </w:t>
      </w:r>
      <w:r w:rsidR="00AB3730">
        <w:t xml:space="preserve">from April 2014 through May 2017. </w:t>
      </w:r>
      <w:proofErr w:type="gramStart"/>
      <w:r w:rsidR="00AB3730">
        <w:t>(Ex. 3</w:t>
      </w:r>
      <w:r w:rsidR="003E1670">
        <w:t>;</w:t>
      </w:r>
      <w:r w:rsidR="00AB3730">
        <w:t xml:space="preserve"> </w:t>
      </w:r>
      <w:r w:rsidR="00C353A0">
        <w:t>Tr. 43.)</w:t>
      </w:r>
      <w:proofErr w:type="gramEnd"/>
    </w:p>
    <w:p w:rsidR="008A3D20" w:rsidRDefault="00BB40F3" w:rsidP="00790BE1">
      <w:r>
        <w:tab/>
      </w:r>
      <w:r w:rsidR="00255A4C">
        <w:t>2</w:t>
      </w:r>
      <w:r>
        <w:t xml:space="preserve">. </w:t>
      </w:r>
      <w:r w:rsidR="00AB3730">
        <w:t xml:space="preserve">Ms. England’s office was </w:t>
      </w:r>
      <w:r>
        <w:t xml:space="preserve">in </w:t>
      </w:r>
      <w:r w:rsidR="00C61FC4">
        <w:t xml:space="preserve">or next to </w:t>
      </w:r>
      <w:r w:rsidR="00AB3730">
        <w:t>Pocasset Mental Heal</w:t>
      </w:r>
      <w:r>
        <w:t>th Day Hospital</w:t>
      </w:r>
      <w:r w:rsidR="003E1670">
        <w:t>, also known as the Cape and Islands Mental Health Center, in Pocasset</w:t>
      </w:r>
      <w:r>
        <w:t xml:space="preserve">. </w:t>
      </w:r>
      <w:proofErr w:type="gramStart"/>
      <w:r>
        <w:t>(</w:t>
      </w:r>
      <w:r w:rsidR="003E1670">
        <w:t xml:space="preserve">Ex. 2; </w:t>
      </w:r>
      <w:r>
        <w:t xml:space="preserve">Tr. </w:t>
      </w:r>
      <w:r w:rsidR="008A3D20">
        <w:t>24</w:t>
      </w:r>
      <w:r w:rsidR="00C61FC4">
        <w:t>, 73</w:t>
      </w:r>
      <w:r w:rsidR="008A3D20">
        <w:t>.)</w:t>
      </w:r>
      <w:proofErr w:type="gramEnd"/>
      <w:r w:rsidR="00AB3730">
        <w:t xml:space="preserve"> </w:t>
      </w:r>
    </w:p>
    <w:p w:rsidR="003E1670" w:rsidRDefault="003E1670" w:rsidP="00790BE1">
      <w:r>
        <w:tab/>
      </w:r>
      <w:r w:rsidR="00255A4C">
        <w:t>3</w:t>
      </w:r>
      <w:r>
        <w:t xml:space="preserve">. Ms. England was a </w:t>
      </w:r>
      <w:r w:rsidR="0049278B">
        <w:t>Mental Health Coordinator I. That position, in turn, had two sub-positions;</w:t>
      </w:r>
      <w:r>
        <w:t xml:space="preserve"> she was </w:t>
      </w:r>
      <w:r w:rsidR="0049278B">
        <w:t>a Family Support S</w:t>
      </w:r>
      <w:r>
        <w:t xml:space="preserve">pecialist. </w:t>
      </w:r>
      <w:proofErr w:type="gramStart"/>
      <w:r>
        <w:t>(Tr. 24.)</w:t>
      </w:r>
      <w:proofErr w:type="gramEnd"/>
    </w:p>
    <w:p w:rsidR="00B9589D" w:rsidRDefault="00B9589D" w:rsidP="00B9589D">
      <w:r>
        <w:tab/>
      </w:r>
      <w:r w:rsidR="00255A4C">
        <w:t>4</w:t>
      </w:r>
      <w:r>
        <w:t>. Accord</w:t>
      </w:r>
      <w:r w:rsidR="00AD0DDB">
        <w:t>ing</w:t>
      </w:r>
      <w:r>
        <w:t xml:space="preserve"> to the General Statement of Duties and Responsibilities on Form 30, a Mental Health Coordinator I</w:t>
      </w:r>
    </w:p>
    <w:p w:rsidR="00B9589D" w:rsidRDefault="00B9589D" w:rsidP="00B9589D">
      <w:pPr>
        <w:spacing w:line="240" w:lineRule="auto"/>
        <w:ind w:left="720" w:right="720"/>
      </w:pPr>
      <w:proofErr w:type="gramStart"/>
      <w:r>
        <w:t>provide[</w:t>
      </w:r>
      <w:proofErr w:type="gramEnd"/>
      <w:r>
        <w:t xml:space="preserve">s] families of youth in crisis[ ] outreach support, community resource information, advocacy, psycho-educational interventions and linkages to support </w:t>
      </w:r>
      <w:r>
        <w:lastRenderedPageBreak/>
        <w:t>youth and families in resolving the crisis and connect with or refer to on-going service providers.</w:t>
      </w:r>
      <w:r>
        <w:tab/>
      </w:r>
    </w:p>
    <w:p w:rsidR="00B9589D" w:rsidRDefault="00B9589D" w:rsidP="00B9589D">
      <w:pPr>
        <w:spacing w:line="240" w:lineRule="auto"/>
        <w:ind w:left="720" w:right="720"/>
      </w:pPr>
    </w:p>
    <w:p w:rsidR="00B9589D" w:rsidRDefault="00B9589D" w:rsidP="00B9589D">
      <w:proofErr w:type="gramStart"/>
      <w:r>
        <w:t>(Ex. 3, p. 3.)</w:t>
      </w:r>
      <w:proofErr w:type="gramEnd"/>
    </w:p>
    <w:p w:rsidR="00B9589D" w:rsidRDefault="00B9589D" w:rsidP="00B9589D">
      <w:r>
        <w:tab/>
      </w:r>
      <w:r w:rsidR="00255A4C">
        <w:t>5</w:t>
      </w:r>
      <w:r>
        <w:t xml:space="preserve">. The Detailed Statement of Duties and Responsibilities </w:t>
      </w:r>
      <w:r w:rsidR="00AD5C27">
        <w:t xml:space="preserve">for a Mental Health Coordinator I </w:t>
      </w:r>
      <w:r>
        <w:t>has 15 items. Eight concern families, parents, guardians, and/or caretakers. One concerns “youth and family.” One item is to “[p]</w:t>
      </w:r>
      <w:proofErr w:type="spellStart"/>
      <w:r>
        <w:t>rovide</w:t>
      </w:r>
      <w:proofErr w:type="spellEnd"/>
      <w:r>
        <w:t xml:space="preserve"> direct care brief interventions” </w:t>
      </w:r>
      <w:proofErr w:type="gramStart"/>
      <w:r>
        <w:t>-  presumably</w:t>
      </w:r>
      <w:proofErr w:type="gramEnd"/>
      <w:r>
        <w:t xml:space="preserve"> to youth. </w:t>
      </w:r>
      <w:proofErr w:type="gramStart"/>
      <w:r>
        <w:t>(Ex. 3, p. 3.)</w:t>
      </w:r>
      <w:r w:rsidR="00F91AEC">
        <w:t>.</w:t>
      </w:r>
      <w:proofErr w:type="gramEnd"/>
      <w:r w:rsidR="00F91AEC">
        <w:t xml:space="preserve"> </w:t>
      </w:r>
      <w:r w:rsidR="00A40A22">
        <w:t>That is, most of the stated duties of a Mental Health Coordinator I did not include providing direct services to people.</w:t>
      </w:r>
    </w:p>
    <w:p w:rsidR="00B9589D" w:rsidRDefault="00255A4C" w:rsidP="00A40A22">
      <w:pPr>
        <w:ind w:firstLine="720"/>
      </w:pPr>
      <w:r>
        <w:t>6</w:t>
      </w:r>
      <w:r w:rsidR="005B1879">
        <w:t xml:space="preserve">. </w:t>
      </w:r>
      <w:r w:rsidR="00A40A22">
        <w:t>Many of Ms. England’s duties were office-based, using the telephone to f</w:t>
      </w:r>
      <w:r w:rsidR="005B1879">
        <w:t xml:space="preserve">ind services for </w:t>
      </w:r>
      <w:r w:rsidR="00A40A22">
        <w:t>clients</w:t>
      </w:r>
      <w:r w:rsidR="00397F1D">
        <w:t xml:space="preserve">, and communicating </w:t>
      </w:r>
      <w:r w:rsidR="00A40A22">
        <w:t xml:space="preserve">with </w:t>
      </w:r>
      <w:r w:rsidR="00397F1D">
        <w:t xml:space="preserve">parents, agencies, and </w:t>
      </w:r>
      <w:r w:rsidR="00A40A22">
        <w:t>insurance companies</w:t>
      </w:r>
      <w:r w:rsidR="00397F1D">
        <w:t>.</w:t>
      </w:r>
      <w:r w:rsidR="00AD5C27">
        <w:t xml:space="preserve"> </w:t>
      </w:r>
      <w:proofErr w:type="gramStart"/>
      <w:r w:rsidR="00A40A22">
        <w:t xml:space="preserve">(Tr. </w:t>
      </w:r>
      <w:r w:rsidR="00397F1D">
        <w:t xml:space="preserve">29, </w:t>
      </w:r>
      <w:r w:rsidR="00A40A22">
        <w:t>54.)</w:t>
      </w:r>
      <w:proofErr w:type="gramEnd"/>
      <w:r w:rsidR="00A40A22">
        <w:t xml:space="preserve"> </w:t>
      </w:r>
    </w:p>
    <w:p w:rsidR="00BB40F3" w:rsidRDefault="0049278B" w:rsidP="00790BE1">
      <w:r>
        <w:tab/>
      </w:r>
      <w:r w:rsidR="00255A4C">
        <w:t>7</w:t>
      </w:r>
      <w:r>
        <w:t>. Ms. England worked</w:t>
      </w:r>
      <w:r w:rsidR="00083F03">
        <w:t xml:space="preserve"> the 11:30 p.m. to 10:00 a.m. shift </w:t>
      </w:r>
      <w:r>
        <w:t xml:space="preserve">on a </w:t>
      </w:r>
      <w:r w:rsidR="008A3D20">
        <w:t>Mobile Crisis Team</w:t>
      </w:r>
      <w:r w:rsidR="00083F03">
        <w:t>.</w:t>
      </w:r>
      <w:r w:rsidR="008A3D20">
        <w:t xml:space="preserve"> (Tr. 26-27.)</w:t>
      </w:r>
    </w:p>
    <w:p w:rsidR="00083F03" w:rsidRDefault="00083F03" w:rsidP="00083F03">
      <w:r>
        <w:tab/>
      </w:r>
      <w:r w:rsidR="00255A4C">
        <w:t>8</w:t>
      </w:r>
      <w:r>
        <w:t xml:space="preserve">. The other person on the team was a social worker. </w:t>
      </w:r>
      <w:proofErr w:type="gramStart"/>
      <w:r>
        <w:t>(Tr. 20, 21, 27.)</w:t>
      </w:r>
      <w:proofErr w:type="gramEnd"/>
      <w:r>
        <w:t xml:space="preserve"> </w:t>
      </w:r>
    </w:p>
    <w:p w:rsidR="00B6697C" w:rsidRDefault="00B11013" w:rsidP="00790BE1">
      <w:r>
        <w:tab/>
      </w:r>
      <w:r w:rsidR="00255A4C">
        <w:t>9</w:t>
      </w:r>
      <w:r>
        <w:t>. The Mobile Crisis Team</w:t>
      </w:r>
      <w:r w:rsidR="00B6697C">
        <w:t xml:space="preserve"> responded to children, </w:t>
      </w:r>
      <w:r w:rsidR="00607900">
        <w:t>defined as people up to 21 years old, who were having mental health crises.</w:t>
      </w:r>
      <w:r w:rsidR="005C2960">
        <w:t xml:space="preserve"> </w:t>
      </w:r>
      <w:proofErr w:type="gramStart"/>
      <w:r w:rsidR="00B6697C">
        <w:t>(Tr. 44.)</w:t>
      </w:r>
      <w:proofErr w:type="gramEnd"/>
    </w:p>
    <w:p w:rsidR="00255A4C" w:rsidRDefault="00255A4C" w:rsidP="00255A4C">
      <w:r>
        <w:tab/>
        <w:t xml:space="preserve">10. The mental health crises included having outbursts over homework. </w:t>
      </w:r>
      <w:proofErr w:type="gramStart"/>
      <w:r>
        <w:t>(Tr. 21.)</w:t>
      </w:r>
      <w:proofErr w:type="gramEnd"/>
    </w:p>
    <w:p w:rsidR="005C2960" w:rsidRDefault="005C2960" w:rsidP="00790BE1">
      <w:r>
        <w:tab/>
      </w:r>
      <w:r w:rsidR="00255A4C">
        <w:t>11</w:t>
      </w:r>
      <w:r>
        <w:t>. The children were in various places, such as</w:t>
      </w:r>
      <w:r w:rsidR="00AD5C27">
        <w:t xml:space="preserve"> their</w:t>
      </w:r>
      <w:r>
        <w:t xml:space="preserve"> home</w:t>
      </w:r>
      <w:r w:rsidR="00AD5C27">
        <w:t>s</w:t>
      </w:r>
      <w:r>
        <w:t xml:space="preserve">, </w:t>
      </w:r>
      <w:r w:rsidR="00AD5C27">
        <w:t xml:space="preserve">their </w:t>
      </w:r>
      <w:r>
        <w:t>school</w:t>
      </w:r>
      <w:r w:rsidR="00AD5C27">
        <w:t>s</w:t>
      </w:r>
      <w:r>
        <w:t>, and police stations.</w:t>
      </w:r>
      <w:r w:rsidR="00D33FB9">
        <w:t xml:space="preserve"> (</w:t>
      </w:r>
      <w:r w:rsidR="00F55FAB">
        <w:t xml:space="preserve">Tr. </w:t>
      </w:r>
      <w:r w:rsidR="00D33FB9">
        <w:t xml:space="preserve">51, </w:t>
      </w:r>
      <w:r w:rsidR="00F55FAB">
        <w:t>57</w:t>
      </w:r>
      <w:r w:rsidR="00D33FB9">
        <w:t xml:space="preserve">, </w:t>
      </w:r>
      <w:proofErr w:type="gramStart"/>
      <w:r w:rsidR="00D33FB9">
        <w:t>62 .)</w:t>
      </w:r>
      <w:proofErr w:type="gramEnd"/>
    </w:p>
    <w:p w:rsidR="00255A4C" w:rsidRDefault="00255A4C" w:rsidP="00790BE1">
      <w:r>
        <w:tab/>
        <w:t xml:space="preserve">12. Children in police stations were in the custody of the police, not DMH. </w:t>
      </w:r>
      <w:proofErr w:type="gramStart"/>
      <w:r>
        <w:t>(Tr. 62.)</w:t>
      </w:r>
      <w:proofErr w:type="gramEnd"/>
    </w:p>
    <w:p w:rsidR="001519BF" w:rsidRDefault="001519BF" w:rsidP="00AB3730">
      <w:r>
        <w:tab/>
      </w:r>
      <w:r w:rsidR="00255A4C">
        <w:t>13</w:t>
      </w:r>
      <w:r>
        <w:t xml:space="preserve">. </w:t>
      </w:r>
      <w:r w:rsidR="00E13217">
        <w:t>Approximately</w:t>
      </w:r>
      <w:r>
        <w:t xml:space="preserve"> 20 percent of the children she responded to were on the autism spectrum</w:t>
      </w:r>
      <w:r w:rsidR="00BF28E1">
        <w:t xml:space="preserve">. </w:t>
      </w:r>
      <w:proofErr w:type="gramStart"/>
      <w:r w:rsidR="00BF28E1">
        <w:t>(Tr. 47.)</w:t>
      </w:r>
      <w:proofErr w:type="gramEnd"/>
    </w:p>
    <w:p w:rsidR="00BF28E1" w:rsidRPr="00D34BFD" w:rsidRDefault="00BF28E1" w:rsidP="00AB3730">
      <w:r>
        <w:tab/>
      </w:r>
      <w:r w:rsidR="00255A4C">
        <w:t>14</w:t>
      </w:r>
      <w:r>
        <w:t xml:space="preserve">. </w:t>
      </w:r>
      <w:r w:rsidR="00E13217">
        <w:t>Approximately</w:t>
      </w:r>
      <w:r>
        <w:t xml:space="preserve"> 25 percent of the children she responded to were having drug problems. </w:t>
      </w:r>
      <w:proofErr w:type="gramStart"/>
      <w:r>
        <w:t>(Tr. 47.</w:t>
      </w:r>
      <w:r w:rsidR="00D34BFD">
        <w:t>)</w:t>
      </w:r>
      <w:proofErr w:type="gramEnd"/>
      <w:r w:rsidR="00D34BFD">
        <w:t xml:space="preserve"> </w:t>
      </w:r>
    </w:p>
    <w:p w:rsidR="00BF28E1" w:rsidRDefault="00BF28E1" w:rsidP="0008033F">
      <w:pPr>
        <w:widowControl w:val="0"/>
      </w:pPr>
      <w:r>
        <w:tab/>
      </w:r>
      <w:r w:rsidR="00255A4C">
        <w:t>15</w:t>
      </w:r>
      <w:r>
        <w:t xml:space="preserve">. </w:t>
      </w:r>
      <w:r w:rsidR="00E13217">
        <w:t>Approximately</w:t>
      </w:r>
      <w:r>
        <w:t xml:space="preserve"> 30 percent of the children she responded to were having emotional </w:t>
      </w:r>
      <w:r>
        <w:lastRenderedPageBreak/>
        <w:t xml:space="preserve">problems, such as outbursts over homework. </w:t>
      </w:r>
      <w:proofErr w:type="gramStart"/>
      <w:r>
        <w:t>(Tr. 30.)</w:t>
      </w:r>
      <w:proofErr w:type="gramEnd"/>
      <w:r w:rsidR="00D34BFD">
        <w:t xml:space="preserve"> They were probably not mentally ill. (Tr. 46-47.)</w:t>
      </w:r>
    </w:p>
    <w:p w:rsidR="006C48B9" w:rsidRDefault="006C48B9" w:rsidP="0008033F">
      <w:pPr>
        <w:widowControl w:val="0"/>
      </w:pPr>
      <w:r>
        <w:tab/>
      </w:r>
      <w:r w:rsidR="00255A4C">
        <w:t>16</w:t>
      </w:r>
      <w:r>
        <w:t>. Of the children on the autism spectrum</w:t>
      </w:r>
      <w:r w:rsidR="00A24117">
        <w:t xml:space="preserve"> and children having drug problems, </w:t>
      </w:r>
      <w:r w:rsidR="00E13217">
        <w:t>approximately</w:t>
      </w:r>
      <w:r>
        <w:t xml:space="preserve"> 10 to 15 percent were mentally ill. </w:t>
      </w:r>
      <w:proofErr w:type="gramStart"/>
      <w:r>
        <w:t>(Tr. 48.)</w:t>
      </w:r>
      <w:proofErr w:type="gramEnd"/>
      <w:r w:rsidR="002E7934">
        <w:rPr>
          <w:rStyle w:val="FootnoteReference"/>
        </w:rPr>
        <w:footnoteReference w:id="2"/>
      </w:r>
    </w:p>
    <w:p w:rsidR="001519BF" w:rsidRDefault="001519BF" w:rsidP="001519BF">
      <w:r>
        <w:tab/>
      </w:r>
      <w:r w:rsidR="00255A4C">
        <w:t>17</w:t>
      </w:r>
      <w:r>
        <w:t xml:space="preserve">. </w:t>
      </w:r>
      <w:r w:rsidR="00E13217">
        <w:t>Approximately</w:t>
      </w:r>
      <w:r>
        <w:t xml:space="preserve"> 30 to 40 percent of </w:t>
      </w:r>
      <w:r w:rsidR="009D229C">
        <w:t xml:space="preserve">the </w:t>
      </w:r>
      <w:r>
        <w:t xml:space="preserve">children </w:t>
      </w:r>
      <w:r w:rsidR="009D229C">
        <w:t xml:space="preserve">she responded to </w:t>
      </w:r>
      <w:r>
        <w:t xml:space="preserve">were bipolar or psychotic. </w:t>
      </w:r>
      <w:proofErr w:type="gramStart"/>
      <w:r>
        <w:t>(Tr. 49.)</w:t>
      </w:r>
      <w:proofErr w:type="gramEnd"/>
      <w:r w:rsidR="009D229C">
        <w:rPr>
          <w:rStyle w:val="FootnoteReference"/>
        </w:rPr>
        <w:footnoteReference w:id="3"/>
      </w:r>
    </w:p>
    <w:p w:rsidR="001519BF" w:rsidRDefault="00D33FB9" w:rsidP="001519BF">
      <w:r>
        <w:tab/>
      </w:r>
      <w:r w:rsidR="00255A4C">
        <w:t>18</w:t>
      </w:r>
      <w:r>
        <w:t xml:space="preserve">. Police departments on Cape Cod brought juvenile runaways to the Mobile Crisis Team, </w:t>
      </w:r>
      <w:r w:rsidR="00A40A22">
        <w:t>which would, in effect, babysit the juveniles until the correct agency picked them up. (Tr. 62-63.)</w:t>
      </w:r>
      <w:r w:rsidR="00A40A22">
        <w:rPr>
          <w:rStyle w:val="FootnoteReference"/>
        </w:rPr>
        <w:footnoteReference w:id="4"/>
      </w:r>
    </w:p>
    <w:p w:rsidR="00463BCF" w:rsidRDefault="00087EA0" w:rsidP="00790BE1">
      <w:r>
        <w:tab/>
      </w:r>
      <w:r w:rsidR="00255A4C">
        <w:t>19</w:t>
      </w:r>
      <w:r>
        <w:t xml:space="preserve">. Ms. England typically responded to one </w:t>
      </w:r>
      <w:r w:rsidR="0067749D">
        <w:t xml:space="preserve">crisis </w:t>
      </w:r>
      <w:r>
        <w:t>per shift.</w:t>
      </w:r>
      <w:r w:rsidR="0067749D">
        <w:t xml:space="preserve"> In some shifts, she responded to three crises. However, every two or three weeks, a shift would pass without her needing</w:t>
      </w:r>
      <w:r w:rsidR="00B654AB">
        <w:t xml:space="preserve"> to respond.</w:t>
      </w:r>
      <w:r w:rsidR="00463BCF">
        <w:t xml:space="preserve"> </w:t>
      </w:r>
      <w:proofErr w:type="gramStart"/>
      <w:r w:rsidR="00463BCF">
        <w:t>(Tr. 50.)</w:t>
      </w:r>
      <w:proofErr w:type="gramEnd"/>
      <w:r w:rsidR="00DB5E7B">
        <w:t xml:space="preserve"> </w:t>
      </w:r>
    </w:p>
    <w:p w:rsidR="00DB5E7B" w:rsidRDefault="00DB5E7B" w:rsidP="00790BE1">
      <w:r>
        <w:tab/>
      </w:r>
      <w:r w:rsidR="00255A4C">
        <w:t>20</w:t>
      </w:r>
      <w:r>
        <w:t xml:space="preserve">. </w:t>
      </w:r>
      <w:proofErr w:type="gramStart"/>
      <w:r w:rsidR="00B654AB">
        <w:t>Driving</w:t>
      </w:r>
      <w:proofErr w:type="gramEnd"/>
      <w:r w:rsidR="00B654AB">
        <w:t xml:space="preserve"> to</w:t>
      </w:r>
      <w:r w:rsidR="001F4F63">
        <w:t xml:space="preserve"> and from</w:t>
      </w:r>
      <w:r w:rsidR="00B654AB">
        <w:t xml:space="preserve"> the home of a child in crisis could take three hours</w:t>
      </w:r>
      <w:r w:rsidR="001F4F63">
        <w:t xml:space="preserve"> each way</w:t>
      </w:r>
      <w:r w:rsidR="00B654AB">
        <w:t>.</w:t>
      </w:r>
      <w:r w:rsidR="001F4F63">
        <w:t xml:space="preserve"> (</w:t>
      </w:r>
      <w:r>
        <w:t>Tr. 50-51.)</w:t>
      </w:r>
    </w:p>
    <w:p w:rsidR="000C7309" w:rsidRDefault="001F4F63" w:rsidP="001F4F63">
      <w:r>
        <w:tab/>
      </w:r>
      <w:r w:rsidR="004E5CF4">
        <w:t>21</w:t>
      </w:r>
      <w:r>
        <w:t>. When Ms. England responded to a crisis in a child’s home, she was typically there for two hours.</w:t>
      </w:r>
      <w:r w:rsidR="000C7309">
        <w:t xml:space="preserve"> </w:t>
      </w:r>
      <w:proofErr w:type="gramStart"/>
      <w:r w:rsidR="000C7309">
        <w:t>(Tr. 51.)</w:t>
      </w:r>
      <w:proofErr w:type="gramEnd"/>
    </w:p>
    <w:p w:rsidR="00772309" w:rsidRDefault="00772309" w:rsidP="001F4F63">
      <w:r>
        <w:tab/>
      </w:r>
      <w:r w:rsidR="004E5CF4">
        <w:t>22</w:t>
      </w:r>
      <w:r>
        <w:t>. Sixty percent of the children in crisis were hospitalized</w:t>
      </w:r>
      <w:r w:rsidR="00A40A22">
        <w:t xml:space="preserve"> after the Mobile Crisis Team’s visit</w:t>
      </w:r>
      <w:r>
        <w:t xml:space="preserve">. </w:t>
      </w:r>
      <w:proofErr w:type="gramStart"/>
      <w:r>
        <w:t>(Tr. 53.)</w:t>
      </w:r>
      <w:proofErr w:type="gramEnd"/>
    </w:p>
    <w:p w:rsidR="00774F12" w:rsidRDefault="000C7309" w:rsidP="00790BE1">
      <w:r>
        <w:lastRenderedPageBreak/>
        <w:tab/>
      </w:r>
      <w:r w:rsidR="00255A4C">
        <w:t>2</w:t>
      </w:r>
      <w:r w:rsidR="004E5CF4">
        <w:t>3</w:t>
      </w:r>
      <w:r>
        <w:t xml:space="preserve">. </w:t>
      </w:r>
      <w:r w:rsidR="00D26344">
        <w:t>If a</w:t>
      </w:r>
      <w:r>
        <w:t xml:space="preserve"> child </w:t>
      </w:r>
      <w:r w:rsidR="00D26344">
        <w:t xml:space="preserve">was hospitalized, he or she was </w:t>
      </w:r>
      <w:r>
        <w:t xml:space="preserve">transported in </w:t>
      </w:r>
      <w:r w:rsidR="00D26344">
        <w:t xml:space="preserve">an </w:t>
      </w:r>
      <w:r>
        <w:t>ambulance.</w:t>
      </w:r>
      <w:r w:rsidR="00D26344">
        <w:t xml:space="preserve"> Ms. England was not present in the ambulance.</w:t>
      </w:r>
      <w:r>
        <w:t xml:space="preserve"> </w:t>
      </w:r>
      <w:proofErr w:type="gramStart"/>
      <w:r>
        <w:t>(Tr. 52.)</w:t>
      </w:r>
      <w:proofErr w:type="gramEnd"/>
    </w:p>
    <w:p w:rsidR="00FE6F15" w:rsidRDefault="00FE6F15" w:rsidP="00790BE1">
      <w:r>
        <w:tab/>
      </w:r>
      <w:r w:rsidR="00255A4C">
        <w:t>2</w:t>
      </w:r>
      <w:r w:rsidR="004E5CF4">
        <w:t>4</w:t>
      </w:r>
      <w:r>
        <w:t>. At</w:t>
      </w:r>
      <w:r w:rsidR="00D26344">
        <w:t xml:space="preserve"> the</w:t>
      </w:r>
      <w:r>
        <w:t xml:space="preserve"> hospital</w:t>
      </w:r>
      <w:r w:rsidR="00D26344">
        <w:t>, Ms. England</w:t>
      </w:r>
      <w:r>
        <w:t xml:space="preserve"> </w:t>
      </w:r>
      <w:r w:rsidR="00022CAF">
        <w:t>c</w:t>
      </w:r>
      <w:r>
        <w:t xml:space="preserve">ould help </w:t>
      </w:r>
      <w:r w:rsidR="00022CAF">
        <w:t xml:space="preserve">a child </w:t>
      </w:r>
      <w:r>
        <w:t>settle in. (Tr. 52.)</w:t>
      </w:r>
      <w:r w:rsidR="00D55A49">
        <w:t xml:space="preserve"> </w:t>
      </w:r>
      <w:r w:rsidR="00022CAF">
        <w:t>The process c</w:t>
      </w:r>
      <w:r w:rsidR="00D55A49">
        <w:t xml:space="preserve">ould take an hour. </w:t>
      </w:r>
      <w:proofErr w:type="gramStart"/>
      <w:r w:rsidR="00D55A49">
        <w:t>(Tr. 54</w:t>
      </w:r>
      <w:r w:rsidR="00F55FAB">
        <w:t>, 60</w:t>
      </w:r>
      <w:r w:rsidR="00D55A49">
        <w:t>.)</w:t>
      </w:r>
      <w:proofErr w:type="gramEnd"/>
      <w:r w:rsidR="00022CAF">
        <w:rPr>
          <w:rStyle w:val="FootnoteReference"/>
        </w:rPr>
        <w:footnoteReference w:id="5"/>
      </w:r>
      <w:r w:rsidR="00AA61BF">
        <w:t xml:space="preserve"> </w:t>
      </w:r>
    </w:p>
    <w:p w:rsidR="00FE6F15" w:rsidRDefault="00FE6F15" w:rsidP="00790BE1">
      <w:r>
        <w:tab/>
      </w:r>
      <w:r w:rsidR="00255A4C">
        <w:t>2</w:t>
      </w:r>
      <w:r w:rsidR="004E5CF4">
        <w:t>5</w:t>
      </w:r>
      <w:r>
        <w:t xml:space="preserve"> At </w:t>
      </w:r>
      <w:r w:rsidR="00AA61BF">
        <w:t xml:space="preserve">the </w:t>
      </w:r>
      <w:r>
        <w:t>hospital</w:t>
      </w:r>
      <w:r w:rsidR="00AA61BF">
        <w:t xml:space="preserve">, Ms. England </w:t>
      </w:r>
      <w:r w:rsidR="00397F1D">
        <w:t>sometimes talked</w:t>
      </w:r>
      <w:r>
        <w:t xml:space="preserve"> with </w:t>
      </w:r>
      <w:r w:rsidR="00AA61BF">
        <w:t xml:space="preserve">the </w:t>
      </w:r>
      <w:r>
        <w:t>doctor</w:t>
      </w:r>
      <w:r w:rsidR="00AA61BF">
        <w:t xml:space="preserve"> who would be caring for the child</w:t>
      </w:r>
      <w:r w:rsidR="00255A4C">
        <w:t>,</w:t>
      </w:r>
      <w:r w:rsidR="00397F1D">
        <w:t xml:space="preserve"> outside of the child’s presence</w:t>
      </w:r>
      <w:r>
        <w:t xml:space="preserve">. </w:t>
      </w:r>
      <w:proofErr w:type="gramStart"/>
      <w:r>
        <w:t>(Tr. 53.)</w:t>
      </w:r>
      <w:proofErr w:type="gramEnd"/>
    </w:p>
    <w:p w:rsidR="00DB6121" w:rsidRDefault="00DB6121" w:rsidP="00790BE1">
      <w:r>
        <w:tab/>
      </w:r>
      <w:r w:rsidR="00255A4C">
        <w:t>2</w:t>
      </w:r>
      <w:r w:rsidR="004E5CF4">
        <w:t>6</w:t>
      </w:r>
      <w:r>
        <w:t xml:space="preserve">. Some </w:t>
      </w:r>
      <w:r w:rsidR="00A40A22">
        <w:t>children</w:t>
      </w:r>
      <w:r>
        <w:t xml:space="preserve"> went to </w:t>
      </w:r>
      <w:r w:rsidR="00A40A22">
        <w:t>the hospital voluntarily. T</w:t>
      </w:r>
      <w:r>
        <w:t>hey were not in DMH</w:t>
      </w:r>
      <w:r w:rsidR="00A40A22">
        <w:t>’s</w:t>
      </w:r>
      <w:r>
        <w:t xml:space="preserve"> </w:t>
      </w:r>
      <w:r w:rsidR="00A40A22">
        <w:t>custody</w:t>
      </w:r>
      <w:r>
        <w:t xml:space="preserve"> (Tr. 70-71)</w:t>
      </w:r>
      <w:r w:rsidR="00A40A22">
        <w:t>, and therefore not in Ms. England’s care</w:t>
      </w:r>
      <w:r w:rsidR="0061274C">
        <w:t>,</w:t>
      </w:r>
      <w:r w:rsidR="00A40A22">
        <w:t xml:space="preserve"> custody</w:t>
      </w:r>
      <w:r w:rsidR="0061274C">
        <w:t>, or supervision</w:t>
      </w:r>
      <w:r w:rsidR="00A40A22">
        <w:t>.</w:t>
      </w:r>
    </w:p>
    <w:p w:rsidR="001354B3" w:rsidRPr="003638EA" w:rsidRDefault="001354B3" w:rsidP="001354B3">
      <w:r>
        <w:tab/>
      </w:r>
      <w:r w:rsidR="00255A4C">
        <w:t>2</w:t>
      </w:r>
      <w:r w:rsidR="004E5CF4">
        <w:t>7</w:t>
      </w:r>
      <w:r>
        <w:t>. Once or twice per week, Ms</w:t>
      </w:r>
      <w:r w:rsidR="005008CE">
        <w:t>. England responded to a school where, by the time she arrived, the child had already calmed down.</w:t>
      </w:r>
      <w:r w:rsidR="005313D0">
        <w:t xml:space="preserve"> </w:t>
      </w:r>
      <w:proofErr w:type="gramStart"/>
      <w:r w:rsidR="005313D0">
        <w:t>(Tr. 57.)</w:t>
      </w:r>
      <w:proofErr w:type="gramEnd"/>
      <w:r w:rsidR="005313D0">
        <w:t xml:space="preserve"> </w:t>
      </w:r>
      <w:r w:rsidR="005008CE">
        <w:t>In such case</w:t>
      </w:r>
      <w:r w:rsidR="00A40A22">
        <w:t>s</w:t>
      </w:r>
      <w:r w:rsidR="005008CE">
        <w:t xml:space="preserve">, the </w:t>
      </w:r>
      <w:r w:rsidR="00A40A22">
        <w:t xml:space="preserve">child did not enter DMH custody and therefore </w:t>
      </w:r>
      <w:r w:rsidR="005D4DD5">
        <w:t>was</w:t>
      </w:r>
      <w:r w:rsidR="00A40A22">
        <w:t xml:space="preserve"> not in Ms. England’s care</w:t>
      </w:r>
      <w:r w:rsidR="0061274C">
        <w:t>,</w:t>
      </w:r>
      <w:r w:rsidR="00A40A22">
        <w:t xml:space="preserve"> custody</w:t>
      </w:r>
      <w:r w:rsidR="0061274C">
        <w:t>, or supervision</w:t>
      </w:r>
      <w:r w:rsidR="00A40A22">
        <w:t>.</w:t>
      </w:r>
    </w:p>
    <w:p w:rsidR="00C05083" w:rsidRDefault="00C05083" w:rsidP="00790BE1">
      <w:r>
        <w:tab/>
      </w:r>
      <w:r w:rsidR="00255A4C">
        <w:t>2</w:t>
      </w:r>
      <w:r w:rsidR="004E5CF4">
        <w:t>8</w:t>
      </w:r>
      <w:r>
        <w:t xml:space="preserve">. In </w:t>
      </w:r>
      <w:r w:rsidR="009E47A4">
        <w:t xml:space="preserve">a </w:t>
      </w:r>
      <w:r>
        <w:t xml:space="preserve">typical ten-and-a-half hour shift, </w:t>
      </w:r>
      <w:r w:rsidR="009E47A4">
        <w:t xml:space="preserve">Ms. England spent </w:t>
      </w:r>
      <w:r>
        <w:t xml:space="preserve">two to three hours with </w:t>
      </w:r>
      <w:r w:rsidR="009E47A4">
        <w:t>a child</w:t>
      </w:r>
      <w:r>
        <w:t>.</w:t>
      </w:r>
      <w:r w:rsidR="009E47A4">
        <w:t xml:space="preserve"> During s</w:t>
      </w:r>
      <w:r w:rsidR="005403E6">
        <w:t>ome of that time</w:t>
      </w:r>
      <w:r w:rsidR="009E47A4">
        <w:t>, the child was still</w:t>
      </w:r>
      <w:r w:rsidR="005403E6">
        <w:t xml:space="preserve"> in</w:t>
      </w:r>
      <w:r w:rsidR="009E47A4">
        <w:t xml:space="preserve"> his or her</w:t>
      </w:r>
      <w:r w:rsidR="005403E6">
        <w:t xml:space="preserve"> parents’ custody. (Tr. 60-61.)</w:t>
      </w:r>
      <w:r w:rsidR="001354B3">
        <w:t xml:space="preserve"> </w:t>
      </w:r>
    </w:p>
    <w:p w:rsidR="003638EA" w:rsidRDefault="00D55A49" w:rsidP="00790BE1">
      <w:r>
        <w:tab/>
      </w:r>
      <w:r w:rsidR="00255A4C">
        <w:t>2</w:t>
      </w:r>
      <w:r w:rsidR="004E5CF4">
        <w:t>9</w:t>
      </w:r>
      <w:r w:rsidR="003638EA">
        <w:t xml:space="preserve">. Sometimes </w:t>
      </w:r>
      <w:r w:rsidR="00397F1D">
        <w:t xml:space="preserve">Ms. England was </w:t>
      </w:r>
      <w:r w:rsidR="003638EA">
        <w:t>alone with</w:t>
      </w:r>
      <w:r w:rsidR="00C0091B">
        <w:t xml:space="preserve"> a child</w:t>
      </w:r>
      <w:r w:rsidR="003638EA">
        <w:t xml:space="preserve">, </w:t>
      </w:r>
      <w:r w:rsidR="00397F1D">
        <w:t>such as when a</w:t>
      </w:r>
      <w:r w:rsidR="003638EA">
        <w:t xml:space="preserve"> child had </w:t>
      </w:r>
      <w:r w:rsidR="00397F1D">
        <w:t>returned</w:t>
      </w:r>
      <w:r w:rsidR="003638EA">
        <w:t xml:space="preserve"> home </w:t>
      </w:r>
      <w:r w:rsidR="003638EA" w:rsidRPr="00397F1D">
        <w:t xml:space="preserve">from inpatient </w:t>
      </w:r>
      <w:r w:rsidR="00397F1D" w:rsidRPr="00397F1D">
        <w:t xml:space="preserve">treatment </w:t>
      </w:r>
      <w:r w:rsidR="003638EA" w:rsidRPr="00397F1D">
        <w:t xml:space="preserve">and </w:t>
      </w:r>
      <w:r w:rsidR="00397F1D" w:rsidRPr="00397F1D">
        <w:t xml:space="preserve">was not </w:t>
      </w:r>
      <w:r w:rsidR="003638EA" w:rsidRPr="00397F1D">
        <w:t xml:space="preserve">adjusting well. </w:t>
      </w:r>
      <w:r w:rsidR="00397F1D" w:rsidRPr="00397F1D">
        <w:t xml:space="preserve">Her responsibility was </w:t>
      </w:r>
      <w:r w:rsidR="003638EA" w:rsidRPr="00397F1D">
        <w:t xml:space="preserve">to </w:t>
      </w:r>
      <w:r w:rsidR="00397F1D">
        <w:t>“</w:t>
      </w:r>
      <w:r w:rsidR="003638EA" w:rsidRPr="00397F1D">
        <w:t>see what was going on.</w:t>
      </w:r>
      <w:r w:rsidR="00397F1D" w:rsidRPr="00397F1D">
        <w:t>”</w:t>
      </w:r>
      <w:r w:rsidR="003638EA" w:rsidRPr="00397F1D">
        <w:t xml:space="preserve"> </w:t>
      </w:r>
      <w:proofErr w:type="gramStart"/>
      <w:r w:rsidR="003638EA" w:rsidRPr="00397F1D">
        <w:t>(Tr.</w:t>
      </w:r>
      <w:r w:rsidR="003638EA">
        <w:t xml:space="preserve"> 55.)</w:t>
      </w:r>
      <w:proofErr w:type="gramEnd"/>
      <w:r w:rsidR="003638EA">
        <w:t xml:space="preserve"> </w:t>
      </w:r>
      <w:r w:rsidR="00397F1D">
        <w:t>The c</w:t>
      </w:r>
      <w:r w:rsidR="00CE1503">
        <w:t xml:space="preserve">hild was still in </w:t>
      </w:r>
      <w:r w:rsidR="00397F1D">
        <w:t xml:space="preserve">a parent’s </w:t>
      </w:r>
      <w:r w:rsidR="00CE1503">
        <w:t>custody.</w:t>
      </w:r>
    </w:p>
    <w:p w:rsidR="00087EA0" w:rsidRDefault="00087EA0" w:rsidP="00087EA0">
      <w:r>
        <w:tab/>
      </w:r>
      <w:r w:rsidR="004E5CF4">
        <w:t>30</w:t>
      </w:r>
      <w:r>
        <w:t xml:space="preserve">. In Pocasset, </w:t>
      </w:r>
      <w:r w:rsidR="00397F1D">
        <w:t xml:space="preserve">Ms. England </w:t>
      </w:r>
      <w:r>
        <w:t>respond</w:t>
      </w:r>
      <w:r w:rsidR="00397F1D">
        <w:t>ed</w:t>
      </w:r>
      <w:r>
        <w:t xml:space="preserve"> to</w:t>
      </w:r>
      <w:r w:rsidR="00397F1D">
        <w:t xml:space="preserve"> what were called Code Y</w:t>
      </w:r>
      <w:r>
        <w:t xml:space="preserve">ellows. </w:t>
      </w:r>
      <w:proofErr w:type="gramStart"/>
      <w:r>
        <w:t>(Tr. 24.)</w:t>
      </w:r>
      <w:proofErr w:type="gramEnd"/>
    </w:p>
    <w:p w:rsidR="00087EA0" w:rsidRDefault="00087EA0" w:rsidP="00087EA0">
      <w:r>
        <w:tab/>
      </w:r>
      <w:r w:rsidR="00255A4C">
        <w:t>3</w:t>
      </w:r>
      <w:r w:rsidR="004E5CF4">
        <w:t>1</w:t>
      </w:r>
      <w:r>
        <w:t xml:space="preserve">. </w:t>
      </w:r>
      <w:r w:rsidR="00397F1D">
        <w:t xml:space="preserve">In a Code Yellow, every employee had to respond to help restrain a mentally ill person. Code Yellows occurred </w:t>
      </w:r>
      <w:r>
        <w:t>several times a week</w:t>
      </w:r>
      <w:r w:rsidR="00397F1D">
        <w:t xml:space="preserve"> and typically lasted 10 minutes</w:t>
      </w:r>
      <w:r>
        <w:t>.</w:t>
      </w:r>
      <w:r w:rsidR="00397F1D">
        <w:t xml:space="preserve"> In a Code Yellow, Ms. England responded and was present but did not always provide hands-on restraint. Code Yellows typically took</w:t>
      </w:r>
      <w:r w:rsidR="00255A4C">
        <w:t xml:space="preserve"> a total of</w:t>
      </w:r>
      <w:r w:rsidR="00397F1D">
        <w:t xml:space="preserve"> 30 minutes </w:t>
      </w:r>
      <w:r w:rsidR="00255A4C">
        <w:t xml:space="preserve">during </w:t>
      </w:r>
      <w:r w:rsidR="00397F1D">
        <w:t>Ms. England’s week.</w:t>
      </w:r>
      <w:r>
        <w:t xml:space="preserve"> (Tr. 63-64</w:t>
      </w:r>
      <w:r w:rsidR="00397F1D">
        <w:t>.</w:t>
      </w:r>
      <w:r>
        <w:t xml:space="preserve">) </w:t>
      </w:r>
    </w:p>
    <w:p w:rsidR="00BB300E" w:rsidRDefault="00397F1D" w:rsidP="00790BE1">
      <w:r>
        <w:tab/>
      </w:r>
      <w:r w:rsidR="00255A4C">
        <w:t>3</w:t>
      </w:r>
      <w:r w:rsidR="004E5CF4">
        <w:t>2</w:t>
      </w:r>
      <w:r w:rsidR="00BB300E">
        <w:t>. On May 3, 2017, Ms. England</w:t>
      </w:r>
      <w:r w:rsidR="00607290">
        <w:t xml:space="preserve"> applied for Group 2 classification. </w:t>
      </w:r>
      <w:proofErr w:type="gramStart"/>
      <w:r w:rsidR="00607290">
        <w:t>(Ex. 3.)</w:t>
      </w:r>
      <w:proofErr w:type="gramEnd"/>
    </w:p>
    <w:p w:rsidR="00790BE1" w:rsidRDefault="00790BE1" w:rsidP="00790BE1">
      <w:r>
        <w:lastRenderedPageBreak/>
        <w:tab/>
      </w:r>
      <w:r w:rsidR="00255A4C">
        <w:t>3</w:t>
      </w:r>
      <w:r w:rsidR="004E5CF4">
        <w:t>3</w:t>
      </w:r>
      <w:r w:rsidR="00015CBA">
        <w:t xml:space="preserve">. On July 28, 2017, SBR wrote a letter to Ms. England notifying her that it had denied her request to be classified in Group 2. </w:t>
      </w:r>
      <w:proofErr w:type="gramStart"/>
      <w:r w:rsidR="00015CBA">
        <w:t>(Ex. 1.).</w:t>
      </w:r>
      <w:proofErr w:type="gramEnd"/>
    </w:p>
    <w:p w:rsidR="00015CBA" w:rsidRPr="00070706" w:rsidRDefault="00015CBA" w:rsidP="00790BE1">
      <w:r>
        <w:tab/>
      </w:r>
      <w:r w:rsidR="00255A4C">
        <w:t>3</w:t>
      </w:r>
      <w:r w:rsidR="004E5CF4">
        <w:t>4</w:t>
      </w:r>
      <w:r>
        <w:t>.</w:t>
      </w:r>
      <w:r w:rsidR="00BB300E">
        <w:t xml:space="preserve"> On August 3, Ms. England timely appealed. </w:t>
      </w:r>
      <w:proofErr w:type="gramStart"/>
      <w:r w:rsidR="00BB300E">
        <w:t>(Ex. 2.)</w:t>
      </w:r>
      <w:proofErr w:type="gramEnd"/>
    </w:p>
    <w:p w:rsidR="00790BE1" w:rsidRDefault="00790BE1" w:rsidP="00790BE1">
      <w:pPr>
        <w:jc w:val="center"/>
        <w:rPr>
          <w:rFonts w:cs="Times New Roman"/>
          <w:b/>
          <w:szCs w:val="24"/>
        </w:rPr>
      </w:pPr>
      <w:r w:rsidRPr="00F90200">
        <w:rPr>
          <w:rFonts w:cs="Times New Roman"/>
          <w:b/>
          <w:szCs w:val="24"/>
        </w:rPr>
        <w:t>Discussion</w:t>
      </w:r>
    </w:p>
    <w:p w:rsidR="00AD0DDB" w:rsidRDefault="00AD0DDB" w:rsidP="00AD0DDB">
      <w:pPr>
        <w:widowControl w:val="0"/>
        <w:rPr>
          <w:rFonts w:cs="Times New Roman"/>
          <w:szCs w:val="24"/>
        </w:rPr>
      </w:pPr>
      <w:r>
        <w:rPr>
          <w:rFonts w:cs="Times New Roman"/>
          <w:szCs w:val="24"/>
        </w:rPr>
        <w:tab/>
        <w:t>For retirement purposes, Commonwealth employees fall into four groups. Group 1 is the general group. G.L. c. 32, § 3(</w:t>
      </w:r>
      <w:r w:rsidRPr="004702EA">
        <w:rPr>
          <w:rFonts w:cs="Times New Roman"/>
          <w:szCs w:val="24"/>
        </w:rPr>
        <w:t>2</w:t>
      </w:r>
      <w:proofErr w:type="gramStart"/>
      <w:r>
        <w:rPr>
          <w:rFonts w:cs="Times New Roman"/>
          <w:szCs w:val="24"/>
        </w:rPr>
        <w:t>)(</w:t>
      </w:r>
      <w:proofErr w:type="gramEnd"/>
      <w:r>
        <w:rPr>
          <w:rFonts w:cs="Times New Roman"/>
          <w:szCs w:val="24"/>
        </w:rPr>
        <w:t xml:space="preserve">g). Group 2 is the group for various employees, including those </w:t>
      </w:r>
    </w:p>
    <w:p w:rsidR="00AD0DDB" w:rsidRDefault="00AD0DDB" w:rsidP="00AD0DDB">
      <w:pPr>
        <w:widowControl w:val="0"/>
        <w:spacing w:line="240" w:lineRule="auto"/>
        <w:ind w:left="720" w:right="720"/>
        <w:rPr>
          <w:rFonts w:cs="Times New Roman"/>
          <w:szCs w:val="24"/>
        </w:rPr>
      </w:pPr>
      <w:proofErr w:type="gramStart"/>
      <w:r w:rsidRPr="00CF4506">
        <w:rPr>
          <w:rFonts w:cs="Times New Roman"/>
          <w:szCs w:val="24"/>
        </w:rPr>
        <w:t>whose</w:t>
      </w:r>
      <w:proofErr w:type="gramEnd"/>
      <w:r w:rsidRPr="00CF4506">
        <w:rPr>
          <w:rFonts w:cs="Times New Roman"/>
          <w:szCs w:val="24"/>
        </w:rPr>
        <w:t xml:space="preserve"> </w:t>
      </w:r>
      <w:r w:rsidRPr="00AE0E73">
        <w:rPr>
          <w:rFonts w:cs="Times New Roman"/>
          <w:szCs w:val="24"/>
        </w:rPr>
        <w:t>regular and major duties require them to have the care, custody, instruction or other supervision of…persons who are mentally ill or mentally defective ….</w:t>
      </w:r>
    </w:p>
    <w:p w:rsidR="00AD0DDB" w:rsidRDefault="00AD0DDB" w:rsidP="00AD0DDB">
      <w:pPr>
        <w:widowControl w:val="0"/>
        <w:spacing w:line="240" w:lineRule="auto"/>
        <w:ind w:left="720" w:right="720"/>
        <w:rPr>
          <w:rFonts w:ascii="Helvetica" w:hAnsi="Helvetica" w:cs="Helvetica"/>
          <w:color w:val="333333"/>
          <w:sz w:val="21"/>
          <w:szCs w:val="21"/>
        </w:rPr>
      </w:pPr>
    </w:p>
    <w:p w:rsidR="00AD0DDB" w:rsidRDefault="00AD0DDB" w:rsidP="00AD0DDB">
      <w:pPr>
        <w:rPr>
          <w:rFonts w:cs="Times New Roman"/>
          <w:szCs w:val="24"/>
        </w:rPr>
      </w:pPr>
      <w:r>
        <w:rPr>
          <w:rFonts w:cs="Times New Roman"/>
          <w:szCs w:val="24"/>
        </w:rPr>
        <w:t xml:space="preserve">Citing this provision, Ms. England seeks to reclassify her service from Group 1 to Group 2, which is more advantageous for the purpose of calculating retirement benefits. </w:t>
      </w:r>
    </w:p>
    <w:p w:rsidR="00AD0DDB" w:rsidRDefault="00AD0DDB" w:rsidP="00AD0DDB">
      <w:pPr>
        <w:widowControl w:val="0"/>
        <w:rPr>
          <w:rFonts w:cs="Times New Roman"/>
          <w:szCs w:val="24"/>
        </w:rPr>
      </w:pPr>
      <w:r>
        <w:rPr>
          <w:rFonts w:cs="Times New Roman"/>
          <w:szCs w:val="24"/>
        </w:rPr>
        <w:tab/>
        <w:t>The “</w:t>
      </w:r>
      <w:r w:rsidRPr="00CF4506">
        <w:rPr>
          <w:rFonts w:cs="Times New Roman"/>
          <w:szCs w:val="24"/>
        </w:rPr>
        <w:t>regular and major duties</w:t>
      </w:r>
      <w:r>
        <w:rPr>
          <w:rFonts w:cs="Times New Roman"/>
          <w:szCs w:val="24"/>
        </w:rPr>
        <w:t>” requirement in G.L. c. 32, § 3(</w:t>
      </w:r>
      <w:r w:rsidRPr="004702EA">
        <w:rPr>
          <w:rFonts w:cs="Times New Roman"/>
          <w:szCs w:val="24"/>
        </w:rPr>
        <w:t>2</w:t>
      </w:r>
      <w:proofErr w:type="gramStart"/>
      <w:r>
        <w:rPr>
          <w:rFonts w:cs="Times New Roman"/>
          <w:szCs w:val="24"/>
        </w:rPr>
        <w:t>)(</w:t>
      </w:r>
      <w:proofErr w:type="gramEnd"/>
      <w:r>
        <w:rPr>
          <w:rFonts w:cs="Times New Roman"/>
          <w:szCs w:val="24"/>
        </w:rPr>
        <w:t xml:space="preserve">g) has come to mean that an employee must spend more than half of his or her time engaged in those duties. </w:t>
      </w:r>
    </w:p>
    <w:p w:rsidR="00397F1D" w:rsidRDefault="00AD0DDB" w:rsidP="00AD0DDB">
      <w:pPr>
        <w:widowControl w:val="0"/>
        <w:rPr>
          <w:rFonts w:cs="Times New Roman"/>
          <w:szCs w:val="24"/>
        </w:rPr>
      </w:pPr>
      <w:proofErr w:type="gramStart"/>
      <w:r w:rsidRPr="00275294">
        <w:rPr>
          <w:i/>
        </w:rPr>
        <w:t>Peter Forbes v. State Board of Retirement</w:t>
      </w:r>
      <w:r>
        <w:t xml:space="preserve">, </w:t>
      </w:r>
      <w:r w:rsidRPr="00275294">
        <w:t>CR-13-146</w:t>
      </w:r>
      <w:r>
        <w:t xml:space="preserve"> (DALA 2016).</w:t>
      </w:r>
      <w:proofErr w:type="gramEnd"/>
      <w:r>
        <w:t xml:space="preserve"> If Ms. England </w:t>
      </w:r>
      <w:r>
        <w:rPr>
          <w:rFonts w:eastAsia="Times New Roman" w:cs="Times New Roman"/>
          <w:szCs w:val="24"/>
        </w:rPr>
        <w:t>engaged in the c</w:t>
      </w:r>
      <w:r w:rsidRPr="00CF4506">
        <w:rPr>
          <w:rFonts w:cs="Times New Roman"/>
          <w:szCs w:val="24"/>
        </w:rPr>
        <w:t xml:space="preserve">are, custody, </w:t>
      </w:r>
      <w:r>
        <w:rPr>
          <w:rFonts w:cs="Times New Roman"/>
          <w:szCs w:val="24"/>
        </w:rPr>
        <w:t xml:space="preserve">or </w:t>
      </w:r>
      <w:r w:rsidRPr="00CF4506">
        <w:rPr>
          <w:rFonts w:cs="Times New Roman"/>
          <w:szCs w:val="24"/>
        </w:rPr>
        <w:t>supervision of</w:t>
      </w:r>
      <w:r>
        <w:rPr>
          <w:rFonts w:cs="Times New Roman"/>
          <w:szCs w:val="24"/>
        </w:rPr>
        <w:t xml:space="preserve"> people</w:t>
      </w:r>
      <w:r>
        <w:t xml:space="preserve"> and fewer than half of them were mentally ill, she does not prevail. If Ms. England </w:t>
      </w:r>
      <w:r>
        <w:rPr>
          <w:rFonts w:eastAsia="Times New Roman" w:cs="Times New Roman"/>
          <w:szCs w:val="24"/>
        </w:rPr>
        <w:t>engaged in the c</w:t>
      </w:r>
      <w:r w:rsidRPr="00CF4506">
        <w:rPr>
          <w:rFonts w:cs="Times New Roman"/>
          <w:szCs w:val="24"/>
        </w:rPr>
        <w:t xml:space="preserve">are, custody, </w:t>
      </w:r>
      <w:r>
        <w:rPr>
          <w:rFonts w:cs="Times New Roman"/>
          <w:szCs w:val="24"/>
        </w:rPr>
        <w:t xml:space="preserve">or </w:t>
      </w:r>
      <w:r w:rsidRPr="00CF4506">
        <w:rPr>
          <w:rFonts w:cs="Times New Roman"/>
          <w:szCs w:val="24"/>
        </w:rPr>
        <w:t>supervision of</w:t>
      </w:r>
      <w:r>
        <w:rPr>
          <w:rFonts w:cs="Times New Roman"/>
          <w:szCs w:val="24"/>
        </w:rPr>
        <w:t xml:space="preserve"> mentally ill people and did so for less than half of her working time, she does not prevail. </w:t>
      </w:r>
      <w:r w:rsidR="00397F1D">
        <w:rPr>
          <w:rFonts w:cs="Times New Roman"/>
          <w:szCs w:val="24"/>
        </w:rPr>
        <w:t xml:space="preserve">If Ms. England was in contact with mentally ill people, but they were in someone else’s care, custody or supervision, such as a parent, the social worker on the Mobile Crisis Team, a doctor in a hospital, or the police, </w:t>
      </w:r>
      <w:r>
        <w:rPr>
          <w:rFonts w:cs="Times New Roman"/>
          <w:szCs w:val="24"/>
        </w:rPr>
        <w:t>Ms. England does not prevail</w:t>
      </w:r>
      <w:r w:rsidR="00397F1D">
        <w:rPr>
          <w:rFonts w:cs="Times New Roman"/>
          <w:szCs w:val="24"/>
        </w:rPr>
        <w:t xml:space="preserve">. </w:t>
      </w:r>
    </w:p>
    <w:p w:rsidR="00774F12" w:rsidRPr="00774F12" w:rsidRDefault="00397F1D" w:rsidP="00774F12">
      <w:pPr>
        <w:ind w:firstLine="720"/>
        <w:rPr>
          <w:rFonts w:cs="Times New Roman"/>
          <w:szCs w:val="24"/>
        </w:rPr>
      </w:pPr>
      <w:r>
        <w:rPr>
          <w:rFonts w:cs="Times New Roman"/>
          <w:szCs w:val="24"/>
        </w:rPr>
        <w:t>She does not prevail</w:t>
      </w:r>
      <w:r w:rsidR="00AD0DDB">
        <w:rPr>
          <w:rFonts w:cs="Times New Roman"/>
          <w:szCs w:val="24"/>
        </w:rPr>
        <w:t xml:space="preserve"> for</w:t>
      </w:r>
      <w:r>
        <w:rPr>
          <w:rFonts w:cs="Times New Roman"/>
          <w:szCs w:val="24"/>
        </w:rPr>
        <w:t xml:space="preserve"> all</w:t>
      </w:r>
      <w:r w:rsidR="00AD0DDB">
        <w:rPr>
          <w:rFonts w:cs="Times New Roman"/>
          <w:szCs w:val="24"/>
        </w:rPr>
        <w:t xml:space="preserve"> </w:t>
      </w:r>
      <w:r>
        <w:rPr>
          <w:rFonts w:cs="Times New Roman"/>
          <w:szCs w:val="24"/>
        </w:rPr>
        <w:t>three</w:t>
      </w:r>
      <w:r w:rsidR="00AD0DDB">
        <w:rPr>
          <w:rFonts w:cs="Times New Roman"/>
          <w:szCs w:val="24"/>
        </w:rPr>
        <w:t xml:space="preserve"> reasons. Fewer than half of the </w:t>
      </w:r>
      <w:r>
        <w:rPr>
          <w:rFonts w:cs="Times New Roman"/>
          <w:szCs w:val="24"/>
        </w:rPr>
        <w:t>children</w:t>
      </w:r>
      <w:r w:rsidR="00AD0DDB">
        <w:rPr>
          <w:rFonts w:cs="Times New Roman"/>
          <w:szCs w:val="24"/>
        </w:rPr>
        <w:t xml:space="preserve"> were mentally ill</w:t>
      </w:r>
      <w:r>
        <w:rPr>
          <w:rFonts w:cs="Times New Roman"/>
          <w:szCs w:val="24"/>
        </w:rPr>
        <w:t xml:space="preserve">. </w:t>
      </w:r>
      <w:r w:rsidR="00774F12">
        <w:rPr>
          <w:rFonts w:cs="Times New Roman"/>
          <w:szCs w:val="24"/>
        </w:rPr>
        <w:t xml:space="preserve">I do not find that children on the autism spectrum, having drug problems, or having emotional outbursts were </w:t>
      </w:r>
      <w:r w:rsidR="00774F12">
        <w:rPr>
          <w:rFonts w:cs="Times New Roman"/>
          <w:i/>
          <w:szCs w:val="24"/>
        </w:rPr>
        <w:t xml:space="preserve">per </w:t>
      </w:r>
      <w:r w:rsidR="00774F12" w:rsidRPr="00774F12">
        <w:rPr>
          <w:rFonts w:cs="Times New Roman"/>
          <w:i/>
          <w:szCs w:val="24"/>
        </w:rPr>
        <w:t xml:space="preserve">se </w:t>
      </w:r>
      <w:r w:rsidR="00774F12">
        <w:rPr>
          <w:rFonts w:cs="Times New Roman"/>
          <w:szCs w:val="24"/>
        </w:rPr>
        <w:t xml:space="preserve">mentally ill. </w:t>
      </w:r>
      <w:r w:rsidRPr="00774F12">
        <w:rPr>
          <w:rFonts w:cs="Times New Roman"/>
          <w:szCs w:val="24"/>
        </w:rPr>
        <w:t>S</w:t>
      </w:r>
      <w:r w:rsidR="00AD0DDB" w:rsidRPr="00774F12">
        <w:rPr>
          <w:rFonts w:cs="Times New Roman"/>
          <w:szCs w:val="24"/>
        </w:rPr>
        <w:t>he</w:t>
      </w:r>
      <w:r w:rsidR="00AD0DDB">
        <w:rPr>
          <w:rFonts w:cs="Times New Roman"/>
          <w:szCs w:val="24"/>
        </w:rPr>
        <w:t xml:space="preserve"> spent less than half of her working time </w:t>
      </w:r>
      <w:r>
        <w:rPr>
          <w:rFonts w:cs="Times New Roman"/>
          <w:szCs w:val="24"/>
        </w:rPr>
        <w:t>in contact with children</w:t>
      </w:r>
      <w:r w:rsidR="00255A4C">
        <w:rPr>
          <w:rFonts w:cs="Times New Roman"/>
          <w:szCs w:val="24"/>
        </w:rPr>
        <w:t>, typically two to three hours in a ten-and-one-half hour shift</w:t>
      </w:r>
      <w:r>
        <w:rPr>
          <w:rFonts w:cs="Times New Roman"/>
          <w:szCs w:val="24"/>
        </w:rPr>
        <w:t xml:space="preserve">. </w:t>
      </w:r>
      <w:r w:rsidR="00255A4C">
        <w:t xml:space="preserve">(Tr. 60-61.) </w:t>
      </w:r>
      <w:r>
        <w:rPr>
          <w:rFonts w:cs="Times New Roman"/>
          <w:szCs w:val="24"/>
        </w:rPr>
        <w:t xml:space="preserve">And it is unclear whether she </w:t>
      </w:r>
      <w:r w:rsidR="00255A4C">
        <w:rPr>
          <w:rFonts w:cs="Times New Roman"/>
          <w:szCs w:val="24"/>
        </w:rPr>
        <w:t>was responsible for</w:t>
      </w:r>
      <w:r w:rsidR="00AD0DDB">
        <w:rPr>
          <w:rFonts w:cs="Times New Roman"/>
          <w:szCs w:val="24"/>
        </w:rPr>
        <w:t xml:space="preserve"> </w:t>
      </w:r>
      <w:r w:rsidR="00AD0DDB">
        <w:rPr>
          <w:rFonts w:eastAsia="Times New Roman" w:cs="Times New Roman"/>
          <w:szCs w:val="24"/>
        </w:rPr>
        <w:t>the</w:t>
      </w:r>
      <w:r>
        <w:rPr>
          <w:rFonts w:eastAsia="Times New Roman" w:cs="Times New Roman"/>
          <w:szCs w:val="24"/>
        </w:rPr>
        <w:t xml:space="preserve"> children’s</w:t>
      </w:r>
      <w:r w:rsidR="00AD0DDB">
        <w:rPr>
          <w:rFonts w:eastAsia="Times New Roman" w:cs="Times New Roman"/>
          <w:szCs w:val="24"/>
        </w:rPr>
        <w:t xml:space="preserve"> c</w:t>
      </w:r>
      <w:r w:rsidR="00AD0DDB" w:rsidRPr="00CF4506">
        <w:rPr>
          <w:rFonts w:cs="Times New Roman"/>
          <w:szCs w:val="24"/>
        </w:rPr>
        <w:t xml:space="preserve">are, custody, </w:t>
      </w:r>
      <w:r w:rsidR="00AD0DDB">
        <w:rPr>
          <w:rFonts w:cs="Times New Roman"/>
          <w:szCs w:val="24"/>
        </w:rPr>
        <w:t xml:space="preserve">or </w:t>
      </w:r>
      <w:r w:rsidR="00AD0DDB" w:rsidRPr="00CF4506">
        <w:rPr>
          <w:rFonts w:cs="Times New Roman"/>
          <w:szCs w:val="24"/>
        </w:rPr>
        <w:t>supervision</w:t>
      </w:r>
      <w:r w:rsidR="00AD0DDB">
        <w:rPr>
          <w:rFonts w:cs="Times New Roman"/>
          <w:szCs w:val="24"/>
        </w:rPr>
        <w:t xml:space="preserve">. </w:t>
      </w:r>
      <w:r w:rsidR="00774F12">
        <w:rPr>
          <w:rFonts w:cs="Times New Roman"/>
          <w:szCs w:val="24"/>
        </w:rPr>
        <w:t xml:space="preserve">In some </w:t>
      </w:r>
      <w:r w:rsidR="00774F12">
        <w:rPr>
          <w:rFonts w:cs="Times New Roman"/>
          <w:szCs w:val="24"/>
        </w:rPr>
        <w:lastRenderedPageBreak/>
        <w:t xml:space="preserve">cases, such as when an ambulance transported a child to the hospital – and Ms. England did not accompany the child in the ambulance – </w:t>
      </w:r>
      <w:r w:rsidR="00774F12">
        <w:t>the child was not in her care, custody, or supervision.</w:t>
      </w:r>
    </w:p>
    <w:p w:rsidR="00AD0DDB" w:rsidRDefault="00397F1D" w:rsidP="00397F1D">
      <w:pPr>
        <w:rPr>
          <w:rFonts w:cs="Times New Roman"/>
          <w:szCs w:val="24"/>
        </w:rPr>
      </w:pPr>
      <w:r>
        <w:rPr>
          <w:rFonts w:cs="Times New Roman"/>
          <w:szCs w:val="24"/>
        </w:rPr>
        <w:tab/>
      </w:r>
      <w:r w:rsidR="00AD0DDB">
        <w:rPr>
          <w:rFonts w:cs="Times New Roman"/>
          <w:szCs w:val="24"/>
        </w:rPr>
        <w:t xml:space="preserve">Ms. England has the burden of proof. </w:t>
      </w:r>
      <w:r w:rsidR="00AD0DDB">
        <w:rPr>
          <w:i/>
        </w:rPr>
        <w:t xml:space="preserve">Deborah </w:t>
      </w:r>
      <w:proofErr w:type="spellStart"/>
      <w:r w:rsidR="00AD0DDB">
        <w:rPr>
          <w:i/>
        </w:rPr>
        <w:t>Herst</w:t>
      </w:r>
      <w:proofErr w:type="spellEnd"/>
      <w:r w:rsidR="00AD0DDB">
        <w:rPr>
          <w:i/>
        </w:rPr>
        <w:t xml:space="preserve"> Hill v. State Board of Retirement</w:t>
      </w:r>
      <w:r w:rsidR="00AD0DDB">
        <w:t>, CR-07-605 (DALA 2009)(“</w:t>
      </w:r>
      <w:r w:rsidR="00AD0DDB">
        <w:rPr>
          <w:lang w:val="en"/>
        </w:rPr>
        <w:t xml:space="preserve">The Petitioner has the burden of proof on each element necessary to establish entitlement to a benefit under Chapter 32”). </w:t>
      </w:r>
      <w:r w:rsidR="00AD0DDB">
        <w:rPr>
          <w:i/>
        </w:rPr>
        <w:t>See generally</w:t>
      </w:r>
      <w:r w:rsidR="00AD0DDB">
        <w:t xml:space="preserve"> </w:t>
      </w:r>
      <w:r w:rsidR="00AD0DDB">
        <w:rPr>
          <w:i/>
        </w:rPr>
        <w:t>Lisbon v. Contributory Retirement Appeal Board</w:t>
      </w:r>
      <w:r w:rsidR="00AD0DDB">
        <w:t xml:space="preserve">, 41 Mass. App. Ct. 246, 255 (1996); </w:t>
      </w:r>
      <w:proofErr w:type="spellStart"/>
      <w:r w:rsidR="00AD0DDB">
        <w:rPr>
          <w:i/>
        </w:rPr>
        <w:t>Blanchette</w:t>
      </w:r>
      <w:proofErr w:type="spellEnd"/>
      <w:r w:rsidR="00AD0DDB">
        <w:rPr>
          <w:i/>
        </w:rPr>
        <w:t xml:space="preserve"> v. Contributory Retirement Appeal Board</w:t>
      </w:r>
      <w:r w:rsidR="00AD0DDB">
        <w:t>, 20 Mass. App. Ct. 479, 483 (1985). However, England</w:t>
      </w:r>
      <w:r w:rsidR="00AD0DDB">
        <w:rPr>
          <w:rFonts w:cs="Times New Roman"/>
          <w:szCs w:val="24"/>
        </w:rPr>
        <w:t xml:space="preserve"> has not proved that she spent more than </w:t>
      </w:r>
      <w:r>
        <w:rPr>
          <w:rFonts w:eastAsia="Times New Roman" w:cs="Times New Roman"/>
          <w:szCs w:val="24"/>
        </w:rPr>
        <w:t>half of her</w:t>
      </w:r>
      <w:r w:rsidR="00AD0DDB">
        <w:rPr>
          <w:rFonts w:eastAsia="Times New Roman" w:cs="Times New Roman"/>
          <w:szCs w:val="24"/>
        </w:rPr>
        <w:t xml:space="preserve"> time engaged in the c</w:t>
      </w:r>
      <w:r w:rsidR="00AD0DDB" w:rsidRPr="00CF4506">
        <w:rPr>
          <w:rFonts w:cs="Times New Roman"/>
          <w:szCs w:val="24"/>
        </w:rPr>
        <w:t xml:space="preserve">are, custody, </w:t>
      </w:r>
      <w:r w:rsidR="00AD0DDB">
        <w:rPr>
          <w:rFonts w:cs="Times New Roman"/>
          <w:szCs w:val="24"/>
        </w:rPr>
        <w:t xml:space="preserve">or </w:t>
      </w:r>
      <w:r w:rsidR="00AD0DDB" w:rsidRPr="00CF4506">
        <w:rPr>
          <w:rFonts w:cs="Times New Roman"/>
          <w:szCs w:val="24"/>
        </w:rPr>
        <w:t>supervision of</w:t>
      </w:r>
      <w:r w:rsidR="00AD0DDB">
        <w:rPr>
          <w:rFonts w:cs="Times New Roman"/>
          <w:szCs w:val="24"/>
        </w:rPr>
        <w:t xml:space="preserve"> mentally ill people.</w:t>
      </w:r>
    </w:p>
    <w:p w:rsidR="00790BE1" w:rsidRDefault="00790BE1" w:rsidP="00790BE1">
      <w:pPr>
        <w:rPr>
          <w:rFonts w:cs="Times New Roman"/>
          <w:szCs w:val="24"/>
        </w:rPr>
      </w:pPr>
      <w:r>
        <w:rPr>
          <w:rFonts w:cs="Times New Roman"/>
          <w:szCs w:val="24"/>
        </w:rPr>
        <w:tab/>
      </w:r>
      <w:r w:rsidR="00372DCB">
        <w:rPr>
          <w:rFonts w:cs="Times New Roman"/>
          <w:szCs w:val="24"/>
        </w:rPr>
        <w:t>The following facts and allegations are important to Ms. England</w:t>
      </w:r>
      <w:r w:rsidR="005D227B">
        <w:rPr>
          <w:rFonts w:cs="Times New Roman"/>
          <w:szCs w:val="24"/>
        </w:rPr>
        <w:t xml:space="preserve"> but are not important in deciding whether she is entitled to Group 2 classification: </w:t>
      </w:r>
      <w:r w:rsidR="00BB40F3">
        <w:rPr>
          <w:rFonts w:cs="Times New Roman"/>
          <w:szCs w:val="24"/>
        </w:rPr>
        <w:t>She was physically attacked on the job</w:t>
      </w:r>
      <w:r w:rsidR="00B60698">
        <w:rPr>
          <w:rFonts w:cs="Times New Roman"/>
          <w:szCs w:val="24"/>
        </w:rPr>
        <w:t>.</w:t>
      </w:r>
      <w:r w:rsidR="00BB40F3">
        <w:rPr>
          <w:rFonts w:cs="Times New Roman"/>
          <w:szCs w:val="24"/>
        </w:rPr>
        <w:t xml:space="preserve"> </w:t>
      </w:r>
      <w:proofErr w:type="gramStart"/>
      <w:r w:rsidR="00BB40F3">
        <w:rPr>
          <w:rFonts w:cs="Times New Roman"/>
          <w:szCs w:val="24"/>
        </w:rPr>
        <w:t>(Tr. 23</w:t>
      </w:r>
      <w:r w:rsidR="00DC55BC">
        <w:rPr>
          <w:rFonts w:cs="Times New Roman"/>
          <w:szCs w:val="24"/>
        </w:rPr>
        <w:t>, 71</w:t>
      </w:r>
      <w:r w:rsidR="00B60698">
        <w:rPr>
          <w:rFonts w:cs="Times New Roman"/>
          <w:szCs w:val="24"/>
        </w:rPr>
        <w:t>.)</w:t>
      </w:r>
      <w:proofErr w:type="gramEnd"/>
      <w:r w:rsidR="00B60698">
        <w:rPr>
          <w:rFonts w:cs="Times New Roman"/>
          <w:szCs w:val="24"/>
        </w:rPr>
        <w:t xml:space="preserve"> She considered herself a mental health </w:t>
      </w:r>
      <w:r w:rsidR="006858CD">
        <w:rPr>
          <w:rFonts w:cs="Times New Roman"/>
          <w:szCs w:val="24"/>
        </w:rPr>
        <w:t>first responder</w:t>
      </w:r>
      <w:r w:rsidR="00B60698">
        <w:rPr>
          <w:rFonts w:cs="Times New Roman"/>
          <w:szCs w:val="24"/>
        </w:rPr>
        <w:t>.</w:t>
      </w:r>
      <w:r w:rsidR="006858CD">
        <w:rPr>
          <w:rFonts w:cs="Times New Roman"/>
          <w:szCs w:val="24"/>
        </w:rPr>
        <w:t xml:space="preserve"> </w:t>
      </w:r>
      <w:proofErr w:type="gramStart"/>
      <w:r w:rsidR="006858CD">
        <w:rPr>
          <w:rFonts w:cs="Times New Roman"/>
          <w:szCs w:val="24"/>
        </w:rPr>
        <w:t>(Tr. 47</w:t>
      </w:r>
      <w:r w:rsidR="005403E6">
        <w:rPr>
          <w:rFonts w:cs="Times New Roman"/>
          <w:szCs w:val="24"/>
        </w:rPr>
        <w:t>, 61</w:t>
      </w:r>
      <w:r w:rsidR="00DB6121">
        <w:rPr>
          <w:rFonts w:cs="Times New Roman"/>
          <w:szCs w:val="24"/>
        </w:rPr>
        <w:t>, 71</w:t>
      </w:r>
      <w:r w:rsidR="006858CD">
        <w:rPr>
          <w:rFonts w:cs="Times New Roman"/>
          <w:szCs w:val="24"/>
        </w:rPr>
        <w:t>.)</w:t>
      </w:r>
      <w:proofErr w:type="gramEnd"/>
      <w:r w:rsidR="005775BA">
        <w:rPr>
          <w:rFonts w:cs="Times New Roman"/>
          <w:szCs w:val="24"/>
        </w:rPr>
        <w:t xml:space="preserve"> </w:t>
      </w:r>
      <w:r w:rsidR="00B60698">
        <w:rPr>
          <w:rFonts w:cs="Times New Roman"/>
          <w:szCs w:val="24"/>
        </w:rPr>
        <w:t xml:space="preserve">She </w:t>
      </w:r>
      <w:r w:rsidR="005775BA">
        <w:rPr>
          <w:rFonts w:cs="Times New Roman"/>
          <w:szCs w:val="24"/>
        </w:rPr>
        <w:t>traveled long distances</w:t>
      </w:r>
      <w:r w:rsidR="00C329F8">
        <w:rPr>
          <w:rFonts w:cs="Times New Roman"/>
          <w:szCs w:val="24"/>
        </w:rPr>
        <w:t>, sometimes</w:t>
      </w:r>
      <w:r w:rsidR="005775BA">
        <w:rPr>
          <w:rFonts w:cs="Times New Roman"/>
          <w:szCs w:val="24"/>
        </w:rPr>
        <w:t xml:space="preserve"> in </w:t>
      </w:r>
      <w:r w:rsidR="00DB6121">
        <w:rPr>
          <w:rFonts w:cs="Times New Roman"/>
          <w:szCs w:val="24"/>
        </w:rPr>
        <w:t>bad</w:t>
      </w:r>
      <w:r w:rsidR="005775BA">
        <w:rPr>
          <w:rFonts w:cs="Times New Roman"/>
          <w:szCs w:val="24"/>
        </w:rPr>
        <w:t xml:space="preserve"> weather</w:t>
      </w:r>
      <w:r w:rsidR="00C329F8">
        <w:rPr>
          <w:rFonts w:cs="Times New Roman"/>
          <w:szCs w:val="24"/>
        </w:rPr>
        <w:t xml:space="preserve"> and at least once on</w:t>
      </w:r>
      <w:r w:rsidR="005775BA">
        <w:rPr>
          <w:rFonts w:cs="Times New Roman"/>
          <w:szCs w:val="24"/>
        </w:rPr>
        <w:t xml:space="preserve"> Christmas morning</w:t>
      </w:r>
      <w:r w:rsidR="00C329F8">
        <w:rPr>
          <w:rFonts w:cs="Times New Roman"/>
          <w:szCs w:val="24"/>
        </w:rPr>
        <w:t>.</w:t>
      </w:r>
      <w:r w:rsidR="005775BA">
        <w:rPr>
          <w:rFonts w:cs="Times New Roman"/>
          <w:szCs w:val="24"/>
        </w:rPr>
        <w:t xml:space="preserve"> </w:t>
      </w:r>
      <w:proofErr w:type="gramStart"/>
      <w:r w:rsidR="005775BA">
        <w:rPr>
          <w:rFonts w:cs="Times New Roman"/>
          <w:szCs w:val="24"/>
        </w:rPr>
        <w:t>(Tr. 62</w:t>
      </w:r>
      <w:r w:rsidR="00DB6121">
        <w:rPr>
          <w:rFonts w:cs="Times New Roman"/>
          <w:szCs w:val="24"/>
        </w:rPr>
        <w:t>, 71</w:t>
      </w:r>
      <w:r w:rsidR="005775BA">
        <w:rPr>
          <w:rFonts w:cs="Times New Roman"/>
          <w:szCs w:val="24"/>
        </w:rPr>
        <w:t>.)</w:t>
      </w:r>
      <w:proofErr w:type="gramEnd"/>
      <w:r w:rsidR="00C329F8">
        <w:rPr>
          <w:rFonts w:cs="Times New Roman"/>
          <w:szCs w:val="24"/>
        </w:rPr>
        <w:t xml:space="preserve"> She was</w:t>
      </w:r>
      <w:r w:rsidR="00DC55BC">
        <w:rPr>
          <w:rFonts w:cs="Times New Roman"/>
          <w:szCs w:val="24"/>
        </w:rPr>
        <w:t xml:space="preserve"> injured in a car accident in a snowstorm with a client </w:t>
      </w:r>
      <w:r w:rsidR="00C329F8">
        <w:rPr>
          <w:rFonts w:cs="Times New Roman"/>
          <w:szCs w:val="24"/>
        </w:rPr>
        <w:t xml:space="preserve">in the car. </w:t>
      </w:r>
      <w:proofErr w:type="gramStart"/>
      <w:r w:rsidR="002001DF">
        <w:rPr>
          <w:rFonts w:cs="Times New Roman"/>
          <w:szCs w:val="24"/>
        </w:rPr>
        <w:t>(Tr. 72.)</w:t>
      </w:r>
      <w:proofErr w:type="gramEnd"/>
      <w:r w:rsidR="002001DF">
        <w:rPr>
          <w:rFonts w:cs="Times New Roman"/>
          <w:szCs w:val="24"/>
        </w:rPr>
        <w:t xml:space="preserve"> </w:t>
      </w:r>
      <w:r w:rsidR="00F01DD0">
        <w:rPr>
          <w:rFonts w:cs="Times New Roman"/>
          <w:szCs w:val="24"/>
        </w:rPr>
        <w:t xml:space="preserve">While traveling for work, she once hit a deer, “totaling” a car. </w:t>
      </w:r>
      <w:proofErr w:type="gramStart"/>
      <w:r w:rsidR="00F01DD0">
        <w:rPr>
          <w:rFonts w:cs="Times New Roman"/>
          <w:szCs w:val="24"/>
        </w:rPr>
        <w:t>(Tr. 72.)</w:t>
      </w:r>
      <w:proofErr w:type="gramEnd"/>
      <w:r w:rsidR="00B51078">
        <w:rPr>
          <w:rFonts w:cs="Times New Roman"/>
          <w:szCs w:val="24"/>
        </w:rPr>
        <w:t xml:space="preserve"> </w:t>
      </w:r>
      <w:r w:rsidR="002001DF">
        <w:rPr>
          <w:rFonts w:cs="Times New Roman"/>
          <w:szCs w:val="24"/>
        </w:rPr>
        <w:t xml:space="preserve">She traveled late at night (Tr. 72); of course – that was her shift. </w:t>
      </w:r>
      <w:r w:rsidR="00F01DD0">
        <w:rPr>
          <w:rFonts w:cs="Times New Roman"/>
          <w:szCs w:val="24"/>
        </w:rPr>
        <w:t>Ms. England did have an im</w:t>
      </w:r>
      <w:r w:rsidR="00B51078">
        <w:rPr>
          <w:rFonts w:cs="Times New Roman"/>
          <w:szCs w:val="24"/>
        </w:rPr>
        <w:t xml:space="preserve">portant job but that is not a criterion for Group 2 classification. </w:t>
      </w:r>
    </w:p>
    <w:p w:rsidR="00790BE1" w:rsidRDefault="00790BE1" w:rsidP="00790BE1">
      <w:pPr>
        <w:pStyle w:val="Default"/>
        <w:spacing w:line="480" w:lineRule="auto"/>
        <w:jc w:val="center"/>
        <w:rPr>
          <w:b/>
          <w:color w:val="auto"/>
        </w:rPr>
      </w:pPr>
      <w:r w:rsidRPr="00DB6139">
        <w:rPr>
          <w:b/>
          <w:color w:val="auto"/>
        </w:rPr>
        <w:t>Conclusion</w:t>
      </w:r>
      <w:r>
        <w:rPr>
          <w:b/>
          <w:color w:val="auto"/>
        </w:rPr>
        <w:t xml:space="preserve"> and Order</w:t>
      </w:r>
    </w:p>
    <w:p w:rsidR="00790BE1" w:rsidRPr="00070706" w:rsidRDefault="00790BE1" w:rsidP="0061274C">
      <w:pPr>
        <w:pStyle w:val="Default"/>
        <w:widowControl w:val="0"/>
        <w:spacing w:line="480" w:lineRule="auto"/>
        <w:rPr>
          <w:color w:val="auto"/>
        </w:rPr>
      </w:pPr>
      <w:r>
        <w:rPr>
          <w:color w:val="auto"/>
        </w:rPr>
        <w:tab/>
      </w:r>
      <w:r w:rsidR="0061274C">
        <w:rPr>
          <w:color w:val="auto"/>
        </w:rPr>
        <w:t xml:space="preserve">Fewer than half of the people with whom Ms. England was in contact with were mentally ill. She was not in contact with them for more than half of her working hours. And she did not prove that her contact with them constituted having them in her care, custody, or supervision. Therefore, she does not deserve Group 2 classification. Her application for such classification was properly denied. </w:t>
      </w:r>
    </w:p>
    <w:p w:rsidR="00790BE1" w:rsidRPr="00DB6139" w:rsidRDefault="00790BE1" w:rsidP="00790B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lastRenderedPageBreak/>
        <w:tab/>
      </w:r>
      <w:r w:rsidRPr="00DB6139">
        <w:t xml:space="preserve"> </w:t>
      </w:r>
    </w:p>
    <w:p w:rsidR="00790BE1" w:rsidRPr="00E004B9" w:rsidRDefault="00790BE1" w:rsidP="00790B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790BE1" w:rsidRPr="00E004B9" w:rsidRDefault="00790BE1" w:rsidP="00790B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pPr>
      <w:r w:rsidRPr="00E004B9">
        <w:tab/>
      </w:r>
      <w:r w:rsidRPr="00E004B9">
        <w:tab/>
      </w:r>
      <w:r w:rsidRPr="00E004B9">
        <w:tab/>
      </w:r>
      <w:r w:rsidRPr="00E004B9">
        <w:tab/>
      </w:r>
      <w:r w:rsidRPr="00E004B9">
        <w:tab/>
        <w:t>DIVISION OF ADMINISTRATIVE LAW APPEALS</w:t>
      </w:r>
    </w:p>
    <w:p w:rsidR="00790BE1" w:rsidRPr="00E004B9" w:rsidRDefault="00790BE1" w:rsidP="00790B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pPr>
    </w:p>
    <w:p w:rsidR="00790BE1" w:rsidRPr="00E004B9" w:rsidRDefault="00790BE1" w:rsidP="00790B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pPr>
    </w:p>
    <w:p w:rsidR="00790BE1" w:rsidRPr="00E004B9" w:rsidRDefault="00790BE1" w:rsidP="00790B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pPr>
      <w:r w:rsidRPr="00E004B9">
        <w:tab/>
      </w:r>
      <w:r w:rsidRPr="00E004B9">
        <w:tab/>
      </w:r>
      <w:r w:rsidRPr="00E004B9">
        <w:tab/>
      </w:r>
      <w:r w:rsidRPr="00E004B9">
        <w:tab/>
      </w:r>
      <w:r w:rsidRPr="00E004B9">
        <w:tab/>
        <w:t>__________________________________</w:t>
      </w:r>
    </w:p>
    <w:p w:rsidR="00790BE1" w:rsidRPr="00E004B9" w:rsidRDefault="00790BE1" w:rsidP="00790B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pPr>
      <w:r w:rsidRPr="00E004B9">
        <w:tab/>
      </w:r>
      <w:r w:rsidRPr="00E004B9">
        <w:tab/>
      </w:r>
      <w:r w:rsidRPr="00E004B9">
        <w:tab/>
      </w:r>
      <w:r w:rsidRPr="00E004B9">
        <w:tab/>
      </w:r>
      <w:r w:rsidRPr="00E004B9">
        <w:tab/>
        <w:t>Kenneth Bresler</w:t>
      </w:r>
    </w:p>
    <w:p w:rsidR="00790BE1" w:rsidRPr="00E004B9" w:rsidRDefault="00790BE1" w:rsidP="00790B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pPr>
      <w:r w:rsidRPr="00E004B9">
        <w:tab/>
      </w:r>
      <w:r w:rsidRPr="00E004B9">
        <w:tab/>
      </w:r>
      <w:r w:rsidRPr="00E004B9">
        <w:tab/>
      </w:r>
      <w:r w:rsidRPr="00E004B9">
        <w:tab/>
      </w:r>
      <w:r w:rsidRPr="00E004B9">
        <w:tab/>
        <w:t>Administrative Magistrate</w:t>
      </w:r>
    </w:p>
    <w:p w:rsidR="00790BE1" w:rsidRPr="00E004B9" w:rsidRDefault="00790BE1" w:rsidP="00790B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pPr>
    </w:p>
    <w:p w:rsidR="00790BE1" w:rsidRPr="00E004B9" w:rsidRDefault="00790BE1" w:rsidP="00790B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pPr>
    </w:p>
    <w:p w:rsidR="00790BE1" w:rsidRPr="00E004B9" w:rsidRDefault="00790BE1" w:rsidP="00790B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pPr>
      <w:r w:rsidRPr="000A0ABD">
        <w:t>Dated:</w:t>
      </w:r>
      <w:r w:rsidRPr="00E004B9">
        <w:t xml:space="preserve"> </w:t>
      </w:r>
      <w:r w:rsidR="00392811">
        <w:t>November 2</w:t>
      </w:r>
      <w:r w:rsidR="002724B5">
        <w:t>, 2018</w:t>
      </w:r>
    </w:p>
    <w:p w:rsidR="00790BE1" w:rsidRPr="00E004B9" w:rsidRDefault="00790BE1" w:rsidP="00790B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pPr>
      <w:r w:rsidRPr="00E004B9">
        <w:tab/>
      </w:r>
      <w:r w:rsidRPr="00E004B9">
        <w:tab/>
      </w:r>
      <w:r w:rsidRPr="00E004B9">
        <w:tab/>
      </w:r>
      <w:r w:rsidRPr="00E004B9">
        <w:tab/>
      </w:r>
    </w:p>
    <w:p w:rsidR="00790BE1" w:rsidRPr="00E004B9" w:rsidRDefault="00790BE1" w:rsidP="00790BE1">
      <w:pPr>
        <w:ind w:firstLine="720"/>
      </w:pPr>
    </w:p>
    <w:p w:rsidR="00343DEA" w:rsidRDefault="00343DEA" w:rsidP="00A61B7F">
      <w:pPr>
        <w:widowControl w:val="0"/>
      </w:pPr>
    </w:p>
    <w:sectPr w:rsidR="00343DEA" w:rsidSect="00FB0030">
      <w:footerReference w:type="default" r:id="rId7"/>
      <w:foot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2B9B" w:rsidRDefault="00552B9B">
      <w:pPr>
        <w:spacing w:line="240" w:lineRule="auto"/>
      </w:pPr>
      <w:r>
        <w:separator/>
      </w:r>
    </w:p>
  </w:endnote>
  <w:endnote w:type="continuationSeparator" w:id="0">
    <w:p w:rsidR="00552B9B" w:rsidRDefault="00552B9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40586270"/>
      <w:docPartObj>
        <w:docPartGallery w:val="Page Numbers (Bottom of Page)"/>
        <w:docPartUnique/>
      </w:docPartObj>
    </w:sdtPr>
    <w:sdtEndPr>
      <w:rPr>
        <w:noProof/>
      </w:rPr>
    </w:sdtEndPr>
    <w:sdtContent>
      <w:p w:rsidR="002A1DB8" w:rsidRDefault="00790BE1">
        <w:pPr>
          <w:pStyle w:val="Footer"/>
          <w:jc w:val="center"/>
        </w:pPr>
        <w:r>
          <w:fldChar w:fldCharType="begin"/>
        </w:r>
        <w:r>
          <w:instrText xml:space="preserve"> PAGE   \* MERGEFORMAT </w:instrText>
        </w:r>
        <w:r>
          <w:fldChar w:fldCharType="separate"/>
        </w:r>
        <w:r w:rsidR="006E41C0">
          <w:rPr>
            <w:noProof/>
          </w:rPr>
          <w:t>2</w:t>
        </w:r>
        <w:r>
          <w:rPr>
            <w:noProof/>
          </w:rPr>
          <w:fldChar w:fldCharType="end"/>
        </w:r>
      </w:p>
    </w:sdtContent>
  </w:sdt>
  <w:p w:rsidR="004721C1" w:rsidRDefault="00552B9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21C1" w:rsidRDefault="00552B9B">
    <w:pPr>
      <w:pStyle w:val="Footer"/>
      <w:jc w:val="center"/>
    </w:pPr>
  </w:p>
  <w:p w:rsidR="004721C1" w:rsidRDefault="00552B9B" w:rsidP="00FB0030">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2B9B" w:rsidRDefault="00552B9B">
      <w:pPr>
        <w:spacing w:line="240" w:lineRule="auto"/>
      </w:pPr>
      <w:r>
        <w:separator/>
      </w:r>
    </w:p>
  </w:footnote>
  <w:footnote w:type="continuationSeparator" w:id="0">
    <w:p w:rsidR="00552B9B" w:rsidRDefault="00552B9B">
      <w:pPr>
        <w:spacing w:line="240" w:lineRule="auto"/>
      </w:pPr>
      <w:r>
        <w:continuationSeparator/>
      </w:r>
    </w:p>
  </w:footnote>
  <w:footnote w:id="1">
    <w:p w:rsidR="00AD0DDB" w:rsidRPr="006E2726" w:rsidRDefault="00AD0DDB" w:rsidP="00AD0DDB">
      <w:pPr>
        <w:pStyle w:val="FootnoteText"/>
        <w:widowControl w:val="0"/>
        <w:spacing w:after="120"/>
        <w:rPr>
          <w:sz w:val="24"/>
          <w:szCs w:val="24"/>
        </w:rPr>
      </w:pPr>
      <w:r w:rsidRPr="006E2726">
        <w:rPr>
          <w:rStyle w:val="FootnoteReference"/>
          <w:sz w:val="24"/>
          <w:szCs w:val="24"/>
        </w:rPr>
        <w:footnoteRef/>
      </w:r>
      <w:r w:rsidRPr="006E2726">
        <w:rPr>
          <w:sz w:val="24"/>
          <w:szCs w:val="24"/>
        </w:rPr>
        <w:t xml:space="preserve"> </w:t>
      </w:r>
      <w:r>
        <w:rPr>
          <w:sz w:val="24"/>
          <w:szCs w:val="24"/>
        </w:rPr>
        <w:t>Mr. Salvie</w:t>
      </w:r>
      <w:r w:rsidRPr="006E2726">
        <w:rPr>
          <w:sz w:val="24"/>
          <w:szCs w:val="24"/>
        </w:rPr>
        <w:t xml:space="preserve"> conducted the hearing. Ms. </w:t>
      </w:r>
      <w:proofErr w:type="spellStart"/>
      <w:r w:rsidRPr="006E2726">
        <w:rPr>
          <w:sz w:val="24"/>
          <w:szCs w:val="24"/>
        </w:rPr>
        <w:t>Krusell</w:t>
      </w:r>
      <w:proofErr w:type="spellEnd"/>
      <w:r w:rsidRPr="006E2726">
        <w:rPr>
          <w:sz w:val="24"/>
          <w:szCs w:val="24"/>
        </w:rPr>
        <w:t xml:space="preserve"> wrote the brief.</w:t>
      </w:r>
    </w:p>
  </w:footnote>
  <w:footnote w:id="2">
    <w:p w:rsidR="002E7934" w:rsidRPr="009D229C" w:rsidRDefault="002E7934" w:rsidP="00A40A22">
      <w:pPr>
        <w:pStyle w:val="FootnoteText"/>
        <w:spacing w:after="120"/>
        <w:rPr>
          <w:sz w:val="24"/>
          <w:szCs w:val="24"/>
        </w:rPr>
      </w:pPr>
      <w:r w:rsidRPr="009D229C">
        <w:rPr>
          <w:rStyle w:val="FootnoteReference"/>
          <w:sz w:val="24"/>
          <w:szCs w:val="24"/>
        </w:rPr>
        <w:footnoteRef/>
      </w:r>
      <w:r w:rsidRPr="009D229C">
        <w:rPr>
          <w:sz w:val="24"/>
          <w:szCs w:val="24"/>
        </w:rPr>
        <w:t xml:space="preserve"> Ms. England does not contend that children on the autism spectrum are </w:t>
      </w:r>
      <w:r w:rsidRPr="009D229C">
        <w:rPr>
          <w:i/>
          <w:sz w:val="24"/>
          <w:szCs w:val="24"/>
        </w:rPr>
        <w:t>per se</w:t>
      </w:r>
      <w:r w:rsidRPr="009D229C">
        <w:rPr>
          <w:sz w:val="24"/>
          <w:szCs w:val="24"/>
        </w:rPr>
        <w:t xml:space="preserve"> mentally ill. </w:t>
      </w:r>
      <w:proofErr w:type="gramStart"/>
      <w:r w:rsidRPr="009D229C">
        <w:rPr>
          <w:sz w:val="24"/>
          <w:szCs w:val="24"/>
        </w:rPr>
        <w:t>(Tr. 46.)</w:t>
      </w:r>
      <w:proofErr w:type="gramEnd"/>
    </w:p>
  </w:footnote>
  <w:footnote w:id="3">
    <w:p w:rsidR="009D229C" w:rsidRPr="009D229C" w:rsidRDefault="009D229C" w:rsidP="00A40A22">
      <w:pPr>
        <w:pStyle w:val="FootnoteText"/>
        <w:spacing w:after="120"/>
        <w:rPr>
          <w:sz w:val="24"/>
          <w:szCs w:val="24"/>
        </w:rPr>
      </w:pPr>
      <w:r w:rsidRPr="009D229C">
        <w:rPr>
          <w:rStyle w:val="FootnoteReference"/>
          <w:sz w:val="24"/>
          <w:szCs w:val="24"/>
        </w:rPr>
        <w:footnoteRef/>
      </w:r>
      <w:r w:rsidRPr="009D229C">
        <w:rPr>
          <w:sz w:val="24"/>
          <w:szCs w:val="24"/>
        </w:rPr>
        <w:t xml:space="preserve"> </w:t>
      </w:r>
      <w:r w:rsidRPr="00A40A22">
        <w:rPr>
          <w:sz w:val="24"/>
          <w:szCs w:val="24"/>
        </w:rPr>
        <w:t xml:space="preserve">The percentage of children </w:t>
      </w:r>
      <w:r w:rsidR="00AE174E" w:rsidRPr="00A40A22">
        <w:rPr>
          <w:sz w:val="24"/>
          <w:szCs w:val="24"/>
        </w:rPr>
        <w:t xml:space="preserve">who were </w:t>
      </w:r>
      <w:r w:rsidRPr="00A40A22">
        <w:rPr>
          <w:sz w:val="24"/>
          <w:szCs w:val="24"/>
        </w:rPr>
        <w:t>on the autism spectrum</w:t>
      </w:r>
      <w:r w:rsidR="00AE174E" w:rsidRPr="00A40A22">
        <w:rPr>
          <w:sz w:val="24"/>
          <w:szCs w:val="24"/>
        </w:rPr>
        <w:t>, had</w:t>
      </w:r>
      <w:r w:rsidRPr="00A40A22">
        <w:rPr>
          <w:sz w:val="24"/>
          <w:szCs w:val="24"/>
        </w:rPr>
        <w:t xml:space="preserve"> drug problems, </w:t>
      </w:r>
      <w:r w:rsidR="00AE174E" w:rsidRPr="00A40A22">
        <w:rPr>
          <w:sz w:val="24"/>
          <w:szCs w:val="24"/>
        </w:rPr>
        <w:t xml:space="preserve">had </w:t>
      </w:r>
      <w:r w:rsidRPr="00A40A22">
        <w:rPr>
          <w:sz w:val="24"/>
          <w:szCs w:val="24"/>
        </w:rPr>
        <w:t>emotional problems</w:t>
      </w:r>
      <w:r w:rsidR="00AE174E" w:rsidRPr="00A40A22">
        <w:rPr>
          <w:sz w:val="24"/>
          <w:szCs w:val="24"/>
        </w:rPr>
        <w:t>, and were bipolar and psychotic does not total 100</w:t>
      </w:r>
      <w:r w:rsidR="0008033F" w:rsidRPr="00A40A22">
        <w:rPr>
          <w:sz w:val="24"/>
          <w:szCs w:val="24"/>
        </w:rPr>
        <w:t xml:space="preserve">. </w:t>
      </w:r>
      <w:r w:rsidR="00794159" w:rsidRPr="00A40A22">
        <w:rPr>
          <w:sz w:val="24"/>
          <w:szCs w:val="24"/>
        </w:rPr>
        <w:t xml:space="preserve">It is unclear why not – due to Ms. England’s </w:t>
      </w:r>
      <w:r w:rsidR="00A40A22" w:rsidRPr="00A40A22">
        <w:rPr>
          <w:sz w:val="24"/>
          <w:szCs w:val="24"/>
        </w:rPr>
        <w:t xml:space="preserve">inexact </w:t>
      </w:r>
      <w:r w:rsidR="00794159" w:rsidRPr="00A40A22">
        <w:rPr>
          <w:sz w:val="24"/>
          <w:szCs w:val="24"/>
        </w:rPr>
        <w:t xml:space="preserve">estimates or </w:t>
      </w:r>
      <w:r w:rsidR="00AE174E" w:rsidRPr="00A40A22">
        <w:rPr>
          <w:sz w:val="24"/>
          <w:szCs w:val="24"/>
        </w:rPr>
        <w:t>because some of the children in the first three categories were also bipolar and psychotic.</w:t>
      </w:r>
    </w:p>
  </w:footnote>
  <w:footnote w:id="4">
    <w:p w:rsidR="00A40A22" w:rsidRPr="00A40A22" w:rsidRDefault="00A40A22" w:rsidP="00A40A22">
      <w:pPr>
        <w:pStyle w:val="FootnoteText"/>
        <w:widowControl w:val="0"/>
        <w:spacing w:after="120"/>
        <w:rPr>
          <w:sz w:val="24"/>
          <w:szCs w:val="24"/>
        </w:rPr>
      </w:pPr>
      <w:r w:rsidRPr="00A40A22">
        <w:rPr>
          <w:rStyle w:val="FootnoteReference"/>
          <w:sz w:val="24"/>
          <w:szCs w:val="24"/>
        </w:rPr>
        <w:footnoteRef/>
      </w:r>
      <w:r w:rsidRPr="00A40A22">
        <w:rPr>
          <w:sz w:val="24"/>
          <w:szCs w:val="24"/>
        </w:rPr>
        <w:t xml:space="preserve"> There is no evidence whether these runaways were mentally ill.</w:t>
      </w:r>
    </w:p>
  </w:footnote>
  <w:footnote w:id="5">
    <w:p w:rsidR="00022CAF" w:rsidRPr="00A40A22" w:rsidRDefault="00022CAF" w:rsidP="00A40A22">
      <w:pPr>
        <w:pStyle w:val="FootnoteText"/>
        <w:widowControl w:val="0"/>
        <w:spacing w:after="120"/>
        <w:rPr>
          <w:sz w:val="24"/>
          <w:szCs w:val="24"/>
        </w:rPr>
      </w:pPr>
      <w:r w:rsidRPr="00A40A22">
        <w:rPr>
          <w:rStyle w:val="FootnoteReference"/>
          <w:sz w:val="24"/>
          <w:szCs w:val="24"/>
        </w:rPr>
        <w:footnoteRef/>
      </w:r>
      <w:r w:rsidRPr="00A40A22">
        <w:rPr>
          <w:sz w:val="24"/>
          <w:szCs w:val="24"/>
        </w:rPr>
        <w:t xml:space="preserve"> It</w:t>
      </w:r>
      <w:r w:rsidR="00A40A22" w:rsidRPr="00A40A22">
        <w:rPr>
          <w:sz w:val="24"/>
          <w:szCs w:val="24"/>
        </w:rPr>
        <w:t xml:space="preserve"> is unclear whether a child in the hospital was in her care</w:t>
      </w:r>
      <w:r w:rsidR="0061274C">
        <w:rPr>
          <w:sz w:val="24"/>
          <w:szCs w:val="24"/>
        </w:rPr>
        <w:t>,</w:t>
      </w:r>
      <w:r w:rsidR="00A40A22" w:rsidRPr="00A40A22">
        <w:rPr>
          <w:sz w:val="24"/>
          <w:szCs w:val="24"/>
        </w:rPr>
        <w:t xml:space="preserve"> custody,</w:t>
      </w:r>
      <w:r w:rsidR="0061274C">
        <w:rPr>
          <w:sz w:val="24"/>
          <w:szCs w:val="24"/>
        </w:rPr>
        <w:t xml:space="preserve"> or supervision,</w:t>
      </w:r>
      <w:r w:rsidR="00A40A22" w:rsidRPr="00A40A22">
        <w:rPr>
          <w:sz w:val="24"/>
          <w:szCs w:val="24"/>
        </w:rPr>
        <w:t xml:space="preserve"> but Ms. England did not prove that that was the case.</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0BE1"/>
    <w:rsid w:val="0001309C"/>
    <w:rsid w:val="00015CBA"/>
    <w:rsid w:val="00022CAF"/>
    <w:rsid w:val="000540CA"/>
    <w:rsid w:val="0008033F"/>
    <w:rsid w:val="00083F03"/>
    <w:rsid w:val="00087EA0"/>
    <w:rsid w:val="00096EE7"/>
    <w:rsid w:val="000A403C"/>
    <w:rsid w:val="000C0FF8"/>
    <w:rsid w:val="000C7309"/>
    <w:rsid w:val="0010375D"/>
    <w:rsid w:val="00112DCC"/>
    <w:rsid w:val="00125AA2"/>
    <w:rsid w:val="00133AB2"/>
    <w:rsid w:val="001354B3"/>
    <w:rsid w:val="001356B7"/>
    <w:rsid w:val="001519BF"/>
    <w:rsid w:val="001F4F63"/>
    <w:rsid w:val="002001DF"/>
    <w:rsid w:val="00210C9F"/>
    <w:rsid w:val="00226941"/>
    <w:rsid w:val="00255A4C"/>
    <w:rsid w:val="002724B5"/>
    <w:rsid w:val="002B7351"/>
    <w:rsid w:val="002E49ED"/>
    <w:rsid w:val="002E7934"/>
    <w:rsid w:val="00320BFA"/>
    <w:rsid w:val="00343DEA"/>
    <w:rsid w:val="003638EA"/>
    <w:rsid w:val="00372DCB"/>
    <w:rsid w:val="00392811"/>
    <w:rsid w:val="00397F1D"/>
    <w:rsid w:val="003E1670"/>
    <w:rsid w:val="003F2C7B"/>
    <w:rsid w:val="003F37D1"/>
    <w:rsid w:val="004012A6"/>
    <w:rsid w:val="00463BCF"/>
    <w:rsid w:val="004703E6"/>
    <w:rsid w:val="0049278B"/>
    <w:rsid w:val="004C4CCA"/>
    <w:rsid w:val="004D2A49"/>
    <w:rsid w:val="004E19CD"/>
    <w:rsid w:val="004E5CF4"/>
    <w:rsid w:val="005008CE"/>
    <w:rsid w:val="0051064A"/>
    <w:rsid w:val="00525BCB"/>
    <w:rsid w:val="005313D0"/>
    <w:rsid w:val="00534924"/>
    <w:rsid w:val="005403E6"/>
    <w:rsid w:val="00542FD5"/>
    <w:rsid w:val="00552B9B"/>
    <w:rsid w:val="005775BA"/>
    <w:rsid w:val="005B1879"/>
    <w:rsid w:val="005C2960"/>
    <w:rsid w:val="005D227B"/>
    <w:rsid w:val="005D4DD5"/>
    <w:rsid w:val="00607290"/>
    <w:rsid w:val="00607900"/>
    <w:rsid w:val="0061274C"/>
    <w:rsid w:val="0067749D"/>
    <w:rsid w:val="006858CD"/>
    <w:rsid w:val="006B3091"/>
    <w:rsid w:val="006C48B9"/>
    <w:rsid w:val="006E1FE7"/>
    <w:rsid w:val="006E2726"/>
    <w:rsid w:val="006E41C0"/>
    <w:rsid w:val="0072146D"/>
    <w:rsid w:val="00744738"/>
    <w:rsid w:val="00750C6C"/>
    <w:rsid w:val="00772309"/>
    <w:rsid w:val="00774F12"/>
    <w:rsid w:val="00790BE1"/>
    <w:rsid w:val="00794159"/>
    <w:rsid w:val="007F5AB0"/>
    <w:rsid w:val="00815529"/>
    <w:rsid w:val="008225E3"/>
    <w:rsid w:val="008479FA"/>
    <w:rsid w:val="008A3D20"/>
    <w:rsid w:val="008E4CA3"/>
    <w:rsid w:val="00920A09"/>
    <w:rsid w:val="00964AA9"/>
    <w:rsid w:val="009D229C"/>
    <w:rsid w:val="009E47A4"/>
    <w:rsid w:val="00A24117"/>
    <w:rsid w:val="00A40A22"/>
    <w:rsid w:val="00A61B7F"/>
    <w:rsid w:val="00A96545"/>
    <w:rsid w:val="00AA61BF"/>
    <w:rsid w:val="00AB3730"/>
    <w:rsid w:val="00AB74C8"/>
    <w:rsid w:val="00AC06C3"/>
    <w:rsid w:val="00AD0DDB"/>
    <w:rsid w:val="00AD5C27"/>
    <w:rsid w:val="00AE174E"/>
    <w:rsid w:val="00B11013"/>
    <w:rsid w:val="00B22A2F"/>
    <w:rsid w:val="00B51078"/>
    <w:rsid w:val="00B60698"/>
    <w:rsid w:val="00B60C6D"/>
    <w:rsid w:val="00B654AB"/>
    <w:rsid w:val="00B6697C"/>
    <w:rsid w:val="00B70FA4"/>
    <w:rsid w:val="00B74AFA"/>
    <w:rsid w:val="00B90614"/>
    <w:rsid w:val="00B9589D"/>
    <w:rsid w:val="00BB300E"/>
    <w:rsid w:val="00BB40F3"/>
    <w:rsid w:val="00BF28E1"/>
    <w:rsid w:val="00C0091B"/>
    <w:rsid w:val="00C01828"/>
    <w:rsid w:val="00C05083"/>
    <w:rsid w:val="00C329F8"/>
    <w:rsid w:val="00C353A0"/>
    <w:rsid w:val="00C61FC4"/>
    <w:rsid w:val="00C6221D"/>
    <w:rsid w:val="00CE1503"/>
    <w:rsid w:val="00CF0433"/>
    <w:rsid w:val="00D26344"/>
    <w:rsid w:val="00D275F8"/>
    <w:rsid w:val="00D33FB9"/>
    <w:rsid w:val="00D34BFD"/>
    <w:rsid w:val="00D55A49"/>
    <w:rsid w:val="00DB5E7B"/>
    <w:rsid w:val="00DB6121"/>
    <w:rsid w:val="00DC55BC"/>
    <w:rsid w:val="00E13217"/>
    <w:rsid w:val="00E21279"/>
    <w:rsid w:val="00E31FDC"/>
    <w:rsid w:val="00E322D7"/>
    <w:rsid w:val="00E645B4"/>
    <w:rsid w:val="00E8307A"/>
    <w:rsid w:val="00E91910"/>
    <w:rsid w:val="00EB45B7"/>
    <w:rsid w:val="00EC2FA4"/>
    <w:rsid w:val="00EC5D20"/>
    <w:rsid w:val="00F00514"/>
    <w:rsid w:val="00F01DD0"/>
    <w:rsid w:val="00F359A9"/>
    <w:rsid w:val="00F55FAB"/>
    <w:rsid w:val="00F91AEC"/>
    <w:rsid w:val="00FA45FF"/>
    <w:rsid w:val="00FD433C"/>
    <w:rsid w:val="00FE6F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0BE1"/>
    <w:pPr>
      <w:spacing w:line="48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90BE1"/>
    <w:pPr>
      <w:autoSpaceDE w:val="0"/>
      <w:autoSpaceDN w:val="0"/>
      <w:adjustRightInd w:val="0"/>
    </w:pPr>
    <w:rPr>
      <w:rFonts w:ascii="Times New Roman" w:hAnsi="Times New Roman" w:cs="Times New Roman"/>
      <w:color w:val="000000"/>
      <w:sz w:val="24"/>
      <w:szCs w:val="24"/>
    </w:rPr>
  </w:style>
  <w:style w:type="paragraph" w:styleId="Footer">
    <w:name w:val="footer"/>
    <w:basedOn w:val="Normal"/>
    <w:link w:val="FooterChar"/>
    <w:uiPriority w:val="99"/>
    <w:unhideWhenUsed/>
    <w:rsid w:val="00790BE1"/>
    <w:pPr>
      <w:tabs>
        <w:tab w:val="center" w:pos="4680"/>
        <w:tab w:val="right" w:pos="9360"/>
      </w:tabs>
      <w:spacing w:line="240" w:lineRule="auto"/>
    </w:pPr>
  </w:style>
  <w:style w:type="character" w:customStyle="1" w:styleId="FooterChar">
    <w:name w:val="Footer Char"/>
    <w:basedOn w:val="DefaultParagraphFont"/>
    <w:link w:val="Footer"/>
    <w:uiPriority w:val="99"/>
    <w:rsid w:val="00790BE1"/>
    <w:rPr>
      <w:rFonts w:ascii="Times New Roman" w:hAnsi="Times New Roman"/>
      <w:sz w:val="24"/>
    </w:rPr>
  </w:style>
  <w:style w:type="paragraph" w:styleId="FootnoteText">
    <w:name w:val="footnote text"/>
    <w:basedOn w:val="Normal"/>
    <w:link w:val="FootnoteTextChar"/>
    <w:uiPriority w:val="99"/>
    <w:semiHidden/>
    <w:unhideWhenUsed/>
    <w:rsid w:val="006E2726"/>
    <w:pPr>
      <w:spacing w:line="240" w:lineRule="auto"/>
    </w:pPr>
    <w:rPr>
      <w:sz w:val="20"/>
      <w:szCs w:val="20"/>
    </w:rPr>
  </w:style>
  <w:style w:type="character" w:customStyle="1" w:styleId="FootnoteTextChar">
    <w:name w:val="Footnote Text Char"/>
    <w:basedOn w:val="DefaultParagraphFont"/>
    <w:link w:val="FootnoteText"/>
    <w:uiPriority w:val="99"/>
    <w:semiHidden/>
    <w:rsid w:val="006E2726"/>
    <w:rPr>
      <w:rFonts w:ascii="Times New Roman" w:hAnsi="Times New Roman"/>
      <w:sz w:val="20"/>
      <w:szCs w:val="20"/>
    </w:rPr>
  </w:style>
  <w:style w:type="character" w:styleId="FootnoteReference">
    <w:name w:val="footnote reference"/>
    <w:basedOn w:val="DefaultParagraphFont"/>
    <w:uiPriority w:val="99"/>
    <w:semiHidden/>
    <w:unhideWhenUsed/>
    <w:rsid w:val="006E2726"/>
    <w:rPr>
      <w:vertAlign w:val="superscript"/>
    </w:rPr>
  </w:style>
  <w:style w:type="paragraph" w:styleId="Header">
    <w:name w:val="header"/>
    <w:basedOn w:val="Normal"/>
    <w:link w:val="HeaderChar"/>
    <w:uiPriority w:val="99"/>
    <w:unhideWhenUsed/>
    <w:rsid w:val="0061274C"/>
    <w:pPr>
      <w:tabs>
        <w:tab w:val="center" w:pos="4680"/>
        <w:tab w:val="right" w:pos="9360"/>
      </w:tabs>
      <w:spacing w:line="240" w:lineRule="auto"/>
    </w:pPr>
  </w:style>
  <w:style w:type="character" w:customStyle="1" w:styleId="HeaderChar">
    <w:name w:val="Header Char"/>
    <w:basedOn w:val="DefaultParagraphFont"/>
    <w:link w:val="Header"/>
    <w:uiPriority w:val="99"/>
    <w:rsid w:val="0061274C"/>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0BE1"/>
    <w:pPr>
      <w:spacing w:line="48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90BE1"/>
    <w:pPr>
      <w:autoSpaceDE w:val="0"/>
      <w:autoSpaceDN w:val="0"/>
      <w:adjustRightInd w:val="0"/>
    </w:pPr>
    <w:rPr>
      <w:rFonts w:ascii="Times New Roman" w:hAnsi="Times New Roman" w:cs="Times New Roman"/>
      <w:color w:val="000000"/>
      <w:sz w:val="24"/>
      <w:szCs w:val="24"/>
    </w:rPr>
  </w:style>
  <w:style w:type="paragraph" w:styleId="Footer">
    <w:name w:val="footer"/>
    <w:basedOn w:val="Normal"/>
    <w:link w:val="FooterChar"/>
    <w:uiPriority w:val="99"/>
    <w:unhideWhenUsed/>
    <w:rsid w:val="00790BE1"/>
    <w:pPr>
      <w:tabs>
        <w:tab w:val="center" w:pos="4680"/>
        <w:tab w:val="right" w:pos="9360"/>
      </w:tabs>
      <w:spacing w:line="240" w:lineRule="auto"/>
    </w:pPr>
  </w:style>
  <w:style w:type="character" w:customStyle="1" w:styleId="FooterChar">
    <w:name w:val="Footer Char"/>
    <w:basedOn w:val="DefaultParagraphFont"/>
    <w:link w:val="Footer"/>
    <w:uiPriority w:val="99"/>
    <w:rsid w:val="00790BE1"/>
    <w:rPr>
      <w:rFonts w:ascii="Times New Roman" w:hAnsi="Times New Roman"/>
      <w:sz w:val="24"/>
    </w:rPr>
  </w:style>
  <w:style w:type="paragraph" w:styleId="FootnoteText">
    <w:name w:val="footnote text"/>
    <w:basedOn w:val="Normal"/>
    <w:link w:val="FootnoteTextChar"/>
    <w:uiPriority w:val="99"/>
    <w:semiHidden/>
    <w:unhideWhenUsed/>
    <w:rsid w:val="006E2726"/>
    <w:pPr>
      <w:spacing w:line="240" w:lineRule="auto"/>
    </w:pPr>
    <w:rPr>
      <w:sz w:val="20"/>
      <w:szCs w:val="20"/>
    </w:rPr>
  </w:style>
  <w:style w:type="character" w:customStyle="1" w:styleId="FootnoteTextChar">
    <w:name w:val="Footnote Text Char"/>
    <w:basedOn w:val="DefaultParagraphFont"/>
    <w:link w:val="FootnoteText"/>
    <w:uiPriority w:val="99"/>
    <w:semiHidden/>
    <w:rsid w:val="006E2726"/>
    <w:rPr>
      <w:rFonts w:ascii="Times New Roman" w:hAnsi="Times New Roman"/>
      <w:sz w:val="20"/>
      <w:szCs w:val="20"/>
    </w:rPr>
  </w:style>
  <w:style w:type="character" w:styleId="FootnoteReference">
    <w:name w:val="footnote reference"/>
    <w:basedOn w:val="DefaultParagraphFont"/>
    <w:uiPriority w:val="99"/>
    <w:semiHidden/>
    <w:unhideWhenUsed/>
    <w:rsid w:val="006E2726"/>
    <w:rPr>
      <w:vertAlign w:val="superscript"/>
    </w:rPr>
  </w:style>
  <w:style w:type="paragraph" w:styleId="Header">
    <w:name w:val="header"/>
    <w:basedOn w:val="Normal"/>
    <w:link w:val="HeaderChar"/>
    <w:uiPriority w:val="99"/>
    <w:unhideWhenUsed/>
    <w:rsid w:val="0061274C"/>
    <w:pPr>
      <w:tabs>
        <w:tab w:val="center" w:pos="4680"/>
        <w:tab w:val="right" w:pos="9360"/>
      </w:tabs>
      <w:spacing w:line="240" w:lineRule="auto"/>
    </w:pPr>
  </w:style>
  <w:style w:type="character" w:customStyle="1" w:styleId="HeaderChar">
    <w:name w:val="Header Char"/>
    <w:basedOn w:val="DefaultParagraphFont"/>
    <w:link w:val="Header"/>
    <w:uiPriority w:val="99"/>
    <w:rsid w:val="0061274C"/>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1685</Words>
  <Characters>9609</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11272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ANF</dc:creator>
  <cp:lastModifiedBy>ANF</cp:lastModifiedBy>
  <cp:revision>2</cp:revision>
  <cp:lastPrinted>2018-11-01T14:40:00Z</cp:lastPrinted>
  <dcterms:created xsi:type="dcterms:W3CDTF">2018-11-10T00:12:00Z</dcterms:created>
  <dcterms:modified xsi:type="dcterms:W3CDTF">2018-11-10T00:12:00Z</dcterms:modified>
</cp:coreProperties>
</file>