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37D25" w14:textId="3A7926A0" w:rsidR="00991E53" w:rsidRPr="00677149" w:rsidRDefault="00991E53" w:rsidP="00991E53">
      <w:pPr>
        <w:spacing w:after="120" w:line="240" w:lineRule="auto"/>
        <w:jc w:val="center"/>
        <w:rPr>
          <w:rFonts w:ascii="Franklin Gothic Demi" w:hAnsi="Franklin Gothic Demi" w:cs="Arial"/>
          <w:b/>
          <w:noProof/>
          <w:sz w:val="28"/>
          <w:u w:val="single"/>
          <w14:ligatures w14:val="standardContextual"/>
        </w:rPr>
      </w:pPr>
      <w:r w:rsidRPr="0072654F">
        <w:rPr>
          <w:rFonts w:ascii="Franklin Gothic Demi" w:hAnsi="Franklin Gothic Demi" w:cs="Arial"/>
          <w:noProof/>
          <w:sz w:val="24"/>
          <w14:ligatures w14:val="standardContextual"/>
        </w:rPr>
        <mc:AlternateContent>
          <mc:Choice Requires="wps">
            <w:drawing>
              <wp:anchor distT="0" distB="0" distL="114300" distR="114300" simplePos="0" relativeHeight="251662336" behindDoc="0" locked="0" layoutInCell="1" allowOverlap="1" wp14:anchorId="6733BD94" wp14:editId="46FCC73C">
                <wp:simplePos x="0" y="0"/>
                <wp:positionH relativeFrom="column">
                  <wp:posOffset>-91440</wp:posOffset>
                </wp:positionH>
                <wp:positionV relativeFrom="paragraph">
                  <wp:posOffset>0</wp:posOffset>
                </wp:positionV>
                <wp:extent cx="1203960" cy="1104900"/>
                <wp:effectExtent l="0" t="0" r="0" b="0"/>
                <wp:wrapThrough wrapText="bothSides">
                  <wp:wrapPolygon edited="0">
                    <wp:start x="0" y="0"/>
                    <wp:lineTo x="0" y="21228"/>
                    <wp:lineTo x="21190" y="21228"/>
                    <wp:lineTo x="21190" y="0"/>
                    <wp:lineTo x="0" y="0"/>
                  </wp:wrapPolygon>
                </wp:wrapThrough>
                <wp:docPr id="1752985670" name="Text Box 2"/>
                <wp:cNvGraphicFramePr/>
                <a:graphic xmlns:a="http://schemas.openxmlformats.org/drawingml/2006/main">
                  <a:graphicData uri="http://schemas.microsoft.com/office/word/2010/wordprocessingShape">
                    <wps:wsp>
                      <wps:cNvSpPr txBox="1"/>
                      <wps:spPr>
                        <a:xfrm>
                          <a:off x="0" y="0"/>
                          <a:ext cx="1203960" cy="1104900"/>
                        </a:xfrm>
                        <a:prstGeom prst="rect">
                          <a:avLst/>
                        </a:prstGeom>
                        <a:solidFill>
                          <a:sysClr val="window" lastClr="FFFFFF"/>
                        </a:solidFill>
                        <a:ln w="6350">
                          <a:noFill/>
                        </a:ln>
                      </wps:spPr>
                      <wps:txbx>
                        <w:txbxContent>
                          <w:p w14:paraId="7DB58303" w14:textId="77777777" w:rsidR="00991E53" w:rsidRDefault="00991E53" w:rsidP="00991E53">
                            <w:r>
                              <w:rPr>
                                <w:noProof/>
                              </w:rPr>
                              <w:drawing>
                                <wp:inline distT="0" distB="0" distL="0" distR="0" wp14:anchorId="60C4BB67" wp14:editId="76564ECF">
                                  <wp:extent cx="982980" cy="987796"/>
                                  <wp:effectExtent l="0" t="0" r="7620" b="3175"/>
                                  <wp:docPr id="2118325680" name="Picture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325680" name="Picture 1" descr="Qr code"/>
                                          <pic:cNvPicPr/>
                                        </pic:nvPicPr>
                                        <pic:blipFill>
                                          <a:blip r:embed="rId7"/>
                                          <a:stretch>
                                            <a:fillRect/>
                                          </a:stretch>
                                        </pic:blipFill>
                                        <pic:spPr>
                                          <a:xfrm>
                                            <a:off x="0" y="0"/>
                                            <a:ext cx="986119" cy="9909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3BD94" id="_x0000_t202" coordsize="21600,21600" o:spt="202" path="m,l,21600r21600,l21600,xe">
                <v:stroke joinstyle="miter"/>
                <v:path gradientshapeok="t" o:connecttype="rect"/>
              </v:shapetype>
              <v:shape id="Text Box 2" o:spid="_x0000_s1026" type="#_x0000_t202" style="position:absolute;left:0;text-align:left;margin-left:-7.2pt;margin-top:0;width:94.8pt;height: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" fillcolor="window" stroked="f" strokeweight=".5pt">
                <v:textbox>
                  <w:txbxContent>
                    <w:p w14:paraId="7DB58303" w14:textId="77777777" w:rsidR="00991E53" w:rsidRDefault="00991E53" w:rsidP="00991E53">
                      <w:r>
                        <w:rPr>
                          <w:noProof/>
                        </w:rPr>
                        <w:drawing>
                          <wp:inline distT="0" distB="0" distL="0" distR="0" wp14:anchorId="60C4BB67" wp14:editId="76564ECF">
                            <wp:extent cx="982980" cy="987796"/>
                            <wp:effectExtent l="0" t="0" r="7620" b="3175"/>
                            <wp:docPr id="2118325680" name="Picture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325680" name="Picture 1" descr="Qr code"/>
                                    <pic:cNvPicPr/>
                                  </pic:nvPicPr>
                                  <pic:blipFill>
                                    <a:blip r:embed="rId8"/>
                                    <a:stretch>
                                      <a:fillRect/>
                                    </a:stretch>
                                  </pic:blipFill>
                                  <pic:spPr>
                                    <a:xfrm>
                                      <a:off x="0" y="0"/>
                                      <a:ext cx="986119" cy="990950"/>
                                    </a:xfrm>
                                    <a:prstGeom prst="rect">
                                      <a:avLst/>
                                    </a:prstGeom>
                                  </pic:spPr>
                                </pic:pic>
                              </a:graphicData>
                            </a:graphic>
                          </wp:inline>
                        </w:drawing>
                      </w:r>
                    </w:p>
                  </w:txbxContent>
                </v:textbox>
                <w10:wrap type="through"/>
              </v:shape>
            </w:pict>
          </mc:Fallback>
        </mc:AlternateContent>
      </w:r>
      <w:r w:rsidRPr="0072654F">
        <w:rPr>
          <w:rFonts w:ascii="Franklin Gothic Demi" w:hAnsi="Franklin Gothic Demi"/>
          <w:b/>
          <w:noProof/>
          <w:sz w:val="28"/>
          <w:u w:val="single"/>
          <w14:ligatures w14:val="standardContextual"/>
        </w:rPr>
        <mc:AlternateContent>
          <mc:Choice Requires="wps">
            <w:drawing>
              <wp:anchor distT="0" distB="0" distL="114300" distR="114300" simplePos="0" relativeHeight="251661312" behindDoc="1" locked="0" layoutInCell="1" allowOverlap="1" wp14:anchorId="6A7414EC" wp14:editId="0253908F">
                <wp:simplePos x="0" y="0"/>
                <wp:positionH relativeFrom="column">
                  <wp:posOffset>5455920</wp:posOffset>
                </wp:positionH>
                <wp:positionV relativeFrom="paragraph">
                  <wp:posOffset>0</wp:posOffset>
                </wp:positionV>
                <wp:extent cx="1447800" cy="937260"/>
                <wp:effectExtent l="0" t="0" r="0" b="0"/>
                <wp:wrapThrough wrapText="bothSides">
                  <wp:wrapPolygon edited="0">
                    <wp:start x="0" y="0"/>
                    <wp:lineTo x="0" y="21073"/>
                    <wp:lineTo x="21316" y="21073"/>
                    <wp:lineTo x="21316" y="0"/>
                    <wp:lineTo x="0" y="0"/>
                  </wp:wrapPolygon>
                </wp:wrapThrough>
                <wp:docPr id="1374330870" name="Text Box 1"/>
                <wp:cNvGraphicFramePr/>
                <a:graphic xmlns:a="http://schemas.openxmlformats.org/drawingml/2006/main">
                  <a:graphicData uri="http://schemas.microsoft.com/office/word/2010/wordprocessingShape">
                    <wps:wsp>
                      <wps:cNvSpPr txBox="1"/>
                      <wps:spPr>
                        <a:xfrm>
                          <a:off x="0" y="0"/>
                          <a:ext cx="1447800" cy="937260"/>
                        </a:xfrm>
                        <a:prstGeom prst="rect">
                          <a:avLst/>
                        </a:prstGeom>
                        <a:solidFill>
                          <a:sysClr val="window" lastClr="FFFFFF"/>
                        </a:solidFill>
                        <a:ln w="6350">
                          <a:noFill/>
                        </a:ln>
                      </wps:spPr>
                      <wps:txbx>
                        <w:txbxContent>
                          <w:p w14:paraId="681A46B8" w14:textId="77777777" w:rsidR="00991E53" w:rsidRDefault="00991E53" w:rsidP="00991E53">
                            <w:r w:rsidRPr="00DE64F7">
                              <w:rPr>
                                <w:rFonts w:ascii="Arial" w:hAnsi="Arial" w:cs="Arial"/>
                                <w:noProof/>
                                <w:sz w:val="36"/>
                                <w:szCs w:val="36"/>
                              </w:rPr>
                              <w:drawing>
                                <wp:inline distT="0" distB="0" distL="0" distR="0" wp14:anchorId="58F311CB" wp14:editId="7FFE6E89">
                                  <wp:extent cx="1258570" cy="815146"/>
                                  <wp:effectExtent l="0" t="0" r="0" b="4445"/>
                                  <wp:docPr id="1199589966" name="Picture 2"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9589966" name="Picture 2" descr="Logo"/>
                                          <pic:cNvPicPr preferRelativeResize="0"/>
                                        </pic:nvPicPr>
                                        <pic:blipFill>
                                          <a:blip r:embed="rId9">
                                            <a:extLst>
                                              <a:ext uri="{28A0092B-C50C-407E-A947-70E740481C1C}">
                                                <a14:useLocalDpi xmlns:a14="http://schemas.microsoft.com/office/drawing/2010/main" val="0"/>
                                              </a:ext>
                                            </a:extLst>
                                          </a:blip>
                                          <a:stretch>
                                            <a:fillRect/>
                                          </a:stretch>
                                        </pic:blipFill>
                                        <pic:spPr>
                                          <a:xfrm>
                                            <a:off x="0" y="0"/>
                                            <a:ext cx="1258570" cy="81514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7414EC" id="Text Box 1" o:spid="_x0000_s1027" type="#_x0000_t202" style="position:absolute;left:0;text-align:left;margin-left:429.6pt;margin-top:0;width:114pt;height:73.8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" fillcolor="window" stroked="f" strokeweight=".5pt">
                <v:textbox>
                  <w:txbxContent>
                    <w:p w14:paraId="681A46B8" w14:textId="77777777" w:rsidR="00991E53" w:rsidRDefault="00991E53" w:rsidP="00991E53">
                      <w:r w:rsidRPr="00DE64F7">
                        <w:rPr>
                          <w:rFonts w:ascii="Arial" w:hAnsi="Arial" w:cs="Arial"/>
                          <w:noProof/>
                          <w:sz w:val="36"/>
                          <w:szCs w:val="36"/>
                        </w:rPr>
                        <w:drawing>
                          <wp:inline distT="0" distB="0" distL="0" distR="0" wp14:anchorId="58F311CB" wp14:editId="7FFE6E89">
                            <wp:extent cx="1258570" cy="815146"/>
                            <wp:effectExtent l="0" t="0" r="0" b="4445"/>
                            <wp:docPr id="1199589966" name="Picture 2"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9589966" name="Picture 2" descr="Logo"/>
                                    <pic:cNvPicPr preferRelativeResize="0"/>
                                  </pic:nvPicPr>
                                  <pic:blipFill>
                                    <a:blip r:embed="rId10">
                                      <a:extLst>
                                        <a:ext uri="{28A0092B-C50C-407E-A947-70E740481C1C}">
                                          <a14:useLocalDpi xmlns:a14="http://schemas.microsoft.com/office/drawing/2010/main" val="0"/>
                                        </a:ext>
                                      </a:extLst>
                                    </a:blip>
                                    <a:stretch>
                                      <a:fillRect/>
                                    </a:stretch>
                                  </pic:blipFill>
                                  <pic:spPr>
                                    <a:xfrm>
                                      <a:off x="0" y="0"/>
                                      <a:ext cx="1258570" cy="815146"/>
                                    </a:xfrm>
                                    <a:prstGeom prst="rect">
                                      <a:avLst/>
                                    </a:prstGeom>
                                  </pic:spPr>
                                </pic:pic>
                              </a:graphicData>
                            </a:graphic>
                          </wp:inline>
                        </w:drawing>
                      </w:r>
                    </w:p>
                  </w:txbxContent>
                </v:textbox>
                <w10:wrap type="through"/>
              </v:shape>
            </w:pict>
          </mc:Fallback>
        </mc:AlternateContent>
      </w:r>
      <w:r>
        <w:rPr>
          <w:rFonts w:ascii="Franklin Gothic Demi" w:hAnsi="Franklin Gothic Demi" w:cs="Arial"/>
          <w:b/>
          <w:sz w:val="36"/>
          <w:szCs w:val="36"/>
        </w:rPr>
        <w:t>Questions About Forensic Exams and Evidence Collection After a Sexual Assault</w:t>
      </w:r>
    </w:p>
    <w:p w14:paraId="5844EC8D" w14:textId="77777777" w:rsidR="00991E53" w:rsidRDefault="00991E53" w:rsidP="00991E53">
      <w:pPr>
        <w:spacing w:after="120" w:line="240" w:lineRule="auto"/>
        <w:rPr>
          <w:rFonts w:ascii="Calibri" w:hAnsi="Calibri"/>
          <w:b/>
          <w:noProof/>
          <w:sz w:val="28"/>
          <w:u w:val="single"/>
          <w14:ligatures w14:val="standardContextual"/>
        </w:rPr>
      </w:pPr>
    </w:p>
    <w:p w14:paraId="201A748C" w14:textId="77777777" w:rsidR="00991E53" w:rsidRDefault="00991E53" w:rsidP="00360F85">
      <w:pPr>
        <w:spacing w:after="0"/>
        <w:rPr>
          <w:rFonts w:ascii="Franklin Gothic Book" w:hAnsi="Franklin Gothic Book" w:cs="Calibri"/>
          <w:b/>
          <w:sz w:val="26"/>
          <w:szCs w:val="26"/>
        </w:rPr>
      </w:pPr>
    </w:p>
    <w:p w14:paraId="0BE0CB7B" w14:textId="54CB8E2F" w:rsidR="00360F85" w:rsidRPr="00685088" w:rsidRDefault="00360F85" w:rsidP="00360F85">
      <w:pPr>
        <w:spacing w:after="0"/>
        <w:rPr>
          <w:rFonts w:ascii="Franklin Gothic Book" w:hAnsi="Franklin Gothic Book" w:cs="Calibri"/>
          <w:b/>
          <w:sz w:val="26"/>
          <w:szCs w:val="26"/>
        </w:rPr>
      </w:pPr>
      <w:r w:rsidRPr="00685088">
        <w:rPr>
          <w:rFonts w:ascii="Franklin Gothic Book" w:hAnsi="Franklin Gothic Book" w:cs="Calibri"/>
          <w:b/>
          <w:sz w:val="26"/>
          <w:szCs w:val="26"/>
        </w:rPr>
        <w:t>Why might I want to consider getting a forensic exam and evidence collection?</w:t>
      </w:r>
    </w:p>
    <w:p w14:paraId="49EAF3AB" w14:textId="04807EBE" w:rsidR="00360F85" w:rsidRPr="00685088" w:rsidRDefault="00360F85" w:rsidP="00674D3D">
      <w:pPr>
        <w:pStyle w:val="ListParagraph"/>
        <w:numPr>
          <w:ilvl w:val="0"/>
          <w:numId w:val="2"/>
        </w:numPr>
        <w:spacing w:after="240" w:line="240" w:lineRule="auto"/>
        <w:rPr>
          <w:rFonts w:ascii="Franklin Gothic Book" w:hAnsi="Franklin Gothic Book" w:cstheme="minorHAnsi"/>
          <w:b/>
          <w:sz w:val="20"/>
          <w:szCs w:val="20"/>
        </w:rPr>
      </w:pPr>
      <w:r w:rsidRPr="00685088">
        <w:rPr>
          <w:rFonts w:ascii="Franklin Gothic Book" w:hAnsi="Franklin Gothic Book"/>
          <w:sz w:val="24"/>
          <w:szCs w:val="24"/>
        </w:rPr>
        <w:t>During the forensic exam the SANE/Clinician documents</w:t>
      </w:r>
      <w:r w:rsidR="00674D3D" w:rsidRPr="00685088">
        <w:rPr>
          <w:rFonts w:ascii="Franklin Gothic Book" w:hAnsi="Franklin Gothic Book"/>
          <w:sz w:val="24"/>
          <w:szCs w:val="24"/>
        </w:rPr>
        <w:t xml:space="preserve"> your report of the assault and any physical findings </w:t>
      </w:r>
      <w:r w:rsidRPr="00685088">
        <w:rPr>
          <w:rFonts w:ascii="Franklin Gothic Book" w:hAnsi="Franklin Gothic Book"/>
          <w:sz w:val="24"/>
          <w:szCs w:val="24"/>
        </w:rPr>
        <w:t>and collects evidence that may be present after a sexual assault.  This evidence can be used as part of a law enforcement investigation.</w:t>
      </w:r>
    </w:p>
    <w:p w14:paraId="5592B39F" w14:textId="21394216" w:rsidR="00360F85" w:rsidRPr="00685088" w:rsidRDefault="00360F85" w:rsidP="00360F85">
      <w:pPr>
        <w:spacing w:after="0"/>
        <w:rPr>
          <w:rFonts w:ascii="Franklin Gothic Book" w:hAnsi="Franklin Gothic Book" w:cs="Calibri"/>
          <w:b/>
          <w:sz w:val="26"/>
          <w:szCs w:val="26"/>
        </w:rPr>
      </w:pPr>
      <w:r w:rsidRPr="00685088">
        <w:rPr>
          <w:rFonts w:ascii="Franklin Gothic Book" w:hAnsi="Franklin Gothic Book" w:cs="Calibri"/>
          <w:b/>
          <w:sz w:val="26"/>
          <w:szCs w:val="26"/>
        </w:rPr>
        <w:t>Do I have to report my assault to the police to get a forensic exam and evidence collection?</w:t>
      </w:r>
    </w:p>
    <w:p w14:paraId="7801C60E" w14:textId="77777777" w:rsidR="00360F85" w:rsidRPr="00685088" w:rsidRDefault="00360F85" w:rsidP="00360F85">
      <w:pPr>
        <w:pStyle w:val="ListParagraph"/>
        <w:numPr>
          <w:ilvl w:val="0"/>
          <w:numId w:val="1"/>
        </w:numPr>
        <w:spacing w:after="0" w:line="240" w:lineRule="auto"/>
        <w:ind w:left="360" w:hanging="180"/>
        <w:rPr>
          <w:rFonts w:ascii="Franklin Gothic Book" w:hAnsi="Franklin Gothic Book"/>
          <w:sz w:val="24"/>
          <w:szCs w:val="24"/>
        </w:rPr>
      </w:pPr>
      <w:r w:rsidRPr="00685088">
        <w:rPr>
          <w:rFonts w:ascii="Franklin Gothic Book" w:hAnsi="Franklin Gothic Book"/>
          <w:sz w:val="24"/>
          <w:szCs w:val="24"/>
        </w:rPr>
        <w:t xml:space="preserve">No — it is up to you to decide whether to report to the police, and you can have a forensic exam and evidence collected even if you are not sure what you will decide. </w:t>
      </w:r>
    </w:p>
    <w:p w14:paraId="77180B7B" w14:textId="77777777" w:rsidR="00360F85" w:rsidRPr="00685088" w:rsidRDefault="00360F85" w:rsidP="00360F85">
      <w:pPr>
        <w:pStyle w:val="ListParagraph"/>
        <w:numPr>
          <w:ilvl w:val="0"/>
          <w:numId w:val="1"/>
        </w:numPr>
        <w:spacing w:after="240" w:line="240" w:lineRule="auto"/>
        <w:ind w:left="374" w:hanging="187"/>
        <w:rPr>
          <w:rFonts w:ascii="Franklin Gothic Book" w:hAnsi="Franklin Gothic Book" w:cstheme="minorHAnsi"/>
          <w:b/>
          <w:sz w:val="20"/>
          <w:szCs w:val="20"/>
        </w:rPr>
      </w:pPr>
      <w:r w:rsidRPr="00685088">
        <w:rPr>
          <w:rFonts w:ascii="Franklin Gothic Book" w:hAnsi="Franklin Gothic Book"/>
          <w:sz w:val="24"/>
          <w:szCs w:val="24"/>
        </w:rPr>
        <w:t>You also have the option of reporting to the police without receiving medical care or having a forensic exam/evidence collection.</w:t>
      </w:r>
    </w:p>
    <w:p w14:paraId="707D6C62" w14:textId="77777777" w:rsidR="00360F85" w:rsidRPr="00685088" w:rsidRDefault="00360F85" w:rsidP="00360F85">
      <w:pPr>
        <w:spacing w:after="0"/>
        <w:rPr>
          <w:rFonts w:ascii="Franklin Gothic Book" w:hAnsi="Franklin Gothic Book" w:cs="Calibri"/>
          <w:b/>
          <w:sz w:val="26"/>
          <w:szCs w:val="26"/>
        </w:rPr>
      </w:pPr>
      <w:r w:rsidRPr="00685088">
        <w:rPr>
          <w:rFonts w:ascii="Franklin Gothic Book" w:hAnsi="Franklin Gothic Book" w:cs="Calibri"/>
          <w:b/>
          <w:sz w:val="26"/>
          <w:szCs w:val="26"/>
        </w:rPr>
        <w:t>What should I expect during the forensic exam and evidence collection process?</w:t>
      </w:r>
    </w:p>
    <w:p w14:paraId="16B3F1CD" w14:textId="77777777" w:rsidR="00360F85" w:rsidRPr="00685088" w:rsidRDefault="00360F85" w:rsidP="00360F85">
      <w:pPr>
        <w:pStyle w:val="ListParagraph"/>
        <w:numPr>
          <w:ilvl w:val="0"/>
          <w:numId w:val="1"/>
        </w:numPr>
        <w:spacing w:after="0" w:line="240" w:lineRule="auto"/>
        <w:ind w:left="360" w:hanging="180"/>
        <w:rPr>
          <w:rFonts w:ascii="Franklin Gothic Book" w:hAnsi="Franklin Gothic Book"/>
          <w:sz w:val="24"/>
          <w:szCs w:val="24"/>
        </w:rPr>
      </w:pPr>
      <w:r w:rsidRPr="00685088">
        <w:rPr>
          <w:rFonts w:ascii="Franklin Gothic Book" w:hAnsi="Franklin Gothic Book"/>
          <w:sz w:val="24"/>
          <w:szCs w:val="24"/>
        </w:rPr>
        <w:t>You will be asked some questions about the assault so the SANE/Clinician can recommend which steps should be taken.</w:t>
      </w:r>
    </w:p>
    <w:p w14:paraId="1050053D" w14:textId="77777777" w:rsidR="00360F85" w:rsidRPr="00685088" w:rsidRDefault="00360F85" w:rsidP="00360F85">
      <w:pPr>
        <w:pStyle w:val="ListParagraph"/>
        <w:numPr>
          <w:ilvl w:val="0"/>
          <w:numId w:val="1"/>
        </w:numPr>
        <w:spacing w:after="0" w:line="240" w:lineRule="auto"/>
        <w:ind w:left="360" w:hanging="180"/>
        <w:rPr>
          <w:rFonts w:ascii="Franklin Gothic Book" w:hAnsi="Franklin Gothic Book"/>
          <w:sz w:val="24"/>
          <w:szCs w:val="24"/>
        </w:rPr>
      </w:pPr>
      <w:r w:rsidRPr="00685088">
        <w:rPr>
          <w:rFonts w:ascii="Franklin Gothic Book" w:hAnsi="Franklin Gothic Book"/>
          <w:sz w:val="24"/>
          <w:szCs w:val="24"/>
        </w:rPr>
        <w:t>The evidence collection process involves the use of an evidence “kit” and is a series of steps during the forensic exam to collect evidence from areas of your body. This can include swabbing parts of your body with cotton swabs. If you have physical injuries, photographs may be an optional part of your evidence collection.</w:t>
      </w:r>
    </w:p>
    <w:p w14:paraId="68E5BEBD" w14:textId="77777777" w:rsidR="00360F85" w:rsidRPr="00685088" w:rsidRDefault="00360F85" w:rsidP="00360F85">
      <w:pPr>
        <w:pStyle w:val="ListParagraph"/>
        <w:numPr>
          <w:ilvl w:val="0"/>
          <w:numId w:val="1"/>
        </w:numPr>
        <w:spacing w:after="0" w:line="240" w:lineRule="auto"/>
        <w:ind w:left="360" w:hanging="180"/>
        <w:rPr>
          <w:rFonts w:ascii="Franklin Gothic Book" w:hAnsi="Franklin Gothic Book"/>
          <w:sz w:val="24"/>
          <w:szCs w:val="24"/>
        </w:rPr>
      </w:pPr>
      <w:r w:rsidRPr="00685088">
        <w:rPr>
          <w:rFonts w:ascii="Franklin Gothic Book" w:hAnsi="Franklin Gothic Book"/>
          <w:sz w:val="24"/>
          <w:szCs w:val="24"/>
        </w:rPr>
        <w:t>You may also be asked for your clothes if they may contain evidence from the sexual assault. If this happens, you will be provided with clothing to wear.</w:t>
      </w:r>
    </w:p>
    <w:p w14:paraId="50D340BC" w14:textId="77777777" w:rsidR="00360F85" w:rsidRPr="00685088" w:rsidRDefault="00360F85" w:rsidP="00360F85">
      <w:pPr>
        <w:pStyle w:val="ListParagraph"/>
        <w:numPr>
          <w:ilvl w:val="0"/>
          <w:numId w:val="1"/>
        </w:numPr>
        <w:spacing w:after="0" w:line="240" w:lineRule="auto"/>
        <w:ind w:left="360" w:hanging="180"/>
        <w:rPr>
          <w:rFonts w:ascii="Franklin Gothic Book" w:hAnsi="Franklin Gothic Book"/>
          <w:sz w:val="24"/>
          <w:szCs w:val="24"/>
        </w:rPr>
      </w:pPr>
      <w:r w:rsidRPr="00685088">
        <w:rPr>
          <w:rFonts w:ascii="Franklin Gothic Book" w:hAnsi="Franklin Gothic Book"/>
          <w:sz w:val="24"/>
          <w:szCs w:val="24"/>
        </w:rPr>
        <w:t xml:space="preserve">The exam may take a few hours </w:t>
      </w:r>
      <w:proofErr w:type="gramStart"/>
      <w:r w:rsidRPr="00685088">
        <w:rPr>
          <w:rFonts w:ascii="Franklin Gothic Book" w:hAnsi="Franklin Gothic Book"/>
          <w:sz w:val="24"/>
          <w:szCs w:val="24"/>
        </w:rPr>
        <w:t>in order to</w:t>
      </w:r>
      <w:proofErr w:type="gramEnd"/>
      <w:r w:rsidRPr="00685088">
        <w:rPr>
          <w:rFonts w:ascii="Franklin Gothic Book" w:hAnsi="Franklin Gothic Book"/>
          <w:sz w:val="24"/>
          <w:szCs w:val="24"/>
        </w:rPr>
        <w:t xml:space="preserve"> make sure your questions are answered, your medical needs are addressed, and evidence is properly collected and preserved.  </w:t>
      </w:r>
    </w:p>
    <w:p w14:paraId="53675199" w14:textId="77777777" w:rsidR="00360F85" w:rsidRPr="00685088" w:rsidRDefault="00360F85" w:rsidP="00360F85">
      <w:pPr>
        <w:pStyle w:val="ListParagraph"/>
        <w:spacing w:after="0" w:line="240" w:lineRule="auto"/>
        <w:ind w:left="360"/>
        <w:rPr>
          <w:rFonts w:ascii="Franklin Gothic Book" w:hAnsi="Franklin Gothic Book"/>
          <w:sz w:val="24"/>
          <w:szCs w:val="24"/>
        </w:rPr>
      </w:pPr>
    </w:p>
    <w:p w14:paraId="3DB24A9A" w14:textId="77777777" w:rsidR="00360F85" w:rsidRPr="00D31C0A" w:rsidRDefault="00360F85" w:rsidP="00360F85">
      <w:pPr>
        <w:spacing w:after="0"/>
        <w:rPr>
          <w:rFonts w:ascii="Franklin Gothic Book" w:hAnsi="Franklin Gothic Book" w:cs="Calibri"/>
          <w:b/>
          <w:sz w:val="26"/>
          <w:szCs w:val="26"/>
        </w:rPr>
      </w:pPr>
      <w:r w:rsidRPr="00D31C0A">
        <w:rPr>
          <w:rFonts w:ascii="Franklin Gothic Book" w:hAnsi="Franklin Gothic Book" w:cs="Calibri"/>
          <w:b/>
          <w:sz w:val="26"/>
          <w:szCs w:val="26"/>
        </w:rPr>
        <w:t>How much control will I have during a forensic exam?</w:t>
      </w:r>
    </w:p>
    <w:p w14:paraId="7BE4BE9F" w14:textId="77777777" w:rsidR="00360F85" w:rsidRPr="00685088" w:rsidRDefault="00360F85" w:rsidP="00360F85">
      <w:pPr>
        <w:spacing w:after="240" w:line="240" w:lineRule="auto"/>
        <w:ind w:left="187"/>
        <w:rPr>
          <w:rFonts w:ascii="Franklin Gothic Book" w:hAnsi="Franklin Gothic Book" w:cstheme="minorHAnsi"/>
          <w:b/>
          <w:sz w:val="20"/>
          <w:szCs w:val="20"/>
        </w:rPr>
      </w:pPr>
      <w:r w:rsidRPr="00685088">
        <w:rPr>
          <w:rFonts w:ascii="Franklin Gothic Book" w:hAnsi="Franklin Gothic Book"/>
          <w:sz w:val="24"/>
          <w:szCs w:val="24"/>
        </w:rPr>
        <w:t>What is done is your choice. You do not need to complete any parts of the exam you are not comfortable with. The SANE/Clinician will explain every step of the exam, and you can accept or decline any portion at any time. If you begin the exam and decide to take a break or stop, that is okay.</w:t>
      </w:r>
    </w:p>
    <w:p w14:paraId="1171E14F" w14:textId="77777777" w:rsidR="00360F85" w:rsidRPr="00D31C0A" w:rsidRDefault="00360F85" w:rsidP="00360F85">
      <w:pPr>
        <w:spacing w:after="0"/>
        <w:rPr>
          <w:rFonts w:ascii="Franklin Gothic Book" w:hAnsi="Franklin Gothic Book" w:cs="Calibri"/>
          <w:b/>
          <w:sz w:val="26"/>
          <w:szCs w:val="26"/>
        </w:rPr>
      </w:pPr>
      <w:r w:rsidRPr="00D31C0A">
        <w:rPr>
          <w:rFonts w:ascii="Franklin Gothic Book" w:hAnsi="Franklin Gothic Book" w:cs="Calibri"/>
          <w:b/>
          <w:sz w:val="26"/>
          <w:szCs w:val="26"/>
        </w:rPr>
        <w:t>What happens to the evidence?</w:t>
      </w:r>
    </w:p>
    <w:p w14:paraId="58DD5DCD" w14:textId="77777777" w:rsidR="00360F85" w:rsidRPr="00685088" w:rsidRDefault="00360F85" w:rsidP="00360F85">
      <w:pPr>
        <w:pStyle w:val="ListParagraph"/>
        <w:numPr>
          <w:ilvl w:val="0"/>
          <w:numId w:val="1"/>
        </w:numPr>
        <w:spacing w:after="0" w:line="240" w:lineRule="auto"/>
        <w:ind w:left="360" w:hanging="180"/>
        <w:rPr>
          <w:rFonts w:ascii="Franklin Gothic Book" w:hAnsi="Franklin Gothic Book"/>
          <w:b/>
          <w:sz w:val="24"/>
          <w:szCs w:val="24"/>
        </w:rPr>
      </w:pPr>
      <w:r w:rsidRPr="00685088">
        <w:rPr>
          <w:rFonts w:ascii="Franklin Gothic Book" w:hAnsi="Franklin Gothic Book"/>
          <w:sz w:val="24"/>
          <w:szCs w:val="24"/>
        </w:rPr>
        <w:t>If you decide to report the assault to the police, your evidence kit is transported to a crime laboratory, where it is analyzed.</w:t>
      </w:r>
    </w:p>
    <w:p w14:paraId="3F6473F7" w14:textId="77777777" w:rsidR="00360F85" w:rsidRPr="00685088" w:rsidRDefault="00360F85" w:rsidP="00360F85">
      <w:pPr>
        <w:pStyle w:val="ListParagraph"/>
        <w:numPr>
          <w:ilvl w:val="0"/>
          <w:numId w:val="1"/>
        </w:numPr>
        <w:spacing w:after="0" w:line="240" w:lineRule="auto"/>
        <w:ind w:left="360" w:hanging="180"/>
        <w:rPr>
          <w:rFonts w:ascii="Franklin Gothic Book" w:hAnsi="Franklin Gothic Book"/>
          <w:b/>
          <w:sz w:val="24"/>
          <w:szCs w:val="24"/>
        </w:rPr>
      </w:pPr>
      <w:r w:rsidRPr="00685088">
        <w:rPr>
          <w:rFonts w:ascii="Franklin Gothic Book" w:hAnsi="Franklin Gothic Book"/>
          <w:sz w:val="24"/>
          <w:szCs w:val="24"/>
        </w:rPr>
        <w:t xml:space="preserve">If you decide </w:t>
      </w:r>
      <w:r w:rsidRPr="00685088">
        <w:rPr>
          <w:rFonts w:ascii="Franklin Gothic Book" w:hAnsi="Franklin Gothic Book"/>
          <w:b/>
          <w:sz w:val="24"/>
          <w:szCs w:val="24"/>
        </w:rPr>
        <w:t>NOT</w:t>
      </w:r>
      <w:r w:rsidRPr="00685088">
        <w:rPr>
          <w:rFonts w:ascii="Franklin Gothic Book" w:hAnsi="Franklin Gothic Book"/>
          <w:sz w:val="24"/>
          <w:szCs w:val="24"/>
        </w:rPr>
        <w:t xml:space="preserve"> to report the assault to the police, your evidence kit is transported to a secure location, but it will </w:t>
      </w:r>
      <w:r w:rsidRPr="00685088">
        <w:rPr>
          <w:rFonts w:ascii="Franklin Gothic Book" w:hAnsi="Franklin Gothic Book"/>
          <w:b/>
          <w:sz w:val="24"/>
          <w:szCs w:val="24"/>
        </w:rPr>
        <w:t>not</w:t>
      </w:r>
      <w:r w:rsidRPr="00685088">
        <w:rPr>
          <w:rFonts w:ascii="Franklin Gothic Book" w:hAnsi="Franklin Gothic Book"/>
          <w:sz w:val="24"/>
          <w:szCs w:val="24"/>
        </w:rPr>
        <w:t xml:space="preserve"> be analyzed. It is stored for at least 15 years. If you later decide to report to the police, </w:t>
      </w:r>
      <w:proofErr w:type="gramStart"/>
      <w:r w:rsidRPr="00685088">
        <w:rPr>
          <w:rFonts w:ascii="Franklin Gothic Book" w:hAnsi="Franklin Gothic Book"/>
          <w:sz w:val="24"/>
          <w:szCs w:val="24"/>
        </w:rPr>
        <w:t>all of</w:t>
      </w:r>
      <w:proofErr w:type="gramEnd"/>
      <w:r w:rsidRPr="00685088">
        <w:rPr>
          <w:rFonts w:ascii="Franklin Gothic Book" w:hAnsi="Franklin Gothic Book"/>
          <w:sz w:val="24"/>
          <w:szCs w:val="24"/>
        </w:rPr>
        <w:t xml:space="preserve"> your evidence will be analyzed at that time.</w:t>
      </w:r>
    </w:p>
    <w:p w14:paraId="0BC19331" w14:textId="77777777" w:rsidR="00360F85" w:rsidRPr="00685088" w:rsidRDefault="00360F85" w:rsidP="00360F85">
      <w:pPr>
        <w:pStyle w:val="ListParagraph"/>
        <w:numPr>
          <w:ilvl w:val="0"/>
          <w:numId w:val="1"/>
        </w:numPr>
        <w:spacing w:after="0" w:line="240" w:lineRule="auto"/>
        <w:ind w:left="374" w:hanging="187"/>
        <w:rPr>
          <w:rFonts w:ascii="Franklin Gothic Book" w:hAnsi="Franklin Gothic Book"/>
          <w:b/>
          <w:sz w:val="24"/>
          <w:szCs w:val="24"/>
        </w:rPr>
      </w:pPr>
      <w:r w:rsidRPr="00685088">
        <w:rPr>
          <w:rFonts w:ascii="Franklin Gothic Book" w:hAnsi="Franklin Gothic Book"/>
          <w:sz w:val="24"/>
          <w:szCs w:val="24"/>
        </w:rPr>
        <w:t xml:space="preserve">If you have an evidence kit completed, you will be given information to help you to track the location of your kit — </w:t>
      </w:r>
      <w:proofErr w:type="gramStart"/>
      <w:r w:rsidRPr="00685088">
        <w:rPr>
          <w:rFonts w:ascii="Franklin Gothic Book" w:hAnsi="Franklin Gothic Book"/>
          <w:b/>
          <w:sz w:val="24"/>
          <w:szCs w:val="24"/>
        </w:rPr>
        <w:t>whether</w:t>
      </w:r>
      <w:r w:rsidRPr="00685088">
        <w:rPr>
          <w:rFonts w:ascii="Franklin Gothic Book" w:hAnsi="Franklin Gothic Book"/>
          <w:sz w:val="24"/>
          <w:szCs w:val="24"/>
        </w:rPr>
        <w:t xml:space="preserve"> </w:t>
      </w:r>
      <w:r w:rsidRPr="00685088">
        <w:rPr>
          <w:rFonts w:ascii="Franklin Gothic Book" w:hAnsi="Franklin Gothic Book"/>
          <w:b/>
          <w:bCs/>
          <w:sz w:val="24"/>
          <w:szCs w:val="24"/>
        </w:rPr>
        <w:t>or not</w:t>
      </w:r>
      <w:proofErr w:type="gramEnd"/>
      <w:r w:rsidRPr="00685088">
        <w:rPr>
          <w:rFonts w:ascii="Franklin Gothic Book" w:hAnsi="Franklin Gothic Book"/>
          <w:sz w:val="24"/>
          <w:szCs w:val="24"/>
        </w:rPr>
        <w:t xml:space="preserve"> you report the assault to the police. </w:t>
      </w:r>
    </w:p>
    <w:p w14:paraId="69CD7E62" w14:textId="77777777" w:rsidR="00674D3D" w:rsidRPr="00685088" w:rsidRDefault="00674D3D" w:rsidP="00674D3D">
      <w:pPr>
        <w:pStyle w:val="ListParagraph"/>
        <w:spacing w:after="0" w:line="240" w:lineRule="auto"/>
        <w:ind w:left="374"/>
        <w:rPr>
          <w:rFonts w:ascii="Franklin Gothic Book" w:hAnsi="Franklin Gothic Book"/>
          <w:b/>
          <w:sz w:val="24"/>
          <w:szCs w:val="24"/>
        </w:rPr>
      </w:pPr>
    </w:p>
    <w:sectPr w:rsidR="00674D3D" w:rsidRPr="00685088" w:rsidSect="00685088">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0CD54" w14:textId="77777777" w:rsidR="0028332E" w:rsidRDefault="0028332E" w:rsidP="00360F85">
      <w:pPr>
        <w:spacing w:after="0" w:line="240" w:lineRule="auto"/>
      </w:pPr>
      <w:r>
        <w:separator/>
      </w:r>
    </w:p>
  </w:endnote>
  <w:endnote w:type="continuationSeparator" w:id="0">
    <w:p w14:paraId="4832FBEF" w14:textId="77777777" w:rsidR="0028332E" w:rsidRDefault="0028332E" w:rsidP="0036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DFA5" w14:textId="5D5A1401" w:rsidR="00685088" w:rsidRPr="00685088" w:rsidRDefault="00685088" w:rsidP="00685088">
    <w:pPr>
      <w:spacing w:after="0" w:line="240" w:lineRule="auto"/>
      <w:rPr>
        <w:rFonts w:ascii="Franklin Gothic Book" w:hAnsi="Franklin Gothic Book" w:cstheme="minorHAnsi"/>
        <w:b/>
        <w:sz w:val="20"/>
        <w:szCs w:val="20"/>
      </w:rPr>
    </w:pPr>
    <w:r w:rsidRPr="00685088">
      <w:rPr>
        <w:rFonts w:ascii="Franklin Gothic Book" w:hAnsi="Franklin Gothic Book" w:cstheme="minorHAnsi"/>
        <w:b/>
        <w:sz w:val="20"/>
        <w:szCs w:val="20"/>
      </w:rPr>
      <w:t>More Information about the MA Sexual Assault Nurse Examiner (SANE) Program can be found here:</w:t>
    </w:r>
    <w:r w:rsidRPr="00685088">
      <w:rPr>
        <w:rFonts w:ascii="Franklin Gothic Book" w:hAnsi="Franklin Gothic Book"/>
        <w:sz w:val="20"/>
        <w:szCs w:val="20"/>
      </w:rPr>
      <w:t xml:space="preserve">  </w:t>
    </w:r>
    <w:hyperlink r:id="rId1" w:history="1">
      <w:r w:rsidRPr="00685088">
        <w:rPr>
          <w:rStyle w:val="Hyperlink"/>
          <w:rFonts w:ascii="Franklin Gothic Book" w:hAnsi="Franklin Gothic Book"/>
          <w:sz w:val="20"/>
          <w:szCs w:val="20"/>
        </w:rPr>
        <w:t>mass.gov/sane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87B1D" w14:textId="77777777" w:rsidR="0028332E" w:rsidRDefault="0028332E" w:rsidP="00360F85">
      <w:pPr>
        <w:spacing w:after="0" w:line="240" w:lineRule="auto"/>
      </w:pPr>
      <w:r>
        <w:separator/>
      </w:r>
    </w:p>
  </w:footnote>
  <w:footnote w:type="continuationSeparator" w:id="0">
    <w:p w14:paraId="5089BDA5" w14:textId="77777777" w:rsidR="0028332E" w:rsidRDefault="0028332E" w:rsidP="00360F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D2C32"/>
    <w:multiLevelType w:val="hybridMultilevel"/>
    <w:tmpl w:val="88107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E630B95"/>
    <w:multiLevelType w:val="hybridMultilevel"/>
    <w:tmpl w:val="11E83960"/>
    <w:lvl w:ilvl="0" w:tplc="EC0E676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9802139">
    <w:abstractNumId w:val="1"/>
  </w:num>
  <w:num w:numId="2" w16cid:durableId="732001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F85"/>
    <w:rsid w:val="00095910"/>
    <w:rsid w:val="00270943"/>
    <w:rsid w:val="002739F8"/>
    <w:rsid w:val="0028332E"/>
    <w:rsid w:val="00360F85"/>
    <w:rsid w:val="00674D3D"/>
    <w:rsid w:val="00685088"/>
    <w:rsid w:val="008632C2"/>
    <w:rsid w:val="00914C01"/>
    <w:rsid w:val="00991E53"/>
    <w:rsid w:val="00B56008"/>
    <w:rsid w:val="00CD74E6"/>
    <w:rsid w:val="00D31C0A"/>
    <w:rsid w:val="00E41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33DB1"/>
  <w15:chartTrackingRefBased/>
  <w15:docId w15:val="{429C5F5C-3806-4B28-8508-3F4AA6140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F85"/>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360F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F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F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F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F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F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F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F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F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F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F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F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F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F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F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F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F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F85"/>
    <w:rPr>
      <w:rFonts w:eastAsiaTheme="majorEastAsia" w:cstheme="majorBidi"/>
      <w:color w:val="272727" w:themeColor="text1" w:themeTint="D8"/>
    </w:rPr>
  </w:style>
  <w:style w:type="paragraph" w:styleId="Title">
    <w:name w:val="Title"/>
    <w:basedOn w:val="Normal"/>
    <w:next w:val="Normal"/>
    <w:link w:val="TitleChar"/>
    <w:uiPriority w:val="10"/>
    <w:qFormat/>
    <w:rsid w:val="00360F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F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F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F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F85"/>
    <w:pPr>
      <w:spacing w:before="160"/>
      <w:jc w:val="center"/>
    </w:pPr>
    <w:rPr>
      <w:i/>
      <w:iCs/>
      <w:color w:val="404040" w:themeColor="text1" w:themeTint="BF"/>
    </w:rPr>
  </w:style>
  <w:style w:type="character" w:customStyle="1" w:styleId="QuoteChar">
    <w:name w:val="Quote Char"/>
    <w:basedOn w:val="DefaultParagraphFont"/>
    <w:link w:val="Quote"/>
    <w:uiPriority w:val="29"/>
    <w:rsid w:val="00360F85"/>
    <w:rPr>
      <w:i/>
      <w:iCs/>
      <w:color w:val="404040" w:themeColor="text1" w:themeTint="BF"/>
    </w:rPr>
  </w:style>
  <w:style w:type="paragraph" w:styleId="ListParagraph">
    <w:name w:val="List Paragraph"/>
    <w:basedOn w:val="Normal"/>
    <w:uiPriority w:val="34"/>
    <w:qFormat/>
    <w:rsid w:val="00360F85"/>
    <w:pPr>
      <w:ind w:left="720"/>
      <w:contextualSpacing/>
    </w:pPr>
  </w:style>
  <w:style w:type="character" w:styleId="IntenseEmphasis">
    <w:name w:val="Intense Emphasis"/>
    <w:basedOn w:val="DefaultParagraphFont"/>
    <w:uiPriority w:val="21"/>
    <w:qFormat/>
    <w:rsid w:val="00360F85"/>
    <w:rPr>
      <w:i/>
      <w:iCs/>
      <w:color w:val="0F4761" w:themeColor="accent1" w:themeShade="BF"/>
    </w:rPr>
  </w:style>
  <w:style w:type="paragraph" w:styleId="IntenseQuote">
    <w:name w:val="Intense Quote"/>
    <w:basedOn w:val="Normal"/>
    <w:next w:val="Normal"/>
    <w:link w:val="IntenseQuoteChar"/>
    <w:uiPriority w:val="30"/>
    <w:qFormat/>
    <w:rsid w:val="00360F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F85"/>
    <w:rPr>
      <w:i/>
      <w:iCs/>
      <w:color w:val="0F4761" w:themeColor="accent1" w:themeShade="BF"/>
    </w:rPr>
  </w:style>
  <w:style w:type="character" w:styleId="IntenseReference">
    <w:name w:val="Intense Reference"/>
    <w:basedOn w:val="DefaultParagraphFont"/>
    <w:uiPriority w:val="32"/>
    <w:qFormat/>
    <w:rsid w:val="00360F85"/>
    <w:rPr>
      <w:b/>
      <w:bCs/>
      <w:smallCaps/>
      <w:color w:val="0F4761" w:themeColor="accent1" w:themeShade="BF"/>
      <w:spacing w:val="5"/>
    </w:rPr>
  </w:style>
  <w:style w:type="paragraph" w:styleId="Header">
    <w:name w:val="header"/>
    <w:basedOn w:val="Normal"/>
    <w:link w:val="HeaderChar"/>
    <w:uiPriority w:val="99"/>
    <w:unhideWhenUsed/>
    <w:rsid w:val="00360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F85"/>
    <w:rPr>
      <w:kern w:val="0"/>
      <w:sz w:val="22"/>
      <w:szCs w:val="22"/>
      <w14:ligatures w14:val="none"/>
    </w:rPr>
  </w:style>
  <w:style w:type="paragraph" w:styleId="Footer">
    <w:name w:val="footer"/>
    <w:basedOn w:val="Normal"/>
    <w:link w:val="FooterChar"/>
    <w:uiPriority w:val="99"/>
    <w:unhideWhenUsed/>
    <w:rsid w:val="00360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F85"/>
    <w:rPr>
      <w:kern w:val="0"/>
      <w:sz w:val="22"/>
      <w:szCs w:val="22"/>
      <w14:ligatures w14:val="none"/>
    </w:rPr>
  </w:style>
  <w:style w:type="character" w:styleId="Hyperlink">
    <w:name w:val="Hyperlink"/>
    <w:basedOn w:val="DefaultParagraphFont"/>
    <w:uiPriority w:val="99"/>
    <w:unhideWhenUsed/>
    <w:rsid w:val="00360F8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mass.gov/s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 Joan (DPH)</dc:creator>
  <cp:keywords/>
  <dc:description/>
  <cp:lastModifiedBy>Harrison, Deborah (EHS)</cp:lastModifiedBy>
  <cp:revision>2</cp:revision>
  <dcterms:created xsi:type="dcterms:W3CDTF">2026-05-18T16:27:00Z</dcterms:created>
  <dcterms:modified xsi:type="dcterms:W3CDTF">2026-05-18T16:27:00Z</dcterms:modified>
</cp:coreProperties>
</file>