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1C38FF" w:rsidP="00776C16">
      <w:pPr>
        <w:pStyle w:val="Heading1"/>
      </w:pPr>
      <w:r w:rsidRPr="001C38FF">
        <w:t>Enterprise IT Acquisitions Security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1C38FF" w:rsidRPr="001C38FF">
        <w:rPr>
          <w:b/>
          <w:sz w:val="20"/>
          <w:szCs w:val="20"/>
        </w:rPr>
        <w:t>ITD-SEC-17.1</w:t>
      </w:r>
      <w:r w:rsidRPr="00801B38">
        <w:rPr>
          <w:b/>
          <w:sz w:val="20"/>
          <w:szCs w:val="20"/>
        </w:rPr>
        <w:tab/>
        <w:t>Issue Date:</w:t>
      </w:r>
      <w:r w:rsidRPr="00801B38">
        <w:rPr>
          <w:b/>
          <w:sz w:val="20"/>
          <w:szCs w:val="20"/>
        </w:rPr>
        <w:tab/>
      </w:r>
      <w:r w:rsidR="001C38FF" w:rsidRPr="001C38FF">
        <w:rPr>
          <w:b/>
          <w:sz w:val="20"/>
          <w:szCs w:val="20"/>
        </w:rPr>
        <w:t>March 7, 2014</w:t>
      </w:r>
      <w:r w:rsidRPr="00801B38">
        <w:rPr>
          <w:b/>
          <w:sz w:val="20"/>
          <w:szCs w:val="20"/>
        </w:rPr>
        <w:br/>
        <w:t>Issue #: 1</w:t>
      </w:r>
    </w:p>
    <w:p w:rsidR="00801B38" w:rsidRPr="001B30EE" w:rsidRDefault="00801B38" w:rsidP="001B30EE">
      <w:pPr>
        <w:pStyle w:val="Heading2"/>
      </w:pPr>
      <w:bookmarkStart w:id="0" w:name="_Toc413070813"/>
      <w:bookmarkStart w:id="1" w:name="_Toc438459267"/>
      <w:r w:rsidRPr="001B30EE">
        <w:t>Table of Contents</w:t>
      </w:r>
      <w:bookmarkEnd w:id="0"/>
      <w:bookmarkEnd w:id="1"/>
    </w:p>
    <w:p w:rsidR="00860E86"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459267" w:history="1">
        <w:r w:rsidR="00860E86" w:rsidRPr="00FC3D00">
          <w:rPr>
            <w:rStyle w:val="Hyperlink"/>
            <w:noProof/>
          </w:rPr>
          <w:t>Table of Contents</w:t>
        </w:r>
        <w:r w:rsidR="00860E86">
          <w:rPr>
            <w:noProof/>
            <w:webHidden/>
          </w:rPr>
          <w:tab/>
        </w:r>
        <w:r w:rsidR="00860E86">
          <w:rPr>
            <w:noProof/>
            <w:webHidden/>
          </w:rPr>
          <w:fldChar w:fldCharType="begin"/>
        </w:r>
        <w:r w:rsidR="00860E86">
          <w:rPr>
            <w:noProof/>
            <w:webHidden/>
          </w:rPr>
          <w:instrText xml:space="preserve"> PAGEREF _Toc438459267 \h </w:instrText>
        </w:r>
        <w:r w:rsidR="00860E86">
          <w:rPr>
            <w:noProof/>
            <w:webHidden/>
          </w:rPr>
        </w:r>
        <w:r w:rsidR="00860E86">
          <w:rPr>
            <w:noProof/>
            <w:webHidden/>
          </w:rPr>
          <w:fldChar w:fldCharType="separate"/>
        </w:r>
        <w:r w:rsidR="00860E86">
          <w:rPr>
            <w:noProof/>
            <w:webHidden/>
          </w:rPr>
          <w:t>1</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68" w:history="1">
        <w:r w:rsidR="00860E86" w:rsidRPr="00FC3D00">
          <w:rPr>
            <w:rStyle w:val="Hyperlink"/>
            <w:noProof/>
          </w:rPr>
          <w:t>Executive Summary</w:t>
        </w:r>
        <w:r w:rsidR="00860E86">
          <w:rPr>
            <w:noProof/>
            <w:webHidden/>
          </w:rPr>
          <w:tab/>
        </w:r>
        <w:r w:rsidR="00860E86">
          <w:rPr>
            <w:noProof/>
            <w:webHidden/>
          </w:rPr>
          <w:fldChar w:fldCharType="begin"/>
        </w:r>
        <w:r w:rsidR="00860E86">
          <w:rPr>
            <w:noProof/>
            <w:webHidden/>
          </w:rPr>
          <w:instrText xml:space="preserve"> PAGEREF _Toc438459268 \h </w:instrText>
        </w:r>
        <w:r w:rsidR="00860E86">
          <w:rPr>
            <w:noProof/>
            <w:webHidden/>
          </w:rPr>
        </w:r>
        <w:r w:rsidR="00860E86">
          <w:rPr>
            <w:noProof/>
            <w:webHidden/>
          </w:rPr>
          <w:fldChar w:fldCharType="separate"/>
        </w:r>
        <w:r w:rsidR="00860E86">
          <w:rPr>
            <w:noProof/>
            <w:webHidden/>
          </w:rPr>
          <w:t>1</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69" w:history="1">
        <w:r w:rsidR="00860E86" w:rsidRPr="00FC3D00">
          <w:rPr>
            <w:rStyle w:val="Hyperlink"/>
            <w:noProof/>
          </w:rPr>
          <w:t>Whom this Policy Applies To</w:t>
        </w:r>
        <w:r w:rsidR="00860E86">
          <w:rPr>
            <w:noProof/>
            <w:webHidden/>
          </w:rPr>
          <w:tab/>
        </w:r>
        <w:r w:rsidR="00860E86">
          <w:rPr>
            <w:noProof/>
            <w:webHidden/>
          </w:rPr>
          <w:fldChar w:fldCharType="begin"/>
        </w:r>
        <w:r w:rsidR="00860E86">
          <w:rPr>
            <w:noProof/>
            <w:webHidden/>
          </w:rPr>
          <w:instrText xml:space="preserve"> PAGEREF _Toc438459269 \h </w:instrText>
        </w:r>
        <w:r w:rsidR="00860E86">
          <w:rPr>
            <w:noProof/>
            <w:webHidden/>
          </w:rPr>
        </w:r>
        <w:r w:rsidR="00860E86">
          <w:rPr>
            <w:noProof/>
            <w:webHidden/>
          </w:rPr>
          <w:fldChar w:fldCharType="separate"/>
        </w:r>
        <w:r w:rsidR="00860E86">
          <w:rPr>
            <w:noProof/>
            <w:webHidden/>
          </w:rPr>
          <w:t>1</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70" w:history="1">
        <w:r w:rsidR="00860E86" w:rsidRPr="00FC3D00">
          <w:rPr>
            <w:rStyle w:val="Hyperlink"/>
            <w:noProof/>
          </w:rPr>
          <w:t>Scope</w:t>
        </w:r>
        <w:r w:rsidR="00860E86">
          <w:rPr>
            <w:noProof/>
            <w:webHidden/>
          </w:rPr>
          <w:tab/>
        </w:r>
        <w:r w:rsidR="00860E86">
          <w:rPr>
            <w:noProof/>
            <w:webHidden/>
          </w:rPr>
          <w:fldChar w:fldCharType="begin"/>
        </w:r>
        <w:r w:rsidR="00860E86">
          <w:rPr>
            <w:noProof/>
            <w:webHidden/>
          </w:rPr>
          <w:instrText xml:space="preserve"> PAGEREF _Toc438459270 \h </w:instrText>
        </w:r>
        <w:r w:rsidR="00860E86">
          <w:rPr>
            <w:noProof/>
            <w:webHidden/>
          </w:rPr>
        </w:r>
        <w:r w:rsidR="00860E86">
          <w:rPr>
            <w:noProof/>
            <w:webHidden/>
          </w:rPr>
          <w:fldChar w:fldCharType="separate"/>
        </w:r>
        <w:r w:rsidR="00860E86">
          <w:rPr>
            <w:noProof/>
            <w:webHidden/>
          </w:rPr>
          <w:t>2</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71" w:history="1">
        <w:r w:rsidR="00860E86" w:rsidRPr="00FC3D00">
          <w:rPr>
            <w:rStyle w:val="Hyperlink"/>
            <w:noProof/>
          </w:rPr>
          <w:t>Policy Statement</w:t>
        </w:r>
        <w:r w:rsidR="00860E86">
          <w:rPr>
            <w:noProof/>
            <w:webHidden/>
          </w:rPr>
          <w:tab/>
        </w:r>
        <w:r w:rsidR="00860E86">
          <w:rPr>
            <w:noProof/>
            <w:webHidden/>
          </w:rPr>
          <w:fldChar w:fldCharType="begin"/>
        </w:r>
        <w:r w:rsidR="00860E86">
          <w:rPr>
            <w:noProof/>
            <w:webHidden/>
          </w:rPr>
          <w:instrText xml:space="preserve"> PAGEREF _Toc438459271 \h </w:instrText>
        </w:r>
        <w:r w:rsidR="00860E86">
          <w:rPr>
            <w:noProof/>
            <w:webHidden/>
          </w:rPr>
        </w:r>
        <w:r w:rsidR="00860E86">
          <w:rPr>
            <w:noProof/>
            <w:webHidden/>
          </w:rPr>
          <w:fldChar w:fldCharType="separate"/>
        </w:r>
        <w:r w:rsidR="00860E86">
          <w:rPr>
            <w:noProof/>
            <w:webHidden/>
          </w:rPr>
          <w:t>2</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72" w:history="1">
        <w:r w:rsidR="00860E86" w:rsidRPr="00FC3D00">
          <w:rPr>
            <w:rStyle w:val="Hyperlink"/>
            <w:noProof/>
          </w:rPr>
          <w:t>Roles and Responsibilities</w:t>
        </w:r>
        <w:r w:rsidR="00860E86">
          <w:rPr>
            <w:noProof/>
            <w:webHidden/>
          </w:rPr>
          <w:tab/>
        </w:r>
        <w:r w:rsidR="00860E86">
          <w:rPr>
            <w:noProof/>
            <w:webHidden/>
          </w:rPr>
          <w:fldChar w:fldCharType="begin"/>
        </w:r>
        <w:r w:rsidR="00860E86">
          <w:rPr>
            <w:noProof/>
            <w:webHidden/>
          </w:rPr>
          <w:instrText xml:space="preserve"> PAGEREF _Toc438459272 \h </w:instrText>
        </w:r>
        <w:r w:rsidR="00860E86">
          <w:rPr>
            <w:noProof/>
            <w:webHidden/>
          </w:rPr>
        </w:r>
        <w:r w:rsidR="00860E86">
          <w:rPr>
            <w:noProof/>
            <w:webHidden/>
          </w:rPr>
          <w:fldChar w:fldCharType="separate"/>
        </w:r>
        <w:r w:rsidR="00860E86">
          <w:rPr>
            <w:noProof/>
            <w:webHidden/>
          </w:rPr>
          <w:t>4</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73" w:history="1">
        <w:r w:rsidR="00860E86" w:rsidRPr="00FC3D00">
          <w:rPr>
            <w:rStyle w:val="Hyperlink"/>
            <w:noProof/>
          </w:rPr>
          <w:t>Related Documents</w:t>
        </w:r>
        <w:r w:rsidR="00860E86">
          <w:rPr>
            <w:noProof/>
            <w:webHidden/>
          </w:rPr>
          <w:tab/>
        </w:r>
        <w:r w:rsidR="00860E86">
          <w:rPr>
            <w:noProof/>
            <w:webHidden/>
          </w:rPr>
          <w:fldChar w:fldCharType="begin"/>
        </w:r>
        <w:r w:rsidR="00860E86">
          <w:rPr>
            <w:noProof/>
            <w:webHidden/>
          </w:rPr>
          <w:instrText xml:space="preserve"> PAGEREF _Toc438459273 \h </w:instrText>
        </w:r>
        <w:r w:rsidR="00860E86">
          <w:rPr>
            <w:noProof/>
            <w:webHidden/>
          </w:rPr>
        </w:r>
        <w:r w:rsidR="00860E86">
          <w:rPr>
            <w:noProof/>
            <w:webHidden/>
          </w:rPr>
          <w:fldChar w:fldCharType="separate"/>
        </w:r>
        <w:r w:rsidR="00860E86">
          <w:rPr>
            <w:noProof/>
            <w:webHidden/>
          </w:rPr>
          <w:t>5</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74" w:history="1">
        <w:r w:rsidR="00860E86" w:rsidRPr="00FC3D00">
          <w:rPr>
            <w:rStyle w:val="Hyperlink"/>
            <w:noProof/>
          </w:rPr>
          <w:t>Contact</w:t>
        </w:r>
        <w:r w:rsidR="00860E86">
          <w:rPr>
            <w:noProof/>
            <w:webHidden/>
          </w:rPr>
          <w:tab/>
        </w:r>
        <w:r w:rsidR="00860E86">
          <w:rPr>
            <w:noProof/>
            <w:webHidden/>
          </w:rPr>
          <w:fldChar w:fldCharType="begin"/>
        </w:r>
        <w:r w:rsidR="00860E86">
          <w:rPr>
            <w:noProof/>
            <w:webHidden/>
          </w:rPr>
          <w:instrText xml:space="preserve"> PAGEREF _Toc438459274 \h </w:instrText>
        </w:r>
        <w:r w:rsidR="00860E86">
          <w:rPr>
            <w:noProof/>
            <w:webHidden/>
          </w:rPr>
        </w:r>
        <w:r w:rsidR="00860E86">
          <w:rPr>
            <w:noProof/>
            <w:webHidden/>
          </w:rPr>
          <w:fldChar w:fldCharType="separate"/>
        </w:r>
        <w:r w:rsidR="00860E86">
          <w:rPr>
            <w:noProof/>
            <w:webHidden/>
          </w:rPr>
          <w:t>6</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75" w:history="1">
        <w:r w:rsidR="00860E86" w:rsidRPr="00FC3D00">
          <w:rPr>
            <w:rStyle w:val="Hyperlink"/>
            <w:noProof/>
          </w:rPr>
          <w:t>Appendix A: Terms</w:t>
        </w:r>
        <w:r w:rsidR="00860E86">
          <w:rPr>
            <w:noProof/>
            <w:webHidden/>
          </w:rPr>
          <w:tab/>
        </w:r>
        <w:r w:rsidR="00860E86">
          <w:rPr>
            <w:noProof/>
            <w:webHidden/>
          </w:rPr>
          <w:fldChar w:fldCharType="begin"/>
        </w:r>
        <w:r w:rsidR="00860E86">
          <w:rPr>
            <w:noProof/>
            <w:webHidden/>
          </w:rPr>
          <w:instrText xml:space="preserve"> PAGEREF _Toc438459275 \h </w:instrText>
        </w:r>
        <w:r w:rsidR="00860E86">
          <w:rPr>
            <w:noProof/>
            <w:webHidden/>
          </w:rPr>
        </w:r>
        <w:r w:rsidR="00860E86">
          <w:rPr>
            <w:noProof/>
            <w:webHidden/>
          </w:rPr>
          <w:fldChar w:fldCharType="separate"/>
        </w:r>
        <w:r w:rsidR="00860E86">
          <w:rPr>
            <w:noProof/>
            <w:webHidden/>
          </w:rPr>
          <w:t>7</w:t>
        </w:r>
        <w:r w:rsidR="00860E86">
          <w:rPr>
            <w:noProof/>
            <w:webHidden/>
          </w:rPr>
          <w:fldChar w:fldCharType="end"/>
        </w:r>
      </w:hyperlink>
    </w:p>
    <w:p w:rsidR="00860E86" w:rsidRDefault="00EC4876">
      <w:pPr>
        <w:pStyle w:val="TOC1"/>
        <w:tabs>
          <w:tab w:val="right" w:leader="dot" w:pos="9350"/>
        </w:tabs>
        <w:rPr>
          <w:rFonts w:asciiTheme="minorHAnsi" w:eastAsiaTheme="minorEastAsia" w:hAnsiTheme="minorHAnsi" w:cstheme="minorBidi"/>
          <w:smallCaps w:val="0"/>
          <w:noProof/>
          <w:sz w:val="22"/>
          <w:szCs w:val="22"/>
        </w:rPr>
      </w:pPr>
      <w:hyperlink w:anchor="_Toc438459276" w:history="1">
        <w:r w:rsidR="00860E86" w:rsidRPr="00FC3D00">
          <w:rPr>
            <w:rStyle w:val="Hyperlink"/>
            <w:noProof/>
          </w:rPr>
          <w:t>Appendix B: Document History</w:t>
        </w:r>
        <w:r w:rsidR="00860E86">
          <w:rPr>
            <w:noProof/>
            <w:webHidden/>
          </w:rPr>
          <w:tab/>
        </w:r>
        <w:r w:rsidR="00860E86">
          <w:rPr>
            <w:noProof/>
            <w:webHidden/>
          </w:rPr>
          <w:fldChar w:fldCharType="begin"/>
        </w:r>
        <w:r w:rsidR="00860E86">
          <w:rPr>
            <w:noProof/>
            <w:webHidden/>
          </w:rPr>
          <w:instrText xml:space="preserve"> PAGEREF _Toc438459276 \h </w:instrText>
        </w:r>
        <w:r w:rsidR="00860E86">
          <w:rPr>
            <w:noProof/>
            <w:webHidden/>
          </w:rPr>
        </w:r>
        <w:r w:rsidR="00860E86">
          <w:rPr>
            <w:noProof/>
            <w:webHidden/>
          </w:rPr>
          <w:fldChar w:fldCharType="separate"/>
        </w:r>
        <w:r w:rsidR="00860E86">
          <w:rPr>
            <w:noProof/>
            <w:webHidden/>
          </w:rPr>
          <w:t>8</w:t>
        </w:r>
        <w:r w:rsidR="00860E86">
          <w:rPr>
            <w:noProof/>
            <w:webHidden/>
          </w:rPr>
          <w:fldChar w:fldCharType="end"/>
        </w:r>
      </w:hyperlink>
    </w:p>
    <w:p w:rsidR="00801B38" w:rsidRPr="001B30EE" w:rsidRDefault="003602ED" w:rsidP="00475B81">
      <w:pPr>
        <w:pStyle w:val="Heading2"/>
      </w:pPr>
      <w:r>
        <w:fldChar w:fldCharType="end"/>
      </w:r>
      <w:bookmarkStart w:id="2" w:name="_Toc438459268"/>
      <w:r w:rsidR="00801B38" w:rsidRPr="001B30EE">
        <w:t>Executive Summary</w:t>
      </w:r>
      <w:bookmarkEnd w:id="2"/>
    </w:p>
    <w:p w:rsidR="00801B38" w:rsidRPr="00801B38" w:rsidRDefault="008322A4" w:rsidP="00801B38">
      <w:r w:rsidRPr="008322A4">
        <w:t>This Enterprise Information Technology Acquisition Security Policy (Policy), issued by the</w:t>
      </w:r>
      <w:r>
        <w:t xml:space="preserve"> Massachusetts Office of</w:t>
      </w:r>
      <w:r w:rsidRPr="008322A4">
        <w:t xml:space="preserve"> Information Technology (</w:t>
      </w:r>
      <w:r>
        <w:t>MassIT</w:t>
      </w:r>
      <w:r w:rsidRPr="008322A4">
        <w:t>) provides requirements and evaluation guidelines for entities making “IT Acquisitions.” The Commonwealth has the responsibility to ensure that information technology solutions are procured in alignment with the Enterprise IT Security goals.  Therefore, both prepackaged and developed IT Solutions must be evaluated throughout their lifecycle.  Up front evaluation of IT Security compliance must be a key factor in determining the viability of a pre-</w:t>
      </w:r>
      <w:proofErr w:type="gramStart"/>
      <w:r w:rsidRPr="008322A4">
        <w:t>packaged</w:t>
      </w:r>
      <w:proofErr w:type="gramEnd"/>
      <w:r w:rsidRPr="008322A4">
        <w:t xml:space="preserve"> solution while incremental testing and final validation and verification is critical during any project that relies on development by third party vendors.  Funding for adequate testing of any future security remediation of the IT solution is the budgeting responsibility of the Secretariat/Agency that owns the IT solution.</w:t>
      </w:r>
    </w:p>
    <w:p w:rsidR="00801B38" w:rsidRPr="001B30EE" w:rsidRDefault="006A7C00" w:rsidP="001B30EE">
      <w:pPr>
        <w:pStyle w:val="Heading2"/>
      </w:pPr>
      <w:bookmarkStart w:id="3" w:name="_Toc213147896"/>
      <w:bookmarkStart w:id="4" w:name="_Toc213229284"/>
      <w:bookmarkStart w:id="5" w:name="_Toc216497827"/>
      <w:bookmarkStart w:id="6" w:name="_Toc438459269"/>
      <w:bookmarkStart w:id="7" w:name="_Toc213229282"/>
      <w:r>
        <w:t>Who</w:t>
      </w:r>
      <w:r w:rsidR="007D57FE">
        <w:t>m</w:t>
      </w:r>
      <w:r>
        <w:t xml:space="preserve"> this Policy Applies To</w:t>
      </w:r>
      <w:bookmarkEnd w:id="3"/>
      <w:bookmarkEnd w:id="4"/>
      <w:bookmarkEnd w:id="5"/>
      <w:bookmarkEnd w:id="6"/>
    </w:p>
    <w:p w:rsidR="00801B38" w:rsidRPr="00801B38" w:rsidRDefault="008322A4" w:rsidP="00801B38">
      <w:r w:rsidRPr="008322A4">
        <w:lastRenderedPageBreak/>
        <w:t>The following entities must adhere to this Policy (Applicable Entities):</w:t>
      </w:r>
    </w:p>
    <w:p w:rsidR="006A7C00" w:rsidRDefault="006A7C00" w:rsidP="00801B38">
      <w:pPr>
        <w:pStyle w:val="ListParagraph"/>
        <w:numPr>
          <w:ilvl w:val="0"/>
          <w:numId w:val="20"/>
        </w:numPr>
      </w:pPr>
      <w:r w:rsidRPr="006A7C00">
        <w:t xml:space="preserve">Executive Department Agencies, </w:t>
      </w:r>
      <w:r w:rsidRPr="006A7C00">
        <w:rPr>
          <w:vertAlign w:val="superscript"/>
        </w:rPr>
        <w:footnoteReference w:id="2"/>
      </w:r>
      <w:r w:rsidRPr="006A7C00">
        <w:t xml:space="preserve"> </w:t>
      </w:r>
      <w:r w:rsidR="008322A4">
        <w:t>and</w:t>
      </w:r>
    </w:p>
    <w:p w:rsidR="006A7C00" w:rsidRDefault="008322A4" w:rsidP="008322A4">
      <w:pPr>
        <w:pStyle w:val="ListParagraph"/>
        <w:numPr>
          <w:ilvl w:val="0"/>
          <w:numId w:val="20"/>
        </w:numPr>
      </w:pPr>
      <w:r w:rsidRPr="008322A4">
        <w:t xml:space="preserve">Non-Executive Department Entities when such entities are using Commonwealth Information Technology Capital Funds administered by </w:t>
      </w:r>
      <w:r w:rsidR="00206304">
        <w:t>MassIT</w:t>
      </w:r>
      <w:r w:rsidRPr="008322A4">
        <w:t xml:space="preserve"> to acquire the Information Technology commodities and/or services.</w:t>
      </w:r>
    </w:p>
    <w:p w:rsidR="00801B38" w:rsidRPr="00801B38" w:rsidRDefault="008322A4" w:rsidP="006A7C00">
      <w:pPr>
        <w:pStyle w:val="ListParagraph"/>
        <w:numPr>
          <w:ilvl w:val="0"/>
          <w:numId w:val="0"/>
        </w:numPr>
        <w:ind w:left="360"/>
      </w:pPr>
      <w:r w:rsidRPr="008322A4">
        <w:t>Other Commonwealth entities are encouraged to adopt, at a minimum, policies and requirements in accordance with this Policy or more stringent policies that address the entity’s specific business-related directives, laws, and regulations.</w:t>
      </w:r>
    </w:p>
    <w:p w:rsidR="008322A4" w:rsidRDefault="008322A4" w:rsidP="001B30EE">
      <w:pPr>
        <w:pStyle w:val="Heading2"/>
      </w:pPr>
      <w:bookmarkStart w:id="8" w:name="_Toc438459270"/>
      <w:bookmarkEnd w:id="7"/>
      <w:r>
        <w:t>Scope</w:t>
      </w:r>
      <w:bookmarkEnd w:id="8"/>
    </w:p>
    <w:p w:rsidR="008322A4" w:rsidRDefault="008322A4" w:rsidP="008322A4">
      <w:r>
        <w:t>This policy pertains to the security implications of Commonwealth Enterprise IT Acquisition.</w:t>
      </w:r>
    </w:p>
    <w:p w:rsidR="008322A4" w:rsidRDefault="008322A4" w:rsidP="008322A4">
      <w:r>
        <w:t xml:space="preserve">Security issues including applicable regulatory compliance (Pub 1075, HIPAA, MGL. </w:t>
      </w:r>
      <w:proofErr w:type="spellStart"/>
      <w:r>
        <w:t>ch.</w:t>
      </w:r>
      <w:proofErr w:type="spellEnd"/>
      <w:r>
        <w:t xml:space="preserve"> 66A, etc.) and contractual obligations (e.g. PCI) are key factors in effectively evaluating all elements of IT solutions.  Examples of such elements could include, but are not limited to:</w:t>
      </w:r>
    </w:p>
    <w:p w:rsidR="008322A4" w:rsidRDefault="008322A4" w:rsidP="008322A4">
      <w:pPr>
        <w:pStyle w:val="ListParagraph"/>
        <w:numPr>
          <w:ilvl w:val="0"/>
          <w:numId w:val="27"/>
        </w:numPr>
      </w:pPr>
      <w:r>
        <w:t>Hosted services</w:t>
      </w:r>
    </w:p>
    <w:p w:rsidR="008322A4" w:rsidRDefault="008322A4" w:rsidP="008322A4">
      <w:pPr>
        <w:pStyle w:val="ListParagraph"/>
        <w:numPr>
          <w:ilvl w:val="0"/>
          <w:numId w:val="27"/>
        </w:numPr>
      </w:pPr>
      <w:r>
        <w:t>Hardware</w:t>
      </w:r>
    </w:p>
    <w:p w:rsidR="008322A4" w:rsidRDefault="008322A4" w:rsidP="008322A4">
      <w:pPr>
        <w:pStyle w:val="ListParagraph"/>
        <w:numPr>
          <w:ilvl w:val="0"/>
          <w:numId w:val="27"/>
        </w:numPr>
      </w:pPr>
      <w:r>
        <w:t>Software</w:t>
      </w:r>
    </w:p>
    <w:p w:rsidR="008322A4" w:rsidRDefault="008322A4" w:rsidP="008322A4">
      <w:pPr>
        <w:pStyle w:val="ListParagraph"/>
        <w:numPr>
          <w:ilvl w:val="0"/>
          <w:numId w:val="27"/>
        </w:numPr>
      </w:pPr>
      <w:r>
        <w:t>Consulting services to produce, integrate, or maintain code</w:t>
      </w:r>
    </w:p>
    <w:p w:rsidR="008322A4" w:rsidRPr="008322A4" w:rsidRDefault="008322A4" w:rsidP="008322A4">
      <w:pPr>
        <w:pStyle w:val="ListParagraph"/>
        <w:numPr>
          <w:ilvl w:val="0"/>
          <w:numId w:val="27"/>
        </w:numPr>
      </w:pPr>
      <w:r>
        <w:t>Consulting services to implement, deploy, or maintain an IT solution</w:t>
      </w:r>
    </w:p>
    <w:p w:rsidR="00801B38" w:rsidRDefault="006A7C00" w:rsidP="001B30EE">
      <w:pPr>
        <w:pStyle w:val="Heading2"/>
      </w:pPr>
      <w:bookmarkStart w:id="9" w:name="_Toc438459271"/>
      <w:r>
        <w:t>Policy Statement</w:t>
      </w:r>
      <w:bookmarkEnd w:id="9"/>
    </w:p>
    <w:p w:rsidR="008322A4" w:rsidRPr="008322A4" w:rsidRDefault="008322A4" w:rsidP="008322A4">
      <w:r w:rsidRPr="008322A4">
        <w:t>The objective of this policy is to ensure that security requirements are an integral consideration when acquiring IT solutions.</w:t>
      </w:r>
    </w:p>
    <w:p w:rsidR="00801B38" w:rsidRDefault="008322A4" w:rsidP="008322A4">
      <w:pPr>
        <w:pStyle w:val="Heading3"/>
        <w:numPr>
          <w:ilvl w:val="0"/>
          <w:numId w:val="22"/>
        </w:numPr>
      </w:pPr>
      <w:r w:rsidRPr="008322A4">
        <w:t>Security Requirements for IT Acquisition</w:t>
      </w:r>
    </w:p>
    <w:p w:rsidR="008322A4" w:rsidRDefault="008322A4" w:rsidP="008322A4">
      <w:pPr>
        <w:pStyle w:val="ListParagraph"/>
        <w:numPr>
          <w:ilvl w:val="1"/>
          <w:numId w:val="22"/>
        </w:numPr>
      </w:pPr>
      <w:r>
        <w:t xml:space="preserve">Applicable Entities that contract for a systems acquisition or development where the system will house  personal  information must comply with </w:t>
      </w:r>
      <w:hyperlink r:id="rId10" w:history="1">
        <w:r w:rsidRPr="00735150">
          <w:rPr>
            <w:rStyle w:val="Hyperlink"/>
          </w:rPr>
          <w:t>Executive Order 504 Vendor Certification Requirements</w:t>
        </w:r>
      </w:hyperlink>
      <w:r w:rsidR="00475B81">
        <w:rPr>
          <w:rStyle w:val="FootnoteReference"/>
          <w:color w:val="0000FF"/>
          <w:u w:val="single"/>
        </w:rPr>
        <w:footnoteReference w:id="3"/>
      </w:r>
      <w:r>
        <w:t xml:space="preserve"> utilizing the </w:t>
      </w:r>
      <w:hyperlink r:id="rId11" w:history="1">
        <w:r w:rsidR="00475B81">
          <w:rPr>
            <w:rStyle w:val="Hyperlink"/>
          </w:rPr>
          <w:t>Vendor Certification Form (DOC)</w:t>
        </w:r>
      </w:hyperlink>
      <w:r w:rsidR="00475B81">
        <w:rPr>
          <w:rStyle w:val="FootnoteReference"/>
          <w:color w:val="0000FF"/>
          <w:u w:val="single"/>
        </w:rPr>
        <w:footnoteReference w:id="4"/>
      </w:r>
      <w:r>
        <w:t xml:space="preserve"> therein.</w:t>
      </w:r>
    </w:p>
    <w:p w:rsidR="008322A4" w:rsidRDefault="008322A4" w:rsidP="008322A4">
      <w:pPr>
        <w:pStyle w:val="ListParagraph"/>
        <w:numPr>
          <w:ilvl w:val="1"/>
          <w:numId w:val="22"/>
        </w:numPr>
      </w:pPr>
      <w:r>
        <w:t>VPN certificates required for work performed as part of or as a result of an IT acquisition must be uniquely assigned to specific persons performing said work and must never be transferred to any other persons for any reason.</w:t>
      </w:r>
    </w:p>
    <w:p w:rsidR="00801B38" w:rsidRPr="00801B38" w:rsidRDefault="008322A4" w:rsidP="008322A4">
      <w:pPr>
        <w:pStyle w:val="ListParagraph"/>
        <w:numPr>
          <w:ilvl w:val="1"/>
          <w:numId w:val="22"/>
        </w:numPr>
      </w:pPr>
      <w:r>
        <w:t>Applicable Commonwealth Entities are responsible for satisfactorily remediating IT solutions to meet security obligations in the event an acquired solution is deemed to have a flaw or vulnerability.  Planning for costs associated with improving an acquired solution must be part of the budget in any IT solution acquisition.  Regardless of the physical location of the solution/network, it is incumbent upon the Commonwealth entity to strategize on future security planning and testing.</w:t>
      </w:r>
    </w:p>
    <w:p w:rsidR="008322A4" w:rsidRDefault="008322A4" w:rsidP="008322A4">
      <w:pPr>
        <w:pStyle w:val="Heading3"/>
        <w:numPr>
          <w:ilvl w:val="0"/>
          <w:numId w:val="22"/>
        </w:numPr>
      </w:pPr>
      <w:bookmarkStart w:id="11" w:name="_Toc216497831"/>
      <w:r w:rsidRPr="008322A4">
        <w:t>Contractual agreements for the procurement of IT solutions must:</w:t>
      </w:r>
    </w:p>
    <w:p w:rsidR="008322A4" w:rsidRDefault="008322A4" w:rsidP="00735150">
      <w:pPr>
        <w:pStyle w:val="ListParagraph"/>
        <w:numPr>
          <w:ilvl w:val="1"/>
          <w:numId w:val="22"/>
        </w:numPr>
      </w:pPr>
      <w:r>
        <w:t>Include provisions for vendors to validate compliance with security requirements based on Enterprise IT Acquisitions Security/Application Standards. Adherence will enable procuring agencies to standardize initial compliance in alignment with current industry standards/best practices facilitate understanding for the level of effort required to conduct ongoing vulnerability analyses.</w:t>
      </w:r>
    </w:p>
    <w:p w:rsidR="008322A4" w:rsidRDefault="008322A4" w:rsidP="00735150">
      <w:pPr>
        <w:pStyle w:val="ListParagraph"/>
        <w:numPr>
          <w:ilvl w:val="1"/>
          <w:numId w:val="22"/>
        </w:numPr>
      </w:pPr>
      <w:r>
        <w:t>Provide for comparable and separate development and test environments so that technical staff may effectively use non-production environments to support the application without impacting production systems and live data.</w:t>
      </w:r>
    </w:p>
    <w:p w:rsidR="008322A4" w:rsidRDefault="008322A4" w:rsidP="00735150">
      <w:pPr>
        <w:pStyle w:val="ListParagraph"/>
        <w:numPr>
          <w:ilvl w:val="1"/>
          <w:numId w:val="22"/>
        </w:numPr>
      </w:pPr>
      <w:r>
        <w:t>Identify within the contract any adopted or specific industry standard with which an endpoint solution (appliance, firewall, etc.) must comply.  Require that the agency and vendor jointly define, document and implement mandated data security and compliance requirements such as HIPAA, MGL. s. 66A, PCI Standards, etc.</w:t>
      </w:r>
    </w:p>
    <w:p w:rsidR="008322A4" w:rsidRDefault="008322A4" w:rsidP="00735150">
      <w:pPr>
        <w:pStyle w:val="ListParagraph"/>
        <w:numPr>
          <w:ilvl w:val="1"/>
          <w:numId w:val="22"/>
        </w:numPr>
      </w:pPr>
      <w:r>
        <w:t>Require that the vendor’s system documentation articulates system security requirements for applications being developed.</w:t>
      </w:r>
    </w:p>
    <w:p w:rsidR="008322A4" w:rsidRDefault="008322A4" w:rsidP="00735150">
      <w:pPr>
        <w:pStyle w:val="ListParagraph"/>
        <w:numPr>
          <w:ilvl w:val="1"/>
          <w:numId w:val="22"/>
        </w:numPr>
      </w:pPr>
      <w:r>
        <w:t xml:space="preserve">Ensure that third party components integrated into the system by the </w:t>
      </w:r>
      <w:r w:rsidR="00735150">
        <w:t>vendor comply with this policy.</w:t>
      </w:r>
    </w:p>
    <w:p w:rsidR="008322A4" w:rsidRDefault="008322A4" w:rsidP="00735150">
      <w:pPr>
        <w:pStyle w:val="ListParagraph"/>
        <w:numPr>
          <w:ilvl w:val="1"/>
          <w:numId w:val="22"/>
        </w:numPr>
      </w:pPr>
      <w:r>
        <w:t xml:space="preserve">Require the vendor to certify that the solution is free of security defects. In the event that a vendor is unable to certify the solution, it must provide acceptable compensating and/or mitigating controls that will effectively meet </w:t>
      </w:r>
      <w:r w:rsidR="00206304">
        <w:t>MassIT</w:t>
      </w:r>
      <w:r>
        <w:t>, Secretariat and Agency compliance</w:t>
      </w:r>
      <w:r w:rsidR="00735150">
        <w:t xml:space="preserve"> and or security requirements.</w:t>
      </w:r>
    </w:p>
    <w:p w:rsidR="008322A4" w:rsidRDefault="008322A4" w:rsidP="00735150">
      <w:pPr>
        <w:pStyle w:val="ListParagraph"/>
        <w:numPr>
          <w:ilvl w:val="1"/>
          <w:numId w:val="22"/>
        </w:numPr>
      </w:pPr>
      <w:r>
        <w:t>Require confidentiality with regard to the nature and implementation of secure Commonwealth assets, information, technologies, technical infrastructure, and security-related policies and procedures.  Agreements of confidentiality must be signed by each person granted access as part of acquisition/development.  The vendor’s signature of the Commonwealth’s Terms and Conditions, section 6 of which imposes a confidentiality requirement on the vendor, suffices to meet this obligation with respect to vendors. Agencies can meet this obligation with respect to individual persons (contractors or employees for the Vendor and its subcontractors) by having them sign the standard Intellectual Property Agreement for Contractor’s Employe</w:t>
      </w:r>
      <w:r w:rsidR="00735150">
        <w:t>es, Consultants and Agents.</w:t>
      </w:r>
    </w:p>
    <w:p w:rsidR="008322A4" w:rsidRPr="008322A4" w:rsidRDefault="008322A4" w:rsidP="00735150">
      <w:pPr>
        <w:pStyle w:val="ListParagraph"/>
        <w:numPr>
          <w:ilvl w:val="1"/>
          <w:numId w:val="22"/>
        </w:numPr>
      </w:pPr>
      <w:r>
        <w:t xml:space="preserve">Use of the same automated tools to be deployed during the Test and Acceptance phase as are/will </w:t>
      </w:r>
      <w:proofErr w:type="gramStart"/>
      <w:r>
        <w:t>be</w:t>
      </w:r>
      <w:proofErr w:type="gramEnd"/>
      <w:r>
        <w:t xml:space="preserve"> deployed during the Production phase.  Such tools must perform comprehensive, rigorous, and consistent application functionality tests.  Such tests are required and if possible, subsequent to ascertaining whether or not it is cost prohibitive, data involved in such testing should be encrypted.</w:t>
      </w:r>
    </w:p>
    <w:p w:rsidR="008322A4" w:rsidRDefault="00735150" w:rsidP="00735150">
      <w:pPr>
        <w:pStyle w:val="Heading3"/>
        <w:numPr>
          <w:ilvl w:val="0"/>
          <w:numId w:val="22"/>
        </w:numPr>
      </w:pPr>
      <w:r w:rsidRPr="00735150">
        <w:t>Application Requirements:</w:t>
      </w:r>
    </w:p>
    <w:p w:rsidR="00735150" w:rsidRDefault="00735150" w:rsidP="00735150">
      <w:pPr>
        <w:pStyle w:val="BodyTextIndent"/>
      </w:pPr>
      <w:r w:rsidRPr="00735150">
        <w:t>Application Acquisition (including development by third parties) must include the following measures:</w:t>
      </w:r>
    </w:p>
    <w:p w:rsidR="00735150" w:rsidRDefault="00735150" w:rsidP="00735150">
      <w:pPr>
        <w:pStyle w:val="ListParagraph"/>
        <w:numPr>
          <w:ilvl w:val="1"/>
          <w:numId w:val="22"/>
        </w:numPr>
      </w:pPr>
      <w:r>
        <w:t>Secretariats and their respective Agencies must oversee design and development of third party application systems in a manner consistent with the Security Controls articulated in the Design and Development section of the Enterprise IT Acquisitions Security/Application Standards in conjunction with all other relevant policies and standards.</w:t>
      </w:r>
    </w:p>
    <w:p w:rsidR="00735150" w:rsidRDefault="00735150" w:rsidP="00735150">
      <w:pPr>
        <w:pStyle w:val="ListParagraph"/>
        <w:numPr>
          <w:ilvl w:val="1"/>
          <w:numId w:val="22"/>
        </w:numPr>
      </w:pPr>
      <w:r>
        <w:t>Secretariats and their respective Agencies must employ test and acceptance procedures for application systems in a manner consistent with the Security Controls articulated in the Test and Acceptance section of the Enterprise IT Acquisitions Security/Application Standards.</w:t>
      </w:r>
    </w:p>
    <w:p w:rsidR="00735150" w:rsidRPr="00735150" w:rsidRDefault="00735150" w:rsidP="00735150">
      <w:pPr>
        <w:pStyle w:val="ListParagraph"/>
        <w:numPr>
          <w:ilvl w:val="1"/>
          <w:numId w:val="22"/>
        </w:numPr>
      </w:pPr>
      <w:r>
        <w:t>All information must be afforded the protections required by its sensitivity classification throughout the IT solution’s lifecycle, without regard to whether or not the IT solution is currently in production.</w:t>
      </w:r>
    </w:p>
    <w:bookmarkEnd w:id="11"/>
    <w:p w:rsidR="00801B38" w:rsidRDefault="00735150" w:rsidP="00735150">
      <w:pPr>
        <w:pStyle w:val="Heading3"/>
        <w:numPr>
          <w:ilvl w:val="0"/>
          <w:numId w:val="22"/>
        </w:numPr>
      </w:pPr>
      <w:r w:rsidRPr="00735150">
        <w:t>Documentation</w:t>
      </w:r>
    </w:p>
    <w:p w:rsidR="00735150" w:rsidRDefault="00735150" w:rsidP="00735150">
      <w:pPr>
        <w:pStyle w:val="ListParagraph"/>
        <w:numPr>
          <w:ilvl w:val="1"/>
          <w:numId w:val="22"/>
        </w:numPr>
      </w:pPr>
      <w:r>
        <w:t>All IT solution acquisitions, development, and deployments  must maintain security documentation that includes, but is not limited to the following subject areas:</w:t>
      </w:r>
    </w:p>
    <w:p w:rsidR="00735150" w:rsidRDefault="00735150" w:rsidP="00735150">
      <w:pPr>
        <w:pStyle w:val="ListParagraph"/>
        <w:numPr>
          <w:ilvl w:val="2"/>
          <w:numId w:val="31"/>
        </w:numPr>
      </w:pPr>
      <w:r>
        <w:t>Security objectives and related controls</w:t>
      </w:r>
    </w:p>
    <w:p w:rsidR="00735150" w:rsidRDefault="00735150" w:rsidP="00735150">
      <w:pPr>
        <w:pStyle w:val="ListParagraph"/>
        <w:numPr>
          <w:ilvl w:val="2"/>
          <w:numId w:val="31"/>
        </w:numPr>
      </w:pPr>
      <w:r>
        <w:t>System maintenance procedures/patching processes</w:t>
      </w:r>
    </w:p>
    <w:p w:rsidR="00735150" w:rsidRDefault="00735150" w:rsidP="00735150">
      <w:pPr>
        <w:pStyle w:val="ListParagraph"/>
        <w:numPr>
          <w:ilvl w:val="2"/>
          <w:numId w:val="31"/>
        </w:numPr>
      </w:pPr>
      <w:r>
        <w:t>System recovery procedures</w:t>
      </w:r>
    </w:p>
    <w:p w:rsidR="00735150" w:rsidRDefault="00735150" w:rsidP="00735150">
      <w:pPr>
        <w:pStyle w:val="ListParagraph"/>
        <w:numPr>
          <w:ilvl w:val="2"/>
          <w:numId w:val="31"/>
        </w:numPr>
      </w:pPr>
      <w:r>
        <w:t>Embedded security features</w:t>
      </w:r>
    </w:p>
    <w:p w:rsidR="00735150" w:rsidRDefault="00735150" w:rsidP="00735150">
      <w:pPr>
        <w:pStyle w:val="ListParagraph"/>
        <w:numPr>
          <w:ilvl w:val="2"/>
          <w:numId w:val="31"/>
        </w:numPr>
      </w:pPr>
      <w:r>
        <w:t>Data classification</w:t>
      </w:r>
    </w:p>
    <w:p w:rsidR="00735150" w:rsidRPr="00735150" w:rsidRDefault="00735150" w:rsidP="00735150">
      <w:pPr>
        <w:pStyle w:val="ListParagraph"/>
        <w:numPr>
          <w:ilvl w:val="2"/>
          <w:numId w:val="31"/>
        </w:numPr>
      </w:pPr>
      <w:r>
        <w:t>Vulnerability/risk assessment</w:t>
      </w:r>
    </w:p>
    <w:p w:rsidR="00801B38" w:rsidRPr="001B30EE" w:rsidRDefault="00801B38" w:rsidP="001B30EE">
      <w:pPr>
        <w:pStyle w:val="Heading2"/>
      </w:pPr>
      <w:bookmarkStart w:id="12" w:name="_Toc438459272"/>
      <w:r w:rsidRPr="001B30EE">
        <w:t>Roles and Responsibilities</w:t>
      </w:r>
      <w:bookmarkEnd w:id="12"/>
    </w:p>
    <w:p w:rsidR="00801B38" w:rsidRPr="00801B38" w:rsidRDefault="00735150" w:rsidP="00801B38">
      <w:r w:rsidRPr="00735150">
        <w:t xml:space="preserve">All Secretariats and their respective Agencies and entities governed by the overarching </w:t>
      </w:r>
      <w:hyperlink r:id="rId12" w:history="1">
        <w:r w:rsidRPr="00735150">
          <w:rPr>
            <w:rStyle w:val="Hyperlink"/>
          </w:rPr>
          <w:t>Enterprise Information Security Policy</w:t>
        </w:r>
      </w:hyperlink>
      <w:r w:rsidR="00475B81">
        <w:rPr>
          <w:rStyle w:val="FootnoteReference"/>
          <w:color w:val="0000FF"/>
          <w:u w:val="single"/>
        </w:rPr>
        <w:footnoteReference w:id="5"/>
      </w:r>
      <w:r w:rsidRPr="00735150">
        <w:t xml:space="preserve"> are subject to the referenced roles and responsibilities in addition to those specifically stated within this supporting policy.  The roles and responsibilities associated with implementation and compliance with this policy follow:</w:t>
      </w:r>
    </w:p>
    <w:p w:rsidR="00F97921" w:rsidRDefault="00F97921" w:rsidP="00801B38">
      <w:pPr>
        <w:pStyle w:val="Heading3"/>
      </w:pPr>
      <w:r w:rsidRPr="00F97921">
        <w:t>Assistant Secretary for Information Technology</w:t>
      </w:r>
    </w:p>
    <w:p w:rsidR="00116B14" w:rsidRDefault="00116B14" w:rsidP="00116B14">
      <w:pPr>
        <w:pStyle w:val="ListParagraph"/>
        <w:numPr>
          <w:ilvl w:val="0"/>
          <w:numId w:val="23"/>
        </w:numPr>
      </w:pPr>
      <w:r>
        <w:t>Develop mandatory standards and procedures for Secretariats and their respective Agencies to follow before entering into contracts providing third parties with access to electronic high sensitivity information including, but not limited to, personal information or IT systems containing such information.</w:t>
      </w:r>
    </w:p>
    <w:p w:rsidR="00F97921" w:rsidRPr="00801B38" w:rsidRDefault="00116B14" w:rsidP="00116B14">
      <w:pPr>
        <w:pStyle w:val="ListParagraph"/>
        <w:numPr>
          <w:ilvl w:val="0"/>
          <w:numId w:val="23"/>
        </w:numPr>
      </w:pPr>
      <w:r>
        <w:t xml:space="preserve"> Approval and adoption of this Enterprise Access Control Policy and its revisions.</w:t>
      </w:r>
    </w:p>
    <w:p w:rsidR="00F97921" w:rsidRDefault="00F97921" w:rsidP="00801B38">
      <w:pPr>
        <w:pStyle w:val="Heading3"/>
      </w:pPr>
      <w:r w:rsidRPr="00F97921">
        <w:t>Secretariat Chief Information Officer (SCIO) and Agency Head</w:t>
      </w:r>
    </w:p>
    <w:p w:rsidR="00116B14" w:rsidRDefault="00116B14" w:rsidP="00116B14">
      <w:pPr>
        <w:pStyle w:val="ListParagraph"/>
        <w:numPr>
          <w:ilvl w:val="0"/>
          <w:numId w:val="23"/>
        </w:numPr>
      </w:pPr>
      <w:r>
        <w:t>Exercise due diligence in adhering to the requirements contained in this policy.</w:t>
      </w:r>
    </w:p>
    <w:p w:rsidR="00F97921" w:rsidRPr="00801B38" w:rsidRDefault="00116B14" w:rsidP="00116B14">
      <w:pPr>
        <w:pStyle w:val="ListParagraph"/>
        <w:numPr>
          <w:ilvl w:val="0"/>
          <w:numId w:val="23"/>
        </w:numPr>
      </w:pPr>
      <w:r>
        <w:t>Provide communication, training and enforcement of this policy that support the security goals of the Secretariat, its respective Agencies, and the Commonwealth.</w:t>
      </w:r>
    </w:p>
    <w:p w:rsidR="00F97921" w:rsidRDefault="00F97921" w:rsidP="00801B38">
      <w:pPr>
        <w:pStyle w:val="Heading3"/>
      </w:pPr>
      <w:r w:rsidRPr="00F97921">
        <w:t>Secretariat or Agency Information Security Officer (ISO)</w:t>
      </w:r>
    </w:p>
    <w:p w:rsidR="00F97921" w:rsidRPr="00801B38" w:rsidRDefault="00116B14" w:rsidP="00116B14">
      <w:pPr>
        <w:pStyle w:val="ListParagraph"/>
        <w:numPr>
          <w:ilvl w:val="0"/>
          <w:numId w:val="23"/>
        </w:numPr>
      </w:pPr>
      <w:r w:rsidRPr="00116B14">
        <w:t>Ensure that the goals and requirements of the Enterprise IT Acquisition Security Policy are met.</w:t>
      </w:r>
    </w:p>
    <w:p w:rsidR="00116B14" w:rsidRPr="00801B38" w:rsidRDefault="00116B14" w:rsidP="00116B14">
      <w:pPr>
        <w:pStyle w:val="Heading3"/>
      </w:pPr>
      <w:r>
        <w:t>Massachusetts Office of Information Technology (MassIT)</w:t>
      </w:r>
      <w:r w:rsidRPr="00116B14">
        <w:t>, (led by the Assistant Secretary for Information Technology/the Commonwealth’s Chief Information Officer)</w:t>
      </w:r>
    </w:p>
    <w:p w:rsidR="00116B14" w:rsidRPr="00801B38" w:rsidRDefault="00116B14" w:rsidP="00116B14">
      <w:pPr>
        <w:pStyle w:val="ListParagraph"/>
        <w:numPr>
          <w:ilvl w:val="0"/>
          <w:numId w:val="23"/>
        </w:numPr>
      </w:pPr>
      <w:r w:rsidRPr="00116B14">
        <w:t>Providing guidance and consultation to Applicable Entities regarding IT Acquisitions and solution alternatives.</w:t>
      </w:r>
    </w:p>
    <w:p w:rsidR="00116B14" w:rsidRDefault="00116B14" w:rsidP="00116B14">
      <w:pPr>
        <w:pStyle w:val="Heading3"/>
      </w:pPr>
      <w:r w:rsidRPr="00F97921">
        <w:t>Secretariat Chief Information Officer</w:t>
      </w:r>
      <w:r>
        <w:t>s</w:t>
      </w:r>
      <w:r w:rsidRPr="00F97921">
        <w:t xml:space="preserve"> (SCIO) and Agency Head</w:t>
      </w:r>
      <w:r>
        <w:t>s</w:t>
      </w:r>
    </w:p>
    <w:p w:rsidR="00116B14" w:rsidRDefault="00116B14" w:rsidP="00116B14">
      <w:pPr>
        <w:pStyle w:val="ListParagraph"/>
        <w:numPr>
          <w:ilvl w:val="0"/>
          <w:numId w:val="23"/>
        </w:numPr>
      </w:pPr>
      <w:r>
        <w:t>Responsible for exercising due diligence in adhering to the requirements contained in this Policy.</w:t>
      </w:r>
    </w:p>
    <w:p w:rsidR="00116B14" w:rsidRDefault="00116B14" w:rsidP="00116B14">
      <w:pPr>
        <w:pStyle w:val="ListParagraph"/>
        <w:numPr>
          <w:ilvl w:val="0"/>
          <w:numId w:val="23"/>
        </w:numPr>
      </w:pPr>
      <w:r>
        <w:t>Provide communication, training and enforcement of this Policy that support the enterprise, architecture, Accessibility, security and procurement goals of the Secretariat, its agencies and the Commonwealth.</w:t>
      </w:r>
    </w:p>
    <w:p w:rsidR="00116B14" w:rsidRPr="00801B38" w:rsidRDefault="00116B14" w:rsidP="00116B14">
      <w:pPr>
        <w:pStyle w:val="Heading3"/>
      </w:pPr>
      <w:r>
        <w:t>Applicable Entities</w:t>
      </w:r>
    </w:p>
    <w:p w:rsidR="00116B14" w:rsidRPr="00801B38" w:rsidRDefault="00116B14" w:rsidP="00116B14">
      <w:pPr>
        <w:pStyle w:val="ListParagraph"/>
        <w:numPr>
          <w:ilvl w:val="0"/>
          <w:numId w:val="23"/>
        </w:numPr>
      </w:pPr>
      <w:r w:rsidRPr="00116B14">
        <w:t>Ensure compliance with this Policy for all prospective IT Acquisitions, including adherence to this Policy by all personnel conducting or participating in procurements on behalf of the Applicable Agency where such personnel includes but is not necessarily limited to employees, contractors, volunteers, and interns.</w:t>
      </w:r>
    </w:p>
    <w:p w:rsidR="00F97921" w:rsidRDefault="00F97921" w:rsidP="00801B38">
      <w:pPr>
        <w:pStyle w:val="Heading3"/>
      </w:pPr>
      <w:r w:rsidRPr="00F97921">
        <w:t>Enterprise Security Board (ESB)</w:t>
      </w:r>
    </w:p>
    <w:p w:rsidR="00F97921" w:rsidRPr="00801B38" w:rsidRDefault="00A20B9D" w:rsidP="00A20B9D">
      <w:pPr>
        <w:pStyle w:val="ListParagraph"/>
        <w:numPr>
          <w:ilvl w:val="0"/>
          <w:numId w:val="23"/>
        </w:numPr>
      </w:pPr>
      <w:r w:rsidRPr="00A20B9D">
        <w:t>Recommend revisions and updates to this policy and related standards.</w:t>
      </w:r>
    </w:p>
    <w:p w:rsidR="00801B38" w:rsidRPr="001B30EE" w:rsidRDefault="00801B38" w:rsidP="001B30EE">
      <w:pPr>
        <w:pStyle w:val="Heading2"/>
      </w:pPr>
      <w:bookmarkStart w:id="13" w:name="_Toc438459273"/>
      <w:r w:rsidRPr="001B30EE">
        <w:t>Related Documents</w:t>
      </w:r>
      <w:bookmarkEnd w:id="13"/>
    </w:p>
    <w:p w:rsidR="00B1004D" w:rsidRPr="00B1004D" w:rsidRDefault="00B1004D" w:rsidP="00B1004D">
      <w:pPr>
        <w:pStyle w:val="ListParagraph"/>
        <w:numPr>
          <w:ilvl w:val="0"/>
          <w:numId w:val="34"/>
        </w:numPr>
      </w:pPr>
      <w:r w:rsidRPr="00B1004D">
        <w:t>Enterprise IT Acquisitions Security/Application Standards</w:t>
      </w:r>
    </w:p>
    <w:p w:rsidR="00B1004D" w:rsidRPr="00B1004D" w:rsidRDefault="00B1004D" w:rsidP="00B1004D">
      <w:pPr>
        <w:pStyle w:val="ListParagraph"/>
        <w:numPr>
          <w:ilvl w:val="0"/>
          <w:numId w:val="34"/>
        </w:numPr>
      </w:pPr>
      <w:r w:rsidRPr="00475B81">
        <w:t>Enterprise Access Control Security Policies and Standards</w:t>
      </w:r>
    </w:p>
    <w:p w:rsidR="00B1004D" w:rsidRPr="00B1004D" w:rsidRDefault="00EC4876" w:rsidP="00B1004D">
      <w:pPr>
        <w:pStyle w:val="ListParagraph"/>
        <w:numPr>
          <w:ilvl w:val="0"/>
          <w:numId w:val="34"/>
        </w:numPr>
      </w:pPr>
      <w:hyperlink r:id="rId13" w:history="1">
        <w:r w:rsidR="00B1004D" w:rsidRPr="00B1004D">
          <w:rPr>
            <w:rStyle w:val="Hyperlink"/>
          </w:rPr>
          <w:t>Enterprise Technical Reference Model</w:t>
        </w:r>
      </w:hyperlink>
      <w:r w:rsidR="00475B81">
        <w:rPr>
          <w:rStyle w:val="FootnoteReference"/>
          <w:color w:val="0000FF"/>
          <w:u w:val="single"/>
        </w:rPr>
        <w:footnoteReference w:id="6"/>
      </w:r>
    </w:p>
    <w:p w:rsidR="00B1004D" w:rsidRPr="00B1004D" w:rsidRDefault="00B1004D" w:rsidP="00B1004D">
      <w:pPr>
        <w:pStyle w:val="ListParagraph"/>
        <w:numPr>
          <w:ilvl w:val="0"/>
          <w:numId w:val="34"/>
        </w:numPr>
      </w:pPr>
      <w:r w:rsidRPr="00B1004D">
        <w:t>IT Acquisition Accessibility Compliance Program</w:t>
      </w:r>
    </w:p>
    <w:p w:rsidR="00B1004D" w:rsidRPr="00B1004D" w:rsidRDefault="00B1004D" w:rsidP="00B1004D">
      <w:pPr>
        <w:pStyle w:val="ListParagraph"/>
        <w:numPr>
          <w:ilvl w:val="0"/>
          <w:numId w:val="34"/>
        </w:numPr>
      </w:pPr>
      <w:r w:rsidRPr="00B1004D">
        <w:t>Enterprise Information Technology Accessibility Standards</w:t>
      </w:r>
    </w:p>
    <w:p w:rsidR="00B1004D" w:rsidRPr="00B1004D" w:rsidRDefault="00B1004D" w:rsidP="00B1004D">
      <w:pPr>
        <w:pStyle w:val="ListParagraph"/>
        <w:numPr>
          <w:ilvl w:val="0"/>
          <w:numId w:val="34"/>
        </w:numPr>
      </w:pPr>
      <w:r w:rsidRPr="00B1004D">
        <w:t>Enterprise Web Accessibility Standards</w:t>
      </w:r>
    </w:p>
    <w:p w:rsidR="00B1004D" w:rsidRPr="00B1004D" w:rsidRDefault="00B1004D" w:rsidP="00B1004D">
      <w:pPr>
        <w:pStyle w:val="ListParagraph"/>
        <w:numPr>
          <w:ilvl w:val="0"/>
          <w:numId w:val="34"/>
        </w:numPr>
      </w:pPr>
      <w:r w:rsidRPr="00B1004D">
        <w:t>Enterprise Security Policy and Standards</w:t>
      </w:r>
    </w:p>
    <w:p w:rsidR="00B1004D" w:rsidRPr="00B1004D" w:rsidRDefault="00B1004D" w:rsidP="00B1004D">
      <w:pPr>
        <w:pStyle w:val="ListParagraph"/>
        <w:numPr>
          <w:ilvl w:val="0"/>
          <w:numId w:val="34"/>
        </w:numPr>
      </w:pPr>
      <w:r w:rsidRPr="00B1004D">
        <w:t>Commonwealth Open Standards Policy</w:t>
      </w:r>
    </w:p>
    <w:p w:rsidR="00B1004D" w:rsidRPr="00B1004D" w:rsidRDefault="00EC4876" w:rsidP="00B1004D">
      <w:pPr>
        <w:pStyle w:val="ListParagraph"/>
        <w:numPr>
          <w:ilvl w:val="0"/>
          <w:numId w:val="34"/>
        </w:numPr>
      </w:pPr>
      <w:hyperlink r:id="rId14" w:history="1">
        <w:r w:rsidR="00B1004D" w:rsidRPr="00B1004D">
          <w:rPr>
            <w:rStyle w:val="Hyperlink"/>
          </w:rPr>
          <w:t>Open Source License Legal Toolkit</w:t>
        </w:r>
      </w:hyperlink>
      <w:r w:rsidR="00475B81">
        <w:rPr>
          <w:rStyle w:val="FootnoteReference"/>
          <w:color w:val="0000FF"/>
          <w:u w:val="single"/>
        </w:rPr>
        <w:footnoteReference w:id="7"/>
      </w:r>
    </w:p>
    <w:p w:rsidR="00B1004D" w:rsidRPr="00B1004D" w:rsidRDefault="00B1004D" w:rsidP="00B1004D">
      <w:pPr>
        <w:pStyle w:val="ListParagraph"/>
        <w:numPr>
          <w:ilvl w:val="0"/>
          <w:numId w:val="34"/>
        </w:numPr>
      </w:pPr>
      <w:r w:rsidRPr="00B1004D">
        <w:t>Enterprise Desktop Power Management Standards</w:t>
      </w:r>
    </w:p>
    <w:p w:rsidR="00B1004D" w:rsidRPr="00B1004D" w:rsidRDefault="00B1004D" w:rsidP="00B1004D">
      <w:pPr>
        <w:pStyle w:val="ListParagraph"/>
        <w:numPr>
          <w:ilvl w:val="0"/>
          <w:numId w:val="34"/>
        </w:numPr>
      </w:pPr>
      <w:r w:rsidRPr="00B1004D">
        <w:t>Executive Orders 504 and 532</w:t>
      </w:r>
    </w:p>
    <w:p w:rsidR="00B1004D" w:rsidRPr="00B1004D" w:rsidRDefault="00EC4876" w:rsidP="00B1004D">
      <w:pPr>
        <w:pStyle w:val="ListParagraph"/>
        <w:numPr>
          <w:ilvl w:val="0"/>
          <w:numId w:val="34"/>
        </w:numPr>
      </w:pPr>
      <w:hyperlink r:id="rId15" w:history="1">
        <w:r w:rsidR="00475B81">
          <w:rPr>
            <w:rStyle w:val="Hyperlink"/>
          </w:rPr>
          <w:t>801 CMR 21.00</w:t>
        </w:r>
        <w:r w:rsidR="00475B81">
          <w:rPr>
            <w:rStyle w:val="Hyperlink"/>
          </w:rPr>
          <w:t xml:space="preserve"> (DOC)</w:t>
        </w:r>
      </w:hyperlink>
      <w:r w:rsidR="00475B81">
        <w:rPr>
          <w:rStyle w:val="FootnoteReference"/>
          <w:color w:val="0000FF"/>
          <w:u w:val="single"/>
        </w:rPr>
        <w:footnoteReference w:id="8"/>
      </w:r>
    </w:p>
    <w:p w:rsidR="00801B38" w:rsidRPr="00801B38" w:rsidRDefault="00EC4876" w:rsidP="00B1004D">
      <w:pPr>
        <w:pStyle w:val="ListParagraph"/>
        <w:numPr>
          <w:ilvl w:val="0"/>
          <w:numId w:val="34"/>
        </w:numPr>
      </w:pPr>
      <w:hyperlink r:id="rId16" w:history="1">
        <w:r w:rsidR="00281121">
          <w:rPr>
            <w:rStyle w:val="Hyperlink"/>
          </w:rPr>
          <w:t>Statewide Contract information</w:t>
        </w:r>
      </w:hyperlink>
      <w:r w:rsidR="00281121">
        <w:rPr>
          <w:rStyle w:val="FootnoteReference"/>
          <w:color w:val="0000FF"/>
          <w:u w:val="single"/>
        </w:rPr>
        <w:footnoteReference w:id="9"/>
      </w:r>
    </w:p>
    <w:p w:rsidR="00801B38" w:rsidRPr="001B30EE" w:rsidRDefault="00801B38" w:rsidP="001B30EE">
      <w:pPr>
        <w:pStyle w:val="Heading2"/>
      </w:pPr>
      <w:bookmarkStart w:id="14" w:name="_Toc438459274"/>
      <w:r w:rsidRPr="001B30EE">
        <w:t>Contact</w:t>
      </w:r>
      <w:bookmarkEnd w:id="14"/>
    </w:p>
    <w:p w:rsidR="00801B38" w:rsidRPr="00801B38" w:rsidRDefault="00EC4876" w:rsidP="00801B38">
      <w:hyperlink r:id="rId17" w:history="1">
        <w:r w:rsidR="00B1004D" w:rsidRPr="00B1004D">
          <w:rPr>
            <w:rStyle w:val="Hyperlink"/>
          </w:rPr>
          <w:t>Standards@state.ma.us</w:t>
        </w:r>
      </w:hyperlink>
    </w:p>
    <w:p w:rsidR="003602ED" w:rsidRDefault="003602ED">
      <w:pPr>
        <w:spacing w:after="0"/>
        <w:rPr>
          <w:rFonts w:ascii="Times New Roman" w:hAnsi="Times New Roman"/>
          <w:b/>
          <w:smallCaps/>
          <w:sz w:val="28"/>
          <w:szCs w:val="28"/>
        </w:rPr>
      </w:pPr>
      <w:bookmarkStart w:id="15" w:name="_Toc236189949"/>
      <w:bookmarkStart w:id="16" w:name="_Toc413070821"/>
      <w:r>
        <w:rPr>
          <w:rFonts w:ascii="Times New Roman" w:hAnsi="Times New Roman"/>
          <w:b/>
          <w:smallCaps/>
          <w:sz w:val="28"/>
          <w:szCs w:val="28"/>
        </w:rPr>
        <w:br w:type="page"/>
      </w:r>
    </w:p>
    <w:p w:rsidR="003602ED" w:rsidRPr="001B30EE" w:rsidRDefault="003602ED" w:rsidP="001B30EE">
      <w:pPr>
        <w:pStyle w:val="Heading2"/>
      </w:pPr>
      <w:bookmarkStart w:id="17" w:name="_Toc438459275"/>
      <w:r w:rsidRPr="001B30EE">
        <w:t>Appendix A: Terms</w:t>
      </w:r>
      <w:bookmarkEnd w:id="15"/>
      <w:bookmarkEnd w:id="16"/>
      <w:bookmarkEnd w:id="17"/>
    </w:p>
    <w:p w:rsidR="003602ED" w:rsidRPr="003602ED" w:rsidRDefault="003602ED" w:rsidP="003602ED">
      <w:r w:rsidRPr="003602ED">
        <w:t xml:space="preserve">Key terms used in this policy have been provided below for your convenience.  For a full list of terms please refer to the glossary of </w:t>
      </w:r>
      <w:hyperlink r:id="rId18" w:history="1">
        <w:r w:rsidRPr="003602ED">
          <w:rPr>
            <w:color w:val="0000FF"/>
            <w:u w:val="single"/>
          </w:rPr>
          <w:t>Commonwealth Specific Terms</w:t>
        </w:r>
      </w:hyperlink>
      <w:r w:rsidR="00281121">
        <w:rPr>
          <w:rStyle w:val="FootnoteReference"/>
          <w:color w:val="0000FF"/>
          <w:u w:val="single"/>
        </w:rPr>
        <w:footnoteReference w:id="10"/>
      </w:r>
      <w:r w:rsidRPr="003602ED">
        <w:t xml:space="preserve"> on the Massachusetts Office of Information Technology’s website.</w:t>
      </w:r>
    </w:p>
    <w:p w:rsidR="002941DE" w:rsidRDefault="002941DE" w:rsidP="002941DE">
      <w:r w:rsidRPr="002941DE">
        <w:rPr>
          <w:b/>
        </w:rPr>
        <w:t>Applicable Entities:</w:t>
      </w:r>
      <w:r>
        <w:t xml:space="preserve">  Those entities identified under the “Applicability” section of this Policy.</w:t>
      </w:r>
    </w:p>
    <w:p w:rsidR="002941DE" w:rsidRDefault="002941DE" w:rsidP="002941DE">
      <w:r w:rsidRPr="002941DE">
        <w:rPr>
          <w:b/>
        </w:rPr>
        <w:t>IT Acquisition:</w:t>
      </w:r>
      <w:r>
        <w:t xml:space="preserve">  Acquisitions that include but are not limited to: information technology and telecommunications-related commodities and/or services, such as hardware and software, software as a service or cloud commodities and/or services; software license and hardware maintenance, including renewals; and related installation, integration or other consulting services.</w:t>
      </w:r>
    </w:p>
    <w:p w:rsidR="002941DE" w:rsidRDefault="002941DE" w:rsidP="002941DE">
      <w:r w:rsidRPr="002941DE">
        <w:rPr>
          <w:b/>
        </w:rPr>
        <w:t>HIPAA:</w:t>
      </w:r>
      <w:r>
        <w:t xml:space="preserve">  Acronym that stands for the Health Insurance Portability and Accountability Act, a US law designed to provide privacy standards to protect patients' medical records and other health information provided to health plans, doctors, hospitals and other health care providers.</w:t>
      </w:r>
    </w:p>
    <w:p w:rsidR="002941DE" w:rsidRDefault="002941DE" w:rsidP="002941DE">
      <w:r w:rsidRPr="002941DE">
        <w:rPr>
          <w:b/>
        </w:rPr>
        <w:t>Payment Card Industry (PCI):</w:t>
      </w:r>
      <w:r>
        <w:t xml:space="preserve">  A proprietary information security standard for organizations that handle cardholder information for the major debit, credit, prepaid, e-purse, ATM, and POS cards.</w:t>
      </w:r>
    </w:p>
    <w:p w:rsidR="002941DE" w:rsidRDefault="002941DE" w:rsidP="002941DE">
      <w:r w:rsidRPr="002941DE">
        <w:rPr>
          <w:b/>
        </w:rPr>
        <w:t>Personal information (PI):</w:t>
      </w:r>
      <w:r>
        <w:t xml:space="preserve">  Personal information as defined in Massachusetts General Laws </w:t>
      </w:r>
      <w:proofErr w:type="spellStart"/>
      <w:r>
        <w:t>ch.</w:t>
      </w:r>
      <w:proofErr w:type="spellEnd"/>
      <w:r>
        <w:t xml:space="preserve"> </w:t>
      </w:r>
      <w:proofErr w:type="gramStart"/>
      <w:r>
        <w:t>93H,</w:t>
      </w:r>
      <w:proofErr w:type="gramEnd"/>
      <w:r>
        <w:t xml:space="preserve"> and personal data as defined in Chapter 66A. </w:t>
      </w:r>
    </w:p>
    <w:p w:rsidR="002941DE" w:rsidRDefault="002941DE" w:rsidP="002941DE">
      <w:r>
        <w:t xml:space="preserve">Chapter 93 H defines personal information as “a resident’s first name and last name or first initial and last name in combination with any 1 or more of the following data elements that relate to such resident: </w:t>
      </w:r>
    </w:p>
    <w:p w:rsidR="002941DE" w:rsidRDefault="002941DE" w:rsidP="002941DE">
      <w:r>
        <w:t xml:space="preserve">(a) Social Security number; </w:t>
      </w:r>
    </w:p>
    <w:p w:rsidR="002941DE" w:rsidRDefault="002941DE" w:rsidP="002941DE">
      <w:r>
        <w:t xml:space="preserve">(b) </w:t>
      </w:r>
      <w:proofErr w:type="gramStart"/>
      <w:r>
        <w:t>driver’s</w:t>
      </w:r>
      <w:proofErr w:type="gramEnd"/>
      <w:r>
        <w:t xml:space="preserve"> license number or state-issued identification card number; or </w:t>
      </w:r>
    </w:p>
    <w:p w:rsidR="002941DE" w:rsidRDefault="002941DE" w:rsidP="002941DE">
      <w:r>
        <w:t xml:space="preserve">(c) financial account number, or credit or debit card number, with or without any required security code, access code, personal identification number or password, that would permit access to a resident’s financial account; provided, however, that “Personal information” shall not include information that is lawfully obtained from publicly available information, or from federal, state or local government records lawfully made available to the general public. </w:t>
      </w:r>
    </w:p>
    <w:p w:rsidR="003602ED" w:rsidRPr="003602ED" w:rsidRDefault="002941DE" w:rsidP="002941DE">
      <w:r>
        <w:t>Chapter 66A defines personal information as  “any information concerning an individual which, because of name, identifying number, mark or description can be readily associated with a particular individual; provided, however, that such information is not contained in a public record, as defined in clause Twenty-sixth of section seven of chapter four and shall not include intelligence information, evaluative information or criminal offender record information as defined in section one hundred and sixty-seven of chapter six”.</w:t>
      </w:r>
    </w:p>
    <w:p w:rsidR="003602ED" w:rsidRPr="003602ED" w:rsidRDefault="003602ED" w:rsidP="003602ED">
      <w:bookmarkStart w:id="18" w:name="_Toc236189950"/>
      <w:bookmarkStart w:id="19" w:name="_Toc413070822"/>
      <w:r w:rsidRPr="003602ED">
        <w:br w:type="page"/>
      </w:r>
    </w:p>
    <w:p w:rsidR="003602ED" w:rsidRPr="001B30EE" w:rsidRDefault="003602ED" w:rsidP="001B30EE">
      <w:pPr>
        <w:pStyle w:val="Heading2"/>
      </w:pPr>
      <w:bookmarkStart w:id="20" w:name="_Toc438459276"/>
      <w:r w:rsidRPr="001B30EE">
        <w:t>Appendix B: Document History</w:t>
      </w:r>
      <w:bookmarkEnd w:id="18"/>
      <w:bookmarkEnd w:id="19"/>
      <w:bookmarkEnd w:id="20"/>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146F89">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21"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21"/>
      <w:tr w:rsidR="00146F89" w:rsidRPr="003602ED" w:rsidTr="00146F89">
        <w:tc>
          <w:tcPr>
            <w:tcW w:w="1752" w:type="dxa"/>
          </w:tcPr>
          <w:p w:rsidR="00146F89" w:rsidRPr="008A3C8C" w:rsidRDefault="00146F89" w:rsidP="003B5E82">
            <w:r w:rsidRPr="008A3C8C">
              <w:t>3/7/2014</w:t>
            </w:r>
          </w:p>
        </w:tc>
        <w:tc>
          <w:tcPr>
            <w:tcW w:w="3482" w:type="dxa"/>
          </w:tcPr>
          <w:p w:rsidR="00146F89" w:rsidRPr="008A3C8C" w:rsidRDefault="00146F89" w:rsidP="003B5E82">
            <w:r w:rsidRPr="008A3C8C">
              <w:t>Document Published</w:t>
            </w:r>
          </w:p>
        </w:tc>
        <w:tc>
          <w:tcPr>
            <w:tcW w:w="1751" w:type="dxa"/>
          </w:tcPr>
          <w:p w:rsidR="00146F89" w:rsidRPr="008A3C8C" w:rsidRDefault="00146F89" w:rsidP="003B5E82">
            <w:r w:rsidRPr="008A3C8C">
              <w:t>3/6/2014</w:t>
            </w:r>
          </w:p>
        </w:tc>
        <w:tc>
          <w:tcPr>
            <w:tcW w:w="1763" w:type="dxa"/>
          </w:tcPr>
          <w:p w:rsidR="00146F89" w:rsidRPr="008A3C8C" w:rsidRDefault="00146F89" w:rsidP="003B5E82">
            <w:r w:rsidRPr="008A3C8C">
              <w:t>1/1/2015</w:t>
            </w:r>
          </w:p>
        </w:tc>
      </w:tr>
      <w:tr w:rsidR="00146F89" w:rsidRPr="003602ED" w:rsidTr="00146F89">
        <w:tc>
          <w:tcPr>
            <w:tcW w:w="1752" w:type="dxa"/>
          </w:tcPr>
          <w:p w:rsidR="00146F89" w:rsidRPr="008A3C8C" w:rsidRDefault="00146F89" w:rsidP="003B5E82">
            <w:r w:rsidRPr="008A3C8C">
              <w:t>1/5/15</w:t>
            </w:r>
          </w:p>
        </w:tc>
        <w:tc>
          <w:tcPr>
            <w:tcW w:w="3482" w:type="dxa"/>
          </w:tcPr>
          <w:p w:rsidR="00146F89" w:rsidRPr="008A3C8C" w:rsidRDefault="00146F89" w:rsidP="003B5E82">
            <w:r w:rsidRPr="008A3C8C">
              <w:t>Reviewed</w:t>
            </w:r>
          </w:p>
        </w:tc>
        <w:tc>
          <w:tcPr>
            <w:tcW w:w="1751" w:type="dxa"/>
          </w:tcPr>
          <w:p w:rsidR="00146F89" w:rsidRPr="008A3C8C" w:rsidRDefault="00146F89" w:rsidP="003B5E82">
            <w:r w:rsidRPr="008A3C8C">
              <w:t>1/6/15</w:t>
            </w:r>
          </w:p>
        </w:tc>
        <w:tc>
          <w:tcPr>
            <w:tcW w:w="1763" w:type="dxa"/>
          </w:tcPr>
          <w:p w:rsidR="00146F89" w:rsidRDefault="00146F89" w:rsidP="003B5E82">
            <w:r w:rsidRPr="008A3C8C">
              <w:t>2/1/2016</w:t>
            </w:r>
          </w:p>
        </w:tc>
      </w:tr>
      <w:tr w:rsidR="00EB2918" w:rsidRPr="003602ED" w:rsidTr="00146F89">
        <w:tc>
          <w:tcPr>
            <w:tcW w:w="1752" w:type="dxa"/>
          </w:tcPr>
          <w:p w:rsidR="003602ED" w:rsidRPr="003602ED" w:rsidRDefault="00146F89" w:rsidP="003602ED">
            <w:r>
              <w:t>12/21/2015</w:t>
            </w:r>
          </w:p>
        </w:tc>
        <w:tc>
          <w:tcPr>
            <w:tcW w:w="3482" w:type="dxa"/>
          </w:tcPr>
          <w:p w:rsidR="003602ED" w:rsidRPr="003602ED" w:rsidRDefault="00146F89" w:rsidP="003602ED">
            <w:r w:rsidRPr="00146F89">
              <w:t>Accessibility remediation – no content changes</w:t>
            </w:r>
          </w:p>
        </w:tc>
        <w:tc>
          <w:tcPr>
            <w:tcW w:w="1751" w:type="dxa"/>
          </w:tcPr>
          <w:p w:rsidR="003602ED" w:rsidRPr="003602ED" w:rsidRDefault="00C52AC3" w:rsidP="003602ED">
            <w:r>
              <w:t>2/22/16</w:t>
            </w:r>
          </w:p>
        </w:tc>
        <w:tc>
          <w:tcPr>
            <w:tcW w:w="1763" w:type="dxa"/>
          </w:tcPr>
          <w:p w:rsidR="003602ED" w:rsidRPr="003602ED" w:rsidRDefault="00C52AC3" w:rsidP="003602ED">
            <w:r>
              <w:t>1/1/2017</w:t>
            </w:r>
          </w:p>
        </w:tc>
      </w:tr>
      <w:tr w:rsidR="00EB2918" w:rsidRPr="003602ED" w:rsidTr="00146F89">
        <w:tc>
          <w:tcPr>
            <w:tcW w:w="1752" w:type="dxa"/>
          </w:tcPr>
          <w:p w:rsidR="003602ED" w:rsidRPr="003602ED" w:rsidRDefault="003602ED" w:rsidP="003602ED"/>
        </w:tc>
        <w:tc>
          <w:tcPr>
            <w:tcW w:w="3482" w:type="dxa"/>
          </w:tcPr>
          <w:p w:rsidR="003602ED" w:rsidRPr="003602ED" w:rsidRDefault="003602ED" w:rsidP="003602ED"/>
        </w:tc>
        <w:tc>
          <w:tcPr>
            <w:tcW w:w="1751" w:type="dxa"/>
          </w:tcPr>
          <w:p w:rsidR="003602ED" w:rsidRPr="003602ED" w:rsidRDefault="003602ED" w:rsidP="003602ED"/>
        </w:tc>
        <w:tc>
          <w:tcPr>
            <w:tcW w:w="1763" w:type="dxa"/>
          </w:tcPr>
          <w:p w:rsidR="003602ED" w:rsidRPr="003602ED" w:rsidRDefault="003602ED" w:rsidP="003602ED"/>
        </w:tc>
      </w:tr>
    </w:tbl>
    <w:p w:rsidR="00230A57" w:rsidRPr="00801B38" w:rsidRDefault="00230A57" w:rsidP="00801B38"/>
    <w:sectPr w:rsidR="00230A57" w:rsidRPr="00801B38" w:rsidSect="003602ED">
      <w:headerReference w:type="default" r:id="rId19"/>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5D" w:rsidRDefault="0086065D" w:rsidP="003602ED">
      <w:pPr>
        <w:spacing w:after="0"/>
      </w:pPr>
      <w:r>
        <w:separator/>
      </w:r>
    </w:p>
  </w:endnote>
  <w:endnote w:type="continuationSeparator" w:id="0">
    <w:p w:rsidR="0086065D" w:rsidRDefault="0086065D" w:rsidP="003602ED">
      <w:pPr>
        <w:spacing w:after="0"/>
      </w:pPr>
      <w:r>
        <w:continuationSeparator/>
      </w:r>
    </w:p>
  </w:endnote>
  <w:endnote w:type="continuationNotice" w:id="1">
    <w:p w:rsidR="00EC4876" w:rsidRDefault="00EC48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EC4876">
      <w:rPr>
        <w:b/>
        <w:noProof/>
      </w:rPr>
      <w:t>2</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EC4876">
      <w:rPr>
        <w:b/>
        <w:noProof/>
      </w:rPr>
      <w:t>10</w:t>
    </w:r>
    <w:r w:rsidR="007D57FE">
      <w:rPr>
        <w:b/>
      </w:rPr>
      <w:fldChar w:fldCharType="end"/>
    </w:r>
    <w:r w:rsidRPr="00956611">
      <w:tab/>
    </w:r>
    <w:r w:rsidR="00352E67" w:rsidRPr="00352E67">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EC4876">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EC4876">
      <w:rPr>
        <w:b/>
        <w:noProof/>
      </w:rPr>
      <w:t>10</w:t>
    </w:r>
    <w:r w:rsidR="007D57FE">
      <w:rPr>
        <w:b/>
      </w:rPr>
      <w:fldChar w:fldCharType="end"/>
    </w:r>
    <w:r w:rsidRPr="00956611">
      <w:tab/>
    </w:r>
    <w:r w:rsidR="001C38FF" w:rsidRPr="001C38FF">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5D" w:rsidRDefault="0086065D" w:rsidP="003602ED">
      <w:pPr>
        <w:spacing w:after="0"/>
      </w:pPr>
      <w:r>
        <w:separator/>
      </w:r>
    </w:p>
  </w:footnote>
  <w:footnote w:type="continuationSeparator" w:id="0">
    <w:p w:rsidR="0086065D" w:rsidRDefault="0086065D" w:rsidP="003602ED">
      <w:pPr>
        <w:spacing w:after="0"/>
      </w:pPr>
      <w:r>
        <w:continuationSeparator/>
      </w:r>
    </w:p>
  </w:footnote>
  <w:footnote w:type="continuationNotice" w:id="1">
    <w:p w:rsidR="00EC4876" w:rsidRDefault="00EC4876">
      <w:pPr>
        <w:spacing w:after="0"/>
      </w:pPr>
    </w:p>
  </w:footnote>
  <w:footnote w:id="2">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w:t>
      </w:r>
      <w:proofErr w:type="gramStart"/>
      <w:r>
        <w:t>Auditor,</w:t>
      </w:r>
      <w:proofErr w:type="gramEnd"/>
      <w:r>
        <w:t xml:space="preserve"> State Treasurer, the Attorney General, and the Secretary of the Commonwealth.</w:t>
      </w:r>
    </w:p>
  </w:footnote>
  <w:footnote w:id="3">
    <w:p w:rsidR="00475B81" w:rsidRDefault="00475B81">
      <w:pPr>
        <w:pStyle w:val="FootnoteText"/>
      </w:pPr>
      <w:bookmarkStart w:id="10" w:name="_GoBack"/>
      <w:r>
        <w:rPr>
          <w:rStyle w:val="FootnoteReference"/>
        </w:rPr>
        <w:footnoteRef/>
      </w:r>
      <w:r>
        <w:t xml:space="preserve"> </w:t>
      </w:r>
      <w:r w:rsidRPr="00475B81">
        <w:t>http://www.mass.gov/anf/research-and-tech/policies-legal-and-technical-guidance/legal-guidance/privacy-and-security/exec-order-504/vendor-certification-requirements.html</w:t>
      </w:r>
    </w:p>
  </w:footnote>
  <w:footnote w:id="4">
    <w:p w:rsidR="00475B81" w:rsidRDefault="00475B81">
      <w:pPr>
        <w:pStyle w:val="FootnoteText"/>
      </w:pPr>
      <w:r>
        <w:rPr>
          <w:rStyle w:val="FootnoteReference"/>
        </w:rPr>
        <w:footnoteRef/>
      </w:r>
      <w:r>
        <w:t xml:space="preserve"> </w:t>
      </w:r>
      <w:r w:rsidRPr="00475B81">
        <w:t>http://www.mass.gov/anf/docs/itd/guidance/legal/exec-order-504-vendor-cert-form.doc</w:t>
      </w:r>
    </w:p>
  </w:footnote>
  <w:footnote w:id="5">
    <w:p w:rsidR="00475B81" w:rsidRDefault="00475B81">
      <w:pPr>
        <w:pStyle w:val="FootnoteText"/>
      </w:pPr>
      <w:r>
        <w:rPr>
          <w:rStyle w:val="FootnoteReference"/>
        </w:rPr>
        <w:footnoteRef/>
      </w:r>
      <w:r>
        <w:t xml:space="preserve"> </w:t>
      </w:r>
      <w:r w:rsidRPr="00475B81">
        <w:t>http://www.mass.gov/anf/research-and-tech/cyber-security/security-for-state-employees/security-policies-and-standards/information-security-policy.html</w:t>
      </w:r>
    </w:p>
  </w:footnote>
  <w:footnote w:id="6">
    <w:p w:rsidR="00475B81" w:rsidRDefault="00475B81">
      <w:pPr>
        <w:pStyle w:val="FootnoteText"/>
      </w:pPr>
      <w:r>
        <w:rPr>
          <w:rStyle w:val="FootnoteReference"/>
        </w:rPr>
        <w:footnoteRef/>
      </w:r>
      <w:r>
        <w:t xml:space="preserve"> </w:t>
      </w:r>
      <w:r w:rsidRPr="00475B81">
        <w:t>ttp://www.mass.gov/anf/research-and-tech/policies-legal-and-technical-guidance/it-policies-standards-and-procedures/ent-pols-and-stnds/ent-architecture/etrm-v-5-1/</w:t>
      </w:r>
    </w:p>
  </w:footnote>
  <w:footnote w:id="7">
    <w:p w:rsidR="00475B81" w:rsidRDefault="00475B81">
      <w:pPr>
        <w:pStyle w:val="FootnoteText"/>
      </w:pPr>
      <w:r>
        <w:rPr>
          <w:rStyle w:val="FootnoteReference"/>
        </w:rPr>
        <w:footnoteRef/>
      </w:r>
      <w:r>
        <w:t xml:space="preserve"> </w:t>
      </w:r>
      <w:r w:rsidRPr="00475B81">
        <w:t>http://www.mass.gov/anf/research-and-tech/it-serv-and-support/application-serv/open-initiatives/open-source-legal-toolkit/</w:t>
      </w:r>
    </w:p>
  </w:footnote>
  <w:footnote w:id="8">
    <w:p w:rsidR="00475B81" w:rsidRDefault="00475B81">
      <w:pPr>
        <w:pStyle w:val="FootnoteText"/>
      </w:pPr>
      <w:r>
        <w:rPr>
          <w:rStyle w:val="FootnoteReference"/>
        </w:rPr>
        <w:footnoteRef/>
      </w:r>
      <w:r>
        <w:t xml:space="preserve"> </w:t>
      </w:r>
      <w:r w:rsidRPr="00475B81">
        <w:t>http://www.mass.gov/anf/docs/osd/policy/801cmr21.doc</w:t>
      </w:r>
    </w:p>
  </w:footnote>
  <w:footnote w:id="9">
    <w:p w:rsidR="00281121" w:rsidRDefault="00281121">
      <w:pPr>
        <w:pStyle w:val="FootnoteText"/>
      </w:pPr>
      <w:r>
        <w:rPr>
          <w:rStyle w:val="FootnoteReference"/>
        </w:rPr>
        <w:footnoteRef/>
      </w:r>
      <w:r>
        <w:t xml:space="preserve"> </w:t>
      </w:r>
      <w:r w:rsidRPr="00281121">
        <w:t>http://www.mass.gov/anf/budget-taxes-and-procurement/procurement-info-and-res/buy-from-a-state-contract/</w:t>
      </w:r>
    </w:p>
  </w:footnote>
  <w:footnote w:id="10">
    <w:p w:rsidR="00281121" w:rsidRDefault="00281121">
      <w:pPr>
        <w:pStyle w:val="FootnoteText"/>
      </w:pPr>
      <w:r>
        <w:rPr>
          <w:rStyle w:val="FootnoteReference"/>
        </w:rPr>
        <w:footnoteRef/>
      </w:r>
      <w:r>
        <w:t xml:space="preserve"> </w:t>
      </w:r>
      <w:r w:rsidRPr="00281121">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1C38FF" w:rsidRPr="001C38FF">
      <w:t>ITD-SEC-17.1</w:t>
    </w:r>
    <w:r w:rsidRPr="003602ED">
      <w:br/>
    </w:r>
    <w:r w:rsidR="001C38FF">
      <w:t>MassIT</w:t>
    </w:r>
    <w:r w:rsidRPr="003602ED">
      <w:tab/>
      <w:t>Issue Date:</w:t>
    </w:r>
    <w:r w:rsidR="001C38FF">
      <w:t xml:space="preserve"> </w:t>
    </w:r>
    <w:r w:rsidR="001C38FF" w:rsidRPr="001C38FF">
      <w:t>March 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4D45D3"/>
    <w:multiLevelType w:val="multilevel"/>
    <w:tmpl w:val="9190E53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633E4D"/>
    <w:multiLevelType w:val="multilevel"/>
    <w:tmpl w:val="9190E53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66502F"/>
    <w:multiLevelType w:val="hybridMultilevel"/>
    <w:tmpl w:val="E028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6">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9A2D4B"/>
    <w:multiLevelType w:val="hybridMultilevel"/>
    <w:tmpl w:val="8584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E40516"/>
    <w:multiLevelType w:val="multilevel"/>
    <w:tmpl w:val="9190E53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28"/>
  </w:num>
  <w:num w:numId="4">
    <w:abstractNumId w:val="22"/>
  </w:num>
  <w:num w:numId="5">
    <w:abstractNumId w:val="2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20"/>
  </w:num>
  <w:num w:numId="18">
    <w:abstractNumId w:val="12"/>
  </w:num>
  <w:num w:numId="19">
    <w:abstractNumId w:val="24"/>
  </w:num>
  <w:num w:numId="20">
    <w:abstractNumId w:val="11"/>
  </w:num>
  <w:num w:numId="21">
    <w:abstractNumId w:val="13"/>
  </w:num>
  <w:num w:numId="22">
    <w:abstractNumId w:val="19"/>
  </w:num>
  <w:num w:numId="23">
    <w:abstractNumId w:val="17"/>
  </w:num>
  <w:num w:numId="24">
    <w:abstractNumId w:val="30"/>
  </w:num>
  <w:num w:numId="25">
    <w:abstractNumId w:val="16"/>
  </w:num>
  <w:num w:numId="26">
    <w:abstractNumId w:val="18"/>
  </w:num>
  <w:num w:numId="27">
    <w:abstractNumId w:val="27"/>
  </w:num>
  <w:num w:numId="28">
    <w:abstractNumId w:val="12"/>
  </w:num>
  <w:num w:numId="29">
    <w:abstractNumId w:val="12"/>
  </w:num>
  <w:num w:numId="30">
    <w:abstractNumId w:val="12"/>
  </w:num>
  <w:num w:numId="31">
    <w:abstractNumId w:val="21"/>
  </w:num>
  <w:num w:numId="32">
    <w:abstractNumId w:val="29"/>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5D"/>
    <w:rsid w:val="000535AA"/>
    <w:rsid w:val="0009530C"/>
    <w:rsid w:val="00100906"/>
    <w:rsid w:val="00116B14"/>
    <w:rsid w:val="00146F89"/>
    <w:rsid w:val="001B30EE"/>
    <w:rsid w:val="001C38FF"/>
    <w:rsid w:val="00206304"/>
    <w:rsid w:val="00230A57"/>
    <w:rsid w:val="00262E49"/>
    <w:rsid w:val="00281121"/>
    <w:rsid w:val="002941DE"/>
    <w:rsid w:val="00352E67"/>
    <w:rsid w:val="003602ED"/>
    <w:rsid w:val="00456E0E"/>
    <w:rsid w:val="00475B81"/>
    <w:rsid w:val="005A24F0"/>
    <w:rsid w:val="006A7C00"/>
    <w:rsid w:val="00735150"/>
    <w:rsid w:val="00776C16"/>
    <w:rsid w:val="007D57FE"/>
    <w:rsid w:val="00801B38"/>
    <w:rsid w:val="008322A4"/>
    <w:rsid w:val="0086065D"/>
    <w:rsid w:val="00860E86"/>
    <w:rsid w:val="00956611"/>
    <w:rsid w:val="009D52D7"/>
    <w:rsid w:val="00A20B9D"/>
    <w:rsid w:val="00B1004D"/>
    <w:rsid w:val="00C52AC3"/>
    <w:rsid w:val="00D354DD"/>
    <w:rsid w:val="00E476BB"/>
    <w:rsid w:val="00EB2918"/>
    <w:rsid w:val="00EC4876"/>
    <w:rsid w:val="00F058F4"/>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76"/>
    <w:pPr>
      <w:spacing w:after="120"/>
    </w:pPr>
  </w:style>
  <w:style w:type="paragraph" w:styleId="Heading1">
    <w:name w:val="heading 1"/>
    <w:basedOn w:val="Normal"/>
    <w:next w:val="Normal"/>
    <w:link w:val="Heading1Char"/>
    <w:qFormat/>
    <w:rsid w:val="00EC4876"/>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EC4876"/>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EC4876"/>
    <w:pPr>
      <w:spacing w:before="240"/>
      <w:outlineLvl w:val="2"/>
    </w:pPr>
    <w:rPr>
      <w:b/>
    </w:rPr>
  </w:style>
  <w:style w:type="paragraph" w:styleId="Heading4">
    <w:name w:val="heading 4"/>
    <w:basedOn w:val="Normal"/>
    <w:next w:val="Normal"/>
    <w:link w:val="Heading4Char"/>
    <w:uiPriority w:val="9"/>
    <w:semiHidden/>
    <w:unhideWhenUsed/>
    <w:qFormat/>
    <w:rsid w:val="00EC487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EC48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4876"/>
  </w:style>
  <w:style w:type="character" w:customStyle="1" w:styleId="Heading1Char">
    <w:name w:val="Heading 1 Char"/>
    <w:link w:val="Heading1"/>
    <w:rsid w:val="00EC4876"/>
    <w:rPr>
      <w:sz w:val="28"/>
      <w:szCs w:val="28"/>
    </w:rPr>
  </w:style>
  <w:style w:type="character" w:customStyle="1" w:styleId="Heading2Char">
    <w:name w:val="Heading 2 Char"/>
    <w:link w:val="Heading2"/>
    <w:rsid w:val="00EC4876"/>
    <w:rPr>
      <w:rFonts w:ascii="Times New Roman" w:hAnsi="Times New Roman"/>
      <w:b/>
      <w:smallCaps/>
      <w:sz w:val="28"/>
      <w:szCs w:val="28"/>
    </w:rPr>
  </w:style>
  <w:style w:type="character" w:customStyle="1" w:styleId="Heading3Char">
    <w:name w:val="Heading 3 Char"/>
    <w:link w:val="Heading3"/>
    <w:rsid w:val="00EC4876"/>
    <w:rPr>
      <w:b/>
    </w:rPr>
  </w:style>
  <w:style w:type="paragraph" w:styleId="Header">
    <w:name w:val="header"/>
    <w:basedOn w:val="Normal"/>
    <w:link w:val="HeaderChar"/>
    <w:rsid w:val="00EC4876"/>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EC4876"/>
    <w:rPr>
      <w:b/>
      <w:sz w:val="20"/>
      <w:szCs w:val="20"/>
    </w:rPr>
  </w:style>
  <w:style w:type="paragraph" w:styleId="Footer">
    <w:name w:val="footer"/>
    <w:basedOn w:val="Normal"/>
    <w:link w:val="FooterChar"/>
    <w:rsid w:val="00EC4876"/>
    <w:pPr>
      <w:tabs>
        <w:tab w:val="center" w:pos="4320"/>
        <w:tab w:val="right" w:pos="8640"/>
      </w:tabs>
    </w:pPr>
  </w:style>
  <w:style w:type="character" w:customStyle="1" w:styleId="FooterChar">
    <w:name w:val="Footer Char"/>
    <w:link w:val="Footer"/>
    <w:rsid w:val="00EC4876"/>
  </w:style>
  <w:style w:type="character" w:styleId="Hyperlink">
    <w:name w:val="Hyperlink"/>
    <w:uiPriority w:val="99"/>
    <w:rsid w:val="00EC4876"/>
    <w:rPr>
      <w:color w:val="0000FF"/>
      <w:u w:val="single"/>
    </w:rPr>
  </w:style>
  <w:style w:type="table" w:styleId="TableGrid">
    <w:name w:val="Table Grid"/>
    <w:basedOn w:val="TableNormal"/>
    <w:rsid w:val="00EC4876"/>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EC4876"/>
    <w:pPr>
      <w:pBdr>
        <w:top w:val="single" w:sz="4" w:space="1" w:color="auto"/>
        <w:bottom w:val="single" w:sz="4" w:space="1" w:color="auto"/>
      </w:pBdr>
    </w:pPr>
    <w:rPr>
      <w:smallCaps/>
    </w:rPr>
  </w:style>
  <w:style w:type="paragraph" w:styleId="FootnoteText">
    <w:name w:val="footnote text"/>
    <w:basedOn w:val="Normal"/>
    <w:link w:val="FootnoteTextChar"/>
    <w:semiHidden/>
    <w:rsid w:val="00EC4876"/>
    <w:rPr>
      <w:sz w:val="20"/>
      <w:szCs w:val="20"/>
    </w:rPr>
  </w:style>
  <w:style w:type="character" w:customStyle="1" w:styleId="FootnoteTextChar">
    <w:name w:val="Footnote Text Char"/>
    <w:link w:val="FootnoteText"/>
    <w:semiHidden/>
    <w:rsid w:val="00EC4876"/>
    <w:rPr>
      <w:sz w:val="20"/>
      <w:szCs w:val="20"/>
    </w:rPr>
  </w:style>
  <w:style w:type="character" w:styleId="FootnoteReference">
    <w:name w:val="footnote reference"/>
    <w:semiHidden/>
    <w:rsid w:val="00EC4876"/>
    <w:rPr>
      <w:vertAlign w:val="superscript"/>
    </w:rPr>
  </w:style>
  <w:style w:type="paragraph" w:styleId="BalloonText">
    <w:name w:val="Balloon Text"/>
    <w:basedOn w:val="Normal"/>
    <w:link w:val="BalloonTextChar"/>
    <w:semiHidden/>
    <w:rsid w:val="00EC4876"/>
    <w:rPr>
      <w:rFonts w:ascii="Tahoma" w:hAnsi="Tahoma" w:cs="Tahoma"/>
      <w:szCs w:val="16"/>
    </w:rPr>
  </w:style>
  <w:style w:type="character" w:customStyle="1" w:styleId="BalloonTextChar">
    <w:name w:val="Balloon Text Char"/>
    <w:link w:val="BalloonText"/>
    <w:semiHidden/>
    <w:rsid w:val="00EC4876"/>
    <w:rPr>
      <w:rFonts w:ascii="Tahoma" w:hAnsi="Tahoma" w:cs="Tahoma"/>
      <w:szCs w:val="16"/>
    </w:rPr>
  </w:style>
  <w:style w:type="paragraph" w:styleId="ListParagraph">
    <w:name w:val="List Paragraph"/>
    <w:basedOn w:val="Normal"/>
    <w:uiPriority w:val="34"/>
    <w:qFormat/>
    <w:rsid w:val="00EC4876"/>
    <w:pPr>
      <w:numPr>
        <w:numId w:val="18"/>
      </w:numPr>
      <w:ind w:left="547" w:hanging="547"/>
    </w:pPr>
  </w:style>
  <w:style w:type="character" w:customStyle="1" w:styleId="Heading4Char">
    <w:name w:val="Heading 4 Char"/>
    <w:basedOn w:val="DefaultParagraphFont"/>
    <w:link w:val="Heading4"/>
    <w:uiPriority w:val="9"/>
    <w:semiHidden/>
    <w:rsid w:val="00EC4876"/>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EC4876"/>
    <w:pPr>
      <w:tabs>
        <w:tab w:val="right" w:pos="8640"/>
      </w:tabs>
      <w:spacing w:after="720"/>
      <w:contextualSpacing/>
    </w:pPr>
    <w:rPr>
      <w:b/>
      <w:noProof/>
    </w:rPr>
  </w:style>
  <w:style w:type="character" w:customStyle="1" w:styleId="Header-onPageChar">
    <w:name w:val="Header-onPage Char"/>
    <w:link w:val="Header-onPage"/>
    <w:rsid w:val="00EC4876"/>
    <w:rPr>
      <w:b/>
      <w:noProof/>
    </w:rPr>
  </w:style>
  <w:style w:type="paragraph" w:styleId="BodyTextIndent">
    <w:name w:val="Body Text Indent"/>
    <w:basedOn w:val="Normal"/>
    <w:link w:val="BodyTextIndentChar"/>
    <w:uiPriority w:val="99"/>
    <w:unhideWhenUsed/>
    <w:rsid w:val="00EC4876"/>
    <w:pPr>
      <w:ind w:left="360"/>
    </w:pPr>
  </w:style>
  <w:style w:type="character" w:customStyle="1" w:styleId="BodyTextIndentChar">
    <w:name w:val="Body Text Indent Char"/>
    <w:basedOn w:val="DefaultParagraphFont"/>
    <w:link w:val="BodyTextIndent"/>
    <w:uiPriority w:val="99"/>
    <w:rsid w:val="00EC4876"/>
  </w:style>
  <w:style w:type="character" w:styleId="CommentReference">
    <w:name w:val="annotation reference"/>
    <w:basedOn w:val="DefaultParagraphFont"/>
    <w:uiPriority w:val="99"/>
    <w:semiHidden/>
    <w:unhideWhenUsed/>
    <w:rsid w:val="00116B14"/>
    <w:rPr>
      <w:sz w:val="16"/>
      <w:szCs w:val="16"/>
    </w:rPr>
  </w:style>
  <w:style w:type="paragraph" w:styleId="CommentText">
    <w:name w:val="annotation text"/>
    <w:basedOn w:val="Normal"/>
    <w:link w:val="CommentTextChar"/>
    <w:uiPriority w:val="99"/>
    <w:semiHidden/>
    <w:unhideWhenUsed/>
    <w:rsid w:val="00116B14"/>
    <w:rPr>
      <w:sz w:val="20"/>
      <w:szCs w:val="20"/>
    </w:rPr>
  </w:style>
  <w:style w:type="character" w:customStyle="1" w:styleId="CommentTextChar">
    <w:name w:val="Comment Text Char"/>
    <w:basedOn w:val="DefaultParagraphFont"/>
    <w:link w:val="CommentText"/>
    <w:uiPriority w:val="99"/>
    <w:semiHidden/>
    <w:rsid w:val="00116B14"/>
    <w:rPr>
      <w:sz w:val="20"/>
      <w:szCs w:val="20"/>
    </w:rPr>
  </w:style>
  <w:style w:type="paragraph" w:styleId="CommentSubject">
    <w:name w:val="annotation subject"/>
    <w:basedOn w:val="CommentText"/>
    <w:next w:val="CommentText"/>
    <w:link w:val="CommentSubjectChar"/>
    <w:uiPriority w:val="99"/>
    <w:semiHidden/>
    <w:unhideWhenUsed/>
    <w:rsid w:val="00116B14"/>
    <w:rPr>
      <w:b/>
      <w:bCs/>
    </w:rPr>
  </w:style>
  <w:style w:type="character" w:customStyle="1" w:styleId="CommentSubjectChar">
    <w:name w:val="Comment Subject Char"/>
    <w:basedOn w:val="CommentTextChar"/>
    <w:link w:val="CommentSubject"/>
    <w:uiPriority w:val="99"/>
    <w:semiHidden/>
    <w:rsid w:val="00116B14"/>
    <w:rPr>
      <w:b/>
      <w:bCs/>
      <w:sz w:val="20"/>
      <w:szCs w:val="20"/>
    </w:rPr>
  </w:style>
  <w:style w:type="character" w:styleId="FollowedHyperlink">
    <w:name w:val="FollowedHyperlink"/>
    <w:basedOn w:val="DefaultParagraphFont"/>
    <w:uiPriority w:val="99"/>
    <w:semiHidden/>
    <w:unhideWhenUsed/>
    <w:rsid w:val="00475B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76"/>
    <w:pPr>
      <w:spacing w:after="120"/>
    </w:pPr>
  </w:style>
  <w:style w:type="paragraph" w:styleId="Heading1">
    <w:name w:val="heading 1"/>
    <w:basedOn w:val="Normal"/>
    <w:next w:val="Normal"/>
    <w:link w:val="Heading1Char"/>
    <w:qFormat/>
    <w:rsid w:val="00EC4876"/>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EC4876"/>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EC4876"/>
    <w:pPr>
      <w:spacing w:before="240"/>
      <w:outlineLvl w:val="2"/>
    </w:pPr>
    <w:rPr>
      <w:b/>
    </w:rPr>
  </w:style>
  <w:style w:type="paragraph" w:styleId="Heading4">
    <w:name w:val="heading 4"/>
    <w:basedOn w:val="Normal"/>
    <w:next w:val="Normal"/>
    <w:link w:val="Heading4Char"/>
    <w:uiPriority w:val="9"/>
    <w:semiHidden/>
    <w:unhideWhenUsed/>
    <w:qFormat/>
    <w:rsid w:val="00EC487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EC48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4876"/>
  </w:style>
  <w:style w:type="character" w:customStyle="1" w:styleId="Heading1Char">
    <w:name w:val="Heading 1 Char"/>
    <w:link w:val="Heading1"/>
    <w:rsid w:val="00EC4876"/>
    <w:rPr>
      <w:sz w:val="28"/>
      <w:szCs w:val="28"/>
    </w:rPr>
  </w:style>
  <w:style w:type="character" w:customStyle="1" w:styleId="Heading2Char">
    <w:name w:val="Heading 2 Char"/>
    <w:link w:val="Heading2"/>
    <w:rsid w:val="00EC4876"/>
    <w:rPr>
      <w:rFonts w:ascii="Times New Roman" w:hAnsi="Times New Roman"/>
      <w:b/>
      <w:smallCaps/>
      <w:sz w:val="28"/>
      <w:szCs w:val="28"/>
    </w:rPr>
  </w:style>
  <w:style w:type="character" w:customStyle="1" w:styleId="Heading3Char">
    <w:name w:val="Heading 3 Char"/>
    <w:link w:val="Heading3"/>
    <w:rsid w:val="00EC4876"/>
    <w:rPr>
      <w:b/>
    </w:rPr>
  </w:style>
  <w:style w:type="paragraph" w:styleId="Header">
    <w:name w:val="header"/>
    <w:basedOn w:val="Normal"/>
    <w:link w:val="HeaderChar"/>
    <w:rsid w:val="00EC4876"/>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EC4876"/>
    <w:rPr>
      <w:b/>
      <w:sz w:val="20"/>
      <w:szCs w:val="20"/>
    </w:rPr>
  </w:style>
  <w:style w:type="paragraph" w:styleId="Footer">
    <w:name w:val="footer"/>
    <w:basedOn w:val="Normal"/>
    <w:link w:val="FooterChar"/>
    <w:rsid w:val="00EC4876"/>
    <w:pPr>
      <w:tabs>
        <w:tab w:val="center" w:pos="4320"/>
        <w:tab w:val="right" w:pos="8640"/>
      </w:tabs>
    </w:pPr>
  </w:style>
  <w:style w:type="character" w:customStyle="1" w:styleId="FooterChar">
    <w:name w:val="Footer Char"/>
    <w:link w:val="Footer"/>
    <w:rsid w:val="00EC4876"/>
  </w:style>
  <w:style w:type="character" w:styleId="Hyperlink">
    <w:name w:val="Hyperlink"/>
    <w:uiPriority w:val="99"/>
    <w:rsid w:val="00EC4876"/>
    <w:rPr>
      <w:color w:val="0000FF"/>
      <w:u w:val="single"/>
    </w:rPr>
  </w:style>
  <w:style w:type="table" w:styleId="TableGrid">
    <w:name w:val="Table Grid"/>
    <w:basedOn w:val="TableNormal"/>
    <w:rsid w:val="00EC4876"/>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EC4876"/>
    <w:pPr>
      <w:pBdr>
        <w:top w:val="single" w:sz="4" w:space="1" w:color="auto"/>
        <w:bottom w:val="single" w:sz="4" w:space="1" w:color="auto"/>
      </w:pBdr>
    </w:pPr>
    <w:rPr>
      <w:smallCaps/>
    </w:rPr>
  </w:style>
  <w:style w:type="paragraph" w:styleId="FootnoteText">
    <w:name w:val="footnote text"/>
    <w:basedOn w:val="Normal"/>
    <w:link w:val="FootnoteTextChar"/>
    <w:semiHidden/>
    <w:rsid w:val="00EC4876"/>
    <w:rPr>
      <w:sz w:val="20"/>
      <w:szCs w:val="20"/>
    </w:rPr>
  </w:style>
  <w:style w:type="character" w:customStyle="1" w:styleId="FootnoteTextChar">
    <w:name w:val="Footnote Text Char"/>
    <w:link w:val="FootnoteText"/>
    <w:semiHidden/>
    <w:rsid w:val="00EC4876"/>
    <w:rPr>
      <w:sz w:val="20"/>
      <w:szCs w:val="20"/>
    </w:rPr>
  </w:style>
  <w:style w:type="character" w:styleId="FootnoteReference">
    <w:name w:val="footnote reference"/>
    <w:semiHidden/>
    <w:rsid w:val="00EC4876"/>
    <w:rPr>
      <w:vertAlign w:val="superscript"/>
    </w:rPr>
  </w:style>
  <w:style w:type="paragraph" w:styleId="BalloonText">
    <w:name w:val="Balloon Text"/>
    <w:basedOn w:val="Normal"/>
    <w:link w:val="BalloonTextChar"/>
    <w:semiHidden/>
    <w:rsid w:val="00EC4876"/>
    <w:rPr>
      <w:rFonts w:ascii="Tahoma" w:hAnsi="Tahoma" w:cs="Tahoma"/>
      <w:szCs w:val="16"/>
    </w:rPr>
  </w:style>
  <w:style w:type="character" w:customStyle="1" w:styleId="BalloonTextChar">
    <w:name w:val="Balloon Text Char"/>
    <w:link w:val="BalloonText"/>
    <w:semiHidden/>
    <w:rsid w:val="00EC4876"/>
    <w:rPr>
      <w:rFonts w:ascii="Tahoma" w:hAnsi="Tahoma" w:cs="Tahoma"/>
      <w:szCs w:val="16"/>
    </w:rPr>
  </w:style>
  <w:style w:type="paragraph" w:styleId="ListParagraph">
    <w:name w:val="List Paragraph"/>
    <w:basedOn w:val="Normal"/>
    <w:uiPriority w:val="34"/>
    <w:qFormat/>
    <w:rsid w:val="00EC4876"/>
    <w:pPr>
      <w:numPr>
        <w:numId w:val="18"/>
      </w:numPr>
      <w:ind w:left="547" w:hanging="547"/>
    </w:pPr>
  </w:style>
  <w:style w:type="character" w:customStyle="1" w:styleId="Heading4Char">
    <w:name w:val="Heading 4 Char"/>
    <w:basedOn w:val="DefaultParagraphFont"/>
    <w:link w:val="Heading4"/>
    <w:uiPriority w:val="9"/>
    <w:semiHidden/>
    <w:rsid w:val="00EC4876"/>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EC4876"/>
    <w:pPr>
      <w:tabs>
        <w:tab w:val="right" w:pos="8640"/>
      </w:tabs>
      <w:spacing w:after="720"/>
      <w:contextualSpacing/>
    </w:pPr>
    <w:rPr>
      <w:b/>
      <w:noProof/>
    </w:rPr>
  </w:style>
  <w:style w:type="character" w:customStyle="1" w:styleId="Header-onPageChar">
    <w:name w:val="Header-onPage Char"/>
    <w:link w:val="Header-onPage"/>
    <w:rsid w:val="00EC4876"/>
    <w:rPr>
      <w:b/>
      <w:noProof/>
    </w:rPr>
  </w:style>
  <w:style w:type="paragraph" w:styleId="BodyTextIndent">
    <w:name w:val="Body Text Indent"/>
    <w:basedOn w:val="Normal"/>
    <w:link w:val="BodyTextIndentChar"/>
    <w:uiPriority w:val="99"/>
    <w:unhideWhenUsed/>
    <w:rsid w:val="00EC4876"/>
    <w:pPr>
      <w:ind w:left="360"/>
    </w:pPr>
  </w:style>
  <w:style w:type="character" w:customStyle="1" w:styleId="BodyTextIndentChar">
    <w:name w:val="Body Text Indent Char"/>
    <w:basedOn w:val="DefaultParagraphFont"/>
    <w:link w:val="BodyTextIndent"/>
    <w:uiPriority w:val="99"/>
    <w:rsid w:val="00EC4876"/>
  </w:style>
  <w:style w:type="character" w:styleId="CommentReference">
    <w:name w:val="annotation reference"/>
    <w:basedOn w:val="DefaultParagraphFont"/>
    <w:uiPriority w:val="99"/>
    <w:semiHidden/>
    <w:unhideWhenUsed/>
    <w:rsid w:val="00116B14"/>
    <w:rPr>
      <w:sz w:val="16"/>
      <w:szCs w:val="16"/>
    </w:rPr>
  </w:style>
  <w:style w:type="paragraph" w:styleId="CommentText">
    <w:name w:val="annotation text"/>
    <w:basedOn w:val="Normal"/>
    <w:link w:val="CommentTextChar"/>
    <w:uiPriority w:val="99"/>
    <w:semiHidden/>
    <w:unhideWhenUsed/>
    <w:rsid w:val="00116B14"/>
    <w:rPr>
      <w:sz w:val="20"/>
      <w:szCs w:val="20"/>
    </w:rPr>
  </w:style>
  <w:style w:type="character" w:customStyle="1" w:styleId="CommentTextChar">
    <w:name w:val="Comment Text Char"/>
    <w:basedOn w:val="DefaultParagraphFont"/>
    <w:link w:val="CommentText"/>
    <w:uiPriority w:val="99"/>
    <w:semiHidden/>
    <w:rsid w:val="00116B14"/>
    <w:rPr>
      <w:sz w:val="20"/>
      <w:szCs w:val="20"/>
    </w:rPr>
  </w:style>
  <w:style w:type="paragraph" w:styleId="CommentSubject">
    <w:name w:val="annotation subject"/>
    <w:basedOn w:val="CommentText"/>
    <w:next w:val="CommentText"/>
    <w:link w:val="CommentSubjectChar"/>
    <w:uiPriority w:val="99"/>
    <w:semiHidden/>
    <w:unhideWhenUsed/>
    <w:rsid w:val="00116B14"/>
    <w:rPr>
      <w:b/>
      <w:bCs/>
    </w:rPr>
  </w:style>
  <w:style w:type="character" w:customStyle="1" w:styleId="CommentSubjectChar">
    <w:name w:val="Comment Subject Char"/>
    <w:basedOn w:val="CommentTextChar"/>
    <w:link w:val="CommentSubject"/>
    <w:uiPriority w:val="99"/>
    <w:semiHidden/>
    <w:rsid w:val="00116B14"/>
    <w:rPr>
      <w:b/>
      <w:bCs/>
      <w:sz w:val="20"/>
      <w:szCs w:val="20"/>
    </w:rPr>
  </w:style>
  <w:style w:type="character" w:styleId="FollowedHyperlink">
    <w:name w:val="FollowedHyperlink"/>
    <w:basedOn w:val="DefaultParagraphFont"/>
    <w:uiPriority w:val="99"/>
    <w:semiHidden/>
    <w:unhideWhenUsed/>
    <w:rsid w:val="00475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policies-legal-and-technical-guidance/legal-guidance/privacy-and-security/exec-order-504/vendor-certification-requirements.html"/>
  <Relationship Id="rId11" Type="http://schemas.openxmlformats.org/officeDocument/2006/relationships/hyperlink" TargetMode="External" Target="http://www.mass.gov/anf/docs/itd/guidance/legal/exec-order-504-vendor-cert-form.doc"/>
  <Relationship Id="rId12" Type="http://schemas.openxmlformats.org/officeDocument/2006/relationships/hyperlink" TargetMode="External" Target="http://www.mass.gov/anf/research-and-tech/cyber-security/security-for-state-employees/security-policies-and-standards/information-security-policy.html"/>
  <Relationship Id="rId13" Type="http://schemas.openxmlformats.org/officeDocument/2006/relationships/hyperlink" TargetMode="External" Target="ttp://www.mass.gov/anf/research-and-tech/policies-legal-and-technical-guidance/it-policies-standards-and-procedures/ent-pols-and-stnds/ent-architecture/etrm-v-5-1/"/>
  <Relationship Id="rId14" Type="http://schemas.openxmlformats.org/officeDocument/2006/relationships/hyperlink" TargetMode="External" Target="http://www.mass.gov/anf/research-and-tech/it-serv-and-support/application-serv/open-initiatives/open-source-legal-toolkit/"/>
  <Relationship Id="rId15" Type="http://schemas.openxmlformats.org/officeDocument/2006/relationships/hyperlink" TargetMode="External" Target="http://www.mass.gov/anf/docs/osd/policy/801cmr21.doc"/>
  <Relationship Id="rId16" Type="http://schemas.openxmlformats.org/officeDocument/2006/relationships/hyperlink" TargetMode="External" Target="http://www.mass.gov/anf/budget-taxes-and-procurement/procurement-info-and-res/buy-from-a-state-contract/"/>
  <Relationship Id="rId17" Type="http://schemas.openxmlformats.org/officeDocument/2006/relationships/hyperlink" TargetMode="External" Target="mailto:Standards@state.ma.us"/>
  <Relationship Id="rId18" Type="http://schemas.openxmlformats.org/officeDocument/2006/relationships/hyperlink" TargetMode="External" Target="http://www.mass.gov/anf/research-and-tech/policies-legal-and-technical-guidance/glossary-of-commonwealth.html"/>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12CF-75AD-4F8B-807F-ADD138A6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10</Pages>
  <Words>2275</Words>
  <Characters>12971</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Enterprise IT Acquisitions Security Policy</vt:lpstr>
      <vt:lpstr>Enterprise IT Acquisitions Security Policy</vt:lpstr>
      <vt:lpstr>    Table of Contents</vt:lpstr>
      <vt:lpstr>    Executive Summary</vt:lpstr>
      <vt:lpstr>    Whom this Policy Applies To</vt:lpstr>
      <vt:lpstr>    Scope</vt:lpstr>
      <vt:lpstr>    Policy Statement</vt:lpstr>
      <vt:lpstr>        Security Requirements for IT Acquisition</vt:lpstr>
      <vt:lpstr>        Contractual agreements for the procurement of IT solutions must:</vt:lpstr>
      <vt:lpstr>        Application Requirements:</vt:lpstr>
      <vt:lpstr>        Documentation</vt:lpstr>
      <vt:lpstr>    Roles and Responsibilities</vt:lpstr>
      <vt:lpstr>        Assistant Secretary for Information Technology</vt:lpstr>
      <vt:lpstr>        Secretariat Chief Information Officer (SCIO) and Agency Head</vt:lpstr>
      <vt:lpstr>        Secretariat or Agency Information Security Officer (ISO)</vt:lpstr>
      <vt:lpstr>        Massachusetts Office of Information Technology (MassIT), (led by the Assistant S</vt:lpstr>
      <vt:lpstr>        Secretariat Chief Information Officers (SCIO) and Agency Heads</vt:lpstr>
      <vt:lpstr>        Applicable Entities</vt:lpstr>
      <vt:lpstr>        Enterprise Security Board (ESB)</vt:lpstr>
      <vt:lpstr>    Related Documents</vt:lpstr>
      <vt:lpstr>    Contact</vt:lpstr>
      <vt:lpstr>    Appendix A: Terms</vt:lpstr>
      <vt:lpstr>    Appendix B: Document History</vt:lpstr>
    </vt:vector>
  </TitlesOfParts>
  <Company>Commonwealth of Massachusetts</Company>
  <LinksUpToDate>false</LinksUpToDate>
  <CharactersWithSpaces>15216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2016-04-08T20:18:00Z</dcterms:created>
  <dc:creator>Sarah E Bourne</dc:creator>
  <lastModifiedBy>Sarah E Bourne</lastModifiedBy>
  <dcterms:modified xsi:type="dcterms:W3CDTF">2016-04-08T20:18:00Z</dcterms:modified>
  <revision>2</revision>
  <dc:title>Enterprise IT Acquisitions Security Policy</dc:title>
</coreProperties>
</file>