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BE62DF">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70920438" r:id="rId9"/>
        </w:object>
      </w:r>
    </w:p>
    <w:p w14:paraId="70002C0D" w14:textId="718783DF" w:rsidR="004F5D71" w:rsidRDefault="009E673A" w:rsidP="004F5D71">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5CD3679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D1C0"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3450D6">
        <w:rPr>
          <w:rFonts w:ascii="Times New Roman" w:eastAsia="Times New Roman" w:hAnsi="Times New Roman" w:cs="Times New Roman"/>
          <w:i/>
          <w:color w:val="000080"/>
          <w:sz w:val="24"/>
          <w:szCs w:val="24"/>
        </w:rPr>
        <w:t>December</w:t>
      </w:r>
      <w:r w:rsidR="003450D6" w:rsidRPr="005B5862">
        <w:rPr>
          <w:rFonts w:ascii="Times New Roman" w:eastAsia="Times New Roman" w:hAnsi="Times New Roman" w:cs="Times New Roman"/>
          <w:i/>
          <w:color w:val="000080"/>
          <w:sz w:val="24"/>
          <w:szCs w:val="24"/>
        </w:rPr>
        <w:t xml:space="preserve"> </w:t>
      </w:r>
      <w:r w:rsidR="00645279">
        <w:rPr>
          <w:rFonts w:ascii="Times New Roman" w:eastAsia="Times New Roman" w:hAnsi="Times New Roman" w:cs="Times New Roman"/>
          <w:i/>
          <w:color w:val="000080"/>
          <w:sz w:val="24"/>
          <w:szCs w:val="24"/>
        </w:rPr>
        <w:t>31</w:t>
      </w:r>
      <w:r w:rsidR="004F5D71" w:rsidRPr="005B5862">
        <w:rPr>
          <w:rFonts w:ascii="Times New Roman" w:eastAsia="Times New Roman" w:hAnsi="Times New Roman" w:cs="Times New Roman"/>
          <w:i/>
          <w:color w:val="000080"/>
          <w:sz w:val="24"/>
          <w:szCs w:val="24"/>
        </w:rPr>
        <w:t>, 2020</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136299C8" w:rsidR="00E367AE" w:rsidRPr="00FE6DD2" w:rsidRDefault="00F966E4" w:rsidP="00164701">
      <w:bookmarkStart w:id="0" w:name="_Toc47025142"/>
      <w:r>
        <w:rPr>
          <w:noProof/>
        </w:rPr>
        <mc:AlternateContent>
          <mc:Choice Requires="wps">
            <w:drawing>
              <wp:inline distT="0" distB="0" distL="0" distR="0" wp14:anchorId="48B24E3F" wp14:editId="1F85D55C">
                <wp:extent cx="5897880" cy="7010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01040"/>
                        </a:xfrm>
                        <a:prstGeom prst="rect">
                          <a:avLst/>
                        </a:prstGeom>
                        <a:solidFill>
                          <a:srgbClr val="FFDDD5"/>
                        </a:solidFill>
                        <a:ln w="9525">
                          <a:solidFill>
                            <a:srgbClr val="FF0000"/>
                          </a:solidFill>
                          <a:miter lim="800000"/>
                          <a:headEnd/>
                          <a:tailEnd/>
                        </a:ln>
                      </wps:spPr>
                      <wps:txbx>
                        <w:txbxContent>
                          <w:p w14:paraId="353A29CE" w14:textId="6E598A39" w:rsidR="00872FF1" w:rsidRPr="00785DE9" w:rsidRDefault="00872FF1" w:rsidP="00164701">
                            <w:pPr>
                              <w:jc w:val="center"/>
                            </w:pPr>
                            <w:r w:rsidRPr="00F966E4">
                              <w:t xml:space="preserve">Please </w:t>
                            </w:r>
                            <w:r w:rsidRPr="00785DE9">
                              <w:t xml:space="preserve">note that this </w:t>
                            </w:r>
                            <w:r w:rsidRPr="00DB082C">
                              <w:t>guidance document describes significant changes to the surveillance testing program beginning</w:t>
                            </w:r>
                            <w:r w:rsidRPr="00F966E4">
                              <w:t xml:space="preserve"> on January 1</w:t>
                            </w:r>
                            <w:r w:rsidRPr="00164701">
                              <w:rPr>
                                <w:vertAlign w:val="superscript"/>
                              </w:rPr>
                              <w:t>st</w:t>
                            </w:r>
                            <w:r w:rsidRPr="00785DE9">
                              <w:t xml:space="preserve">, 2021. </w:t>
                            </w:r>
                            <w:r w:rsidRPr="00DB082C">
                              <w:t>For details on how to access testing resources after the S</w:t>
                            </w:r>
                            <w:r w:rsidRPr="00F966E4">
                              <w:t xml:space="preserve">urveillance Testing Contract expires, please </w:t>
                            </w:r>
                            <w:r>
                              <w:t xml:space="preserve">go to </w:t>
                            </w:r>
                            <w:hyperlink w:anchor="_Section_II:_Testing" w:history="1">
                              <w:r w:rsidRPr="00733E89">
                                <w:rPr>
                                  <w:rStyle w:val="Hyperlink"/>
                                </w:rPr>
                                <w:t>Section II</w:t>
                              </w:r>
                            </w:hyperlink>
                            <w:r>
                              <w:t xml:space="preserve">. </w:t>
                            </w:r>
                          </w:p>
                        </w:txbxContent>
                      </wps:txbx>
                      <wps:bodyPr rot="0" vert="horz" wrap="square" lIns="91440" tIns="45720" rIns="91440" bIns="45720" anchor="ctr" anchorCtr="0">
                        <a:noAutofit/>
                      </wps:bodyPr>
                    </wps:wsp>
                  </a:graphicData>
                </a:graphic>
              </wp:inline>
            </w:drawing>
          </mc:Choice>
          <mc:Fallback>
            <w:pict>
              <v:shapetype w14:anchorId="48B24E3F" id="_x0000_t202" coordsize="21600,21600" o:spt="202" path="m,l,21600r21600,l21600,xe">
                <v:stroke joinstyle="miter"/>
                <v:path gradientshapeok="t" o:connecttype="rect"/>
              </v:shapetype>
              <v:shape id="Text Box 2" o:spid="_x0000_s1026" type="#_x0000_t202" style="width:464.4pt;height:5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yfKwIAAE8EAAAOAAAAZHJzL2Uyb0RvYy54bWysVNuO2jAQfa/Uf7D8XgIICkSE1RZKVWl7&#10;kXb7AY7jEKuOxx0bku3Xd+ywLNpWfaiaB8vjGR/PnDOT9U3fGnZS6DXYgk9GY86UlVBpeyj4t4f9&#10;myVnPghbCQNWFfxReX6zef1q3blcTaEBUylkBGJ93rmCNyG4PMu8bFQr/AicsuSsAVsRyMRDVqHo&#10;CL012XQ8fpt1gJVDkMp7Ot0NTr5J+HWtZPhS114FZgpOuYW0YlrLuGabtcgPKFyj5TkN8Q9ZtEJb&#10;evQCtRNBsCPq36BaLRE81GEkoc2grrVUqQaqZjJ+Uc19I5xKtRA53l1o8v8PVn4+fUWmq4JPJwvO&#10;rGhJpAfVB/YOejaN/HTO5xR27ygw9HRMOqdavbsD+d0zC9tG2IO6RYSuUaKi/CbxZnZ1dcDxEaTs&#10;PkFFz4hjgATU19hG8ogORuik0+NFm5iKpMP5crVYLsklybcgrmZJvEzkT7cd+vBBQcvipuBI2id0&#10;cbrzIWYj8qeQ+JgHo6u9NiYZeCi3BtlJUJ/s97vdbp4KeBFmLOsKvppP5wMBf4EY0/cniFYHanij&#10;24IvY8y5BSNt722V2jEIbYY9pWzsmcdI3UBi6Ms+SZZIjhyXUD0SsQhDf9M80qYB/MlZR71dcP/j&#10;KFBxZj5aEmc1mRF7LCRjNl9MycBrT3ntEVYSVMFlQM4GYxvSCEXmLNySjLVODD/nck6aujYRf56w&#10;OBbXdop6/g9sfgEAAP//AwBQSwMEFAAGAAgAAAAhAMh1txvbAAAABQEAAA8AAABkcnMvZG93bnJl&#10;di54bWxMj0FLAzEQhe+C/yGM4EVstktZ2nWzRYSC4EVbkR7TzTRZTCbLJm3Xf+/oRS8Dj/d4871m&#10;PQUvzjimPpKC+awAgdRF05NV8L7b3C9BpKzJaB8JFXxhgnV7fdXo2sQLveF5m63gEkq1VuByHmop&#10;U+cw6DSLAxJ7xzgGnVmOVppRX7g8eFkWRSWD7ok/OD3gk8Puc3sKCvymunvdezfR8dkuaF99vKxs&#10;qdTtzfT4ACLjlP/C8IPP6NAy0yGeyCThFfCQ/HvZW5VLnnHg0LxYgGwb+Z++/QYAAP//AwBQSwEC&#10;LQAUAAYACAAAACEAtoM4kv4AAADhAQAAEwAAAAAAAAAAAAAAAAAAAAAAW0NvbnRlbnRfVHlwZXNd&#10;LnhtbFBLAQItABQABgAIAAAAIQA4/SH/1gAAAJQBAAALAAAAAAAAAAAAAAAAAC8BAABfcmVscy8u&#10;cmVsc1BLAQItABQABgAIAAAAIQBIe7yfKwIAAE8EAAAOAAAAAAAAAAAAAAAAAC4CAABkcnMvZTJv&#10;RG9jLnhtbFBLAQItABQABgAIAAAAIQDIdbcb2wAAAAUBAAAPAAAAAAAAAAAAAAAAAIUEAABkcnMv&#10;ZG93bnJldi54bWxQSwUGAAAAAAQABADzAAAAjQUAAAAA&#10;" fillcolor="#ffddd5" strokecolor="red">
                <v:textbox>
                  <w:txbxContent>
                    <w:p w14:paraId="353A29CE" w14:textId="6E598A39" w:rsidR="00872FF1" w:rsidRPr="00785DE9" w:rsidRDefault="00872FF1" w:rsidP="00164701">
                      <w:pPr>
                        <w:jc w:val="center"/>
                      </w:pPr>
                      <w:r w:rsidRPr="00F966E4">
                        <w:t xml:space="preserve">Please </w:t>
                      </w:r>
                      <w:r w:rsidRPr="00785DE9">
                        <w:t xml:space="preserve">note that this </w:t>
                      </w:r>
                      <w:r w:rsidRPr="00DB082C">
                        <w:t>guidance document describes significant changes to the surveillance testing program beginning</w:t>
                      </w:r>
                      <w:r w:rsidRPr="00F966E4">
                        <w:t xml:space="preserve"> on January 1</w:t>
                      </w:r>
                      <w:r w:rsidRPr="00164701">
                        <w:rPr>
                          <w:vertAlign w:val="superscript"/>
                        </w:rPr>
                        <w:t>st</w:t>
                      </w:r>
                      <w:r w:rsidRPr="00785DE9">
                        <w:t xml:space="preserve">, 2021. </w:t>
                      </w:r>
                      <w:r w:rsidRPr="00DB082C">
                        <w:t>For details on how to access testing resources after the S</w:t>
                      </w:r>
                      <w:r w:rsidRPr="00F966E4">
                        <w:t xml:space="preserve">urveillance Testing Contract expires, please </w:t>
                      </w:r>
                      <w:r>
                        <w:t xml:space="preserve">go to </w:t>
                      </w:r>
                      <w:hyperlink w:anchor="_Section_II:_Testing" w:history="1">
                        <w:r w:rsidRPr="00733E89">
                          <w:rPr>
                            <w:rStyle w:val="Hyperlink"/>
                          </w:rPr>
                          <w:t>Section II</w:t>
                        </w:r>
                      </w:hyperlink>
                      <w:r>
                        <w:t xml:space="preserve">. </w:t>
                      </w:r>
                    </w:p>
                  </w:txbxContent>
                </v:textbox>
                <w10:anchorlock/>
              </v:shape>
            </w:pict>
          </mc:Fallback>
        </mc:AlternateContent>
      </w:r>
      <w:r w:rsidR="00EE4F70" w:rsidRPr="00815093">
        <w:rPr>
          <w:rStyle w:val="Heading1Char"/>
          <w:b/>
          <w:bCs/>
        </w:rPr>
        <w:t xml:space="preserve">Section I: </w:t>
      </w:r>
      <w:r w:rsidR="00E367AE" w:rsidRPr="00815093">
        <w:rPr>
          <w:rStyle w:val="Heading1Char"/>
          <w:b/>
          <w:bCs/>
        </w:rPr>
        <w:t>Overview</w:t>
      </w:r>
      <w:bookmarkEnd w:id="0"/>
    </w:p>
    <w:p w14:paraId="24A02CA2" w14:textId="7710E612" w:rsidR="00EE4F70" w:rsidRDefault="00E367AE" w:rsidP="005A3449">
      <w:pPr>
        <w:spacing w:line="276" w:lineRule="auto"/>
      </w:pPr>
      <w:r w:rsidRPr="00152D1B">
        <w:rPr>
          <w:rFonts w:cstheme="minorHAnsi"/>
          <w:bCs/>
        </w:rPr>
        <w:t xml:space="preserve">This memorandum applies to </w:t>
      </w:r>
      <w:bookmarkStart w:id="1" w:name="_Hlk57970186"/>
      <w:r w:rsidRPr="00152D1B">
        <w:rPr>
          <w:rFonts w:cstheme="minorHAnsi"/>
          <w:bCs/>
        </w:rPr>
        <w:t xml:space="preserve">organizations that operate residential congregate care programs, which includes but is not limited to: </w:t>
      </w:r>
      <w:bookmarkStart w:id="2"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2"/>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1"/>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7F36988B" w14:textId="77777777" w:rsidR="00815093" w:rsidRDefault="00FF529B" w:rsidP="00164701">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16BB8F68" w14:textId="01310B62" w:rsidR="00FF529B" w:rsidRPr="00164701" w:rsidRDefault="00815093" w:rsidP="00164701">
      <w:pPr>
        <w:rPr>
          <w:rFonts w:cstheme="minorHAnsi"/>
          <w:bCs/>
        </w:rPr>
      </w:pPr>
      <w:r>
        <w:t>An expanded definition of “staff,” as well as details on the reporting and reimbursement mechanism offer prior to January 1</w:t>
      </w:r>
      <w:r w:rsidRPr="00815093">
        <w:rPr>
          <w:vertAlign w:val="superscript"/>
        </w:rPr>
        <w:t>st</w:t>
      </w:r>
      <w:r>
        <w:t xml:space="preserve"> may be foun</w:t>
      </w:r>
      <w:r w:rsidRPr="00815093">
        <w:t xml:space="preserve">d in </w:t>
      </w:r>
      <w:hyperlink r:id="rId10" w:history="1">
        <w:r w:rsidRPr="00815093">
          <w:rPr>
            <w:rStyle w:val="Hyperlink"/>
          </w:rPr>
          <w:t>previous version of this guidance</w:t>
        </w:r>
      </w:hyperlink>
      <w:r w:rsidRPr="00815093">
        <w:rPr>
          <w:rFonts w:cstheme="minorHAnsi"/>
        </w:rPr>
        <w:t xml:space="preserve"> updated on Nov</w:t>
      </w:r>
      <w:r>
        <w:rPr>
          <w:rFonts w:cstheme="minorHAnsi"/>
        </w:rPr>
        <w:t>.</w:t>
      </w:r>
      <w:r w:rsidRPr="00815093">
        <w:rPr>
          <w:rFonts w:cstheme="minorHAnsi"/>
        </w:rPr>
        <w:t xml:space="preserve"> 2</w:t>
      </w:r>
      <w:r w:rsidRPr="00815093">
        <w:rPr>
          <w:rFonts w:cstheme="minorHAnsi"/>
          <w:vertAlign w:val="superscript"/>
        </w:rPr>
        <w:t>nd</w:t>
      </w:r>
      <w:r w:rsidRPr="00815093">
        <w:rPr>
          <w:rFonts w:cstheme="minorHAnsi"/>
        </w:rPr>
        <w:t>, 2020</w:t>
      </w:r>
      <w:r w:rsidR="00E542F3">
        <w:rPr>
          <w:rFonts w:cstheme="minorHAnsi"/>
        </w:rPr>
        <w:t>.</w:t>
      </w:r>
    </w:p>
    <w:p w14:paraId="791A6670" w14:textId="54A7DF5F" w:rsidR="003859C1" w:rsidRPr="00E367AE" w:rsidRDefault="003859C1" w:rsidP="003859C1">
      <w:pPr>
        <w:pStyle w:val="Heading1"/>
        <w:rPr>
          <w:b/>
          <w:bCs/>
        </w:rPr>
      </w:pPr>
      <w:bookmarkStart w:id="3" w:name="_Section_II:_Testing"/>
      <w:bookmarkStart w:id="4" w:name="_Toc47025149"/>
      <w:bookmarkStart w:id="5" w:name="_Toc47025144"/>
      <w:bookmarkEnd w:id="3"/>
      <w:r>
        <w:rPr>
          <w:b/>
          <w:bCs/>
        </w:rPr>
        <w:t xml:space="preserve">Section II: </w:t>
      </w:r>
      <w:bookmarkEnd w:id="4"/>
      <w:r>
        <w:rPr>
          <w:b/>
          <w:bCs/>
        </w:rPr>
        <w:t>Testing Access Options</w:t>
      </w:r>
    </w:p>
    <w:p w14:paraId="0AD5FBE4" w14:textId="77777777" w:rsidR="003859C1" w:rsidRDefault="003859C1" w:rsidP="003859C1">
      <w:pPr>
        <w:rPr>
          <w:rFonts w:cstheme="minorHAnsi"/>
        </w:rPr>
      </w:pPr>
      <w:bookmarkStart w:id="6" w:name="_Hlk39393459"/>
      <w:r>
        <w:rPr>
          <w:rFonts w:cstheme="minorHAnsi"/>
        </w:rPr>
        <w:t>In order to facilitate continued access to testing for Covered Programs, after December 31</w:t>
      </w:r>
      <w:r w:rsidRPr="00164701">
        <w:rPr>
          <w:rFonts w:cstheme="minorHAnsi"/>
          <w:vertAlign w:val="superscript"/>
        </w:rPr>
        <w:t>st</w:t>
      </w:r>
      <w:r>
        <w:rPr>
          <w:rFonts w:cstheme="minorHAnsi"/>
        </w:rPr>
        <w:t xml:space="preserve">, 2020, EOHHS will offer two testing options (“testing access options”) to Covered Programs: </w:t>
      </w:r>
    </w:p>
    <w:p w14:paraId="4E2D0BBB" w14:textId="5B040A76" w:rsidR="003859C1" w:rsidRDefault="003859C1" w:rsidP="003859C1">
      <w:pPr>
        <w:pStyle w:val="ListParagraph"/>
        <w:numPr>
          <w:ilvl w:val="0"/>
          <w:numId w:val="19"/>
        </w:numPr>
        <w:rPr>
          <w:rFonts w:cstheme="minorHAnsi"/>
        </w:rPr>
      </w:pPr>
      <w:r>
        <w:rPr>
          <w:rFonts w:cstheme="minorHAnsi"/>
        </w:rPr>
        <w:t xml:space="preserve">Enrolling to receive PCR tests from Color Genomics, Inc. (“Color”); </w:t>
      </w:r>
      <w:r w:rsidR="00815093">
        <w:rPr>
          <w:rFonts w:cstheme="minorHAnsi"/>
        </w:rPr>
        <w:t>or</w:t>
      </w:r>
    </w:p>
    <w:p w14:paraId="3127DDBA" w14:textId="77777777" w:rsidR="003859C1" w:rsidRDefault="003859C1" w:rsidP="003859C1">
      <w:pPr>
        <w:pStyle w:val="ListParagraph"/>
        <w:numPr>
          <w:ilvl w:val="0"/>
          <w:numId w:val="19"/>
        </w:numPr>
        <w:rPr>
          <w:rFonts w:cstheme="minorHAnsi"/>
        </w:rPr>
      </w:pPr>
      <w:r>
        <w:rPr>
          <w:rFonts w:cstheme="minorHAnsi"/>
        </w:rPr>
        <w:t>Enrolling to receive Abbott BinaxNOW Rapid point-of-care tests (“BinaxNOW tests”).</w:t>
      </w:r>
    </w:p>
    <w:p w14:paraId="6171E569" w14:textId="5DDA6FF4" w:rsidR="003859C1" w:rsidRDefault="003859C1" w:rsidP="003859C1">
      <w:pPr>
        <w:rPr>
          <w:rFonts w:cstheme="minorHAnsi"/>
        </w:rPr>
      </w:pPr>
      <w:r>
        <w:rPr>
          <w:rFonts w:cstheme="minorHAnsi"/>
        </w:rPr>
        <w:t xml:space="preserve">Details on each of these testing options are below. </w:t>
      </w:r>
      <w:r w:rsidRPr="00DB082C">
        <w:rPr>
          <w:rFonts w:cstheme="minorHAnsi"/>
        </w:rPr>
        <w:t xml:space="preserve">Please note that </w:t>
      </w:r>
      <w:r w:rsidRPr="00FD0204">
        <w:rPr>
          <w:rFonts w:cstheme="minorHAnsi"/>
        </w:rPr>
        <w:t xml:space="preserve">Covered Programs will only be able to access testing through </w:t>
      </w:r>
      <w:r w:rsidRPr="00164701">
        <w:rPr>
          <w:rFonts w:cstheme="minorHAnsi"/>
          <w:b/>
          <w:bCs/>
        </w:rPr>
        <w:t xml:space="preserve">one of the </w:t>
      </w:r>
      <w:r>
        <w:rPr>
          <w:rFonts w:cstheme="minorHAnsi"/>
          <w:b/>
          <w:bCs/>
        </w:rPr>
        <w:t xml:space="preserve">two </w:t>
      </w:r>
      <w:r w:rsidRPr="00164701">
        <w:rPr>
          <w:rFonts w:cstheme="minorHAnsi"/>
          <w:b/>
          <w:bCs/>
        </w:rPr>
        <w:t xml:space="preserve">mechanisms </w:t>
      </w:r>
      <w:r>
        <w:rPr>
          <w:rFonts w:cstheme="minorHAnsi"/>
          <w:b/>
          <w:bCs/>
        </w:rPr>
        <w:t xml:space="preserve">outlined above </w:t>
      </w:r>
      <w:r w:rsidR="00A97639">
        <w:rPr>
          <w:rFonts w:cstheme="minorHAnsi"/>
          <w:b/>
          <w:bCs/>
        </w:rPr>
        <w:t xml:space="preserve">for each Covered Program </w:t>
      </w:r>
      <w:r w:rsidRPr="00DB082C">
        <w:rPr>
          <w:rFonts w:cstheme="minorHAnsi"/>
        </w:rPr>
        <w:t>(i.e., Covered P</w:t>
      </w:r>
      <w:r w:rsidRPr="00FD0204">
        <w:rPr>
          <w:rFonts w:cstheme="minorHAnsi"/>
        </w:rPr>
        <w:t xml:space="preserve">rograms which received tests </w:t>
      </w:r>
      <w:r>
        <w:rPr>
          <w:rFonts w:cstheme="minorHAnsi"/>
        </w:rPr>
        <w:t xml:space="preserve">from Color Genomics </w:t>
      </w:r>
      <w:r w:rsidRPr="00DB082C">
        <w:rPr>
          <w:rFonts w:cstheme="minorHAnsi"/>
        </w:rPr>
        <w:t>will not be eligible</w:t>
      </w:r>
      <w:r w:rsidRPr="00FD0204">
        <w:rPr>
          <w:rFonts w:cstheme="minorHAnsi"/>
        </w:rPr>
        <w:t xml:space="preserve"> to receive </w:t>
      </w:r>
      <w:r>
        <w:rPr>
          <w:rFonts w:cstheme="minorHAnsi"/>
        </w:rPr>
        <w:t>BinaxNOW tests, or vice versa</w:t>
      </w:r>
      <w:r w:rsidRPr="00DB082C">
        <w:rPr>
          <w:rFonts w:cstheme="minorHAnsi"/>
        </w:rPr>
        <w:t>).</w:t>
      </w:r>
      <w:r>
        <w:rPr>
          <w:rFonts w:cstheme="minorHAnsi"/>
        </w:rPr>
        <w:t xml:space="preserve"> O</w:t>
      </w:r>
      <w:r w:rsidRPr="00A848EB">
        <w:rPr>
          <w:rFonts w:cstheme="minorHAnsi"/>
        </w:rPr>
        <w:t xml:space="preserve">nce enrolled, </w:t>
      </w:r>
      <w:r w:rsidR="00815093">
        <w:rPr>
          <w:rFonts w:cstheme="minorHAnsi"/>
        </w:rPr>
        <w:t xml:space="preserve">organizations will </w:t>
      </w:r>
      <w:r w:rsidR="00815093" w:rsidRPr="00815093">
        <w:rPr>
          <w:rFonts w:cstheme="minorHAnsi"/>
          <w:b/>
          <w:bCs/>
        </w:rPr>
        <w:t>not be able to change the chosen testing access option</w:t>
      </w:r>
      <w:r w:rsidR="00815093">
        <w:rPr>
          <w:rFonts w:cstheme="minorHAnsi"/>
        </w:rPr>
        <w:t xml:space="preserve"> for at least 8 weeks after tests are received.</w:t>
      </w:r>
    </w:p>
    <w:p w14:paraId="5D3C2F97" w14:textId="77777777" w:rsidR="00A97639" w:rsidRDefault="00A97639" w:rsidP="003859C1">
      <w:pPr>
        <w:rPr>
          <w:rFonts w:cstheme="minorHAnsi"/>
        </w:rPr>
      </w:pPr>
      <w:r>
        <w:rPr>
          <w:rFonts w:cstheme="minorHAnsi"/>
        </w:rPr>
        <w:lastRenderedPageBreak/>
        <w:t xml:space="preserve">Organizations which operate </w:t>
      </w:r>
      <w:r w:rsidRPr="006F641A">
        <w:rPr>
          <w:rFonts w:cstheme="minorHAnsi"/>
          <w:b/>
          <w:bCs/>
        </w:rPr>
        <w:t>multiple Covered Programs which are funded by different EOHHS agencies</w:t>
      </w:r>
      <w:r>
        <w:rPr>
          <w:rFonts w:cstheme="minorHAnsi"/>
        </w:rPr>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14:paraId="6DDE2FA1" w14:textId="77777777" w:rsidR="00A97639" w:rsidRDefault="00A97639" w:rsidP="00A97639">
      <w:pPr>
        <w:pStyle w:val="ListParagraph"/>
        <w:numPr>
          <w:ilvl w:val="0"/>
          <w:numId w:val="25"/>
        </w:numPr>
        <w:rPr>
          <w:rFonts w:cstheme="minorHAnsi"/>
        </w:rPr>
      </w:pPr>
      <w:r w:rsidRPr="00A97639">
        <w:rPr>
          <w:rFonts w:cstheme="minorHAnsi"/>
        </w:rPr>
        <w:t>Organizations are not permitted to request more than one testing access option for the same Covered Program</w:t>
      </w:r>
    </w:p>
    <w:p w14:paraId="6E14F1FC" w14:textId="0B61A4D8" w:rsidR="00A97639" w:rsidRDefault="00A97639" w:rsidP="00A97639">
      <w:pPr>
        <w:pStyle w:val="ListParagraph"/>
        <w:numPr>
          <w:ilvl w:val="0"/>
          <w:numId w:val="25"/>
        </w:numPr>
        <w:rPr>
          <w:rFonts w:cstheme="minorHAnsi"/>
        </w:rPr>
      </w:pPr>
      <w:r>
        <w:rPr>
          <w:rFonts w:cstheme="minorHAnsi"/>
        </w:rPr>
        <w:t>Additionally, organizations may not select</w:t>
      </w:r>
      <w:r w:rsidRPr="00A97639">
        <w:rPr>
          <w:rFonts w:cstheme="minorHAnsi"/>
        </w:rPr>
        <w:t xml:space="preserve"> different testing options for Covered Programs funded by the same EOHHS agency.</w:t>
      </w:r>
    </w:p>
    <w:p w14:paraId="7B8FB42E" w14:textId="41EA6467" w:rsidR="00A97639" w:rsidRPr="00A97639" w:rsidRDefault="00A97639" w:rsidP="00A97639">
      <w:pPr>
        <w:rPr>
          <w:rFonts w:cstheme="minorHAnsi"/>
        </w:rPr>
      </w:pPr>
      <w:r w:rsidRPr="00A97639">
        <w:rPr>
          <w:rFonts w:cstheme="minorHAnsi"/>
        </w:rPr>
        <w:t>Large organizations which operate Covered Programs funded by more than one EOHHS agency, and which wish to use different testing access options</w:t>
      </w:r>
      <w:r>
        <w:rPr>
          <w:rFonts w:cstheme="minorHAnsi"/>
        </w:rPr>
        <w:t xml:space="preserve"> between these Covered Programs</w:t>
      </w:r>
      <w:r w:rsidRPr="00A97639">
        <w:rPr>
          <w:rFonts w:cstheme="minorHAnsi"/>
        </w:rPr>
        <w:t xml:space="preserve">, should email </w:t>
      </w:r>
      <w:hyperlink r:id="rId11" w:history="1">
        <w:r w:rsidRPr="00A97639">
          <w:rPr>
            <w:rStyle w:val="Hyperlink"/>
            <w:rFonts w:cstheme="minorHAnsi"/>
          </w:rPr>
          <w:t>EOHHSTestingContracts@mass.gov</w:t>
        </w:r>
      </w:hyperlink>
      <w:r w:rsidRPr="00A97639">
        <w:rPr>
          <w:rFonts w:cstheme="minorHAnsi"/>
        </w:rPr>
        <w:t xml:space="preserve"> with details on </w:t>
      </w:r>
      <w:r>
        <w:rPr>
          <w:rFonts w:cstheme="minorHAnsi"/>
        </w:rPr>
        <w:t>which testing access option they will select, with the subject line beginning with “TESTING OPTIONS:” . Only organizations which meet the criteria above and are choosing different testing access options for their Covered Programs should email EOHHS. Questions or clarifications sent to this inbox will not be answered.</w:t>
      </w:r>
      <w:r w:rsidRPr="00A97639">
        <w:rPr>
          <w:rFonts w:cstheme="minorHAnsi"/>
        </w:rPr>
        <w:t xml:space="preserve"> </w:t>
      </w:r>
    </w:p>
    <w:p w14:paraId="697AD9DD" w14:textId="3FA84F32" w:rsidR="003859C1" w:rsidRDefault="006F641A" w:rsidP="003859C1">
      <w:pPr>
        <w:rPr>
          <w:rFonts w:cstheme="minorHAnsi"/>
        </w:rPr>
      </w:pPr>
      <w:r>
        <w:rPr>
          <w:rFonts w:cstheme="minorHAnsi"/>
        </w:rPr>
        <w:t>A</w:t>
      </w:r>
      <w:r w:rsidR="003859C1" w:rsidRPr="00DB082C">
        <w:rPr>
          <w:rFonts w:cstheme="minorHAnsi"/>
        </w:rPr>
        <w:t xml:space="preserve">s programs transition to one of the </w:t>
      </w:r>
      <w:r w:rsidR="003859C1">
        <w:rPr>
          <w:rFonts w:cstheme="minorHAnsi"/>
        </w:rPr>
        <w:t>two</w:t>
      </w:r>
      <w:r w:rsidR="003859C1" w:rsidRPr="00DB082C">
        <w:rPr>
          <w:rFonts w:cstheme="minorHAnsi"/>
        </w:rPr>
        <w:t xml:space="preserve"> </w:t>
      </w:r>
      <w:r w:rsidR="003859C1">
        <w:rPr>
          <w:rFonts w:cstheme="minorHAnsi"/>
        </w:rPr>
        <w:t>testing access options</w:t>
      </w:r>
      <w:r w:rsidR="003859C1" w:rsidRPr="00DB082C">
        <w:rPr>
          <w:rFonts w:cstheme="minorHAnsi"/>
        </w:rPr>
        <w:t xml:space="preserve">, EOHHS will allow for a </w:t>
      </w:r>
      <w:r w:rsidR="003859C1" w:rsidRPr="00164701">
        <w:rPr>
          <w:rFonts w:cstheme="minorHAnsi"/>
          <w:b/>
          <w:bCs/>
        </w:rPr>
        <w:t>limited extension of the current reimbursement contracts</w:t>
      </w:r>
      <w:r w:rsidR="003859C1" w:rsidRPr="00DB082C">
        <w:rPr>
          <w:rFonts w:cstheme="minorHAnsi"/>
        </w:rPr>
        <w:t xml:space="preserve"> e</w:t>
      </w:r>
      <w:r w:rsidR="003859C1" w:rsidRPr="0050204C">
        <w:rPr>
          <w:rFonts w:cstheme="minorHAnsi"/>
        </w:rPr>
        <w:t xml:space="preserve">stablished in the </w:t>
      </w:r>
      <w:hyperlink r:id="rId12" w:history="1">
        <w:r w:rsidR="003859C1" w:rsidRPr="00164701">
          <w:rPr>
            <w:rStyle w:val="Hyperlink"/>
            <w:rFonts w:cstheme="minorHAnsi"/>
          </w:rPr>
          <w:t>previous version of this guidance</w:t>
        </w:r>
      </w:hyperlink>
      <w:r w:rsidR="003859C1">
        <w:rPr>
          <w:rFonts w:cstheme="minorHAnsi"/>
        </w:rPr>
        <w:t xml:space="preserve">. Please see </w:t>
      </w:r>
      <w:hyperlink w:anchor="_Section_IV:_Reimbursement" w:history="1">
        <w:r w:rsidR="003859C1" w:rsidRPr="009D0ED4">
          <w:rPr>
            <w:rStyle w:val="Hyperlink"/>
            <w:rFonts w:cstheme="minorHAnsi"/>
          </w:rPr>
          <w:t>Section IV: Reimbursement Extension</w:t>
        </w:r>
      </w:hyperlink>
      <w:r w:rsidR="003859C1">
        <w:rPr>
          <w:rFonts w:cstheme="minorHAnsi"/>
        </w:rPr>
        <w:t xml:space="preserve"> for details </w:t>
      </w:r>
    </w:p>
    <w:p w14:paraId="2904E2A1" w14:textId="77777777" w:rsidR="003859C1" w:rsidRPr="00164701" w:rsidRDefault="003859C1" w:rsidP="003859C1">
      <w:pPr>
        <w:pStyle w:val="Heading2"/>
        <w:rPr>
          <w:u w:val="single"/>
        </w:rPr>
      </w:pPr>
      <w:r>
        <w:rPr>
          <w:u w:val="single"/>
        </w:rPr>
        <w:t xml:space="preserve">Option #1: </w:t>
      </w:r>
      <w:r w:rsidRPr="00164701">
        <w:rPr>
          <w:u w:val="single"/>
        </w:rPr>
        <w:t>Color Genomics</w:t>
      </w:r>
    </w:p>
    <w:p w14:paraId="3B77112E" w14:textId="77777777" w:rsidR="003859C1" w:rsidRDefault="003859C1" w:rsidP="003859C1">
      <w:r>
        <w:t xml:space="preserve">EOHHS has entered into a contract with Color Genomics, Inc. (“Color”) to provide access to convenient, self-administered, highly sensitive molecular test </w:t>
      </w:r>
      <w:r w:rsidRPr="00164701">
        <w:rPr>
          <w:b/>
          <w:bCs/>
        </w:rPr>
        <w:t>at no cost to Covered Program</w:t>
      </w:r>
      <w:r>
        <w:t>. Tests to be provided by Color are FDA (Emergency Use Authorization) approved for self-collection without the need for clinical supervision, are dry swabs which do not require refrigerated transport, and will be analyzed at a Massachusetts-based laboratory, reducing turnaround time for results.</w:t>
      </w:r>
    </w:p>
    <w:p w14:paraId="61DAF19E" w14:textId="77777777" w:rsidR="003859C1" w:rsidRDefault="003859C1" w:rsidP="003859C1">
      <w:r>
        <w:t xml:space="preserve">The following is a brief description of the how tests will be provided, administered, and returned to the laboratory for processing. </w:t>
      </w:r>
    </w:p>
    <w:p w14:paraId="2774276C" w14:textId="77777777" w:rsidR="003859C1" w:rsidRDefault="003859C1" w:rsidP="003859C1">
      <w:pPr>
        <w:pStyle w:val="ListParagraph"/>
        <w:numPr>
          <w:ilvl w:val="0"/>
          <w:numId w:val="20"/>
        </w:numPr>
      </w:pPr>
      <w:r>
        <w:t>EOHHS will determine the number of tests each organization can receive in the initial shipment</w:t>
      </w:r>
    </w:p>
    <w:p w14:paraId="2E1918BA" w14:textId="77777777" w:rsidR="003859C1" w:rsidRDefault="003859C1" w:rsidP="003859C1">
      <w:pPr>
        <w:pStyle w:val="ListParagraph"/>
        <w:numPr>
          <w:ilvl w:val="0"/>
          <w:numId w:val="20"/>
        </w:numPr>
      </w:pPr>
      <w:r>
        <w:t>Organizations will enroll (once, at the organization level) online with Color</w:t>
      </w:r>
    </w:p>
    <w:p w14:paraId="13D65DC8" w14:textId="33338B41" w:rsidR="003859C1" w:rsidRDefault="003859C1" w:rsidP="003859C1">
      <w:pPr>
        <w:pStyle w:val="ListParagraph"/>
        <w:numPr>
          <w:ilvl w:val="0"/>
          <w:numId w:val="20"/>
        </w:numPr>
      </w:pPr>
      <w:r>
        <w:t>Organizations will provide site-level information</w:t>
      </w:r>
      <w:r w:rsidR="006E05A1">
        <w:t>, including site-level points of contact</w:t>
      </w:r>
    </w:p>
    <w:p w14:paraId="21D87CB4" w14:textId="0F178AC0" w:rsidR="003859C1" w:rsidRDefault="003859C1" w:rsidP="003859C1">
      <w:pPr>
        <w:pStyle w:val="ListParagraph"/>
        <w:numPr>
          <w:ilvl w:val="0"/>
          <w:numId w:val="20"/>
        </w:numPr>
      </w:pPr>
      <w:r>
        <w:t>Staff will be registered in the Color system individually on-site</w:t>
      </w:r>
    </w:p>
    <w:p w14:paraId="0934BDF7" w14:textId="77777777" w:rsidR="003859C1" w:rsidRDefault="003859C1" w:rsidP="003859C1">
      <w:pPr>
        <w:pStyle w:val="ListParagraph"/>
        <w:numPr>
          <w:ilvl w:val="0"/>
          <w:numId w:val="20"/>
        </w:numPr>
      </w:pPr>
      <w:r>
        <w:t>Staff will self-administer the anterior nares swab, and link the test with their online profile</w:t>
      </w:r>
    </w:p>
    <w:p w14:paraId="4A477680" w14:textId="574E5072" w:rsidR="008C69A3" w:rsidRDefault="008C69A3" w:rsidP="003859C1">
      <w:pPr>
        <w:pStyle w:val="ListParagraph"/>
        <w:numPr>
          <w:ilvl w:val="0"/>
          <w:numId w:val="20"/>
        </w:numPr>
      </w:pPr>
      <w:r w:rsidRPr="008C69A3">
        <w:t>Tubes containing collected specimens will be packaged into a return-shipping box, which may be returned via FedEx overnight shipping or directly by site staff to Broad. A pre-authorized courier option also may be available.</w:t>
      </w:r>
    </w:p>
    <w:p w14:paraId="0B0BB9BF" w14:textId="7D052ACA" w:rsidR="003859C1" w:rsidRDefault="003859C1" w:rsidP="003859C1">
      <w:pPr>
        <w:pStyle w:val="ListParagraph"/>
        <w:numPr>
          <w:ilvl w:val="0"/>
          <w:numId w:val="20"/>
        </w:numPr>
      </w:pPr>
      <w:r>
        <w:t>Results will be returned in 24-48 hours after the specimen arrives at the lab; results will be sent directly to the test taker and be uploaded into the organization’s dashboard</w:t>
      </w:r>
    </w:p>
    <w:p w14:paraId="7839C307" w14:textId="72FBE699" w:rsidR="003859C1" w:rsidRDefault="003859C1" w:rsidP="003859C1">
      <w:pPr>
        <w:rPr>
          <w:noProof/>
        </w:rPr>
      </w:pPr>
      <w:r>
        <w:t xml:space="preserve">Organizations </w:t>
      </w:r>
      <w:r w:rsidRPr="00332C78">
        <w:t xml:space="preserve">which wish to receive Color test kits will need to </w:t>
      </w:r>
      <w:r w:rsidRPr="00164701">
        <w:rPr>
          <w:b/>
          <w:bCs/>
        </w:rPr>
        <w:t>enroll directly with Color</w:t>
      </w:r>
      <w:r w:rsidRPr="00332C78">
        <w:t xml:space="preserve"> through the Color EOHHS enrollment form. </w:t>
      </w:r>
      <w:r w:rsidR="00B70305" w:rsidRPr="00332C78">
        <w:t>Like</w:t>
      </w:r>
      <w:r w:rsidRPr="00332C78">
        <w:t xml:space="preserve"> the </w:t>
      </w:r>
      <w:r w:rsidR="00B46844">
        <w:t xml:space="preserve">previous </w:t>
      </w:r>
      <w:r w:rsidRPr="00332C78">
        <w:t>surveillance testing program, each organization should establish a central</w:t>
      </w:r>
      <w:r>
        <w:t xml:space="preserve"> point of contact to manage the exchange of information between the organization and Color, and each organization should only enroll once with Color.</w:t>
      </w:r>
      <w:r w:rsidRPr="00332C78">
        <w:rPr>
          <w:noProof/>
        </w:rPr>
        <w:t xml:space="preserve"> </w:t>
      </w:r>
    </w:p>
    <w:p w14:paraId="22CD3869" w14:textId="77777777" w:rsidR="00F02F83" w:rsidRDefault="00F02F83" w:rsidP="00F02F83"/>
    <w:p w14:paraId="5F2D4D35" w14:textId="1451D7B7" w:rsidR="00F02F83" w:rsidRDefault="00F02F83" w:rsidP="00F02F83">
      <w:r>
        <w:lastRenderedPageBreak/>
        <w:t>For more information, and to enroll with Color, please click on the following links:</w:t>
      </w:r>
    </w:p>
    <w:p w14:paraId="60EF2D55" w14:textId="35D1829A" w:rsidR="00F02F83" w:rsidRDefault="00BE62DF" w:rsidP="00F02F83">
      <w:pPr>
        <w:pStyle w:val="ListParagraph"/>
        <w:numPr>
          <w:ilvl w:val="0"/>
          <w:numId w:val="25"/>
        </w:numPr>
      </w:pPr>
      <w:hyperlink r:id="rId13" w:history="1">
        <w:r w:rsidR="00F02F83" w:rsidRPr="00F02F83">
          <w:rPr>
            <w:rStyle w:val="Hyperlink"/>
          </w:rPr>
          <w:t>Color / EOHHS Information Website</w:t>
        </w:r>
      </w:hyperlink>
    </w:p>
    <w:p w14:paraId="4A2C256E" w14:textId="0E6118B6" w:rsidR="00F02F83" w:rsidRDefault="00BE62DF" w:rsidP="00F02F83">
      <w:pPr>
        <w:pStyle w:val="ListParagraph"/>
        <w:numPr>
          <w:ilvl w:val="0"/>
          <w:numId w:val="25"/>
        </w:numPr>
      </w:pPr>
      <w:hyperlink r:id="rId14" w:history="1">
        <w:r w:rsidR="00F02F83" w:rsidRPr="00F02F83">
          <w:rPr>
            <w:rStyle w:val="Hyperlink"/>
          </w:rPr>
          <w:t xml:space="preserve">Color / EOHHS </w:t>
        </w:r>
        <w:r w:rsidR="00F02F83">
          <w:rPr>
            <w:rStyle w:val="Hyperlink"/>
          </w:rPr>
          <w:t>E</w:t>
        </w:r>
        <w:r w:rsidR="00F02F83" w:rsidRPr="00F02F83">
          <w:rPr>
            <w:rStyle w:val="Hyperlink"/>
          </w:rPr>
          <w:t xml:space="preserve">nrollment </w:t>
        </w:r>
        <w:r w:rsidR="00F02F83">
          <w:rPr>
            <w:rStyle w:val="Hyperlink"/>
          </w:rPr>
          <w:t>P</w:t>
        </w:r>
        <w:r w:rsidR="00F02F83" w:rsidRPr="00F02F83">
          <w:rPr>
            <w:rStyle w:val="Hyperlink"/>
          </w:rPr>
          <w:t>ortal</w:t>
        </w:r>
      </w:hyperlink>
      <w:r w:rsidR="00F02F83">
        <w:t xml:space="preserve"> </w:t>
      </w:r>
      <w:r w:rsidR="00F02F83" w:rsidRPr="00F02F83">
        <w:rPr>
          <w:i/>
          <w:iCs/>
          <w:color w:val="FF0000"/>
        </w:rPr>
        <w:t>(Note: Please read the “Helpful Hints” tab prior to completing the site-level template. If your organization has already completed the enrollment template, please download a new template and copy + paste in the information into the latest version)</w:t>
      </w:r>
    </w:p>
    <w:p w14:paraId="39469709" w14:textId="65DB353A" w:rsidR="00F02F83" w:rsidRDefault="00F02F83" w:rsidP="00F02F83">
      <w:r>
        <w:t xml:space="preserve">Color and EOHHS </w:t>
      </w:r>
      <w:r w:rsidR="00B46844">
        <w:t xml:space="preserve">hosted </w:t>
      </w:r>
      <w:r>
        <w:t>a webinar on Tuesday, December 29</w:t>
      </w:r>
      <w:r w:rsidRPr="00F02F83">
        <w:rPr>
          <w:vertAlign w:val="superscript"/>
        </w:rPr>
        <w:t>th</w:t>
      </w:r>
      <w:r>
        <w:t xml:space="preserve"> with additional information about the Color testing option and additional reminders for enrolling correctly. This webinar will be </w:t>
      </w:r>
      <w:r w:rsidR="00B46844">
        <w:t xml:space="preserve">posted to the Color / EOHHS Information website, but can also temporarily be found at </w:t>
      </w:r>
      <w:hyperlink r:id="rId15" w:history="1">
        <w:r w:rsidR="00B46844" w:rsidRPr="00B46844">
          <w:rPr>
            <w:rStyle w:val="Hyperlink"/>
          </w:rPr>
          <w:t>this link</w:t>
        </w:r>
      </w:hyperlink>
      <w:r>
        <w:t xml:space="preserve">. </w:t>
      </w:r>
    </w:p>
    <w:p w14:paraId="452827D9" w14:textId="2C980610" w:rsidR="003859C1" w:rsidRPr="00164701" w:rsidRDefault="003859C1" w:rsidP="003859C1">
      <w:pPr>
        <w:pStyle w:val="Heading2"/>
        <w:rPr>
          <w:u w:val="single"/>
        </w:rPr>
      </w:pPr>
      <w:r w:rsidRPr="00164701">
        <w:rPr>
          <w:u w:val="single"/>
        </w:rPr>
        <w:t>Option #2: Abbott BinaxNOW Rapid Testing</w:t>
      </w:r>
    </w:p>
    <w:p w14:paraId="308D7777" w14:textId="77777777" w:rsidR="003859C1" w:rsidRDefault="003859C1" w:rsidP="003859C1">
      <w:r w:rsidRPr="004B0F73">
        <w:t xml:space="preserve">The U.S. Department of Health and Human Services (HHS) and the U.S. Department of Defense (DOD) recently announced an initiative to deliver 150 million Abbott BinaxNOW COVID-19 Ag Card Point of Care (POC) SARS-CoV-2 rapid diagnostic tests </w:t>
      </w:r>
      <w:r>
        <w:t xml:space="preserve">(“BinaxNOW tests”) to </w:t>
      </w:r>
      <w:r w:rsidRPr="004B0F73">
        <w:t>strategic environments</w:t>
      </w:r>
      <w:r>
        <w:t xml:space="preserve"> across the United States</w:t>
      </w:r>
      <w:r w:rsidRPr="004B0F73">
        <w:t>. Massachusetts has been advised that it will receive approximately 2 million tests for use in priority settings.</w:t>
      </w:r>
    </w:p>
    <w:p w14:paraId="3E2CDC95" w14:textId="2A9757D6" w:rsidR="003859C1" w:rsidRDefault="003859C1" w:rsidP="003859C1">
      <w:r>
        <w:t xml:space="preserve">BinaxNOW tests are rapid antigen tests which produce results in 15 minutes, and which can be administered by any trained staff member. </w:t>
      </w:r>
      <w:bookmarkStart w:id="7" w:name="_Hlk58235707"/>
      <w:r>
        <w:t xml:space="preserve">More details can be found on the </w:t>
      </w:r>
      <w:hyperlink r:id="rId16" w:history="1">
        <w:r w:rsidRPr="00F039CB">
          <w:rPr>
            <w:rStyle w:val="Hyperlink"/>
          </w:rPr>
          <w:t>Abbott BinaxNOW we</w:t>
        </w:r>
        <w:r>
          <w:rPr>
            <w:rStyle w:val="Hyperlink"/>
          </w:rPr>
          <w:t>b</w:t>
        </w:r>
        <w:r w:rsidRPr="00F039CB">
          <w:rPr>
            <w:rStyle w:val="Hyperlink"/>
          </w:rPr>
          <w:t>page</w:t>
        </w:r>
      </w:hyperlink>
      <w:r>
        <w:t xml:space="preserve"> and in the </w:t>
      </w:r>
      <w:hyperlink r:id="rId17" w:history="1">
        <w:r w:rsidRPr="00F039CB">
          <w:rPr>
            <w:rStyle w:val="Hyperlink"/>
          </w:rPr>
          <w:t>product documentation</w:t>
        </w:r>
      </w:hyperlink>
      <w:bookmarkEnd w:id="7"/>
      <w:r w:rsidR="0087003F">
        <w:rPr>
          <w:rStyle w:val="Hyperlink"/>
        </w:rPr>
        <w:t>.</w:t>
      </w:r>
    </w:p>
    <w:p w14:paraId="5A171D7D" w14:textId="77777777" w:rsidR="003859C1" w:rsidRDefault="003859C1" w:rsidP="003859C1">
      <w:r>
        <w:t>EOHHS has determined that BinaxNOW tests may be made available for use in Covered Programs for surveillance testing. Organizations should</w:t>
      </w:r>
      <w:r w:rsidRPr="00FD0204">
        <w:rPr>
          <w:rFonts w:cstheme="minorHAnsi"/>
        </w:rPr>
        <w:t xml:space="preserve"> note </w:t>
      </w:r>
      <w:r w:rsidRPr="00164701">
        <w:rPr>
          <w:rFonts w:cstheme="minorHAnsi"/>
        </w:rPr>
        <w:t>antigen tests for SARS-CoV-2 are generally less sensitive than viral tests that detect nucleic acid using reverse transcription polymerase chain reaction (RT-PCR)</w:t>
      </w:r>
      <w:r w:rsidRPr="00164701">
        <w:rPr>
          <w:rFonts w:cstheme="minorHAnsi"/>
          <w:vertAlign w:val="superscript"/>
        </w:rPr>
        <w:t>1</w:t>
      </w:r>
      <w:r>
        <w:t xml:space="preserve"> or r</w:t>
      </w:r>
      <w:r w:rsidRPr="00BE2887">
        <w:t>everse transcription loop-mediated isothermal amplification (RT-LAMP)</w:t>
      </w:r>
      <w:r>
        <w:t xml:space="preserve"> (“molecular tests”), and organizations should carefully consider the risks and benefits of </w:t>
      </w:r>
      <w:bookmarkStart w:id="8" w:name="_Hlk58230708"/>
      <w:r>
        <w:t>using this test for surveillance testing when compared to a molecular test, such as those offered by Color.</w:t>
      </w:r>
      <w:bookmarkEnd w:id="8"/>
      <w:r>
        <w:t xml:space="preserve"> </w:t>
      </w:r>
      <w:bookmarkStart w:id="9" w:name="_Hlk58230304"/>
      <w:r>
        <w:t>DPH has published data on the performance of these tests in symptomatic and asymptomatic populations (</w:t>
      </w:r>
      <w:hyperlink r:id="rId18" w:history="1">
        <w:r w:rsidRPr="000642E6">
          <w:rPr>
            <w:rStyle w:val="Hyperlink"/>
          </w:rPr>
          <w:t>link</w:t>
        </w:r>
      </w:hyperlink>
      <w:r>
        <w:t>).</w:t>
      </w:r>
      <w:bookmarkEnd w:id="9"/>
      <w:r>
        <w:t xml:space="preserve"> The FDA has indicated that, in certain situations, these tests may be appropriate for surveillance testing.</w:t>
      </w:r>
      <w:r>
        <w:rPr>
          <w:rStyle w:val="FootnoteReference"/>
        </w:rPr>
        <w:footnoteReference w:id="1"/>
      </w:r>
    </w:p>
    <w:p w14:paraId="43D32AB0" w14:textId="77777777" w:rsidR="003859C1" w:rsidRDefault="003859C1" w:rsidP="003859C1">
      <w:r>
        <w:t>Organizations which 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Pr="002C66ED">
        <w:t xml:space="preserve"> </w:t>
      </w:r>
      <w:r>
        <w:t>Note that this program is subject to the availability of BinaxNOW tests for the state of Massachusetts. Any supply limitations which would jeopardize the availability of BinaxNOW tests for congregate care will be communicated promptly.</w:t>
      </w:r>
    </w:p>
    <w:p w14:paraId="17197975" w14:textId="77777777" w:rsidR="003859C1" w:rsidRDefault="003859C1" w:rsidP="003859C1">
      <w:r>
        <w:t xml:space="preserve">In order to receive BinaxNOW tests for surveillance testing, organizations must </w:t>
      </w:r>
      <w:r w:rsidRPr="008C56F4">
        <w:t xml:space="preserve">complete all </w:t>
      </w:r>
      <w:r>
        <w:t>five</w:t>
      </w:r>
      <w:r w:rsidRPr="008C56F4">
        <w:t xml:space="preserve"> of the following requirements </w:t>
      </w:r>
      <w:r>
        <w:t xml:space="preserve">and </w:t>
      </w:r>
      <w:r w:rsidRPr="008C56F4">
        <w:t xml:space="preserve">receive approval from </w:t>
      </w:r>
      <w:r>
        <w:t xml:space="preserve">EOHHS </w:t>
      </w:r>
      <w:r w:rsidRPr="008C56F4">
        <w:t>for distribution of Abbott BinaxNOW test kits</w:t>
      </w:r>
      <w:r>
        <w:t>:</w:t>
      </w:r>
    </w:p>
    <w:p w14:paraId="475536F9"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t>Obtain an approved CLIA certificate of waiver</w:t>
      </w:r>
    </w:p>
    <w:p w14:paraId="2B2AD483"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t>Secure a signed physician order for testing</w:t>
      </w:r>
    </w:p>
    <w:p w14:paraId="25276834" w14:textId="77777777" w:rsidR="003859C1" w:rsidRPr="009B21B1" w:rsidRDefault="003859C1" w:rsidP="003859C1">
      <w:pPr>
        <w:numPr>
          <w:ilvl w:val="0"/>
          <w:numId w:val="21"/>
        </w:numPr>
        <w:shd w:val="clear" w:color="auto" w:fill="FFFFFF"/>
        <w:rPr>
          <w:color w:val="000000"/>
          <w:szCs w:val="24"/>
        </w:rPr>
      </w:pPr>
      <w:r w:rsidRPr="009B21B1">
        <w:rPr>
          <w:color w:val="000000"/>
          <w:szCs w:val="24"/>
        </w:rPr>
        <w:t>Confirm ability to maintain an adequate supply of PPE</w:t>
      </w:r>
    </w:p>
    <w:p w14:paraId="73D558B9"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lastRenderedPageBreak/>
        <w:t>Ensure all testing staff meet training requirements</w:t>
      </w:r>
    </w:p>
    <w:p w14:paraId="5AB99622" w14:textId="77777777" w:rsidR="003859C1" w:rsidRPr="0011121B" w:rsidRDefault="003859C1" w:rsidP="003859C1">
      <w:pPr>
        <w:numPr>
          <w:ilvl w:val="0"/>
          <w:numId w:val="21"/>
        </w:numPr>
        <w:shd w:val="clear" w:color="auto" w:fill="FFFFFF"/>
        <w:snapToGrid w:val="0"/>
        <w:spacing w:line="256" w:lineRule="auto"/>
        <w:rPr>
          <w:color w:val="000000"/>
          <w:szCs w:val="24"/>
        </w:rPr>
      </w:pPr>
      <w:bookmarkStart w:id="10" w:name="_Hlk58413941"/>
      <w:r w:rsidRPr="0011121B">
        <w:rPr>
          <w:color w:val="000000"/>
          <w:szCs w:val="24"/>
        </w:rPr>
        <w:t>Certify that the organization will comply with all DPH reporting requirements</w:t>
      </w:r>
    </w:p>
    <w:bookmarkEnd w:id="10"/>
    <w:p w14:paraId="1CC189F8" w14:textId="15291400" w:rsidR="003859C1" w:rsidRDefault="003859C1" w:rsidP="003859C1">
      <w:r>
        <w:t xml:space="preserve">For detailed information, and for information on how to enroll to receive BinaxNOW tests, organizations should review </w:t>
      </w:r>
      <w:r w:rsidR="0087003F">
        <w:t>the document</w:t>
      </w:r>
      <w:hyperlink r:id="rId19" w:history="1">
        <w:r w:rsidR="0087003F" w:rsidRPr="008A208C">
          <w:rPr>
            <w:rStyle w:val="Hyperlink"/>
          </w:rPr>
          <w:t xml:space="preserve"> </w:t>
        </w:r>
        <w:r w:rsidRPr="008A208C">
          <w:rPr>
            <w:rStyle w:val="Hyperlink"/>
          </w:rPr>
          <w:t>Abbott BinaxNOW Rapid Point Care COVID-19 Testing for Congregate Care</w:t>
        </w:r>
      </w:hyperlink>
      <w:r>
        <w:t xml:space="preserve">. Linked in this document is an </w:t>
      </w:r>
      <w:r w:rsidRPr="00164701">
        <w:rPr>
          <w:b/>
          <w:bCs/>
        </w:rPr>
        <w:t xml:space="preserve">online attestation form </w:t>
      </w:r>
      <w:r>
        <w:t xml:space="preserve">which must be submitted to EOHHS in order to receive approval for requesting BinaxNOW tests. </w:t>
      </w:r>
      <w:bookmarkEnd w:id="6"/>
    </w:p>
    <w:p w14:paraId="47D6ACFC" w14:textId="277D20C1" w:rsidR="003859C1" w:rsidRPr="00E367AE" w:rsidRDefault="003859C1" w:rsidP="003859C1">
      <w:pPr>
        <w:pStyle w:val="Heading1"/>
        <w:rPr>
          <w:b/>
          <w:bCs/>
        </w:rPr>
      </w:pPr>
      <w:r>
        <w:rPr>
          <w:b/>
          <w:bCs/>
        </w:rPr>
        <w:t>Section III: Reimbursement Extension</w:t>
      </w:r>
    </w:p>
    <w:p w14:paraId="11B71ABD" w14:textId="77777777" w:rsidR="003859C1" w:rsidRDefault="003859C1" w:rsidP="003859C1">
      <w:pPr>
        <w:rPr>
          <w:rFonts w:cstheme="minorHAnsi"/>
        </w:rPr>
      </w:pPr>
      <w:r>
        <w:rPr>
          <w:rFonts w:cstheme="minorHAnsi"/>
        </w:rPr>
        <w:t>In order to ensure continuity in the ability of Covered Programs to perform surveillance testing of staff, EOHHS will allow for a limited, conditional extension through January 20</w:t>
      </w:r>
      <w:r w:rsidRPr="00164701">
        <w:rPr>
          <w:rFonts w:cstheme="minorHAnsi"/>
          <w:vertAlign w:val="superscript"/>
        </w:rPr>
        <w:t>th</w:t>
      </w:r>
      <w:r>
        <w:rPr>
          <w:rFonts w:cstheme="minorHAnsi"/>
        </w:rPr>
        <w:t xml:space="preserve">, 2021 of the reimbursement contracts established in previous guidance. </w:t>
      </w:r>
    </w:p>
    <w:p w14:paraId="38897A4F" w14:textId="77777777" w:rsidR="003859C1" w:rsidRDefault="003859C1" w:rsidP="003859C1">
      <w:pPr>
        <w:rPr>
          <w:rFonts w:cstheme="minorHAnsi"/>
        </w:rPr>
      </w:pPr>
      <w:r>
        <w:rPr>
          <w:rFonts w:cstheme="minorHAnsi"/>
        </w:rPr>
        <w:t xml:space="preserve">In order to be eligible for the limited extension of the reimbursement contracts organizations </w:t>
      </w:r>
      <w:r w:rsidRPr="00C85BD7">
        <w:rPr>
          <w:rFonts w:cstheme="minorHAnsi"/>
          <w:b/>
          <w:bCs/>
        </w:rPr>
        <w:t xml:space="preserve">must enroll in one of the two testing access options </w:t>
      </w:r>
      <w:r>
        <w:rPr>
          <w:rFonts w:cstheme="minorHAnsi"/>
          <w:b/>
          <w:bCs/>
        </w:rPr>
        <w:t xml:space="preserve">described in Section III </w:t>
      </w:r>
      <w:r w:rsidRPr="00C85BD7">
        <w:rPr>
          <w:rFonts w:cstheme="minorHAnsi"/>
          <w:b/>
          <w:bCs/>
        </w:rPr>
        <w:t>by January 6</w:t>
      </w:r>
      <w:r w:rsidRPr="00C85BD7">
        <w:rPr>
          <w:rFonts w:cstheme="minorHAnsi"/>
          <w:b/>
          <w:bCs/>
          <w:vertAlign w:val="superscript"/>
        </w:rPr>
        <w:t>th</w:t>
      </w:r>
      <w:r w:rsidRPr="00C85BD7">
        <w:rPr>
          <w:rFonts w:cstheme="minorHAnsi"/>
          <w:b/>
          <w:bCs/>
        </w:rPr>
        <w:t>, 2021.</w:t>
      </w:r>
      <w:r>
        <w:rPr>
          <w:rFonts w:cstheme="minorHAnsi"/>
        </w:rPr>
        <w:t xml:space="preserve"> Organizations which do not enroll in either option will not be eligible for contract extensions.</w:t>
      </w:r>
    </w:p>
    <w:p w14:paraId="0D2604A4" w14:textId="77777777" w:rsidR="003859C1" w:rsidRDefault="003859C1" w:rsidP="003859C1">
      <w:pPr>
        <w:rPr>
          <w:rFonts w:cstheme="minorHAnsi"/>
        </w:rPr>
      </w:pPr>
      <w:r>
        <w:rPr>
          <w:rFonts w:cstheme="minorHAnsi"/>
        </w:rPr>
        <w:t xml:space="preserve">Contracts will be eligible for extension </w:t>
      </w:r>
      <w:r w:rsidRPr="00C85BD7">
        <w:rPr>
          <w:rFonts w:cstheme="minorHAnsi"/>
        </w:rPr>
        <w:t xml:space="preserve">until </w:t>
      </w:r>
      <w:r w:rsidRPr="00164701">
        <w:rPr>
          <w:rFonts w:cstheme="minorHAnsi"/>
          <w:b/>
          <w:bCs/>
        </w:rPr>
        <w:t>January 20</w:t>
      </w:r>
      <w:r w:rsidRPr="00164701">
        <w:rPr>
          <w:rFonts w:cstheme="minorHAnsi"/>
          <w:b/>
          <w:bCs/>
          <w:vertAlign w:val="superscript"/>
        </w:rPr>
        <w:t>th</w:t>
      </w:r>
      <w:r w:rsidRPr="00164701">
        <w:rPr>
          <w:rFonts w:cstheme="minorHAnsi"/>
          <w:b/>
          <w:bCs/>
        </w:rPr>
        <w:t>, 2021 or until the provider has received Color or BinaxNOW test kits.</w:t>
      </w:r>
      <w:r>
        <w:rPr>
          <w:rFonts w:cstheme="minorHAnsi"/>
        </w:rPr>
        <w:t xml:space="preserve"> No reimbursement under the previous contract will be provided for testing conducted by an organization for tests administered after January 20</w:t>
      </w:r>
      <w:r w:rsidRPr="00C85BD7">
        <w:rPr>
          <w:rFonts w:cstheme="minorHAnsi"/>
          <w:vertAlign w:val="superscript"/>
        </w:rPr>
        <w:t>th</w:t>
      </w:r>
      <w:r>
        <w:rPr>
          <w:rFonts w:cstheme="minorHAnsi"/>
        </w:rPr>
        <w:t xml:space="preserve">, 2021. </w:t>
      </w:r>
    </w:p>
    <w:p w14:paraId="05ABBBAD" w14:textId="77777777" w:rsidR="009C56D1" w:rsidRDefault="003859C1" w:rsidP="003859C1">
      <w:pPr>
        <w:rPr>
          <w:rFonts w:cstheme="minorHAnsi"/>
        </w:rPr>
      </w:pPr>
      <w:r>
        <w:rPr>
          <w:rFonts w:cstheme="minorHAnsi"/>
        </w:rPr>
        <w:t xml:space="preserve">Organizations which enroll in one of the two access options should continue reporting testing results via the </w:t>
      </w:r>
      <w:hyperlink r:id="rId20" w:history="1">
        <w:r w:rsidRPr="00A848EB">
          <w:rPr>
            <w:rStyle w:val="Hyperlink"/>
            <w:rFonts w:cstheme="minorHAnsi"/>
          </w:rPr>
          <w:t>ONLINE SURVEY</w:t>
        </w:r>
      </w:hyperlink>
      <w:r>
        <w:rPr>
          <w:rFonts w:cstheme="minorHAnsi"/>
        </w:rPr>
        <w:t xml:space="preserve"> for tests conducted until January 20</w:t>
      </w:r>
      <w:r w:rsidRPr="00164701">
        <w:rPr>
          <w:rFonts w:cstheme="minorHAnsi"/>
          <w:vertAlign w:val="superscript"/>
        </w:rPr>
        <w:t>th</w:t>
      </w:r>
      <w:r>
        <w:rPr>
          <w:rFonts w:cstheme="minorHAnsi"/>
        </w:rPr>
        <w:t>, 2021. Reporting via the online survey is no longer required after the reimbursement period has ended.</w:t>
      </w:r>
    </w:p>
    <w:p w14:paraId="068CB630" w14:textId="22ED3D64" w:rsidR="003859C1" w:rsidRDefault="0087003F" w:rsidP="003859C1">
      <w:pPr>
        <w:rPr>
          <w:rFonts w:cstheme="minorHAnsi"/>
        </w:rPr>
      </w:pPr>
      <w:r>
        <w:rPr>
          <w:rFonts w:cstheme="minorHAnsi"/>
        </w:rPr>
        <w:t>Organizations submitting the survey for tests administered after December 31</w:t>
      </w:r>
      <w:r w:rsidRPr="0087003F">
        <w:rPr>
          <w:rFonts w:cstheme="minorHAnsi"/>
          <w:vertAlign w:val="superscript"/>
        </w:rPr>
        <w:t>st</w:t>
      </w:r>
      <w:r>
        <w:rPr>
          <w:rFonts w:cstheme="minorHAnsi"/>
        </w:rPr>
        <w:t xml:space="preserve">, 2020 </w:t>
      </w:r>
      <w:r w:rsidR="00F02F83">
        <w:rPr>
          <w:rFonts w:cstheme="minorHAnsi"/>
        </w:rPr>
        <w:t xml:space="preserve">must </w:t>
      </w:r>
      <w:r>
        <w:rPr>
          <w:rFonts w:cstheme="minorHAnsi"/>
        </w:rPr>
        <w:t xml:space="preserve">complete </w:t>
      </w:r>
      <w:r w:rsidR="00F02F83">
        <w:rPr>
          <w:rFonts w:cstheme="minorHAnsi"/>
        </w:rPr>
        <w:t xml:space="preserve">the </w:t>
      </w:r>
      <w:r w:rsidRPr="009C56D1">
        <w:rPr>
          <w:rFonts w:cstheme="minorHAnsi"/>
          <w:b/>
          <w:bCs/>
        </w:rPr>
        <w:t>contract amendment</w:t>
      </w:r>
      <w:r>
        <w:rPr>
          <w:rFonts w:cstheme="minorHAnsi"/>
        </w:rPr>
        <w:t xml:space="preserve">, which </w:t>
      </w:r>
      <w:r w:rsidR="00F02F83">
        <w:rPr>
          <w:rFonts w:cstheme="minorHAnsi"/>
        </w:rPr>
        <w:t>consists of the following two documents</w:t>
      </w:r>
      <w:r w:rsidR="00B34989">
        <w:rPr>
          <w:rFonts w:cstheme="minorHAnsi"/>
        </w:rPr>
        <w:t xml:space="preserve">. These documents should be emailed to </w:t>
      </w:r>
      <w:hyperlink r:id="rId21" w:history="1">
        <w:r w:rsidR="00B34989" w:rsidRPr="00F5149E">
          <w:rPr>
            <w:rStyle w:val="Hyperlink"/>
            <w:rFonts w:cstheme="minorHAnsi"/>
          </w:rPr>
          <w:t>EOHHSTestingContracts@mass.gov</w:t>
        </w:r>
      </w:hyperlink>
      <w:r w:rsidR="00B34989">
        <w:rPr>
          <w:rFonts w:cstheme="minorHAnsi"/>
        </w:rPr>
        <w:t xml:space="preserve"> once complete:</w:t>
      </w:r>
    </w:p>
    <w:p w14:paraId="209A630A" w14:textId="77777777" w:rsidR="008C07BA" w:rsidRPr="008C07BA" w:rsidRDefault="008C07BA" w:rsidP="008C07BA">
      <w:pPr>
        <w:pStyle w:val="ListParagraph"/>
        <w:numPr>
          <w:ilvl w:val="0"/>
          <w:numId w:val="25"/>
        </w:numPr>
        <w:rPr>
          <w:rFonts w:cstheme="minorHAnsi"/>
          <w:u w:val="single"/>
        </w:rPr>
      </w:pPr>
      <w:r w:rsidRPr="008C07BA">
        <w:rPr>
          <w:rFonts w:cstheme="minorHAnsi"/>
          <w:u w:val="single"/>
        </w:rPr>
        <w:t>EOHHS Surveillance Testing Contract Amendment:</w:t>
      </w:r>
    </w:p>
    <w:bookmarkStart w:id="11" w:name="_MON_1670325365"/>
    <w:bookmarkEnd w:id="11"/>
    <w:p w14:paraId="4D42A44E" w14:textId="3476F3DB" w:rsidR="00F02F83" w:rsidRDefault="008C07BA" w:rsidP="008C07BA">
      <w:pPr>
        <w:pStyle w:val="ListParagraph"/>
        <w:numPr>
          <w:ilvl w:val="1"/>
          <w:numId w:val="25"/>
        </w:numPr>
        <w:rPr>
          <w:rFonts w:cstheme="minorHAnsi"/>
        </w:rPr>
      </w:pPr>
      <w:r>
        <w:object w:dxaOrig="1520" w:dyaOrig="987" w14:anchorId="34F05772">
          <v:shape id="_x0000_i1026" type="#_x0000_t75" style="width:76.2pt;height:48.6pt" o:ole="">
            <v:imagedata r:id="rId22" o:title=""/>
          </v:shape>
          <o:OLEObject Type="Embed" ProgID="Word.Document.12" ShapeID="_x0000_i1026" DrawAspect="Icon" ObjectID="_1670920436" r:id="rId23">
            <o:FieldCodes>\s</o:FieldCodes>
          </o:OLEObject>
        </w:object>
      </w:r>
    </w:p>
    <w:p w14:paraId="5275F984" w14:textId="77777777" w:rsidR="008C07BA" w:rsidRDefault="008C07BA" w:rsidP="008C07BA">
      <w:pPr>
        <w:pStyle w:val="ListParagraph"/>
        <w:ind w:left="1440"/>
        <w:rPr>
          <w:rFonts w:cstheme="minorHAnsi"/>
        </w:rPr>
      </w:pPr>
    </w:p>
    <w:p w14:paraId="7A463415" w14:textId="77777777" w:rsidR="008C07BA" w:rsidRPr="008C07BA" w:rsidRDefault="008C07BA" w:rsidP="008C07BA">
      <w:pPr>
        <w:pStyle w:val="ListParagraph"/>
        <w:numPr>
          <w:ilvl w:val="0"/>
          <w:numId w:val="25"/>
        </w:numPr>
        <w:rPr>
          <w:rFonts w:cstheme="minorHAnsi"/>
          <w:u w:val="single"/>
        </w:rPr>
      </w:pPr>
      <w:r w:rsidRPr="008C07BA">
        <w:rPr>
          <w:rFonts w:cstheme="minorHAnsi"/>
          <w:u w:val="single"/>
        </w:rPr>
        <w:t>Amended Standard Contract Form</w:t>
      </w:r>
    </w:p>
    <w:bookmarkStart w:id="12" w:name="_MON_1670325385"/>
    <w:bookmarkEnd w:id="12"/>
    <w:p w14:paraId="5F8307E7" w14:textId="39336B88" w:rsidR="008C07BA" w:rsidRDefault="008C07BA" w:rsidP="008C07BA">
      <w:pPr>
        <w:pStyle w:val="ListParagraph"/>
        <w:numPr>
          <w:ilvl w:val="1"/>
          <w:numId w:val="25"/>
        </w:numPr>
        <w:rPr>
          <w:rFonts w:cstheme="minorHAnsi"/>
        </w:rPr>
      </w:pPr>
      <w:r>
        <w:object w:dxaOrig="1520" w:dyaOrig="987" w14:anchorId="681B9989">
          <v:shape id="_x0000_i1027" type="#_x0000_t75" style="width:76.2pt;height:48.6pt" o:ole="">
            <v:imagedata r:id="rId24" o:title=""/>
          </v:shape>
          <o:OLEObject Type="Embed" ProgID="Word.Document.12" ShapeID="_x0000_i1027" DrawAspect="Icon" ObjectID="_1670920437" r:id="rId25">
            <o:FieldCodes>\s</o:FieldCodes>
          </o:OLEObject>
        </w:object>
      </w:r>
    </w:p>
    <w:p w14:paraId="04B1045F" w14:textId="77777777" w:rsidR="008C07BA" w:rsidRPr="008C07BA" w:rsidRDefault="008C07BA" w:rsidP="008C07BA">
      <w:pPr>
        <w:pStyle w:val="ListParagraph"/>
        <w:rPr>
          <w:rFonts w:cstheme="minorHAnsi"/>
        </w:rPr>
      </w:pPr>
    </w:p>
    <w:p w14:paraId="18D97646" w14:textId="25AC8B7D" w:rsidR="00E367AE" w:rsidRPr="00164701" w:rsidRDefault="00EE4F70" w:rsidP="00DB082C">
      <w:pPr>
        <w:pStyle w:val="Heading1"/>
        <w:rPr>
          <w:b/>
          <w:bCs/>
        </w:rPr>
      </w:pPr>
      <w:r w:rsidRPr="00164701">
        <w:rPr>
          <w:b/>
          <w:bCs/>
        </w:rPr>
        <w:t>Section I</w:t>
      </w:r>
      <w:r w:rsidR="003859C1">
        <w:rPr>
          <w:b/>
          <w:bCs/>
        </w:rPr>
        <w:t>V</w:t>
      </w:r>
      <w:r w:rsidRPr="00164701">
        <w:rPr>
          <w:b/>
          <w:bCs/>
        </w:rPr>
        <w:t xml:space="preserve">: </w:t>
      </w:r>
      <w:r w:rsidR="00E367AE" w:rsidRPr="00164701">
        <w:rPr>
          <w:b/>
          <w:bCs/>
        </w:rPr>
        <w:t xml:space="preserve">Surveillance Testing </w:t>
      </w:r>
      <w:bookmarkEnd w:id="5"/>
      <w:r w:rsidR="00CF5B48">
        <w:rPr>
          <w:b/>
          <w:bCs/>
        </w:rPr>
        <w:t>Protocol</w:t>
      </w:r>
    </w:p>
    <w:p w14:paraId="699B0BE8" w14:textId="36784FA5" w:rsidR="00E367AE" w:rsidRDefault="00E367AE" w:rsidP="00E367AE">
      <w:pPr>
        <w:pStyle w:val="Heading2"/>
      </w:pPr>
      <w:bookmarkStart w:id="13" w:name="_Toc47025145"/>
      <w:r>
        <w:t xml:space="preserve">Identification of </w:t>
      </w:r>
      <w:bookmarkEnd w:id="13"/>
      <w:r w:rsidR="002111A4">
        <w:t>County</w:t>
      </w:r>
      <w:r w:rsidR="00943F90">
        <w:t xml:space="preserve"> Positivity Rate</w:t>
      </w:r>
    </w:p>
    <w:p w14:paraId="07190322" w14:textId="0F3F2537" w:rsidR="00711455" w:rsidRDefault="00E367AE" w:rsidP="00A95C2B">
      <w:r>
        <w:t>EOHHS</w:t>
      </w:r>
      <w:r w:rsidR="00785DE9">
        <w:t>’s</w:t>
      </w:r>
      <w:r>
        <w:t xml:space="preserve"> </w:t>
      </w:r>
      <w:r w:rsidR="00A95C2B">
        <w:t xml:space="preserve">congregate care surveillance testing guidance </w:t>
      </w:r>
      <w:r w:rsidR="00785DE9">
        <w:t>recommends using a</w:t>
      </w:r>
      <w:r>
        <w:t xml:space="preserve"> </w:t>
      </w:r>
      <w:r w:rsidR="002111A4" w:rsidRPr="00A0613C">
        <w:rPr>
          <w:b/>
          <w:bCs/>
        </w:rPr>
        <w:t xml:space="preserve">county </w:t>
      </w:r>
      <w:r w:rsidR="00943F90" w:rsidRPr="00A0613C">
        <w:rPr>
          <w:b/>
          <w:bCs/>
        </w:rPr>
        <w:t xml:space="preserve">positivity rate </w:t>
      </w:r>
      <w:r w:rsidRPr="00A0613C">
        <w:rPr>
          <w:b/>
          <w:bCs/>
        </w:rPr>
        <w:t>threshold</w:t>
      </w:r>
      <w:r>
        <w:t xml:space="preserve">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lastRenderedPageBreak/>
        <w:t>Low-Positivity Counties</w:t>
      </w:r>
      <w:r w:rsidRPr="00D447D3">
        <w:rPr>
          <w:rFonts w:cstheme="minorHAnsi"/>
          <w:bCs/>
        </w:rPr>
        <w:t xml:space="preserve"> are those in which the percent positivity over the last 14 days has been below 5%, as reported by the Department of Public Health</w:t>
      </w:r>
    </w:p>
    <w:p w14:paraId="5569E9E4" w14:textId="6F09F129"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8F678B">
        <w:rPr>
          <w:rFonts w:cstheme="minorHAnsi"/>
          <w:bCs/>
        </w:rPr>
        <w:t>above</w:t>
      </w:r>
      <w:r w:rsidRPr="00D447D3">
        <w:rPr>
          <w:rFonts w:cstheme="minorHAnsi"/>
          <w:bCs/>
        </w:rPr>
        <w:t xml:space="preserve"> 5%, as reported by the Department of Public Health</w:t>
      </w:r>
    </w:p>
    <w:p w14:paraId="0D95E5EA" w14:textId="04836349" w:rsidR="00ED0038" w:rsidRDefault="007343C1" w:rsidP="00A95C2B">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luded in the weekly report that may be found</w:t>
      </w:r>
      <w:r w:rsidR="00044C58">
        <w:rPr>
          <w:rFonts w:cstheme="minorHAnsi"/>
        </w:rPr>
        <w:t xml:space="preserve"> under </w:t>
      </w:r>
      <w:r w:rsidR="00322BEB" w:rsidRPr="00446DEF">
        <w:rPr>
          <w:rFonts w:cstheme="minorHAnsi"/>
          <w:u w:val="single"/>
        </w:rPr>
        <w:t>County-Level COVID-19 Data Reporting</w:t>
      </w:r>
      <w:r w:rsidR="00A95C2B" w:rsidRPr="00A95C2B">
        <w:rPr>
          <w:rFonts w:cstheme="minorHAnsi"/>
        </w:rPr>
        <w:t xml:space="preserve"> </w:t>
      </w:r>
      <w:r w:rsidR="00711455">
        <w:rPr>
          <w:rFonts w:cstheme="minorHAnsi"/>
        </w:rPr>
        <w:t>at th</w:t>
      </w:r>
      <w:r w:rsidR="00322BEB">
        <w:rPr>
          <w:rFonts w:cstheme="minorHAnsi"/>
        </w:rPr>
        <w:t>is</w:t>
      </w:r>
      <w:r w:rsidR="00711455">
        <w:rPr>
          <w:rFonts w:cstheme="minorHAnsi"/>
        </w:rPr>
        <w:t xml:space="preserve"> link</w:t>
      </w:r>
      <w:r w:rsidR="00A95C2B" w:rsidRPr="00A95C2B">
        <w:rPr>
          <w:rFonts w:cstheme="minorHAnsi"/>
        </w:rPr>
        <w:t xml:space="preserve">: </w:t>
      </w:r>
      <w:hyperlink r:id="rId26" w:anchor="covid-19-weekly-public-health-report-" w:history="1">
        <w:r w:rsidR="00446DEF" w:rsidRPr="00A171AE">
          <w:rPr>
            <w:rStyle w:val="Hyperlink"/>
            <w:rFonts w:cstheme="minorHAnsi"/>
          </w:rPr>
          <w:t>https://www.mass.gov/info-details/covid-19-response-reporting#covid-19-weekly-public-health-report-</w:t>
        </w:r>
      </w:hyperlink>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14" w:name="_Toc47025146"/>
      <w:r>
        <w:t>High-</w:t>
      </w:r>
      <w:r w:rsidR="00943F90">
        <w:t xml:space="preserve">Positivity </w:t>
      </w:r>
      <w:r w:rsidR="00A95C2B">
        <w:t xml:space="preserve">County </w:t>
      </w:r>
      <w:r>
        <w:t>Testing Regimen</w:t>
      </w:r>
      <w:bookmarkEnd w:id="14"/>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860021D" w:rsidR="00E367AE" w:rsidRPr="00E367AE" w:rsidRDefault="00E367AE" w:rsidP="00164701">
      <w:pPr>
        <w:pStyle w:val="Heading2"/>
      </w:pPr>
      <w:bookmarkStart w:id="15" w:name="_New_Positive_COVID-19"/>
      <w:bookmarkStart w:id="16" w:name="_Section_IV:_New"/>
      <w:bookmarkStart w:id="17" w:name="_Toc47025148"/>
      <w:bookmarkEnd w:id="15"/>
      <w:bookmarkEnd w:id="16"/>
      <w:r w:rsidRPr="00E367AE">
        <w:t>New Positive COVID-19 Cases in Resident</w:t>
      </w:r>
      <w:r w:rsidR="00D57134">
        <w:t>s</w:t>
      </w:r>
      <w:r w:rsidRPr="00E367AE">
        <w:t xml:space="preserve"> or Staff</w:t>
      </w:r>
      <w:bookmarkEnd w:id="17"/>
    </w:p>
    <w:p w14:paraId="7212377E" w14:textId="2F74143A" w:rsidR="00785DE9" w:rsidRDefault="00785DE9" w:rsidP="00785DE9">
      <w:r w:rsidRPr="00785DE9">
        <w:t>If the staff testing results indicate a positive COVID-19 staff member(s), then the provider must conduct testing of</w:t>
      </w:r>
      <w:r>
        <w:t xml:space="preserve"> </w:t>
      </w:r>
      <w:r w:rsidRPr="00164701">
        <w:rPr>
          <w:b/>
          <w:bCs/>
        </w:rPr>
        <w:t xml:space="preserve">all close contacts </w:t>
      </w:r>
      <w:r w:rsidRPr="00785DE9">
        <w:t xml:space="preserve">of the positive COVID-19 </w:t>
      </w:r>
      <w:r w:rsidRPr="00DB082C">
        <w:t>staff member</w:t>
      </w:r>
      <w:r w:rsidRPr="00785DE9">
        <w:t xml:space="preserve"> and </w:t>
      </w:r>
      <w:r w:rsidRPr="00164701">
        <w:rPr>
          <w:b/>
          <w:bCs/>
        </w:rPr>
        <w:t>all residents on any unit, floor or care area where the staff member worked</w:t>
      </w:r>
      <w:r w:rsidRPr="00785DE9">
        <w:t xml:space="preserve"> as identified during the provider’s outbreak investigation to ensure there are no resident cases and to assist in proper cohorting of residents. </w:t>
      </w:r>
    </w:p>
    <w:p w14:paraId="2F456514" w14:textId="4CC0F3BC" w:rsidR="00785DE9" w:rsidRDefault="00785DE9" w:rsidP="00785DE9">
      <w:pPr>
        <w:rPr>
          <w:rFonts w:cstheme="minorHAnsi"/>
        </w:rPr>
      </w:pPr>
      <w:r w:rsidRPr="00785DE9">
        <w:t xml:space="preserve">Testing </w:t>
      </w:r>
      <w:r>
        <w:t xml:space="preserve">should </w:t>
      </w:r>
      <w:r w:rsidRPr="00785DE9">
        <w:t>take place as soon as possible</w:t>
      </w:r>
      <w:r w:rsidR="003059E7">
        <w:t xml:space="preserve"> (e.g., within 48 hours)</w:t>
      </w:r>
      <w:r>
        <w:t xml:space="preserve">. </w:t>
      </w:r>
      <w:r w:rsidRPr="00785DE9">
        <w:rPr>
          <w:rFonts w:cstheme="minorHAnsi"/>
        </w:rPr>
        <w:t xml:space="preserve">For purposes of this memorandum, CDC and CMS define a close contact as </w:t>
      </w:r>
      <w:r>
        <w:rPr>
          <w:rFonts w:cstheme="minorHAnsi"/>
        </w:rPr>
        <w:t xml:space="preserve">contact with an individual </w:t>
      </w:r>
      <w:r w:rsidRPr="00785DE9">
        <w:rPr>
          <w:rFonts w:cstheme="minorHAnsi"/>
        </w:rPr>
        <w:t>while they were symptomatic or within the 48 hours before symptom onset or, if asymptomatic, the 48 hours before the test was complet</w:t>
      </w:r>
      <w:r w:rsidRPr="00DB082C">
        <w:rPr>
          <w:rFonts w:cstheme="minorHAnsi"/>
        </w:rPr>
        <w:t>ed to the 10 days after the test was completed.</w:t>
      </w:r>
    </w:p>
    <w:p w14:paraId="52C5C025" w14:textId="076CE0EF" w:rsidR="00A85BEB" w:rsidRDefault="00785DE9" w:rsidP="00164701">
      <w:r w:rsidRPr="00DB082C">
        <w:rPr>
          <w:rFonts w:cstheme="minorHAnsi"/>
        </w:rPr>
        <w:t>Symptoms of COVID-19 include fever or chills, cough, shortness of breath or difficulty breathing, fatigue, muscle or body aches, headache, new loss of taste or smell, sore throat, congestion or runny nose, na</w:t>
      </w:r>
      <w:r w:rsidRPr="00FD0204">
        <w:rPr>
          <w:rFonts w:cstheme="minorHAnsi"/>
        </w:rPr>
        <w:t>usea or vomiting, or diarrhea.</w:t>
      </w:r>
    </w:p>
    <w:p w14:paraId="23C2ADA5" w14:textId="10207547" w:rsidR="000713A2" w:rsidRDefault="000713A2" w:rsidP="00164701">
      <w:pPr>
        <w:spacing w:after="0" w:line="240" w:lineRule="auto"/>
      </w:pPr>
      <w:r>
        <w:t>For additional guidance on staff and residents who had close contact and require testing, please consult the DPH Epidemiology line at 617-983-6800.</w:t>
      </w:r>
    </w:p>
    <w:p w14:paraId="6C887D8F" w14:textId="77777777" w:rsidR="00ED0038" w:rsidRDefault="00ED0038" w:rsidP="00E367AE">
      <w:pPr>
        <w:spacing w:after="0" w:line="240" w:lineRule="auto"/>
      </w:pPr>
    </w:p>
    <w:p w14:paraId="3E31EA52" w14:textId="143AFCF1" w:rsidR="0050204C" w:rsidRDefault="009E673A" w:rsidP="00E367AE">
      <w:pPr>
        <w:spacing w:after="0" w:line="240" w:lineRule="auto"/>
      </w:pPr>
      <w:bookmarkStart w:id="18" w:name="_Hlk58231084"/>
      <w:r>
        <w:t xml:space="preserve">Note that insurance is required to cover testing that is deemed medically necessary, as defined in </w:t>
      </w:r>
      <w:hyperlink r:id="rId27" w:history="1">
        <w:r w:rsidRPr="009E673A">
          <w:rPr>
            <w:rStyle w:val="Hyperlink"/>
          </w:rPr>
          <w:t>DOI guidance</w:t>
        </w:r>
      </w:hyperlink>
      <w:r>
        <w:t>. This includes close contacts of confirmed or clinically diagnosed COVID-19 cases.</w:t>
      </w:r>
      <w:bookmarkEnd w:id="18"/>
    </w:p>
    <w:p w14:paraId="1DC07DBE" w14:textId="77777777" w:rsidR="003859C1" w:rsidRDefault="003859C1"/>
    <w:p w14:paraId="7CA49798" w14:textId="77777777" w:rsidR="003859C1" w:rsidRDefault="003859C1" w:rsidP="003859C1">
      <w:pPr>
        <w:pStyle w:val="Heading2"/>
      </w:pPr>
      <w:bookmarkStart w:id="19" w:name="_Hlk52180555"/>
      <w:r>
        <w:t>Previously Positive Staff and Residents</w:t>
      </w:r>
    </w:p>
    <w:p w14:paraId="5B2BB8E1" w14:textId="7BE6D42B" w:rsidR="0059455F" w:rsidRPr="0059455F" w:rsidRDefault="0059455F" w:rsidP="003859C1">
      <w:r>
        <w:t xml:space="preserve">At this time, individuals previously diagnosed with COVID-19 infection confirmed by molecular diagnostic testing are </w:t>
      </w:r>
      <w:r>
        <w:rPr>
          <w:u w:val="single"/>
        </w:rPr>
        <w:t>not</w:t>
      </w:r>
      <w:r>
        <w:t xml:space="preserve"> recommended to be included in surveillance testing, as defined in this document. Further information regarding the testing of individuals who have previously tested positive is below:</w:t>
      </w:r>
    </w:p>
    <w:p w14:paraId="7D569C85" w14:textId="77777777" w:rsidR="0059455F" w:rsidRDefault="003859C1" w:rsidP="003859C1">
      <w:pPr>
        <w:pStyle w:val="ListParagraph"/>
        <w:numPr>
          <w:ilvl w:val="0"/>
          <w:numId w:val="25"/>
        </w:numPr>
      </w:pPr>
      <w:r>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w:t>
      </w:r>
      <w:bookmarkStart w:id="20" w:name="_GoBack"/>
      <w:bookmarkEnd w:id="20"/>
      <w:r>
        <w:t xml:space="preserve">period. </w:t>
      </w:r>
    </w:p>
    <w:p w14:paraId="4FA10376" w14:textId="0CCBB11F" w:rsidR="003859C1" w:rsidRPr="006A7A4C" w:rsidRDefault="003859C1" w:rsidP="003859C1">
      <w:pPr>
        <w:pStyle w:val="ListParagraph"/>
        <w:numPr>
          <w:ilvl w:val="0"/>
          <w:numId w:val="25"/>
        </w:numPr>
      </w:pPr>
      <w: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isolated and considered to be re-infected. Additionally, individuals who were previously diagnosed with COVID-19 and are more than 90 days from their initial positive test who are identified as a close contact of a confirmed case, are subject to quarantine. </w:t>
      </w:r>
    </w:p>
    <w:bookmarkEnd w:id="19"/>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21" w:name="_Section_V:_Reporting"/>
      <w:bookmarkStart w:id="22" w:name="_Section_III:_Testing"/>
      <w:bookmarkStart w:id="23" w:name="_Attachment_A:_Model"/>
      <w:bookmarkStart w:id="24" w:name="_Attachment_C:_Scope"/>
      <w:bookmarkStart w:id="25" w:name="_Appendix_A"/>
      <w:bookmarkStart w:id="26" w:name="_Section_IV:_Reimbursement"/>
      <w:bookmarkEnd w:id="21"/>
      <w:bookmarkEnd w:id="22"/>
      <w:bookmarkEnd w:id="23"/>
      <w:bookmarkEnd w:id="24"/>
      <w:bookmarkEnd w:id="25"/>
      <w:bookmarkEnd w:id="26"/>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7"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bookmarkStart w:id="28" w:name="_Hlk57970304"/>
      <w:bookmarkStart w:id="29"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8"/>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30" w:name="_Hlk47976701"/>
      <w:r w:rsidRPr="00CC54D7">
        <w:rPr>
          <w:rFonts w:cstheme="minorHAnsi"/>
          <w:b/>
          <w:bCs/>
          <w:sz w:val="24"/>
          <w:szCs w:val="24"/>
        </w:rPr>
        <w:t>101 CMR 346:00</w:t>
      </w:r>
      <w:bookmarkEnd w:id="30"/>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7"/>
    </w:p>
    <w:bookmarkEnd w:id="29"/>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Montachusetts Veterans Outreach Center  (VC6000169663)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Billingual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bookmarkStart w:id="31"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31"/>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Amego</w:t>
      </w:r>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Cotting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Melmark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28"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32" w:name="_Appendix_B"/>
      <w:bookmarkEnd w:id="32"/>
    </w:p>
    <w:sectPr w:rsidR="002A2FB1" w:rsidRPr="00CB5A5B" w:rsidSect="002F66D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98CF" w14:textId="77777777" w:rsidR="00BE62DF" w:rsidRDefault="00BE62DF" w:rsidP="00AC5B38">
      <w:pPr>
        <w:spacing w:after="0" w:line="240" w:lineRule="auto"/>
      </w:pPr>
      <w:r>
        <w:separator/>
      </w:r>
    </w:p>
  </w:endnote>
  <w:endnote w:type="continuationSeparator" w:id="0">
    <w:p w14:paraId="5432069E" w14:textId="77777777" w:rsidR="00BE62DF" w:rsidRDefault="00BE62DF"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A280" w14:textId="77777777" w:rsidR="00BE62DF" w:rsidRDefault="00BE62DF" w:rsidP="00AC5B38">
      <w:pPr>
        <w:spacing w:after="0" w:line="240" w:lineRule="auto"/>
      </w:pPr>
      <w:r>
        <w:separator/>
      </w:r>
    </w:p>
  </w:footnote>
  <w:footnote w:type="continuationSeparator" w:id="0">
    <w:p w14:paraId="439EF96A" w14:textId="77777777" w:rsidR="00BE62DF" w:rsidRDefault="00BE62DF" w:rsidP="00AC5B38">
      <w:pPr>
        <w:spacing w:after="0" w:line="240" w:lineRule="auto"/>
      </w:pPr>
      <w:r>
        <w:continuationSeparator/>
      </w:r>
    </w:p>
  </w:footnote>
  <w:footnote w:id="1">
    <w:p w14:paraId="3D8DE293" w14:textId="77777777" w:rsidR="00872FF1" w:rsidRDefault="00872FF1" w:rsidP="003859C1">
      <w:pPr>
        <w:pStyle w:val="FootnoteText"/>
      </w:pPr>
      <w:r>
        <w:rPr>
          <w:rStyle w:val="FootnoteReference"/>
        </w:rPr>
        <w:footnoteRef/>
      </w:r>
      <w:r>
        <w:t xml:space="preserve"> </w:t>
      </w:r>
      <w:hyperlink r:id="rId1" w:history="1">
        <w:r w:rsidRPr="000B0F61">
          <w:rPr>
            <w:rStyle w:val="Hyperlink"/>
          </w:rPr>
          <w:t>https://www.hhs.gov/sites/default/files/abbott-binaxnow-fact-sheet.pdf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1"/>
  </w:num>
  <w:num w:numId="14">
    <w:abstractNumId w:val="6"/>
  </w:num>
  <w:num w:numId="15">
    <w:abstractNumId w:val="11"/>
  </w:num>
  <w:num w:numId="16">
    <w:abstractNumId w:val="13"/>
  </w:num>
  <w:num w:numId="17">
    <w:abstractNumId w:val="0"/>
  </w:num>
  <w:num w:numId="18">
    <w:abstractNumId w:val="14"/>
  </w:num>
  <w:num w:numId="19">
    <w:abstractNumId w:val="22"/>
  </w:num>
  <w:num w:numId="20">
    <w:abstractNumId w:val="19"/>
  </w:num>
  <w:num w:numId="21">
    <w:abstractNumId w:val="1"/>
  </w:num>
  <w:num w:numId="22">
    <w:abstractNumId w:val="1"/>
  </w:num>
  <w:num w:numId="23">
    <w:abstractNumId w:val="17"/>
  </w:num>
  <w:num w:numId="24">
    <w:abstractNumId w:val="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3E16"/>
    <w:rsid w:val="00016F9F"/>
    <w:rsid w:val="00026F90"/>
    <w:rsid w:val="00036AEE"/>
    <w:rsid w:val="0004032F"/>
    <w:rsid w:val="00040568"/>
    <w:rsid w:val="00044C58"/>
    <w:rsid w:val="0004796E"/>
    <w:rsid w:val="00055246"/>
    <w:rsid w:val="000642E6"/>
    <w:rsid w:val="000713A2"/>
    <w:rsid w:val="000721DE"/>
    <w:rsid w:val="00073C72"/>
    <w:rsid w:val="00074ACC"/>
    <w:rsid w:val="0008318E"/>
    <w:rsid w:val="00092FC0"/>
    <w:rsid w:val="000B36D8"/>
    <w:rsid w:val="000C4316"/>
    <w:rsid w:val="000E0288"/>
    <w:rsid w:val="000E3772"/>
    <w:rsid w:val="000E4301"/>
    <w:rsid w:val="000E5C5E"/>
    <w:rsid w:val="00100EBB"/>
    <w:rsid w:val="00105227"/>
    <w:rsid w:val="0011121B"/>
    <w:rsid w:val="00117530"/>
    <w:rsid w:val="00120B27"/>
    <w:rsid w:val="00131D4C"/>
    <w:rsid w:val="00135481"/>
    <w:rsid w:val="00143B69"/>
    <w:rsid w:val="00145748"/>
    <w:rsid w:val="00164701"/>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5906"/>
    <w:rsid w:val="00272E84"/>
    <w:rsid w:val="0027571D"/>
    <w:rsid w:val="00276C09"/>
    <w:rsid w:val="00293DC0"/>
    <w:rsid w:val="00295996"/>
    <w:rsid w:val="002A1346"/>
    <w:rsid w:val="002A2FB1"/>
    <w:rsid w:val="002B33CE"/>
    <w:rsid w:val="002B4CA2"/>
    <w:rsid w:val="002C0E8B"/>
    <w:rsid w:val="002C324F"/>
    <w:rsid w:val="002C66ED"/>
    <w:rsid w:val="002C7FE9"/>
    <w:rsid w:val="002F66D1"/>
    <w:rsid w:val="003059E7"/>
    <w:rsid w:val="00305B48"/>
    <w:rsid w:val="003076D6"/>
    <w:rsid w:val="00320FDF"/>
    <w:rsid w:val="00322BEB"/>
    <w:rsid w:val="00332C78"/>
    <w:rsid w:val="003450D6"/>
    <w:rsid w:val="00346638"/>
    <w:rsid w:val="003570F1"/>
    <w:rsid w:val="00363E25"/>
    <w:rsid w:val="0037615E"/>
    <w:rsid w:val="0037650C"/>
    <w:rsid w:val="003859C1"/>
    <w:rsid w:val="003A3D0D"/>
    <w:rsid w:val="003C039F"/>
    <w:rsid w:val="003C3FD5"/>
    <w:rsid w:val="003C6B95"/>
    <w:rsid w:val="003D192A"/>
    <w:rsid w:val="003D40DD"/>
    <w:rsid w:val="003E33F6"/>
    <w:rsid w:val="003E6FB3"/>
    <w:rsid w:val="003F59F1"/>
    <w:rsid w:val="003F7609"/>
    <w:rsid w:val="004038BB"/>
    <w:rsid w:val="00406EBA"/>
    <w:rsid w:val="0041524A"/>
    <w:rsid w:val="00417017"/>
    <w:rsid w:val="0042666F"/>
    <w:rsid w:val="004317F5"/>
    <w:rsid w:val="004342C0"/>
    <w:rsid w:val="00446DEF"/>
    <w:rsid w:val="004534FE"/>
    <w:rsid w:val="00457345"/>
    <w:rsid w:val="00481E64"/>
    <w:rsid w:val="004924D5"/>
    <w:rsid w:val="00497A0C"/>
    <w:rsid w:val="004A3B39"/>
    <w:rsid w:val="004B092C"/>
    <w:rsid w:val="004B0F73"/>
    <w:rsid w:val="004B4891"/>
    <w:rsid w:val="004B4B5D"/>
    <w:rsid w:val="004B73D5"/>
    <w:rsid w:val="004C1E99"/>
    <w:rsid w:val="004D475F"/>
    <w:rsid w:val="004E3366"/>
    <w:rsid w:val="004E3A73"/>
    <w:rsid w:val="004E521D"/>
    <w:rsid w:val="004E5F0B"/>
    <w:rsid w:val="004F3EAE"/>
    <w:rsid w:val="004F5D71"/>
    <w:rsid w:val="004F6745"/>
    <w:rsid w:val="00500CE8"/>
    <w:rsid w:val="0050204C"/>
    <w:rsid w:val="00504463"/>
    <w:rsid w:val="00512F48"/>
    <w:rsid w:val="005260AC"/>
    <w:rsid w:val="00530F56"/>
    <w:rsid w:val="00536A44"/>
    <w:rsid w:val="00540BC5"/>
    <w:rsid w:val="00540CE6"/>
    <w:rsid w:val="00542539"/>
    <w:rsid w:val="00552D68"/>
    <w:rsid w:val="00564EAD"/>
    <w:rsid w:val="00565289"/>
    <w:rsid w:val="005858BC"/>
    <w:rsid w:val="005860EF"/>
    <w:rsid w:val="0058630D"/>
    <w:rsid w:val="0059455F"/>
    <w:rsid w:val="005A3449"/>
    <w:rsid w:val="005A5612"/>
    <w:rsid w:val="005B2B65"/>
    <w:rsid w:val="005B3E9E"/>
    <w:rsid w:val="005B5862"/>
    <w:rsid w:val="005D363F"/>
    <w:rsid w:val="005E10DB"/>
    <w:rsid w:val="005E1CC7"/>
    <w:rsid w:val="005E6129"/>
    <w:rsid w:val="005F612F"/>
    <w:rsid w:val="00604C32"/>
    <w:rsid w:val="00605095"/>
    <w:rsid w:val="00607A04"/>
    <w:rsid w:val="006168F3"/>
    <w:rsid w:val="0061785F"/>
    <w:rsid w:val="0063153E"/>
    <w:rsid w:val="00633552"/>
    <w:rsid w:val="0063630C"/>
    <w:rsid w:val="00643848"/>
    <w:rsid w:val="00645279"/>
    <w:rsid w:val="006477C3"/>
    <w:rsid w:val="00656B39"/>
    <w:rsid w:val="0066116E"/>
    <w:rsid w:val="0066655A"/>
    <w:rsid w:val="0066686C"/>
    <w:rsid w:val="00683289"/>
    <w:rsid w:val="00692750"/>
    <w:rsid w:val="00692DA3"/>
    <w:rsid w:val="00697576"/>
    <w:rsid w:val="00697EA1"/>
    <w:rsid w:val="006B1CA0"/>
    <w:rsid w:val="006B4CCA"/>
    <w:rsid w:val="006C6AAF"/>
    <w:rsid w:val="006E05A1"/>
    <w:rsid w:val="006F5CA8"/>
    <w:rsid w:val="006F641A"/>
    <w:rsid w:val="00703194"/>
    <w:rsid w:val="0070546D"/>
    <w:rsid w:val="007070B1"/>
    <w:rsid w:val="00711455"/>
    <w:rsid w:val="00717C34"/>
    <w:rsid w:val="00722EBC"/>
    <w:rsid w:val="00733E89"/>
    <w:rsid w:val="007343C1"/>
    <w:rsid w:val="007470C5"/>
    <w:rsid w:val="007500A3"/>
    <w:rsid w:val="00753456"/>
    <w:rsid w:val="00766060"/>
    <w:rsid w:val="00780338"/>
    <w:rsid w:val="00785DE9"/>
    <w:rsid w:val="00786E27"/>
    <w:rsid w:val="0079242D"/>
    <w:rsid w:val="007D575C"/>
    <w:rsid w:val="007D63C2"/>
    <w:rsid w:val="007F608E"/>
    <w:rsid w:val="0080412F"/>
    <w:rsid w:val="00815093"/>
    <w:rsid w:val="00815624"/>
    <w:rsid w:val="00835346"/>
    <w:rsid w:val="00840E67"/>
    <w:rsid w:val="00847138"/>
    <w:rsid w:val="00856310"/>
    <w:rsid w:val="00864B3A"/>
    <w:rsid w:val="0086524A"/>
    <w:rsid w:val="0087003F"/>
    <w:rsid w:val="00872FF1"/>
    <w:rsid w:val="008730EE"/>
    <w:rsid w:val="00880DBE"/>
    <w:rsid w:val="00886DFF"/>
    <w:rsid w:val="0089612F"/>
    <w:rsid w:val="008963B2"/>
    <w:rsid w:val="00896EFF"/>
    <w:rsid w:val="008A208C"/>
    <w:rsid w:val="008A64F7"/>
    <w:rsid w:val="008A683D"/>
    <w:rsid w:val="008B1E4C"/>
    <w:rsid w:val="008B1FEB"/>
    <w:rsid w:val="008C07BA"/>
    <w:rsid w:val="008C083B"/>
    <w:rsid w:val="008C56F4"/>
    <w:rsid w:val="008C69A3"/>
    <w:rsid w:val="008C6BAE"/>
    <w:rsid w:val="008F678B"/>
    <w:rsid w:val="008F6A83"/>
    <w:rsid w:val="008F6BFC"/>
    <w:rsid w:val="009023BE"/>
    <w:rsid w:val="00911E68"/>
    <w:rsid w:val="009144A8"/>
    <w:rsid w:val="00925159"/>
    <w:rsid w:val="00926160"/>
    <w:rsid w:val="00943F90"/>
    <w:rsid w:val="00957BE8"/>
    <w:rsid w:val="009668F2"/>
    <w:rsid w:val="00986038"/>
    <w:rsid w:val="00990899"/>
    <w:rsid w:val="00991372"/>
    <w:rsid w:val="009A451D"/>
    <w:rsid w:val="009A7532"/>
    <w:rsid w:val="009B62BB"/>
    <w:rsid w:val="009C56D1"/>
    <w:rsid w:val="009D0ED4"/>
    <w:rsid w:val="009E1F9E"/>
    <w:rsid w:val="009E3873"/>
    <w:rsid w:val="009E673A"/>
    <w:rsid w:val="009E6CF2"/>
    <w:rsid w:val="009F440A"/>
    <w:rsid w:val="00A0043F"/>
    <w:rsid w:val="00A01352"/>
    <w:rsid w:val="00A0613C"/>
    <w:rsid w:val="00A135F1"/>
    <w:rsid w:val="00A2161B"/>
    <w:rsid w:val="00A2453C"/>
    <w:rsid w:val="00A41636"/>
    <w:rsid w:val="00A41BE0"/>
    <w:rsid w:val="00A55C44"/>
    <w:rsid w:val="00A62DD1"/>
    <w:rsid w:val="00A70E00"/>
    <w:rsid w:val="00A759AF"/>
    <w:rsid w:val="00A77095"/>
    <w:rsid w:val="00A77A7B"/>
    <w:rsid w:val="00A848EB"/>
    <w:rsid w:val="00A85BEB"/>
    <w:rsid w:val="00A90686"/>
    <w:rsid w:val="00A953B0"/>
    <w:rsid w:val="00A95C2B"/>
    <w:rsid w:val="00A95E8D"/>
    <w:rsid w:val="00A96115"/>
    <w:rsid w:val="00A97639"/>
    <w:rsid w:val="00AA0394"/>
    <w:rsid w:val="00AA550C"/>
    <w:rsid w:val="00AA752E"/>
    <w:rsid w:val="00AB7BE2"/>
    <w:rsid w:val="00AC3CD8"/>
    <w:rsid w:val="00AC4200"/>
    <w:rsid w:val="00AC537C"/>
    <w:rsid w:val="00AC5B38"/>
    <w:rsid w:val="00AE0976"/>
    <w:rsid w:val="00AE4B29"/>
    <w:rsid w:val="00AF370E"/>
    <w:rsid w:val="00B17701"/>
    <w:rsid w:val="00B204AB"/>
    <w:rsid w:val="00B27248"/>
    <w:rsid w:val="00B34989"/>
    <w:rsid w:val="00B46844"/>
    <w:rsid w:val="00B4752D"/>
    <w:rsid w:val="00B506CA"/>
    <w:rsid w:val="00B5185C"/>
    <w:rsid w:val="00B52E6F"/>
    <w:rsid w:val="00B70305"/>
    <w:rsid w:val="00B76798"/>
    <w:rsid w:val="00B8637E"/>
    <w:rsid w:val="00BA5D93"/>
    <w:rsid w:val="00BA7047"/>
    <w:rsid w:val="00BB4B2B"/>
    <w:rsid w:val="00BC01BD"/>
    <w:rsid w:val="00BC5EFB"/>
    <w:rsid w:val="00BC7848"/>
    <w:rsid w:val="00BD04DE"/>
    <w:rsid w:val="00BD1382"/>
    <w:rsid w:val="00BE2887"/>
    <w:rsid w:val="00BE2F3B"/>
    <w:rsid w:val="00BE62DF"/>
    <w:rsid w:val="00BE7976"/>
    <w:rsid w:val="00BE7EFE"/>
    <w:rsid w:val="00BF0596"/>
    <w:rsid w:val="00BF3C10"/>
    <w:rsid w:val="00BF5F49"/>
    <w:rsid w:val="00C0656B"/>
    <w:rsid w:val="00C201A4"/>
    <w:rsid w:val="00C25810"/>
    <w:rsid w:val="00C33453"/>
    <w:rsid w:val="00C352C3"/>
    <w:rsid w:val="00C417B1"/>
    <w:rsid w:val="00C44187"/>
    <w:rsid w:val="00C65FF3"/>
    <w:rsid w:val="00C731F7"/>
    <w:rsid w:val="00C75E15"/>
    <w:rsid w:val="00C76E3F"/>
    <w:rsid w:val="00C8714C"/>
    <w:rsid w:val="00C92988"/>
    <w:rsid w:val="00CB1D2A"/>
    <w:rsid w:val="00CB5A5B"/>
    <w:rsid w:val="00CB7BDF"/>
    <w:rsid w:val="00CC54D7"/>
    <w:rsid w:val="00CD23D1"/>
    <w:rsid w:val="00CF5B48"/>
    <w:rsid w:val="00D02882"/>
    <w:rsid w:val="00D11F35"/>
    <w:rsid w:val="00D139AF"/>
    <w:rsid w:val="00D3633A"/>
    <w:rsid w:val="00D36868"/>
    <w:rsid w:val="00D447D3"/>
    <w:rsid w:val="00D45BA6"/>
    <w:rsid w:val="00D57134"/>
    <w:rsid w:val="00D65615"/>
    <w:rsid w:val="00D72738"/>
    <w:rsid w:val="00D8084C"/>
    <w:rsid w:val="00DB082C"/>
    <w:rsid w:val="00DB29D1"/>
    <w:rsid w:val="00DB315C"/>
    <w:rsid w:val="00DB3305"/>
    <w:rsid w:val="00DB59AA"/>
    <w:rsid w:val="00DB5B13"/>
    <w:rsid w:val="00DB7E94"/>
    <w:rsid w:val="00DD5774"/>
    <w:rsid w:val="00DE1BDF"/>
    <w:rsid w:val="00DE2C66"/>
    <w:rsid w:val="00DE3D2E"/>
    <w:rsid w:val="00DE41DF"/>
    <w:rsid w:val="00DE634B"/>
    <w:rsid w:val="00DF118B"/>
    <w:rsid w:val="00E13060"/>
    <w:rsid w:val="00E264BA"/>
    <w:rsid w:val="00E367AE"/>
    <w:rsid w:val="00E42005"/>
    <w:rsid w:val="00E4278E"/>
    <w:rsid w:val="00E542F3"/>
    <w:rsid w:val="00E55B47"/>
    <w:rsid w:val="00E565B7"/>
    <w:rsid w:val="00E64E25"/>
    <w:rsid w:val="00E724C2"/>
    <w:rsid w:val="00E826F3"/>
    <w:rsid w:val="00E82918"/>
    <w:rsid w:val="00E91E0A"/>
    <w:rsid w:val="00E94324"/>
    <w:rsid w:val="00EA3748"/>
    <w:rsid w:val="00EB61E7"/>
    <w:rsid w:val="00ED0038"/>
    <w:rsid w:val="00ED3AC0"/>
    <w:rsid w:val="00EE4F70"/>
    <w:rsid w:val="00EE7B42"/>
    <w:rsid w:val="00EF0D1A"/>
    <w:rsid w:val="00F00E48"/>
    <w:rsid w:val="00F02F83"/>
    <w:rsid w:val="00F039CB"/>
    <w:rsid w:val="00F11197"/>
    <w:rsid w:val="00F15227"/>
    <w:rsid w:val="00F1735D"/>
    <w:rsid w:val="00F270B3"/>
    <w:rsid w:val="00F60E8A"/>
    <w:rsid w:val="00F649AF"/>
    <w:rsid w:val="00F81356"/>
    <w:rsid w:val="00F92223"/>
    <w:rsid w:val="00F94562"/>
    <w:rsid w:val="00F966E4"/>
    <w:rsid w:val="00FA6096"/>
    <w:rsid w:val="00FC4596"/>
    <w:rsid w:val="00FC7E1E"/>
    <w:rsid w:val="00FD0204"/>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A74845FC-0ABC-41A3-BD63-25B6D19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styleId="UnresolvedMention">
    <w:name w:val="Unresolved Mention"/>
    <w:basedOn w:val="DefaultParagraphFont"/>
    <w:uiPriority w:val="99"/>
    <w:semiHidden/>
    <w:unhideWhenUsed/>
    <w:rsid w:val="007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olor.com/ma-eohhs-color-testing" TargetMode="External"/><Relationship Id="rId18" Type="http://schemas.openxmlformats.org/officeDocument/2006/relationships/hyperlink" Target="https://www.mass.gov/doc/binaxnow-antigen-test-abstract/download" TargetMode="External"/><Relationship Id="rId26" Type="http://schemas.openxmlformats.org/officeDocument/2006/relationships/hyperlink" Target="https://www.mass.gov/info-details/covid-19-response-reporting" TargetMode="External"/><Relationship Id="rId3" Type="http://schemas.openxmlformats.org/officeDocument/2006/relationships/styles" Target="styles.xml"/><Relationship Id="rId21" Type="http://schemas.openxmlformats.org/officeDocument/2006/relationships/hyperlink" Target="mailto:EOHHSTestingContracts@mass.gov" TargetMode="External"/><Relationship Id="rId7" Type="http://schemas.openxmlformats.org/officeDocument/2006/relationships/endnotes" Target="endnotes.xml"/><Relationship Id="rId12" Type="http://schemas.openxmlformats.org/officeDocument/2006/relationships/hyperlink" Target="https://www.mass.gov/doc/eohhs-congregate-care-surveillance-testing-guidance-as-of-november-2" TargetMode="External"/><Relationship Id="rId17" Type="http://schemas.openxmlformats.org/officeDocument/2006/relationships/hyperlink" Target="https://ensur.invmed.com/ensur/contentAction.aspx?key=ensur.523747.S2R4E4A3.20200826.257.3955490" TargetMode="External"/><Relationship Id="rId25"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hyperlink" Target="https://www.globalpointofcare.abbott/en/product-details/navica-binaxnow-covid-19-us.html" TargetMode="External"/><Relationship Id="rId20" Type="http://schemas.openxmlformats.org/officeDocument/2006/relationships/hyperlink" Target="https://survey.alchemer.com/s3/5764739/Congregate-Care-Surveillance-Test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HHSTestingContracts@mass.gov"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f.hubspotusercontent30.net/hubfs/3989189/MA%20EOHHS/Training%202020-12-29/color-eohhs-training-2020-12-29.mp4" TargetMode="External"/><Relationship Id="rId23" Type="http://schemas.openxmlformats.org/officeDocument/2006/relationships/package" Target="embeddings/Microsoft_Word_Document.docx"/><Relationship Id="rId28" Type="http://schemas.openxmlformats.org/officeDocument/2006/relationships/hyperlink" Target="mailto:Jannelle.L.Roberts@mass.gov" TargetMode="External"/><Relationship Id="rId10" Type="http://schemas.openxmlformats.org/officeDocument/2006/relationships/hyperlink" Target="https://www.mass.gov/doc/eohhs-congregate-care-surveillance-testing-guidance-as-of-november-2" TargetMode="External"/><Relationship Id="rId19" Type="http://schemas.openxmlformats.org/officeDocument/2006/relationships/hyperlink" Target="https://www.mass.gov/doc/guidance-for-abbott-binaxnow-in-congregate-ca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lor.com/ma-eohhs-color-getting-started" TargetMode="External"/><Relationship Id="rId22" Type="http://schemas.openxmlformats.org/officeDocument/2006/relationships/image" Target="media/image2.emf"/><Relationship Id="rId27" Type="http://schemas.openxmlformats.org/officeDocument/2006/relationships/hyperlink" Target="https://www.mass.gov/doc/bulletin-2020-23-updated-guidance-for-covid-19-pcr-and-antigen-testing-issued-07082020/downlo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abbott-binaxnow-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56F3-3AB6-43A0-A4F9-9D9A185A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Yates, Carson (EHS)</cp:lastModifiedBy>
  <cp:revision>6</cp:revision>
  <cp:lastPrinted>2020-10-08T18:39:00Z</cp:lastPrinted>
  <dcterms:created xsi:type="dcterms:W3CDTF">2020-12-31T16:38:00Z</dcterms:created>
  <dcterms:modified xsi:type="dcterms:W3CDTF">2020-12-31T16:48:00Z</dcterms:modified>
</cp:coreProperties>
</file>