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63" w:rsidRDefault="00B878AC" w:rsidP="00986263">
      <w:pPr>
        <w:pStyle w:val="Heading1"/>
      </w:pPr>
      <w:r>
        <w:rPr>
          <w:noProof/>
        </w:rPr>
        <mc:AlternateContent>
          <mc:Choice Requires="wps">
            <w:drawing>
              <wp:inline distT="0" distB="0" distL="0" distR="0">
                <wp:extent cx="5943600" cy="8229600"/>
                <wp:effectExtent l="0" t="0" r="0" b="0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22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:rsidR="00986263" w:rsidRPr="004027AB" w:rsidRDefault="00986263" w:rsidP="0098626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INDOOR AIR QUALITY ASSESSMENT</w:t>
                            </w:r>
                          </w:p>
                          <w:p w:rsidR="00986263" w:rsidRPr="004027AB" w:rsidRDefault="00986263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D94EB3" w:rsidRDefault="00D94EB3" w:rsidP="00D94EB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EOHHS Service Center</w:t>
                            </w:r>
                          </w:p>
                          <w:p w:rsidR="00D94EB3" w:rsidRDefault="00D94EB3" w:rsidP="00D94EB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300 Howard Street</w:t>
                            </w:r>
                          </w:p>
                          <w:p w:rsidR="00451881" w:rsidRDefault="00451881" w:rsidP="00D94EB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2</w:t>
                            </w:r>
                            <w:r w:rsidRPr="00451881">
                              <w:rPr>
                                <w:b/>
                                <w:bCs/>
                                <w:sz w:val="2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 xml:space="preserve"> Floor Department of Children and Families</w:t>
                            </w:r>
                          </w:p>
                          <w:p w:rsidR="00D94EB3" w:rsidRPr="00705149" w:rsidRDefault="00D94EB3" w:rsidP="00D94EB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 xml:space="preserve">Framingham, </w:t>
                            </w:r>
                            <w:r w:rsidRPr="00705149">
                              <w:rPr>
                                <w:b/>
                                <w:bCs/>
                                <w:sz w:val="28"/>
                              </w:rPr>
                              <w:t>Massachusetts</w:t>
                            </w: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51881" w:rsidRDefault="00451881" w:rsidP="0098626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986263" w:rsidRDefault="00B878AC" w:rsidP="00986263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385945" cy="2192655"/>
                                  <wp:effectExtent l="0" t="0" r="0" b="0"/>
                                  <wp:docPr id="2" name="Picture 1" descr="Aerial view of 300 Howard Street, Framingham, 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erial view of 300 Howard Street, Framingham, 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5945" cy="2192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</w:pP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</w:pPr>
                          </w:p>
                          <w:p w:rsidR="00451881" w:rsidRDefault="00451881" w:rsidP="00986263">
                            <w:pPr>
                              <w:jc w:val="center"/>
                            </w:pPr>
                          </w:p>
                          <w:p w:rsidR="00451881" w:rsidRDefault="00451881" w:rsidP="00986263">
                            <w:pPr>
                              <w:jc w:val="center"/>
                            </w:pPr>
                          </w:p>
                          <w:p w:rsidR="00451881" w:rsidRDefault="00451881" w:rsidP="00986263">
                            <w:pPr>
                              <w:jc w:val="center"/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</w:pP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  <w:r w:rsidRPr="004027AB">
                              <w:t>Prepared by:</w:t>
                            </w: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  <w:r w:rsidRPr="004027AB">
                              <w:t>Massachusetts Department of Public Health</w:t>
                            </w: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  <w:r w:rsidRPr="004027AB">
                              <w:t>Bureau of Environmental Health</w:t>
                            </w: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  <w:r w:rsidRPr="004027AB">
                              <w:t>Indoor Air Quality Program</w:t>
                            </w:r>
                          </w:p>
                          <w:p w:rsidR="00986263" w:rsidRPr="004027AB" w:rsidRDefault="009C7489" w:rsidP="00986263">
                            <w:pPr>
                              <w:jc w:val="center"/>
                            </w:pPr>
                            <w:r>
                              <w:t>February</w:t>
                            </w:r>
                            <w:r w:rsidR="00986263">
                              <w:t xml:space="preserve">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8pt;height:9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" filled="f">
                <v:textbox>
                  <w:txbxContent>
                    <w:p w:rsidR="00986263" w:rsidRDefault="00986263" w:rsidP="00986263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  <w:p w:rsidR="00986263" w:rsidRDefault="00986263" w:rsidP="00986263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  <w:p w:rsidR="00986263" w:rsidRPr="004027AB" w:rsidRDefault="00986263" w:rsidP="00986263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INDOOR AIR QUALITY ASSESSMENT</w:t>
                      </w:r>
                    </w:p>
                    <w:p w:rsidR="00986263" w:rsidRPr="004027AB" w:rsidRDefault="00986263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986263" w:rsidRDefault="00986263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D94EB3" w:rsidRDefault="00D94EB3" w:rsidP="00D94EB3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EOHHS Service Center</w:t>
                      </w:r>
                    </w:p>
                    <w:p w:rsidR="00D94EB3" w:rsidRDefault="00D94EB3" w:rsidP="00D94EB3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300 Howard Street</w:t>
                      </w:r>
                    </w:p>
                    <w:p w:rsidR="00451881" w:rsidRDefault="00451881" w:rsidP="00D94EB3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2</w:t>
                      </w:r>
                      <w:r w:rsidRPr="00451881">
                        <w:rPr>
                          <w:b/>
                          <w:bCs/>
                          <w:sz w:val="28"/>
                          <w:vertAlign w:val="superscript"/>
                        </w:rPr>
                        <w:t>nd</w:t>
                      </w:r>
                      <w:r>
                        <w:rPr>
                          <w:b/>
                          <w:bCs/>
                          <w:sz w:val="28"/>
                        </w:rPr>
                        <w:t xml:space="preserve"> Floor Department of Children and Families</w:t>
                      </w:r>
                    </w:p>
                    <w:p w:rsidR="00D94EB3" w:rsidRPr="00705149" w:rsidRDefault="00D94EB3" w:rsidP="00D94EB3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 xml:space="preserve">Framingham, </w:t>
                      </w:r>
                      <w:r w:rsidRPr="00705149">
                        <w:rPr>
                          <w:b/>
                          <w:bCs/>
                          <w:sz w:val="28"/>
                        </w:rPr>
                        <w:t>Massachusetts</w:t>
                      </w:r>
                    </w:p>
                    <w:p w:rsidR="00986263" w:rsidRDefault="00986263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986263" w:rsidRDefault="00986263" w:rsidP="00986263">
                      <w:pPr>
                        <w:jc w:val="center"/>
                        <w:rPr>
                          <w:b/>
                        </w:rPr>
                      </w:pPr>
                    </w:p>
                    <w:p w:rsidR="00986263" w:rsidRDefault="00986263" w:rsidP="00986263">
                      <w:pPr>
                        <w:jc w:val="center"/>
                        <w:rPr>
                          <w:b/>
                        </w:rPr>
                      </w:pPr>
                    </w:p>
                    <w:p w:rsidR="00986263" w:rsidRDefault="00986263" w:rsidP="00986263">
                      <w:pPr>
                        <w:jc w:val="center"/>
                        <w:rPr>
                          <w:b/>
                        </w:rPr>
                      </w:pPr>
                    </w:p>
                    <w:p w:rsidR="00451881" w:rsidRDefault="00451881" w:rsidP="00986263">
                      <w:pPr>
                        <w:jc w:val="center"/>
                        <w:rPr>
                          <w:b/>
                        </w:rPr>
                      </w:pPr>
                    </w:p>
                    <w:p w:rsidR="00986263" w:rsidRDefault="00986263" w:rsidP="00986263">
                      <w:pPr>
                        <w:jc w:val="center"/>
                        <w:rPr>
                          <w:noProof/>
                        </w:rPr>
                      </w:pPr>
                    </w:p>
                    <w:p w:rsidR="00986263" w:rsidRDefault="00B878AC" w:rsidP="00986263">
                      <w:pPr>
                        <w:jc w:val="center"/>
                        <w:rPr>
                          <w:noProof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385945" cy="2192655"/>
                            <wp:effectExtent l="0" t="0" r="0" b="0"/>
                            <wp:docPr id="2" name="Picture 1" descr="Aerial view of 300 Howard Street, Framingham, 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erial view of 300 Howard Street, Framingham, 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85945" cy="2192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86263" w:rsidRPr="004027AB" w:rsidRDefault="00986263" w:rsidP="00986263">
                      <w:pPr>
                        <w:jc w:val="center"/>
                      </w:pPr>
                    </w:p>
                    <w:p w:rsidR="00986263" w:rsidRDefault="00986263" w:rsidP="00986263">
                      <w:pPr>
                        <w:jc w:val="center"/>
                      </w:pPr>
                    </w:p>
                    <w:p w:rsidR="00986263" w:rsidRPr="004027AB" w:rsidRDefault="00986263" w:rsidP="00986263">
                      <w:pPr>
                        <w:jc w:val="center"/>
                      </w:pPr>
                    </w:p>
                    <w:p w:rsidR="00986263" w:rsidRDefault="00986263" w:rsidP="00986263">
                      <w:pPr>
                        <w:jc w:val="center"/>
                      </w:pPr>
                    </w:p>
                    <w:p w:rsidR="00986263" w:rsidRDefault="00986263" w:rsidP="00986263">
                      <w:pPr>
                        <w:jc w:val="center"/>
                      </w:pPr>
                    </w:p>
                    <w:p w:rsidR="00451881" w:rsidRDefault="00451881" w:rsidP="00986263">
                      <w:pPr>
                        <w:jc w:val="center"/>
                      </w:pPr>
                    </w:p>
                    <w:p w:rsidR="00451881" w:rsidRDefault="00451881" w:rsidP="00986263">
                      <w:pPr>
                        <w:jc w:val="center"/>
                      </w:pPr>
                    </w:p>
                    <w:p w:rsidR="00451881" w:rsidRDefault="00451881" w:rsidP="00986263">
                      <w:pPr>
                        <w:jc w:val="center"/>
                      </w:pPr>
                    </w:p>
                    <w:p w:rsidR="00986263" w:rsidRDefault="00986263" w:rsidP="00986263">
                      <w:pPr>
                        <w:jc w:val="center"/>
                      </w:pPr>
                    </w:p>
                    <w:p w:rsidR="00986263" w:rsidRPr="004027AB" w:rsidRDefault="00986263" w:rsidP="00986263">
                      <w:pPr>
                        <w:jc w:val="center"/>
                      </w:pPr>
                      <w:r w:rsidRPr="004027AB">
                        <w:t>Prepared by:</w:t>
                      </w:r>
                    </w:p>
                    <w:p w:rsidR="00986263" w:rsidRPr="004027AB" w:rsidRDefault="00986263" w:rsidP="00986263">
                      <w:pPr>
                        <w:jc w:val="center"/>
                      </w:pPr>
                      <w:r w:rsidRPr="004027AB">
                        <w:t>Massachusetts Department of Public Health</w:t>
                      </w:r>
                    </w:p>
                    <w:p w:rsidR="00986263" w:rsidRPr="004027AB" w:rsidRDefault="00986263" w:rsidP="00986263">
                      <w:pPr>
                        <w:jc w:val="center"/>
                      </w:pPr>
                      <w:r w:rsidRPr="004027AB">
                        <w:t>Bureau of Environmental Health</w:t>
                      </w:r>
                    </w:p>
                    <w:p w:rsidR="00986263" w:rsidRPr="004027AB" w:rsidRDefault="00986263" w:rsidP="00986263">
                      <w:pPr>
                        <w:jc w:val="center"/>
                      </w:pPr>
                      <w:r w:rsidRPr="004027AB">
                        <w:t>Indoor Air Quality Program</w:t>
                      </w:r>
                    </w:p>
                    <w:p w:rsidR="00986263" w:rsidRPr="004027AB" w:rsidRDefault="009C7489" w:rsidP="00986263">
                      <w:pPr>
                        <w:jc w:val="center"/>
                      </w:pPr>
                      <w:r>
                        <w:t>February</w:t>
                      </w:r>
                      <w:r w:rsidR="00986263">
                        <w:t xml:space="preserve"> 2016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F0C39" w:rsidRPr="008F0C39" w:rsidRDefault="005C2241" w:rsidP="00986263">
      <w:pPr>
        <w:pStyle w:val="Heading1"/>
      </w:pPr>
      <w:r>
        <w:lastRenderedPageBreak/>
        <w:t>BACKGROUND</w:t>
      </w:r>
    </w:p>
    <w:tbl>
      <w:tblPr>
        <w:tblW w:w="9097" w:type="dxa"/>
        <w:jc w:val="center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089"/>
        <w:gridCol w:w="4008"/>
      </w:tblGrid>
      <w:tr w:rsidR="008F0C3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8F0C39" w:rsidRPr="00986263" w:rsidRDefault="008F0C3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Building:</w:t>
            </w:r>
          </w:p>
        </w:tc>
        <w:tc>
          <w:tcPr>
            <w:tcW w:w="4008" w:type="dxa"/>
            <w:shd w:val="clear" w:color="auto" w:fill="auto"/>
          </w:tcPr>
          <w:p w:rsidR="008F0C39" w:rsidRPr="008261E3" w:rsidRDefault="00156E1B" w:rsidP="003B6373">
            <w:pPr>
              <w:tabs>
                <w:tab w:val="left" w:pos="1485"/>
              </w:tabs>
              <w:rPr>
                <w:bCs/>
              </w:rPr>
            </w:pPr>
            <w:r>
              <w:rPr>
                <w:bCs/>
              </w:rPr>
              <w:t>EOHHS Service Center, Department of Children and Families (DCF)</w:t>
            </w:r>
          </w:p>
        </w:tc>
      </w:tr>
      <w:tr w:rsidR="008F0C3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8F0C39" w:rsidRPr="00986263" w:rsidRDefault="008F0C3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Address:</w:t>
            </w:r>
          </w:p>
        </w:tc>
        <w:tc>
          <w:tcPr>
            <w:tcW w:w="4008" w:type="dxa"/>
            <w:shd w:val="clear" w:color="auto" w:fill="auto"/>
          </w:tcPr>
          <w:p w:rsidR="008F0C39" w:rsidRPr="001174D9" w:rsidRDefault="00156E1B" w:rsidP="00156E1B">
            <w:pPr>
              <w:tabs>
                <w:tab w:val="left" w:pos="1485"/>
              </w:tabs>
              <w:rPr>
                <w:bCs/>
              </w:rPr>
            </w:pPr>
            <w:r>
              <w:t>300 Howard Street, 2</w:t>
            </w:r>
            <w:r w:rsidRPr="00156E1B">
              <w:rPr>
                <w:vertAlign w:val="superscript"/>
              </w:rPr>
              <w:t>nd</w:t>
            </w:r>
            <w:r>
              <w:t xml:space="preserve"> Fl, Framingham</w:t>
            </w:r>
            <w:r w:rsidR="008F0C39">
              <w:t>, MA</w:t>
            </w:r>
          </w:p>
        </w:tc>
      </w:tr>
      <w:tr w:rsidR="008F0C3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8F0C39" w:rsidRPr="00986263" w:rsidRDefault="008F0C3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Assessment Requested by:</w:t>
            </w:r>
          </w:p>
        </w:tc>
        <w:tc>
          <w:tcPr>
            <w:tcW w:w="4008" w:type="dxa"/>
            <w:shd w:val="clear" w:color="auto" w:fill="auto"/>
          </w:tcPr>
          <w:p w:rsidR="008F0C39" w:rsidRPr="001174D9" w:rsidRDefault="00534373" w:rsidP="008E1F0B">
            <w:pPr>
              <w:pStyle w:val="StaffTitleHangingIndent"/>
              <w:rPr>
                <w:bCs/>
              </w:rPr>
            </w:pPr>
            <w:r w:rsidRPr="00C4466A">
              <w:t>Erin R. McCabe</w:t>
            </w:r>
            <w:r w:rsidR="008E1F0B">
              <w:t xml:space="preserve">, </w:t>
            </w:r>
            <w:r w:rsidRPr="00C4466A">
              <w:t>EHS Facilities Deputy Director for Finance and Operations</w:t>
            </w:r>
          </w:p>
        </w:tc>
      </w:tr>
      <w:tr w:rsidR="00FF101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FF1019" w:rsidRPr="00986263" w:rsidRDefault="00FF1019" w:rsidP="00C5629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Reason for Request:</w:t>
            </w:r>
          </w:p>
        </w:tc>
        <w:tc>
          <w:tcPr>
            <w:tcW w:w="4008" w:type="dxa"/>
            <w:shd w:val="clear" w:color="auto" w:fill="auto"/>
          </w:tcPr>
          <w:p w:rsidR="00FF1019" w:rsidRPr="00EA6102" w:rsidRDefault="00534373" w:rsidP="00C56293">
            <w:pPr>
              <w:tabs>
                <w:tab w:val="left" w:pos="1485"/>
              </w:tabs>
              <w:rPr>
                <w:bCs/>
              </w:rPr>
            </w:pPr>
            <w:r>
              <w:t>Gas odors</w:t>
            </w:r>
          </w:p>
        </w:tc>
      </w:tr>
      <w:tr w:rsidR="00FF101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FF1019" w:rsidRPr="00986263" w:rsidRDefault="00FF1019" w:rsidP="00C5629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Date of Assessment:</w:t>
            </w:r>
          </w:p>
        </w:tc>
        <w:tc>
          <w:tcPr>
            <w:tcW w:w="4008" w:type="dxa"/>
            <w:shd w:val="clear" w:color="auto" w:fill="auto"/>
          </w:tcPr>
          <w:p w:rsidR="00FF1019" w:rsidRPr="001174D9" w:rsidRDefault="00534373" w:rsidP="00C56293">
            <w:pPr>
              <w:tabs>
                <w:tab w:val="left" w:pos="1485"/>
              </w:tabs>
              <w:rPr>
                <w:bCs/>
              </w:rPr>
            </w:pPr>
            <w:r>
              <w:rPr>
                <w:bCs/>
              </w:rPr>
              <w:t>February 11</w:t>
            </w:r>
            <w:r w:rsidR="00FF1019">
              <w:rPr>
                <w:bCs/>
              </w:rPr>
              <w:t>, 2016</w:t>
            </w:r>
          </w:p>
        </w:tc>
      </w:tr>
      <w:tr w:rsidR="00FF101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FF1019" w:rsidRPr="00986263" w:rsidRDefault="00FF101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Massachusetts Department of Public Health/Bureau of Environmental Health (MDPH/BEH) Staff Conducting Assessment:</w:t>
            </w:r>
          </w:p>
        </w:tc>
        <w:tc>
          <w:tcPr>
            <w:tcW w:w="4008" w:type="dxa"/>
            <w:shd w:val="clear" w:color="auto" w:fill="auto"/>
          </w:tcPr>
          <w:p w:rsidR="00FF1019" w:rsidRPr="008F0C39" w:rsidRDefault="00FF1019" w:rsidP="00986263">
            <w:pPr>
              <w:pStyle w:val="StaffTitleHangingIndent"/>
            </w:pPr>
            <w:r>
              <w:t>Cory Holmes, Environmental Analyst/Inspector, Indoor Air Quality (IAQ) Program</w:t>
            </w:r>
          </w:p>
        </w:tc>
      </w:tr>
      <w:tr w:rsidR="00FF101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FF1019" w:rsidRPr="00986263" w:rsidRDefault="00FF1019" w:rsidP="00DC1D2E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Date of Building Construction:</w:t>
            </w:r>
          </w:p>
        </w:tc>
        <w:tc>
          <w:tcPr>
            <w:tcW w:w="4008" w:type="dxa"/>
            <w:shd w:val="clear" w:color="auto" w:fill="auto"/>
          </w:tcPr>
          <w:p w:rsidR="00FF1019" w:rsidRPr="003A3B7B" w:rsidRDefault="00944CA2" w:rsidP="008F0C39">
            <w:pPr>
              <w:tabs>
                <w:tab w:val="left" w:pos="1485"/>
              </w:tabs>
              <w:rPr>
                <w:bCs/>
              </w:rPr>
            </w:pPr>
            <w:r>
              <w:t>Pre-</w:t>
            </w:r>
            <w:r w:rsidR="0060798B" w:rsidRPr="00C4466A">
              <w:t>1900s</w:t>
            </w:r>
          </w:p>
        </w:tc>
      </w:tr>
      <w:tr w:rsidR="00FF1019" w:rsidRPr="005E458D" w:rsidTr="00BB407E">
        <w:trPr>
          <w:trHeight w:val="323"/>
          <w:jc w:val="center"/>
        </w:trPr>
        <w:tc>
          <w:tcPr>
            <w:tcW w:w="5089" w:type="dxa"/>
            <w:shd w:val="clear" w:color="auto" w:fill="auto"/>
          </w:tcPr>
          <w:p w:rsidR="00FF1019" w:rsidRPr="00986263" w:rsidRDefault="00FF1019" w:rsidP="00FF1019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Building</w:t>
            </w:r>
            <w:r w:rsidR="0060798B">
              <w:rPr>
                <w:rStyle w:val="BackgroundBoldedDescriptors"/>
              </w:rPr>
              <w:t>/Site</w:t>
            </w:r>
            <w:r w:rsidRPr="00986263">
              <w:rPr>
                <w:rStyle w:val="BackgroundBoldedDescriptors"/>
              </w:rPr>
              <w:t xml:space="preserve"> </w:t>
            </w:r>
            <w:r>
              <w:rPr>
                <w:rStyle w:val="BackgroundBoldedDescriptors"/>
              </w:rPr>
              <w:t>Description</w:t>
            </w:r>
            <w:r w:rsidRPr="00986263">
              <w:rPr>
                <w:rStyle w:val="BackgroundBoldedDescriptors"/>
              </w:rPr>
              <w:t>:</w:t>
            </w:r>
          </w:p>
        </w:tc>
        <w:tc>
          <w:tcPr>
            <w:tcW w:w="4008" w:type="dxa"/>
            <w:shd w:val="clear" w:color="auto" w:fill="auto"/>
          </w:tcPr>
          <w:p w:rsidR="00FF1019" w:rsidRPr="003A3B7B" w:rsidRDefault="0060798B" w:rsidP="0060798B">
            <w:pPr>
              <w:tabs>
                <w:tab w:val="left" w:pos="1485"/>
              </w:tabs>
              <w:rPr>
                <w:bCs/>
              </w:rPr>
            </w:pPr>
            <w:r>
              <w:t>DCF</w:t>
            </w:r>
            <w:r w:rsidR="00FF1019">
              <w:t xml:space="preserve"> </w:t>
            </w:r>
            <w:r>
              <w:t xml:space="preserve">is located on the second </w:t>
            </w:r>
            <w:r w:rsidR="00FF1019">
              <w:t xml:space="preserve">story, </w:t>
            </w:r>
            <w:r>
              <w:t xml:space="preserve">of a former </w:t>
            </w:r>
            <w:r w:rsidR="00605D85">
              <w:t>manufacturing</w:t>
            </w:r>
            <w:r>
              <w:t xml:space="preserve"> plant that has been completely renovated into state offices</w:t>
            </w:r>
            <w:r w:rsidR="00FF1019">
              <w:t xml:space="preserve">. </w:t>
            </w:r>
            <w:r>
              <w:t xml:space="preserve"> </w:t>
            </w:r>
          </w:p>
        </w:tc>
      </w:tr>
      <w:tr w:rsidR="00FF101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FF1019" w:rsidRPr="00986263" w:rsidRDefault="00FF101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Building Population:</w:t>
            </w:r>
          </w:p>
        </w:tc>
        <w:tc>
          <w:tcPr>
            <w:tcW w:w="4008" w:type="dxa"/>
            <w:shd w:val="clear" w:color="auto" w:fill="auto"/>
          </w:tcPr>
          <w:p w:rsidR="00FF1019" w:rsidRPr="003A3B7B" w:rsidRDefault="00DD4BEF" w:rsidP="00DD4BEF">
            <w:pPr>
              <w:tabs>
                <w:tab w:val="left" w:pos="1485"/>
              </w:tabs>
              <w:rPr>
                <w:bCs/>
              </w:rPr>
            </w:pPr>
            <w:r>
              <w:t>Reportedly 9 individuals currently work in the affected area.</w:t>
            </w:r>
          </w:p>
        </w:tc>
      </w:tr>
      <w:tr w:rsidR="00FF101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FF1019" w:rsidRPr="00986263" w:rsidRDefault="00FF101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Windows:</w:t>
            </w:r>
          </w:p>
        </w:tc>
        <w:tc>
          <w:tcPr>
            <w:tcW w:w="4008" w:type="dxa"/>
            <w:shd w:val="clear" w:color="auto" w:fill="auto"/>
          </w:tcPr>
          <w:p w:rsidR="00FF1019" w:rsidRPr="003A3B7B" w:rsidRDefault="00FF1019" w:rsidP="003B6373">
            <w:pPr>
              <w:tabs>
                <w:tab w:val="left" w:pos="1485"/>
              </w:tabs>
              <w:rPr>
                <w:bCs/>
              </w:rPr>
            </w:pPr>
            <w:r>
              <w:rPr>
                <w:bCs/>
              </w:rPr>
              <w:t>Not openable</w:t>
            </w:r>
          </w:p>
        </w:tc>
      </w:tr>
    </w:tbl>
    <w:p w:rsidR="00332937" w:rsidRDefault="00332937" w:rsidP="00332937">
      <w:pPr>
        <w:keepNext/>
        <w:spacing w:before="600" w:line="360" w:lineRule="auto"/>
        <w:outlineLvl w:val="0"/>
        <w:rPr>
          <w:b/>
          <w:sz w:val="28"/>
        </w:rPr>
      </w:pPr>
      <w:r>
        <w:rPr>
          <w:b/>
          <w:sz w:val="28"/>
        </w:rPr>
        <w:t>Executive Summary:</w:t>
      </w:r>
    </w:p>
    <w:p w:rsidR="00332937" w:rsidRDefault="00332937" w:rsidP="00332937">
      <w:pPr>
        <w:pStyle w:val="BodyText1"/>
      </w:pPr>
      <w:r>
        <w:t xml:space="preserve">No significant public health concerns were identified during this visit.  Air testing of constituents of concern (i.e., carbon monoxide, particulate matter (pm2.5) and total volatile organic compounds (TVOCs) were non-detect (ND) or below National Ambient Air Quality Standards (NAAQS).  However odors were detected during the visit, </w:t>
      </w:r>
      <w:r w:rsidR="00752561">
        <w:t xml:space="preserve">which can be a source of irritation and </w:t>
      </w:r>
      <w:r>
        <w:t xml:space="preserve">should be further </w:t>
      </w:r>
      <w:proofErr w:type="gramStart"/>
      <w:r>
        <w:t>investigated/addressed</w:t>
      </w:r>
      <w:proofErr w:type="gramEnd"/>
      <w:r>
        <w:t xml:space="preserve"> as illustrated in this report.</w:t>
      </w:r>
    </w:p>
    <w:p w:rsidR="00332937" w:rsidRDefault="00332937" w:rsidP="00986263">
      <w:pPr>
        <w:pStyle w:val="Heading1"/>
      </w:pPr>
    </w:p>
    <w:p w:rsidR="00986263" w:rsidRDefault="00986263" w:rsidP="00986263">
      <w:pPr>
        <w:pStyle w:val="Heading1"/>
      </w:pPr>
      <w:r>
        <w:t>METHODS</w:t>
      </w:r>
    </w:p>
    <w:p w:rsidR="00986263" w:rsidRPr="00986263" w:rsidRDefault="00986263" w:rsidP="00986263">
      <w:pPr>
        <w:pStyle w:val="BodyText"/>
      </w:pPr>
      <w:r w:rsidRPr="008F0C39">
        <w:t>Please refer to the IAQ Manual</w:t>
      </w:r>
      <w:r w:rsidR="00E33BDC">
        <w:t xml:space="preserve"> and appendices</w:t>
      </w:r>
      <w:r w:rsidRPr="008F0C39">
        <w:t xml:space="preserve"> for methods, sampling procedures, and interpretation of results (MDPH, 2015).</w:t>
      </w:r>
    </w:p>
    <w:p w:rsidR="008F0C39" w:rsidRPr="008F0C39" w:rsidRDefault="00986263" w:rsidP="00986263">
      <w:pPr>
        <w:pStyle w:val="Heading1"/>
      </w:pPr>
      <w:r>
        <w:t>RESULTS and DISCUSSION</w:t>
      </w:r>
    </w:p>
    <w:p w:rsidR="00B63F9B" w:rsidRDefault="008F0C39" w:rsidP="0057647E">
      <w:pPr>
        <w:pStyle w:val="BodyText"/>
      </w:pPr>
      <w:r w:rsidRPr="008F0C39">
        <w:t>The following is a summary of indoor air testing result (Table 1).</w:t>
      </w:r>
    </w:p>
    <w:p w:rsidR="0067562C" w:rsidRDefault="0067562C" w:rsidP="00986263">
      <w:pPr>
        <w:pStyle w:val="BodyTextBulleted"/>
      </w:pPr>
      <w:r w:rsidRPr="009D5BEF">
        <w:rPr>
          <w:b/>
          <w:i/>
        </w:rPr>
        <w:t>Carbon monoxide</w:t>
      </w:r>
      <w:r w:rsidRPr="00986263">
        <w:t xml:space="preserve"> levels were non-detectable </w:t>
      </w:r>
      <w:r w:rsidR="007A51C1">
        <w:t xml:space="preserve">(ND) </w:t>
      </w:r>
      <w:r w:rsidRPr="00986263">
        <w:t>in all areas tested.</w:t>
      </w:r>
    </w:p>
    <w:p w:rsidR="00605D85" w:rsidRPr="00986263" w:rsidRDefault="00605D85" w:rsidP="00986263">
      <w:pPr>
        <w:pStyle w:val="BodyTextBulleted"/>
      </w:pPr>
      <w:r>
        <w:rPr>
          <w:b/>
          <w:i/>
        </w:rPr>
        <w:t xml:space="preserve">Carbon dioxide </w:t>
      </w:r>
      <w:r>
        <w:t xml:space="preserve">levels were slightly above the MDPH recommended guideline of 800 parts per million (ppm) due to thermostats being set to fan “auto”, as well as the </w:t>
      </w:r>
      <w:r w:rsidR="00330D51">
        <w:t xml:space="preserve">likely </w:t>
      </w:r>
      <w:r>
        <w:t>reduction of outside air intake due to subzero temperature conditions.</w:t>
      </w:r>
    </w:p>
    <w:p w:rsidR="0067562C" w:rsidRDefault="005C2241" w:rsidP="00986263">
      <w:pPr>
        <w:pStyle w:val="BodyTextBulleted"/>
      </w:pPr>
      <w:r w:rsidRPr="009D5BEF">
        <w:rPr>
          <w:b/>
          <w:i/>
        </w:rPr>
        <w:t>Particulate m</w:t>
      </w:r>
      <w:r w:rsidR="005054AA" w:rsidRPr="009D5BEF">
        <w:rPr>
          <w:b/>
          <w:i/>
        </w:rPr>
        <w:t>atter (</w:t>
      </w:r>
      <w:r w:rsidR="0067562C" w:rsidRPr="009D5BEF">
        <w:rPr>
          <w:b/>
          <w:i/>
        </w:rPr>
        <w:t>PM2.5</w:t>
      </w:r>
      <w:r w:rsidR="005054AA" w:rsidRPr="009D5BEF">
        <w:rPr>
          <w:b/>
          <w:i/>
        </w:rPr>
        <w:t>)</w:t>
      </w:r>
      <w:r w:rsidR="005054AA" w:rsidRPr="00986263">
        <w:t xml:space="preserve"> </w:t>
      </w:r>
      <w:r w:rsidR="0067562C" w:rsidRPr="00986263">
        <w:t xml:space="preserve">concentrations measured were below the National Ambient Air Quality (NAAQS) </w:t>
      </w:r>
      <w:r w:rsidR="00C8772C">
        <w:t>level</w:t>
      </w:r>
      <w:r w:rsidR="0067562C" w:rsidRPr="00986263">
        <w:t xml:space="preserve"> </w:t>
      </w:r>
      <w:proofErr w:type="gramStart"/>
      <w:r w:rsidR="0067562C" w:rsidRPr="00986263">
        <w:t>of 35 μg/</w:t>
      </w:r>
      <w:r w:rsidR="00BC6B69" w:rsidRPr="00986263">
        <w:t>m</w:t>
      </w:r>
      <w:r w:rsidR="00BC6B69" w:rsidRPr="009C7489">
        <w:rPr>
          <w:vertAlign w:val="superscript"/>
        </w:rPr>
        <w:t>3</w:t>
      </w:r>
      <w:r w:rsidR="0067562C" w:rsidRPr="00986263">
        <w:t xml:space="preserve"> in all areas</w:t>
      </w:r>
      <w:proofErr w:type="gramEnd"/>
      <w:r w:rsidR="0067562C" w:rsidRPr="00986263">
        <w:t xml:space="preserve"> tested.</w:t>
      </w:r>
    </w:p>
    <w:p w:rsidR="0060798B" w:rsidRPr="00986263" w:rsidRDefault="0060798B" w:rsidP="0060798B">
      <w:pPr>
        <w:pStyle w:val="BodyTextBulleted"/>
      </w:pPr>
      <w:r w:rsidRPr="0060798B">
        <w:rPr>
          <w:b/>
          <w:i/>
        </w:rPr>
        <w:t>Total volatile organic compounds (TVOCs)</w:t>
      </w:r>
      <w:r>
        <w:t xml:space="preserve"> </w:t>
      </w:r>
      <w:r w:rsidRPr="00986263">
        <w:t xml:space="preserve">were </w:t>
      </w:r>
      <w:r w:rsidR="007A51C1">
        <w:t>ND</w:t>
      </w:r>
      <w:r w:rsidRPr="00986263">
        <w:t xml:space="preserve"> in all areas tested.</w:t>
      </w:r>
    </w:p>
    <w:p w:rsidR="0060798B" w:rsidRDefault="00C8772C" w:rsidP="000F3010">
      <w:pPr>
        <w:pStyle w:val="BodyText"/>
      </w:pPr>
      <w:r>
        <w:t>The o</w:t>
      </w:r>
      <w:r w:rsidR="00330D51">
        <w:t xml:space="preserve">ffice space </w:t>
      </w:r>
      <w:r>
        <w:t>consists of large open work area</w:t>
      </w:r>
      <w:r w:rsidR="00330D51">
        <w:t xml:space="preserve"> “sections”</w:t>
      </w:r>
      <w:r w:rsidR="00835849">
        <w:t xml:space="preserve"> </w:t>
      </w:r>
      <w:r w:rsidR="00330D51">
        <w:t xml:space="preserve">configured in a linear </w:t>
      </w:r>
      <w:r w:rsidR="00835849">
        <w:t xml:space="preserve">fashion.  </w:t>
      </w:r>
      <w:r w:rsidR="0060798B">
        <w:t xml:space="preserve">The odors </w:t>
      </w:r>
      <w:r w:rsidR="00303FA3">
        <w:t xml:space="preserve">were reported </w:t>
      </w:r>
      <w:r w:rsidR="0060798B">
        <w:t>to be isolated to the middle</w:t>
      </w:r>
      <w:r w:rsidR="00045508">
        <w:t xml:space="preserve"> office</w:t>
      </w:r>
      <w:r w:rsidR="0060798B">
        <w:t xml:space="preserve"> </w:t>
      </w:r>
      <w:r w:rsidR="00045508">
        <w:t xml:space="preserve">area </w:t>
      </w:r>
      <w:r w:rsidR="0060798B">
        <w:t xml:space="preserve">section </w:t>
      </w:r>
      <w:r w:rsidR="00045508">
        <w:t xml:space="preserve">known as section 4 </w:t>
      </w:r>
      <w:r w:rsidR="0060798B">
        <w:t>(</w:t>
      </w:r>
      <w:r w:rsidR="00045508">
        <w:t>Picture 1</w:t>
      </w:r>
      <w:r w:rsidR="0060798B">
        <w:t>)</w:t>
      </w:r>
      <w:r w:rsidR="00045508">
        <w:t>. S</w:t>
      </w:r>
      <w:r w:rsidR="00303FA3">
        <w:t xml:space="preserve">light odors were detected </w:t>
      </w:r>
      <w:r w:rsidR="0060798B">
        <w:t>upon crossing the threshold walking westerly from section 3 into section 4.</w:t>
      </w:r>
      <w:r w:rsidR="00303FA3">
        <w:t xml:space="preserve">  The natural gas-like odors dissipated/were not detected upon entry crossing from section 4 into section 5.</w:t>
      </w:r>
    </w:p>
    <w:p w:rsidR="003013A1" w:rsidRDefault="008C0C38" w:rsidP="000F3010">
      <w:pPr>
        <w:pStyle w:val="BodyText"/>
      </w:pPr>
      <w:r>
        <w:t xml:space="preserve">The </w:t>
      </w:r>
      <w:r w:rsidR="00F75648">
        <w:t xml:space="preserve">heating, </w:t>
      </w:r>
      <w:r w:rsidR="00045508">
        <w:t>ventilation,</w:t>
      </w:r>
      <w:r w:rsidR="00F75648">
        <w:t xml:space="preserve"> and air conditioning (</w:t>
      </w:r>
      <w:r>
        <w:t>HVAC</w:t>
      </w:r>
      <w:r w:rsidR="00F75648">
        <w:t>)</w:t>
      </w:r>
      <w:r>
        <w:t xml:space="preserve"> system consists of </w:t>
      </w:r>
      <w:r w:rsidR="00FB4CB9">
        <w:t>rooftop</w:t>
      </w:r>
      <w:r w:rsidR="00FF0AAB">
        <w:t xml:space="preserve"> air</w:t>
      </w:r>
      <w:r w:rsidR="008E1F0B">
        <w:t>-</w:t>
      </w:r>
      <w:r w:rsidR="00FF0AAB">
        <w:t>handling units (AHUs</w:t>
      </w:r>
      <w:r w:rsidR="00FB4CB9">
        <w:t>, Picture 2).</w:t>
      </w:r>
      <w:r w:rsidR="00FF0AAB">
        <w:t xml:space="preserve">  Conditioned outside air is </w:t>
      </w:r>
      <w:r w:rsidR="00FB4CB9">
        <w:t>drawn in through intakes at roof level and distributed to occupied areas via ducted</w:t>
      </w:r>
      <w:r w:rsidR="00FF0AAB">
        <w:t xml:space="preserve"> ceiling vents </w:t>
      </w:r>
      <w:r w:rsidR="00BB7133">
        <w:t xml:space="preserve">(Picture </w:t>
      </w:r>
      <w:r w:rsidR="00FB4CB9">
        <w:t>3</w:t>
      </w:r>
      <w:r w:rsidR="00BB7133">
        <w:t xml:space="preserve">) </w:t>
      </w:r>
      <w:r w:rsidR="00FF0AAB">
        <w:t>and is returned to the AHUs by ducted ceiling</w:t>
      </w:r>
      <w:r w:rsidR="008E1F0B">
        <w:t>-</w:t>
      </w:r>
      <w:r w:rsidR="00E8600B">
        <w:t xml:space="preserve"> or </w:t>
      </w:r>
      <w:r w:rsidR="00AA5833">
        <w:t>wall</w:t>
      </w:r>
      <w:r w:rsidR="00FF0AAB">
        <w:t xml:space="preserve">-mounted return vents (Picture </w:t>
      </w:r>
      <w:r w:rsidR="00FB4CB9">
        <w:t>2</w:t>
      </w:r>
      <w:r w:rsidR="00FF0AAB">
        <w:t>).</w:t>
      </w:r>
    </w:p>
    <w:p w:rsidR="00FB4CB9" w:rsidRDefault="00FB4CB9" w:rsidP="000F3010">
      <w:pPr>
        <w:pStyle w:val="BodyText"/>
      </w:pPr>
      <w:r>
        <w:t xml:space="preserve">No obvious sources of gas/odors were identified within the </w:t>
      </w:r>
      <w:r w:rsidR="008E1F0B">
        <w:t xml:space="preserve">office </w:t>
      </w:r>
      <w:r w:rsidR="00605D85">
        <w:t>space</w:t>
      </w:r>
      <w:r w:rsidR="008E1F0B">
        <w:t xml:space="preserve">, and odors were </w:t>
      </w:r>
      <w:r>
        <w:t xml:space="preserve">limited to section 4.  </w:t>
      </w:r>
      <w:r w:rsidR="008E1F0B">
        <w:t>T</w:t>
      </w:r>
      <w:r w:rsidR="00835849">
        <w:t>he</w:t>
      </w:r>
      <w:r w:rsidR="008E1F0B">
        <w:t xml:space="preserve"> odor</w:t>
      </w:r>
      <w:r w:rsidR="00835849">
        <w:t xml:space="preserve"> </w:t>
      </w:r>
      <w:r>
        <w:t>source</w:t>
      </w:r>
      <w:r w:rsidR="00835849">
        <w:t xml:space="preserve"> is </w:t>
      </w:r>
      <w:r w:rsidR="008E1F0B">
        <w:t xml:space="preserve">likely </w:t>
      </w:r>
      <w:r w:rsidR="00835849">
        <w:t>outside</w:t>
      </w:r>
      <w:r>
        <w:t xml:space="preserve"> the </w:t>
      </w:r>
      <w:r w:rsidR="008E1F0B">
        <w:t>office space, and</w:t>
      </w:r>
      <w:r>
        <w:t xml:space="preserve"> may include but </w:t>
      </w:r>
      <w:r w:rsidR="008E1F0B">
        <w:t xml:space="preserve">is </w:t>
      </w:r>
      <w:r>
        <w:t>not limited to:</w:t>
      </w:r>
    </w:p>
    <w:p w:rsidR="00FB4CB9" w:rsidRDefault="00FB4CB9" w:rsidP="008E1F0B">
      <w:pPr>
        <w:pStyle w:val="BodyTextBulleted"/>
      </w:pPr>
      <w:r>
        <w:t>Gas/fuel burning in rooftop AHUs;</w:t>
      </w:r>
    </w:p>
    <w:p w:rsidR="00FB4CB9" w:rsidRDefault="00FB4CB9" w:rsidP="008E1F0B">
      <w:pPr>
        <w:pStyle w:val="BodyTextBulleted"/>
      </w:pPr>
      <w:r>
        <w:t>Entrainment of gas/odors/exhaust from nearby sources on the rooftop;</w:t>
      </w:r>
    </w:p>
    <w:p w:rsidR="00FB4CB9" w:rsidRDefault="00FB4CB9" w:rsidP="008E1F0B">
      <w:pPr>
        <w:pStyle w:val="BodyTextBulleted"/>
      </w:pPr>
      <w:r>
        <w:t xml:space="preserve">Sources/ductwork/pipes within the wall cavities (e.g., between sections 3 &amp; 4); or </w:t>
      </w:r>
    </w:p>
    <w:p w:rsidR="00FB4CB9" w:rsidRDefault="00FB4CB9" w:rsidP="008E1F0B">
      <w:pPr>
        <w:pStyle w:val="BodyTextBulleted"/>
      </w:pPr>
      <w:r>
        <w:t>Sources/ductwork/pipes above the ceiling tile system.</w:t>
      </w:r>
    </w:p>
    <w:p w:rsidR="00D77E51" w:rsidRPr="004834FB" w:rsidRDefault="000A321D" w:rsidP="004834FB">
      <w:pPr>
        <w:pStyle w:val="Heading1"/>
      </w:pPr>
      <w:r>
        <w:lastRenderedPageBreak/>
        <w:t>CONCLUSIONS and RECOMMENDATIONS</w:t>
      </w:r>
    </w:p>
    <w:p w:rsidR="002E4F9B" w:rsidRDefault="00ED4556" w:rsidP="0057647E">
      <w:pPr>
        <w:pStyle w:val="BodyText"/>
      </w:pPr>
      <w:r>
        <w:t>T</w:t>
      </w:r>
      <w:r w:rsidR="00605D85">
        <w:t xml:space="preserve">he following recommendations were made </w:t>
      </w:r>
      <w:r>
        <w:t xml:space="preserve">at the time of the assessment </w:t>
      </w:r>
      <w:r w:rsidR="00605D85">
        <w:t>and are reiterated below:</w:t>
      </w:r>
    </w:p>
    <w:p w:rsidR="008E1F0B" w:rsidRDefault="00790F13" w:rsidP="00742BFE">
      <w:pPr>
        <w:pStyle w:val="BodyTextNumberedConclusion"/>
        <w:ind w:hanging="720"/>
      </w:pPr>
      <w:r>
        <w:t>If possible, relocate</w:t>
      </w:r>
      <w:r w:rsidR="00605D85" w:rsidRPr="008E1F0B">
        <w:t xml:space="preserve"> symptomatic staff in the affected area to a different location until the problem has been resolved.</w:t>
      </w:r>
    </w:p>
    <w:p w:rsidR="00ED4556" w:rsidRDefault="00790F13" w:rsidP="00742BFE">
      <w:pPr>
        <w:pStyle w:val="BodyTextNumberedConclusion"/>
        <w:ind w:hanging="720"/>
      </w:pPr>
      <w:r>
        <w:t>Ensure</w:t>
      </w:r>
      <w:r w:rsidR="00605D85" w:rsidRPr="008E1F0B">
        <w:t xml:space="preserve"> the HVAC system for section 4 </w:t>
      </w:r>
      <w:r>
        <w:t xml:space="preserve">is </w:t>
      </w:r>
      <w:r w:rsidR="00605D85" w:rsidRPr="008E1F0B">
        <w:t xml:space="preserve">thoroughly examined, </w:t>
      </w:r>
      <w:r w:rsidRPr="008E1F0B">
        <w:t>cleaned,</w:t>
      </w:r>
      <w:r w:rsidR="00605D85" w:rsidRPr="008E1F0B">
        <w:t xml:space="preserve"> and repaired by a person or group of people with expertise in both plumbing and HVAC systems.  Start with the unit o</w:t>
      </w:r>
      <w:r>
        <w:t>n the roof</w:t>
      </w:r>
      <w:r w:rsidR="00605D85" w:rsidRPr="008E1F0B">
        <w:t>:</w:t>
      </w:r>
    </w:p>
    <w:p w:rsidR="00ED4556" w:rsidRDefault="00605D85" w:rsidP="00742BFE">
      <w:pPr>
        <w:pStyle w:val="BodyTextNumberedConclusion"/>
        <w:numPr>
          <w:ilvl w:val="1"/>
          <w:numId w:val="9"/>
        </w:numPr>
        <w:ind w:left="1440" w:hanging="720"/>
      </w:pPr>
      <w:r>
        <w:t>Fully examine to ensure there are no fuel leaks;</w:t>
      </w:r>
    </w:p>
    <w:p w:rsidR="00ED4556" w:rsidRDefault="00790F13" w:rsidP="00742BFE">
      <w:pPr>
        <w:pStyle w:val="BodyTextNumberedConclusion"/>
        <w:numPr>
          <w:ilvl w:val="1"/>
          <w:numId w:val="9"/>
        </w:numPr>
        <w:ind w:left="1440" w:hanging="720"/>
      </w:pPr>
      <w:r>
        <w:t>Ensure combustion</w:t>
      </w:r>
      <w:r w:rsidR="00605D85">
        <w:t xml:space="preserve"> </w:t>
      </w:r>
      <w:r>
        <w:t>and related activities are</w:t>
      </w:r>
      <w:r w:rsidR="00605D85">
        <w:t xml:space="preserve"> well controlled and occurring in accordance with system requirements;</w:t>
      </w:r>
    </w:p>
    <w:p w:rsidR="00ED4556" w:rsidRDefault="00790F13" w:rsidP="00742BFE">
      <w:pPr>
        <w:pStyle w:val="BodyTextNumberedConclusion"/>
        <w:numPr>
          <w:ilvl w:val="1"/>
          <w:numId w:val="9"/>
        </w:numPr>
        <w:ind w:left="1440" w:hanging="720"/>
      </w:pPr>
      <w:r>
        <w:t>Examine a</w:t>
      </w:r>
      <w:r w:rsidR="00605D85">
        <w:t xml:space="preserve">ll filtration </w:t>
      </w:r>
      <w:r>
        <w:t>to ensure it is</w:t>
      </w:r>
      <w:r w:rsidR="00605D85">
        <w:t xml:space="preserve"> </w:t>
      </w:r>
      <w:r>
        <w:t>installed and seated properly</w:t>
      </w:r>
      <w:r w:rsidR="00605D85">
        <w:t xml:space="preserve"> and of a suitable type; and</w:t>
      </w:r>
    </w:p>
    <w:p w:rsidR="00605D85" w:rsidRDefault="00790F13" w:rsidP="00742BFE">
      <w:pPr>
        <w:pStyle w:val="BodyTextNumberedConclusion"/>
        <w:numPr>
          <w:ilvl w:val="1"/>
          <w:numId w:val="9"/>
        </w:numPr>
        <w:ind w:left="1440" w:hanging="720"/>
      </w:pPr>
      <w:r>
        <w:t>Ensure n</w:t>
      </w:r>
      <w:r w:rsidR="00605D85">
        <w:t>o breaches in the AHU system which may lead to odors.</w:t>
      </w:r>
    </w:p>
    <w:p w:rsidR="008E1F0B" w:rsidRDefault="00605D85" w:rsidP="00742BFE">
      <w:pPr>
        <w:pStyle w:val="BodyTextNumberedConclusion"/>
        <w:ind w:hanging="720"/>
      </w:pPr>
      <w:r>
        <w:t xml:space="preserve">Examine the rooftop area around the unit for sources of odors including leaking gas pipes, exhaust </w:t>
      </w:r>
      <w:r w:rsidR="00ED4556">
        <w:t>vents,</w:t>
      </w:r>
      <w:r>
        <w:t xml:space="preserve"> and improperly stored materials.</w:t>
      </w:r>
    </w:p>
    <w:p w:rsidR="008E1F0B" w:rsidRDefault="00605D85" w:rsidP="00742BFE">
      <w:pPr>
        <w:pStyle w:val="BodyTextNumberedConclusion"/>
        <w:ind w:hanging="720"/>
      </w:pPr>
      <w:r>
        <w:t xml:space="preserve">Continue the examination with all associated ductwork as it enters the building.  Use ladders or lifts inside section 4 to examine the fresh air distribution, return and exhaust system in its entirety, looking for cross connections, improperly set </w:t>
      </w:r>
      <w:r w:rsidR="00ED4556">
        <w:t>dampers,</w:t>
      </w:r>
      <w:r>
        <w:t xml:space="preserve"> and breaches that may draw in odors from other areas.</w:t>
      </w:r>
    </w:p>
    <w:p w:rsidR="00605D85" w:rsidRDefault="00605D85" w:rsidP="00742BFE">
      <w:pPr>
        <w:pStyle w:val="BodyTextNumberedConclusion"/>
        <w:ind w:hanging="720"/>
      </w:pPr>
      <w:r>
        <w:t>Test/inspect any gas piping in the building for leaks.</w:t>
      </w:r>
    </w:p>
    <w:p w:rsidR="00605D85" w:rsidRDefault="00ED4556" w:rsidP="00742BFE">
      <w:pPr>
        <w:pStyle w:val="BodyTextNumberedConclusion"/>
        <w:ind w:hanging="720"/>
      </w:pPr>
      <w:r>
        <w:t xml:space="preserve">Examine adjacent space.  </w:t>
      </w:r>
      <w:r w:rsidR="00605D85">
        <w:t xml:space="preserve">Occupants who have reported these odors also reported that when the occupants of the adjacent </w:t>
      </w:r>
      <w:r w:rsidR="002A247D">
        <w:t>South Middlesex Opportunity Council (</w:t>
      </w:r>
      <w:r w:rsidR="00605D85">
        <w:t>SMOC</w:t>
      </w:r>
      <w:r w:rsidR="002A247D">
        <w:t>)</w:t>
      </w:r>
      <w:r w:rsidR="00605D85">
        <w:t xml:space="preserve"> Behavioral Health offices HVAC systems were turned off, the odors were not as prominent, so examination of this system may also be necessary.</w:t>
      </w:r>
    </w:p>
    <w:p w:rsidR="00605D85" w:rsidRDefault="00ED4556" w:rsidP="00742BFE">
      <w:pPr>
        <w:pStyle w:val="BodyTextNumberedConclusion"/>
        <w:ind w:hanging="720"/>
      </w:pPr>
      <w:r>
        <w:t>C</w:t>
      </w:r>
      <w:r w:rsidR="00605D85">
        <w:t>onsider adding a digital readout carbon monoxide detector to th</w:t>
      </w:r>
      <w:r>
        <w:t>e space in a visible location.  A</w:t>
      </w:r>
      <w:r w:rsidR="00605D85">
        <w:t xml:space="preserve"> unit is installed in the ceiling, but no real-time results from this are available unless the alarm is triggered.</w:t>
      </w:r>
    </w:p>
    <w:p w:rsidR="00605D85" w:rsidRDefault="00605D85" w:rsidP="00742BFE">
      <w:pPr>
        <w:pStyle w:val="BodyTextNumberedConclusion"/>
        <w:ind w:hanging="720"/>
      </w:pPr>
      <w:r>
        <w:t>Ensure that thermostats are set to “fan on” during occupied periods for continuous air exchange.</w:t>
      </w:r>
    </w:p>
    <w:p w:rsidR="00DD4BEF" w:rsidRDefault="007F73BC" w:rsidP="00DD4BEF">
      <w:pPr>
        <w:pStyle w:val="Heading1"/>
      </w:pPr>
      <w:r>
        <w:br w:type="page"/>
      </w:r>
      <w:r w:rsidR="00DD4BEF">
        <w:lastRenderedPageBreak/>
        <w:t>REFERENCES</w:t>
      </w:r>
    </w:p>
    <w:p w:rsidR="00DD4BEF" w:rsidRPr="00986263" w:rsidRDefault="00DD4BEF" w:rsidP="00DD4BEF">
      <w:pPr>
        <w:pStyle w:val="References"/>
      </w:pPr>
      <w:proofErr w:type="gramStart"/>
      <w:r>
        <w:t>MDPH.</w:t>
      </w:r>
      <w:proofErr w:type="gramEnd"/>
      <w:r>
        <w:t xml:space="preserve">  </w:t>
      </w:r>
      <w:proofErr w:type="gramStart"/>
      <w:r>
        <w:t xml:space="preserve">2015.  </w:t>
      </w:r>
      <w:r w:rsidRPr="00986263">
        <w:t>Massachusetts Department of</w:t>
      </w:r>
      <w:r>
        <w:t xml:space="preserve"> Public Health.</w:t>
      </w:r>
      <w:proofErr w:type="gramEnd"/>
      <w:r>
        <w:t xml:space="preserve">  </w:t>
      </w:r>
      <w:r w:rsidRPr="00986263">
        <w:t>Indoor Air</w:t>
      </w:r>
      <w:r>
        <w:t xml:space="preserve"> Quality Manual: Chapters I-III</w:t>
      </w:r>
      <w:r w:rsidRPr="00986263">
        <w:t>.</w:t>
      </w:r>
      <w:r>
        <w:t xml:space="preserve"> </w:t>
      </w:r>
      <w:r w:rsidRPr="00986263">
        <w:t xml:space="preserve"> Available at:  </w:t>
      </w:r>
      <w:hyperlink r:id="rId10" w:history="1">
        <w:r w:rsidRPr="00986263">
          <w:rPr>
            <w:rStyle w:val="Hyperlink"/>
          </w:rPr>
          <w:t>http://www.mass</w:t>
        </w:r>
        <w:r w:rsidRPr="00986263">
          <w:rPr>
            <w:rStyle w:val="Hyperlink"/>
          </w:rPr>
          <w:t>.</w:t>
        </w:r>
        <w:r w:rsidRPr="00986263">
          <w:rPr>
            <w:rStyle w:val="Hyperlink"/>
          </w:rPr>
          <w:t>gov/eohhs/gov/departm</w:t>
        </w:r>
        <w:r w:rsidR="00AB4476">
          <w:rPr>
            <w:rStyle w:val="Hyperlink"/>
          </w:rPr>
          <w:t xml:space="preserve">  </w:t>
        </w:r>
        <w:r w:rsidRPr="00986263">
          <w:rPr>
            <w:rStyle w:val="Hyperlink"/>
          </w:rPr>
          <w:t>ents/dph/programs/environmental-health/exposure-topics/iaq/iaq-manual/</w:t>
        </w:r>
      </w:hyperlink>
      <w:r w:rsidRPr="00986263">
        <w:t>.</w:t>
      </w:r>
    </w:p>
    <w:p w:rsidR="00DD4BEF" w:rsidRDefault="00DD4BEF" w:rsidP="007F73BC"/>
    <w:p w:rsidR="007F73BC" w:rsidRPr="007F73BC" w:rsidRDefault="00DD4BEF" w:rsidP="007F73BC">
      <w:pPr>
        <w:rPr>
          <w:rFonts w:eastAsia="Calibri"/>
          <w:b/>
          <w:szCs w:val="24"/>
        </w:rPr>
      </w:pPr>
      <w:r>
        <w:br w:type="page"/>
      </w:r>
      <w:r w:rsidR="007F73BC" w:rsidRPr="007F73BC">
        <w:rPr>
          <w:rFonts w:eastAsia="Calibri"/>
          <w:b/>
          <w:szCs w:val="24"/>
        </w:rPr>
        <w:lastRenderedPageBreak/>
        <w:t>Picture 1</w:t>
      </w:r>
    </w:p>
    <w:p w:rsidR="007F73BC" w:rsidRPr="00C810D2" w:rsidRDefault="007F73BC" w:rsidP="00C810D2">
      <w:pPr>
        <w:jc w:val="center"/>
      </w:pPr>
    </w:p>
    <w:p w:rsidR="007F73BC" w:rsidRDefault="00B878AC" w:rsidP="00C810D2">
      <w:pPr>
        <w:jc w:val="center"/>
      </w:pPr>
      <w:r>
        <w:rPr>
          <w:noProof/>
        </w:rPr>
        <w:drawing>
          <wp:inline distT="0" distB="0" distL="0" distR="0">
            <wp:extent cx="4267200" cy="3200400"/>
            <wp:effectExtent l="0" t="0" r="0" b="0"/>
            <wp:docPr id="3" name="Picture 5" descr="Title: Picture 1 - Description: DCF Section 4 where odors were reported/detec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itle: Picture 1 - Description: DCF Section 4 where odors were reported/detec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0D2" w:rsidRPr="00C810D2" w:rsidRDefault="00C810D2" w:rsidP="00C810D2">
      <w:pPr>
        <w:jc w:val="center"/>
      </w:pPr>
    </w:p>
    <w:p w:rsidR="007F73BC" w:rsidRPr="007F73BC" w:rsidRDefault="007F73BC" w:rsidP="007F73BC">
      <w:pPr>
        <w:spacing w:after="200" w:line="276" w:lineRule="auto"/>
        <w:jc w:val="center"/>
        <w:rPr>
          <w:rFonts w:eastAsia="Calibri"/>
          <w:b/>
          <w:szCs w:val="24"/>
        </w:rPr>
      </w:pPr>
      <w:r w:rsidRPr="007F73BC">
        <w:rPr>
          <w:rFonts w:eastAsia="Calibri"/>
          <w:b/>
          <w:szCs w:val="24"/>
        </w:rPr>
        <w:t>DCF Section 4 where odors were reported/detected</w:t>
      </w:r>
    </w:p>
    <w:p w:rsidR="007F73BC" w:rsidRPr="007F73BC" w:rsidRDefault="007F73BC" w:rsidP="007F73BC">
      <w:pPr>
        <w:spacing w:after="200" w:line="276" w:lineRule="auto"/>
        <w:rPr>
          <w:rFonts w:eastAsia="Calibri"/>
          <w:b/>
          <w:szCs w:val="24"/>
        </w:rPr>
      </w:pPr>
      <w:r w:rsidRPr="007F73BC">
        <w:rPr>
          <w:rFonts w:eastAsia="Calibri"/>
          <w:b/>
          <w:szCs w:val="24"/>
        </w:rPr>
        <w:t xml:space="preserve">Picture </w:t>
      </w:r>
      <w:r>
        <w:rPr>
          <w:rFonts w:eastAsia="Calibri"/>
          <w:b/>
          <w:szCs w:val="24"/>
        </w:rPr>
        <w:t>2</w:t>
      </w:r>
    </w:p>
    <w:p w:rsidR="007F73BC" w:rsidRDefault="00B878AC" w:rsidP="00C810D2">
      <w:pPr>
        <w:jc w:val="center"/>
      </w:pPr>
      <w:r>
        <w:rPr>
          <w:noProof/>
        </w:rPr>
        <w:drawing>
          <wp:inline distT="0" distB="0" distL="0" distR="0">
            <wp:extent cx="5697855" cy="3293745"/>
            <wp:effectExtent l="0" t="0" r="0" b="0"/>
            <wp:docPr id="4" name="Picture 6" descr="Title: Picture 2 - Description: Rooftop air handling uni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itle: Picture 2 - Description: Rooftop air handling unit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855" cy="329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0D2" w:rsidRDefault="00C810D2" w:rsidP="00C810D2">
      <w:pPr>
        <w:jc w:val="center"/>
        <w:rPr>
          <w:noProof/>
        </w:rPr>
      </w:pPr>
    </w:p>
    <w:p w:rsidR="007F73BC" w:rsidRPr="007F73BC" w:rsidRDefault="007F73BC" w:rsidP="007F73BC">
      <w:pPr>
        <w:spacing w:after="200" w:line="276" w:lineRule="auto"/>
        <w:jc w:val="center"/>
        <w:rPr>
          <w:rFonts w:eastAsia="Calibri"/>
          <w:b/>
          <w:szCs w:val="24"/>
        </w:rPr>
      </w:pPr>
      <w:r w:rsidRPr="007F73BC">
        <w:rPr>
          <w:rFonts w:eastAsia="Calibri"/>
          <w:b/>
          <w:szCs w:val="24"/>
        </w:rPr>
        <w:t>Rooftop air handling units</w:t>
      </w:r>
    </w:p>
    <w:p w:rsidR="007F73BC" w:rsidRPr="007F73BC" w:rsidRDefault="007F73BC" w:rsidP="007F73BC">
      <w:pPr>
        <w:spacing w:after="200" w:line="276" w:lineRule="auto"/>
        <w:rPr>
          <w:rFonts w:eastAsia="Calibri"/>
          <w:b/>
          <w:szCs w:val="24"/>
        </w:rPr>
      </w:pPr>
      <w:r w:rsidRPr="007F73BC">
        <w:rPr>
          <w:rFonts w:eastAsia="Calibri"/>
          <w:b/>
          <w:szCs w:val="24"/>
        </w:rPr>
        <w:lastRenderedPageBreak/>
        <w:t xml:space="preserve">Picture </w:t>
      </w:r>
      <w:r>
        <w:rPr>
          <w:rFonts w:eastAsia="Calibri"/>
          <w:b/>
          <w:szCs w:val="24"/>
        </w:rPr>
        <w:t>3</w:t>
      </w:r>
    </w:p>
    <w:p w:rsidR="007F73BC" w:rsidRDefault="00B878AC" w:rsidP="00C810D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2375535</wp:posOffset>
                </wp:positionH>
                <wp:positionV relativeFrom="paragraph">
                  <wp:posOffset>2005330</wp:posOffset>
                </wp:positionV>
                <wp:extent cx="914400" cy="252095"/>
                <wp:effectExtent l="0" t="0" r="0" b="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2095"/>
                        </a:xfrm>
                        <a:prstGeom prst="wedgeRectCallout">
                          <a:avLst>
                            <a:gd name="adj1" fmla="val -18403"/>
                            <a:gd name="adj2" fmla="val 47986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0099" w:rsidRPr="00190099" w:rsidRDefault="00190099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90099">
                              <w:rPr>
                                <w:b/>
                                <w:sz w:val="16"/>
                                <w:szCs w:val="16"/>
                              </w:rPr>
                              <w:t>Return Vent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6" o:spid="_x0000_s1027" type="#_x0000_t61" style="position:absolute;left:0;text-align:left;margin-left:187.05pt;margin-top:157.9pt;width:1in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" adj="6825,21165" filled="f" stroked="f">
                <v:textbox>
                  <w:txbxContent>
                    <w:p w:rsidR="00190099" w:rsidRPr="00190099" w:rsidRDefault="00190099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190099">
                        <w:rPr>
                          <w:b/>
                          <w:sz w:val="16"/>
                          <w:szCs w:val="16"/>
                        </w:rPr>
                        <w:t>Return Vent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3104515</wp:posOffset>
                </wp:positionH>
                <wp:positionV relativeFrom="paragraph">
                  <wp:posOffset>73660</wp:posOffset>
                </wp:positionV>
                <wp:extent cx="1214120" cy="232410"/>
                <wp:effectExtent l="0" t="0" r="0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120" cy="232410"/>
                        </a:xfrm>
                        <a:prstGeom prst="wedgeRectCallout">
                          <a:avLst>
                            <a:gd name="adj1" fmla="val -26727"/>
                            <a:gd name="adj2" fmla="val 47542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0099" w:rsidRPr="00190099" w:rsidRDefault="00190099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90099">
                              <w:rPr>
                                <w:b/>
                                <w:sz w:val="16"/>
                                <w:szCs w:val="16"/>
                              </w:rPr>
                              <w:t>Supply Diffuser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8" type="#_x0000_t61" style="position:absolute;left:0;text-align:left;margin-left:244.45pt;margin-top:5.8pt;width:95.6pt;height:18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" adj="5027,21069" filled="f" stroked="f">
                <v:textbox>
                  <w:txbxContent>
                    <w:p w:rsidR="00190099" w:rsidRPr="00190099" w:rsidRDefault="00190099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190099">
                        <w:rPr>
                          <w:b/>
                          <w:sz w:val="16"/>
                          <w:szCs w:val="16"/>
                        </w:rPr>
                        <w:t>Supply Diffuser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3954145" cy="3284855"/>
            <wp:effectExtent l="0" t="0" r="0" b="0"/>
            <wp:docPr id="5" name="Picture 7" descr="Title: Picture 3 - Description: Typical ceiling-mounted supply and return v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itle: Picture 3 - Description: Typical ceiling-mounted supply and return vent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145" cy="328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0D2" w:rsidRDefault="00C810D2" w:rsidP="00C810D2">
      <w:pPr>
        <w:jc w:val="center"/>
        <w:rPr>
          <w:noProof/>
        </w:rPr>
      </w:pPr>
    </w:p>
    <w:p w:rsidR="007F73BC" w:rsidRDefault="007F73BC" w:rsidP="007F73BC">
      <w:pPr>
        <w:spacing w:after="200" w:line="276" w:lineRule="auto"/>
        <w:jc w:val="center"/>
        <w:rPr>
          <w:rFonts w:eastAsia="Calibri"/>
          <w:b/>
          <w:szCs w:val="24"/>
        </w:rPr>
      </w:pPr>
      <w:r w:rsidRPr="007F73BC">
        <w:rPr>
          <w:rFonts w:eastAsia="Calibri"/>
          <w:b/>
          <w:szCs w:val="24"/>
        </w:rPr>
        <w:t>Typical ceiling-mounted supply and return vents</w:t>
      </w:r>
    </w:p>
    <w:p w:rsidR="00C8772C" w:rsidRDefault="00C8772C" w:rsidP="007F73BC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735F3F" w:rsidRDefault="00735F3F" w:rsidP="007F73BC">
      <w:pPr>
        <w:spacing w:after="200" w:line="276" w:lineRule="auto"/>
        <w:jc w:val="center"/>
        <w:rPr>
          <w:rFonts w:eastAsia="Calibri"/>
          <w:b/>
          <w:szCs w:val="24"/>
        </w:rPr>
        <w:sectPr w:rsidR="00735F3F" w:rsidSect="00EB04AC">
          <w:footerReference w:type="even" r:id="rId14"/>
          <w:footerReference w:type="default" r:id="rId15"/>
          <w:pgSz w:w="12240" w:h="15840"/>
          <w:pgMar w:top="1440" w:right="1440" w:bottom="1440" w:left="1440" w:header="720" w:footer="720" w:gutter="0"/>
          <w:cols w:space="720"/>
          <w:titlePg/>
        </w:sectPr>
      </w:pPr>
    </w:p>
    <w:tbl>
      <w:tblPr>
        <w:tblW w:w="1270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9"/>
        <w:gridCol w:w="920"/>
        <w:gridCol w:w="1136"/>
        <w:gridCol w:w="900"/>
        <w:gridCol w:w="954"/>
        <w:gridCol w:w="1260"/>
        <w:gridCol w:w="1260"/>
        <w:gridCol w:w="891"/>
        <w:gridCol w:w="9"/>
        <w:gridCol w:w="990"/>
        <w:gridCol w:w="2471"/>
      </w:tblGrid>
      <w:tr w:rsidR="00735F3F" w:rsidRPr="00735F3F" w:rsidTr="00D85083">
        <w:tblPrEx>
          <w:tblCellMar>
            <w:top w:w="0" w:type="dxa"/>
            <w:bottom w:w="0" w:type="dxa"/>
          </w:tblCellMar>
        </w:tblPrEx>
        <w:trPr>
          <w:trHeight w:val="350"/>
          <w:tblHeader/>
          <w:jc w:val="center"/>
        </w:trPr>
        <w:tc>
          <w:tcPr>
            <w:tcW w:w="1909" w:type="dxa"/>
            <w:vMerge w:val="restart"/>
            <w:vAlign w:val="bottom"/>
          </w:tcPr>
          <w:p w:rsidR="00735F3F" w:rsidRPr="00735F3F" w:rsidRDefault="00735F3F" w:rsidP="00735F3F">
            <w:pPr>
              <w:keepNext/>
              <w:jc w:val="center"/>
              <w:outlineLvl w:val="0"/>
              <w:rPr>
                <w:b/>
                <w:sz w:val="20"/>
              </w:rPr>
            </w:pPr>
            <w:r w:rsidRPr="00735F3F">
              <w:rPr>
                <w:b/>
                <w:sz w:val="20"/>
              </w:rPr>
              <w:lastRenderedPageBreak/>
              <w:t>Location</w:t>
            </w:r>
          </w:p>
        </w:tc>
        <w:tc>
          <w:tcPr>
            <w:tcW w:w="920" w:type="dxa"/>
            <w:vMerge w:val="restart"/>
            <w:vAlign w:val="bottom"/>
          </w:tcPr>
          <w:p w:rsidR="00735F3F" w:rsidRPr="00735F3F" w:rsidRDefault="00735F3F" w:rsidP="00735F3F">
            <w:pPr>
              <w:jc w:val="center"/>
              <w:rPr>
                <w:b/>
                <w:sz w:val="20"/>
              </w:rPr>
            </w:pPr>
            <w:r w:rsidRPr="00735F3F">
              <w:rPr>
                <w:b/>
                <w:sz w:val="20"/>
              </w:rPr>
              <w:t>Carbon</w:t>
            </w:r>
          </w:p>
          <w:p w:rsidR="00735F3F" w:rsidRPr="00735F3F" w:rsidRDefault="00735F3F" w:rsidP="00735F3F">
            <w:pPr>
              <w:jc w:val="center"/>
              <w:rPr>
                <w:b/>
                <w:sz w:val="20"/>
              </w:rPr>
            </w:pPr>
            <w:r w:rsidRPr="00735F3F">
              <w:rPr>
                <w:b/>
                <w:sz w:val="20"/>
              </w:rPr>
              <w:t>Dioxide</w:t>
            </w:r>
          </w:p>
          <w:p w:rsidR="00735F3F" w:rsidRPr="00735F3F" w:rsidRDefault="00735F3F" w:rsidP="00735F3F">
            <w:pPr>
              <w:jc w:val="center"/>
              <w:rPr>
                <w:b/>
                <w:sz w:val="20"/>
              </w:rPr>
            </w:pPr>
            <w:r w:rsidRPr="00735F3F">
              <w:rPr>
                <w:b/>
                <w:sz w:val="20"/>
              </w:rPr>
              <w:t>(ppm)</w:t>
            </w:r>
          </w:p>
        </w:tc>
        <w:tc>
          <w:tcPr>
            <w:tcW w:w="1136" w:type="dxa"/>
            <w:vMerge w:val="restart"/>
          </w:tcPr>
          <w:p w:rsidR="00735F3F" w:rsidRPr="00735F3F" w:rsidRDefault="00735F3F" w:rsidP="00735F3F">
            <w:pPr>
              <w:jc w:val="center"/>
              <w:rPr>
                <w:b/>
                <w:sz w:val="20"/>
              </w:rPr>
            </w:pPr>
            <w:r w:rsidRPr="00735F3F">
              <w:rPr>
                <w:b/>
                <w:sz w:val="20"/>
              </w:rPr>
              <w:t>Carbon Monoxide</w:t>
            </w:r>
          </w:p>
          <w:p w:rsidR="00735F3F" w:rsidRPr="00735F3F" w:rsidRDefault="00735F3F" w:rsidP="00735F3F">
            <w:pPr>
              <w:jc w:val="center"/>
              <w:rPr>
                <w:b/>
                <w:sz w:val="20"/>
              </w:rPr>
            </w:pPr>
            <w:r w:rsidRPr="00735F3F">
              <w:rPr>
                <w:b/>
                <w:sz w:val="20"/>
              </w:rPr>
              <w:t>(ppm)</w:t>
            </w:r>
          </w:p>
        </w:tc>
        <w:tc>
          <w:tcPr>
            <w:tcW w:w="900" w:type="dxa"/>
            <w:vMerge w:val="restart"/>
            <w:vAlign w:val="bottom"/>
          </w:tcPr>
          <w:p w:rsidR="00735F3F" w:rsidRPr="00735F3F" w:rsidRDefault="00735F3F" w:rsidP="00735F3F">
            <w:pPr>
              <w:jc w:val="center"/>
              <w:rPr>
                <w:b/>
                <w:sz w:val="20"/>
              </w:rPr>
            </w:pPr>
            <w:r w:rsidRPr="00735F3F">
              <w:rPr>
                <w:b/>
                <w:sz w:val="20"/>
              </w:rPr>
              <w:t>TVOCs</w:t>
            </w:r>
          </w:p>
          <w:p w:rsidR="00735F3F" w:rsidRPr="00735F3F" w:rsidRDefault="00735F3F" w:rsidP="00735F3F">
            <w:pPr>
              <w:jc w:val="center"/>
              <w:rPr>
                <w:b/>
                <w:sz w:val="20"/>
              </w:rPr>
            </w:pPr>
            <w:r w:rsidRPr="00735F3F">
              <w:rPr>
                <w:b/>
                <w:sz w:val="20"/>
              </w:rPr>
              <w:t>(ppm)</w:t>
            </w:r>
          </w:p>
        </w:tc>
        <w:tc>
          <w:tcPr>
            <w:tcW w:w="954" w:type="dxa"/>
            <w:vMerge w:val="restart"/>
            <w:vAlign w:val="bottom"/>
          </w:tcPr>
          <w:p w:rsidR="00735F3F" w:rsidRPr="00735F3F" w:rsidRDefault="00735F3F" w:rsidP="00735F3F">
            <w:pPr>
              <w:jc w:val="center"/>
              <w:rPr>
                <w:b/>
                <w:sz w:val="20"/>
              </w:rPr>
            </w:pPr>
            <w:r w:rsidRPr="00735F3F">
              <w:rPr>
                <w:b/>
                <w:sz w:val="20"/>
              </w:rPr>
              <w:t>PM2.5</w:t>
            </w:r>
          </w:p>
          <w:p w:rsidR="00735F3F" w:rsidRPr="00735F3F" w:rsidRDefault="00735F3F" w:rsidP="00735F3F">
            <w:pPr>
              <w:jc w:val="center"/>
              <w:rPr>
                <w:b/>
                <w:sz w:val="20"/>
              </w:rPr>
            </w:pPr>
            <w:r w:rsidRPr="00735F3F">
              <w:rPr>
                <w:b/>
                <w:sz w:val="20"/>
              </w:rPr>
              <w:t>(µg/m</w:t>
            </w:r>
            <w:r w:rsidRPr="00735F3F">
              <w:rPr>
                <w:b/>
                <w:sz w:val="20"/>
                <w:vertAlign w:val="superscript"/>
              </w:rPr>
              <w:t>3</w:t>
            </w:r>
            <w:r w:rsidRPr="00735F3F">
              <w:rPr>
                <w:b/>
                <w:sz w:val="20"/>
              </w:rPr>
              <w:t>)</w:t>
            </w:r>
          </w:p>
        </w:tc>
        <w:tc>
          <w:tcPr>
            <w:tcW w:w="1260" w:type="dxa"/>
            <w:vMerge w:val="restart"/>
            <w:vAlign w:val="bottom"/>
          </w:tcPr>
          <w:p w:rsidR="00735F3F" w:rsidRPr="00735F3F" w:rsidRDefault="00735F3F" w:rsidP="00735F3F">
            <w:pPr>
              <w:jc w:val="center"/>
              <w:rPr>
                <w:b/>
                <w:sz w:val="20"/>
              </w:rPr>
            </w:pPr>
            <w:r w:rsidRPr="00735F3F">
              <w:rPr>
                <w:b/>
                <w:sz w:val="20"/>
              </w:rPr>
              <w:t>Occupants</w:t>
            </w:r>
          </w:p>
          <w:p w:rsidR="00735F3F" w:rsidRPr="00735F3F" w:rsidRDefault="00735F3F" w:rsidP="00735F3F">
            <w:pPr>
              <w:jc w:val="center"/>
              <w:rPr>
                <w:b/>
                <w:sz w:val="20"/>
              </w:rPr>
            </w:pPr>
            <w:r w:rsidRPr="00735F3F">
              <w:rPr>
                <w:b/>
                <w:sz w:val="20"/>
              </w:rPr>
              <w:t>in Room</w:t>
            </w:r>
          </w:p>
        </w:tc>
        <w:tc>
          <w:tcPr>
            <w:tcW w:w="1260" w:type="dxa"/>
            <w:vMerge w:val="restart"/>
            <w:vAlign w:val="bottom"/>
          </w:tcPr>
          <w:p w:rsidR="00735F3F" w:rsidRPr="00735F3F" w:rsidRDefault="00735F3F" w:rsidP="00735F3F">
            <w:pPr>
              <w:jc w:val="center"/>
              <w:rPr>
                <w:b/>
                <w:sz w:val="20"/>
              </w:rPr>
            </w:pPr>
            <w:r w:rsidRPr="00735F3F">
              <w:rPr>
                <w:b/>
                <w:sz w:val="20"/>
              </w:rPr>
              <w:t>Windows</w:t>
            </w:r>
          </w:p>
          <w:p w:rsidR="00735F3F" w:rsidRPr="00735F3F" w:rsidRDefault="00735F3F" w:rsidP="00735F3F">
            <w:pPr>
              <w:jc w:val="center"/>
              <w:rPr>
                <w:b/>
                <w:sz w:val="20"/>
              </w:rPr>
            </w:pPr>
            <w:r w:rsidRPr="00735F3F">
              <w:rPr>
                <w:b/>
                <w:sz w:val="20"/>
              </w:rPr>
              <w:t>Openable</w:t>
            </w:r>
          </w:p>
        </w:tc>
        <w:tc>
          <w:tcPr>
            <w:tcW w:w="1890" w:type="dxa"/>
            <w:gridSpan w:val="3"/>
            <w:tcBorders>
              <w:left w:val="nil"/>
              <w:bottom w:val="nil"/>
            </w:tcBorders>
            <w:vAlign w:val="bottom"/>
          </w:tcPr>
          <w:p w:rsidR="00735F3F" w:rsidRPr="00735F3F" w:rsidRDefault="00735F3F" w:rsidP="00735F3F">
            <w:pPr>
              <w:ind w:left="-105"/>
              <w:jc w:val="center"/>
              <w:rPr>
                <w:b/>
                <w:sz w:val="20"/>
              </w:rPr>
            </w:pPr>
            <w:r w:rsidRPr="00735F3F">
              <w:rPr>
                <w:b/>
                <w:sz w:val="20"/>
              </w:rPr>
              <w:t>Ventilation</w:t>
            </w:r>
          </w:p>
        </w:tc>
        <w:tc>
          <w:tcPr>
            <w:tcW w:w="2471" w:type="dxa"/>
            <w:vMerge w:val="restart"/>
            <w:vAlign w:val="bottom"/>
          </w:tcPr>
          <w:p w:rsidR="00735F3F" w:rsidRPr="00735F3F" w:rsidRDefault="00735F3F" w:rsidP="00735F3F">
            <w:pPr>
              <w:jc w:val="center"/>
              <w:rPr>
                <w:b/>
                <w:sz w:val="20"/>
              </w:rPr>
            </w:pPr>
            <w:r w:rsidRPr="00735F3F">
              <w:rPr>
                <w:b/>
                <w:sz w:val="20"/>
              </w:rPr>
              <w:t>Remarks</w:t>
            </w:r>
          </w:p>
        </w:tc>
      </w:tr>
      <w:tr w:rsidR="00735F3F" w:rsidRPr="00735F3F" w:rsidTr="00D85083">
        <w:tblPrEx>
          <w:tblCellMar>
            <w:top w:w="0" w:type="dxa"/>
            <w:bottom w:w="0" w:type="dxa"/>
          </w:tblCellMar>
        </w:tblPrEx>
        <w:trPr>
          <w:trHeight w:val="350"/>
          <w:tblHeader/>
          <w:jc w:val="center"/>
        </w:trPr>
        <w:tc>
          <w:tcPr>
            <w:tcW w:w="1909" w:type="dxa"/>
            <w:vMerge/>
            <w:vAlign w:val="bottom"/>
          </w:tcPr>
          <w:p w:rsidR="00735F3F" w:rsidRPr="00735F3F" w:rsidRDefault="00735F3F" w:rsidP="00735F3F">
            <w:pPr>
              <w:keepNext/>
              <w:jc w:val="center"/>
              <w:outlineLvl w:val="0"/>
              <w:rPr>
                <w:b/>
                <w:sz w:val="20"/>
              </w:rPr>
            </w:pPr>
          </w:p>
        </w:tc>
        <w:tc>
          <w:tcPr>
            <w:tcW w:w="920" w:type="dxa"/>
            <w:vMerge/>
            <w:vAlign w:val="bottom"/>
          </w:tcPr>
          <w:p w:rsidR="00735F3F" w:rsidRPr="00735F3F" w:rsidRDefault="00735F3F" w:rsidP="00735F3F">
            <w:pPr>
              <w:jc w:val="center"/>
              <w:rPr>
                <w:b/>
                <w:sz w:val="20"/>
              </w:rPr>
            </w:pPr>
          </w:p>
        </w:tc>
        <w:tc>
          <w:tcPr>
            <w:tcW w:w="1136" w:type="dxa"/>
            <w:vMerge/>
          </w:tcPr>
          <w:p w:rsidR="00735F3F" w:rsidRPr="00735F3F" w:rsidRDefault="00735F3F" w:rsidP="00735F3F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vMerge/>
            <w:vAlign w:val="bottom"/>
          </w:tcPr>
          <w:p w:rsidR="00735F3F" w:rsidRPr="00735F3F" w:rsidRDefault="00735F3F" w:rsidP="00735F3F">
            <w:pPr>
              <w:jc w:val="center"/>
              <w:rPr>
                <w:b/>
                <w:sz w:val="20"/>
              </w:rPr>
            </w:pPr>
          </w:p>
        </w:tc>
        <w:tc>
          <w:tcPr>
            <w:tcW w:w="954" w:type="dxa"/>
            <w:vMerge/>
          </w:tcPr>
          <w:p w:rsidR="00735F3F" w:rsidRPr="00735F3F" w:rsidRDefault="00735F3F" w:rsidP="00735F3F">
            <w:pPr>
              <w:jc w:val="center"/>
              <w:rPr>
                <w:b/>
                <w:sz w:val="20"/>
              </w:rPr>
            </w:pPr>
          </w:p>
        </w:tc>
        <w:tc>
          <w:tcPr>
            <w:tcW w:w="1260" w:type="dxa"/>
            <w:vMerge/>
            <w:vAlign w:val="bottom"/>
          </w:tcPr>
          <w:p w:rsidR="00735F3F" w:rsidRPr="00735F3F" w:rsidRDefault="00735F3F" w:rsidP="00735F3F">
            <w:pPr>
              <w:jc w:val="center"/>
              <w:rPr>
                <w:b/>
                <w:sz w:val="20"/>
              </w:rPr>
            </w:pPr>
          </w:p>
        </w:tc>
        <w:tc>
          <w:tcPr>
            <w:tcW w:w="1260" w:type="dxa"/>
            <w:vMerge/>
            <w:vAlign w:val="bottom"/>
          </w:tcPr>
          <w:p w:rsidR="00735F3F" w:rsidRPr="00735F3F" w:rsidRDefault="00735F3F" w:rsidP="00735F3F">
            <w:pPr>
              <w:jc w:val="center"/>
              <w:rPr>
                <w:b/>
                <w:sz w:val="20"/>
              </w:rPr>
            </w:pPr>
          </w:p>
        </w:tc>
        <w:tc>
          <w:tcPr>
            <w:tcW w:w="891" w:type="dxa"/>
            <w:tcBorders>
              <w:left w:val="nil"/>
              <w:bottom w:val="nil"/>
            </w:tcBorders>
            <w:vAlign w:val="bottom"/>
          </w:tcPr>
          <w:p w:rsidR="00735F3F" w:rsidRPr="00735F3F" w:rsidRDefault="00735F3F" w:rsidP="00735F3F">
            <w:pPr>
              <w:ind w:left="-105"/>
              <w:jc w:val="center"/>
              <w:rPr>
                <w:b/>
                <w:sz w:val="20"/>
              </w:rPr>
            </w:pPr>
            <w:r w:rsidRPr="00735F3F">
              <w:rPr>
                <w:b/>
                <w:sz w:val="20"/>
              </w:rPr>
              <w:t>Intake</w:t>
            </w:r>
          </w:p>
        </w:tc>
        <w:tc>
          <w:tcPr>
            <w:tcW w:w="999" w:type="dxa"/>
            <w:gridSpan w:val="2"/>
            <w:tcBorders>
              <w:left w:val="nil"/>
              <w:bottom w:val="nil"/>
            </w:tcBorders>
            <w:vAlign w:val="bottom"/>
          </w:tcPr>
          <w:p w:rsidR="00735F3F" w:rsidRPr="00735F3F" w:rsidRDefault="00735F3F" w:rsidP="00735F3F">
            <w:pPr>
              <w:ind w:left="-105"/>
              <w:jc w:val="center"/>
              <w:rPr>
                <w:b/>
                <w:sz w:val="20"/>
              </w:rPr>
            </w:pPr>
            <w:r w:rsidRPr="00735F3F">
              <w:rPr>
                <w:b/>
                <w:sz w:val="20"/>
              </w:rPr>
              <w:t>Exhaust</w:t>
            </w:r>
          </w:p>
        </w:tc>
        <w:tc>
          <w:tcPr>
            <w:tcW w:w="2471" w:type="dxa"/>
            <w:vMerge/>
            <w:vAlign w:val="bottom"/>
          </w:tcPr>
          <w:p w:rsidR="00735F3F" w:rsidRPr="00735F3F" w:rsidRDefault="00735F3F" w:rsidP="00735F3F">
            <w:pPr>
              <w:jc w:val="center"/>
              <w:rPr>
                <w:b/>
                <w:sz w:val="20"/>
              </w:rPr>
            </w:pPr>
          </w:p>
        </w:tc>
      </w:tr>
      <w:tr w:rsidR="00735F3F" w:rsidRPr="00735F3F" w:rsidTr="00D8508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909" w:type="dxa"/>
            <w:tcBorders>
              <w:bottom w:val="single" w:sz="6" w:space="0" w:color="000000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rPr>
                <w:sz w:val="20"/>
              </w:rPr>
            </w:pPr>
            <w:r w:rsidRPr="00735F3F">
              <w:rPr>
                <w:sz w:val="20"/>
              </w:rPr>
              <w:t>Background</w:t>
            </w:r>
          </w:p>
        </w:tc>
        <w:tc>
          <w:tcPr>
            <w:tcW w:w="920" w:type="dxa"/>
            <w:tcBorders>
              <w:bottom w:val="single" w:sz="6" w:space="0" w:color="000000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429</w:t>
            </w:r>
          </w:p>
        </w:tc>
        <w:tc>
          <w:tcPr>
            <w:tcW w:w="1136" w:type="dxa"/>
            <w:tcBorders>
              <w:bottom w:val="single" w:sz="6" w:space="0" w:color="000000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ND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ND</w:t>
            </w:r>
          </w:p>
        </w:tc>
        <w:tc>
          <w:tcPr>
            <w:tcW w:w="954" w:type="dxa"/>
            <w:tcBorders>
              <w:bottom w:val="single" w:sz="6" w:space="0" w:color="000000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4-16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bottom w:val="single" w:sz="6" w:space="0" w:color="000000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bottom w:val="single" w:sz="6" w:space="0" w:color="000000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bottom w:val="single" w:sz="6" w:space="0" w:color="000000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2471" w:type="dxa"/>
            <w:tcBorders>
              <w:left w:val="nil"/>
              <w:bottom w:val="single" w:sz="6" w:space="0" w:color="000000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rPr>
                <w:sz w:val="20"/>
              </w:rPr>
            </w:pPr>
            <w:r w:rsidRPr="00735F3F">
              <w:rPr>
                <w:sz w:val="20"/>
              </w:rPr>
              <w:t>Cold, overcast moderate to heavy traffic/parking around the building</w:t>
            </w:r>
          </w:p>
        </w:tc>
      </w:tr>
      <w:tr w:rsidR="00735F3F" w:rsidRPr="00735F3F" w:rsidTr="00D8508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9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735F3F" w:rsidRPr="00735F3F" w:rsidRDefault="00735F3F" w:rsidP="00735F3F">
            <w:pPr>
              <w:spacing w:before="60" w:after="60"/>
              <w:rPr>
                <w:b/>
                <w:sz w:val="20"/>
              </w:rPr>
            </w:pPr>
            <w:r w:rsidRPr="00735F3F">
              <w:rPr>
                <w:b/>
                <w:sz w:val="20"/>
              </w:rPr>
              <w:t>Section 3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13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D9D9D9"/>
            <w:vAlign w:val="center"/>
          </w:tcPr>
          <w:p w:rsidR="00735F3F" w:rsidRPr="00735F3F" w:rsidRDefault="00735F3F" w:rsidP="00735F3F">
            <w:pPr>
              <w:spacing w:before="60" w:after="60"/>
              <w:rPr>
                <w:sz w:val="20"/>
              </w:rPr>
            </w:pPr>
          </w:p>
        </w:tc>
      </w:tr>
      <w:tr w:rsidR="00735F3F" w:rsidRPr="00735F3F" w:rsidTr="00D8508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909" w:type="dxa"/>
            <w:tcBorders>
              <w:top w:val="single" w:sz="6" w:space="0" w:color="000000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rPr>
                <w:sz w:val="20"/>
              </w:rPr>
            </w:pPr>
            <w:r w:rsidRPr="00735F3F">
              <w:rPr>
                <w:sz w:val="20"/>
              </w:rPr>
              <w:t>2218-2219</w:t>
            </w:r>
          </w:p>
        </w:tc>
        <w:tc>
          <w:tcPr>
            <w:tcW w:w="920" w:type="dxa"/>
            <w:tcBorders>
              <w:top w:val="single" w:sz="6" w:space="0" w:color="000000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874</w:t>
            </w:r>
          </w:p>
        </w:tc>
        <w:tc>
          <w:tcPr>
            <w:tcW w:w="1136" w:type="dxa"/>
            <w:tcBorders>
              <w:top w:val="single" w:sz="6" w:space="0" w:color="000000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ND</w:t>
            </w:r>
          </w:p>
        </w:tc>
        <w:tc>
          <w:tcPr>
            <w:tcW w:w="900" w:type="dxa"/>
            <w:tcBorders>
              <w:top w:val="single" w:sz="6" w:space="0" w:color="000000"/>
            </w:tcBorders>
            <w:vAlign w:val="center"/>
          </w:tcPr>
          <w:p w:rsidR="00735F3F" w:rsidRPr="00735F3F" w:rsidRDefault="00735F3F" w:rsidP="00735F3F">
            <w:pPr>
              <w:jc w:val="center"/>
            </w:pPr>
            <w:r w:rsidRPr="00735F3F">
              <w:rPr>
                <w:sz w:val="20"/>
              </w:rPr>
              <w:t>ND</w:t>
            </w:r>
          </w:p>
        </w:tc>
        <w:tc>
          <w:tcPr>
            <w:tcW w:w="954" w:type="dxa"/>
            <w:tcBorders>
              <w:top w:val="single" w:sz="6" w:space="0" w:color="000000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000000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N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Y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Y</w:t>
            </w:r>
          </w:p>
        </w:tc>
        <w:tc>
          <w:tcPr>
            <w:tcW w:w="2471" w:type="dxa"/>
            <w:tcBorders>
              <w:top w:val="single" w:sz="6" w:space="0" w:color="000000"/>
              <w:left w:val="nil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rPr>
                <w:sz w:val="20"/>
              </w:rPr>
            </w:pPr>
            <w:r w:rsidRPr="00735F3F">
              <w:rPr>
                <w:sz w:val="20"/>
              </w:rPr>
              <w:t>Thermostat fan “auto”, no odors</w:t>
            </w:r>
          </w:p>
        </w:tc>
      </w:tr>
      <w:tr w:rsidR="00735F3F" w:rsidRPr="00735F3F" w:rsidTr="00D8508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909" w:type="dxa"/>
            <w:vAlign w:val="center"/>
          </w:tcPr>
          <w:p w:rsidR="00735F3F" w:rsidRPr="00735F3F" w:rsidRDefault="00735F3F" w:rsidP="00735F3F">
            <w:pPr>
              <w:spacing w:before="60" w:after="60"/>
              <w:rPr>
                <w:sz w:val="20"/>
              </w:rPr>
            </w:pPr>
            <w:r w:rsidRPr="00735F3F">
              <w:rPr>
                <w:sz w:val="20"/>
              </w:rPr>
              <w:t>2232</w:t>
            </w:r>
          </w:p>
        </w:tc>
        <w:tc>
          <w:tcPr>
            <w:tcW w:w="920" w:type="dxa"/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833</w:t>
            </w:r>
          </w:p>
        </w:tc>
        <w:tc>
          <w:tcPr>
            <w:tcW w:w="1136" w:type="dxa"/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ND</w:t>
            </w:r>
          </w:p>
        </w:tc>
        <w:tc>
          <w:tcPr>
            <w:tcW w:w="900" w:type="dxa"/>
            <w:vAlign w:val="center"/>
          </w:tcPr>
          <w:p w:rsidR="00735F3F" w:rsidRPr="00735F3F" w:rsidRDefault="00735F3F" w:rsidP="00735F3F">
            <w:pPr>
              <w:jc w:val="center"/>
            </w:pPr>
            <w:r w:rsidRPr="00735F3F">
              <w:rPr>
                <w:sz w:val="20"/>
              </w:rPr>
              <w:t>ND</w:t>
            </w:r>
          </w:p>
        </w:tc>
        <w:tc>
          <w:tcPr>
            <w:tcW w:w="954" w:type="dxa"/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N</w:t>
            </w:r>
          </w:p>
        </w:tc>
        <w:tc>
          <w:tcPr>
            <w:tcW w:w="900" w:type="dxa"/>
            <w:gridSpan w:val="2"/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Y</w:t>
            </w:r>
          </w:p>
        </w:tc>
        <w:tc>
          <w:tcPr>
            <w:tcW w:w="990" w:type="dxa"/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Y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rPr>
                <w:sz w:val="20"/>
              </w:rPr>
            </w:pPr>
            <w:r w:rsidRPr="00735F3F">
              <w:rPr>
                <w:sz w:val="20"/>
              </w:rPr>
              <w:t>No odors</w:t>
            </w:r>
          </w:p>
        </w:tc>
      </w:tr>
      <w:tr w:rsidR="00735F3F" w:rsidRPr="00735F3F" w:rsidTr="00D8508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909" w:type="dxa"/>
            <w:tcBorders>
              <w:bottom w:val="single" w:sz="6" w:space="0" w:color="000000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rPr>
                <w:sz w:val="20"/>
              </w:rPr>
            </w:pPr>
            <w:r w:rsidRPr="00735F3F">
              <w:rPr>
                <w:sz w:val="20"/>
              </w:rPr>
              <w:t>2234-2342</w:t>
            </w:r>
          </w:p>
        </w:tc>
        <w:tc>
          <w:tcPr>
            <w:tcW w:w="920" w:type="dxa"/>
            <w:tcBorders>
              <w:bottom w:val="single" w:sz="6" w:space="0" w:color="000000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807</w:t>
            </w:r>
          </w:p>
        </w:tc>
        <w:tc>
          <w:tcPr>
            <w:tcW w:w="1136" w:type="dxa"/>
            <w:tcBorders>
              <w:bottom w:val="single" w:sz="6" w:space="0" w:color="000000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ND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vAlign w:val="center"/>
          </w:tcPr>
          <w:p w:rsidR="00735F3F" w:rsidRPr="00735F3F" w:rsidRDefault="00735F3F" w:rsidP="00735F3F">
            <w:pPr>
              <w:jc w:val="center"/>
            </w:pPr>
            <w:r w:rsidRPr="00735F3F">
              <w:rPr>
                <w:sz w:val="20"/>
              </w:rPr>
              <w:t>ND</w:t>
            </w:r>
          </w:p>
        </w:tc>
        <w:tc>
          <w:tcPr>
            <w:tcW w:w="954" w:type="dxa"/>
            <w:tcBorders>
              <w:bottom w:val="single" w:sz="6" w:space="0" w:color="000000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1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0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N</w:t>
            </w:r>
          </w:p>
        </w:tc>
        <w:tc>
          <w:tcPr>
            <w:tcW w:w="900" w:type="dxa"/>
            <w:gridSpan w:val="2"/>
            <w:tcBorders>
              <w:bottom w:val="single" w:sz="6" w:space="0" w:color="000000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Y</w:t>
            </w:r>
          </w:p>
        </w:tc>
        <w:tc>
          <w:tcPr>
            <w:tcW w:w="990" w:type="dxa"/>
            <w:tcBorders>
              <w:bottom w:val="single" w:sz="6" w:space="0" w:color="000000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Y</w:t>
            </w:r>
          </w:p>
        </w:tc>
        <w:tc>
          <w:tcPr>
            <w:tcW w:w="2471" w:type="dxa"/>
            <w:tcBorders>
              <w:left w:val="nil"/>
              <w:bottom w:val="single" w:sz="6" w:space="0" w:color="000000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rPr>
                <w:sz w:val="20"/>
              </w:rPr>
            </w:pPr>
            <w:r w:rsidRPr="00735F3F">
              <w:rPr>
                <w:sz w:val="20"/>
              </w:rPr>
              <w:t>Thermostat fan ‘auto”, no odors</w:t>
            </w:r>
          </w:p>
        </w:tc>
      </w:tr>
      <w:tr w:rsidR="00735F3F" w:rsidRPr="00735F3F" w:rsidTr="00D8508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9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735F3F" w:rsidRPr="00735F3F" w:rsidRDefault="00735F3F" w:rsidP="00735F3F">
            <w:pPr>
              <w:spacing w:before="60" w:after="60"/>
              <w:rPr>
                <w:b/>
                <w:sz w:val="20"/>
              </w:rPr>
            </w:pPr>
            <w:r w:rsidRPr="00735F3F">
              <w:rPr>
                <w:b/>
                <w:sz w:val="20"/>
              </w:rPr>
              <w:t>Section 4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13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735F3F" w:rsidRPr="00735F3F" w:rsidRDefault="00735F3F" w:rsidP="00735F3F">
            <w:pPr>
              <w:jc w:val="center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735F3F" w:rsidRPr="00735F3F" w:rsidRDefault="00735F3F" w:rsidP="00735F3F">
            <w:pPr>
              <w:jc w:val="center"/>
            </w:pPr>
          </w:p>
        </w:tc>
        <w:tc>
          <w:tcPr>
            <w:tcW w:w="9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D9D9D9"/>
            <w:vAlign w:val="center"/>
          </w:tcPr>
          <w:p w:rsidR="00735F3F" w:rsidRPr="00735F3F" w:rsidRDefault="00735F3F" w:rsidP="00735F3F">
            <w:pPr>
              <w:spacing w:before="60" w:after="60"/>
              <w:rPr>
                <w:sz w:val="20"/>
              </w:rPr>
            </w:pPr>
          </w:p>
        </w:tc>
      </w:tr>
      <w:tr w:rsidR="00735F3F" w:rsidRPr="00735F3F" w:rsidTr="00D8508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909" w:type="dxa"/>
            <w:tcBorders>
              <w:top w:val="single" w:sz="6" w:space="0" w:color="000000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rPr>
                <w:sz w:val="20"/>
              </w:rPr>
            </w:pPr>
            <w:r w:rsidRPr="00735F3F">
              <w:rPr>
                <w:sz w:val="20"/>
              </w:rPr>
              <w:t>2352</w:t>
            </w:r>
          </w:p>
        </w:tc>
        <w:tc>
          <w:tcPr>
            <w:tcW w:w="920" w:type="dxa"/>
            <w:tcBorders>
              <w:top w:val="single" w:sz="6" w:space="0" w:color="000000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837</w:t>
            </w:r>
          </w:p>
        </w:tc>
        <w:tc>
          <w:tcPr>
            <w:tcW w:w="1136" w:type="dxa"/>
            <w:tcBorders>
              <w:top w:val="single" w:sz="6" w:space="0" w:color="000000"/>
            </w:tcBorders>
            <w:vAlign w:val="center"/>
          </w:tcPr>
          <w:p w:rsidR="00735F3F" w:rsidRPr="00735F3F" w:rsidRDefault="00735F3F" w:rsidP="00735F3F">
            <w:pPr>
              <w:jc w:val="center"/>
            </w:pPr>
            <w:r w:rsidRPr="00735F3F">
              <w:rPr>
                <w:sz w:val="20"/>
              </w:rPr>
              <w:t>ND</w:t>
            </w:r>
          </w:p>
        </w:tc>
        <w:tc>
          <w:tcPr>
            <w:tcW w:w="900" w:type="dxa"/>
            <w:tcBorders>
              <w:top w:val="single" w:sz="6" w:space="0" w:color="000000"/>
            </w:tcBorders>
            <w:vAlign w:val="center"/>
          </w:tcPr>
          <w:p w:rsidR="00735F3F" w:rsidRPr="00735F3F" w:rsidRDefault="00735F3F" w:rsidP="00735F3F">
            <w:pPr>
              <w:jc w:val="center"/>
            </w:pPr>
            <w:r w:rsidRPr="00735F3F">
              <w:rPr>
                <w:sz w:val="20"/>
              </w:rPr>
              <w:t>ND</w:t>
            </w:r>
          </w:p>
        </w:tc>
        <w:tc>
          <w:tcPr>
            <w:tcW w:w="954" w:type="dxa"/>
            <w:tcBorders>
              <w:top w:val="single" w:sz="6" w:space="0" w:color="000000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N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Y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Y</w:t>
            </w:r>
          </w:p>
        </w:tc>
        <w:tc>
          <w:tcPr>
            <w:tcW w:w="2471" w:type="dxa"/>
            <w:tcBorders>
              <w:top w:val="single" w:sz="6" w:space="0" w:color="000000"/>
              <w:left w:val="nil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rPr>
                <w:sz w:val="20"/>
              </w:rPr>
            </w:pPr>
            <w:r w:rsidRPr="00735F3F">
              <w:rPr>
                <w:sz w:val="20"/>
              </w:rPr>
              <w:t>Slight ‘gas-like” odor detected</w:t>
            </w:r>
          </w:p>
        </w:tc>
      </w:tr>
      <w:tr w:rsidR="00735F3F" w:rsidRPr="00735F3F" w:rsidTr="00D8508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909" w:type="dxa"/>
            <w:vAlign w:val="center"/>
          </w:tcPr>
          <w:p w:rsidR="00735F3F" w:rsidRPr="00735F3F" w:rsidRDefault="00735F3F" w:rsidP="00735F3F">
            <w:pPr>
              <w:spacing w:before="60" w:after="60"/>
              <w:rPr>
                <w:sz w:val="20"/>
              </w:rPr>
            </w:pPr>
            <w:r w:rsidRPr="00735F3F">
              <w:rPr>
                <w:sz w:val="20"/>
              </w:rPr>
              <w:t>2358-2360</w:t>
            </w:r>
          </w:p>
        </w:tc>
        <w:tc>
          <w:tcPr>
            <w:tcW w:w="920" w:type="dxa"/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838</w:t>
            </w:r>
          </w:p>
        </w:tc>
        <w:tc>
          <w:tcPr>
            <w:tcW w:w="1136" w:type="dxa"/>
            <w:vAlign w:val="center"/>
          </w:tcPr>
          <w:p w:rsidR="00735F3F" w:rsidRPr="00735F3F" w:rsidRDefault="00735F3F" w:rsidP="00735F3F">
            <w:pPr>
              <w:jc w:val="center"/>
            </w:pPr>
            <w:r w:rsidRPr="00735F3F">
              <w:rPr>
                <w:sz w:val="20"/>
              </w:rPr>
              <w:t>ND</w:t>
            </w:r>
          </w:p>
        </w:tc>
        <w:tc>
          <w:tcPr>
            <w:tcW w:w="900" w:type="dxa"/>
            <w:vAlign w:val="center"/>
          </w:tcPr>
          <w:p w:rsidR="00735F3F" w:rsidRPr="00735F3F" w:rsidRDefault="00735F3F" w:rsidP="00735F3F">
            <w:pPr>
              <w:jc w:val="center"/>
            </w:pPr>
            <w:r w:rsidRPr="00735F3F">
              <w:rPr>
                <w:sz w:val="20"/>
              </w:rPr>
              <w:t>ND</w:t>
            </w:r>
          </w:p>
        </w:tc>
        <w:tc>
          <w:tcPr>
            <w:tcW w:w="954" w:type="dxa"/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0</w:t>
            </w:r>
          </w:p>
        </w:tc>
        <w:tc>
          <w:tcPr>
            <w:tcW w:w="1260" w:type="dxa"/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N</w:t>
            </w:r>
          </w:p>
        </w:tc>
        <w:tc>
          <w:tcPr>
            <w:tcW w:w="900" w:type="dxa"/>
            <w:gridSpan w:val="2"/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Y</w:t>
            </w:r>
          </w:p>
        </w:tc>
        <w:tc>
          <w:tcPr>
            <w:tcW w:w="990" w:type="dxa"/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Y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rPr>
                <w:sz w:val="20"/>
              </w:rPr>
            </w:pPr>
            <w:r w:rsidRPr="00735F3F">
              <w:rPr>
                <w:sz w:val="20"/>
              </w:rPr>
              <w:t>Slight ‘gas-like” odor detected, CO alarm mounted on ceiling</w:t>
            </w:r>
          </w:p>
        </w:tc>
      </w:tr>
      <w:tr w:rsidR="00735F3F" w:rsidRPr="00735F3F" w:rsidTr="00D8508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909" w:type="dxa"/>
            <w:vAlign w:val="center"/>
          </w:tcPr>
          <w:p w:rsidR="00735F3F" w:rsidRPr="00735F3F" w:rsidRDefault="00735F3F" w:rsidP="00735F3F">
            <w:pPr>
              <w:spacing w:before="60" w:after="60"/>
              <w:rPr>
                <w:sz w:val="20"/>
              </w:rPr>
            </w:pPr>
            <w:r w:rsidRPr="00735F3F">
              <w:rPr>
                <w:sz w:val="20"/>
              </w:rPr>
              <w:t>2371</w:t>
            </w:r>
          </w:p>
        </w:tc>
        <w:tc>
          <w:tcPr>
            <w:tcW w:w="920" w:type="dxa"/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853</w:t>
            </w:r>
          </w:p>
        </w:tc>
        <w:tc>
          <w:tcPr>
            <w:tcW w:w="1136" w:type="dxa"/>
            <w:vAlign w:val="center"/>
          </w:tcPr>
          <w:p w:rsidR="00735F3F" w:rsidRPr="00735F3F" w:rsidRDefault="00735F3F" w:rsidP="00735F3F">
            <w:pPr>
              <w:jc w:val="center"/>
            </w:pPr>
            <w:r w:rsidRPr="00735F3F">
              <w:rPr>
                <w:sz w:val="20"/>
              </w:rPr>
              <w:t>ND</w:t>
            </w:r>
          </w:p>
        </w:tc>
        <w:tc>
          <w:tcPr>
            <w:tcW w:w="900" w:type="dxa"/>
            <w:vAlign w:val="center"/>
          </w:tcPr>
          <w:p w:rsidR="00735F3F" w:rsidRPr="00735F3F" w:rsidRDefault="00735F3F" w:rsidP="00735F3F">
            <w:pPr>
              <w:jc w:val="center"/>
            </w:pPr>
            <w:r w:rsidRPr="00735F3F">
              <w:rPr>
                <w:sz w:val="20"/>
              </w:rPr>
              <w:t>ND</w:t>
            </w:r>
          </w:p>
        </w:tc>
        <w:tc>
          <w:tcPr>
            <w:tcW w:w="954" w:type="dxa"/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8</w:t>
            </w:r>
          </w:p>
        </w:tc>
        <w:tc>
          <w:tcPr>
            <w:tcW w:w="1260" w:type="dxa"/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N</w:t>
            </w:r>
          </w:p>
        </w:tc>
        <w:tc>
          <w:tcPr>
            <w:tcW w:w="900" w:type="dxa"/>
            <w:gridSpan w:val="2"/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Y</w:t>
            </w:r>
          </w:p>
        </w:tc>
        <w:tc>
          <w:tcPr>
            <w:tcW w:w="990" w:type="dxa"/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Y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rPr>
                <w:sz w:val="20"/>
              </w:rPr>
            </w:pPr>
            <w:r w:rsidRPr="00735F3F">
              <w:rPr>
                <w:sz w:val="20"/>
              </w:rPr>
              <w:t>Slight odors detected, thermostat fan “auto”</w:t>
            </w:r>
          </w:p>
        </w:tc>
      </w:tr>
      <w:tr w:rsidR="00735F3F" w:rsidRPr="00735F3F" w:rsidTr="00D8508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909" w:type="dxa"/>
            <w:vAlign w:val="center"/>
          </w:tcPr>
          <w:p w:rsidR="00735F3F" w:rsidRPr="00735F3F" w:rsidRDefault="00735F3F" w:rsidP="00735F3F">
            <w:pPr>
              <w:spacing w:before="60" w:after="60"/>
              <w:rPr>
                <w:sz w:val="20"/>
              </w:rPr>
            </w:pPr>
            <w:r w:rsidRPr="00735F3F">
              <w:rPr>
                <w:sz w:val="20"/>
              </w:rPr>
              <w:t>2381</w:t>
            </w:r>
          </w:p>
        </w:tc>
        <w:tc>
          <w:tcPr>
            <w:tcW w:w="920" w:type="dxa"/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839</w:t>
            </w:r>
          </w:p>
        </w:tc>
        <w:tc>
          <w:tcPr>
            <w:tcW w:w="1136" w:type="dxa"/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ND</w:t>
            </w:r>
          </w:p>
        </w:tc>
        <w:tc>
          <w:tcPr>
            <w:tcW w:w="900" w:type="dxa"/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ND</w:t>
            </w:r>
          </w:p>
        </w:tc>
        <w:tc>
          <w:tcPr>
            <w:tcW w:w="954" w:type="dxa"/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0</w:t>
            </w:r>
          </w:p>
        </w:tc>
        <w:tc>
          <w:tcPr>
            <w:tcW w:w="1260" w:type="dxa"/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N</w:t>
            </w:r>
          </w:p>
        </w:tc>
        <w:tc>
          <w:tcPr>
            <w:tcW w:w="900" w:type="dxa"/>
            <w:gridSpan w:val="2"/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Y</w:t>
            </w:r>
          </w:p>
        </w:tc>
        <w:tc>
          <w:tcPr>
            <w:tcW w:w="990" w:type="dxa"/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Y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rPr>
                <w:sz w:val="20"/>
              </w:rPr>
            </w:pPr>
          </w:p>
        </w:tc>
      </w:tr>
      <w:tr w:rsidR="00735F3F" w:rsidRPr="00735F3F" w:rsidTr="00D8508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909" w:type="dxa"/>
            <w:tcBorders>
              <w:bottom w:val="single" w:sz="6" w:space="0" w:color="000000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rPr>
                <w:sz w:val="20"/>
              </w:rPr>
            </w:pPr>
            <w:r w:rsidRPr="00735F3F">
              <w:rPr>
                <w:sz w:val="20"/>
              </w:rPr>
              <w:t>Kitchen 2251</w:t>
            </w:r>
          </w:p>
        </w:tc>
        <w:tc>
          <w:tcPr>
            <w:tcW w:w="920" w:type="dxa"/>
            <w:tcBorders>
              <w:bottom w:val="single" w:sz="6" w:space="0" w:color="000000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846</w:t>
            </w:r>
          </w:p>
        </w:tc>
        <w:tc>
          <w:tcPr>
            <w:tcW w:w="1136" w:type="dxa"/>
            <w:tcBorders>
              <w:bottom w:val="single" w:sz="6" w:space="0" w:color="000000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ND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ND</w:t>
            </w:r>
          </w:p>
        </w:tc>
        <w:tc>
          <w:tcPr>
            <w:tcW w:w="954" w:type="dxa"/>
            <w:tcBorders>
              <w:bottom w:val="single" w:sz="6" w:space="0" w:color="000000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1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2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N</w:t>
            </w:r>
          </w:p>
        </w:tc>
        <w:tc>
          <w:tcPr>
            <w:tcW w:w="900" w:type="dxa"/>
            <w:gridSpan w:val="2"/>
            <w:tcBorders>
              <w:bottom w:val="single" w:sz="6" w:space="0" w:color="000000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Y</w:t>
            </w:r>
          </w:p>
        </w:tc>
        <w:tc>
          <w:tcPr>
            <w:tcW w:w="990" w:type="dxa"/>
            <w:tcBorders>
              <w:bottom w:val="single" w:sz="6" w:space="0" w:color="000000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Y</w:t>
            </w:r>
          </w:p>
        </w:tc>
        <w:tc>
          <w:tcPr>
            <w:tcW w:w="2471" w:type="dxa"/>
            <w:tcBorders>
              <w:left w:val="nil"/>
              <w:bottom w:val="single" w:sz="6" w:space="0" w:color="000000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rPr>
                <w:sz w:val="20"/>
              </w:rPr>
            </w:pPr>
          </w:p>
        </w:tc>
      </w:tr>
      <w:tr w:rsidR="00735F3F" w:rsidRPr="00735F3F" w:rsidTr="00D8508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9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735F3F" w:rsidRPr="00735F3F" w:rsidRDefault="00735F3F" w:rsidP="00735F3F">
            <w:pPr>
              <w:spacing w:before="60" w:after="60"/>
              <w:rPr>
                <w:b/>
                <w:sz w:val="20"/>
              </w:rPr>
            </w:pPr>
            <w:r w:rsidRPr="00735F3F">
              <w:rPr>
                <w:b/>
                <w:sz w:val="20"/>
              </w:rPr>
              <w:lastRenderedPageBreak/>
              <w:t>Section 5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13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D9D9D9"/>
            <w:vAlign w:val="center"/>
          </w:tcPr>
          <w:p w:rsidR="00735F3F" w:rsidRPr="00735F3F" w:rsidRDefault="00735F3F" w:rsidP="00735F3F">
            <w:pPr>
              <w:spacing w:before="60" w:after="60"/>
              <w:rPr>
                <w:sz w:val="20"/>
              </w:rPr>
            </w:pPr>
          </w:p>
        </w:tc>
      </w:tr>
      <w:tr w:rsidR="00735F3F" w:rsidRPr="00735F3F" w:rsidTr="00D8508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909" w:type="dxa"/>
            <w:tcBorders>
              <w:top w:val="single" w:sz="6" w:space="0" w:color="000000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rPr>
                <w:sz w:val="20"/>
              </w:rPr>
            </w:pPr>
            <w:r w:rsidRPr="00735F3F">
              <w:rPr>
                <w:sz w:val="20"/>
              </w:rPr>
              <w:t>2405</w:t>
            </w:r>
          </w:p>
        </w:tc>
        <w:tc>
          <w:tcPr>
            <w:tcW w:w="920" w:type="dxa"/>
            <w:tcBorders>
              <w:top w:val="single" w:sz="6" w:space="0" w:color="000000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801</w:t>
            </w:r>
          </w:p>
        </w:tc>
        <w:tc>
          <w:tcPr>
            <w:tcW w:w="1136" w:type="dxa"/>
            <w:tcBorders>
              <w:top w:val="single" w:sz="6" w:space="0" w:color="000000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ND</w:t>
            </w:r>
          </w:p>
        </w:tc>
        <w:tc>
          <w:tcPr>
            <w:tcW w:w="900" w:type="dxa"/>
            <w:tcBorders>
              <w:top w:val="single" w:sz="6" w:space="0" w:color="000000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ND</w:t>
            </w:r>
          </w:p>
        </w:tc>
        <w:tc>
          <w:tcPr>
            <w:tcW w:w="954" w:type="dxa"/>
            <w:tcBorders>
              <w:top w:val="single" w:sz="6" w:space="0" w:color="000000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5</w:t>
            </w:r>
          </w:p>
        </w:tc>
        <w:tc>
          <w:tcPr>
            <w:tcW w:w="1260" w:type="dxa"/>
            <w:tcBorders>
              <w:top w:val="single" w:sz="6" w:space="0" w:color="000000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N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Y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Y</w:t>
            </w:r>
          </w:p>
        </w:tc>
        <w:tc>
          <w:tcPr>
            <w:tcW w:w="2471" w:type="dxa"/>
            <w:tcBorders>
              <w:top w:val="single" w:sz="6" w:space="0" w:color="000000"/>
              <w:left w:val="nil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rPr>
                <w:sz w:val="20"/>
              </w:rPr>
            </w:pPr>
            <w:r w:rsidRPr="00735F3F">
              <w:rPr>
                <w:sz w:val="20"/>
              </w:rPr>
              <w:t>No odors detected</w:t>
            </w:r>
          </w:p>
        </w:tc>
      </w:tr>
      <w:tr w:rsidR="00735F3F" w:rsidRPr="00735F3F" w:rsidTr="00D8508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909" w:type="dxa"/>
            <w:vAlign w:val="center"/>
          </w:tcPr>
          <w:p w:rsidR="00735F3F" w:rsidRPr="00735F3F" w:rsidRDefault="00735F3F" w:rsidP="00735F3F">
            <w:pPr>
              <w:spacing w:before="60" w:after="60"/>
              <w:rPr>
                <w:sz w:val="20"/>
              </w:rPr>
            </w:pPr>
            <w:r w:rsidRPr="00735F3F">
              <w:rPr>
                <w:sz w:val="20"/>
              </w:rPr>
              <w:t>2407</w:t>
            </w:r>
          </w:p>
        </w:tc>
        <w:tc>
          <w:tcPr>
            <w:tcW w:w="920" w:type="dxa"/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888</w:t>
            </w:r>
          </w:p>
        </w:tc>
        <w:tc>
          <w:tcPr>
            <w:tcW w:w="1136" w:type="dxa"/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ND</w:t>
            </w:r>
          </w:p>
        </w:tc>
        <w:tc>
          <w:tcPr>
            <w:tcW w:w="900" w:type="dxa"/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ND</w:t>
            </w:r>
          </w:p>
        </w:tc>
        <w:tc>
          <w:tcPr>
            <w:tcW w:w="954" w:type="dxa"/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N</w:t>
            </w:r>
          </w:p>
        </w:tc>
        <w:tc>
          <w:tcPr>
            <w:tcW w:w="900" w:type="dxa"/>
            <w:gridSpan w:val="2"/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Y</w:t>
            </w:r>
          </w:p>
        </w:tc>
        <w:tc>
          <w:tcPr>
            <w:tcW w:w="990" w:type="dxa"/>
            <w:vAlign w:val="center"/>
          </w:tcPr>
          <w:p w:rsidR="00735F3F" w:rsidRPr="00735F3F" w:rsidRDefault="00735F3F" w:rsidP="00735F3F">
            <w:pPr>
              <w:spacing w:before="60" w:after="60"/>
              <w:jc w:val="center"/>
              <w:rPr>
                <w:sz w:val="20"/>
              </w:rPr>
            </w:pPr>
            <w:r w:rsidRPr="00735F3F">
              <w:rPr>
                <w:sz w:val="20"/>
              </w:rPr>
              <w:t>Y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735F3F" w:rsidRPr="00735F3F" w:rsidRDefault="00735F3F" w:rsidP="00735F3F">
            <w:pPr>
              <w:spacing w:before="60" w:after="60"/>
              <w:rPr>
                <w:sz w:val="20"/>
              </w:rPr>
            </w:pPr>
          </w:p>
        </w:tc>
      </w:tr>
    </w:tbl>
    <w:p w:rsidR="00735F3F" w:rsidRPr="00735F3F" w:rsidRDefault="00735F3F" w:rsidP="00735F3F"/>
    <w:p w:rsidR="00C8772C" w:rsidRPr="007F73BC" w:rsidRDefault="00C8772C" w:rsidP="007F73BC">
      <w:pPr>
        <w:spacing w:after="200" w:line="276" w:lineRule="auto"/>
        <w:jc w:val="center"/>
        <w:rPr>
          <w:rFonts w:eastAsia="Calibri"/>
          <w:b/>
          <w:szCs w:val="24"/>
        </w:rPr>
      </w:pPr>
    </w:p>
    <w:sectPr w:rsidR="00C8772C" w:rsidRPr="007F73BC" w:rsidSect="00735F3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5840" w:h="12240" w:orient="landscape" w:code="1"/>
      <w:pgMar w:top="446" w:right="720" w:bottom="806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8B1" w:rsidRDefault="00F738B1">
      <w:r>
        <w:separator/>
      </w:r>
    </w:p>
  </w:endnote>
  <w:endnote w:type="continuationSeparator" w:id="0">
    <w:p w:rsidR="00F738B1" w:rsidRDefault="00F73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D1F" w:rsidRDefault="00611D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611D1F" w:rsidRDefault="00611D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D1F" w:rsidRDefault="00611D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78AC">
      <w:rPr>
        <w:rStyle w:val="PageNumber"/>
        <w:noProof/>
      </w:rPr>
      <w:t>7</w:t>
    </w:r>
    <w:r>
      <w:rPr>
        <w:rStyle w:val="PageNumber"/>
      </w:rPr>
      <w:fldChar w:fldCharType="end"/>
    </w:r>
  </w:p>
  <w:p w:rsidR="00611D1F" w:rsidRDefault="00611D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945" w:rsidRDefault="00A85945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2172" w:type="dxa"/>
      <w:jc w:val="center"/>
      <w:tblInd w:w="-98" w:type="dxa"/>
      <w:tblLayout w:type="fixed"/>
      <w:tblLook w:val="0000" w:firstRow="0" w:lastRow="0" w:firstColumn="0" w:lastColumn="0" w:noHBand="0" w:noVBand="0"/>
    </w:tblPr>
    <w:tblGrid>
      <w:gridCol w:w="3407"/>
      <w:gridCol w:w="2229"/>
      <w:gridCol w:w="3981"/>
      <w:gridCol w:w="2555"/>
    </w:tblGrid>
    <w:tr w:rsidR="00A85945" w:rsidRPr="00F374D5" w:rsidTr="00A85945">
      <w:trPr>
        <w:trHeight w:val="313"/>
        <w:jc w:val="center"/>
      </w:trPr>
      <w:tc>
        <w:tcPr>
          <w:tcW w:w="340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A85945" w:rsidRPr="00F374D5" w:rsidRDefault="00A85945" w:rsidP="00A85945">
          <w:pPr>
            <w:rPr>
              <w:rFonts w:ascii="Times" w:hAnsi="Times" w:cs="Times"/>
              <w:sz w:val="20"/>
            </w:rPr>
          </w:pPr>
          <w:r w:rsidRPr="00F374D5">
            <w:rPr>
              <w:rFonts w:ascii="Times" w:hAnsi="Times" w:cs="Times"/>
              <w:sz w:val="20"/>
            </w:rPr>
            <w:t>ppm = parts per million</w:t>
          </w:r>
        </w:p>
      </w:tc>
      <w:tc>
        <w:tcPr>
          <w:tcW w:w="222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A85945" w:rsidRPr="00F374D5" w:rsidRDefault="00A85945" w:rsidP="00A85945">
          <w:pPr>
            <w:rPr>
              <w:rFonts w:ascii="Times" w:hAnsi="Times" w:cs="Times"/>
              <w:sz w:val="20"/>
            </w:rPr>
          </w:pPr>
          <w:r>
            <w:rPr>
              <w:rFonts w:ascii="Times" w:hAnsi="Times" w:cs="Times"/>
              <w:sz w:val="20"/>
            </w:rPr>
            <w:t>ND = non-detect</w:t>
          </w:r>
        </w:p>
      </w:tc>
      <w:tc>
        <w:tcPr>
          <w:tcW w:w="398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A85945" w:rsidRPr="00F374D5" w:rsidRDefault="00A85945" w:rsidP="00A85945">
          <w:pPr>
            <w:rPr>
              <w:rFonts w:ascii="Times" w:hAnsi="Times" w:cs="Times"/>
              <w:sz w:val="20"/>
            </w:rPr>
          </w:pPr>
          <w:r w:rsidRPr="00F374D5">
            <w:rPr>
              <w:rFonts w:ascii="Times" w:hAnsi="Times" w:cs="Times"/>
              <w:sz w:val="20"/>
            </w:rPr>
            <w:t>µg/</w:t>
          </w:r>
          <w:r w:rsidRPr="004A7B5E">
            <w:rPr>
              <w:b/>
              <w:sz w:val="20"/>
            </w:rPr>
            <w:t xml:space="preserve"> </w:t>
          </w:r>
          <w:r w:rsidRPr="004078BA">
            <w:rPr>
              <w:sz w:val="20"/>
            </w:rPr>
            <w:t>m</w:t>
          </w:r>
          <w:r w:rsidRPr="004078BA">
            <w:rPr>
              <w:sz w:val="20"/>
              <w:vertAlign w:val="superscript"/>
            </w:rPr>
            <w:t>3</w:t>
          </w:r>
          <w:r w:rsidRPr="00F374D5">
            <w:rPr>
              <w:rFonts w:ascii="Times" w:hAnsi="Times" w:cs="Times"/>
              <w:sz w:val="20"/>
            </w:rPr>
            <w:t xml:space="preserve"> = micrograms per cubic meter</w:t>
          </w:r>
        </w:p>
      </w:tc>
      <w:tc>
        <w:tcPr>
          <w:tcW w:w="255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A85945" w:rsidRPr="00F374D5" w:rsidRDefault="00A85945" w:rsidP="00A85945">
          <w:pPr>
            <w:rPr>
              <w:rFonts w:ascii="Times" w:hAnsi="Times" w:cs="Times"/>
              <w:sz w:val="20"/>
            </w:rPr>
          </w:pPr>
          <w:r>
            <w:rPr>
              <w:rFonts w:ascii="Times" w:hAnsi="Times" w:cs="Times"/>
              <w:sz w:val="20"/>
            </w:rPr>
            <w:t>CO = carbon monoxide</w:t>
          </w:r>
        </w:p>
      </w:tc>
    </w:tr>
  </w:tbl>
  <w:p w:rsidR="00A85945" w:rsidRDefault="00A85945" w:rsidP="00A85945">
    <w:pPr>
      <w:jc w:val="right"/>
      <w:rPr>
        <w:sz w:val="20"/>
      </w:rPr>
    </w:pPr>
  </w:p>
  <w:p w:rsidR="00A85945" w:rsidRDefault="00A85945" w:rsidP="00A85945">
    <w:pPr>
      <w:tabs>
        <w:tab w:val="left" w:pos="9180"/>
      </w:tabs>
    </w:pPr>
    <w:r>
      <w:rPr>
        <w:b/>
        <w:sz w:val="20"/>
      </w:rPr>
      <w:t>Comfort Guidelines</w:t>
    </w:r>
  </w:p>
  <w:tbl>
    <w:tblPr>
      <w:tblW w:w="0" w:type="auto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000" w:firstRow="0" w:lastRow="0" w:firstColumn="0" w:lastColumn="0" w:noHBand="0" w:noVBand="0"/>
    </w:tblPr>
    <w:tblGrid>
      <w:gridCol w:w="2718"/>
      <w:gridCol w:w="4860"/>
      <w:gridCol w:w="3600"/>
      <w:gridCol w:w="3420"/>
    </w:tblGrid>
    <w:tr w:rsidR="00A85945" w:rsidTr="00A85945">
      <w:tblPrEx>
        <w:tblCellMar>
          <w:top w:w="0" w:type="dxa"/>
          <w:bottom w:w="0" w:type="dxa"/>
        </w:tblCellMar>
      </w:tblPrEx>
      <w:tc>
        <w:tcPr>
          <w:tcW w:w="2718" w:type="dxa"/>
        </w:tcPr>
        <w:p w:rsidR="00A85945" w:rsidRDefault="00A85945" w:rsidP="00A85945">
          <w:pPr>
            <w:jc w:val="right"/>
            <w:rPr>
              <w:sz w:val="20"/>
              <w:lang w:val="fr-FR"/>
            </w:rPr>
          </w:pPr>
          <w:proofErr w:type="spellStart"/>
          <w:r>
            <w:rPr>
              <w:sz w:val="20"/>
              <w:lang w:val="fr-FR"/>
            </w:rPr>
            <w:t>Carbon</w:t>
          </w:r>
          <w:proofErr w:type="spellEnd"/>
          <w:r>
            <w:rPr>
              <w:sz w:val="20"/>
              <w:lang w:val="fr-FR"/>
            </w:rPr>
            <w:t xml:space="preserve"> </w:t>
          </w:r>
          <w:proofErr w:type="spellStart"/>
          <w:r>
            <w:rPr>
              <w:sz w:val="20"/>
              <w:lang w:val="fr-FR"/>
            </w:rPr>
            <w:t>Dioxide</w:t>
          </w:r>
          <w:proofErr w:type="spellEnd"/>
          <w:r>
            <w:rPr>
              <w:sz w:val="20"/>
              <w:lang w:val="fr-FR"/>
            </w:rPr>
            <w:t>:</w:t>
          </w:r>
        </w:p>
      </w:tc>
      <w:tc>
        <w:tcPr>
          <w:tcW w:w="4860" w:type="dxa"/>
        </w:tcPr>
        <w:p w:rsidR="00A85945" w:rsidRDefault="00A85945" w:rsidP="00A85945">
          <w:pPr>
            <w:rPr>
              <w:sz w:val="20"/>
            </w:rPr>
          </w:pPr>
          <w:r>
            <w:rPr>
              <w:sz w:val="20"/>
            </w:rPr>
            <w:t>&lt; 800 ppm = preferred</w:t>
          </w:r>
        </w:p>
      </w:tc>
      <w:tc>
        <w:tcPr>
          <w:tcW w:w="3600" w:type="dxa"/>
        </w:tcPr>
        <w:p w:rsidR="00A85945" w:rsidRDefault="00A85945" w:rsidP="00A85945">
          <w:pPr>
            <w:jc w:val="right"/>
            <w:rPr>
              <w:sz w:val="20"/>
            </w:rPr>
          </w:pPr>
          <w:r>
            <w:rPr>
              <w:sz w:val="20"/>
            </w:rPr>
            <w:t>Temperature:</w:t>
          </w:r>
        </w:p>
      </w:tc>
      <w:tc>
        <w:tcPr>
          <w:tcW w:w="3420" w:type="dxa"/>
        </w:tcPr>
        <w:p w:rsidR="00A85945" w:rsidRDefault="00A85945" w:rsidP="00A85945">
          <w:pPr>
            <w:rPr>
              <w:sz w:val="20"/>
            </w:rPr>
          </w:pPr>
          <w:r>
            <w:rPr>
              <w:sz w:val="20"/>
            </w:rPr>
            <w:t>70 - 78 °F</w:t>
          </w:r>
        </w:p>
      </w:tc>
    </w:tr>
    <w:tr w:rsidR="00A85945" w:rsidTr="00A85945">
      <w:tblPrEx>
        <w:tblCellMar>
          <w:top w:w="0" w:type="dxa"/>
          <w:bottom w:w="0" w:type="dxa"/>
        </w:tblCellMar>
      </w:tblPrEx>
      <w:tc>
        <w:tcPr>
          <w:tcW w:w="2718" w:type="dxa"/>
        </w:tcPr>
        <w:p w:rsidR="00A85945" w:rsidRDefault="00A85945" w:rsidP="00A85945">
          <w:pPr>
            <w:jc w:val="right"/>
            <w:rPr>
              <w:sz w:val="20"/>
            </w:rPr>
          </w:pPr>
        </w:p>
      </w:tc>
      <w:tc>
        <w:tcPr>
          <w:tcW w:w="4860" w:type="dxa"/>
        </w:tcPr>
        <w:p w:rsidR="00A85945" w:rsidRDefault="00A85945" w:rsidP="00A85945">
          <w:pPr>
            <w:rPr>
              <w:sz w:val="20"/>
            </w:rPr>
          </w:pPr>
          <w:r>
            <w:rPr>
              <w:sz w:val="20"/>
            </w:rPr>
            <w:t>&gt; 800 ppm = indicative of ventilation problems</w:t>
          </w:r>
        </w:p>
      </w:tc>
      <w:tc>
        <w:tcPr>
          <w:tcW w:w="3600" w:type="dxa"/>
        </w:tcPr>
        <w:p w:rsidR="00A85945" w:rsidRDefault="00A85945" w:rsidP="00A85945">
          <w:pPr>
            <w:jc w:val="right"/>
            <w:rPr>
              <w:sz w:val="20"/>
            </w:rPr>
          </w:pPr>
          <w:r>
            <w:rPr>
              <w:sz w:val="20"/>
            </w:rPr>
            <w:t>Relative Humidity:</w:t>
          </w:r>
        </w:p>
      </w:tc>
      <w:tc>
        <w:tcPr>
          <w:tcW w:w="3420" w:type="dxa"/>
        </w:tcPr>
        <w:p w:rsidR="00A85945" w:rsidRDefault="00A85945" w:rsidP="00A85945">
          <w:pPr>
            <w:rPr>
              <w:sz w:val="20"/>
            </w:rPr>
          </w:pPr>
          <w:r>
            <w:rPr>
              <w:sz w:val="20"/>
            </w:rPr>
            <w:t>40 - 60%</w:t>
          </w:r>
        </w:p>
      </w:tc>
    </w:tr>
  </w:tbl>
  <w:p w:rsidR="00A85945" w:rsidRDefault="00A85945" w:rsidP="00A85945">
    <w:pPr>
      <w:pStyle w:val="Footer"/>
      <w:jc w:val="center"/>
    </w:pPr>
  </w:p>
  <w:p w:rsidR="00A85945" w:rsidRPr="00FB37EB" w:rsidRDefault="00A85945" w:rsidP="00A85945">
    <w:pPr>
      <w:pStyle w:val="Footer"/>
      <w:jc w:val="center"/>
    </w:pPr>
    <w:r>
      <w:t xml:space="preserve">Table 1,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78AC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2172" w:type="dxa"/>
      <w:jc w:val="center"/>
      <w:tblInd w:w="-98" w:type="dxa"/>
      <w:tblLayout w:type="fixed"/>
      <w:tblLook w:val="0000" w:firstRow="0" w:lastRow="0" w:firstColumn="0" w:lastColumn="0" w:noHBand="0" w:noVBand="0"/>
    </w:tblPr>
    <w:tblGrid>
      <w:gridCol w:w="3407"/>
      <w:gridCol w:w="2229"/>
      <w:gridCol w:w="3981"/>
      <w:gridCol w:w="2555"/>
    </w:tblGrid>
    <w:tr w:rsidR="00A85945" w:rsidRPr="00F374D5" w:rsidTr="00A85945">
      <w:trPr>
        <w:trHeight w:val="313"/>
        <w:jc w:val="center"/>
      </w:trPr>
      <w:tc>
        <w:tcPr>
          <w:tcW w:w="340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A85945" w:rsidRPr="00F374D5" w:rsidRDefault="00A85945" w:rsidP="00A85945">
          <w:pPr>
            <w:rPr>
              <w:rFonts w:ascii="Times" w:hAnsi="Times" w:cs="Times"/>
              <w:sz w:val="20"/>
            </w:rPr>
          </w:pPr>
          <w:r w:rsidRPr="00F374D5">
            <w:rPr>
              <w:rFonts w:ascii="Times" w:hAnsi="Times" w:cs="Times"/>
              <w:sz w:val="20"/>
            </w:rPr>
            <w:t>ppm = parts per million</w:t>
          </w:r>
        </w:p>
      </w:tc>
      <w:tc>
        <w:tcPr>
          <w:tcW w:w="222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A85945" w:rsidRPr="00F374D5" w:rsidRDefault="00A85945" w:rsidP="00A85945">
          <w:pPr>
            <w:rPr>
              <w:rFonts w:ascii="Times" w:hAnsi="Times" w:cs="Times"/>
              <w:sz w:val="20"/>
            </w:rPr>
          </w:pPr>
          <w:r>
            <w:rPr>
              <w:rFonts w:ascii="Times" w:hAnsi="Times" w:cs="Times"/>
              <w:sz w:val="20"/>
            </w:rPr>
            <w:t>ND = non-detect</w:t>
          </w:r>
        </w:p>
      </w:tc>
      <w:tc>
        <w:tcPr>
          <w:tcW w:w="398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A85945" w:rsidRPr="00F374D5" w:rsidRDefault="00A85945" w:rsidP="00A85945">
          <w:pPr>
            <w:rPr>
              <w:rFonts w:ascii="Times" w:hAnsi="Times" w:cs="Times"/>
              <w:sz w:val="20"/>
            </w:rPr>
          </w:pPr>
          <w:r w:rsidRPr="00F374D5">
            <w:rPr>
              <w:rFonts w:ascii="Times" w:hAnsi="Times" w:cs="Times"/>
              <w:sz w:val="20"/>
            </w:rPr>
            <w:t>µg/</w:t>
          </w:r>
          <w:r w:rsidRPr="004A7B5E">
            <w:rPr>
              <w:b/>
              <w:sz w:val="20"/>
            </w:rPr>
            <w:t xml:space="preserve"> </w:t>
          </w:r>
          <w:r w:rsidRPr="004078BA">
            <w:rPr>
              <w:sz w:val="20"/>
            </w:rPr>
            <w:t>m</w:t>
          </w:r>
          <w:r w:rsidRPr="004078BA">
            <w:rPr>
              <w:sz w:val="20"/>
              <w:vertAlign w:val="superscript"/>
            </w:rPr>
            <w:t>3</w:t>
          </w:r>
          <w:r w:rsidRPr="00F374D5">
            <w:rPr>
              <w:rFonts w:ascii="Times" w:hAnsi="Times" w:cs="Times"/>
              <w:sz w:val="20"/>
            </w:rPr>
            <w:t xml:space="preserve"> = micrograms per cubic meter</w:t>
          </w:r>
        </w:p>
      </w:tc>
      <w:tc>
        <w:tcPr>
          <w:tcW w:w="255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A85945" w:rsidRPr="00F374D5" w:rsidRDefault="00A85945" w:rsidP="00A85945">
          <w:pPr>
            <w:rPr>
              <w:rFonts w:ascii="Times" w:hAnsi="Times" w:cs="Times"/>
              <w:sz w:val="20"/>
            </w:rPr>
          </w:pPr>
          <w:r>
            <w:rPr>
              <w:rFonts w:ascii="Times" w:hAnsi="Times" w:cs="Times"/>
              <w:sz w:val="20"/>
            </w:rPr>
            <w:t>CO = carbon monoxide</w:t>
          </w:r>
        </w:p>
      </w:tc>
    </w:tr>
  </w:tbl>
  <w:p w:rsidR="00A85945" w:rsidRDefault="00A85945" w:rsidP="00A85945">
    <w:pPr>
      <w:jc w:val="right"/>
      <w:rPr>
        <w:sz w:val="20"/>
      </w:rPr>
    </w:pPr>
  </w:p>
  <w:p w:rsidR="00A85945" w:rsidRDefault="00A85945" w:rsidP="00A85945">
    <w:pPr>
      <w:tabs>
        <w:tab w:val="left" w:pos="9180"/>
      </w:tabs>
    </w:pPr>
    <w:r>
      <w:rPr>
        <w:b/>
        <w:sz w:val="20"/>
      </w:rPr>
      <w:t>Comfort Guidelines</w:t>
    </w:r>
  </w:p>
  <w:tbl>
    <w:tblPr>
      <w:tblW w:w="0" w:type="auto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000" w:firstRow="0" w:lastRow="0" w:firstColumn="0" w:lastColumn="0" w:noHBand="0" w:noVBand="0"/>
    </w:tblPr>
    <w:tblGrid>
      <w:gridCol w:w="2718"/>
      <w:gridCol w:w="4860"/>
      <w:gridCol w:w="3600"/>
      <w:gridCol w:w="3420"/>
    </w:tblGrid>
    <w:tr w:rsidR="00A85945" w:rsidTr="00A85945">
      <w:tblPrEx>
        <w:tblCellMar>
          <w:top w:w="0" w:type="dxa"/>
          <w:bottom w:w="0" w:type="dxa"/>
        </w:tblCellMar>
      </w:tblPrEx>
      <w:tc>
        <w:tcPr>
          <w:tcW w:w="2718" w:type="dxa"/>
        </w:tcPr>
        <w:p w:rsidR="00A85945" w:rsidRDefault="00A85945" w:rsidP="00A85945">
          <w:pPr>
            <w:jc w:val="right"/>
            <w:rPr>
              <w:sz w:val="20"/>
              <w:lang w:val="fr-FR"/>
            </w:rPr>
          </w:pPr>
          <w:proofErr w:type="spellStart"/>
          <w:r>
            <w:rPr>
              <w:sz w:val="20"/>
              <w:lang w:val="fr-FR"/>
            </w:rPr>
            <w:t>Carbon</w:t>
          </w:r>
          <w:proofErr w:type="spellEnd"/>
          <w:r>
            <w:rPr>
              <w:sz w:val="20"/>
              <w:lang w:val="fr-FR"/>
            </w:rPr>
            <w:t xml:space="preserve"> </w:t>
          </w:r>
          <w:proofErr w:type="spellStart"/>
          <w:r>
            <w:rPr>
              <w:sz w:val="20"/>
              <w:lang w:val="fr-FR"/>
            </w:rPr>
            <w:t>Dioxide</w:t>
          </w:r>
          <w:proofErr w:type="spellEnd"/>
          <w:r>
            <w:rPr>
              <w:sz w:val="20"/>
              <w:lang w:val="fr-FR"/>
            </w:rPr>
            <w:t>:</w:t>
          </w:r>
        </w:p>
      </w:tc>
      <w:tc>
        <w:tcPr>
          <w:tcW w:w="4860" w:type="dxa"/>
        </w:tcPr>
        <w:p w:rsidR="00A85945" w:rsidRDefault="00A85945" w:rsidP="00A85945">
          <w:pPr>
            <w:rPr>
              <w:sz w:val="20"/>
            </w:rPr>
          </w:pPr>
          <w:r>
            <w:rPr>
              <w:sz w:val="20"/>
            </w:rPr>
            <w:t>&lt; 800 ppm = preferred</w:t>
          </w:r>
        </w:p>
      </w:tc>
      <w:tc>
        <w:tcPr>
          <w:tcW w:w="3600" w:type="dxa"/>
        </w:tcPr>
        <w:p w:rsidR="00A85945" w:rsidRDefault="00A85945" w:rsidP="00A85945">
          <w:pPr>
            <w:jc w:val="right"/>
            <w:rPr>
              <w:sz w:val="20"/>
            </w:rPr>
          </w:pPr>
          <w:r>
            <w:rPr>
              <w:sz w:val="20"/>
            </w:rPr>
            <w:t>Temperature:</w:t>
          </w:r>
        </w:p>
      </w:tc>
      <w:tc>
        <w:tcPr>
          <w:tcW w:w="3420" w:type="dxa"/>
        </w:tcPr>
        <w:p w:rsidR="00A85945" w:rsidRDefault="00A85945" w:rsidP="00A85945">
          <w:pPr>
            <w:rPr>
              <w:sz w:val="20"/>
            </w:rPr>
          </w:pPr>
          <w:r>
            <w:rPr>
              <w:sz w:val="20"/>
            </w:rPr>
            <w:t>70 - 78 °F</w:t>
          </w:r>
        </w:p>
      </w:tc>
    </w:tr>
    <w:tr w:rsidR="00A85945" w:rsidTr="00A85945">
      <w:tblPrEx>
        <w:tblCellMar>
          <w:top w:w="0" w:type="dxa"/>
          <w:bottom w:w="0" w:type="dxa"/>
        </w:tblCellMar>
      </w:tblPrEx>
      <w:tc>
        <w:tcPr>
          <w:tcW w:w="2718" w:type="dxa"/>
        </w:tcPr>
        <w:p w:rsidR="00A85945" w:rsidRDefault="00A85945" w:rsidP="00A85945">
          <w:pPr>
            <w:jc w:val="right"/>
            <w:rPr>
              <w:sz w:val="20"/>
            </w:rPr>
          </w:pPr>
        </w:p>
      </w:tc>
      <w:tc>
        <w:tcPr>
          <w:tcW w:w="4860" w:type="dxa"/>
        </w:tcPr>
        <w:p w:rsidR="00A85945" w:rsidRDefault="00A85945" w:rsidP="00A85945">
          <w:pPr>
            <w:rPr>
              <w:sz w:val="20"/>
            </w:rPr>
          </w:pPr>
          <w:r>
            <w:rPr>
              <w:sz w:val="20"/>
            </w:rPr>
            <w:t>&gt; 800 ppm = indicative of ventilation problems</w:t>
          </w:r>
        </w:p>
      </w:tc>
      <w:tc>
        <w:tcPr>
          <w:tcW w:w="3600" w:type="dxa"/>
        </w:tcPr>
        <w:p w:rsidR="00A85945" w:rsidRDefault="00A85945" w:rsidP="00A85945">
          <w:pPr>
            <w:jc w:val="right"/>
            <w:rPr>
              <w:sz w:val="20"/>
            </w:rPr>
          </w:pPr>
          <w:r>
            <w:rPr>
              <w:sz w:val="20"/>
            </w:rPr>
            <w:t>Relative Humidity:</w:t>
          </w:r>
        </w:p>
      </w:tc>
      <w:tc>
        <w:tcPr>
          <w:tcW w:w="3420" w:type="dxa"/>
        </w:tcPr>
        <w:p w:rsidR="00A85945" w:rsidRDefault="00A85945" w:rsidP="00A85945">
          <w:pPr>
            <w:rPr>
              <w:sz w:val="20"/>
            </w:rPr>
          </w:pPr>
          <w:r>
            <w:rPr>
              <w:sz w:val="20"/>
            </w:rPr>
            <w:t>40 - 60%</w:t>
          </w:r>
        </w:p>
      </w:tc>
    </w:tr>
  </w:tbl>
  <w:p w:rsidR="00A85945" w:rsidRDefault="00A85945" w:rsidP="00A85945">
    <w:pPr>
      <w:pStyle w:val="Footer"/>
      <w:jc w:val="center"/>
    </w:pPr>
  </w:p>
  <w:p w:rsidR="00A85945" w:rsidRDefault="00A85945" w:rsidP="00A85945">
    <w:pPr>
      <w:pStyle w:val="Footer"/>
      <w:jc w:val="center"/>
    </w:pPr>
    <w:r>
      <w:t xml:space="preserve">Table 1,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78AC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8B1" w:rsidRDefault="00F738B1">
      <w:r>
        <w:separator/>
      </w:r>
    </w:p>
  </w:footnote>
  <w:footnote w:type="continuationSeparator" w:id="0">
    <w:p w:rsidR="00F738B1" w:rsidRDefault="00F73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945" w:rsidRDefault="00A859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4872"/>
      <w:gridCol w:w="4872"/>
      <w:gridCol w:w="2514"/>
      <w:gridCol w:w="2358"/>
    </w:tblGrid>
    <w:tr w:rsidR="00A85945" w:rsidTr="00A85945">
      <w:tblPrEx>
        <w:tblCellMar>
          <w:top w:w="0" w:type="dxa"/>
          <w:bottom w:w="0" w:type="dxa"/>
        </w:tblCellMar>
      </w:tblPrEx>
      <w:trPr>
        <w:cantSplit/>
      </w:trPr>
      <w:tc>
        <w:tcPr>
          <w:tcW w:w="12258" w:type="dxa"/>
          <w:gridSpan w:val="3"/>
        </w:tcPr>
        <w:p w:rsidR="00A85945" w:rsidRPr="00677AC6" w:rsidRDefault="00A85945" w:rsidP="00A85945">
          <w:pPr>
            <w:pStyle w:val="Header"/>
            <w:spacing w:before="60" w:after="60"/>
            <w:rPr>
              <w:b/>
            </w:rPr>
          </w:pPr>
          <w:r>
            <w:rPr>
              <w:b/>
            </w:rPr>
            <w:t>Location: EOHHS, Dept. of Children and Families</w:t>
          </w:r>
        </w:p>
      </w:tc>
      <w:tc>
        <w:tcPr>
          <w:tcW w:w="2358" w:type="dxa"/>
        </w:tcPr>
        <w:p w:rsidR="00A85945" w:rsidRDefault="00A85945" w:rsidP="00A85945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</w:rPr>
          </w:pPr>
          <w:r>
            <w:rPr>
              <w:b/>
            </w:rPr>
            <w:t>Indoor Air Results</w:t>
          </w:r>
        </w:p>
      </w:tc>
    </w:tr>
    <w:tr w:rsidR="00A85945" w:rsidTr="00A85945">
      <w:tblPrEx>
        <w:tblCellMar>
          <w:top w:w="0" w:type="dxa"/>
          <w:bottom w:w="0" w:type="dxa"/>
        </w:tblCellMar>
      </w:tblPrEx>
      <w:trPr>
        <w:cantSplit/>
      </w:trPr>
      <w:tc>
        <w:tcPr>
          <w:tcW w:w="4872" w:type="dxa"/>
        </w:tcPr>
        <w:p w:rsidR="00A85945" w:rsidRDefault="00A85945" w:rsidP="00A85945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</w:rPr>
          </w:pPr>
          <w:r>
            <w:rPr>
              <w:b/>
            </w:rPr>
            <w:t>Address: 300 Howard St., Framingham, MA</w:t>
          </w:r>
        </w:p>
      </w:tc>
      <w:tc>
        <w:tcPr>
          <w:tcW w:w="4872" w:type="dxa"/>
        </w:tcPr>
        <w:p w:rsidR="00A85945" w:rsidRDefault="00A85945" w:rsidP="00A85945">
          <w:pPr>
            <w:pStyle w:val="Header"/>
            <w:tabs>
              <w:tab w:val="clear" w:pos="4320"/>
              <w:tab w:val="clear" w:pos="8640"/>
            </w:tabs>
            <w:spacing w:before="60" w:after="60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Table 1 (continued)</w:t>
          </w:r>
        </w:p>
      </w:tc>
      <w:tc>
        <w:tcPr>
          <w:tcW w:w="2514" w:type="dxa"/>
        </w:tcPr>
        <w:p w:rsidR="00A85945" w:rsidRDefault="00A85945" w:rsidP="00A85945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</w:rPr>
          </w:pPr>
        </w:p>
      </w:tc>
      <w:tc>
        <w:tcPr>
          <w:tcW w:w="2358" w:type="dxa"/>
        </w:tcPr>
        <w:p w:rsidR="00A85945" w:rsidRDefault="00A85945" w:rsidP="00A85945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</w:rPr>
          </w:pPr>
          <w:r w:rsidRPr="00677AC6">
            <w:rPr>
              <w:b/>
            </w:rPr>
            <w:t xml:space="preserve">Date: </w:t>
          </w:r>
          <w:r>
            <w:rPr>
              <w:b/>
            </w:rPr>
            <w:t>2/11/2016</w:t>
          </w:r>
        </w:p>
      </w:tc>
    </w:tr>
  </w:tbl>
  <w:p w:rsidR="00A85945" w:rsidRPr="00FB37EB" w:rsidRDefault="00A85945" w:rsidP="00A8594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4872"/>
      <w:gridCol w:w="4872"/>
      <w:gridCol w:w="2514"/>
      <w:gridCol w:w="2358"/>
    </w:tblGrid>
    <w:tr w:rsidR="00A85945" w:rsidTr="00A85945">
      <w:tblPrEx>
        <w:tblCellMar>
          <w:top w:w="0" w:type="dxa"/>
          <w:bottom w:w="0" w:type="dxa"/>
        </w:tblCellMar>
      </w:tblPrEx>
      <w:trPr>
        <w:cantSplit/>
      </w:trPr>
      <w:tc>
        <w:tcPr>
          <w:tcW w:w="12258" w:type="dxa"/>
          <w:gridSpan w:val="3"/>
        </w:tcPr>
        <w:p w:rsidR="00A85945" w:rsidRPr="00677AC6" w:rsidRDefault="00A85945" w:rsidP="00A85945">
          <w:pPr>
            <w:pStyle w:val="Header"/>
            <w:spacing w:before="60" w:after="60"/>
            <w:rPr>
              <w:b/>
            </w:rPr>
          </w:pPr>
          <w:r>
            <w:rPr>
              <w:b/>
            </w:rPr>
            <w:t xml:space="preserve">Location: EOHHS, Dept. of Children and Families </w:t>
          </w:r>
        </w:p>
      </w:tc>
      <w:tc>
        <w:tcPr>
          <w:tcW w:w="2358" w:type="dxa"/>
        </w:tcPr>
        <w:p w:rsidR="00A85945" w:rsidRDefault="00A85945" w:rsidP="00A85945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</w:rPr>
          </w:pPr>
          <w:r>
            <w:rPr>
              <w:b/>
            </w:rPr>
            <w:t>Indoor Air Results</w:t>
          </w:r>
        </w:p>
      </w:tc>
    </w:tr>
    <w:tr w:rsidR="00A85945" w:rsidTr="00A85945">
      <w:tblPrEx>
        <w:tblCellMar>
          <w:top w:w="0" w:type="dxa"/>
          <w:bottom w:w="0" w:type="dxa"/>
        </w:tblCellMar>
      </w:tblPrEx>
      <w:trPr>
        <w:cantSplit/>
      </w:trPr>
      <w:tc>
        <w:tcPr>
          <w:tcW w:w="4872" w:type="dxa"/>
        </w:tcPr>
        <w:p w:rsidR="00A85945" w:rsidRDefault="00A85945" w:rsidP="00A85945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</w:rPr>
          </w:pPr>
          <w:r>
            <w:rPr>
              <w:b/>
            </w:rPr>
            <w:t>Address: 300 Howard St., Framingham, MA</w:t>
          </w:r>
        </w:p>
      </w:tc>
      <w:tc>
        <w:tcPr>
          <w:tcW w:w="4872" w:type="dxa"/>
        </w:tcPr>
        <w:p w:rsidR="00A85945" w:rsidRDefault="00A85945" w:rsidP="00A85945">
          <w:pPr>
            <w:pStyle w:val="Header"/>
            <w:tabs>
              <w:tab w:val="clear" w:pos="4320"/>
              <w:tab w:val="clear" w:pos="8640"/>
            </w:tabs>
            <w:spacing w:before="60" w:after="60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Table 1</w:t>
          </w:r>
        </w:p>
      </w:tc>
      <w:tc>
        <w:tcPr>
          <w:tcW w:w="2514" w:type="dxa"/>
        </w:tcPr>
        <w:p w:rsidR="00A85945" w:rsidRDefault="00A85945" w:rsidP="00A85945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</w:rPr>
          </w:pPr>
        </w:p>
      </w:tc>
      <w:tc>
        <w:tcPr>
          <w:tcW w:w="2358" w:type="dxa"/>
        </w:tcPr>
        <w:p w:rsidR="00A85945" w:rsidRDefault="00A85945" w:rsidP="00A85945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</w:rPr>
          </w:pPr>
          <w:r w:rsidRPr="00677AC6">
            <w:rPr>
              <w:b/>
            </w:rPr>
            <w:t xml:space="preserve">Date: </w:t>
          </w:r>
          <w:r>
            <w:rPr>
              <w:b/>
            </w:rPr>
            <w:t>2/11/2016</w:t>
          </w:r>
        </w:p>
      </w:tc>
    </w:tr>
  </w:tbl>
  <w:p w:rsidR="00A85945" w:rsidRDefault="00A859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pStyle w:val="Heading4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pStyle w:val="Heading6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pStyle w:val="Heading7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pStyle w:val="Heading8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pStyle w:val="Heading9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>
    <w:nsid w:val="02CE4A32"/>
    <w:multiLevelType w:val="multilevel"/>
    <w:tmpl w:val="3AA88FB8"/>
    <w:numStyleLink w:val="StyleNumberedLeft055Hanging025"/>
  </w:abstractNum>
  <w:abstractNum w:abstractNumId="2">
    <w:nsid w:val="13304039"/>
    <w:multiLevelType w:val="multilevel"/>
    <w:tmpl w:val="2460C25C"/>
    <w:styleLink w:val="StyleNumbered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576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3">
    <w:nsid w:val="26C87ADF"/>
    <w:multiLevelType w:val="multilevel"/>
    <w:tmpl w:val="6B343F38"/>
    <w:styleLink w:val="StyleNumbered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pacing w:val="-3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>
    <w:nsid w:val="2D99063A"/>
    <w:multiLevelType w:val="multilevel"/>
    <w:tmpl w:val="3AA88FB8"/>
    <w:styleLink w:val="StyleNumberedLeft055Hanging025"/>
    <w:lvl w:ilvl="0">
      <w:start w:val="1"/>
      <w:numFmt w:val="decimal"/>
      <w:pStyle w:val="BodyTextNumberedConclusion"/>
      <w:lvlText w:val="%1."/>
      <w:lvlJc w:val="left"/>
      <w:pPr>
        <w:ind w:left="720" w:hanging="576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87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1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3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7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9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12" w:hanging="180"/>
      </w:pPr>
      <w:rPr>
        <w:rFonts w:hint="default"/>
      </w:rPr>
    </w:lvl>
  </w:abstractNum>
  <w:abstractNum w:abstractNumId="5">
    <w:nsid w:val="30B24EFB"/>
    <w:multiLevelType w:val="multilevel"/>
    <w:tmpl w:val="28FCADD2"/>
    <w:numStyleLink w:val="StyleBulletedSymbolsymbolLeft025Hanging025"/>
  </w:abstractNum>
  <w:abstractNum w:abstractNumId="6">
    <w:nsid w:val="310306A6"/>
    <w:multiLevelType w:val="singleLevel"/>
    <w:tmpl w:val="4E4E6E9C"/>
    <w:lvl w:ilvl="0">
      <w:start w:val="1"/>
      <w:numFmt w:val="decimal"/>
      <w:pStyle w:val="TOC6"/>
      <w:lvlText w:val="%1."/>
      <w:lvlJc w:val="righ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>
    <w:nsid w:val="3CB953B4"/>
    <w:multiLevelType w:val="multilevel"/>
    <w:tmpl w:val="49884270"/>
    <w:styleLink w:val="NumberedConclusion"/>
    <w:lvl w:ilvl="0">
      <w:start w:val="1"/>
      <w:numFmt w:val="decimal"/>
      <w:lvlText w:val="%1."/>
      <w:lvlJc w:val="right"/>
      <w:pPr>
        <w:ind w:left="720" w:hanging="576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656" w:hanging="57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92" w:hanging="5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28" w:hanging="57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64" w:hanging="576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57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36" w:hanging="57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2" w:hanging="576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08" w:hanging="576"/>
      </w:pPr>
      <w:rPr>
        <w:rFonts w:hint="default"/>
      </w:rPr>
    </w:lvl>
  </w:abstractNum>
  <w:abstractNum w:abstractNumId="8">
    <w:nsid w:val="462713B3"/>
    <w:multiLevelType w:val="multilevel"/>
    <w:tmpl w:val="28FCADD2"/>
    <w:styleLink w:val="StyleBulletedSymbolsymbolLeft025Hanging025"/>
    <w:lvl w:ilvl="0">
      <w:start w:val="1"/>
      <w:numFmt w:val="bullet"/>
      <w:pStyle w:val="BodyTextBulleted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4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BBD475AB-8EFA-4414-9CB2-22A98A4FDA57}"/>
    <w:docVar w:name="dgnword-eventsink" w:val="42411088"/>
  </w:docVars>
  <w:rsids>
    <w:rsidRoot w:val="007C4A18"/>
    <w:rsid w:val="000075C0"/>
    <w:rsid w:val="000144B1"/>
    <w:rsid w:val="00016BF0"/>
    <w:rsid w:val="0002128B"/>
    <w:rsid w:val="0002415F"/>
    <w:rsid w:val="000242DD"/>
    <w:rsid w:val="00025A79"/>
    <w:rsid w:val="00032F04"/>
    <w:rsid w:val="000354FC"/>
    <w:rsid w:val="00035523"/>
    <w:rsid w:val="00035787"/>
    <w:rsid w:val="000403EA"/>
    <w:rsid w:val="000405BD"/>
    <w:rsid w:val="0004287B"/>
    <w:rsid w:val="00042C13"/>
    <w:rsid w:val="000445B9"/>
    <w:rsid w:val="00045508"/>
    <w:rsid w:val="00046C24"/>
    <w:rsid w:val="00051744"/>
    <w:rsid w:val="00051D0C"/>
    <w:rsid w:val="00052401"/>
    <w:rsid w:val="00053959"/>
    <w:rsid w:val="00053C23"/>
    <w:rsid w:val="000547B6"/>
    <w:rsid w:val="00056442"/>
    <w:rsid w:val="00062766"/>
    <w:rsid w:val="0006325F"/>
    <w:rsid w:val="00063E8C"/>
    <w:rsid w:val="00064569"/>
    <w:rsid w:val="0006535D"/>
    <w:rsid w:val="0007042A"/>
    <w:rsid w:val="00076423"/>
    <w:rsid w:val="00077895"/>
    <w:rsid w:val="0008406E"/>
    <w:rsid w:val="000844A0"/>
    <w:rsid w:val="00084E04"/>
    <w:rsid w:val="000864B5"/>
    <w:rsid w:val="00090E91"/>
    <w:rsid w:val="00091572"/>
    <w:rsid w:val="00092FF9"/>
    <w:rsid w:val="0009646E"/>
    <w:rsid w:val="000A2E16"/>
    <w:rsid w:val="000A321D"/>
    <w:rsid w:val="000B1F52"/>
    <w:rsid w:val="000B3761"/>
    <w:rsid w:val="000B6CF5"/>
    <w:rsid w:val="000B7600"/>
    <w:rsid w:val="000C09CF"/>
    <w:rsid w:val="000C6745"/>
    <w:rsid w:val="000C6C7E"/>
    <w:rsid w:val="000C7FDD"/>
    <w:rsid w:val="000D3183"/>
    <w:rsid w:val="000D334D"/>
    <w:rsid w:val="000D72D9"/>
    <w:rsid w:val="000E3087"/>
    <w:rsid w:val="000E3506"/>
    <w:rsid w:val="000E4F07"/>
    <w:rsid w:val="000E5F7A"/>
    <w:rsid w:val="000F0731"/>
    <w:rsid w:val="000F176E"/>
    <w:rsid w:val="000F1DF7"/>
    <w:rsid w:val="000F2B18"/>
    <w:rsid w:val="000F3010"/>
    <w:rsid w:val="000F5EE5"/>
    <w:rsid w:val="000F758F"/>
    <w:rsid w:val="00105AB5"/>
    <w:rsid w:val="001060C3"/>
    <w:rsid w:val="001071C8"/>
    <w:rsid w:val="001076B7"/>
    <w:rsid w:val="0011710B"/>
    <w:rsid w:val="001171F3"/>
    <w:rsid w:val="00120993"/>
    <w:rsid w:val="00123760"/>
    <w:rsid w:val="00124C2C"/>
    <w:rsid w:val="0012500A"/>
    <w:rsid w:val="00127778"/>
    <w:rsid w:val="00133709"/>
    <w:rsid w:val="001348DA"/>
    <w:rsid w:val="00135446"/>
    <w:rsid w:val="001356AF"/>
    <w:rsid w:val="001371F0"/>
    <w:rsid w:val="00140548"/>
    <w:rsid w:val="001432B8"/>
    <w:rsid w:val="001472BB"/>
    <w:rsid w:val="00147E1F"/>
    <w:rsid w:val="00150E37"/>
    <w:rsid w:val="001521C9"/>
    <w:rsid w:val="001528B2"/>
    <w:rsid w:val="00156E1B"/>
    <w:rsid w:val="00162CB3"/>
    <w:rsid w:val="0016312E"/>
    <w:rsid w:val="001637AD"/>
    <w:rsid w:val="0016428F"/>
    <w:rsid w:val="00164B16"/>
    <w:rsid w:val="00164BDA"/>
    <w:rsid w:val="00164C73"/>
    <w:rsid w:val="0016728E"/>
    <w:rsid w:val="0016782B"/>
    <w:rsid w:val="0017365D"/>
    <w:rsid w:val="00176C1C"/>
    <w:rsid w:val="00177886"/>
    <w:rsid w:val="00177D9C"/>
    <w:rsid w:val="0018111C"/>
    <w:rsid w:val="0018703F"/>
    <w:rsid w:val="001872FA"/>
    <w:rsid w:val="00190099"/>
    <w:rsid w:val="001907CF"/>
    <w:rsid w:val="00192CE6"/>
    <w:rsid w:val="00193A41"/>
    <w:rsid w:val="001945E0"/>
    <w:rsid w:val="00194BA2"/>
    <w:rsid w:val="00194E3F"/>
    <w:rsid w:val="00196075"/>
    <w:rsid w:val="001A0CBA"/>
    <w:rsid w:val="001A1FF2"/>
    <w:rsid w:val="001A2472"/>
    <w:rsid w:val="001A273B"/>
    <w:rsid w:val="001A3254"/>
    <w:rsid w:val="001A3DF9"/>
    <w:rsid w:val="001A51F7"/>
    <w:rsid w:val="001A56B7"/>
    <w:rsid w:val="001A571C"/>
    <w:rsid w:val="001B1BBF"/>
    <w:rsid w:val="001B313D"/>
    <w:rsid w:val="001B3E82"/>
    <w:rsid w:val="001B6516"/>
    <w:rsid w:val="001C13AC"/>
    <w:rsid w:val="001C6237"/>
    <w:rsid w:val="001C71A7"/>
    <w:rsid w:val="001D44B2"/>
    <w:rsid w:val="001D4B00"/>
    <w:rsid w:val="001D4EEE"/>
    <w:rsid w:val="001E0ABF"/>
    <w:rsid w:val="001E310F"/>
    <w:rsid w:val="001E60BF"/>
    <w:rsid w:val="001F3D81"/>
    <w:rsid w:val="001F4798"/>
    <w:rsid w:val="001F5CED"/>
    <w:rsid w:val="001F65C7"/>
    <w:rsid w:val="001F7516"/>
    <w:rsid w:val="002010EE"/>
    <w:rsid w:val="00202766"/>
    <w:rsid w:val="002063D6"/>
    <w:rsid w:val="00207358"/>
    <w:rsid w:val="00207CEB"/>
    <w:rsid w:val="002115C8"/>
    <w:rsid w:val="0021172C"/>
    <w:rsid w:val="00212A1E"/>
    <w:rsid w:val="00213500"/>
    <w:rsid w:val="00215063"/>
    <w:rsid w:val="00215947"/>
    <w:rsid w:val="00215AE7"/>
    <w:rsid w:val="00220324"/>
    <w:rsid w:val="00221368"/>
    <w:rsid w:val="0022493D"/>
    <w:rsid w:val="0022723C"/>
    <w:rsid w:val="002272B3"/>
    <w:rsid w:val="00227E29"/>
    <w:rsid w:val="002319F9"/>
    <w:rsid w:val="00232629"/>
    <w:rsid w:val="0023384C"/>
    <w:rsid w:val="0023419C"/>
    <w:rsid w:val="00240DC2"/>
    <w:rsid w:val="00242B04"/>
    <w:rsid w:val="002471BE"/>
    <w:rsid w:val="002475C2"/>
    <w:rsid w:val="00247A05"/>
    <w:rsid w:val="00250913"/>
    <w:rsid w:val="00250BEB"/>
    <w:rsid w:val="00251D65"/>
    <w:rsid w:val="0025241C"/>
    <w:rsid w:val="002539AF"/>
    <w:rsid w:val="00254561"/>
    <w:rsid w:val="00255F41"/>
    <w:rsid w:val="00256008"/>
    <w:rsid w:val="002579A6"/>
    <w:rsid w:val="00261918"/>
    <w:rsid w:val="00263055"/>
    <w:rsid w:val="002642B9"/>
    <w:rsid w:val="00265AEE"/>
    <w:rsid w:val="00266F67"/>
    <w:rsid w:val="00271D86"/>
    <w:rsid w:val="00273E22"/>
    <w:rsid w:val="00275987"/>
    <w:rsid w:val="002766B4"/>
    <w:rsid w:val="00283B4F"/>
    <w:rsid w:val="00283F58"/>
    <w:rsid w:val="002850AA"/>
    <w:rsid w:val="00291371"/>
    <w:rsid w:val="00292CEA"/>
    <w:rsid w:val="00293A6F"/>
    <w:rsid w:val="00293F2E"/>
    <w:rsid w:val="00295164"/>
    <w:rsid w:val="002971FC"/>
    <w:rsid w:val="00297B7B"/>
    <w:rsid w:val="002A02EB"/>
    <w:rsid w:val="002A03AD"/>
    <w:rsid w:val="002A1611"/>
    <w:rsid w:val="002A247D"/>
    <w:rsid w:val="002A27C6"/>
    <w:rsid w:val="002A3278"/>
    <w:rsid w:val="002A540E"/>
    <w:rsid w:val="002B45FC"/>
    <w:rsid w:val="002B4A40"/>
    <w:rsid w:val="002B69C8"/>
    <w:rsid w:val="002C670D"/>
    <w:rsid w:val="002C6792"/>
    <w:rsid w:val="002C6C21"/>
    <w:rsid w:val="002D03C1"/>
    <w:rsid w:val="002D054F"/>
    <w:rsid w:val="002D57EB"/>
    <w:rsid w:val="002D5DA0"/>
    <w:rsid w:val="002D7367"/>
    <w:rsid w:val="002E1456"/>
    <w:rsid w:val="002E24D8"/>
    <w:rsid w:val="002E3AC2"/>
    <w:rsid w:val="002E3B20"/>
    <w:rsid w:val="002E4F9B"/>
    <w:rsid w:val="002E5E4C"/>
    <w:rsid w:val="002E6C8C"/>
    <w:rsid w:val="002F1142"/>
    <w:rsid w:val="002F2E55"/>
    <w:rsid w:val="002F537F"/>
    <w:rsid w:val="00300A22"/>
    <w:rsid w:val="003013A1"/>
    <w:rsid w:val="003032C2"/>
    <w:rsid w:val="00303FA3"/>
    <w:rsid w:val="003057DA"/>
    <w:rsid w:val="00306B40"/>
    <w:rsid w:val="00306E16"/>
    <w:rsid w:val="00307BFE"/>
    <w:rsid w:val="00311A23"/>
    <w:rsid w:val="00312771"/>
    <w:rsid w:val="00313FFB"/>
    <w:rsid w:val="0031572A"/>
    <w:rsid w:val="003209DA"/>
    <w:rsid w:val="00320D9C"/>
    <w:rsid w:val="003266A6"/>
    <w:rsid w:val="00330D51"/>
    <w:rsid w:val="00332937"/>
    <w:rsid w:val="00334C1B"/>
    <w:rsid w:val="00335550"/>
    <w:rsid w:val="003425EF"/>
    <w:rsid w:val="003455FE"/>
    <w:rsid w:val="00346B22"/>
    <w:rsid w:val="0035424E"/>
    <w:rsid w:val="00357888"/>
    <w:rsid w:val="0036046C"/>
    <w:rsid w:val="00361783"/>
    <w:rsid w:val="003617F8"/>
    <w:rsid w:val="00361D0A"/>
    <w:rsid w:val="00363F43"/>
    <w:rsid w:val="0036445C"/>
    <w:rsid w:val="00366847"/>
    <w:rsid w:val="003703E6"/>
    <w:rsid w:val="00371C91"/>
    <w:rsid w:val="003726F5"/>
    <w:rsid w:val="00372A31"/>
    <w:rsid w:val="00386EDB"/>
    <w:rsid w:val="00391501"/>
    <w:rsid w:val="00391DE9"/>
    <w:rsid w:val="00392614"/>
    <w:rsid w:val="00393194"/>
    <w:rsid w:val="003A3995"/>
    <w:rsid w:val="003A52E0"/>
    <w:rsid w:val="003B2312"/>
    <w:rsid w:val="003B23A6"/>
    <w:rsid w:val="003B42D7"/>
    <w:rsid w:val="003B50DC"/>
    <w:rsid w:val="003B5F6F"/>
    <w:rsid w:val="003B6373"/>
    <w:rsid w:val="003B652D"/>
    <w:rsid w:val="003C3911"/>
    <w:rsid w:val="003C4677"/>
    <w:rsid w:val="003C5A1F"/>
    <w:rsid w:val="003C6DD8"/>
    <w:rsid w:val="003D458D"/>
    <w:rsid w:val="003D54B4"/>
    <w:rsid w:val="003E1B1B"/>
    <w:rsid w:val="003E6478"/>
    <w:rsid w:val="003E67AA"/>
    <w:rsid w:val="003E7A81"/>
    <w:rsid w:val="003F397B"/>
    <w:rsid w:val="003F425D"/>
    <w:rsid w:val="003F5643"/>
    <w:rsid w:val="003F706A"/>
    <w:rsid w:val="003F7C96"/>
    <w:rsid w:val="00400531"/>
    <w:rsid w:val="00400893"/>
    <w:rsid w:val="00401E3A"/>
    <w:rsid w:val="00401EFF"/>
    <w:rsid w:val="004062BA"/>
    <w:rsid w:val="00410CDC"/>
    <w:rsid w:val="00411B8E"/>
    <w:rsid w:val="00411FE7"/>
    <w:rsid w:val="00413FBB"/>
    <w:rsid w:val="0041591F"/>
    <w:rsid w:val="004162A2"/>
    <w:rsid w:val="00416DD6"/>
    <w:rsid w:val="00420D5E"/>
    <w:rsid w:val="004216BD"/>
    <w:rsid w:val="00421F00"/>
    <w:rsid w:val="00423E34"/>
    <w:rsid w:val="00430212"/>
    <w:rsid w:val="004309EA"/>
    <w:rsid w:val="00430AEC"/>
    <w:rsid w:val="004317C7"/>
    <w:rsid w:val="004325BE"/>
    <w:rsid w:val="00432615"/>
    <w:rsid w:val="0043399C"/>
    <w:rsid w:val="0043519E"/>
    <w:rsid w:val="00437B1C"/>
    <w:rsid w:val="00440823"/>
    <w:rsid w:val="00441D82"/>
    <w:rsid w:val="00443D7D"/>
    <w:rsid w:val="0044495D"/>
    <w:rsid w:val="00445E28"/>
    <w:rsid w:val="004462B4"/>
    <w:rsid w:val="00446C84"/>
    <w:rsid w:val="00450157"/>
    <w:rsid w:val="0045054F"/>
    <w:rsid w:val="004505FB"/>
    <w:rsid w:val="00451025"/>
    <w:rsid w:val="0045129A"/>
    <w:rsid w:val="00451881"/>
    <w:rsid w:val="00453ABB"/>
    <w:rsid w:val="00460D79"/>
    <w:rsid w:val="0046365B"/>
    <w:rsid w:val="00466293"/>
    <w:rsid w:val="00467204"/>
    <w:rsid w:val="004701D8"/>
    <w:rsid w:val="00470826"/>
    <w:rsid w:val="004726D8"/>
    <w:rsid w:val="004735CF"/>
    <w:rsid w:val="00474094"/>
    <w:rsid w:val="00477385"/>
    <w:rsid w:val="00482646"/>
    <w:rsid w:val="0048285D"/>
    <w:rsid w:val="004832ED"/>
    <w:rsid w:val="004834FB"/>
    <w:rsid w:val="0048365C"/>
    <w:rsid w:val="004868BE"/>
    <w:rsid w:val="00486E62"/>
    <w:rsid w:val="0049216E"/>
    <w:rsid w:val="00493D80"/>
    <w:rsid w:val="0049402D"/>
    <w:rsid w:val="004A6A5C"/>
    <w:rsid w:val="004A764A"/>
    <w:rsid w:val="004A7A36"/>
    <w:rsid w:val="004A7A80"/>
    <w:rsid w:val="004B2FB7"/>
    <w:rsid w:val="004B3051"/>
    <w:rsid w:val="004C17BA"/>
    <w:rsid w:val="004C5C81"/>
    <w:rsid w:val="004D528F"/>
    <w:rsid w:val="004D6CCA"/>
    <w:rsid w:val="004E1BA1"/>
    <w:rsid w:val="004E2F22"/>
    <w:rsid w:val="004E5880"/>
    <w:rsid w:val="004E73D6"/>
    <w:rsid w:val="004F2108"/>
    <w:rsid w:val="004F265E"/>
    <w:rsid w:val="004F4CE8"/>
    <w:rsid w:val="004F6CF2"/>
    <w:rsid w:val="004F70F6"/>
    <w:rsid w:val="00503C45"/>
    <w:rsid w:val="00503F0F"/>
    <w:rsid w:val="005054AA"/>
    <w:rsid w:val="005069DF"/>
    <w:rsid w:val="005104A6"/>
    <w:rsid w:val="0051410F"/>
    <w:rsid w:val="00514986"/>
    <w:rsid w:val="005151C0"/>
    <w:rsid w:val="00515C8A"/>
    <w:rsid w:val="00516B13"/>
    <w:rsid w:val="00520881"/>
    <w:rsid w:val="00521397"/>
    <w:rsid w:val="00523649"/>
    <w:rsid w:val="00524009"/>
    <w:rsid w:val="00524869"/>
    <w:rsid w:val="00524BCD"/>
    <w:rsid w:val="00527551"/>
    <w:rsid w:val="00530219"/>
    <w:rsid w:val="00533F01"/>
    <w:rsid w:val="00534373"/>
    <w:rsid w:val="00534F1B"/>
    <w:rsid w:val="005375CA"/>
    <w:rsid w:val="0054276A"/>
    <w:rsid w:val="00544132"/>
    <w:rsid w:val="00546C65"/>
    <w:rsid w:val="00547A29"/>
    <w:rsid w:val="005516C2"/>
    <w:rsid w:val="00553DC6"/>
    <w:rsid w:val="00554E62"/>
    <w:rsid w:val="00557F93"/>
    <w:rsid w:val="00561032"/>
    <w:rsid w:val="005647E1"/>
    <w:rsid w:val="00571BB4"/>
    <w:rsid w:val="00571D2D"/>
    <w:rsid w:val="00575D38"/>
    <w:rsid w:val="00576005"/>
    <w:rsid w:val="0057647E"/>
    <w:rsid w:val="00576CED"/>
    <w:rsid w:val="00576F10"/>
    <w:rsid w:val="0058059E"/>
    <w:rsid w:val="00582D5D"/>
    <w:rsid w:val="00583C64"/>
    <w:rsid w:val="00584965"/>
    <w:rsid w:val="005869A2"/>
    <w:rsid w:val="00591826"/>
    <w:rsid w:val="00592A63"/>
    <w:rsid w:val="005946A2"/>
    <w:rsid w:val="00594E25"/>
    <w:rsid w:val="00596645"/>
    <w:rsid w:val="005A16A2"/>
    <w:rsid w:val="005A17B0"/>
    <w:rsid w:val="005A2836"/>
    <w:rsid w:val="005A4CB5"/>
    <w:rsid w:val="005B1CBC"/>
    <w:rsid w:val="005B24AA"/>
    <w:rsid w:val="005B2F0D"/>
    <w:rsid w:val="005B4065"/>
    <w:rsid w:val="005B42C3"/>
    <w:rsid w:val="005B48E0"/>
    <w:rsid w:val="005C0987"/>
    <w:rsid w:val="005C2241"/>
    <w:rsid w:val="005D0364"/>
    <w:rsid w:val="005D21CE"/>
    <w:rsid w:val="005D61E2"/>
    <w:rsid w:val="005D7377"/>
    <w:rsid w:val="005D7C76"/>
    <w:rsid w:val="005E194E"/>
    <w:rsid w:val="005E2906"/>
    <w:rsid w:val="005E5E52"/>
    <w:rsid w:val="005F135A"/>
    <w:rsid w:val="005F28D9"/>
    <w:rsid w:val="005F3BB8"/>
    <w:rsid w:val="005F46BB"/>
    <w:rsid w:val="005F56E4"/>
    <w:rsid w:val="005F5726"/>
    <w:rsid w:val="005F6B30"/>
    <w:rsid w:val="005F70F2"/>
    <w:rsid w:val="00605D85"/>
    <w:rsid w:val="0060659C"/>
    <w:rsid w:val="00606617"/>
    <w:rsid w:val="00606D69"/>
    <w:rsid w:val="00606E03"/>
    <w:rsid w:val="00606E9D"/>
    <w:rsid w:val="0060798B"/>
    <w:rsid w:val="00610F14"/>
    <w:rsid w:val="00611D1F"/>
    <w:rsid w:val="00611FB5"/>
    <w:rsid w:val="00612A37"/>
    <w:rsid w:val="00613014"/>
    <w:rsid w:val="00613713"/>
    <w:rsid w:val="006179C3"/>
    <w:rsid w:val="00624FF4"/>
    <w:rsid w:val="006404DE"/>
    <w:rsid w:val="00640505"/>
    <w:rsid w:val="00642274"/>
    <w:rsid w:val="00643166"/>
    <w:rsid w:val="006435E3"/>
    <w:rsid w:val="006453C6"/>
    <w:rsid w:val="00646928"/>
    <w:rsid w:val="006501A6"/>
    <w:rsid w:val="00651CEB"/>
    <w:rsid w:val="006550A5"/>
    <w:rsid w:val="00656DA6"/>
    <w:rsid w:val="00661333"/>
    <w:rsid w:val="00662176"/>
    <w:rsid w:val="006652E8"/>
    <w:rsid w:val="00665423"/>
    <w:rsid w:val="00673419"/>
    <w:rsid w:val="0067562C"/>
    <w:rsid w:val="00676F3D"/>
    <w:rsid w:val="0068094D"/>
    <w:rsid w:val="0068132D"/>
    <w:rsid w:val="0069201C"/>
    <w:rsid w:val="00694B99"/>
    <w:rsid w:val="006969F0"/>
    <w:rsid w:val="006A0211"/>
    <w:rsid w:val="006A1AA4"/>
    <w:rsid w:val="006A474E"/>
    <w:rsid w:val="006A4A99"/>
    <w:rsid w:val="006A74BF"/>
    <w:rsid w:val="006B4190"/>
    <w:rsid w:val="006C3609"/>
    <w:rsid w:val="006C71E8"/>
    <w:rsid w:val="006C7326"/>
    <w:rsid w:val="006C75C7"/>
    <w:rsid w:val="006D0F26"/>
    <w:rsid w:val="006D1D68"/>
    <w:rsid w:val="006D4AA2"/>
    <w:rsid w:val="006D77B8"/>
    <w:rsid w:val="006E31E7"/>
    <w:rsid w:val="006E339F"/>
    <w:rsid w:val="006E3423"/>
    <w:rsid w:val="006E4B37"/>
    <w:rsid w:val="006E53A4"/>
    <w:rsid w:val="006E58B6"/>
    <w:rsid w:val="006E7E65"/>
    <w:rsid w:val="006F3279"/>
    <w:rsid w:val="006F5808"/>
    <w:rsid w:val="00704FA5"/>
    <w:rsid w:val="00705DDB"/>
    <w:rsid w:val="00707702"/>
    <w:rsid w:val="00710343"/>
    <w:rsid w:val="007110EB"/>
    <w:rsid w:val="0071374A"/>
    <w:rsid w:val="00721418"/>
    <w:rsid w:val="00721479"/>
    <w:rsid w:val="00722191"/>
    <w:rsid w:val="00722DF6"/>
    <w:rsid w:val="00726CCE"/>
    <w:rsid w:val="00735F3F"/>
    <w:rsid w:val="007417B4"/>
    <w:rsid w:val="00742BFE"/>
    <w:rsid w:val="00743EB2"/>
    <w:rsid w:val="007442B7"/>
    <w:rsid w:val="007470EE"/>
    <w:rsid w:val="00747132"/>
    <w:rsid w:val="007471FA"/>
    <w:rsid w:val="00752561"/>
    <w:rsid w:val="007542B6"/>
    <w:rsid w:val="00754608"/>
    <w:rsid w:val="00756365"/>
    <w:rsid w:val="007565CD"/>
    <w:rsid w:val="007567B0"/>
    <w:rsid w:val="00756973"/>
    <w:rsid w:val="00756E8A"/>
    <w:rsid w:val="007612B2"/>
    <w:rsid w:val="00770CB5"/>
    <w:rsid w:val="00775C1E"/>
    <w:rsid w:val="00776ABF"/>
    <w:rsid w:val="00777C44"/>
    <w:rsid w:val="007808FD"/>
    <w:rsid w:val="007815A6"/>
    <w:rsid w:val="007820E8"/>
    <w:rsid w:val="0078314D"/>
    <w:rsid w:val="00783660"/>
    <w:rsid w:val="00786B34"/>
    <w:rsid w:val="00787628"/>
    <w:rsid w:val="00790F13"/>
    <w:rsid w:val="0079100D"/>
    <w:rsid w:val="00791B5A"/>
    <w:rsid w:val="00792FD4"/>
    <w:rsid w:val="00793456"/>
    <w:rsid w:val="007941B2"/>
    <w:rsid w:val="00794818"/>
    <w:rsid w:val="0079561C"/>
    <w:rsid w:val="00796448"/>
    <w:rsid w:val="007A066C"/>
    <w:rsid w:val="007A4834"/>
    <w:rsid w:val="007A51C1"/>
    <w:rsid w:val="007A561C"/>
    <w:rsid w:val="007B2A63"/>
    <w:rsid w:val="007B703B"/>
    <w:rsid w:val="007B7868"/>
    <w:rsid w:val="007C393B"/>
    <w:rsid w:val="007C49BA"/>
    <w:rsid w:val="007C4A18"/>
    <w:rsid w:val="007C55CB"/>
    <w:rsid w:val="007C5E18"/>
    <w:rsid w:val="007C6406"/>
    <w:rsid w:val="007D167E"/>
    <w:rsid w:val="007E026F"/>
    <w:rsid w:val="007E118F"/>
    <w:rsid w:val="007E2686"/>
    <w:rsid w:val="007E4F7F"/>
    <w:rsid w:val="007E5E23"/>
    <w:rsid w:val="007F0488"/>
    <w:rsid w:val="007F17FF"/>
    <w:rsid w:val="007F25A6"/>
    <w:rsid w:val="007F4519"/>
    <w:rsid w:val="007F73BC"/>
    <w:rsid w:val="008021ED"/>
    <w:rsid w:val="00803323"/>
    <w:rsid w:val="008033D7"/>
    <w:rsid w:val="00804AE4"/>
    <w:rsid w:val="00804BAE"/>
    <w:rsid w:val="0080590E"/>
    <w:rsid w:val="00810203"/>
    <w:rsid w:val="008113DF"/>
    <w:rsid w:val="0081443E"/>
    <w:rsid w:val="008154DB"/>
    <w:rsid w:val="0081627C"/>
    <w:rsid w:val="00816B32"/>
    <w:rsid w:val="00817909"/>
    <w:rsid w:val="00821692"/>
    <w:rsid w:val="008226D3"/>
    <w:rsid w:val="00822823"/>
    <w:rsid w:val="00822DA0"/>
    <w:rsid w:val="0082347F"/>
    <w:rsid w:val="00823584"/>
    <w:rsid w:val="00823B7A"/>
    <w:rsid w:val="008259FE"/>
    <w:rsid w:val="00825CD1"/>
    <w:rsid w:val="008301AA"/>
    <w:rsid w:val="00831F35"/>
    <w:rsid w:val="00835849"/>
    <w:rsid w:val="00836554"/>
    <w:rsid w:val="00837D7C"/>
    <w:rsid w:val="008426D7"/>
    <w:rsid w:val="0084294D"/>
    <w:rsid w:val="0084327F"/>
    <w:rsid w:val="00843A7F"/>
    <w:rsid w:val="00843AE7"/>
    <w:rsid w:val="00845B74"/>
    <w:rsid w:val="008509CD"/>
    <w:rsid w:val="008514E4"/>
    <w:rsid w:val="0085292A"/>
    <w:rsid w:val="00853CEB"/>
    <w:rsid w:val="00857435"/>
    <w:rsid w:val="00857F59"/>
    <w:rsid w:val="00861A5C"/>
    <w:rsid w:val="00862417"/>
    <w:rsid w:val="008636C2"/>
    <w:rsid w:val="00866CC8"/>
    <w:rsid w:val="00883D01"/>
    <w:rsid w:val="00886675"/>
    <w:rsid w:val="00890B64"/>
    <w:rsid w:val="00890D2F"/>
    <w:rsid w:val="00891528"/>
    <w:rsid w:val="008916CF"/>
    <w:rsid w:val="0089292F"/>
    <w:rsid w:val="00893E48"/>
    <w:rsid w:val="008A074F"/>
    <w:rsid w:val="008A2103"/>
    <w:rsid w:val="008A2DC6"/>
    <w:rsid w:val="008A2EF6"/>
    <w:rsid w:val="008A48EC"/>
    <w:rsid w:val="008A7247"/>
    <w:rsid w:val="008B05EB"/>
    <w:rsid w:val="008B1407"/>
    <w:rsid w:val="008B1D4D"/>
    <w:rsid w:val="008B3100"/>
    <w:rsid w:val="008B6C01"/>
    <w:rsid w:val="008B77B2"/>
    <w:rsid w:val="008C07B5"/>
    <w:rsid w:val="008C0C38"/>
    <w:rsid w:val="008C0EA3"/>
    <w:rsid w:val="008C2DAB"/>
    <w:rsid w:val="008C32D3"/>
    <w:rsid w:val="008C3F52"/>
    <w:rsid w:val="008C4FBE"/>
    <w:rsid w:val="008C6E7D"/>
    <w:rsid w:val="008D0C93"/>
    <w:rsid w:val="008D3EB4"/>
    <w:rsid w:val="008D4B6A"/>
    <w:rsid w:val="008D505E"/>
    <w:rsid w:val="008D5D70"/>
    <w:rsid w:val="008D79DC"/>
    <w:rsid w:val="008E0D1B"/>
    <w:rsid w:val="008E1F0B"/>
    <w:rsid w:val="008E3D17"/>
    <w:rsid w:val="008E4939"/>
    <w:rsid w:val="008F0606"/>
    <w:rsid w:val="008F0635"/>
    <w:rsid w:val="008F0A5E"/>
    <w:rsid w:val="008F0C39"/>
    <w:rsid w:val="008F60F4"/>
    <w:rsid w:val="008F6AFB"/>
    <w:rsid w:val="008F6C06"/>
    <w:rsid w:val="008F79BC"/>
    <w:rsid w:val="009002AC"/>
    <w:rsid w:val="00901846"/>
    <w:rsid w:val="00902ACF"/>
    <w:rsid w:val="009035E5"/>
    <w:rsid w:val="00904BE2"/>
    <w:rsid w:val="00910CA2"/>
    <w:rsid w:val="00912326"/>
    <w:rsid w:val="00914FFB"/>
    <w:rsid w:val="00916430"/>
    <w:rsid w:val="009172FE"/>
    <w:rsid w:val="0091786F"/>
    <w:rsid w:val="009219E4"/>
    <w:rsid w:val="00921C96"/>
    <w:rsid w:val="0092378C"/>
    <w:rsid w:val="0092517A"/>
    <w:rsid w:val="00925263"/>
    <w:rsid w:val="00930CE6"/>
    <w:rsid w:val="00931B87"/>
    <w:rsid w:val="00932276"/>
    <w:rsid w:val="00934204"/>
    <w:rsid w:val="009369BD"/>
    <w:rsid w:val="0094182E"/>
    <w:rsid w:val="00942ECC"/>
    <w:rsid w:val="00944CA2"/>
    <w:rsid w:val="00952D38"/>
    <w:rsid w:val="009561CD"/>
    <w:rsid w:val="00962CCB"/>
    <w:rsid w:val="00962F39"/>
    <w:rsid w:val="00963D49"/>
    <w:rsid w:val="00964E66"/>
    <w:rsid w:val="00965178"/>
    <w:rsid w:val="00971167"/>
    <w:rsid w:val="009736E2"/>
    <w:rsid w:val="00973D29"/>
    <w:rsid w:val="00977647"/>
    <w:rsid w:val="009777B3"/>
    <w:rsid w:val="00982D40"/>
    <w:rsid w:val="00984AD8"/>
    <w:rsid w:val="00985ABC"/>
    <w:rsid w:val="00986263"/>
    <w:rsid w:val="00987151"/>
    <w:rsid w:val="00987924"/>
    <w:rsid w:val="00990786"/>
    <w:rsid w:val="00990E61"/>
    <w:rsid w:val="00991281"/>
    <w:rsid w:val="009A05C5"/>
    <w:rsid w:val="009A06D9"/>
    <w:rsid w:val="009A165A"/>
    <w:rsid w:val="009A514E"/>
    <w:rsid w:val="009A68D3"/>
    <w:rsid w:val="009B15BB"/>
    <w:rsid w:val="009B2A42"/>
    <w:rsid w:val="009B2EC8"/>
    <w:rsid w:val="009B3348"/>
    <w:rsid w:val="009B4B78"/>
    <w:rsid w:val="009B53BE"/>
    <w:rsid w:val="009B5729"/>
    <w:rsid w:val="009B6EE1"/>
    <w:rsid w:val="009C0882"/>
    <w:rsid w:val="009C5751"/>
    <w:rsid w:val="009C7041"/>
    <w:rsid w:val="009C729D"/>
    <w:rsid w:val="009C7489"/>
    <w:rsid w:val="009D0D47"/>
    <w:rsid w:val="009D44D1"/>
    <w:rsid w:val="009D4684"/>
    <w:rsid w:val="009D5125"/>
    <w:rsid w:val="009D5BEF"/>
    <w:rsid w:val="009E0771"/>
    <w:rsid w:val="009E1ECD"/>
    <w:rsid w:val="009E225B"/>
    <w:rsid w:val="009E6FA4"/>
    <w:rsid w:val="009E7743"/>
    <w:rsid w:val="009F0F9C"/>
    <w:rsid w:val="009F11A8"/>
    <w:rsid w:val="009F46B7"/>
    <w:rsid w:val="009F6590"/>
    <w:rsid w:val="009F68C5"/>
    <w:rsid w:val="009F6A7A"/>
    <w:rsid w:val="00A000D9"/>
    <w:rsid w:val="00A018F8"/>
    <w:rsid w:val="00A0261A"/>
    <w:rsid w:val="00A03770"/>
    <w:rsid w:val="00A0442B"/>
    <w:rsid w:val="00A04BAF"/>
    <w:rsid w:val="00A05867"/>
    <w:rsid w:val="00A05C81"/>
    <w:rsid w:val="00A074C3"/>
    <w:rsid w:val="00A134FB"/>
    <w:rsid w:val="00A21C42"/>
    <w:rsid w:val="00A2265C"/>
    <w:rsid w:val="00A2591D"/>
    <w:rsid w:val="00A26210"/>
    <w:rsid w:val="00A26F86"/>
    <w:rsid w:val="00A31A5C"/>
    <w:rsid w:val="00A33B11"/>
    <w:rsid w:val="00A43B7D"/>
    <w:rsid w:val="00A456C2"/>
    <w:rsid w:val="00A50003"/>
    <w:rsid w:val="00A532C6"/>
    <w:rsid w:val="00A533A7"/>
    <w:rsid w:val="00A53B3D"/>
    <w:rsid w:val="00A54DB1"/>
    <w:rsid w:val="00A5712B"/>
    <w:rsid w:val="00A600D6"/>
    <w:rsid w:val="00A61DC9"/>
    <w:rsid w:val="00A62208"/>
    <w:rsid w:val="00A6280F"/>
    <w:rsid w:val="00A62969"/>
    <w:rsid w:val="00A66D78"/>
    <w:rsid w:val="00A7308B"/>
    <w:rsid w:val="00A73A05"/>
    <w:rsid w:val="00A73D13"/>
    <w:rsid w:val="00A8014D"/>
    <w:rsid w:val="00A829BE"/>
    <w:rsid w:val="00A83A38"/>
    <w:rsid w:val="00A849A4"/>
    <w:rsid w:val="00A85945"/>
    <w:rsid w:val="00A861E5"/>
    <w:rsid w:val="00A909CA"/>
    <w:rsid w:val="00A91284"/>
    <w:rsid w:val="00A93FD3"/>
    <w:rsid w:val="00A95189"/>
    <w:rsid w:val="00AA09D8"/>
    <w:rsid w:val="00AA5833"/>
    <w:rsid w:val="00AA6CC0"/>
    <w:rsid w:val="00AB1A30"/>
    <w:rsid w:val="00AB2D7B"/>
    <w:rsid w:val="00AB4476"/>
    <w:rsid w:val="00AB52CC"/>
    <w:rsid w:val="00AB59D2"/>
    <w:rsid w:val="00AC2D83"/>
    <w:rsid w:val="00AC31C5"/>
    <w:rsid w:val="00AC4217"/>
    <w:rsid w:val="00AC45E8"/>
    <w:rsid w:val="00AD0C7A"/>
    <w:rsid w:val="00AD4A40"/>
    <w:rsid w:val="00AD50C7"/>
    <w:rsid w:val="00AD64F1"/>
    <w:rsid w:val="00AE1E8D"/>
    <w:rsid w:val="00AE465B"/>
    <w:rsid w:val="00AE7E46"/>
    <w:rsid w:val="00AF1F6C"/>
    <w:rsid w:val="00AF4D92"/>
    <w:rsid w:val="00B00003"/>
    <w:rsid w:val="00B01716"/>
    <w:rsid w:val="00B03A65"/>
    <w:rsid w:val="00B05DA7"/>
    <w:rsid w:val="00B11E4C"/>
    <w:rsid w:val="00B12F4C"/>
    <w:rsid w:val="00B14854"/>
    <w:rsid w:val="00B20823"/>
    <w:rsid w:val="00B214F4"/>
    <w:rsid w:val="00B22BFD"/>
    <w:rsid w:val="00B2308F"/>
    <w:rsid w:val="00B23E18"/>
    <w:rsid w:val="00B2575C"/>
    <w:rsid w:val="00B365DE"/>
    <w:rsid w:val="00B36641"/>
    <w:rsid w:val="00B37D63"/>
    <w:rsid w:val="00B43160"/>
    <w:rsid w:val="00B453F1"/>
    <w:rsid w:val="00B456BF"/>
    <w:rsid w:val="00B472FB"/>
    <w:rsid w:val="00B513DB"/>
    <w:rsid w:val="00B524FD"/>
    <w:rsid w:val="00B54B68"/>
    <w:rsid w:val="00B62CEE"/>
    <w:rsid w:val="00B63F9B"/>
    <w:rsid w:val="00B70D9A"/>
    <w:rsid w:val="00B70FC9"/>
    <w:rsid w:val="00B738E0"/>
    <w:rsid w:val="00B77291"/>
    <w:rsid w:val="00B83245"/>
    <w:rsid w:val="00B84020"/>
    <w:rsid w:val="00B849DE"/>
    <w:rsid w:val="00B86E27"/>
    <w:rsid w:val="00B878AC"/>
    <w:rsid w:val="00B94D8D"/>
    <w:rsid w:val="00B94EBC"/>
    <w:rsid w:val="00B96927"/>
    <w:rsid w:val="00B97498"/>
    <w:rsid w:val="00B975AD"/>
    <w:rsid w:val="00BA299D"/>
    <w:rsid w:val="00BA48EC"/>
    <w:rsid w:val="00BA55D8"/>
    <w:rsid w:val="00BA5C28"/>
    <w:rsid w:val="00BA642E"/>
    <w:rsid w:val="00BB19F3"/>
    <w:rsid w:val="00BB407E"/>
    <w:rsid w:val="00BB46FD"/>
    <w:rsid w:val="00BB53C6"/>
    <w:rsid w:val="00BB6096"/>
    <w:rsid w:val="00BB7133"/>
    <w:rsid w:val="00BB7445"/>
    <w:rsid w:val="00BC0975"/>
    <w:rsid w:val="00BC2161"/>
    <w:rsid w:val="00BC50A6"/>
    <w:rsid w:val="00BC5307"/>
    <w:rsid w:val="00BC6B69"/>
    <w:rsid w:val="00BC76F5"/>
    <w:rsid w:val="00BD1D8B"/>
    <w:rsid w:val="00BD3C43"/>
    <w:rsid w:val="00BD7FBD"/>
    <w:rsid w:val="00BE2761"/>
    <w:rsid w:val="00BE7170"/>
    <w:rsid w:val="00BF3245"/>
    <w:rsid w:val="00C00492"/>
    <w:rsid w:val="00C01B29"/>
    <w:rsid w:val="00C0254F"/>
    <w:rsid w:val="00C0275A"/>
    <w:rsid w:val="00C03210"/>
    <w:rsid w:val="00C079B8"/>
    <w:rsid w:val="00C10E10"/>
    <w:rsid w:val="00C12A97"/>
    <w:rsid w:val="00C15A67"/>
    <w:rsid w:val="00C16A8F"/>
    <w:rsid w:val="00C21348"/>
    <w:rsid w:val="00C21454"/>
    <w:rsid w:val="00C217C2"/>
    <w:rsid w:val="00C2609B"/>
    <w:rsid w:val="00C2631F"/>
    <w:rsid w:val="00C2685B"/>
    <w:rsid w:val="00C27717"/>
    <w:rsid w:val="00C3000D"/>
    <w:rsid w:val="00C30BDC"/>
    <w:rsid w:val="00C30E50"/>
    <w:rsid w:val="00C30E78"/>
    <w:rsid w:val="00C31DEC"/>
    <w:rsid w:val="00C333BE"/>
    <w:rsid w:val="00C40CFF"/>
    <w:rsid w:val="00C41213"/>
    <w:rsid w:val="00C415AC"/>
    <w:rsid w:val="00C42BB7"/>
    <w:rsid w:val="00C46FD6"/>
    <w:rsid w:val="00C47DF1"/>
    <w:rsid w:val="00C50DD2"/>
    <w:rsid w:val="00C51FD8"/>
    <w:rsid w:val="00C52935"/>
    <w:rsid w:val="00C54E0E"/>
    <w:rsid w:val="00C56293"/>
    <w:rsid w:val="00C63C32"/>
    <w:rsid w:val="00C653D5"/>
    <w:rsid w:val="00C662F9"/>
    <w:rsid w:val="00C70D79"/>
    <w:rsid w:val="00C742B8"/>
    <w:rsid w:val="00C75DF6"/>
    <w:rsid w:val="00C75EE8"/>
    <w:rsid w:val="00C760F7"/>
    <w:rsid w:val="00C810D2"/>
    <w:rsid w:val="00C822C7"/>
    <w:rsid w:val="00C8335E"/>
    <w:rsid w:val="00C86ACE"/>
    <w:rsid w:val="00C8772C"/>
    <w:rsid w:val="00C9152F"/>
    <w:rsid w:val="00C91F8C"/>
    <w:rsid w:val="00C925E1"/>
    <w:rsid w:val="00CA0CD4"/>
    <w:rsid w:val="00CA15F9"/>
    <w:rsid w:val="00CA1ED0"/>
    <w:rsid w:val="00CA3EBB"/>
    <w:rsid w:val="00CA4CC8"/>
    <w:rsid w:val="00CB11A8"/>
    <w:rsid w:val="00CB15D8"/>
    <w:rsid w:val="00CB4377"/>
    <w:rsid w:val="00CC08EC"/>
    <w:rsid w:val="00CC1303"/>
    <w:rsid w:val="00CC4463"/>
    <w:rsid w:val="00CC5061"/>
    <w:rsid w:val="00CD056B"/>
    <w:rsid w:val="00CD1863"/>
    <w:rsid w:val="00CD46C5"/>
    <w:rsid w:val="00CE2182"/>
    <w:rsid w:val="00CE6B86"/>
    <w:rsid w:val="00CF0714"/>
    <w:rsid w:val="00CF3A54"/>
    <w:rsid w:val="00CF41F1"/>
    <w:rsid w:val="00D00E5F"/>
    <w:rsid w:val="00D033B9"/>
    <w:rsid w:val="00D03F11"/>
    <w:rsid w:val="00D055AE"/>
    <w:rsid w:val="00D108F8"/>
    <w:rsid w:val="00D1221E"/>
    <w:rsid w:val="00D12756"/>
    <w:rsid w:val="00D14907"/>
    <w:rsid w:val="00D14E25"/>
    <w:rsid w:val="00D165AA"/>
    <w:rsid w:val="00D170FF"/>
    <w:rsid w:val="00D206EB"/>
    <w:rsid w:val="00D255B0"/>
    <w:rsid w:val="00D256BE"/>
    <w:rsid w:val="00D25E6E"/>
    <w:rsid w:val="00D27466"/>
    <w:rsid w:val="00D2789F"/>
    <w:rsid w:val="00D404DF"/>
    <w:rsid w:val="00D42CFE"/>
    <w:rsid w:val="00D431EA"/>
    <w:rsid w:val="00D4364F"/>
    <w:rsid w:val="00D460D3"/>
    <w:rsid w:val="00D53A14"/>
    <w:rsid w:val="00D5401B"/>
    <w:rsid w:val="00D5462E"/>
    <w:rsid w:val="00D6756D"/>
    <w:rsid w:val="00D751BF"/>
    <w:rsid w:val="00D77E51"/>
    <w:rsid w:val="00D83F06"/>
    <w:rsid w:val="00D85083"/>
    <w:rsid w:val="00D85418"/>
    <w:rsid w:val="00D87B2D"/>
    <w:rsid w:val="00D91811"/>
    <w:rsid w:val="00D9368F"/>
    <w:rsid w:val="00D94EB3"/>
    <w:rsid w:val="00D96686"/>
    <w:rsid w:val="00D96D5D"/>
    <w:rsid w:val="00D974B4"/>
    <w:rsid w:val="00D976F6"/>
    <w:rsid w:val="00DA2EC6"/>
    <w:rsid w:val="00DA2ED6"/>
    <w:rsid w:val="00DA41EF"/>
    <w:rsid w:val="00DA4E1A"/>
    <w:rsid w:val="00DA582D"/>
    <w:rsid w:val="00DA5E0A"/>
    <w:rsid w:val="00DB2136"/>
    <w:rsid w:val="00DB30A1"/>
    <w:rsid w:val="00DB6AA0"/>
    <w:rsid w:val="00DC1D2E"/>
    <w:rsid w:val="00DC2B70"/>
    <w:rsid w:val="00DC3569"/>
    <w:rsid w:val="00DC3660"/>
    <w:rsid w:val="00DC3F49"/>
    <w:rsid w:val="00DC431A"/>
    <w:rsid w:val="00DC5130"/>
    <w:rsid w:val="00DC5267"/>
    <w:rsid w:val="00DD286A"/>
    <w:rsid w:val="00DD30A4"/>
    <w:rsid w:val="00DD4BEF"/>
    <w:rsid w:val="00DD5EF1"/>
    <w:rsid w:val="00DD5FB0"/>
    <w:rsid w:val="00DD67B3"/>
    <w:rsid w:val="00DE19FF"/>
    <w:rsid w:val="00DE3A85"/>
    <w:rsid w:val="00DE658C"/>
    <w:rsid w:val="00DE6CA2"/>
    <w:rsid w:val="00DF1388"/>
    <w:rsid w:val="00DF2249"/>
    <w:rsid w:val="00DF2AF8"/>
    <w:rsid w:val="00E0059E"/>
    <w:rsid w:val="00E0129C"/>
    <w:rsid w:val="00E01752"/>
    <w:rsid w:val="00E03A16"/>
    <w:rsid w:val="00E04DEA"/>
    <w:rsid w:val="00E11548"/>
    <w:rsid w:val="00E153CF"/>
    <w:rsid w:val="00E17BA3"/>
    <w:rsid w:val="00E17F80"/>
    <w:rsid w:val="00E23E90"/>
    <w:rsid w:val="00E2577B"/>
    <w:rsid w:val="00E268B6"/>
    <w:rsid w:val="00E26C1E"/>
    <w:rsid w:val="00E2724C"/>
    <w:rsid w:val="00E2761B"/>
    <w:rsid w:val="00E27C91"/>
    <w:rsid w:val="00E33A0F"/>
    <w:rsid w:val="00E33BDC"/>
    <w:rsid w:val="00E42EF1"/>
    <w:rsid w:val="00E44EB9"/>
    <w:rsid w:val="00E56EA5"/>
    <w:rsid w:val="00E615E1"/>
    <w:rsid w:val="00E618BD"/>
    <w:rsid w:val="00E62A86"/>
    <w:rsid w:val="00E633E9"/>
    <w:rsid w:val="00E63B1F"/>
    <w:rsid w:val="00E63DB1"/>
    <w:rsid w:val="00E64586"/>
    <w:rsid w:val="00E65DDB"/>
    <w:rsid w:val="00E6716A"/>
    <w:rsid w:val="00E70084"/>
    <w:rsid w:val="00E7338B"/>
    <w:rsid w:val="00E7607E"/>
    <w:rsid w:val="00E762E0"/>
    <w:rsid w:val="00E778F7"/>
    <w:rsid w:val="00E814F7"/>
    <w:rsid w:val="00E81B50"/>
    <w:rsid w:val="00E8330C"/>
    <w:rsid w:val="00E836A0"/>
    <w:rsid w:val="00E836CF"/>
    <w:rsid w:val="00E8600B"/>
    <w:rsid w:val="00E87974"/>
    <w:rsid w:val="00E913E3"/>
    <w:rsid w:val="00E92BAD"/>
    <w:rsid w:val="00E96CFA"/>
    <w:rsid w:val="00EA1564"/>
    <w:rsid w:val="00EA26AB"/>
    <w:rsid w:val="00EA305B"/>
    <w:rsid w:val="00EA467D"/>
    <w:rsid w:val="00EA6447"/>
    <w:rsid w:val="00EA7F54"/>
    <w:rsid w:val="00EB0474"/>
    <w:rsid w:val="00EB04AC"/>
    <w:rsid w:val="00EB0619"/>
    <w:rsid w:val="00EB0F69"/>
    <w:rsid w:val="00EB242A"/>
    <w:rsid w:val="00EB6472"/>
    <w:rsid w:val="00EC0411"/>
    <w:rsid w:val="00EC0BBB"/>
    <w:rsid w:val="00EC2E26"/>
    <w:rsid w:val="00EC327B"/>
    <w:rsid w:val="00EC3628"/>
    <w:rsid w:val="00EC4E90"/>
    <w:rsid w:val="00EC5EB5"/>
    <w:rsid w:val="00EC70AC"/>
    <w:rsid w:val="00ED04CB"/>
    <w:rsid w:val="00ED4556"/>
    <w:rsid w:val="00ED5109"/>
    <w:rsid w:val="00EE002A"/>
    <w:rsid w:val="00EE4059"/>
    <w:rsid w:val="00EE4171"/>
    <w:rsid w:val="00EE6EFB"/>
    <w:rsid w:val="00EF033E"/>
    <w:rsid w:val="00EF2489"/>
    <w:rsid w:val="00EF395E"/>
    <w:rsid w:val="00EF7533"/>
    <w:rsid w:val="00F0234D"/>
    <w:rsid w:val="00F0261E"/>
    <w:rsid w:val="00F028BB"/>
    <w:rsid w:val="00F046AB"/>
    <w:rsid w:val="00F056C1"/>
    <w:rsid w:val="00F06566"/>
    <w:rsid w:val="00F1013D"/>
    <w:rsid w:val="00F12CA0"/>
    <w:rsid w:val="00F1357E"/>
    <w:rsid w:val="00F15467"/>
    <w:rsid w:val="00F23E66"/>
    <w:rsid w:val="00F23F23"/>
    <w:rsid w:val="00F3003F"/>
    <w:rsid w:val="00F3022C"/>
    <w:rsid w:val="00F31B2E"/>
    <w:rsid w:val="00F32245"/>
    <w:rsid w:val="00F364AD"/>
    <w:rsid w:val="00F40AF5"/>
    <w:rsid w:val="00F40BB7"/>
    <w:rsid w:val="00F4531F"/>
    <w:rsid w:val="00F455E6"/>
    <w:rsid w:val="00F4648D"/>
    <w:rsid w:val="00F46A2F"/>
    <w:rsid w:val="00F47017"/>
    <w:rsid w:val="00F519F1"/>
    <w:rsid w:val="00F5550D"/>
    <w:rsid w:val="00F57257"/>
    <w:rsid w:val="00F573A2"/>
    <w:rsid w:val="00F61EE0"/>
    <w:rsid w:val="00F64339"/>
    <w:rsid w:val="00F64A60"/>
    <w:rsid w:val="00F64FAE"/>
    <w:rsid w:val="00F659D2"/>
    <w:rsid w:val="00F6744C"/>
    <w:rsid w:val="00F704FF"/>
    <w:rsid w:val="00F71BBC"/>
    <w:rsid w:val="00F7251F"/>
    <w:rsid w:val="00F734C4"/>
    <w:rsid w:val="00F738B1"/>
    <w:rsid w:val="00F74787"/>
    <w:rsid w:val="00F74A54"/>
    <w:rsid w:val="00F74FE3"/>
    <w:rsid w:val="00F75648"/>
    <w:rsid w:val="00F81ACE"/>
    <w:rsid w:val="00F82DC3"/>
    <w:rsid w:val="00F85477"/>
    <w:rsid w:val="00F87018"/>
    <w:rsid w:val="00F93CB6"/>
    <w:rsid w:val="00F94ACF"/>
    <w:rsid w:val="00F979ED"/>
    <w:rsid w:val="00FA2213"/>
    <w:rsid w:val="00FA458E"/>
    <w:rsid w:val="00FA5C03"/>
    <w:rsid w:val="00FA777D"/>
    <w:rsid w:val="00FA7B2F"/>
    <w:rsid w:val="00FB0F9F"/>
    <w:rsid w:val="00FB1955"/>
    <w:rsid w:val="00FB295A"/>
    <w:rsid w:val="00FB31B7"/>
    <w:rsid w:val="00FB3782"/>
    <w:rsid w:val="00FB4CB9"/>
    <w:rsid w:val="00FB54D8"/>
    <w:rsid w:val="00FC27C5"/>
    <w:rsid w:val="00FC3D0B"/>
    <w:rsid w:val="00FC63CE"/>
    <w:rsid w:val="00FD264C"/>
    <w:rsid w:val="00FD4110"/>
    <w:rsid w:val="00FD73A5"/>
    <w:rsid w:val="00FE12A5"/>
    <w:rsid w:val="00FE2160"/>
    <w:rsid w:val="00FE32D1"/>
    <w:rsid w:val="00FE3D52"/>
    <w:rsid w:val="00FE42B3"/>
    <w:rsid w:val="00FE6D44"/>
    <w:rsid w:val="00FE6F19"/>
    <w:rsid w:val="00FF081E"/>
    <w:rsid w:val="00FF0AAB"/>
    <w:rsid w:val="00FF0E3E"/>
    <w:rsid w:val="00FF1019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allout" idref="#_x0000_s1029"/>
        <o:r id="V:Rule2" type="callout" idref="#_x0000_s1030"/>
      </o:rules>
    </o:shapelayout>
  </w:shapeDefaults>
  <w:decimalSymbol w:val="."/>
  <w:listSeparator w:val=","/>
  <w14:discardImageEditingData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EF1"/>
    <w:rPr>
      <w:sz w:val="24"/>
    </w:rPr>
  </w:style>
  <w:style w:type="paragraph" w:styleId="Heading1">
    <w:name w:val="heading 1"/>
    <w:basedOn w:val="Normal"/>
    <w:next w:val="Normal"/>
    <w:qFormat/>
    <w:rsid w:val="000A321D"/>
    <w:pPr>
      <w:keepNext/>
      <w:spacing w:before="360" w:line="36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7F17FF"/>
    <w:pPr>
      <w:keepNext/>
      <w:spacing w:before="480" w:line="48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A571C"/>
    <w:pPr>
      <w:keepNext/>
      <w:spacing w:before="600" w:after="60" w:line="480" w:lineRule="auto"/>
      <w:ind w:firstLine="720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sid w:val="00DF2AF8"/>
    <w:pPr>
      <w:spacing w:line="360" w:lineRule="auto"/>
      <w:ind w:firstLine="720"/>
    </w:pPr>
  </w:style>
  <w:style w:type="paragraph" w:styleId="BodyTextIndent">
    <w:name w:val="Body Text Indent"/>
    <w:basedOn w:val="Normal"/>
    <w:pPr>
      <w:spacing w:line="480" w:lineRule="auto"/>
      <w:ind w:firstLine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rsid w:val="001A571C"/>
    <w:pPr>
      <w:suppressAutoHyphens/>
      <w:spacing w:after="240"/>
      <w:ind w:left="720" w:right="720"/>
    </w:pPr>
  </w:style>
  <w:style w:type="paragraph" w:styleId="BodyText2">
    <w:name w:val="Body Text 2"/>
    <w:basedOn w:val="Normal"/>
    <w:link w:val="BodyText2Char"/>
    <w:rsid w:val="004F6CF2"/>
    <w:pPr>
      <w:spacing w:after="240"/>
    </w:pPr>
  </w:style>
  <w:style w:type="paragraph" w:styleId="BodyTextIndent3">
    <w:name w:val="Body Text Indent 3"/>
    <w:basedOn w:val="Normal"/>
    <w:pPr>
      <w:spacing w:line="480" w:lineRule="auto"/>
      <w:ind w:firstLine="720"/>
    </w:pPr>
  </w:style>
  <w:style w:type="paragraph" w:styleId="TOC6">
    <w:name w:val="toc 6"/>
    <w:basedOn w:val="Normal"/>
    <w:next w:val="Normal"/>
    <w:autoRedefine/>
    <w:semiHidden/>
    <w:rsid w:val="005B48E0"/>
    <w:pPr>
      <w:numPr>
        <w:numId w:val="2"/>
      </w:numPr>
      <w:spacing w:line="360" w:lineRule="auto"/>
    </w:pPr>
  </w:style>
  <w:style w:type="character" w:styleId="Hyperlink">
    <w:name w:val="Hyperlink"/>
    <w:rPr>
      <w:color w:val="0000FF"/>
      <w:u w:val="singl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paragraph" w:styleId="BodyTextIndent2">
    <w:name w:val="Body Text Indent 2"/>
    <w:basedOn w:val="Normal"/>
    <w:pPr>
      <w:spacing w:line="480" w:lineRule="auto"/>
      <w:ind w:firstLine="720"/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semiHidden/>
    <w:rsid w:val="00E56EA5"/>
    <w:pPr>
      <w:ind w:left="240"/>
    </w:pPr>
  </w:style>
  <w:style w:type="paragraph" w:styleId="Header">
    <w:name w:val="header"/>
    <w:basedOn w:val="Normal"/>
    <w:rsid w:val="00770CB5"/>
    <w:pPr>
      <w:tabs>
        <w:tab w:val="center" w:pos="4320"/>
        <w:tab w:val="right" w:pos="8640"/>
      </w:tabs>
    </w:pPr>
  </w:style>
  <w:style w:type="paragraph" w:customStyle="1" w:styleId="NormalFirstline05">
    <w:name w:val="Normal + First line:  0.5&quot;"/>
    <w:aliases w:val="Line spacing:  Double"/>
    <w:basedOn w:val="BodyTextIndent2"/>
    <w:rsid w:val="00051744"/>
    <w:pPr>
      <w:ind w:firstLine="0"/>
    </w:pPr>
  </w:style>
  <w:style w:type="numbering" w:customStyle="1" w:styleId="StyleNumbered">
    <w:name w:val="Style Numbered"/>
    <w:basedOn w:val="NoList"/>
    <w:rsid w:val="00051744"/>
    <w:pPr>
      <w:numPr>
        <w:numId w:val="3"/>
      </w:numPr>
    </w:pPr>
  </w:style>
  <w:style w:type="character" w:customStyle="1" w:styleId="BodyTextChar">
    <w:name w:val="Body Text Char"/>
    <w:link w:val="BodyText"/>
    <w:rsid w:val="00DF2AF8"/>
    <w:rPr>
      <w:sz w:val="24"/>
    </w:rPr>
  </w:style>
  <w:style w:type="paragraph" w:styleId="FootnoteText">
    <w:name w:val="footnote text"/>
    <w:basedOn w:val="Normal"/>
    <w:semiHidden/>
    <w:rsid w:val="00721479"/>
    <w:rPr>
      <w:sz w:val="20"/>
    </w:rPr>
  </w:style>
  <w:style w:type="character" w:styleId="FootnoteReference">
    <w:name w:val="footnote reference"/>
    <w:semiHidden/>
    <w:rsid w:val="00721479"/>
    <w:rPr>
      <w:vertAlign w:val="superscript"/>
    </w:rPr>
  </w:style>
  <w:style w:type="numbering" w:customStyle="1" w:styleId="StyleNumbered1">
    <w:name w:val="Style Numbered1"/>
    <w:basedOn w:val="NoList"/>
    <w:rsid w:val="00CA3EBB"/>
    <w:pPr>
      <w:numPr>
        <w:numId w:val="4"/>
      </w:numPr>
    </w:pPr>
  </w:style>
  <w:style w:type="character" w:customStyle="1" w:styleId="BodyTextChar1">
    <w:name w:val="Body Text Char1"/>
    <w:rsid w:val="0016428F"/>
    <w:rPr>
      <w:sz w:val="24"/>
      <w:lang w:val="en-US" w:eastAsia="en-US" w:bidi="ar-SA"/>
    </w:rPr>
  </w:style>
  <w:style w:type="character" w:styleId="FollowedHyperlink">
    <w:name w:val="FollowedHyperlink"/>
    <w:rsid w:val="00704FA5"/>
    <w:rPr>
      <w:color w:val="800080"/>
      <w:u w:val="single"/>
    </w:rPr>
  </w:style>
  <w:style w:type="character" w:styleId="Emphasis">
    <w:name w:val="Emphasis"/>
    <w:qFormat/>
    <w:rsid w:val="00EB6472"/>
    <w:rPr>
      <w:i/>
      <w:iCs/>
    </w:rPr>
  </w:style>
  <w:style w:type="character" w:customStyle="1" w:styleId="CharChar8">
    <w:name w:val=" Char Char8"/>
    <w:locked/>
    <w:rsid w:val="00C925E1"/>
    <w:rPr>
      <w:rFonts w:cs="Times New Roman"/>
      <w:sz w:val="24"/>
      <w:lang w:val="en-US" w:eastAsia="en-US" w:bidi="ar-SA"/>
    </w:rPr>
  </w:style>
  <w:style w:type="character" w:customStyle="1" w:styleId="CharChar2">
    <w:name w:val=" Char Char2"/>
    <w:rsid w:val="009F6A7A"/>
    <w:rPr>
      <w:sz w:val="24"/>
      <w:lang w:val="en-US" w:eastAsia="en-US" w:bidi="ar-SA"/>
    </w:rPr>
  </w:style>
  <w:style w:type="character" w:customStyle="1" w:styleId="BodyTextChar2">
    <w:name w:val="Body Text Char2"/>
    <w:uiPriority w:val="99"/>
    <w:rsid w:val="00CC4463"/>
    <w:rPr>
      <w:sz w:val="24"/>
    </w:rPr>
  </w:style>
  <w:style w:type="character" w:customStyle="1" w:styleId="BodyText2Char">
    <w:name w:val="Body Text 2 Char"/>
    <w:link w:val="BodyText2"/>
    <w:locked/>
    <w:rsid w:val="001076B7"/>
    <w:rPr>
      <w:sz w:val="24"/>
    </w:rPr>
  </w:style>
  <w:style w:type="paragraph" w:customStyle="1" w:styleId="BodyTextNumberedConclusion">
    <w:name w:val="Body Text Numbered Conclusion"/>
    <w:basedOn w:val="BodyTextIndent2"/>
    <w:link w:val="BodyTextNumberedConclusionChar"/>
    <w:autoRedefine/>
    <w:rsid w:val="00ED4556"/>
    <w:pPr>
      <w:numPr>
        <w:numId w:val="9"/>
      </w:numPr>
      <w:spacing w:line="360" w:lineRule="auto"/>
    </w:pPr>
  </w:style>
  <w:style w:type="character" w:customStyle="1" w:styleId="BodyTextNumberedConclusionChar">
    <w:name w:val="Body Text Numbered Conclusion Char"/>
    <w:link w:val="BodyTextNumberedConclusion"/>
    <w:rsid w:val="00ED4556"/>
    <w:rPr>
      <w:sz w:val="24"/>
    </w:rPr>
  </w:style>
  <w:style w:type="numbering" w:customStyle="1" w:styleId="StyleBulletedSymbolsymbolLeft025Hanging025">
    <w:name w:val="Style Bulleted Symbol (symbol) Left:  0.25&quot; Hanging:  0.25&quot;"/>
    <w:basedOn w:val="NoList"/>
    <w:rsid w:val="00986263"/>
    <w:pPr>
      <w:numPr>
        <w:numId w:val="5"/>
      </w:numPr>
    </w:pPr>
  </w:style>
  <w:style w:type="paragraph" w:customStyle="1" w:styleId="BodyTextBulleted">
    <w:name w:val="Body Text: Bulleted"/>
    <w:basedOn w:val="Normal"/>
    <w:qFormat/>
    <w:rsid w:val="00822DA0"/>
    <w:pPr>
      <w:numPr>
        <w:numId w:val="6"/>
      </w:numPr>
      <w:spacing w:line="360" w:lineRule="auto"/>
    </w:pPr>
  </w:style>
  <w:style w:type="paragraph" w:customStyle="1" w:styleId="BodyTextlinebeforebulletedtextonly">
    <w:name w:val="Body Text: line before bulleted text only"/>
    <w:basedOn w:val="BodyText"/>
    <w:rsid w:val="00986263"/>
  </w:style>
  <w:style w:type="character" w:customStyle="1" w:styleId="BackgroundBoldedDescriptors">
    <w:name w:val="Background Bolded Descriptors"/>
    <w:rsid w:val="00986263"/>
    <w:rPr>
      <w:b/>
      <w:bCs/>
    </w:rPr>
  </w:style>
  <w:style w:type="paragraph" w:customStyle="1" w:styleId="StaffTitleHangingIndent">
    <w:name w:val="Staff Title Hanging Indent"/>
    <w:basedOn w:val="Normal"/>
    <w:rsid w:val="00986263"/>
    <w:pPr>
      <w:ind w:left="252" w:hanging="252"/>
    </w:pPr>
  </w:style>
  <w:style w:type="paragraph" w:customStyle="1" w:styleId="References">
    <w:name w:val="References"/>
    <w:basedOn w:val="Normal"/>
    <w:qFormat/>
    <w:rsid w:val="00986263"/>
    <w:pPr>
      <w:spacing w:after="240"/>
    </w:pPr>
  </w:style>
  <w:style w:type="numbering" w:customStyle="1" w:styleId="NumberedConclusion">
    <w:name w:val="Numbered Conclusion"/>
    <w:basedOn w:val="NoList"/>
    <w:rsid w:val="008E1F0B"/>
    <w:pPr>
      <w:numPr>
        <w:numId w:val="7"/>
      </w:numPr>
    </w:pPr>
  </w:style>
  <w:style w:type="numbering" w:customStyle="1" w:styleId="StyleNumberedLeft055Hanging025">
    <w:name w:val="Style Numbered Left:  0.55&quot; Hanging:  0.25&quot;"/>
    <w:basedOn w:val="NoList"/>
    <w:rsid w:val="008E1F0B"/>
    <w:pPr>
      <w:numPr>
        <w:numId w:val="8"/>
      </w:numPr>
    </w:pPr>
  </w:style>
  <w:style w:type="paragraph" w:customStyle="1" w:styleId="BodyText1">
    <w:name w:val="Body Text1"/>
    <w:basedOn w:val="BodyText"/>
    <w:link w:val="bodytextChar0"/>
    <w:qFormat/>
    <w:rsid w:val="00332937"/>
    <w:pPr>
      <w:spacing w:line="480" w:lineRule="auto"/>
    </w:pPr>
  </w:style>
  <w:style w:type="character" w:customStyle="1" w:styleId="bodytextChar0">
    <w:name w:val="body text Char"/>
    <w:link w:val="BodyText1"/>
    <w:rsid w:val="0033293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EF1"/>
    <w:rPr>
      <w:sz w:val="24"/>
    </w:rPr>
  </w:style>
  <w:style w:type="paragraph" w:styleId="Heading1">
    <w:name w:val="heading 1"/>
    <w:basedOn w:val="Normal"/>
    <w:next w:val="Normal"/>
    <w:qFormat/>
    <w:rsid w:val="000A321D"/>
    <w:pPr>
      <w:keepNext/>
      <w:spacing w:before="360" w:line="36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7F17FF"/>
    <w:pPr>
      <w:keepNext/>
      <w:spacing w:before="480" w:line="48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A571C"/>
    <w:pPr>
      <w:keepNext/>
      <w:spacing w:before="600" w:after="60" w:line="480" w:lineRule="auto"/>
      <w:ind w:firstLine="720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sid w:val="00DF2AF8"/>
    <w:pPr>
      <w:spacing w:line="360" w:lineRule="auto"/>
      <w:ind w:firstLine="720"/>
    </w:pPr>
  </w:style>
  <w:style w:type="paragraph" w:styleId="BodyTextIndent">
    <w:name w:val="Body Text Indent"/>
    <w:basedOn w:val="Normal"/>
    <w:pPr>
      <w:spacing w:line="480" w:lineRule="auto"/>
      <w:ind w:firstLine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rsid w:val="001A571C"/>
    <w:pPr>
      <w:suppressAutoHyphens/>
      <w:spacing w:after="240"/>
      <w:ind w:left="720" w:right="720"/>
    </w:pPr>
  </w:style>
  <w:style w:type="paragraph" w:styleId="BodyText2">
    <w:name w:val="Body Text 2"/>
    <w:basedOn w:val="Normal"/>
    <w:link w:val="BodyText2Char"/>
    <w:rsid w:val="004F6CF2"/>
    <w:pPr>
      <w:spacing w:after="240"/>
    </w:pPr>
  </w:style>
  <w:style w:type="paragraph" w:styleId="BodyTextIndent3">
    <w:name w:val="Body Text Indent 3"/>
    <w:basedOn w:val="Normal"/>
    <w:pPr>
      <w:spacing w:line="480" w:lineRule="auto"/>
      <w:ind w:firstLine="720"/>
    </w:pPr>
  </w:style>
  <w:style w:type="paragraph" w:styleId="TOC6">
    <w:name w:val="toc 6"/>
    <w:basedOn w:val="Normal"/>
    <w:next w:val="Normal"/>
    <w:autoRedefine/>
    <w:semiHidden/>
    <w:rsid w:val="005B48E0"/>
    <w:pPr>
      <w:numPr>
        <w:numId w:val="2"/>
      </w:numPr>
      <w:spacing w:line="360" w:lineRule="auto"/>
    </w:pPr>
  </w:style>
  <w:style w:type="character" w:styleId="Hyperlink">
    <w:name w:val="Hyperlink"/>
    <w:rPr>
      <w:color w:val="0000FF"/>
      <w:u w:val="singl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paragraph" w:styleId="BodyTextIndent2">
    <w:name w:val="Body Text Indent 2"/>
    <w:basedOn w:val="Normal"/>
    <w:pPr>
      <w:spacing w:line="480" w:lineRule="auto"/>
      <w:ind w:firstLine="720"/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semiHidden/>
    <w:rsid w:val="00E56EA5"/>
    <w:pPr>
      <w:ind w:left="240"/>
    </w:pPr>
  </w:style>
  <w:style w:type="paragraph" w:styleId="Header">
    <w:name w:val="header"/>
    <w:basedOn w:val="Normal"/>
    <w:rsid w:val="00770CB5"/>
    <w:pPr>
      <w:tabs>
        <w:tab w:val="center" w:pos="4320"/>
        <w:tab w:val="right" w:pos="8640"/>
      </w:tabs>
    </w:pPr>
  </w:style>
  <w:style w:type="paragraph" w:customStyle="1" w:styleId="NormalFirstline05">
    <w:name w:val="Normal + First line:  0.5&quot;"/>
    <w:aliases w:val="Line spacing:  Double"/>
    <w:basedOn w:val="BodyTextIndent2"/>
    <w:rsid w:val="00051744"/>
    <w:pPr>
      <w:ind w:firstLine="0"/>
    </w:pPr>
  </w:style>
  <w:style w:type="numbering" w:customStyle="1" w:styleId="StyleNumbered">
    <w:name w:val="Style Numbered"/>
    <w:basedOn w:val="NoList"/>
    <w:rsid w:val="00051744"/>
    <w:pPr>
      <w:numPr>
        <w:numId w:val="3"/>
      </w:numPr>
    </w:pPr>
  </w:style>
  <w:style w:type="character" w:customStyle="1" w:styleId="BodyTextChar">
    <w:name w:val="Body Text Char"/>
    <w:link w:val="BodyText"/>
    <w:rsid w:val="00DF2AF8"/>
    <w:rPr>
      <w:sz w:val="24"/>
    </w:rPr>
  </w:style>
  <w:style w:type="paragraph" w:styleId="FootnoteText">
    <w:name w:val="footnote text"/>
    <w:basedOn w:val="Normal"/>
    <w:semiHidden/>
    <w:rsid w:val="00721479"/>
    <w:rPr>
      <w:sz w:val="20"/>
    </w:rPr>
  </w:style>
  <w:style w:type="character" w:styleId="FootnoteReference">
    <w:name w:val="footnote reference"/>
    <w:semiHidden/>
    <w:rsid w:val="00721479"/>
    <w:rPr>
      <w:vertAlign w:val="superscript"/>
    </w:rPr>
  </w:style>
  <w:style w:type="numbering" w:customStyle="1" w:styleId="StyleNumbered1">
    <w:name w:val="Style Numbered1"/>
    <w:basedOn w:val="NoList"/>
    <w:rsid w:val="00CA3EBB"/>
    <w:pPr>
      <w:numPr>
        <w:numId w:val="4"/>
      </w:numPr>
    </w:pPr>
  </w:style>
  <w:style w:type="character" w:customStyle="1" w:styleId="BodyTextChar1">
    <w:name w:val="Body Text Char1"/>
    <w:rsid w:val="0016428F"/>
    <w:rPr>
      <w:sz w:val="24"/>
      <w:lang w:val="en-US" w:eastAsia="en-US" w:bidi="ar-SA"/>
    </w:rPr>
  </w:style>
  <w:style w:type="character" w:styleId="FollowedHyperlink">
    <w:name w:val="FollowedHyperlink"/>
    <w:rsid w:val="00704FA5"/>
    <w:rPr>
      <w:color w:val="800080"/>
      <w:u w:val="single"/>
    </w:rPr>
  </w:style>
  <w:style w:type="character" w:styleId="Emphasis">
    <w:name w:val="Emphasis"/>
    <w:qFormat/>
    <w:rsid w:val="00EB6472"/>
    <w:rPr>
      <w:i/>
      <w:iCs/>
    </w:rPr>
  </w:style>
  <w:style w:type="character" w:customStyle="1" w:styleId="CharChar8">
    <w:name w:val=" Char Char8"/>
    <w:locked/>
    <w:rsid w:val="00C925E1"/>
    <w:rPr>
      <w:rFonts w:cs="Times New Roman"/>
      <w:sz w:val="24"/>
      <w:lang w:val="en-US" w:eastAsia="en-US" w:bidi="ar-SA"/>
    </w:rPr>
  </w:style>
  <w:style w:type="character" w:customStyle="1" w:styleId="CharChar2">
    <w:name w:val=" Char Char2"/>
    <w:rsid w:val="009F6A7A"/>
    <w:rPr>
      <w:sz w:val="24"/>
      <w:lang w:val="en-US" w:eastAsia="en-US" w:bidi="ar-SA"/>
    </w:rPr>
  </w:style>
  <w:style w:type="character" w:customStyle="1" w:styleId="BodyTextChar2">
    <w:name w:val="Body Text Char2"/>
    <w:uiPriority w:val="99"/>
    <w:rsid w:val="00CC4463"/>
    <w:rPr>
      <w:sz w:val="24"/>
    </w:rPr>
  </w:style>
  <w:style w:type="character" w:customStyle="1" w:styleId="BodyText2Char">
    <w:name w:val="Body Text 2 Char"/>
    <w:link w:val="BodyText2"/>
    <w:locked/>
    <w:rsid w:val="001076B7"/>
    <w:rPr>
      <w:sz w:val="24"/>
    </w:rPr>
  </w:style>
  <w:style w:type="paragraph" w:customStyle="1" w:styleId="BodyTextNumberedConclusion">
    <w:name w:val="Body Text Numbered Conclusion"/>
    <w:basedOn w:val="BodyTextIndent2"/>
    <w:link w:val="BodyTextNumberedConclusionChar"/>
    <w:autoRedefine/>
    <w:rsid w:val="00ED4556"/>
    <w:pPr>
      <w:numPr>
        <w:numId w:val="9"/>
      </w:numPr>
      <w:spacing w:line="360" w:lineRule="auto"/>
    </w:pPr>
  </w:style>
  <w:style w:type="character" w:customStyle="1" w:styleId="BodyTextNumberedConclusionChar">
    <w:name w:val="Body Text Numbered Conclusion Char"/>
    <w:link w:val="BodyTextNumberedConclusion"/>
    <w:rsid w:val="00ED4556"/>
    <w:rPr>
      <w:sz w:val="24"/>
    </w:rPr>
  </w:style>
  <w:style w:type="numbering" w:customStyle="1" w:styleId="StyleBulletedSymbolsymbolLeft025Hanging025">
    <w:name w:val="Style Bulleted Symbol (symbol) Left:  0.25&quot; Hanging:  0.25&quot;"/>
    <w:basedOn w:val="NoList"/>
    <w:rsid w:val="00986263"/>
    <w:pPr>
      <w:numPr>
        <w:numId w:val="5"/>
      </w:numPr>
    </w:pPr>
  </w:style>
  <w:style w:type="paragraph" w:customStyle="1" w:styleId="BodyTextBulleted">
    <w:name w:val="Body Text: Bulleted"/>
    <w:basedOn w:val="Normal"/>
    <w:qFormat/>
    <w:rsid w:val="00822DA0"/>
    <w:pPr>
      <w:numPr>
        <w:numId w:val="6"/>
      </w:numPr>
      <w:spacing w:line="360" w:lineRule="auto"/>
    </w:pPr>
  </w:style>
  <w:style w:type="paragraph" w:customStyle="1" w:styleId="BodyTextlinebeforebulletedtextonly">
    <w:name w:val="Body Text: line before bulleted text only"/>
    <w:basedOn w:val="BodyText"/>
    <w:rsid w:val="00986263"/>
  </w:style>
  <w:style w:type="character" w:customStyle="1" w:styleId="BackgroundBoldedDescriptors">
    <w:name w:val="Background Bolded Descriptors"/>
    <w:rsid w:val="00986263"/>
    <w:rPr>
      <w:b/>
      <w:bCs/>
    </w:rPr>
  </w:style>
  <w:style w:type="paragraph" w:customStyle="1" w:styleId="StaffTitleHangingIndent">
    <w:name w:val="Staff Title Hanging Indent"/>
    <w:basedOn w:val="Normal"/>
    <w:rsid w:val="00986263"/>
    <w:pPr>
      <w:ind w:left="252" w:hanging="252"/>
    </w:pPr>
  </w:style>
  <w:style w:type="paragraph" w:customStyle="1" w:styleId="References">
    <w:name w:val="References"/>
    <w:basedOn w:val="Normal"/>
    <w:qFormat/>
    <w:rsid w:val="00986263"/>
    <w:pPr>
      <w:spacing w:after="240"/>
    </w:pPr>
  </w:style>
  <w:style w:type="numbering" w:customStyle="1" w:styleId="NumberedConclusion">
    <w:name w:val="Numbered Conclusion"/>
    <w:basedOn w:val="NoList"/>
    <w:rsid w:val="008E1F0B"/>
    <w:pPr>
      <w:numPr>
        <w:numId w:val="7"/>
      </w:numPr>
    </w:pPr>
  </w:style>
  <w:style w:type="numbering" w:customStyle="1" w:styleId="StyleNumberedLeft055Hanging025">
    <w:name w:val="Style Numbered Left:  0.55&quot; Hanging:  0.25&quot;"/>
    <w:basedOn w:val="NoList"/>
    <w:rsid w:val="008E1F0B"/>
    <w:pPr>
      <w:numPr>
        <w:numId w:val="8"/>
      </w:numPr>
    </w:pPr>
  </w:style>
  <w:style w:type="paragraph" w:customStyle="1" w:styleId="BodyText1">
    <w:name w:val="Body Text1"/>
    <w:basedOn w:val="BodyText"/>
    <w:link w:val="bodytextChar0"/>
    <w:qFormat/>
    <w:rsid w:val="00332937"/>
    <w:pPr>
      <w:spacing w:line="480" w:lineRule="auto"/>
    </w:pPr>
  </w:style>
  <w:style w:type="character" w:customStyle="1" w:styleId="bodytextChar0">
    <w:name w:val="body text Char"/>
    <w:link w:val="BodyText1"/>
    <w:rsid w:val="0033293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yperlink" TargetMode="External" Target="http://www.mass.gov/eohhs/gov/departments/dph/programs/environmental-health/exposure-topics/iaq/iaq-manual/"/>
  <Relationship Id="rId11" Type="http://schemas.openxmlformats.org/officeDocument/2006/relationships/image" Target="media/image2.png"/>
  <Relationship Id="rId12" Type="http://schemas.openxmlformats.org/officeDocument/2006/relationships/image" Target="media/image3.jpeg"/>
  <Relationship Id="rId13" Type="http://schemas.openxmlformats.org/officeDocument/2006/relationships/image" Target="media/image4.png"/>
  <Relationship Id="rId14" Type="http://schemas.openxmlformats.org/officeDocument/2006/relationships/footer" Target="footer1.xml"/>
  <Relationship Id="rId15" Type="http://schemas.openxmlformats.org/officeDocument/2006/relationships/footer" Target="footer2.xml"/>
  <Relationship Id="rId16" Type="http://schemas.openxmlformats.org/officeDocument/2006/relationships/header" Target="header1.xml"/>
  <Relationship Id="rId17" Type="http://schemas.openxmlformats.org/officeDocument/2006/relationships/header" Target="header2.xml"/>
  <Relationship Id="rId18" Type="http://schemas.openxmlformats.org/officeDocument/2006/relationships/footer" Target="footer3.xml"/>
  <Relationship Id="rId19" Type="http://schemas.openxmlformats.org/officeDocument/2006/relationships/footer" Target="footer4.xml"/>
  <Relationship Id="rId2" Type="http://schemas.openxmlformats.org/officeDocument/2006/relationships/numbering" Target="numbering.xml"/>
  <Relationship Id="rId20" Type="http://schemas.openxmlformats.org/officeDocument/2006/relationships/header" Target="header3.xml"/>
  <Relationship Id="rId21" Type="http://schemas.openxmlformats.org/officeDocument/2006/relationships/footer" Target="footer5.xml"/>
  <Relationship Id="rId22" Type="http://schemas.openxmlformats.org/officeDocument/2006/relationships/fontTable" Target="fontTable.xml"/>
  <Relationship Id="rId23" Type="http://schemas.openxmlformats.org/officeDocument/2006/relationships/theme" Target="theme/theme1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3CECA-5671-4ADC-A85E-B04874EDD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990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Indoor Assessment - EOHH Service Center, 300 Howard Street, 2nd floor, Department of Children and Families, Framingham, MA - February 2016 </vt:lpstr>
    </vt:vector>
  </TitlesOfParts>
  <Company>MDPH</Company>
  <LinksUpToDate>false</LinksUpToDate>
  <CharactersWithSpaces>6460</CharactersWithSpaces>
  <SharedDoc>false</SharedDoc>
  <HLinks>
    <vt:vector size="6" baseType="variant">
      <vt:variant>
        <vt:i4>3145825</vt:i4>
      </vt:variant>
      <vt:variant>
        <vt:i4>3</vt:i4>
      </vt:variant>
      <vt:variant>
        <vt:i4>0</vt:i4>
      </vt:variant>
      <vt:variant>
        <vt:i4>5</vt:i4>
      </vt:variant>
      <vt:variant>
        <vt:lpwstr>http://www.mass.gov/eohhs/gov/departments/dph/programs/environmental-health/exposure-topics/iaq/iaq-manual/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2016-03-28T20:18:00Z</dcterms:created>
  <dc:creator>MDPH - Indoor Air Quality Program</dc:creator>
  <keywords>EOHHS Service Center, Department of Children and Families ;</keywords>
  <lastModifiedBy>AutoBVT</lastModifiedBy>
  <lastPrinted>2016-01-20T14:23:00Z</lastPrinted>
  <dcterms:modified xsi:type="dcterms:W3CDTF">2016-03-28T20:18:00Z</dcterms:modified>
  <revision>2</revision>
  <dc:subject>On February 11, 2016, because of reported gas oders, the MDPH Indoor Air Quality Program MA investigated the Department of Children and Families, 300 Howard Street, 2nd Fl, Framingham.</dc:subject>
  <dc:title>Indoor Assessment - EOHH Service Center, 300 Howard Street, 2nd floor, Department of Children and Families, Framingham, MA - February 2016</dc:title>
</coreProperties>
</file>