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1836"/>
        <w:gridCol w:w="8954"/>
      </w:tblGrid>
      <w:tr w:rsidR="006536D2" w:rsidRPr="005B42CB" w14:paraId="12C54A6B" w14:textId="77777777" w:rsidTr="002F2A22">
        <w:trPr>
          <w:trHeight w:val="1278"/>
        </w:trPr>
        <w:tc>
          <w:tcPr>
            <w:tcW w:w="1707" w:type="dxa"/>
            <w:shd w:val="clear" w:color="auto" w:fill="auto"/>
          </w:tcPr>
          <w:p w14:paraId="12C54A68" w14:textId="77777777" w:rsidR="006536D2" w:rsidRPr="00392D8D" w:rsidRDefault="0054330A" w:rsidP="00FA147F">
            <w:pPr>
              <w:rPr>
                <w:sz w:val="18"/>
              </w:rPr>
            </w:pPr>
            <w:r>
              <w:rPr>
                <w:noProof/>
              </w:rPr>
              <w:drawing>
                <wp:anchor distT="0" distB="0" distL="114300" distR="114300" simplePos="0" relativeHeight="251658242" behindDoc="1" locked="0" layoutInCell="1" allowOverlap="1" wp14:anchorId="12C54AD1" wp14:editId="12C54AD2">
                  <wp:simplePos x="0" y="0"/>
                  <wp:positionH relativeFrom="column">
                    <wp:posOffset>-6350</wp:posOffset>
                  </wp:positionH>
                  <wp:positionV relativeFrom="paragraph">
                    <wp:posOffset>139700</wp:posOffset>
                  </wp:positionV>
                  <wp:extent cx="1019175" cy="1019175"/>
                  <wp:effectExtent l="0" t="0" r="9525" b="9525"/>
                  <wp:wrapTight wrapText="bothSides">
                    <wp:wrapPolygon edited="0">
                      <wp:start x="0" y="0"/>
                      <wp:lineTo x="0" y="21398"/>
                      <wp:lineTo x="21398" y="21398"/>
                      <wp:lineTo x="21398" y="0"/>
                      <wp:lineTo x="0" y="0"/>
                    </wp:wrapPolygon>
                  </wp:wrapTight>
                  <wp:docPr id="1" name="Picture 1" descr="Image result for commonwealth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ommonwealth of massachusett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00AE1B32">
              <w:rPr>
                <w:noProof/>
                <w:szCs w:val="20"/>
              </w:rPr>
              <mc:AlternateContent>
                <mc:Choice Requires="wps">
                  <w:drawing>
                    <wp:anchor distT="0" distB="0" distL="114300" distR="114300" simplePos="0" relativeHeight="251658240" behindDoc="0" locked="0" layoutInCell="1" allowOverlap="1" wp14:anchorId="12C54AD3" wp14:editId="12C54AD4">
                      <wp:simplePos x="0" y="0"/>
                      <wp:positionH relativeFrom="column">
                        <wp:posOffset>-473710</wp:posOffset>
                      </wp:positionH>
                      <wp:positionV relativeFrom="paragraph">
                        <wp:posOffset>-699770</wp:posOffset>
                      </wp:positionV>
                      <wp:extent cx="8869045" cy="113665"/>
                      <wp:effectExtent l="2540" t="1905"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69045" cy="113665"/>
                              </a:xfrm>
                              <a:prstGeom prst="rect">
                                <a:avLst/>
                              </a:prstGeom>
                              <a:solidFill>
                                <a:srgbClr val="25416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w16du="http://schemas.microsoft.com/office/word/2023/wordml/word16du">
                  <w:pict>
                    <v:rect id="Rectangle 2" style="position:absolute;margin-left:-37.3pt;margin-top:-55.1pt;width:698.35pt;height:8.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25416b" stroked="f" w14:anchorId="22E96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"/>
                  </w:pict>
                </mc:Fallback>
              </mc:AlternateContent>
            </w:r>
          </w:p>
        </w:tc>
        <w:tc>
          <w:tcPr>
            <w:tcW w:w="9099" w:type="dxa"/>
            <w:shd w:val="clear" w:color="auto" w:fill="auto"/>
          </w:tcPr>
          <w:p w14:paraId="12C54A69" w14:textId="6908926D" w:rsidR="006536D2" w:rsidRPr="00392D8D" w:rsidRDefault="006536D2" w:rsidP="00FA147F">
            <w:pPr>
              <w:rPr>
                <w:rFonts w:ascii="Myriad Pro" w:hAnsi="Myriad Pro"/>
                <w:color w:val="25416B"/>
                <w:sz w:val="18"/>
              </w:rPr>
            </w:pPr>
          </w:p>
          <w:p w14:paraId="3231DF1C" w14:textId="77777777" w:rsidR="00EE6643" w:rsidRPr="00EE6643" w:rsidRDefault="00EE6643" w:rsidP="00752464">
            <w:pPr>
              <w:spacing w:before="140"/>
              <w:rPr>
                <w:rFonts w:ascii="Book Antiqua" w:hAnsi="Book Antiqua"/>
                <w:color w:val="25416B"/>
                <w:sz w:val="16"/>
                <w:szCs w:val="16"/>
              </w:rPr>
            </w:pPr>
          </w:p>
          <w:p w14:paraId="2CC67E90" w14:textId="564BBA2B" w:rsidR="00527541" w:rsidRDefault="0054330A" w:rsidP="00752464">
            <w:pPr>
              <w:spacing w:before="140"/>
              <w:rPr>
                <w:rFonts w:ascii="Book Antiqua" w:hAnsi="Book Antiqua"/>
                <w:color w:val="25416B"/>
                <w:sz w:val="28"/>
                <w:szCs w:val="28"/>
              </w:rPr>
            </w:pPr>
            <w:r w:rsidRPr="0054330A">
              <w:rPr>
                <w:rFonts w:ascii="Book Antiqua" w:hAnsi="Book Antiqua"/>
                <w:color w:val="25416B"/>
                <w:sz w:val="28"/>
                <w:szCs w:val="28"/>
              </w:rPr>
              <w:t>Massachusetts Executive Office of Health and Human Services</w:t>
            </w:r>
            <w:r>
              <w:rPr>
                <w:rFonts w:ascii="Book Antiqua" w:hAnsi="Book Antiqua"/>
                <w:color w:val="25416B"/>
                <w:sz w:val="28"/>
                <w:szCs w:val="28"/>
              </w:rPr>
              <w:t xml:space="preserve"> </w:t>
            </w:r>
          </w:p>
          <w:p w14:paraId="12C54A6A" w14:textId="3DAFB5FE" w:rsidR="006536D2" w:rsidRPr="00906486" w:rsidRDefault="0054330A" w:rsidP="00EE6643">
            <w:pPr>
              <w:rPr>
                <w:rFonts w:ascii="Book Antiqua" w:hAnsi="Book Antiqua"/>
                <w:color w:val="25416B"/>
                <w:sz w:val="28"/>
                <w:szCs w:val="28"/>
              </w:rPr>
            </w:pPr>
            <w:r w:rsidRPr="0054330A">
              <w:rPr>
                <w:rFonts w:ascii="Book Antiqua" w:hAnsi="Book Antiqua"/>
                <w:color w:val="25416B"/>
                <w:sz w:val="28"/>
                <w:szCs w:val="28"/>
              </w:rPr>
              <w:t xml:space="preserve">Quality </w:t>
            </w:r>
            <w:r w:rsidR="00E20CB9">
              <w:rPr>
                <w:rFonts w:ascii="Book Antiqua" w:hAnsi="Book Antiqua"/>
                <w:color w:val="25416B"/>
                <w:sz w:val="28"/>
                <w:szCs w:val="28"/>
              </w:rPr>
              <w:t xml:space="preserve">Measure </w:t>
            </w:r>
            <w:r w:rsidRPr="0054330A">
              <w:rPr>
                <w:rFonts w:ascii="Book Antiqua" w:hAnsi="Book Antiqua"/>
                <w:color w:val="25416B"/>
                <w:sz w:val="28"/>
                <w:szCs w:val="28"/>
              </w:rPr>
              <w:t>Alignment Taskforce</w:t>
            </w:r>
          </w:p>
        </w:tc>
      </w:tr>
    </w:tbl>
    <w:p w14:paraId="12C54A6C" w14:textId="0A9600C0" w:rsidR="006536D2" w:rsidRDefault="00831647" w:rsidP="00FA147F">
      <w:pPr>
        <w:sectPr w:rsidR="006536D2" w:rsidSect="00AF7C7F">
          <w:headerReference w:type="default" r:id="rId12"/>
          <w:footerReference w:type="even" r:id="rId13"/>
          <w:footerReference w:type="default" r:id="rId14"/>
          <w:footerReference w:type="first" r:id="rId15"/>
          <w:type w:val="continuous"/>
          <w:pgSz w:w="12240" w:h="15840"/>
          <w:pgMar w:top="720" w:right="720" w:bottom="1440" w:left="720" w:header="720" w:footer="720" w:gutter="0"/>
          <w:cols w:space="720"/>
          <w:titlePg/>
        </w:sectPr>
      </w:pPr>
      <w:r>
        <w:rPr>
          <w:noProof/>
          <w:szCs w:val="20"/>
        </w:rPr>
        <mc:AlternateContent>
          <mc:Choice Requires="wpg">
            <w:drawing>
              <wp:anchor distT="0" distB="0" distL="114300" distR="114300" simplePos="0" relativeHeight="251658241" behindDoc="1" locked="0" layoutInCell="1" allowOverlap="1" wp14:anchorId="12C54AD5" wp14:editId="2CB1F0F6">
                <wp:simplePos x="0" y="0"/>
                <wp:positionH relativeFrom="column">
                  <wp:posOffset>1187450</wp:posOffset>
                </wp:positionH>
                <wp:positionV relativeFrom="paragraph">
                  <wp:posOffset>-1756410</wp:posOffset>
                </wp:positionV>
                <wp:extent cx="6243955" cy="9603105"/>
                <wp:effectExtent l="0" t="0" r="4445"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3955" cy="9603105"/>
                          <a:chOff x="2456" y="-477"/>
                          <a:chExt cx="9833" cy="15123"/>
                        </a:xfrm>
                      </wpg:grpSpPr>
                      <wps:wsp>
                        <wps:cNvPr id="3" name="Rectangle 14"/>
                        <wps:cNvSpPr>
                          <a:spLocks noChangeArrowheads="1"/>
                        </wps:cNvSpPr>
                        <wps:spPr bwMode="auto">
                          <a:xfrm rot="-5400000">
                            <a:off x="4638" y="6995"/>
                            <a:ext cx="15123" cy="179"/>
                          </a:xfrm>
                          <a:prstGeom prst="rect">
                            <a:avLst/>
                          </a:prstGeom>
                          <a:solidFill>
                            <a:srgbClr val="25416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16"/>
                        <wps:cNvSpPr>
                          <a:spLocks noChangeArrowheads="1"/>
                        </wps:cNvSpPr>
                        <wps:spPr bwMode="auto">
                          <a:xfrm>
                            <a:off x="2456" y="-261"/>
                            <a:ext cx="9680" cy="179"/>
                          </a:xfrm>
                          <a:prstGeom prst="rect">
                            <a:avLst/>
                          </a:prstGeom>
                          <a:solidFill>
                            <a:srgbClr val="25416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w16du="http://schemas.microsoft.com/office/word/2023/wordml/word16du">
            <w:pict>
              <v:group id="Group 17" style="position:absolute;margin-left:93.5pt;margin-top:-138.3pt;width:491.65pt;height:756.15pt;z-index:-251658239" coordsize="9833,15123" coordorigin="2456,-477" o:spid="_x0000_s1026" w14:anchorId="571FA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">
                <v:rect id="Rectangle 14" style="position:absolute;left:4638;top:6995;width:15123;height:179;rotation:-90;visibility:visible;mso-wrap-style:square;v-text-anchor:top" o:spid="_x0000_s1027" fillcolor="#25416b"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"/>
                <v:rect id="Rectangle 16" style="position:absolute;left:2456;top:-261;width:9680;height:179;visibility:visible;mso-wrap-style:square;v-text-anchor:top" o:spid="_x0000_s1028" fillcolor="#25416b"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"/>
              </v:group>
            </w:pict>
          </mc:Fallback>
        </mc:AlternateContent>
      </w:r>
    </w:p>
    <w:p w14:paraId="12C54A6D" w14:textId="3EA993C0" w:rsidR="006536D2" w:rsidRPr="00C271BD" w:rsidRDefault="006536D2" w:rsidP="00FA147F">
      <w:pPr>
        <w:rPr>
          <w:rFonts w:ascii="Book Antiqua" w:hAnsi="Book Antiqua"/>
          <w:sz w:val="22"/>
          <w:szCs w:val="22"/>
        </w:rPr>
      </w:pPr>
    </w:p>
    <w:p w14:paraId="12C54A6E" w14:textId="77777777" w:rsidR="006F4157" w:rsidRDefault="00D457EE" w:rsidP="000E2879">
      <w:pPr>
        <w:ind w:left="1440" w:right="720" w:hanging="1440"/>
        <w:jc w:val="center"/>
        <w:rPr>
          <w:rFonts w:ascii="Book Antiqua" w:hAnsi="Book Antiqua"/>
          <w:b/>
        </w:rPr>
      </w:pPr>
      <w:r w:rsidRPr="000E2879">
        <w:rPr>
          <w:rFonts w:ascii="Book Antiqua" w:hAnsi="Book Antiqua"/>
          <w:b/>
        </w:rPr>
        <w:t xml:space="preserve">Massachusetts </w:t>
      </w:r>
      <w:r w:rsidR="00784F81" w:rsidRPr="000E2879">
        <w:rPr>
          <w:rFonts w:ascii="Book Antiqua" w:hAnsi="Book Antiqua"/>
          <w:b/>
        </w:rPr>
        <w:t xml:space="preserve">Aligned Measure Set </w:t>
      </w:r>
      <w:r w:rsidR="00D20F73" w:rsidRPr="000E2879">
        <w:rPr>
          <w:rFonts w:ascii="Book Antiqua" w:hAnsi="Book Antiqua"/>
          <w:b/>
        </w:rPr>
        <w:t>for Global Budget-Based Risk Contracts</w:t>
      </w:r>
    </w:p>
    <w:p w14:paraId="12C54A6F" w14:textId="68E9F82C" w:rsidR="000E2879" w:rsidRPr="001B0085" w:rsidRDefault="000E2879" w:rsidP="601D2CB1">
      <w:pPr>
        <w:ind w:left="1440" w:right="720" w:hanging="1440"/>
        <w:jc w:val="center"/>
        <w:rPr>
          <w:rFonts w:ascii="Book Antiqua" w:hAnsi="Book Antiqua"/>
          <w:b/>
          <w:bCs/>
        </w:rPr>
      </w:pPr>
      <w:r w:rsidRPr="601D2CB1">
        <w:rPr>
          <w:rFonts w:ascii="Book Antiqua" w:hAnsi="Book Antiqua"/>
          <w:b/>
          <w:bCs/>
        </w:rPr>
        <w:t>202</w:t>
      </w:r>
      <w:r w:rsidR="008530C2">
        <w:rPr>
          <w:rFonts w:ascii="Book Antiqua" w:hAnsi="Book Antiqua"/>
          <w:b/>
          <w:bCs/>
        </w:rPr>
        <w:t xml:space="preserve">4 </w:t>
      </w:r>
      <w:r w:rsidRPr="601D2CB1">
        <w:rPr>
          <w:rFonts w:ascii="Book Antiqua" w:hAnsi="Book Antiqua"/>
          <w:b/>
          <w:bCs/>
        </w:rPr>
        <w:t>Implementation Parameters</w:t>
      </w:r>
    </w:p>
    <w:p w14:paraId="12C54A70" w14:textId="135ED155" w:rsidR="001B0085" w:rsidRPr="004A0BB8" w:rsidRDefault="005D528D" w:rsidP="0A1B64FD">
      <w:pPr>
        <w:ind w:left="1440" w:right="720" w:hanging="1440"/>
        <w:jc w:val="center"/>
        <w:rPr>
          <w:rFonts w:ascii="Book Antiqua" w:hAnsi="Book Antiqua"/>
          <w:b/>
          <w:bCs/>
          <w:i/>
          <w:iCs/>
        </w:rPr>
      </w:pPr>
      <w:r w:rsidRPr="0A1B64FD">
        <w:rPr>
          <w:rFonts w:ascii="Book Antiqua" w:hAnsi="Book Antiqua"/>
          <w:b/>
          <w:bCs/>
        </w:rPr>
        <w:t>Ju</w:t>
      </w:r>
      <w:r w:rsidR="008530C2">
        <w:rPr>
          <w:rFonts w:ascii="Book Antiqua" w:hAnsi="Book Antiqua"/>
          <w:b/>
          <w:bCs/>
        </w:rPr>
        <w:t>ne</w:t>
      </w:r>
      <w:r w:rsidRPr="0A1B64FD">
        <w:rPr>
          <w:rFonts w:ascii="Book Antiqua" w:hAnsi="Book Antiqua"/>
          <w:b/>
          <w:bCs/>
        </w:rPr>
        <w:t xml:space="preserve"> </w:t>
      </w:r>
      <w:r w:rsidR="008530C2">
        <w:rPr>
          <w:rFonts w:ascii="Book Antiqua" w:hAnsi="Book Antiqua"/>
          <w:b/>
          <w:bCs/>
        </w:rPr>
        <w:t>22</w:t>
      </w:r>
      <w:r w:rsidR="005706B2" w:rsidRPr="0A1B64FD">
        <w:rPr>
          <w:rFonts w:ascii="Book Antiqua" w:hAnsi="Book Antiqua"/>
          <w:b/>
          <w:bCs/>
        </w:rPr>
        <w:t>, 20</w:t>
      </w:r>
      <w:r w:rsidR="0090797A" w:rsidRPr="0A1B64FD">
        <w:rPr>
          <w:rFonts w:ascii="Book Antiqua" w:hAnsi="Book Antiqua"/>
          <w:b/>
          <w:bCs/>
        </w:rPr>
        <w:t>2</w:t>
      </w:r>
      <w:r w:rsidR="008530C2">
        <w:rPr>
          <w:rFonts w:ascii="Book Antiqua" w:hAnsi="Book Antiqua"/>
          <w:b/>
          <w:bCs/>
        </w:rPr>
        <w:t>3</w:t>
      </w:r>
    </w:p>
    <w:p w14:paraId="12C54A71" w14:textId="77777777" w:rsidR="002D710C" w:rsidRDefault="002D710C" w:rsidP="00FA147F">
      <w:pPr>
        <w:ind w:right="720"/>
        <w:rPr>
          <w:rFonts w:ascii="Book Antiqua" w:hAnsi="Book Antiqua"/>
          <w:sz w:val="22"/>
          <w:szCs w:val="22"/>
        </w:rPr>
      </w:pPr>
    </w:p>
    <w:p w14:paraId="12C54A72" w14:textId="77777777" w:rsidR="001B0085" w:rsidRPr="004F4311" w:rsidRDefault="001B0085" w:rsidP="00FA147F">
      <w:pPr>
        <w:ind w:right="720"/>
        <w:rPr>
          <w:rFonts w:ascii="Book Antiqua" w:hAnsi="Book Antiqua"/>
          <w:sz w:val="22"/>
          <w:szCs w:val="22"/>
        </w:rPr>
      </w:pPr>
    </w:p>
    <w:p w14:paraId="12C54A73" w14:textId="77777777" w:rsidR="00301FE4" w:rsidRPr="00CB2CD2" w:rsidRDefault="00857730" w:rsidP="00023222">
      <w:pPr>
        <w:pStyle w:val="Heading1"/>
        <w:spacing w:before="0"/>
        <w:rPr>
          <w:szCs w:val="22"/>
        </w:rPr>
      </w:pPr>
      <w:r w:rsidRPr="00CB2CD2">
        <w:rPr>
          <w:szCs w:val="22"/>
        </w:rPr>
        <w:t xml:space="preserve">I. </w:t>
      </w:r>
      <w:r w:rsidR="002D710C" w:rsidRPr="00CB2CD2">
        <w:rPr>
          <w:szCs w:val="22"/>
        </w:rPr>
        <w:t>Introduction</w:t>
      </w:r>
    </w:p>
    <w:p w14:paraId="5FCEB269" w14:textId="77777777" w:rsidR="00FF12C1" w:rsidRDefault="00637114" w:rsidP="00023222">
      <w:pPr>
        <w:rPr>
          <w:rFonts w:ascii="Book Antiqua" w:hAnsi="Book Antiqua"/>
          <w:sz w:val="22"/>
          <w:szCs w:val="22"/>
        </w:rPr>
      </w:pPr>
      <w:r w:rsidRPr="004F4311">
        <w:rPr>
          <w:rFonts w:ascii="Book Antiqua" w:hAnsi="Book Antiqua"/>
          <w:sz w:val="22"/>
          <w:szCs w:val="22"/>
        </w:rPr>
        <w:t xml:space="preserve">In 2017 the </w:t>
      </w:r>
      <w:r w:rsidR="00FC3190" w:rsidRPr="004F4311">
        <w:rPr>
          <w:rFonts w:ascii="Book Antiqua" w:hAnsi="Book Antiqua"/>
          <w:sz w:val="22"/>
          <w:szCs w:val="22"/>
        </w:rPr>
        <w:t>Executive Office of Health and Human Services (</w:t>
      </w:r>
      <w:r w:rsidRPr="004F4311">
        <w:rPr>
          <w:rFonts w:ascii="Book Antiqua" w:hAnsi="Book Antiqua"/>
          <w:sz w:val="22"/>
          <w:szCs w:val="22"/>
        </w:rPr>
        <w:t>EOHHS</w:t>
      </w:r>
      <w:r w:rsidR="00FC3190" w:rsidRPr="004F4311">
        <w:rPr>
          <w:rFonts w:ascii="Book Antiqua" w:hAnsi="Book Antiqua"/>
          <w:sz w:val="22"/>
          <w:szCs w:val="22"/>
        </w:rPr>
        <w:t>)</w:t>
      </w:r>
      <w:r w:rsidRPr="004F4311">
        <w:rPr>
          <w:rFonts w:ascii="Book Antiqua" w:hAnsi="Book Antiqua"/>
          <w:sz w:val="22"/>
          <w:szCs w:val="22"/>
        </w:rPr>
        <w:t xml:space="preserve"> convened a Quality Alignment Taskforce (Taskforce) to </w:t>
      </w:r>
      <w:r w:rsidR="001B0E30">
        <w:rPr>
          <w:rFonts w:ascii="Book Antiqua" w:hAnsi="Book Antiqua"/>
          <w:sz w:val="22"/>
          <w:szCs w:val="22"/>
        </w:rPr>
        <w:t>recommend to the Secretary an</w:t>
      </w:r>
      <w:r w:rsidRPr="004F4311">
        <w:rPr>
          <w:rFonts w:ascii="Book Antiqua" w:hAnsi="Book Antiqua"/>
          <w:sz w:val="22"/>
          <w:szCs w:val="22"/>
        </w:rPr>
        <w:t xml:space="preserve"> aligned measure set for use in global budget-based risk contracts</w:t>
      </w:r>
      <w:r w:rsidR="005D70A1">
        <w:rPr>
          <w:rFonts w:ascii="Book Antiqua" w:hAnsi="Book Antiqua"/>
          <w:sz w:val="22"/>
          <w:szCs w:val="22"/>
        </w:rPr>
        <w:t>.</w:t>
      </w:r>
      <w:r w:rsidRPr="004F4311">
        <w:rPr>
          <w:rFonts w:ascii="Book Antiqua" w:hAnsi="Book Antiqua"/>
          <w:sz w:val="22"/>
          <w:szCs w:val="22"/>
        </w:rPr>
        <w:t xml:space="preserve"> </w:t>
      </w:r>
      <w:r w:rsidR="005D70A1" w:rsidRPr="005D70A1">
        <w:rPr>
          <w:rFonts w:ascii="Book Antiqua" w:hAnsi="Book Antiqua"/>
          <w:sz w:val="22"/>
          <w:szCs w:val="22"/>
        </w:rPr>
        <w:t xml:space="preserve"> </w:t>
      </w:r>
    </w:p>
    <w:p w14:paraId="57154DCC" w14:textId="77777777" w:rsidR="00FF12C1" w:rsidRDefault="00FF12C1" w:rsidP="00023222">
      <w:pPr>
        <w:rPr>
          <w:rFonts w:ascii="Book Antiqua" w:hAnsi="Book Antiqua"/>
          <w:sz w:val="22"/>
          <w:szCs w:val="22"/>
        </w:rPr>
      </w:pPr>
    </w:p>
    <w:p w14:paraId="6EB41068" w14:textId="77777777" w:rsidR="009022D8" w:rsidRDefault="00D14F5A" w:rsidP="00023222">
      <w:pPr>
        <w:rPr>
          <w:rFonts w:ascii="Book Antiqua" w:hAnsi="Book Antiqua"/>
          <w:sz w:val="22"/>
          <w:szCs w:val="22"/>
        </w:rPr>
      </w:pPr>
      <w:r>
        <w:rPr>
          <w:rFonts w:ascii="Book Antiqua" w:hAnsi="Book Antiqua"/>
          <w:sz w:val="22"/>
          <w:szCs w:val="22"/>
        </w:rPr>
        <w:t>Global budget-based risk contracts are defined as</w:t>
      </w:r>
      <w:r w:rsidR="009022D8">
        <w:rPr>
          <w:rFonts w:ascii="Book Antiqua" w:hAnsi="Book Antiqua"/>
          <w:sz w:val="22"/>
          <w:szCs w:val="22"/>
        </w:rPr>
        <w:t xml:space="preserve"> follows</w:t>
      </w:r>
      <w:r w:rsidR="00FF12C1">
        <w:rPr>
          <w:rFonts w:ascii="Book Antiqua" w:hAnsi="Book Antiqua"/>
          <w:sz w:val="22"/>
          <w:szCs w:val="22"/>
        </w:rPr>
        <w:t xml:space="preserve">: </w:t>
      </w:r>
    </w:p>
    <w:p w14:paraId="7BAFDFA3" w14:textId="77777777" w:rsidR="009022D8" w:rsidRDefault="009022D8" w:rsidP="00023222">
      <w:pPr>
        <w:rPr>
          <w:rFonts w:ascii="Book Antiqua" w:hAnsi="Book Antiqua"/>
          <w:sz w:val="22"/>
          <w:szCs w:val="22"/>
        </w:rPr>
      </w:pPr>
    </w:p>
    <w:p w14:paraId="5E94B11D" w14:textId="0CE6574D" w:rsidR="00E20CB9" w:rsidRPr="00CC6D7C" w:rsidRDefault="00FF12C1" w:rsidP="0A1B64FD">
      <w:pPr>
        <w:rPr>
          <w:rFonts w:ascii="Book Antiqua" w:hAnsi="Book Antiqua"/>
          <w:i/>
          <w:iCs/>
          <w:sz w:val="22"/>
          <w:szCs w:val="22"/>
        </w:rPr>
      </w:pPr>
      <w:r w:rsidRPr="0A1B64FD">
        <w:rPr>
          <w:rFonts w:ascii="Book Antiqua" w:hAnsi="Book Antiqua"/>
          <w:i/>
          <w:iCs/>
          <w:sz w:val="22"/>
          <w:szCs w:val="22"/>
        </w:rPr>
        <w:t>Contracts between payers (commercial and Medicaid) and provider organization where budgets for health care spending are set either prospectively or retrospectively, according to a prospectively known formula, for a comprehensive set of services</w:t>
      </w:r>
      <w:r w:rsidR="00A060E3" w:rsidRPr="0A1B64FD">
        <w:rPr>
          <w:rStyle w:val="FootnoteReference"/>
          <w:rFonts w:ascii="Book Antiqua" w:hAnsi="Book Antiqua"/>
          <w:i/>
          <w:iCs/>
          <w:sz w:val="22"/>
          <w:szCs w:val="22"/>
        </w:rPr>
        <w:footnoteReference w:id="2"/>
      </w:r>
      <w:r w:rsidRPr="0A1B64FD">
        <w:rPr>
          <w:rFonts w:ascii="Book Antiqua" w:hAnsi="Book Antiqua"/>
          <w:i/>
          <w:iCs/>
          <w:sz w:val="22"/>
          <w:szCs w:val="22"/>
        </w:rPr>
        <w:t xml:space="preserve"> for a broadly defined population, and for which there is a financial incentive for achieving a budget. </w:t>
      </w:r>
      <w:r w:rsidR="00E44C79" w:rsidRPr="0A1B64FD">
        <w:rPr>
          <w:rFonts w:ascii="Book Antiqua" w:hAnsi="Book Antiqua"/>
          <w:i/>
          <w:iCs/>
          <w:sz w:val="22"/>
          <w:szCs w:val="22"/>
        </w:rPr>
        <w:t xml:space="preserve"> </w:t>
      </w:r>
      <w:r w:rsidRPr="0A1B64FD">
        <w:rPr>
          <w:rFonts w:ascii="Book Antiqua" w:hAnsi="Book Antiqua"/>
          <w:i/>
          <w:iCs/>
          <w:sz w:val="22"/>
          <w:szCs w:val="22"/>
        </w:rPr>
        <w:t>The contract includes incentives based on a provider organization's performance on a set of measures of health care quality or there is a standalone quality incentive</w:t>
      </w:r>
      <w:r w:rsidR="00376A53" w:rsidRPr="0A1B64FD">
        <w:rPr>
          <w:rFonts w:ascii="Book Antiqua" w:hAnsi="Book Antiqua"/>
          <w:i/>
          <w:iCs/>
          <w:sz w:val="22"/>
          <w:szCs w:val="22"/>
        </w:rPr>
        <w:t xml:space="preserve"> applied to </w:t>
      </w:r>
      <w:r w:rsidRPr="0A1B64FD">
        <w:rPr>
          <w:rFonts w:ascii="Book Antiqua" w:hAnsi="Book Antiqua"/>
          <w:i/>
          <w:iCs/>
          <w:sz w:val="22"/>
          <w:szCs w:val="22"/>
        </w:rPr>
        <w:t>the same patient population.</w:t>
      </w:r>
      <w:r w:rsidR="00B132CA" w:rsidRPr="0A1B64FD">
        <w:rPr>
          <w:rFonts w:ascii="Book Antiqua" w:hAnsi="Book Antiqua"/>
          <w:i/>
          <w:iCs/>
          <w:sz w:val="22"/>
          <w:szCs w:val="22"/>
        </w:rPr>
        <w:t xml:space="preserve"> Global budget-based risk contracts should be amended annually to reflect </w:t>
      </w:r>
      <w:r w:rsidR="00EE76A4" w:rsidRPr="0A1B64FD">
        <w:rPr>
          <w:rFonts w:ascii="Book Antiqua" w:hAnsi="Book Antiqua"/>
          <w:i/>
          <w:iCs/>
          <w:sz w:val="22"/>
          <w:szCs w:val="22"/>
        </w:rPr>
        <w:t>modifications</w:t>
      </w:r>
      <w:r w:rsidR="00B132CA" w:rsidRPr="0A1B64FD">
        <w:rPr>
          <w:rFonts w:ascii="Book Antiqua" w:hAnsi="Book Antiqua"/>
          <w:i/>
          <w:iCs/>
          <w:sz w:val="22"/>
          <w:szCs w:val="22"/>
        </w:rPr>
        <w:t xml:space="preserve"> to the Aligned Measure Set that reflect changes to </w:t>
      </w:r>
      <w:r w:rsidR="00EE76A4" w:rsidRPr="0A1B64FD">
        <w:rPr>
          <w:rFonts w:ascii="Book Antiqua" w:hAnsi="Book Antiqua"/>
          <w:i/>
          <w:iCs/>
          <w:sz w:val="22"/>
          <w:szCs w:val="22"/>
        </w:rPr>
        <w:t xml:space="preserve">underlying </w:t>
      </w:r>
      <w:r w:rsidR="00B132CA" w:rsidRPr="0A1B64FD">
        <w:rPr>
          <w:rFonts w:ascii="Book Antiqua" w:hAnsi="Book Antiqua"/>
          <w:i/>
          <w:iCs/>
          <w:sz w:val="22"/>
          <w:szCs w:val="22"/>
        </w:rPr>
        <w:t>national clinical guidelines.</w:t>
      </w:r>
    </w:p>
    <w:p w14:paraId="711CD725" w14:textId="77777777" w:rsidR="00B36E86" w:rsidRDefault="00B36E86" w:rsidP="00023222">
      <w:pPr>
        <w:rPr>
          <w:rFonts w:ascii="Book Antiqua" w:hAnsi="Book Antiqua"/>
          <w:sz w:val="22"/>
          <w:szCs w:val="22"/>
        </w:rPr>
      </w:pPr>
    </w:p>
    <w:p w14:paraId="12C54A76" w14:textId="60D5474A" w:rsidR="004B30F1" w:rsidRPr="004F4311" w:rsidRDefault="005D70A1" w:rsidP="00023222">
      <w:pPr>
        <w:rPr>
          <w:rFonts w:ascii="Book Antiqua" w:hAnsi="Book Antiqua"/>
          <w:sz w:val="22"/>
          <w:szCs w:val="22"/>
        </w:rPr>
      </w:pPr>
      <w:r>
        <w:rPr>
          <w:rFonts w:ascii="Book Antiqua" w:hAnsi="Book Antiqua"/>
          <w:sz w:val="22"/>
          <w:szCs w:val="22"/>
        </w:rPr>
        <w:t xml:space="preserve">At the outset of its work, </w:t>
      </w:r>
      <w:r w:rsidR="004B30F1" w:rsidRPr="004F4311">
        <w:rPr>
          <w:rFonts w:ascii="Book Antiqua" w:hAnsi="Book Antiqua"/>
          <w:sz w:val="22"/>
          <w:szCs w:val="22"/>
        </w:rPr>
        <w:t xml:space="preserve">EOHHS’ objectives </w:t>
      </w:r>
      <w:r w:rsidR="00061F2B">
        <w:rPr>
          <w:rFonts w:ascii="Book Antiqua" w:hAnsi="Book Antiqua"/>
          <w:sz w:val="22"/>
          <w:szCs w:val="22"/>
        </w:rPr>
        <w:t>we</w:t>
      </w:r>
      <w:r w:rsidR="004B30F1" w:rsidRPr="004F4311">
        <w:rPr>
          <w:rFonts w:ascii="Book Antiqua" w:hAnsi="Book Antiqua"/>
          <w:sz w:val="22"/>
          <w:szCs w:val="22"/>
        </w:rPr>
        <w:t xml:space="preserve">re to a) reduce the administrative burden on provider organizations associated with operating under multiple, non-aligned contractual measure sets, including </w:t>
      </w:r>
      <w:r w:rsidR="00704EFB">
        <w:rPr>
          <w:rFonts w:ascii="Book Antiqua" w:hAnsi="Book Antiqua"/>
          <w:sz w:val="22"/>
          <w:szCs w:val="22"/>
        </w:rPr>
        <w:t xml:space="preserve">the </w:t>
      </w:r>
      <w:r w:rsidR="004B30F1" w:rsidRPr="004F4311">
        <w:rPr>
          <w:rFonts w:ascii="Book Antiqua" w:hAnsi="Book Antiqua"/>
          <w:sz w:val="22"/>
          <w:szCs w:val="22"/>
        </w:rPr>
        <w:t xml:space="preserve">burden associated with resources dedicated to varied quality improvement initiatives and to measure reporting, and b) focus provider quality improvement efforts on state health </w:t>
      </w:r>
      <w:r w:rsidR="00B35456">
        <w:rPr>
          <w:rFonts w:ascii="Book Antiqua" w:hAnsi="Book Antiqua"/>
          <w:sz w:val="22"/>
          <w:szCs w:val="22"/>
        </w:rPr>
        <w:t xml:space="preserve">and </w:t>
      </w:r>
      <w:r w:rsidR="00F41A75">
        <w:rPr>
          <w:rFonts w:ascii="Book Antiqua" w:hAnsi="Book Antiqua"/>
          <w:sz w:val="22"/>
          <w:szCs w:val="22"/>
        </w:rPr>
        <w:t>h</w:t>
      </w:r>
      <w:r w:rsidR="00B35456">
        <w:rPr>
          <w:rFonts w:ascii="Book Antiqua" w:hAnsi="Book Antiqua"/>
          <w:sz w:val="22"/>
          <w:szCs w:val="22"/>
        </w:rPr>
        <w:t xml:space="preserve">ealth care improvement </w:t>
      </w:r>
      <w:r w:rsidR="004B30F1" w:rsidRPr="004F4311">
        <w:rPr>
          <w:rFonts w:ascii="Book Antiqua" w:hAnsi="Book Antiqua"/>
          <w:sz w:val="22"/>
          <w:szCs w:val="22"/>
        </w:rPr>
        <w:t>opportunities and priorities.</w:t>
      </w:r>
    </w:p>
    <w:p w14:paraId="12C54A77" w14:textId="77777777" w:rsidR="004B30F1" w:rsidRPr="004F4311" w:rsidRDefault="004B30F1" w:rsidP="00023222">
      <w:pPr>
        <w:rPr>
          <w:rFonts w:ascii="Book Antiqua" w:hAnsi="Book Antiqua"/>
          <w:sz w:val="22"/>
          <w:szCs w:val="22"/>
        </w:rPr>
      </w:pPr>
    </w:p>
    <w:p w14:paraId="12C54A78" w14:textId="432950D5" w:rsidR="00637114" w:rsidRDefault="003446C2" w:rsidP="00023222">
      <w:pPr>
        <w:rPr>
          <w:rFonts w:ascii="Book Antiqua" w:hAnsi="Book Antiqua"/>
          <w:sz w:val="22"/>
          <w:szCs w:val="22"/>
        </w:rPr>
      </w:pPr>
      <w:r w:rsidRPr="601D2CB1">
        <w:rPr>
          <w:rFonts w:ascii="Book Antiqua" w:hAnsi="Book Antiqua"/>
          <w:sz w:val="22"/>
          <w:szCs w:val="22"/>
        </w:rPr>
        <w:t>T</w:t>
      </w:r>
      <w:r w:rsidR="004B30F1" w:rsidRPr="601D2CB1">
        <w:rPr>
          <w:rFonts w:ascii="Book Antiqua" w:hAnsi="Book Antiqua"/>
          <w:sz w:val="22"/>
          <w:szCs w:val="22"/>
        </w:rPr>
        <w:t xml:space="preserve">he Taskforce </w:t>
      </w:r>
      <w:r w:rsidR="00B77BD1" w:rsidRPr="601D2CB1">
        <w:rPr>
          <w:rFonts w:ascii="Book Antiqua" w:hAnsi="Book Antiqua"/>
          <w:sz w:val="22"/>
          <w:szCs w:val="22"/>
        </w:rPr>
        <w:t xml:space="preserve">has </w:t>
      </w:r>
      <w:r w:rsidR="004B30F1" w:rsidRPr="601D2CB1">
        <w:rPr>
          <w:rFonts w:ascii="Book Antiqua" w:hAnsi="Book Antiqua"/>
          <w:sz w:val="22"/>
          <w:szCs w:val="22"/>
        </w:rPr>
        <w:t>developed a</w:t>
      </w:r>
      <w:r w:rsidR="00F63949" w:rsidRPr="601D2CB1">
        <w:rPr>
          <w:rFonts w:ascii="Book Antiqua" w:hAnsi="Book Antiqua"/>
          <w:sz w:val="22"/>
          <w:szCs w:val="22"/>
        </w:rPr>
        <w:t>n</w:t>
      </w:r>
      <w:r w:rsidR="004B30F1" w:rsidRPr="601D2CB1">
        <w:rPr>
          <w:rFonts w:ascii="Book Antiqua" w:hAnsi="Book Antiqua"/>
          <w:sz w:val="22"/>
          <w:szCs w:val="22"/>
        </w:rPr>
        <w:t xml:space="preserve"> aligned measure set for voluntary adoption by private and public payers and by providers in global budget-based risk contracts.  </w:t>
      </w:r>
      <w:r w:rsidR="0060103E" w:rsidRPr="601D2CB1">
        <w:rPr>
          <w:rFonts w:ascii="Book Antiqua" w:hAnsi="Book Antiqua"/>
          <w:sz w:val="22"/>
          <w:szCs w:val="22"/>
        </w:rPr>
        <w:t xml:space="preserve">By doing so, the Taskforce strives to advance progress on state health priorities and reduce use of measures that don’t add value.  </w:t>
      </w:r>
      <w:r w:rsidRPr="601D2CB1">
        <w:rPr>
          <w:rFonts w:ascii="Book Antiqua" w:hAnsi="Book Antiqua"/>
          <w:sz w:val="22"/>
          <w:szCs w:val="22"/>
        </w:rPr>
        <w:t>T</w:t>
      </w:r>
      <w:r w:rsidR="004B30F1" w:rsidRPr="601D2CB1">
        <w:rPr>
          <w:rFonts w:ascii="Book Antiqua" w:hAnsi="Book Antiqua"/>
          <w:sz w:val="22"/>
          <w:szCs w:val="22"/>
        </w:rPr>
        <w:t xml:space="preserve">his document </w:t>
      </w:r>
      <w:r w:rsidRPr="601D2CB1">
        <w:rPr>
          <w:rFonts w:ascii="Book Antiqua" w:hAnsi="Book Antiqua"/>
          <w:sz w:val="22"/>
          <w:szCs w:val="22"/>
        </w:rPr>
        <w:t>puts forth</w:t>
      </w:r>
      <w:r w:rsidR="004B30F1" w:rsidRPr="601D2CB1">
        <w:rPr>
          <w:rFonts w:ascii="Book Antiqua" w:hAnsi="Book Antiqua"/>
          <w:sz w:val="22"/>
          <w:szCs w:val="22"/>
        </w:rPr>
        <w:t xml:space="preserve"> </w:t>
      </w:r>
      <w:r w:rsidR="00F63949" w:rsidRPr="601D2CB1">
        <w:rPr>
          <w:rFonts w:ascii="Book Antiqua" w:hAnsi="Book Antiqua"/>
          <w:sz w:val="22"/>
          <w:szCs w:val="22"/>
        </w:rPr>
        <w:t>guidance for</w:t>
      </w:r>
      <w:r w:rsidRPr="601D2CB1">
        <w:rPr>
          <w:rFonts w:ascii="Book Antiqua" w:hAnsi="Book Antiqua"/>
          <w:sz w:val="22"/>
          <w:szCs w:val="22"/>
        </w:rPr>
        <w:t xml:space="preserve"> 202</w:t>
      </w:r>
      <w:r w:rsidR="008C6D70">
        <w:rPr>
          <w:rFonts w:ascii="Book Antiqua" w:hAnsi="Book Antiqua"/>
          <w:sz w:val="22"/>
          <w:szCs w:val="22"/>
        </w:rPr>
        <w:t>4</w:t>
      </w:r>
      <w:r w:rsidRPr="601D2CB1">
        <w:rPr>
          <w:rFonts w:ascii="Book Antiqua" w:hAnsi="Book Antiqua"/>
          <w:sz w:val="22"/>
          <w:szCs w:val="22"/>
        </w:rPr>
        <w:t xml:space="preserve"> </w:t>
      </w:r>
      <w:r w:rsidR="00F41A75" w:rsidRPr="601D2CB1">
        <w:rPr>
          <w:rFonts w:ascii="Book Antiqua" w:hAnsi="Book Antiqua"/>
          <w:sz w:val="22"/>
          <w:szCs w:val="22"/>
        </w:rPr>
        <w:t>implementation of the Massachusetts Aligned Measure Set</w:t>
      </w:r>
      <w:r w:rsidR="00462796" w:rsidRPr="601D2CB1">
        <w:rPr>
          <w:rFonts w:ascii="Book Antiqua" w:hAnsi="Book Antiqua"/>
          <w:sz w:val="22"/>
          <w:szCs w:val="22"/>
        </w:rPr>
        <w:t xml:space="preserve"> as </w:t>
      </w:r>
      <w:r w:rsidR="00FD0946">
        <w:rPr>
          <w:rFonts w:ascii="Book Antiqua" w:hAnsi="Book Antiqua"/>
          <w:sz w:val="22"/>
          <w:szCs w:val="22"/>
        </w:rPr>
        <w:t xml:space="preserve">recommended by the Taskforce and </w:t>
      </w:r>
      <w:r w:rsidR="00462796" w:rsidRPr="601D2CB1">
        <w:rPr>
          <w:rFonts w:ascii="Book Antiqua" w:hAnsi="Book Antiqua"/>
          <w:sz w:val="22"/>
          <w:szCs w:val="22"/>
        </w:rPr>
        <w:t>endorsed by EOHHS</w:t>
      </w:r>
      <w:r w:rsidR="00F41A75" w:rsidRPr="601D2CB1">
        <w:rPr>
          <w:rFonts w:ascii="Book Antiqua" w:hAnsi="Book Antiqua"/>
          <w:sz w:val="22"/>
          <w:szCs w:val="22"/>
        </w:rPr>
        <w:t>.</w:t>
      </w:r>
    </w:p>
    <w:p w14:paraId="1A41E620" w14:textId="77777777" w:rsidR="008249FB" w:rsidRPr="004F4311" w:rsidRDefault="008249FB" w:rsidP="00023222">
      <w:pPr>
        <w:rPr>
          <w:rFonts w:ascii="Book Antiqua" w:hAnsi="Book Antiqua"/>
          <w:sz w:val="22"/>
          <w:szCs w:val="22"/>
        </w:rPr>
      </w:pPr>
    </w:p>
    <w:p w14:paraId="12C54A79" w14:textId="77777777" w:rsidR="003465A1" w:rsidRPr="004F4311" w:rsidRDefault="003465A1" w:rsidP="00023222">
      <w:pPr>
        <w:rPr>
          <w:rFonts w:ascii="Book Antiqua" w:hAnsi="Book Antiqua"/>
          <w:sz w:val="22"/>
          <w:szCs w:val="22"/>
        </w:rPr>
      </w:pPr>
    </w:p>
    <w:p w14:paraId="12C54AAD" w14:textId="513E7769" w:rsidR="00594F55" w:rsidRPr="004F4311" w:rsidRDefault="00594F55" w:rsidP="00023222">
      <w:pPr>
        <w:pStyle w:val="Heading1"/>
        <w:spacing w:before="0"/>
        <w:rPr>
          <w:szCs w:val="22"/>
        </w:rPr>
      </w:pPr>
      <w:r w:rsidRPr="004F4311">
        <w:rPr>
          <w:szCs w:val="22"/>
        </w:rPr>
        <w:lastRenderedPageBreak/>
        <w:t>I</w:t>
      </w:r>
      <w:r w:rsidR="007077EA" w:rsidRPr="004F4311">
        <w:rPr>
          <w:szCs w:val="22"/>
        </w:rPr>
        <w:t>I</w:t>
      </w:r>
      <w:r w:rsidRPr="004F4311">
        <w:rPr>
          <w:szCs w:val="22"/>
        </w:rPr>
        <w:t xml:space="preserve">. </w:t>
      </w:r>
      <w:r w:rsidR="00857730" w:rsidRPr="004F4311">
        <w:rPr>
          <w:szCs w:val="22"/>
        </w:rPr>
        <w:t>Implementation Parameters</w:t>
      </w:r>
    </w:p>
    <w:p w14:paraId="12C54AAE" w14:textId="2A6E59C6" w:rsidR="001F58DA" w:rsidRPr="00823B9F" w:rsidRDefault="00C13DF3" w:rsidP="00823B9F">
      <w:pPr>
        <w:pStyle w:val="ListParagraph"/>
        <w:numPr>
          <w:ilvl w:val="0"/>
          <w:numId w:val="30"/>
        </w:numPr>
        <w:rPr>
          <w:rFonts w:ascii="Book Antiqua" w:hAnsi="Book Antiqua"/>
          <w:sz w:val="22"/>
          <w:szCs w:val="22"/>
        </w:rPr>
      </w:pPr>
      <w:r>
        <w:rPr>
          <w:rFonts w:ascii="Book Antiqua" w:hAnsi="Book Antiqua"/>
          <w:sz w:val="22"/>
          <w:szCs w:val="22"/>
          <w:u w:val="single"/>
        </w:rPr>
        <w:t>Commercial i</w:t>
      </w:r>
      <w:r w:rsidR="00351F44" w:rsidRPr="00823B9F">
        <w:rPr>
          <w:rFonts w:ascii="Book Antiqua" w:hAnsi="Book Antiqua"/>
          <w:sz w:val="22"/>
          <w:szCs w:val="22"/>
          <w:u w:val="single"/>
        </w:rPr>
        <w:t>mplementation timeframe</w:t>
      </w:r>
      <w:r w:rsidR="00823B9F" w:rsidRPr="00823B9F">
        <w:rPr>
          <w:rFonts w:ascii="Book Antiqua" w:hAnsi="Book Antiqua"/>
          <w:sz w:val="22"/>
          <w:szCs w:val="22"/>
          <w:u w:val="single"/>
        </w:rPr>
        <w:t>.</w:t>
      </w:r>
      <w:r w:rsidR="00351F44" w:rsidRPr="00823B9F">
        <w:rPr>
          <w:rFonts w:ascii="Book Antiqua" w:hAnsi="Book Antiqua"/>
          <w:sz w:val="22"/>
          <w:szCs w:val="22"/>
        </w:rPr>
        <w:t xml:space="preserve"> </w:t>
      </w:r>
      <w:r w:rsidR="00823B9F" w:rsidRPr="00823B9F">
        <w:rPr>
          <w:rFonts w:ascii="Book Antiqua" w:hAnsi="Book Antiqua"/>
          <w:sz w:val="22"/>
          <w:szCs w:val="22"/>
        </w:rPr>
        <w:t xml:space="preserve"> </w:t>
      </w:r>
      <w:r w:rsidR="00DE7B0C">
        <w:rPr>
          <w:rFonts w:ascii="Book Antiqua" w:hAnsi="Book Antiqua"/>
          <w:sz w:val="22"/>
          <w:szCs w:val="22"/>
        </w:rPr>
        <w:t>C</w:t>
      </w:r>
      <w:r w:rsidR="001E0190" w:rsidRPr="00823B9F">
        <w:rPr>
          <w:rFonts w:ascii="Book Antiqua" w:hAnsi="Book Antiqua"/>
          <w:sz w:val="22"/>
          <w:szCs w:val="22"/>
        </w:rPr>
        <w:t>ommercial insurer</w:t>
      </w:r>
      <w:r w:rsidR="00DE7B0C">
        <w:rPr>
          <w:rFonts w:ascii="Book Antiqua" w:hAnsi="Book Antiqua"/>
          <w:sz w:val="22"/>
          <w:szCs w:val="22"/>
        </w:rPr>
        <w:t>s</w:t>
      </w:r>
      <w:r w:rsidR="00821321">
        <w:rPr>
          <w:rFonts w:ascii="Book Antiqua" w:hAnsi="Book Antiqua"/>
          <w:sz w:val="22"/>
          <w:szCs w:val="22"/>
        </w:rPr>
        <w:t xml:space="preserve"> choosing to</w:t>
      </w:r>
      <w:r w:rsidR="001E0190" w:rsidRPr="00823B9F">
        <w:rPr>
          <w:rFonts w:ascii="Book Antiqua" w:hAnsi="Book Antiqua"/>
          <w:sz w:val="22"/>
          <w:szCs w:val="22"/>
        </w:rPr>
        <w:t xml:space="preserve"> </w:t>
      </w:r>
      <w:r w:rsidR="00DE7B0C">
        <w:rPr>
          <w:rFonts w:ascii="Book Antiqua" w:hAnsi="Book Antiqua"/>
          <w:sz w:val="22"/>
          <w:szCs w:val="22"/>
        </w:rPr>
        <w:t xml:space="preserve">adopt the Massachusetts Aligned Measure Set </w:t>
      </w:r>
      <w:r w:rsidR="006B10E8">
        <w:rPr>
          <w:rFonts w:ascii="Book Antiqua" w:hAnsi="Book Antiqua"/>
          <w:sz w:val="22"/>
          <w:szCs w:val="22"/>
        </w:rPr>
        <w:t xml:space="preserve">and that have not yet done so </w:t>
      </w:r>
      <w:r w:rsidR="004D695F">
        <w:rPr>
          <w:rFonts w:ascii="Book Antiqua" w:hAnsi="Book Antiqua"/>
          <w:sz w:val="22"/>
          <w:szCs w:val="22"/>
        </w:rPr>
        <w:t xml:space="preserve">should </w:t>
      </w:r>
      <w:r w:rsidR="00821321">
        <w:rPr>
          <w:rFonts w:ascii="Book Antiqua" w:hAnsi="Book Antiqua"/>
          <w:sz w:val="22"/>
          <w:szCs w:val="22"/>
        </w:rPr>
        <w:t xml:space="preserve">do so </w:t>
      </w:r>
      <w:r w:rsidR="001B2956">
        <w:rPr>
          <w:rFonts w:ascii="Book Antiqua" w:hAnsi="Book Antiqua"/>
          <w:sz w:val="22"/>
          <w:szCs w:val="22"/>
        </w:rPr>
        <w:t>for implementation beginning</w:t>
      </w:r>
      <w:r w:rsidR="00704EFB">
        <w:rPr>
          <w:rFonts w:ascii="Book Antiqua" w:hAnsi="Book Antiqua"/>
          <w:sz w:val="22"/>
          <w:szCs w:val="22"/>
        </w:rPr>
        <w:t xml:space="preserve"> </w:t>
      </w:r>
      <w:r w:rsidR="00E21438" w:rsidRPr="00823B9F">
        <w:rPr>
          <w:rFonts w:ascii="Book Antiqua" w:hAnsi="Book Antiqua"/>
          <w:sz w:val="22"/>
          <w:szCs w:val="22"/>
        </w:rPr>
        <w:t>1/1/</w:t>
      </w:r>
      <w:r w:rsidR="00AA1C3C" w:rsidRPr="00823B9F">
        <w:rPr>
          <w:rFonts w:ascii="Book Antiqua" w:hAnsi="Book Antiqua"/>
          <w:sz w:val="22"/>
          <w:szCs w:val="22"/>
        </w:rPr>
        <w:t>2</w:t>
      </w:r>
      <w:r w:rsidR="008C6D70">
        <w:rPr>
          <w:rFonts w:ascii="Book Antiqua" w:hAnsi="Book Antiqua"/>
          <w:sz w:val="22"/>
          <w:szCs w:val="22"/>
        </w:rPr>
        <w:t>4</w:t>
      </w:r>
      <w:r w:rsidR="00AA1C3C">
        <w:rPr>
          <w:rFonts w:ascii="Book Antiqua" w:hAnsi="Book Antiqua"/>
          <w:sz w:val="22"/>
          <w:szCs w:val="22"/>
        </w:rPr>
        <w:t xml:space="preserve"> </w:t>
      </w:r>
      <w:r w:rsidR="001B2956">
        <w:rPr>
          <w:rFonts w:ascii="Book Antiqua" w:hAnsi="Book Antiqua"/>
          <w:sz w:val="22"/>
          <w:szCs w:val="22"/>
        </w:rPr>
        <w:t>as contracts are renewed</w:t>
      </w:r>
      <w:r w:rsidR="001F58DA" w:rsidRPr="00823B9F">
        <w:rPr>
          <w:rFonts w:ascii="Book Antiqua" w:hAnsi="Book Antiqua"/>
          <w:sz w:val="22"/>
          <w:szCs w:val="22"/>
        </w:rPr>
        <w:t>.</w:t>
      </w:r>
      <w:r w:rsidR="00C93149">
        <w:rPr>
          <w:rFonts w:ascii="Book Antiqua" w:hAnsi="Book Antiqua"/>
          <w:sz w:val="22"/>
          <w:szCs w:val="22"/>
        </w:rPr>
        <w:t xml:space="preserve">  </w:t>
      </w:r>
    </w:p>
    <w:p w14:paraId="12C54AAF" w14:textId="67A7A051" w:rsidR="00875784" w:rsidRDefault="00C13DF3" w:rsidP="00875784">
      <w:pPr>
        <w:pStyle w:val="ListParagraph"/>
        <w:numPr>
          <w:ilvl w:val="0"/>
          <w:numId w:val="30"/>
        </w:numPr>
        <w:rPr>
          <w:rFonts w:ascii="Book Antiqua" w:hAnsi="Book Antiqua"/>
          <w:sz w:val="22"/>
          <w:szCs w:val="22"/>
        </w:rPr>
      </w:pPr>
      <w:r w:rsidRPr="00EC1C5C">
        <w:rPr>
          <w:rFonts w:ascii="Book Antiqua" w:hAnsi="Book Antiqua"/>
          <w:sz w:val="22"/>
          <w:szCs w:val="22"/>
          <w:u w:val="single"/>
        </w:rPr>
        <w:t>MassHealth implementation timeframe:</w:t>
      </w:r>
      <w:r>
        <w:rPr>
          <w:rFonts w:ascii="Book Antiqua" w:hAnsi="Book Antiqua"/>
          <w:sz w:val="22"/>
          <w:szCs w:val="22"/>
        </w:rPr>
        <w:t xml:space="preserve"> </w:t>
      </w:r>
      <w:r w:rsidR="00143643">
        <w:rPr>
          <w:rFonts w:ascii="Book Antiqua" w:hAnsi="Book Antiqua"/>
          <w:sz w:val="22"/>
          <w:szCs w:val="22"/>
        </w:rPr>
        <w:t>MassHealth</w:t>
      </w:r>
      <w:r w:rsidR="00DF3438">
        <w:rPr>
          <w:rFonts w:ascii="Book Antiqua" w:hAnsi="Book Antiqua"/>
          <w:sz w:val="22"/>
          <w:szCs w:val="22"/>
        </w:rPr>
        <w:t>’s</w:t>
      </w:r>
      <w:r w:rsidR="00143643">
        <w:rPr>
          <w:rFonts w:ascii="Book Antiqua" w:hAnsi="Book Antiqua"/>
          <w:sz w:val="22"/>
          <w:szCs w:val="22"/>
        </w:rPr>
        <w:t xml:space="preserve"> contractual measure set align</w:t>
      </w:r>
      <w:r w:rsidR="00DF3438">
        <w:rPr>
          <w:rFonts w:ascii="Book Antiqua" w:hAnsi="Book Antiqua"/>
          <w:sz w:val="22"/>
          <w:szCs w:val="22"/>
        </w:rPr>
        <w:t>s</w:t>
      </w:r>
      <w:r w:rsidR="00143643">
        <w:rPr>
          <w:rFonts w:ascii="Book Antiqua" w:hAnsi="Book Antiqua"/>
          <w:sz w:val="22"/>
          <w:szCs w:val="22"/>
        </w:rPr>
        <w:t xml:space="preserve"> with the Massachusetts Aligned Measure </w:t>
      </w:r>
      <w:r w:rsidR="00875784">
        <w:rPr>
          <w:rFonts w:ascii="Book Antiqua" w:hAnsi="Book Antiqua"/>
          <w:sz w:val="22"/>
          <w:szCs w:val="22"/>
        </w:rPr>
        <w:t xml:space="preserve">Set.  MassHealth </w:t>
      </w:r>
      <w:r w:rsidR="007760CA">
        <w:rPr>
          <w:rFonts w:ascii="Book Antiqua" w:hAnsi="Book Antiqua"/>
          <w:sz w:val="22"/>
          <w:szCs w:val="22"/>
        </w:rPr>
        <w:t>has included additional measures</w:t>
      </w:r>
      <w:r w:rsidR="00704EFB">
        <w:rPr>
          <w:rFonts w:ascii="Book Antiqua" w:hAnsi="Book Antiqua"/>
          <w:sz w:val="22"/>
          <w:szCs w:val="22"/>
        </w:rPr>
        <w:t xml:space="preserve"> that are </w:t>
      </w:r>
      <w:r w:rsidR="007760CA">
        <w:rPr>
          <w:rFonts w:ascii="Book Antiqua" w:hAnsi="Book Antiqua"/>
          <w:sz w:val="22"/>
          <w:szCs w:val="22"/>
        </w:rPr>
        <w:t xml:space="preserve">not found in the </w:t>
      </w:r>
      <w:r w:rsidR="00875784">
        <w:rPr>
          <w:rFonts w:ascii="Book Antiqua" w:hAnsi="Book Antiqua"/>
          <w:sz w:val="22"/>
          <w:szCs w:val="22"/>
        </w:rPr>
        <w:t xml:space="preserve">Massachusetts Aligned </w:t>
      </w:r>
      <w:r w:rsidR="00336272">
        <w:rPr>
          <w:rFonts w:ascii="Book Antiqua" w:hAnsi="Book Antiqua"/>
          <w:sz w:val="22"/>
          <w:szCs w:val="22"/>
        </w:rPr>
        <w:t xml:space="preserve">Core or Menu </w:t>
      </w:r>
      <w:r w:rsidR="00875784">
        <w:rPr>
          <w:rFonts w:ascii="Book Antiqua" w:hAnsi="Book Antiqua"/>
          <w:sz w:val="22"/>
          <w:szCs w:val="22"/>
        </w:rPr>
        <w:t>Measure Set</w:t>
      </w:r>
      <w:r w:rsidR="00336272">
        <w:rPr>
          <w:rFonts w:ascii="Book Antiqua" w:hAnsi="Book Antiqua"/>
          <w:sz w:val="22"/>
          <w:szCs w:val="22"/>
        </w:rPr>
        <w:t>s</w:t>
      </w:r>
      <w:r w:rsidR="00CE0A26">
        <w:rPr>
          <w:rFonts w:ascii="Book Antiqua" w:hAnsi="Book Antiqua"/>
          <w:sz w:val="22"/>
          <w:szCs w:val="22"/>
        </w:rPr>
        <w:t>:</w:t>
      </w:r>
      <w:r w:rsidR="00875784">
        <w:rPr>
          <w:rFonts w:ascii="Book Antiqua" w:hAnsi="Book Antiqua"/>
          <w:sz w:val="22"/>
          <w:szCs w:val="22"/>
        </w:rPr>
        <w:t xml:space="preserve">  </w:t>
      </w:r>
    </w:p>
    <w:p w14:paraId="12C54AB0" w14:textId="4476E29C" w:rsidR="00875784" w:rsidRDefault="00875784" w:rsidP="00875784">
      <w:pPr>
        <w:pStyle w:val="ListParagraph"/>
        <w:numPr>
          <w:ilvl w:val="0"/>
          <w:numId w:val="31"/>
        </w:numPr>
        <w:rPr>
          <w:rFonts w:ascii="Book Antiqua" w:hAnsi="Book Antiqua"/>
          <w:sz w:val="22"/>
          <w:szCs w:val="22"/>
        </w:rPr>
      </w:pPr>
      <w:r w:rsidRPr="39DC7D7A">
        <w:rPr>
          <w:rFonts w:ascii="Book Antiqua" w:hAnsi="Book Antiqua"/>
          <w:sz w:val="22"/>
          <w:szCs w:val="22"/>
        </w:rPr>
        <w:t>Prenatal and Postpartum Care – Timeliness of Prenatal Care</w:t>
      </w:r>
    </w:p>
    <w:p w14:paraId="5B9C64DC" w14:textId="473BFF4D" w:rsidR="005432C5" w:rsidRDefault="005432C5" w:rsidP="00875784">
      <w:pPr>
        <w:pStyle w:val="ListParagraph"/>
        <w:numPr>
          <w:ilvl w:val="0"/>
          <w:numId w:val="31"/>
        </w:numPr>
        <w:rPr>
          <w:rFonts w:ascii="Book Antiqua" w:hAnsi="Book Antiqua"/>
          <w:sz w:val="22"/>
          <w:szCs w:val="22"/>
        </w:rPr>
      </w:pPr>
      <w:r>
        <w:rPr>
          <w:rFonts w:ascii="Book Antiqua" w:hAnsi="Book Antiqua"/>
          <w:sz w:val="22"/>
          <w:szCs w:val="22"/>
        </w:rPr>
        <w:t xml:space="preserve">Metabolic Monitoring for Children and Adolescents on Antipsychotics </w:t>
      </w:r>
    </w:p>
    <w:p w14:paraId="12C54AB1" w14:textId="187AF7CE" w:rsidR="00704EFB" w:rsidRDefault="00704EFB" w:rsidP="00704EFB">
      <w:pPr>
        <w:pStyle w:val="ListParagraph"/>
        <w:numPr>
          <w:ilvl w:val="0"/>
          <w:numId w:val="31"/>
        </w:numPr>
        <w:rPr>
          <w:rFonts w:ascii="Book Antiqua" w:hAnsi="Book Antiqua"/>
          <w:sz w:val="22"/>
          <w:szCs w:val="22"/>
        </w:rPr>
      </w:pPr>
      <w:r w:rsidRPr="39DC7D7A">
        <w:rPr>
          <w:rFonts w:ascii="Book Antiqua" w:hAnsi="Book Antiqua"/>
          <w:sz w:val="22"/>
          <w:szCs w:val="22"/>
        </w:rPr>
        <w:t xml:space="preserve">Adult </w:t>
      </w:r>
      <w:r w:rsidR="00107A76" w:rsidRPr="39DC7D7A">
        <w:rPr>
          <w:rFonts w:ascii="Book Antiqua" w:hAnsi="Book Antiqua"/>
          <w:sz w:val="22"/>
          <w:szCs w:val="22"/>
        </w:rPr>
        <w:t>H</w:t>
      </w:r>
      <w:r w:rsidRPr="39DC7D7A">
        <w:rPr>
          <w:rFonts w:ascii="Book Antiqua" w:hAnsi="Book Antiqua"/>
          <w:sz w:val="22"/>
          <w:szCs w:val="22"/>
        </w:rPr>
        <w:t xml:space="preserve">ospital </w:t>
      </w:r>
      <w:r w:rsidR="00107A76" w:rsidRPr="39DC7D7A">
        <w:rPr>
          <w:rFonts w:ascii="Book Antiqua" w:hAnsi="Book Antiqua"/>
          <w:sz w:val="22"/>
          <w:szCs w:val="22"/>
        </w:rPr>
        <w:t>R</w:t>
      </w:r>
      <w:r w:rsidR="00875784" w:rsidRPr="39DC7D7A">
        <w:rPr>
          <w:rFonts w:ascii="Book Antiqua" w:hAnsi="Book Antiqua"/>
          <w:sz w:val="22"/>
          <w:szCs w:val="22"/>
        </w:rPr>
        <w:t xml:space="preserve">eadmission </w:t>
      </w:r>
      <w:r w:rsidRPr="39DC7D7A">
        <w:rPr>
          <w:rFonts w:ascii="Book Antiqua" w:hAnsi="Book Antiqua"/>
          <w:sz w:val="22"/>
          <w:szCs w:val="22"/>
        </w:rPr>
        <w:t>(</w:t>
      </w:r>
      <w:r w:rsidR="007F76BB" w:rsidRPr="39DC7D7A">
        <w:rPr>
          <w:rFonts w:ascii="Book Antiqua" w:hAnsi="Book Antiqua"/>
          <w:sz w:val="22"/>
          <w:szCs w:val="22"/>
        </w:rPr>
        <w:t>c</w:t>
      </w:r>
      <w:r w:rsidRPr="39DC7D7A">
        <w:rPr>
          <w:rFonts w:ascii="Book Antiqua" w:hAnsi="Book Antiqua"/>
          <w:sz w:val="22"/>
          <w:szCs w:val="22"/>
        </w:rPr>
        <w:t>ase-mix adjusted rate of acute unplanned hospital readmissions within 30 days of discharge for members 18 to 64 years of age)</w:t>
      </w:r>
    </w:p>
    <w:p w14:paraId="12C54AB2" w14:textId="73B2B73B" w:rsidR="00875784" w:rsidRDefault="00704EFB" w:rsidP="00875784">
      <w:pPr>
        <w:pStyle w:val="ListParagraph"/>
        <w:numPr>
          <w:ilvl w:val="0"/>
          <w:numId w:val="31"/>
        </w:numPr>
        <w:rPr>
          <w:rFonts w:ascii="Book Antiqua" w:hAnsi="Book Antiqua"/>
          <w:sz w:val="22"/>
          <w:szCs w:val="22"/>
        </w:rPr>
      </w:pPr>
      <w:r w:rsidRPr="39DC7D7A">
        <w:rPr>
          <w:rFonts w:ascii="Book Antiqua" w:hAnsi="Book Antiqua"/>
          <w:sz w:val="22"/>
          <w:szCs w:val="22"/>
        </w:rPr>
        <w:t>A</w:t>
      </w:r>
      <w:r w:rsidR="00875784" w:rsidRPr="39DC7D7A">
        <w:rPr>
          <w:rFonts w:ascii="Book Antiqua" w:hAnsi="Book Antiqua"/>
          <w:sz w:val="22"/>
          <w:szCs w:val="22"/>
        </w:rPr>
        <w:t xml:space="preserve">cute </w:t>
      </w:r>
      <w:r w:rsidR="00107A76" w:rsidRPr="39DC7D7A">
        <w:rPr>
          <w:rFonts w:ascii="Book Antiqua" w:hAnsi="Book Antiqua"/>
          <w:sz w:val="22"/>
          <w:szCs w:val="22"/>
        </w:rPr>
        <w:t>U</w:t>
      </w:r>
      <w:r w:rsidR="00875784" w:rsidRPr="39DC7D7A">
        <w:rPr>
          <w:rFonts w:ascii="Book Antiqua" w:hAnsi="Book Antiqua"/>
          <w:sz w:val="22"/>
          <w:szCs w:val="22"/>
        </w:rPr>
        <w:t xml:space="preserve">nplanned </w:t>
      </w:r>
      <w:r w:rsidR="00107A76" w:rsidRPr="39DC7D7A">
        <w:rPr>
          <w:rFonts w:ascii="Book Antiqua" w:hAnsi="Book Antiqua"/>
          <w:sz w:val="22"/>
          <w:szCs w:val="22"/>
        </w:rPr>
        <w:t>A</w:t>
      </w:r>
      <w:r w:rsidR="00875784" w:rsidRPr="39DC7D7A">
        <w:rPr>
          <w:rFonts w:ascii="Book Antiqua" w:hAnsi="Book Antiqua"/>
          <w:sz w:val="22"/>
          <w:szCs w:val="22"/>
        </w:rPr>
        <w:t>dmission</w:t>
      </w:r>
      <w:r w:rsidRPr="39DC7D7A">
        <w:rPr>
          <w:rFonts w:ascii="Book Antiqua" w:hAnsi="Book Antiqua"/>
          <w:sz w:val="22"/>
          <w:szCs w:val="22"/>
        </w:rPr>
        <w:t>s</w:t>
      </w:r>
      <w:r w:rsidR="00875784" w:rsidRPr="39DC7D7A">
        <w:rPr>
          <w:rFonts w:ascii="Book Antiqua" w:hAnsi="Book Antiqua"/>
          <w:sz w:val="22"/>
          <w:szCs w:val="22"/>
        </w:rPr>
        <w:t xml:space="preserve"> for </w:t>
      </w:r>
      <w:r w:rsidR="00107A76" w:rsidRPr="39DC7D7A">
        <w:rPr>
          <w:rFonts w:ascii="Book Antiqua" w:hAnsi="Book Antiqua"/>
          <w:sz w:val="22"/>
          <w:szCs w:val="22"/>
        </w:rPr>
        <w:t>I</w:t>
      </w:r>
      <w:r w:rsidR="00875784" w:rsidRPr="39DC7D7A">
        <w:rPr>
          <w:rFonts w:ascii="Book Antiqua" w:hAnsi="Book Antiqua"/>
          <w:sz w:val="22"/>
          <w:szCs w:val="22"/>
        </w:rPr>
        <w:t xml:space="preserve">ndividuals with </w:t>
      </w:r>
      <w:r w:rsidR="00107A76" w:rsidRPr="39DC7D7A">
        <w:rPr>
          <w:rFonts w:ascii="Book Antiqua" w:hAnsi="Book Antiqua"/>
          <w:sz w:val="22"/>
          <w:szCs w:val="22"/>
        </w:rPr>
        <w:t>D</w:t>
      </w:r>
      <w:r w:rsidR="00875784" w:rsidRPr="39DC7D7A">
        <w:rPr>
          <w:rFonts w:ascii="Book Antiqua" w:hAnsi="Book Antiqua"/>
          <w:sz w:val="22"/>
          <w:szCs w:val="22"/>
        </w:rPr>
        <w:t xml:space="preserve">iabetes </w:t>
      </w:r>
    </w:p>
    <w:p w14:paraId="12C54AB3" w14:textId="68BB1BD8" w:rsidR="00875784" w:rsidRDefault="00704EFB" w:rsidP="00875784">
      <w:pPr>
        <w:pStyle w:val="ListParagraph"/>
        <w:numPr>
          <w:ilvl w:val="0"/>
          <w:numId w:val="31"/>
        </w:numPr>
        <w:rPr>
          <w:rFonts w:ascii="Book Antiqua" w:hAnsi="Book Antiqua"/>
          <w:sz w:val="22"/>
          <w:szCs w:val="22"/>
        </w:rPr>
      </w:pPr>
      <w:r>
        <w:rPr>
          <w:rFonts w:ascii="Book Antiqua" w:hAnsi="Book Antiqua"/>
          <w:sz w:val="22"/>
          <w:szCs w:val="22"/>
        </w:rPr>
        <w:t>S</w:t>
      </w:r>
      <w:r w:rsidR="00875784" w:rsidRPr="00875784">
        <w:rPr>
          <w:rFonts w:ascii="Book Antiqua" w:hAnsi="Book Antiqua"/>
          <w:sz w:val="22"/>
          <w:szCs w:val="22"/>
        </w:rPr>
        <w:t>everal measures that do not need to align with the Massachusetts Aligned Measure Set because they are not applicable to a commercially insured population (e.g., Oral Health Evaluation, Behavioral Health Community Partner and LTSS Community Partner Engagement).</w:t>
      </w:r>
    </w:p>
    <w:p w14:paraId="12C54AB4" w14:textId="77777777" w:rsidR="00875784" w:rsidRPr="00875784" w:rsidRDefault="00875784" w:rsidP="00875784">
      <w:pPr>
        <w:pStyle w:val="ListParagraph"/>
        <w:rPr>
          <w:rFonts w:ascii="Book Antiqua" w:hAnsi="Book Antiqua"/>
          <w:sz w:val="22"/>
          <w:szCs w:val="22"/>
        </w:rPr>
      </w:pPr>
      <w:r w:rsidRPr="00875784">
        <w:rPr>
          <w:rFonts w:ascii="Book Antiqua" w:hAnsi="Book Antiqua"/>
          <w:sz w:val="22"/>
          <w:szCs w:val="22"/>
        </w:rPr>
        <w:t xml:space="preserve">The Taskforce </w:t>
      </w:r>
      <w:r w:rsidR="00EC1C5C">
        <w:rPr>
          <w:rFonts w:ascii="Book Antiqua" w:hAnsi="Book Antiqua"/>
          <w:sz w:val="22"/>
          <w:szCs w:val="22"/>
        </w:rPr>
        <w:t xml:space="preserve">agreed </w:t>
      </w:r>
      <w:r w:rsidRPr="00875784">
        <w:rPr>
          <w:rFonts w:ascii="Book Antiqua" w:hAnsi="Book Antiqua"/>
          <w:sz w:val="22"/>
          <w:szCs w:val="22"/>
        </w:rPr>
        <w:t>that MassHealth’s adoption of the Aligned Measure Set</w:t>
      </w:r>
      <w:r w:rsidR="00EC1C5C">
        <w:rPr>
          <w:rFonts w:ascii="Book Antiqua" w:hAnsi="Book Antiqua"/>
          <w:sz w:val="22"/>
          <w:szCs w:val="22"/>
        </w:rPr>
        <w:t xml:space="preserve"> should</w:t>
      </w:r>
      <w:r w:rsidRPr="00875784">
        <w:rPr>
          <w:rFonts w:ascii="Book Antiqua" w:hAnsi="Book Antiqua"/>
          <w:sz w:val="22"/>
          <w:szCs w:val="22"/>
        </w:rPr>
        <w:t xml:space="preserve"> allow for </w:t>
      </w:r>
      <w:r w:rsidR="001509F1">
        <w:rPr>
          <w:rFonts w:ascii="Book Antiqua" w:hAnsi="Book Antiqua"/>
          <w:sz w:val="22"/>
          <w:szCs w:val="22"/>
        </w:rPr>
        <w:t xml:space="preserve">these </w:t>
      </w:r>
      <w:r w:rsidRPr="00875784">
        <w:rPr>
          <w:rFonts w:ascii="Book Antiqua" w:hAnsi="Book Antiqua"/>
          <w:sz w:val="22"/>
          <w:szCs w:val="22"/>
        </w:rPr>
        <w:t>deviations to meet Medicaid-specific program needs</w:t>
      </w:r>
      <w:r w:rsidR="00DE7CE9">
        <w:rPr>
          <w:rFonts w:ascii="Book Antiqua" w:hAnsi="Book Antiqua"/>
          <w:sz w:val="22"/>
          <w:szCs w:val="22"/>
        </w:rPr>
        <w:t>.</w:t>
      </w:r>
    </w:p>
    <w:p w14:paraId="12C54AB5" w14:textId="2FD2E9D7" w:rsidR="00513E48" w:rsidRPr="00823B9F" w:rsidRDefault="001F58DA" w:rsidP="00823B9F">
      <w:pPr>
        <w:pStyle w:val="ListParagraph"/>
        <w:numPr>
          <w:ilvl w:val="0"/>
          <w:numId w:val="30"/>
        </w:numPr>
        <w:rPr>
          <w:rFonts w:ascii="Book Antiqua" w:hAnsi="Book Antiqua"/>
          <w:sz w:val="22"/>
          <w:szCs w:val="22"/>
        </w:rPr>
      </w:pPr>
      <w:r w:rsidRPr="2B299B2F">
        <w:rPr>
          <w:rFonts w:ascii="Book Antiqua" w:hAnsi="Book Antiqua"/>
          <w:sz w:val="22"/>
          <w:szCs w:val="22"/>
          <w:u w:val="single"/>
        </w:rPr>
        <w:t>Annual review process and timeframe</w:t>
      </w:r>
      <w:r w:rsidR="00823B9F" w:rsidRPr="2B299B2F">
        <w:rPr>
          <w:rFonts w:ascii="Book Antiqua" w:hAnsi="Book Antiqua"/>
          <w:sz w:val="22"/>
          <w:szCs w:val="22"/>
          <w:u w:val="single"/>
        </w:rPr>
        <w:t>.</w:t>
      </w:r>
      <w:r w:rsidR="00E21438" w:rsidRPr="2B299B2F">
        <w:rPr>
          <w:rFonts w:ascii="Book Antiqua" w:hAnsi="Book Antiqua"/>
          <w:sz w:val="22"/>
          <w:szCs w:val="22"/>
        </w:rPr>
        <w:t xml:space="preserve"> </w:t>
      </w:r>
      <w:r w:rsidR="00823B9F" w:rsidRPr="2B299B2F">
        <w:rPr>
          <w:rFonts w:ascii="Book Antiqua" w:hAnsi="Book Antiqua"/>
          <w:sz w:val="22"/>
          <w:szCs w:val="22"/>
        </w:rPr>
        <w:t xml:space="preserve"> </w:t>
      </w:r>
      <w:r w:rsidRPr="2B299B2F">
        <w:rPr>
          <w:rFonts w:ascii="Book Antiqua" w:hAnsi="Book Antiqua"/>
          <w:sz w:val="22"/>
          <w:szCs w:val="22"/>
        </w:rPr>
        <w:t>T</w:t>
      </w:r>
      <w:r w:rsidR="00E21438" w:rsidRPr="2B299B2F">
        <w:rPr>
          <w:rFonts w:ascii="Book Antiqua" w:hAnsi="Book Antiqua"/>
          <w:sz w:val="22"/>
          <w:szCs w:val="22"/>
        </w:rPr>
        <w:t>he Taskforce</w:t>
      </w:r>
      <w:r w:rsidRPr="2B299B2F">
        <w:rPr>
          <w:rFonts w:ascii="Book Antiqua" w:hAnsi="Book Antiqua"/>
          <w:sz w:val="22"/>
          <w:szCs w:val="22"/>
        </w:rPr>
        <w:t xml:space="preserve"> </w:t>
      </w:r>
      <w:r w:rsidR="00821321" w:rsidRPr="2B299B2F">
        <w:rPr>
          <w:rFonts w:ascii="Book Antiqua" w:hAnsi="Book Antiqua"/>
          <w:sz w:val="22"/>
          <w:szCs w:val="22"/>
        </w:rPr>
        <w:t>will</w:t>
      </w:r>
      <w:r w:rsidRPr="2B299B2F">
        <w:rPr>
          <w:rFonts w:ascii="Book Antiqua" w:hAnsi="Book Antiqua"/>
          <w:sz w:val="22"/>
          <w:szCs w:val="22"/>
        </w:rPr>
        <w:t xml:space="preserve"> conduct an annual review of the </w:t>
      </w:r>
      <w:r w:rsidR="00C13DF3" w:rsidRPr="2B299B2F">
        <w:rPr>
          <w:rFonts w:ascii="Book Antiqua" w:hAnsi="Book Antiqua"/>
          <w:sz w:val="22"/>
          <w:szCs w:val="22"/>
        </w:rPr>
        <w:t xml:space="preserve">Massachusetts </w:t>
      </w:r>
      <w:r w:rsidR="4BC6B6D3" w:rsidRPr="2B299B2F">
        <w:rPr>
          <w:rFonts w:ascii="Book Antiqua" w:hAnsi="Book Antiqua"/>
          <w:sz w:val="22"/>
          <w:szCs w:val="22"/>
        </w:rPr>
        <w:t xml:space="preserve">Aligned Measure Set </w:t>
      </w:r>
      <w:r w:rsidR="170F252D" w:rsidRPr="2B299B2F">
        <w:rPr>
          <w:rFonts w:ascii="Book Antiqua" w:hAnsi="Book Antiqua"/>
          <w:sz w:val="22"/>
          <w:szCs w:val="22"/>
        </w:rPr>
        <w:t>(see details in Section I</w:t>
      </w:r>
      <w:r w:rsidR="003B04A2">
        <w:rPr>
          <w:rFonts w:ascii="Book Antiqua" w:hAnsi="Book Antiqua"/>
          <w:sz w:val="22"/>
          <w:szCs w:val="22"/>
        </w:rPr>
        <w:t>II</w:t>
      </w:r>
      <w:r w:rsidR="170F252D" w:rsidRPr="2B299B2F">
        <w:rPr>
          <w:rFonts w:ascii="Book Antiqua" w:hAnsi="Book Antiqua"/>
          <w:sz w:val="22"/>
          <w:szCs w:val="22"/>
        </w:rPr>
        <w:t xml:space="preserve">) </w:t>
      </w:r>
      <w:r w:rsidR="4BC6B6D3" w:rsidRPr="2B299B2F">
        <w:rPr>
          <w:rFonts w:ascii="Book Antiqua" w:hAnsi="Book Antiqua"/>
          <w:sz w:val="22"/>
          <w:szCs w:val="22"/>
        </w:rPr>
        <w:t xml:space="preserve">and </w:t>
      </w:r>
      <w:r w:rsidR="00E21438" w:rsidRPr="2B299B2F">
        <w:rPr>
          <w:rFonts w:ascii="Book Antiqua" w:hAnsi="Book Antiqua"/>
          <w:sz w:val="22"/>
          <w:szCs w:val="22"/>
        </w:rPr>
        <w:t xml:space="preserve">finalize any recommended modifications to the measure set by 5/31 each year for the next </w:t>
      </w:r>
      <w:r w:rsidR="2A80E15E" w:rsidRPr="2B299B2F">
        <w:rPr>
          <w:rFonts w:ascii="Book Antiqua" w:hAnsi="Book Antiqua"/>
          <w:sz w:val="22"/>
          <w:szCs w:val="22"/>
        </w:rPr>
        <w:t xml:space="preserve">calendar </w:t>
      </w:r>
      <w:r w:rsidR="00E21438" w:rsidRPr="2B299B2F">
        <w:rPr>
          <w:rFonts w:ascii="Book Antiqua" w:hAnsi="Book Antiqua"/>
          <w:sz w:val="22"/>
          <w:szCs w:val="22"/>
        </w:rPr>
        <w:t>year.</w:t>
      </w:r>
      <w:r w:rsidR="00A70589">
        <w:rPr>
          <w:rFonts w:ascii="Book Antiqua" w:hAnsi="Book Antiqua"/>
          <w:sz w:val="22"/>
          <w:szCs w:val="22"/>
        </w:rPr>
        <w:t xml:space="preserve">  </w:t>
      </w:r>
    </w:p>
    <w:p w14:paraId="12C54AB6" w14:textId="4546CCFE" w:rsidR="00172C73" w:rsidRPr="00823B9F" w:rsidRDefault="009E566D" w:rsidP="00023222">
      <w:pPr>
        <w:pStyle w:val="ListParagraph"/>
        <w:numPr>
          <w:ilvl w:val="0"/>
          <w:numId w:val="30"/>
        </w:numPr>
        <w:rPr>
          <w:rFonts w:ascii="Book Antiqua" w:hAnsi="Book Antiqua"/>
          <w:sz w:val="22"/>
          <w:szCs w:val="22"/>
        </w:rPr>
      </w:pPr>
      <w:r>
        <w:rPr>
          <w:rFonts w:ascii="Book Antiqua" w:hAnsi="Book Antiqua"/>
          <w:sz w:val="22"/>
          <w:szCs w:val="22"/>
          <w:u w:val="single"/>
        </w:rPr>
        <w:t>Automatic incorporation of annual measure set modifications.</w:t>
      </w:r>
      <w:r>
        <w:rPr>
          <w:rFonts w:ascii="Book Antiqua" w:hAnsi="Book Antiqua"/>
          <w:sz w:val="22"/>
          <w:szCs w:val="22"/>
        </w:rPr>
        <w:t xml:space="preserve">  </w:t>
      </w:r>
      <w:r w:rsidR="00950648">
        <w:rPr>
          <w:rFonts w:ascii="Book Antiqua" w:hAnsi="Book Antiqua"/>
          <w:sz w:val="22"/>
          <w:szCs w:val="22"/>
        </w:rPr>
        <w:t>If language is not already included in contracts, p</w:t>
      </w:r>
      <w:r w:rsidR="00206047" w:rsidRPr="00823B9F">
        <w:rPr>
          <w:rFonts w:ascii="Book Antiqua" w:hAnsi="Book Antiqua"/>
          <w:sz w:val="22"/>
          <w:szCs w:val="22"/>
        </w:rPr>
        <w:t>ayer</w:t>
      </w:r>
      <w:r w:rsidR="00FD0C0C">
        <w:rPr>
          <w:rFonts w:ascii="Book Antiqua" w:hAnsi="Book Antiqua"/>
          <w:sz w:val="22"/>
          <w:szCs w:val="22"/>
        </w:rPr>
        <w:t xml:space="preserve">s and providers </w:t>
      </w:r>
      <w:r w:rsidR="00821321">
        <w:rPr>
          <w:rFonts w:ascii="Book Antiqua" w:hAnsi="Book Antiqua"/>
          <w:sz w:val="22"/>
          <w:szCs w:val="22"/>
        </w:rPr>
        <w:t xml:space="preserve">should </w:t>
      </w:r>
      <w:r w:rsidR="00FD0C0C">
        <w:rPr>
          <w:rFonts w:ascii="Book Antiqua" w:hAnsi="Book Antiqua"/>
          <w:sz w:val="22"/>
          <w:szCs w:val="22"/>
        </w:rPr>
        <w:t>amend contracts by 1/1/2</w:t>
      </w:r>
      <w:r w:rsidR="003B04A2">
        <w:rPr>
          <w:rFonts w:ascii="Book Antiqua" w:hAnsi="Book Antiqua"/>
          <w:sz w:val="22"/>
          <w:szCs w:val="22"/>
        </w:rPr>
        <w:t>4</w:t>
      </w:r>
      <w:r w:rsidR="00FD0C0C">
        <w:rPr>
          <w:rFonts w:ascii="Book Antiqua" w:hAnsi="Book Antiqua"/>
          <w:sz w:val="22"/>
          <w:szCs w:val="22"/>
        </w:rPr>
        <w:t xml:space="preserve"> to state that </w:t>
      </w:r>
      <w:r w:rsidR="00172C73" w:rsidRPr="00823B9F">
        <w:rPr>
          <w:rFonts w:ascii="Book Antiqua" w:hAnsi="Book Antiqua"/>
          <w:sz w:val="22"/>
          <w:szCs w:val="22"/>
        </w:rPr>
        <w:t xml:space="preserve">annual changes to the </w:t>
      </w:r>
      <w:r w:rsidR="00F44C03" w:rsidRPr="00823B9F">
        <w:rPr>
          <w:rFonts w:ascii="Book Antiqua" w:hAnsi="Book Antiqua"/>
          <w:sz w:val="22"/>
          <w:szCs w:val="22"/>
        </w:rPr>
        <w:t xml:space="preserve">Massachusetts </w:t>
      </w:r>
      <w:r w:rsidR="00172C73" w:rsidRPr="00823B9F">
        <w:rPr>
          <w:rFonts w:ascii="Book Antiqua" w:hAnsi="Book Antiqua"/>
          <w:sz w:val="22"/>
          <w:szCs w:val="22"/>
        </w:rPr>
        <w:t>Aligned Measure Set</w:t>
      </w:r>
      <w:r w:rsidR="00A43010">
        <w:rPr>
          <w:rFonts w:ascii="Book Antiqua" w:hAnsi="Book Antiqua"/>
          <w:sz w:val="22"/>
          <w:szCs w:val="22"/>
        </w:rPr>
        <w:t xml:space="preserve"> shall</w:t>
      </w:r>
      <w:r w:rsidR="00172C73" w:rsidRPr="00823B9F">
        <w:rPr>
          <w:rFonts w:ascii="Book Antiqua" w:hAnsi="Book Antiqua"/>
          <w:sz w:val="22"/>
          <w:szCs w:val="22"/>
        </w:rPr>
        <w:t xml:space="preserve"> be automatically incorporated into contracts effective the next contract performance year.</w:t>
      </w:r>
    </w:p>
    <w:p w14:paraId="12C54AB8" w14:textId="3287527A" w:rsidR="00172C73" w:rsidRPr="00413CF4" w:rsidRDefault="009E566D" w:rsidP="00413CF4">
      <w:pPr>
        <w:pStyle w:val="ListParagraph"/>
        <w:numPr>
          <w:ilvl w:val="0"/>
          <w:numId w:val="30"/>
        </w:numPr>
        <w:rPr>
          <w:rFonts w:ascii="Book Antiqua" w:hAnsi="Book Antiqua"/>
          <w:sz w:val="22"/>
          <w:szCs w:val="22"/>
        </w:rPr>
      </w:pPr>
      <w:r w:rsidRPr="00823B9F">
        <w:rPr>
          <w:rFonts w:ascii="Book Antiqua" w:hAnsi="Book Antiqua"/>
          <w:sz w:val="22"/>
          <w:szCs w:val="22"/>
          <w:u w:val="single"/>
        </w:rPr>
        <w:t>Voluntary adoption in full and not in part.</w:t>
      </w:r>
      <w:r w:rsidRPr="00823B9F">
        <w:rPr>
          <w:rFonts w:ascii="Book Antiqua" w:hAnsi="Book Antiqua"/>
          <w:sz w:val="22"/>
          <w:szCs w:val="22"/>
        </w:rPr>
        <w:t xml:space="preserve">  Those choosing to adopt the Massachusetts Aligned Measure Set should adopt the set in its entirety.</w:t>
      </w:r>
    </w:p>
    <w:p w14:paraId="12C54AB9" w14:textId="2D1D00F4" w:rsidR="00857730" w:rsidRDefault="00BB48CA" w:rsidP="0004007A">
      <w:pPr>
        <w:pStyle w:val="ListParagraph"/>
        <w:numPr>
          <w:ilvl w:val="0"/>
          <w:numId w:val="30"/>
        </w:numPr>
        <w:rPr>
          <w:rFonts w:ascii="Book Antiqua" w:hAnsi="Book Antiqua"/>
          <w:sz w:val="22"/>
          <w:szCs w:val="22"/>
        </w:rPr>
      </w:pPr>
      <w:r w:rsidRPr="00AE4D2C">
        <w:rPr>
          <w:rFonts w:ascii="Book Antiqua" w:hAnsi="Book Antiqua"/>
          <w:sz w:val="22"/>
          <w:szCs w:val="22"/>
          <w:u w:val="single"/>
        </w:rPr>
        <w:t xml:space="preserve">Guiding </w:t>
      </w:r>
      <w:r w:rsidR="002A3011">
        <w:rPr>
          <w:rFonts w:ascii="Book Antiqua" w:hAnsi="Book Antiqua"/>
          <w:sz w:val="22"/>
          <w:szCs w:val="22"/>
          <w:u w:val="single"/>
        </w:rPr>
        <w:t>p</w:t>
      </w:r>
      <w:r w:rsidRPr="00AE4D2C">
        <w:rPr>
          <w:rFonts w:ascii="Book Antiqua" w:hAnsi="Book Antiqua"/>
          <w:sz w:val="22"/>
          <w:szCs w:val="22"/>
          <w:u w:val="single"/>
        </w:rPr>
        <w:t xml:space="preserve">rinciples for </w:t>
      </w:r>
      <w:r w:rsidR="002A3011">
        <w:rPr>
          <w:rFonts w:ascii="Book Antiqua" w:hAnsi="Book Antiqua"/>
          <w:sz w:val="22"/>
          <w:szCs w:val="22"/>
          <w:u w:val="single"/>
        </w:rPr>
        <w:t>u</w:t>
      </w:r>
      <w:r w:rsidRPr="00AE4D2C">
        <w:rPr>
          <w:rFonts w:ascii="Book Antiqua" w:hAnsi="Book Antiqua"/>
          <w:sz w:val="22"/>
          <w:szCs w:val="22"/>
          <w:u w:val="single"/>
        </w:rPr>
        <w:t xml:space="preserve">se of the Aligned Measure Set in </w:t>
      </w:r>
      <w:r w:rsidR="002A3011">
        <w:rPr>
          <w:rFonts w:ascii="Book Antiqua" w:hAnsi="Book Antiqua"/>
          <w:sz w:val="22"/>
          <w:szCs w:val="22"/>
          <w:u w:val="single"/>
        </w:rPr>
        <w:t>c</w:t>
      </w:r>
      <w:r w:rsidRPr="00AE4D2C">
        <w:rPr>
          <w:rFonts w:ascii="Book Antiqua" w:hAnsi="Book Antiqua"/>
          <w:sz w:val="22"/>
          <w:szCs w:val="22"/>
          <w:u w:val="single"/>
        </w:rPr>
        <w:t>ontracts.</w:t>
      </w:r>
      <w:r w:rsidRPr="00AE4D2C">
        <w:rPr>
          <w:rFonts w:ascii="Book Antiqua" w:hAnsi="Book Antiqua"/>
          <w:sz w:val="22"/>
          <w:szCs w:val="22"/>
        </w:rPr>
        <w:t xml:space="preserve"> </w:t>
      </w:r>
      <w:r w:rsidR="006271BF">
        <w:rPr>
          <w:rFonts w:ascii="Book Antiqua" w:hAnsi="Book Antiqua"/>
          <w:sz w:val="22"/>
          <w:szCs w:val="22"/>
        </w:rPr>
        <w:t xml:space="preserve"> </w:t>
      </w:r>
      <w:r w:rsidR="00AE4D2C" w:rsidRPr="00AE4D2C">
        <w:rPr>
          <w:rFonts w:ascii="Book Antiqua" w:hAnsi="Book Antiqua"/>
          <w:sz w:val="22"/>
          <w:szCs w:val="22"/>
        </w:rPr>
        <w:t>While the focus of the Taskforce is on aligning contractual quality measures and not on the broader terms of global budget-based risk contracts, the Taskforce has developed a set of guiding principles for those seeking to implement the Aligned Measure Set.</w:t>
      </w:r>
      <w:r w:rsidR="00AE4D2C">
        <w:rPr>
          <w:rFonts w:ascii="Book Antiqua" w:hAnsi="Book Antiqua"/>
          <w:sz w:val="22"/>
          <w:szCs w:val="22"/>
        </w:rPr>
        <w:t xml:space="preserve">  These principles can be found </w:t>
      </w:r>
      <w:r w:rsidR="00C74ED7">
        <w:rPr>
          <w:rFonts w:ascii="Book Antiqua" w:hAnsi="Book Antiqua"/>
          <w:sz w:val="22"/>
          <w:szCs w:val="22"/>
        </w:rPr>
        <w:t xml:space="preserve">in </w:t>
      </w:r>
      <w:r w:rsidR="003B04A2">
        <w:rPr>
          <w:rFonts w:ascii="Book Antiqua" w:hAnsi="Book Antiqua"/>
          <w:sz w:val="22"/>
          <w:szCs w:val="22"/>
        </w:rPr>
        <w:t>the Appendix</w:t>
      </w:r>
      <w:r w:rsidR="00C74ED7">
        <w:rPr>
          <w:rFonts w:ascii="Book Antiqua" w:hAnsi="Book Antiqua"/>
          <w:sz w:val="22"/>
          <w:szCs w:val="22"/>
        </w:rPr>
        <w:t>.</w:t>
      </w:r>
    </w:p>
    <w:p w14:paraId="1FA9F465" w14:textId="597CA23A" w:rsidR="00C62B45" w:rsidRDefault="00827C77" w:rsidP="00827C77">
      <w:pPr>
        <w:pStyle w:val="ListParagraph"/>
        <w:numPr>
          <w:ilvl w:val="0"/>
          <w:numId w:val="30"/>
        </w:numPr>
        <w:rPr>
          <w:rFonts w:ascii="Book Antiqua" w:hAnsi="Book Antiqua"/>
          <w:sz w:val="22"/>
          <w:szCs w:val="22"/>
        </w:rPr>
      </w:pPr>
      <w:r w:rsidRPr="00912916">
        <w:rPr>
          <w:rFonts w:ascii="Book Antiqua" w:hAnsi="Book Antiqua"/>
          <w:sz w:val="22"/>
          <w:szCs w:val="22"/>
          <w:u w:val="single"/>
        </w:rPr>
        <w:t>Meaningful financial implications</w:t>
      </w:r>
      <w:r>
        <w:rPr>
          <w:rFonts w:ascii="Book Antiqua" w:hAnsi="Book Antiqua"/>
          <w:sz w:val="22"/>
          <w:szCs w:val="22"/>
        </w:rPr>
        <w:t>:  I</w:t>
      </w:r>
      <w:r w:rsidRPr="00EE07B9">
        <w:rPr>
          <w:rFonts w:ascii="Book Antiqua" w:hAnsi="Book Antiqua"/>
          <w:sz w:val="22"/>
          <w:szCs w:val="22"/>
        </w:rPr>
        <w:t xml:space="preserve">t </w:t>
      </w:r>
      <w:r>
        <w:rPr>
          <w:rFonts w:ascii="Book Antiqua" w:hAnsi="Book Antiqua"/>
          <w:sz w:val="22"/>
          <w:szCs w:val="22"/>
        </w:rPr>
        <w:t>is considered</w:t>
      </w:r>
      <w:r w:rsidRPr="00EE07B9">
        <w:rPr>
          <w:rFonts w:ascii="Book Antiqua" w:hAnsi="Book Antiqua"/>
          <w:sz w:val="22"/>
          <w:szCs w:val="22"/>
        </w:rPr>
        <w:t xml:space="preserve"> outside of the scope of the Taskforce to specific monetary value attached to the measures; however, an insurer </w:t>
      </w:r>
      <w:r w:rsidR="00590816">
        <w:rPr>
          <w:rFonts w:ascii="Book Antiqua" w:hAnsi="Book Antiqua"/>
          <w:sz w:val="22"/>
          <w:szCs w:val="22"/>
        </w:rPr>
        <w:t xml:space="preserve">adopting the Aligned Measure Set </w:t>
      </w:r>
      <w:r w:rsidR="00EE701B">
        <w:rPr>
          <w:rFonts w:ascii="Book Antiqua" w:hAnsi="Book Antiqua"/>
          <w:sz w:val="22"/>
          <w:szCs w:val="22"/>
        </w:rPr>
        <w:t>may</w:t>
      </w:r>
      <w:r w:rsidRPr="00EE07B9">
        <w:rPr>
          <w:rFonts w:ascii="Book Antiqua" w:hAnsi="Book Antiqua"/>
          <w:sz w:val="22"/>
          <w:szCs w:val="22"/>
        </w:rPr>
        <w:t xml:space="preserve"> not attach a de minimis amount to a Core Measure such that performance on the Core Measure lacks meaningful financial implication for the provider</w:t>
      </w:r>
      <w:r>
        <w:rPr>
          <w:rFonts w:ascii="Book Antiqua" w:hAnsi="Book Antiqua"/>
          <w:sz w:val="22"/>
          <w:szCs w:val="22"/>
        </w:rPr>
        <w:t xml:space="preserve">. </w:t>
      </w:r>
    </w:p>
    <w:p w14:paraId="34E7DFD3" w14:textId="0BB375D1" w:rsidR="007332C9" w:rsidRPr="008249FB" w:rsidRDefault="002B66F6" w:rsidP="00827C77">
      <w:pPr>
        <w:pStyle w:val="ListParagraph"/>
        <w:numPr>
          <w:ilvl w:val="0"/>
          <w:numId w:val="30"/>
        </w:numPr>
        <w:rPr>
          <w:rStyle w:val="normaltextrun"/>
          <w:rFonts w:ascii="Book Antiqua" w:hAnsi="Book Antiqua"/>
          <w:sz w:val="22"/>
          <w:szCs w:val="22"/>
        </w:rPr>
      </w:pPr>
      <w:r>
        <w:rPr>
          <w:rFonts w:ascii="Book Antiqua" w:hAnsi="Book Antiqua"/>
          <w:sz w:val="22"/>
          <w:szCs w:val="22"/>
          <w:u w:val="single"/>
        </w:rPr>
        <w:t>Measuring inequity reduction</w:t>
      </w:r>
      <w:r w:rsidRPr="002B66F6">
        <w:rPr>
          <w:rFonts w:ascii="Book Antiqua" w:hAnsi="Book Antiqua"/>
          <w:sz w:val="22"/>
          <w:szCs w:val="22"/>
        </w:rPr>
        <w:t>:</w:t>
      </w:r>
      <w:r>
        <w:rPr>
          <w:rFonts w:ascii="Book Antiqua" w:hAnsi="Book Antiqua"/>
          <w:sz w:val="22"/>
          <w:szCs w:val="22"/>
        </w:rPr>
        <w:t xml:space="preserve"> Payers and providers may add a race, ethnicity, or language inequity reduction complement to any Core or Menu measure.</w:t>
      </w:r>
      <w:r w:rsidR="00D351DE">
        <w:rPr>
          <w:rFonts w:ascii="Book Antiqua" w:hAnsi="Book Antiqua"/>
          <w:sz w:val="22"/>
          <w:szCs w:val="22"/>
        </w:rPr>
        <w:t xml:space="preserve">  Such measure(s) will be considered a separate measure and </w:t>
      </w:r>
      <w:r w:rsidR="005142C9">
        <w:rPr>
          <w:rFonts w:ascii="Book Antiqua" w:hAnsi="Book Antiqua"/>
          <w:sz w:val="22"/>
          <w:szCs w:val="22"/>
        </w:rPr>
        <w:t>will be regarded as in fidelity with the Aligned Measure Set</w:t>
      </w:r>
      <w:r w:rsidR="005142C9" w:rsidRPr="00AA5DA0">
        <w:rPr>
          <w:rFonts w:ascii="Book Antiqua" w:hAnsi="Book Antiqua"/>
          <w:sz w:val="22"/>
          <w:szCs w:val="22"/>
        </w:rPr>
        <w:t>.</w:t>
      </w:r>
      <w:r w:rsidR="004E4DD8" w:rsidRPr="00AA5DA0">
        <w:rPr>
          <w:rStyle w:val="CommentReference"/>
        </w:rPr>
        <w:t xml:space="preserve"> </w:t>
      </w:r>
      <w:r w:rsidR="004E4DD8" w:rsidRPr="00AA5DA0">
        <w:rPr>
          <w:rStyle w:val="CommentReference"/>
          <w:shd w:val="clear" w:color="auto" w:fill="FFFFFF" w:themeFill="background1"/>
        </w:rPr>
        <w:t xml:space="preserve"> </w:t>
      </w:r>
      <w:r w:rsidR="004E4DD8" w:rsidRPr="00AA5DA0">
        <w:rPr>
          <w:rStyle w:val="normaltextrun"/>
          <w:rFonts w:ascii="Book Antiqua" w:hAnsi="Book Antiqua"/>
          <w:color w:val="000000"/>
          <w:position w:val="1"/>
          <w:sz w:val="22"/>
          <w:szCs w:val="22"/>
          <w:shd w:val="clear" w:color="auto" w:fill="FFFFFF" w:themeFill="background1"/>
        </w:rPr>
        <w:t xml:space="preserve">The measure should be implemented and assessed in a manner consistent with the Taskforce-published guidance </w:t>
      </w:r>
      <w:r w:rsidR="00380EFE" w:rsidRPr="00AA5DA0">
        <w:rPr>
          <w:rStyle w:val="normaltextrun"/>
          <w:rFonts w:ascii="Book Antiqua" w:hAnsi="Book Antiqua"/>
          <w:color w:val="000000"/>
          <w:position w:val="1"/>
          <w:sz w:val="22"/>
          <w:szCs w:val="22"/>
          <w:shd w:val="clear" w:color="auto" w:fill="FFFFFF" w:themeFill="background1"/>
        </w:rPr>
        <w:t>for</w:t>
      </w:r>
      <w:r w:rsidR="004E4DD8" w:rsidRPr="00AA5DA0">
        <w:rPr>
          <w:rStyle w:val="normaltextrun"/>
          <w:rFonts w:ascii="Book Antiqua" w:hAnsi="Book Antiqua"/>
          <w:color w:val="000000"/>
          <w:position w:val="1"/>
          <w:sz w:val="22"/>
          <w:szCs w:val="22"/>
          <w:shd w:val="clear" w:color="auto" w:fill="FFFFFF" w:themeFill="background1"/>
        </w:rPr>
        <w:t> implementation of inequity reduction measures found in the </w:t>
      </w:r>
      <w:hyperlink r:id="rId16" w:tgtFrame="_blank" w:history="1">
        <w:r w:rsidR="004E4DD8" w:rsidRPr="00AA5DA0">
          <w:rPr>
            <w:rStyle w:val="normaltextrun"/>
            <w:rFonts w:ascii="Book Antiqua" w:hAnsi="Book Antiqua" w:cs="Arial"/>
            <w:color w:val="002060"/>
            <w:position w:val="1"/>
            <w:sz w:val="22"/>
            <w:szCs w:val="22"/>
            <w:u w:val="single"/>
            <w:shd w:val="clear" w:color="auto" w:fill="FFFFFF" w:themeFill="background1"/>
          </w:rPr>
          <w:t>Health Equity Measure Accountability Framework</w:t>
        </w:r>
      </w:hyperlink>
      <w:r w:rsidR="00380EFE" w:rsidRPr="00AA5DA0">
        <w:rPr>
          <w:rStyle w:val="normaltextrun"/>
          <w:rFonts w:ascii="Book Antiqua" w:hAnsi="Book Antiqua"/>
          <w:color w:val="000000"/>
          <w:position w:val="1"/>
          <w:sz w:val="22"/>
          <w:szCs w:val="22"/>
          <w:shd w:val="clear" w:color="auto" w:fill="FFFFFF" w:themeFill="background1"/>
        </w:rPr>
        <w:t xml:space="preserve"> under “Measure </w:t>
      </w:r>
      <w:r w:rsidR="00B21E02" w:rsidRPr="00AA5DA0">
        <w:rPr>
          <w:rStyle w:val="normaltextrun"/>
          <w:rFonts w:ascii="Book Antiqua" w:hAnsi="Book Antiqua"/>
          <w:color w:val="000000"/>
          <w:position w:val="1"/>
          <w:sz w:val="22"/>
          <w:szCs w:val="22"/>
          <w:shd w:val="clear" w:color="auto" w:fill="FFFFFF" w:themeFill="background1"/>
        </w:rPr>
        <w:t>Category 2</w:t>
      </w:r>
      <w:r w:rsidR="00AA5DA0" w:rsidRPr="00AA5DA0">
        <w:rPr>
          <w:rStyle w:val="normaltextrun"/>
          <w:rFonts w:ascii="Book Antiqua" w:hAnsi="Book Antiqua"/>
          <w:color w:val="000000"/>
          <w:position w:val="1"/>
          <w:sz w:val="22"/>
          <w:szCs w:val="22"/>
          <w:shd w:val="clear" w:color="auto" w:fill="FFFFFF" w:themeFill="background1"/>
        </w:rPr>
        <w:t>”.</w:t>
      </w:r>
    </w:p>
    <w:p w14:paraId="56387050" w14:textId="77777777" w:rsidR="008249FB" w:rsidRDefault="008249FB" w:rsidP="008249FB">
      <w:pPr>
        <w:rPr>
          <w:rFonts w:ascii="Book Antiqua" w:hAnsi="Book Antiqua"/>
          <w:sz w:val="22"/>
          <w:szCs w:val="22"/>
        </w:rPr>
      </w:pPr>
    </w:p>
    <w:p w14:paraId="01133858" w14:textId="77777777" w:rsidR="008249FB" w:rsidRPr="008249FB" w:rsidRDefault="008249FB" w:rsidP="008249FB">
      <w:pPr>
        <w:rPr>
          <w:rFonts w:ascii="Book Antiqua" w:hAnsi="Book Antiqua"/>
          <w:sz w:val="22"/>
          <w:szCs w:val="22"/>
        </w:rPr>
      </w:pPr>
    </w:p>
    <w:p w14:paraId="7129B872" w14:textId="77777777" w:rsidR="00AE4D2C" w:rsidRPr="00AE4D2C" w:rsidRDefault="00AE4D2C" w:rsidP="00AE4D2C">
      <w:pPr>
        <w:pStyle w:val="ListParagraph"/>
        <w:rPr>
          <w:rFonts w:ascii="Book Antiqua" w:hAnsi="Book Antiqua"/>
          <w:sz w:val="22"/>
          <w:szCs w:val="22"/>
        </w:rPr>
      </w:pPr>
    </w:p>
    <w:p w14:paraId="12C54ABA" w14:textId="7F297EE1" w:rsidR="001D4F2C" w:rsidRPr="004F4311" w:rsidRDefault="007077EA" w:rsidP="00023222">
      <w:pPr>
        <w:pStyle w:val="Heading1"/>
        <w:spacing w:before="0"/>
        <w:rPr>
          <w:szCs w:val="22"/>
        </w:rPr>
      </w:pPr>
      <w:bookmarkStart w:id="0" w:name="_IV._Development_of"/>
      <w:bookmarkEnd w:id="0"/>
      <w:r w:rsidRPr="004F4311">
        <w:rPr>
          <w:szCs w:val="22"/>
        </w:rPr>
        <w:t>I</w:t>
      </w:r>
      <w:r w:rsidR="003B04A2">
        <w:rPr>
          <w:szCs w:val="22"/>
        </w:rPr>
        <w:t>II</w:t>
      </w:r>
      <w:r w:rsidR="00594F55" w:rsidRPr="004F4311">
        <w:rPr>
          <w:szCs w:val="22"/>
        </w:rPr>
        <w:t xml:space="preserve">. </w:t>
      </w:r>
      <w:r w:rsidR="00857730" w:rsidRPr="004F4311">
        <w:rPr>
          <w:szCs w:val="22"/>
        </w:rPr>
        <w:t>Annual Review Process</w:t>
      </w:r>
    </w:p>
    <w:p w14:paraId="12C54ABB" w14:textId="43822191" w:rsidR="00636845" w:rsidRPr="004F4311" w:rsidRDefault="00857766" w:rsidP="00023222">
      <w:pPr>
        <w:rPr>
          <w:rFonts w:ascii="Book Antiqua" w:hAnsi="Book Antiqua"/>
          <w:sz w:val="22"/>
          <w:szCs w:val="22"/>
        </w:rPr>
      </w:pPr>
      <w:r w:rsidRPr="004F4311">
        <w:rPr>
          <w:rFonts w:ascii="Book Antiqua" w:hAnsi="Book Antiqua"/>
          <w:sz w:val="22"/>
          <w:szCs w:val="22"/>
        </w:rPr>
        <w:t xml:space="preserve">The Taskforce </w:t>
      </w:r>
      <w:r w:rsidR="00821321">
        <w:rPr>
          <w:rFonts w:ascii="Book Antiqua" w:hAnsi="Book Antiqua"/>
          <w:sz w:val="22"/>
          <w:szCs w:val="22"/>
        </w:rPr>
        <w:t>will</w:t>
      </w:r>
      <w:r w:rsidRPr="004F4311">
        <w:rPr>
          <w:rFonts w:ascii="Book Antiqua" w:hAnsi="Book Antiqua"/>
          <w:sz w:val="22"/>
          <w:szCs w:val="22"/>
        </w:rPr>
        <w:t xml:space="preserve"> conduct an annual review process </w:t>
      </w:r>
      <w:r w:rsidR="00AC7E17" w:rsidRPr="004F4311">
        <w:rPr>
          <w:rFonts w:ascii="Book Antiqua" w:hAnsi="Book Antiqua"/>
          <w:sz w:val="22"/>
          <w:szCs w:val="22"/>
        </w:rPr>
        <w:t xml:space="preserve">to maintain the Massachusetts Aligned Measure Set.  </w:t>
      </w:r>
      <w:r w:rsidR="00865054">
        <w:rPr>
          <w:rFonts w:ascii="Book Antiqua" w:hAnsi="Book Antiqua"/>
          <w:sz w:val="22"/>
          <w:szCs w:val="22"/>
        </w:rPr>
        <w:t>Taskforce staff will prepare information on the following topics for review</w:t>
      </w:r>
      <w:r w:rsidR="004067DE">
        <w:rPr>
          <w:rFonts w:ascii="Book Antiqua" w:hAnsi="Book Antiqua"/>
          <w:sz w:val="22"/>
          <w:szCs w:val="22"/>
        </w:rPr>
        <w:t xml:space="preserve"> by the Taskforce</w:t>
      </w:r>
      <w:r w:rsidR="00865054">
        <w:rPr>
          <w:rFonts w:ascii="Book Antiqua" w:hAnsi="Book Antiqua"/>
          <w:sz w:val="22"/>
          <w:szCs w:val="22"/>
        </w:rPr>
        <w:t xml:space="preserve">: </w:t>
      </w:r>
    </w:p>
    <w:p w14:paraId="12C54ABC" w14:textId="77777777" w:rsidR="00AC7E17" w:rsidRPr="004F4311" w:rsidRDefault="00C204C3" w:rsidP="00023222">
      <w:pPr>
        <w:pStyle w:val="ListParagraph"/>
        <w:numPr>
          <w:ilvl w:val="0"/>
          <w:numId w:val="24"/>
        </w:numPr>
        <w:rPr>
          <w:rFonts w:ascii="Book Antiqua" w:hAnsi="Book Antiqua"/>
          <w:sz w:val="22"/>
          <w:szCs w:val="22"/>
        </w:rPr>
      </w:pPr>
      <w:r>
        <w:rPr>
          <w:rFonts w:ascii="Book Antiqua" w:hAnsi="Book Antiqua"/>
          <w:sz w:val="22"/>
          <w:szCs w:val="22"/>
        </w:rPr>
        <w:t xml:space="preserve">substantive </w:t>
      </w:r>
      <w:r w:rsidR="00B80EA2">
        <w:rPr>
          <w:rFonts w:ascii="Book Antiqua" w:hAnsi="Book Antiqua"/>
          <w:sz w:val="22"/>
          <w:szCs w:val="22"/>
        </w:rPr>
        <w:t>HEDIS c</w:t>
      </w:r>
      <w:r w:rsidR="00AC7E17" w:rsidRPr="004F4311">
        <w:rPr>
          <w:rFonts w:ascii="Book Antiqua" w:hAnsi="Book Antiqua"/>
          <w:sz w:val="22"/>
          <w:szCs w:val="22"/>
        </w:rPr>
        <w:t xml:space="preserve">hanges to the measures in the current Massachusetts Aligned Measure </w:t>
      </w:r>
      <w:proofErr w:type="gramStart"/>
      <w:r w:rsidR="00AC7E17" w:rsidRPr="004F4311">
        <w:rPr>
          <w:rFonts w:ascii="Book Antiqua" w:hAnsi="Book Antiqua"/>
          <w:sz w:val="22"/>
          <w:szCs w:val="22"/>
        </w:rPr>
        <w:t>Set</w:t>
      </w:r>
      <w:r>
        <w:rPr>
          <w:rFonts w:ascii="Book Antiqua" w:hAnsi="Book Antiqua"/>
          <w:sz w:val="22"/>
          <w:szCs w:val="22"/>
        </w:rPr>
        <w:t>;</w:t>
      </w:r>
      <w:proofErr w:type="gramEnd"/>
    </w:p>
    <w:p w14:paraId="12C54ABD" w14:textId="77777777" w:rsidR="00AC7E17" w:rsidRPr="004F4311" w:rsidRDefault="00AC7E17" w:rsidP="00023222">
      <w:pPr>
        <w:pStyle w:val="ListParagraph"/>
        <w:numPr>
          <w:ilvl w:val="0"/>
          <w:numId w:val="24"/>
        </w:numPr>
        <w:rPr>
          <w:rFonts w:ascii="Book Antiqua" w:hAnsi="Book Antiqua"/>
          <w:sz w:val="22"/>
          <w:szCs w:val="22"/>
        </w:rPr>
      </w:pPr>
      <w:r w:rsidRPr="004F4311">
        <w:rPr>
          <w:rFonts w:ascii="Book Antiqua" w:hAnsi="Book Antiqua"/>
          <w:sz w:val="22"/>
          <w:szCs w:val="22"/>
        </w:rPr>
        <w:t>CMS-drive</w:t>
      </w:r>
      <w:r w:rsidR="001D012E">
        <w:rPr>
          <w:rFonts w:ascii="Book Antiqua" w:hAnsi="Book Antiqua"/>
          <w:sz w:val="22"/>
          <w:szCs w:val="22"/>
        </w:rPr>
        <w:t>n</w:t>
      </w:r>
      <w:r w:rsidRPr="004F4311">
        <w:rPr>
          <w:rFonts w:ascii="Book Antiqua" w:hAnsi="Book Antiqua"/>
          <w:sz w:val="22"/>
          <w:szCs w:val="22"/>
        </w:rPr>
        <w:t xml:space="preserve"> changes to the MassHealth ACO measure set and Medicare ACO measure </w:t>
      </w:r>
      <w:proofErr w:type="gramStart"/>
      <w:r w:rsidRPr="004F4311">
        <w:rPr>
          <w:rFonts w:ascii="Book Antiqua" w:hAnsi="Book Antiqua"/>
          <w:sz w:val="22"/>
          <w:szCs w:val="22"/>
        </w:rPr>
        <w:t>set</w:t>
      </w:r>
      <w:r w:rsidR="00C204C3">
        <w:rPr>
          <w:rFonts w:ascii="Book Antiqua" w:hAnsi="Book Antiqua"/>
          <w:sz w:val="22"/>
          <w:szCs w:val="22"/>
        </w:rPr>
        <w:t>;</w:t>
      </w:r>
      <w:proofErr w:type="gramEnd"/>
    </w:p>
    <w:p w14:paraId="12C54ABE" w14:textId="7B0F051D" w:rsidR="00AC7E17" w:rsidRPr="004F4311" w:rsidRDefault="00C204C3" w:rsidP="00023222">
      <w:pPr>
        <w:pStyle w:val="ListParagraph"/>
        <w:numPr>
          <w:ilvl w:val="0"/>
          <w:numId w:val="24"/>
        </w:numPr>
        <w:rPr>
          <w:rFonts w:ascii="Book Antiqua" w:hAnsi="Book Antiqua"/>
          <w:sz w:val="22"/>
          <w:szCs w:val="22"/>
        </w:rPr>
      </w:pPr>
      <w:r>
        <w:rPr>
          <w:rFonts w:ascii="Book Antiqua" w:hAnsi="Book Antiqua"/>
          <w:sz w:val="22"/>
          <w:szCs w:val="22"/>
        </w:rPr>
        <w:t>a</w:t>
      </w:r>
      <w:r w:rsidR="00857730" w:rsidRPr="004F4311">
        <w:rPr>
          <w:rFonts w:ascii="Book Antiqua" w:hAnsi="Book Antiqua"/>
          <w:sz w:val="22"/>
          <w:szCs w:val="22"/>
        </w:rPr>
        <w:t xml:space="preserve">doption of </w:t>
      </w:r>
      <w:r w:rsidR="0019724A">
        <w:rPr>
          <w:rFonts w:ascii="Book Antiqua" w:hAnsi="Book Antiqua"/>
          <w:sz w:val="22"/>
          <w:szCs w:val="22"/>
        </w:rPr>
        <w:t xml:space="preserve">Core, </w:t>
      </w:r>
      <w:r w:rsidR="00857730" w:rsidRPr="004F4311">
        <w:rPr>
          <w:rFonts w:ascii="Book Antiqua" w:hAnsi="Book Antiqua"/>
          <w:sz w:val="22"/>
          <w:szCs w:val="22"/>
        </w:rPr>
        <w:t xml:space="preserve">Menu and Innovation measures in </w:t>
      </w:r>
      <w:r w:rsidR="003F3CFE">
        <w:rPr>
          <w:rFonts w:ascii="Book Antiqua" w:hAnsi="Book Antiqua"/>
          <w:sz w:val="22"/>
          <w:szCs w:val="22"/>
        </w:rPr>
        <w:t>global budget-based risk</w:t>
      </w:r>
      <w:r w:rsidR="00857730" w:rsidRPr="004F4311">
        <w:rPr>
          <w:rFonts w:ascii="Book Antiqua" w:hAnsi="Book Antiqua"/>
          <w:sz w:val="22"/>
          <w:szCs w:val="22"/>
        </w:rPr>
        <w:t xml:space="preserve"> </w:t>
      </w:r>
      <w:proofErr w:type="gramStart"/>
      <w:r w:rsidR="00857730" w:rsidRPr="004F4311">
        <w:rPr>
          <w:rFonts w:ascii="Book Antiqua" w:hAnsi="Book Antiqua"/>
          <w:sz w:val="22"/>
          <w:szCs w:val="22"/>
        </w:rPr>
        <w:t>contracts</w:t>
      </w:r>
      <w:r>
        <w:rPr>
          <w:rFonts w:ascii="Book Antiqua" w:hAnsi="Book Antiqua"/>
          <w:sz w:val="22"/>
          <w:szCs w:val="22"/>
        </w:rPr>
        <w:t>;</w:t>
      </w:r>
      <w:proofErr w:type="gramEnd"/>
    </w:p>
    <w:p w14:paraId="12C54ABF" w14:textId="77777777" w:rsidR="00AC7E17" w:rsidRPr="004F4311" w:rsidRDefault="00E15C18" w:rsidP="00023222">
      <w:pPr>
        <w:pStyle w:val="ListParagraph"/>
        <w:numPr>
          <w:ilvl w:val="0"/>
          <w:numId w:val="24"/>
        </w:numPr>
        <w:rPr>
          <w:rFonts w:ascii="Book Antiqua" w:hAnsi="Book Antiqua"/>
          <w:sz w:val="22"/>
          <w:szCs w:val="22"/>
        </w:rPr>
      </w:pPr>
      <w:r>
        <w:rPr>
          <w:rFonts w:ascii="Book Antiqua" w:hAnsi="Book Antiqua"/>
          <w:sz w:val="22"/>
          <w:szCs w:val="22"/>
        </w:rPr>
        <w:t>a</w:t>
      </w:r>
      <w:r w:rsidR="00857730" w:rsidRPr="004F4311">
        <w:rPr>
          <w:rFonts w:ascii="Book Antiqua" w:hAnsi="Book Antiqua"/>
          <w:sz w:val="22"/>
          <w:szCs w:val="22"/>
        </w:rPr>
        <w:t xml:space="preserve">lignment of the measure set with statewide health </w:t>
      </w:r>
      <w:proofErr w:type="gramStart"/>
      <w:r w:rsidR="00857730" w:rsidRPr="004F4311">
        <w:rPr>
          <w:rFonts w:ascii="Book Antiqua" w:hAnsi="Book Antiqua"/>
          <w:sz w:val="22"/>
          <w:szCs w:val="22"/>
        </w:rPr>
        <w:t>priorities</w:t>
      </w:r>
      <w:r w:rsidR="00C204C3">
        <w:rPr>
          <w:rFonts w:ascii="Book Antiqua" w:hAnsi="Book Antiqua"/>
          <w:sz w:val="22"/>
          <w:szCs w:val="22"/>
        </w:rPr>
        <w:t>;</w:t>
      </w:r>
      <w:proofErr w:type="gramEnd"/>
      <w:r w:rsidR="00857730" w:rsidRPr="004F4311">
        <w:rPr>
          <w:rFonts w:ascii="Book Antiqua" w:hAnsi="Book Antiqua"/>
          <w:sz w:val="22"/>
          <w:szCs w:val="22"/>
        </w:rPr>
        <w:t xml:space="preserve"> </w:t>
      </w:r>
    </w:p>
    <w:p w14:paraId="12C54AC0" w14:textId="160A7819" w:rsidR="00857730" w:rsidRPr="004F4311" w:rsidRDefault="00E15C18" w:rsidP="00023222">
      <w:pPr>
        <w:pStyle w:val="ListParagraph"/>
        <w:numPr>
          <w:ilvl w:val="0"/>
          <w:numId w:val="24"/>
        </w:numPr>
        <w:rPr>
          <w:rFonts w:ascii="Book Antiqua" w:hAnsi="Book Antiqua"/>
          <w:sz w:val="22"/>
          <w:szCs w:val="22"/>
        </w:rPr>
      </w:pPr>
      <w:r>
        <w:rPr>
          <w:rFonts w:ascii="Book Antiqua" w:hAnsi="Book Antiqua"/>
          <w:sz w:val="22"/>
          <w:szCs w:val="22"/>
        </w:rPr>
        <w:t>o</w:t>
      </w:r>
      <w:r w:rsidR="00857730" w:rsidRPr="004F4311">
        <w:rPr>
          <w:rFonts w:ascii="Book Antiqua" w:hAnsi="Book Antiqua"/>
          <w:sz w:val="22"/>
          <w:szCs w:val="22"/>
        </w:rPr>
        <w:t>pportunities for improvement</w:t>
      </w:r>
      <w:r w:rsidR="00AC7E17" w:rsidRPr="004F4311">
        <w:rPr>
          <w:rFonts w:ascii="Book Antiqua" w:hAnsi="Book Antiqua"/>
          <w:sz w:val="22"/>
          <w:szCs w:val="22"/>
        </w:rPr>
        <w:t xml:space="preserve"> </w:t>
      </w:r>
      <w:r w:rsidR="00B54A66">
        <w:rPr>
          <w:rFonts w:ascii="Book Antiqua" w:hAnsi="Book Antiqua"/>
          <w:sz w:val="22"/>
          <w:szCs w:val="22"/>
        </w:rPr>
        <w:t>i</w:t>
      </w:r>
      <w:r w:rsidR="00AC7E17" w:rsidRPr="004F4311">
        <w:rPr>
          <w:rFonts w:ascii="Book Antiqua" w:hAnsi="Book Antiqua"/>
          <w:sz w:val="22"/>
          <w:szCs w:val="22"/>
        </w:rPr>
        <w:t xml:space="preserve">n performance for Core and Menu </w:t>
      </w:r>
      <w:proofErr w:type="gramStart"/>
      <w:r w:rsidR="00AC7E17" w:rsidRPr="004F4311">
        <w:rPr>
          <w:rFonts w:ascii="Book Antiqua" w:hAnsi="Book Antiqua"/>
          <w:sz w:val="22"/>
          <w:szCs w:val="22"/>
        </w:rPr>
        <w:t>measures</w:t>
      </w:r>
      <w:r w:rsidR="00C204C3">
        <w:rPr>
          <w:rFonts w:ascii="Book Antiqua" w:hAnsi="Book Antiqua"/>
          <w:sz w:val="22"/>
          <w:szCs w:val="22"/>
        </w:rPr>
        <w:t>;</w:t>
      </w:r>
      <w:proofErr w:type="gramEnd"/>
    </w:p>
    <w:p w14:paraId="12C54AC1" w14:textId="3BD4A0C7" w:rsidR="00AC7E17" w:rsidRPr="004F4311" w:rsidRDefault="00E15C18" w:rsidP="00023222">
      <w:pPr>
        <w:pStyle w:val="ListParagraph"/>
        <w:numPr>
          <w:ilvl w:val="0"/>
          <w:numId w:val="24"/>
        </w:numPr>
        <w:rPr>
          <w:rFonts w:ascii="Book Antiqua" w:hAnsi="Book Antiqua"/>
          <w:sz w:val="22"/>
          <w:szCs w:val="22"/>
        </w:rPr>
      </w:pPr>
      <w:r>
        <w:rPr>
          <w:rFonts w:ascii="Book Antiqua" w:hAnsi="Book Antiqua"/>
          <w:sz w:val="22"/>
          <w:szCs w:val="22"/>
        </w:rPr>
        <w:t>m</w:t>
      </w:r>
      <w:r w:rsidR="00AC7E17" w:rsidRPr="004F4311">
        <w:rPr>
          <w:rFonts w:ascii="Book Antiqua" w:hAnsi="Book Antiqua"/>
          <w:sz w:val="22"/>
          <w:szCs w:val="22"/>
        </w:rPr>
        <w:t xml:space="preserve">ost recent </w:t>
      </w:r>
      <w:r w:rsidR="00B54A66">
        <w:rPr>
          <w:rFonts w:ascii="Book Antiqua" w:hAnsi="Book Antiqua"/>
          <w:sz w:val="22"/>
          <w:szCs w:val="22"/>
        </w:rPr>
        <w:t xml:space="preserve">state </w:t>
      </w:r>
      <w:r w:rsidR="00AC7E17" w:rsidRPr="004F4311">
        <w:rPr>
          <w:rFonts w:ascii="Book Antiqua" w:hAnsi="Book Antiqua"/>
          <w:sz w:val="22"/>
          <w:szCs w:val="22"/>
        </w:rPr>
        <w:t xml:space="preserve">performance </w:t>
      </w:r>
      <w:r w:rsidR="000F4F01">
        <w:rPr>
          <w:rFonts w:ascii="Book Antiqua" w:hAnsi="Book Antiqua"/>
          <w:sz w:val="22"/>
          <w:szCs w:val="22"/>
        </w:rPr>
        <w:t>on</w:t>
      </w:r>
      <w:r w:rsidR="00857730" w:rsidRPr="004F4311">
        <w:rPr>
          <w:rFonts w:ascii="Book Antiqua" w:hAnsi="Book Antiqua"/>
          <w:sz w:val="22"/>
          <w:szCs w:val="22"/>
        </w:rPr>
        <w:t xml:space="preserve"> measures in the Monitoring </w:t>
      </w:r>
      <w:proofErr w:type="gramStart"/>
      <w:r w:rsidR="00857730" w:rsidRPr="004F4311">
        <w:rPr>
          <w:rFonts w:ascii="Book Antiqua" w:hAnsi="Book Antiqua"/>
          <w:sz w:val="22"/>
          <w:szCs w:val="22"/>
        </w:rPr>
        <w:t>Set</w:t>
      </w:r>
      <w:r w:rsidR="00C204C3">
        <w:rPr>
          <w:rFonts w:ascii="Book Antiqua" w:hAnsi="Book Antiqua"/>
          <w:sz w:val="22"/>
          <w:szCs w:val="22"/>
        </w:rPr>
        <w:t>;</w:t>
      </w:r>
      <w:proofErr w:type="gramEnd"/>
    </w:p>
    <w:p w14:paraId="12C54AC2" w14:textId="44E27B19" w:rsidR="00AC7E17" w:rsidRPr="004F4311" w:rsidRDefault="00A0314B" w:rsidP="00023222">
      <w:pPr>
        <w:pStyle w:val="ListParagraph"/>
        <w:numPr>
          <w:ilvl w:val="0"/>
          <w:numId w:val="24"/>
        </w:numPr>
        <w:rPr>
          <w:rFonts w:ascii="Book Antiqua" w:hAnsi="Book Antiqua"/>
          <w:sz w:val="22"/>
          <w:szCs w:val="22"/>
        </w:rPr>
      </w:pPr>
      <w:r>
        <w:rPr>
          <w:rFonts w:ascii="Book Antiqua" w:hAnsi="Book Antiqua"/>
          <w:sz w:val="22"/>
          <w:szCs w:val="22"/>
        </w:rPr>
        <w:t xml:space="preserve">possible </w:t>
      </w:r>
      <w:r w:rsidR="00E15C18">
        <w:rPr>
          <w:rFonts w:ascii="Book Antiqua" w:hAnsi="Book Antiqua"/>
          <w:sz w:val="22"/>
          <w:szCs w:val="22"/>
        </w:rPr>
        <w:t>t</w:t>
      </w:r>
      <w:r w:rsidR="00857730" w:rsidRPr="004F4311">
        <w:rPr>
          <w:rFonts w:ascii="Book Antiqua" w:hAnsi="Book Antiqua"/>
          <w:sz w:val="22"/>
          <w:szCs w:val="22"/>
        </w:rPr>
        <w:t xml:space="preserve">ransition of </w:t>
      </w:r>
      <w:r w:rsidR="00E15C18">
        <w:rPr>
          <w:rFonts w:ascii="Book Antiqua" w:hAnsi="Book Antiqua"/>
          <w:sz w:val="22"/>
          <w:szCs w:val="22"/>
        </w:rPr>
        <w:t>D</w:t>
      </w:r>
      <w:r w:rsidR="00857730" w:rsidRPr="004F4311">
        <w:rPr>
          <w:rFonts w:ascii="Book Antiqua" w:hAnsi="Book Antiqua"/>
          <w:sz w:val="22"/>
          <w:szCs w:val="22"/>
        </w:rPr>
        <w:t xml:space="preserve">evelopmental </w:t>
      </w:r>
      <w:r w:rsidR="000E170B">
        <w:rPr>
          <w:rFonts w:ascii="Book Antiqua" w:hAnsi="Book Antiqua"/>
          <w:sz w:val="22"/>
          <w:szCs w:val="22"/>
        </w:rPr>
        <w:t xml:space="preserve">and </w:t>
      </w:r>
      <w:r w:rsidR="000F4F01">
        <w:rPr>
          <w:rFonts w:ascii="Book Antiqua" w:hAnsi="Book Antiqua"/>
          <w:sz w:val="22"/>
          <w:szCs w:val="22"/>
        </w:rPr>
        <w:t>On Deck</w:t>
      </w:r>
      <w:r w:rsidR="000E170B">
        <w:rPr>
          <w:rFonts w:ascii="Book Antiqua" w:hAnsi="Book Antiqua"/>
          <w:sz w:val="22"/>
          <w:szCs w:val="22"/>
        </w:rPr>
        <w:t xml:space="preserve"> </w:t>
      </w:r>
      <w:r w:rsidR="00857730" w:rsidRPr="004F4311">
        <w:rPr>
          <w:rFonts w:ascii="Book Antiqua" w:hAnsi="Book Antiqua"/>
          <w:sz w:val="22"/>
          <w:szCs w:val="22"/>
        </w:rPr>
        <w:t>measures into the Core or Menu Set</w:t>
      </w:r>
      <w:r w:rsidR="00C204C3">
        <w:rPr>
          <w:rFonts w:ascii="Book Antiqua" w:hAnsi="Book Antiqua"/>
          <w:sz w:val="22"/>
          <w:szCs w:val="22"/>
        </w:rPr>
        <w:t>, and</w:t>
      </w:r>
    </w:p>
    <w:p w14:paraId="12C54AC3" w14:textId="77777777" w:rsidR="00857730" w:rsidRPr="004F4311" w:rsidRDefault="00E15C18" w:rsidP="00023222">
      <w:pPr>
        <w:pStyle w:val="ListParagraph"/>
        <w:numPr>
          <w:ilvl w:val="0"/>
          <w:numId w:val="24"/>
        </w:numPr>
        <w:rPr>
          <w:rFonts w:ascii="Book Antiqua" w:hAnsi="Book Antiqua"/>
          <w:sz w:val="22"/>
          <w:szCs w:val="22"/>
        </w:rPr>
      </w:pPr>
      <w:r>
        <w:rPr>
          <w:rFonts w:ascii="Book Antiqua" w:hAnsi="Book Antiqua"/>
          <w:sz w:val="22"/>
          <w:szCs w:val="22"/>
        </w:rPr>
        <w:t xml:space="preserve">any other </w:t>
      </w:r>
      <w:r w:rsidR="00857730" w:rsidRPr="004F4311">
        <w:rPr>
          <w:rFonts w:ascii="Book Antiqua" w:hAnsi="Book Antiqua"/>
          <w:sz w:val="22"/>
          <w:szCs w:val="22"/>
        </w:rPr>
        <w:t>Taskforce recommended changes</w:t>
      </w:r>
      <w:r w:rsidR="00C204C3">
        <w:rPr>
          <w:rFonts w:ascii="Book Antiqua" w:hAnsi="Book Antiqua"/>
          <w:sz w:val="22"/>
          <w:szCs w:val="22"/>
        </w:rPr>
        <w:t>.</w:t>
      </w:r>
      <w:r w:rsidR="00857730" w:rsidRPr="004F4311">
        <w:rPr>
          <w:rFonts w:ascii="Book Antiqua" w:hAnsi="Book Antiqua"/>
          <w:sz w:val="22"/>
          <w:szCs w:val="22"/>
        </w:rPr>
        <w:t xml:space="preserve"> </w:t>
      </w:r>
    </w:p>
    <w:p w14:paraId="12C54AC4" w14:textId="77777777" w:rsidR="00AC7E17" w:rsidRPr="004F4311" w:rsidRDefault="00AC7E17" w:rsidP="00023222">
      <w:pPr>
        <w:rPr>
          <w:rFonts w:ascii="Book Antiqua" w:hAnsi="Book Antiqua"/>
          <w:sz w:val="22"/>
          <w:szCs w:val="22"/>
        </w:rPr>
      </w:pPr>
    </w:p>
    <w:p w14:paraId="12C54AC5" w14:textId="694D8EF4" w:rsidR="00AC7E17" w:rsidRPr="004F4311" w:rsidRDefault="00AC7E17" w:rsidP="00023222">
      <w:pPr>
        <w:rPr>
          <w:rFonts w:ascii="Book Antiqua" w:hAnsi="Book Antiqua"/>
          <w:sz w:val="22"/>
          <w:szCs w:val="22"/>
        </w:rPr>
      </w:pPr>
      <w:r w:rsidRPr="004F4311">
        <w:rPr>
          <w:rFonts w:ascii="Book Antiqua" w:hAnsi="Book Antiqua"/>
          <w:sz w:val="22"/>
          <w:szCs w:val="22"/>
        </w:rPr>
        <w:t xml:space="preserve">Following the Taskforce’s annual review, the Taskforce </w:t>
      </w:r>
      <w:r w:rsidR="00FF2609">
        <w:rPr>
          <w:rFonts w:ascii="Book Antiqua" w:hAnsi="Book Antiqua"/>
          <w:sz w:val="22"/>
          <w:szCs w:val="22"/>
        </w:rPr>
        <w:t>wi</w:t>
      </w:r>
      <w:r w:rsidRPr="004F4311">
        <w:rPr>
          <w:rFonts w:ascii="Book Antiqua" w:hAnsi="Book Antiqua"/>
          <w:sz w:val="22"/>
          <w:szCs w:val="22"/>
        </w:rPr>
        <w:t xml:space="preserve">ll submit </w:t>
      </w:r>
      <w:r w:rsidR="00811C26" w:rsidRPr="004F4311">
        <w:rPr>
          <w:rFonts w:ascii="Book Antiqua" w:hAnsi="Book Antiqua"/>
          <w:sz w:val="22"/>
          <w:szCs w:val="22"/>
        </w:rPr>
        <w:t>its</w:t>
      </w:r>
      <w:r w:rsidRPr="004F4311">
        <w:rPr>
          <w:rFonts w:ascii="Book Antiqua" w:hAnsi="Book Antiqua"/>
          <w:sz w:val="22"/>
          <w:szCs w:val="22"/>
        </w:rPr>
        <w:t xml:space="preserve"> recommendations for annual changes to the Secretary of the Executive Office of Health and Human Services for review</w:t>
      </w:r>
      <w:r w:rsidR="00D413A4">
        <w:rPr>
          <w:rFonts w:ascii="Book Antiqua" w:hAnsi="Book Antiqua"/>
          <w:sz w:val="22"/>
          <w:szCs w:val="22"/>
        </w:rPr>
        <w:t xml:space="preserve"> and acceptance</w:t>
      </w:r>
      <w:r w:rsidRPr="004F4311">
        <w:rPr>
          <w:rFonts w:ascii="Book Antiqua" w:hAnsi="Book Antiqua"/>
          <w:sz w:val="22"/>
          <w:szCs w:val="22"/>
        </w:rPr>
        <w:t>.</w:t>
      </w:r>
    </w:p>
    <w:p w14:paraId="12C54AC6" w14:textId="77777777" w:rsidR="00AC3F9A" w:rsidRPr="004F4311" w:rsidRDefault="00AC3F9A" w:rsidP="00023222">
      <w:pPr>
        <w:rPr>
          <w:rFonts w:ascii="Book Antiqua" w:hAnsi="Book Antiqua"/>
          <w:sz w:val="22"/>
          <w:szCs w:val="22"/>
        </w:rPr>
      </w:pPr>
    </w:p>
    <w:p w14:paraId="12C54AD0" w14:textId="153F2991" w:rsidR="000310E2" w:rsidRDefault="000310E2">
      <w:pPr>
        <w:rPr>
          <w:rFonts w:ascii="Book Antiqua" w:hAnsi="Book Antiqua"/>
          <w:sz w:val="22"/>
          <w:szCs w:val="22"/>
        </w:rPr>
      </w:pPr>
      <w:r>
        <w:rPr>
          <w:rFonts w:ascii="Book Antiqua" w:hAnsi="Book Antiqua"/>
          <w:sz w:val="22"/>
          <w:szCs w:val="22"/>
        </w:rPr>
        <w:br w:type="page"/>
      </w:r>
    </w:p>
    <w:p w14:paraId="2604C4F4" w14:textId="2E8A4EB5" w:rsidR="0069234D" w:rsidRPr="000637BC" w:rsidRDefault="00C74ED7" w:rsidP="003F7FD3">
      <w:pPr>
        <w:jc w:val="center"/>
        <w:rPr>
          <w:rFonts w:ascii="Book Antiqua" w:hAnsi="Book Antiqua"/>
          <w:b/>
          <w:bCs/>
        </w:rPr>
      </w:pPr>
      <w:r w:rsidRPr="000637BC">
        <w:rPr>
          <w:rFonts w:ascii="Book Antiqua" w:hAnsi="Book Antiqua"/>
          <w:b/>
          <w:bCs/>
        </w:rPr>
        <w:lastRenderedPageBreak/>
        <w:t>Appendix:</w:t>
      </w:r>
    </w:p>
    <w:p w14:paraId="10347E35" w14:textId="505FEC24" w:rsidR="00857730" w:rsidRPr="000637BC" w:rsidRDefault="00F77FD5" w:rsidP="003F7FD3">
      <w:pPr>
        <w:jc w:val="center"/>
        <w:rPr>
          <w:rFonts w:ascii="Book Antiqua" w:hAnsi="Book Antiqua"/>
          <w:b/>
          <w:bCs/>
        </w:rPr>
      </w:pPr>
      <w:r w:rsidRPr="000637BC">
        <w:rPr>
          <w:rFonts w:ascii="Book Antiqua" w:hAnsi="Book Antiqua"/>
          <w:b/>
          <w:bCs/>
        </w:rPr>
        <w:t>Guiding Principles for Use of the Aligned Measure Set in Contracts</w:t>
      </w:r>
    </w:p>
    <w:p w14:paraId="0AF30124" w14:textId="77777777" w:rsidR="00E05A2A" w:rsidRPr="003F7FD3" w:rsidRDefault="00E05A2A" w:rsidP="003F7FD3">
      <w:pPr>
        <w:jc w:val="center"/>
        <w:rPr>
          <w:rFonts w:ascii="Book Antiqua" w:hAnsi="Book Antiqua"/>
          <w:b/>
          <w:bCs/>
          <w:sz w:val="22"/>
          <w:szCs w:val="22"/>
        </w:rPr>
      </w:pPr>
    </w:p>
    <w:p w14:paraId="6E70963E" w14:textId="799ED537" w:rsidR="003F7FD3" w:rsidRDefault="003F7FD3" w:rsidP="003F7FD3">
      <w:pPr>
        <w:rPr>
          <w:rFonts w:ascii="Book Antiqua" w:hAnsi="Book Antiqua"/>
          <w:sz w:val="22"/>
          <w:szCs w:val="22"/>
        </w:rPr>
      </w:pPr>
      <w:r w:rsidRPr="003F7FD3">
        <w:rPr>
          <w:rFonts w:ascii="Book Antiqua" w:hAnsi="Book Antiqua"/>
          <w:sz w:val="22"/>
          <w:szCs w:val="22"/>
        </w:rPr>
        <w:t xml:space="preserve">While the focus of the Taskforce is on aligning contractual quality measures and not on the broader terms of global budget-based risk contracts, the Taskforce has developed a set of guiding principles for those seeking to implement the Aligned Measure Set.  These guiding principles apply to all Aligned Measure Set measure categories used in contracts. </w:t>
      </w:r>
    </w:p>
    <w:p w14:paraId="7324CB17" w14:textId="77777777" w:rsidR="003F7FD3" w:rsidRPr="003F7FD3" w:rsidRDefault="003F7FD3" w:rsidP="003F7FD3">
      <w:pPr>
        <w:rPr>
          <w:rFonts w:ascii="Book Antiqua" w:hAnsi="Book Antiqua"/>
          <w:sz w:val="22"/>
          <w:szCs w:val="22"/>
        </w:rPr>
      </w:pPr>
    </w:p>
    <w:p w14:paraId="7EF5BAF2" w14:textId="77777777" w:rsidR="00114197" w:rsidRPr="0051307D" w:rsidRDefault="00114197" w:rsidP="00114197">
      <w:pPr>
        <w:rPr>
          <w:rFonts w:ascii="Book Antiqua" w:hAnsi="Book Antiqua"/>
          <w:b/>
          <w:bCs/>
          <w:sz w:val="22"/>
          <w:szCs w:val="22"/>
        </w:rPr>
      </w:pPr>
      <w:r w:rsidRPr="39DC7D7A">
        <w:rPr>
          <w:rFonts w:ascii="Book Antiqua" w:hAnsi="Book Antiqua"/>
          <w:b/>
          <w:bCs/>
          <w:sz w:val="22"/>
          <w:szCs w:val="22"/>
        </w:rPr>
        <w:t>Selection of Menu Measures</w:t>
      </w:r>
    </w:p>
    <w:p w14:paraId="280014B9" w14:textId="27EC633C" w:rsidR="00114197" w:rsidRPr="0051307D" w:rsidRDefault="00114197" w:rsidP="00EF0D85">
      <w:pPr>
        <w:rPr>
          <w:rFonts w:ascii="Book Antiqua" w:hAnsi="Book Antiqua"/>
          <w:sz w:val="22"/>
          <w:szCs w:val="22"/>
        </w:rPr>
      </w:pPr>
      <w:r w:rsidRPr="0051307D">
        <w:rPr>
          <w:rFonts w:ascii="Book Antiqua" w:hAnsi="Book Antiqua"/>
          <w:sz w:val="22"/>
          <w:szCs w:val="22"/>
        </w:rPr>
        <w:t>For those providers and payers who choose t</w:t>
      </w:r>
      <w:r w:rsidR="00CA3D79">
        <w:rPr>
          <w:rFonts w:ascii="Book Antiqua" w:hAnsi="Book Antiqua"/>
          <w:sz w:val="22"/>
          <w:szCs w:val="22"/>
        </w:rPr>
        <w:t>o</w:t>
      </w:r>
      <w:r w:rsidRPr="0051307D">
        <w:rPr>
          <w:rFonts w:ascii="Book Antiqua" w:hAnsi="Book Antiqua"/>
          <w:sz w:val="22"/>
          <w:szCs w:val="22"/>
        </w:rPr>
        <w:t xml:space="preserve"> adopt the Aligned Measure Set, the Core Set should be adopted in full as these measures represent high priority areas for the State.  The Menu Set allows providers and payers to supplement the Core Set, but the Taskforce recommends that contracts limit use of Menu measures to allow providers to focus on key opportunities for improvement.  The Taskforce further recommends</w:t>
      </w:r>
      <w:r w:rsidR="00C70B45">
        <w:rPr>
          <w:rFonts w:ascii="Book Antiqua" w:hAnsi="Book Antiqua"/>
          <w:sz w:val="22"/>
          <w:szCs w:val="22"/>
        </w:rPr>
        <w:t xml:space="preserve"> that Menu measures selected for contract use should</w:t>
      </w:r>
      <w:r w:rsidR="00EF0D85">
        <w:rPr>
          <w:rFonts w:ascii="Book Antiqua" w:hAnsi="Book Antiqua"/>
          <w:sz w:val="22"/>
          <w:szCs w:val="22"/>
        </w:rPr>
        <w:t xml:space="preserve"> target identified opportunities to improve care specific to the contracted population. </w:t>
      </w:r>
    </w:p>
    <w:p w14:paraId="7C535F32" w14:textId="77777777" w:rsidR="00F47736" w:rsidRDefault="00F47736" w:rsidP="00114197">
      <w:pPr>
        <w:rPr>
          <w:rFonts w:ascii="Book Antiqua" w:hAnsi="Book Antiqua"/>
          <w:b/>
          <w:bCs/>
          <w:sz w:val="22"/>
          <w:szCs w:val="22"/>
        </w:rPr>
      </w:pPr>
    </w:p>
    <w:p w14:paraId="2627CAAF" w14:textId="11C2E18B" w:rsidR="00114197" w:rsidRPr="0051307D" w:rsidRDefault="00114197" w:rsidP="00114197">
      <w:pPr>
        <w:rPr>
          <w:rFonts w:ascii="Book Antiqua" w:hAnsi="Book Antiqua"/>
          <w:b/>
          <w:bCs/>
          <w:sz w:val="22"/>
          <w:szCs w:val="22"/>
        </w:rPr>
      </w:pPr>
      <w:r w:rsidRPr="0051307D">
        <w:rPr>
          <w:rFonts w:ascii="Book Antiqua" w:hAnsi="Book Antiqua"/>
          <w:b/>
          <w:bCs/>
          <w:sz w:val="22"/>
          <w:szCs w:val="22"/>
        </w:rPr>
        <w:t>Reasonable Benchmarks</w:t>
      </w:r>
    </w:p>
    <w:p w14:paraId="5F976E5E" w14:textId="77777777" w:rsidR="00114197" w:rsidRPr="0051307D" w:rsidRDefault="00114197" w:rsidP="00114197">
      <w:pPr>
        <w:rPr>
          <w:rFonts w:ascii="Book Antiqua" w:hAnsi="Book Antiqua"/>
          <w:sz w:val="22"/>
          <w:szCs w:val="22"/>
        </w:rPr>
      </w:pPr>
      <w:r w:rsidRPr="0051307D">
        <w:rPr>
          <w:rFonts w:ascii="Book Antiqua" w:hAnsi="Book Antiqua"/>
          <w:sz w:val="22"/>
          <w:szCs w:val="22"/>
        </w:rPr>
        <w:t>The Taskforce recommends that provider organizations and payers negotiate benchmarks that:</w:t>
      </w:r>
    </w:p>
    <w:p w14:paraId="4F720156" w14:textId="170EF6C8" w:rsidR="00114197" w:rsidRPr="0051307D" w:rsidRDefault="008E6627" w:rsidP="00114197">
      <w:pPr>
        <w:pStyle w:val="ListParagraph"/>
        <w:numPr>
          <w:ilvl w:val="0"/>
          <w:numId w:val="36"/>
        </w:numPr>
        <w:spacing w:after="160" w:line="259" w:lineRule="auto"/>
        <w:rPr>
          <w:rFonts w:ascii="Book Antiqua" w:hAnsi="Book Antiqua"/>
          <w:sz w:val="22"/>
          <w:szCs w:val="22"/>
        </w:rPr>
      </w:pPr>
      <w:r>
        <w:rPr>
          <w:rFonts w:ascii="Book Antiqua" w:hAnsi="Book Antiqua"/>
          <w:sz w:val="22"/>
          <w:szCs w:val="22"/>
        </w:rPr>
        <w:t>a</w:t>
      </w:r>
      <w:r w:rsidR="00114197" w:rsidRPr="0051307D">
        <w:rPr>
          <w:rFonts w:ascii="Book Antiqua" w:hAnsi="Book Antiqua"/>
          <w:sz w:val="22"/>
          <w:szCs w:val="22"/>
        </w:rPr>
        <w:t xml:space="preserve">re not below current provider </w:t>
      </w:r>
      <w:proofErr w:type="gramStart"/>
      <w:r w:rsidR="00114197" w:rsidRPr="0051307D">
        <w:rPr>
          <w:rFonts w:ascii="Book Antiqua" w:hAnsi="Book Antiqua"/>
          <w:sz w:val="22"/>
          <w:szCs w:val="22"/>
        </w:rPr>
        <w:t>performance;</w:t>
      </w:r>
      <w:proofErr w:type="gramEnd"/>
    </w:p>
    <w:p w14:paraId="63AA1D60" w14:textId="0199B375" w:rsidR="00114197" w:rsidRPr="0051307D" w:rsidRDefault="008E6627" w:rsidP="00114197">
      <w:pPr>
        <w:pStyle w:val="ListParagraph"/>
        <w:numPr>
          <w:ilvl w:val="0"/>
          <w:numId w:val="36"/>
        </w:numPr>
        <w:spacing w:after="160" w:line="259" w:lineRule="auto"/>
        <w:rPr>
          <w:rFonts w:ascii="Book Antiqua" w:hAnsi="Book Antiqua"/>
          <w:sz w:val="22"/>
          <w:szCs w:val="22"/>
        </w:rPr>
      </w:pPr>
      <w:r>
        <w:rPr>
          <w:rFonts w:ascii="Book Antiqua" w:hAnsi="Book Antiqua"/>
          <w:sz w:val="22"/>
          <w:szCs w:val="22"/>
        </w:rPr>
        <w:t>a</w:t>
      </w:r>
      <w:r w:rsidR="00114197" w:rsidRPr="0051307D">
        <w:rPr>
          <w:rFonts w:ascii="Book Antiqua" w:hAnsi="Book Antiqua"/>
          <w:sz w:val="22"/>
          <w:szCs w:val="22"/>
        </w:rPr>
        <w:t xml:space="preserve">re achievable by the provider organization (achievement benchmarks should not be so far above provider performance as to discourage improvement efforts), and </w:t>
      </w:r>
    </w:p>
    <w:p w14:paraId="1035E39D" w14:textId="375784CB" w:rsidR="00114197" w:rsidRPr="0051307D" w:rsidRDefault="008E6627" w:rsidP="00114197">
      <w:pPr>
        <w:pStyle w:val="ListParagraph"/>
        <w:numPr>
          <w:ilvl w:val="0"/>
          <w:numId w:val="36"/>
        </w:numPr>
        <w:spacing w:after="160" w:line="259" w:lineRule="auto"/>
        <w:rPr>
          <w:rFonts w:ascii="Book Antiqua" w:hAnsi="Book Antiqua"/>
          <w:sz w:val="22"/>
          <w:szCs w:val="22"/>
        </w:rPr>
      </w:pPr>
      <w:r>
        <w:rPr>
          <w:rFonts w:ascii="Book Antiqua" w:hAnsi="Book Antiqua"/>
          <w:sz w:val="22"/>
          <w:szCs w:val="22"/>
        </w:rPr>
        <w:t>r</w:t>
      </w:r>
      <w:r w:rsidR="00114197" w:rsidRPr="0051307D">
        <w:rPr>
          <w:rFonts w:ascii="Book Antiqua" w:hAnsi="Book Antiqua"/>
          <w:sz w:val="22"/>
          <w:szCs w:val="22"/>
        </w:rPr>
        <w:t xml:space="preserve">eflect a reasonable understanding of high performance.  </w:t>
      </w:r>
    </w:p>
    <w:p w14:paraId="7367DC65" w14:textId="03DAA64D" w:rsidR="00F47736" w:rsidRDefault="00114197" w:rsidP="00114197">
      <w:pPr>
        <w:rPr>
          <w:rFonts w:ascii="Book Antiqua" w:hAnsi="Book Antiqua"/>
          <w:b/>
          <w:bCs/>
          <w:sz w:val="22"/>
          <w:szCs w:val="22"/>
        </w:rPr>
      </w:pPr>
      <w:r w:rsidRPr="0051307D">
        <w:rPr>
          <w:rFonts w:ascii="Book Antiqua" w:hAnsi="Book Antiqua"/>
          <w:sz w:val="22"/>
          <w:szCs w:val="22"/>
        </w:rPr>
        <w:t xml:space="preserve">Furthermore, the quality incentive program should not be structured in a way that penalizes providers for caring for populations with higher clinical and/or social risk.  </w:t>
      </w:r>
    </w:p>
    <w:p w14:paraId="105F8DE0" w14:textId="77777777" w:rsidR="00F47736" w:rsidRDefault="00F47736" w:rsidP="00114197">
      <w:pPr>
        <w:rPr>
          <w:rFonts w:ascii="Book Antiqua" w:hAnsi="Book Antiqua"/>
          <w:b/>
          <w:bCs/>
          <w:sz w:val="22"/>
          <w:szCs w:val="22"/>
        </w:rPr>
      </w:pPr>
    </w:p>
    <w:p w14:paraId="394CEEEF" w14:textId="727F1543" w:rsidR="00114197" w:rsidRPr="0051307D" w:rsidRDefault="00114197" w:rsidP="00114197">
      <w:pPr>
        <w:rPr>
          <w:rFonts w:ascii="Book Antiqua" w:hAnsi="Book Antiqua"/>
          <w:b/>
          <w:bCs/>
          <w:sz w:val="22"/>
          <w:szCs w:val="22"/>
        </w:rPr>
      </w:pPr>
      <w:r w:rsidRPr="0051307D">
        <w:rPr>
          <w:rFonts w:ascii="Book Antiqua" w:hAnsi="Book Antiqua"/>
          <w:b/>
          <w:bCs/>
          <w:sz w:val="22"/>
          <w:szCs w:val="22"/>
        </w:rPr>
        <w:t>Adequate Denominators</w:t>
      </w:r>
    </w:p>
    <w:p w14:paraId="57771114" w14:textId="77777777" w:rsidR="00114197" w:rsidRPr="0051307D" w:rsidRDefault="00114197" w:rsidP="00114197">
      <w:pPr>
        <w:rPr>
          <w:rFonts w:ascii="Book Antiqua" w:hAnsi="Book Antiqua"/>
          <w:sz w:val="22"/>
          <w:szCs w:val="22"/>
        </w:rPr>
      </w:pPr>
      <w:r w:rsidRPr="0051307D">
        <w:rPr>
          <w:rFonts w:ascii="Book Antiqua" w:hAnsi="Book Antiqua"/>
          <w:sz w:val="22"/>
          <w:szCs w:val="22"/>
        </w:rPr>
        <w:t>Provider organizations and payers should not use measures in contracts if denominators are too small to report a reliable measurement</w:t>
      </w:r>
      <w:r w:rsidRPr="0051307D">
        <w:rPr>
          <w:rStyle w:val="FootnoteReference"/>
          <w:rFonts w:ascii="Book Antiqua" w:hAnsi="Book Antiqua"/>
          <w:sz w:val="22"/>
          <w:szCs w:val="22"/>
        </w:rPr>
        <w:footnoteReference w:id="3"/>
      </w:r>
      <w:r w:rsidRPr="0051307D">
        <w:rPr>
          <w:rFonts w:ascii="Book Antiqua" w:hAnsi="Book Antiqua"/>
          <w:sz w:val="22"/>
          <w:szCs w:val="22"/>
        </w:rPr>
        <w:t xml:space="preserve">.  To the extent that any Core Measure does not meet minimum denominator size, the insurer may elect to not include the measure when applying a performance incentive and/or disincentive provision in the contract.  </w:t>
      </w:r>
    </w:p>
    <w:p w14:paraId="2A8EA82E" w14:textId="7731EAF2" w:rsidR="0028259B" w:rsidRDefault="0028259B" w:rsidP="00114197">
      <w:pPr>
        <w:rPr>
          <w:rFonts w:ascii="Book Antiqua" w:hAnsi="Book Antiqua"/>
          <w:b/>
          <w:bCs/>
          <w:sz w:val="22"/>
          <w:szCs w:val="22"/>
        </w:rPr>
      </w:pPr>
    </w:p>
    <w:p w14:paraId="55F0D96B" w14:textId="77777777" w:rsidR="00962568" w:rsidRPr="00962568" w:rsidRDefault="00962568" w:rsidP="00962568">
      <w:pPr>
        <w:rPr>
          <w:rFonts w:ascii="Book Antiqua" w:hAnsi="Book Antiqua"/>
          <w:b/>
          <w:bCs/>
          <w:sz w:val="22"/>
          <w:szCs w:val="22"/>
        </w:rPr>
      </w:pPr>
      <w:r w:rsidRPr="00962568">
        <w:rPr>
          <w:rFonts w:ascii="Book Antiqua" w:hAnsi="Book Antiqua"/>
          <w:b/>
          <w:bCs/>
          <w:sz w:val="22"/>
          <w:szCs w:val="22"/>
        </w:rPr>
        <w:t>Total Number of Measures for Use in a Contract</w:t>
      </w:r>
    </w:p>
    <w:p w14:paraId="510F4CA2" w14:textId="46125729" w:rsidR="00962568" w:rsidRPr="00962568" w:rsidRDefault="00962568" w:rsidP="39DC7D7A">
      <w:pPr>
        <w:rPr>
          <w:rFonts w:ascii="Book Antiqua" w:hAnsi="Book Antiqua"/>
          <w:sz w:val="22"/>
          <w:szCs w:val="22"/>
        </w:rPr>
      </w:pPr>
      <w:r w:rsidRPr="39DC7D7A">
        <w:rPr>
          <w:rFonts w:ascii="Book Antiqua" w:hAnsi="Book Antiqua"/>
          <w:sz w:val="22"/>
          <w:szCs w:val="22"/>
        </w:rPr>
        <w:t xml:space="preserve">The Taskforce aims to align the use of quality measures across contracts and to reduce administrative burden on providers.  In pursuit of those aims, the Taskforce recommends that payers and providers limit the number of measures used in any given contract to 15 or fewer (this number excludes hospital measures). </w:t>
      </w:r>
    </w:p>
    <w:sectPr w:rsidR="00962568" w:rsidRPr="00962568" w:rsidSect="00E44C43">
      <w:footerReference w:type="default" r:id="rId17"/>
      <w:type w:val="continuous"/>
      <w:pgSz w:w="12240" w:h="15840"/>
      <w:pgMar w:top="1440" w:right="1440" w:bottom="1440" w:left="1440" w:header="720" w:footer="72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8C142" w14:textId="77777777" w:rsidR="00396F61" w:rsidRDefault="00396F61">
      <w:r>
        <w:separator/>
      </w:r>
    </w:p>
  </w:endnote>
  <w:endnote w:type="continuationSeparator" w:id="0">
    <w:p w14:paraId="51520BEA" w14:textId="77777777" w:rsidR="00396F61" w:rsidRDefault="00396F61">
      <w:r>
        <w:continuationSeparator/>
      </w:r>
    </w:p>
  </w:endnote>
  <w:endnote w:type="continuationNotice" w:id="1">
    <w:p w14:paraId="39763485" w14:textId="77777777" w:rsidR="00396F61" w:rsidRDefault="00396F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3000000" w:usb1="00000000"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 w:name="Myriad Web Pro">
    <w:altName w:val="Corbel"/>
    <w:charset w:val="00"/>
    <w:family w:val="swiss"/>
    <w:pitch w:val="variable"/>
    <w:sig w:usb0="00000001"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54AED" w14:textId="77777777" w:rsidR="00D46350" w:rsidRDefault="00D46350" w:rsidP="00356A49">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12C54AEE" w14:textId="77777777" w:rsidR="00D46350" w:rsidRDefault="00D46350" w:rsidP="004A5472">
    <w:pPr>
      <w:pStyle w:val="Footer"/>
      <w:framePr w:wrap="around" w:vAnchor="text" w:hAnchor="margin" w:xAlign="center" w:y="1"/>
      <w:ind w:right="360" w:firstLine="360"/>
      <w:rPr>
        <w:rStyle w:val="PageNumber"/>
      </w:rPr>
    </w:pPr>
    <w:r>
      <w:rPr>
        <w:rStyle w:val="PageNumber"/>
      </w:rPr>
      <w:fldChar w:fldCharType="begin"/>
    </w:r>
    <w:r>
      <w:rPr>
        <w:rStyle w:val="PageNumber"/>
      </w:rPr>
      <w:instrText xml:space="preserve">PAGE  </w:instrText>
    </w:r>
    <w:r>
      <w:rPr>
        <w:rStyle w:val="PageNumber"/>
      </w:rPr>
      <w:fldChar w:fldCharType="end"/>
    </w:r>
  </w:p>
  <w:p w14:paraId="12C54AEF" w14:textId="77777777" w:rsidR="00D46350" w:rsidRDefault="00D463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54AF0" w14:textId="77777777" w:rsidR="00D46350" w:rsidRDefault="00D46350" w:rsidP="004A5472">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12C54AF1" w14:textId="77777777" w:rsidR="00D46350" w:rsidRPr="004E5DCC" w:rsidRDefault="00D46350" w:rsidP="00F85226">
    <w:pPr>
      <w:pStyle w:val="Footer"/>
      <w:ind w:right="360" w:firstLine="360"/>
      <w:jc w:val="center"/>
      <w:rPr>
        <w:rFonts w:ascii="Myriad Web Pro" w:hAnsi="Myriad Web Pro"/>
        <w:color w:val="25416B"/>
        <w:sz w:val="18"/>
        <w:szCs w:val="2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54AF2" w14:textId="77777777" w:rsidR="00D46350" w:rsidRPr="00AF7C7F" w:rsidRDefault="00D46350" w:rsidP="00AF7C7F">
    <w:pPr>
      <w:pStyle w:val="Footer"/>
      <w:ind w:right="360" w:firstLine="360"/>
      <w:jc w:val="center"/>
      <w:rPr>
        <w:rFonts w:ascii="Myriad Web Pro" w:hAnsi="Myriad Web Pro"/>
        <w:color w:val="25416B"/>
        <w:sz w:val="18"/>
        <w:szCs w:val="2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0301879"/>
      <w:docPartObj>
        <w:docPartGallery w:val="Page Numbers (Bottom of Page)"/>
        <w:docPartUnique/>
      </w:docPartObj>
    </w:sdtPr>
    <w:sdtEndPr>
      <w:rPr>
        <w:noProof/>
      </w:rPr>
    </w:sdtEndPr>
    <w:sdtContent>
      <w:p w14:paraId="12C54AF3" w14:textId="77777777" w:rsidR="00D46350" w:rsidRDefault="00D46350">
        <w:pPr>
          <w:pStyle w:val="Footer"/>
          <w:jc w:val="right"/>
        </w:pPr>
        <w:r>
          <w:fldChar w:fldCharType="begin"/>
        </w:r>
        <w:r>
          <w:instrText xml:space="preserve"> PAGE   \* MERGEFORMAT </w:instrText>
        </w:r>
        <w:r>
          <w:fldChar w:fldCharType="separate"/>
        </w:r>
        <w:r w:rsidR="002A5FF3">
          <w:rPr>
            <w:noProof/>
          </w:rPr>
          <w:t>5</w:t>
        </w:r>
        <w:r>
          <w:rPr>
            <w:noProof/>
          </w:rPr>
          <w:fldChar w:fldCharType="end"/>
        </w:r>
      </w:p>
    </w:sdtContent>
  </w:sdt>
  <w:p w14:paraId="12C54AF4" w14:textId="77777777" w:rsidR="00D46350" w:rsidRDefault="00D46350" w:rsidP="00A14D11">
    <w:pPr>
      <w:pStyle w:val="Footer"/>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E3BF2" w14:textId="77777777" w:rsidR="00396F61" w:rsidRDefault="00396F61">
      <w:r>
        <w:separator/>
      </w:r>
    </w:p>
  </w:footnote>
  <w:footnote w:type="continuationSeparator" w:id="0">
    <w:p w14:paraId="1D2F269B" w14:textId="77777777" w:rsidR="00396F61" w:rsidRDefault="00396F61">
      <w:r>
        <w:continuationSeparator/>
      </w:r>
    </w:p>
  </w:footnote>
  <w:footnote w:type="continuationNotice" w:id="1">
    <w:p w14:paraId="640DAAED" w14:textId="77777777" w:rsidR="00396F61" w:rsidRDefault="00396F61"/>
  </w:footnote>
  <w:footnote w:id="2">
    <w:p w14:paraId="6CD9795C" w14:textId="7C6FB48C" w:rsidR="00A060E3" w:rsidRPr="00A060E3" w:rsidRDefault="00A060E3" w:rsidP="00A060E3">
      <w:pPr>
        <w:rPr>
          <w:rFonts w:ascii="Book Antiqua" w:hAnsi="Book Antiqua"/>
          <w:sz w:val="20"/>
          <w:szCs w:val="20"/>
        </w:rPr>
      </w:pPr>
      <w:r w:rsidRPr="00A060E3">
        <w:rPr>
          <w:rStyle w:val="FootnoteReference"/>
          <w:rFonts w:ascii="Book Antiqua" w:hAnsi="Book Antiqua"/>
          <w:sz w:val="20"/>
          <w:szCs w:val="20"/>
        </w:rPr>
        <w:footnoteRef/>
      </w:r>
      <w:r w:rsidRPr="00A060E3">
        <w:rPr>
          <w:rFonts w:ascii="Book Antiqua" w:hAnsi="Book Antiqua"/>
          <w:sz w:val="20"/>
          <w:szCs w:val="20"/>
        </w:rPr>
        <w:t xml:space="preserve"> Contracts must include, at a minimum, physician services and inpatient and outpatient hospital services.  Contracts could also include services that are not traditionally billed for, such as care management, addressing social determinants of health, behavioral health integration, etc.</w:t>
      </w:r>
    </w:p>
  </w:footnote>
  <w:footnote w:id="3">
    <w:p w14:paraId="0DD70655" w14:textId="69D09518" w:rsidR="00114197" w:rsidRPr="00DD7290" w:rsidRDefault="00114197" w:rsidP="00114197">
      <w:pPr>
        <w:pStyle w:val="FootnoteText"/>
        <w:rPr>
          <w:rFonts w:ascii="Book Antiqua" w:hAnsi="Book Antiqua"/>
        </w:rPr>
      </w:pPr>
      <w:r w:rsidRPr="00DD7290">
        <w:rPr>
          <w:rStyle w:val="FootnoteReference"/>
          <w:rFonts w:ascii="Book Antiqua" w:hAnsi="Book Antiqua"/>
        </w:rPr>
        <w:footnoteRef/>
      </w:r>
      <w:r w:rsidRPr="00DD7290">
        <w:rPr>
          <w:rFonts w:ascii="Book Antiqua" w:hAnsi="Book Antiqua"/>
        </w:rPr>
        <w:t xml:space="preserve"> For this purpose, the NQF definition of reliability of the measure score is used: “Reliability of the measure score refers to the proportion of variation in the performance scores due to systematic differences across the measured entities (or signal) in relation to random error (or noise).” </w:t>
      </w:r>
      <w:hyperlink r:id="rId1" w:history="1">
        <w:r w:rsidR="00E5683A" w:rsidRPr="00EE0752">
          <w:rPr>
            <w:rStyle w:val="Hyperlink"/>
            <w:rFonts w:ascii="Book Antiqua" w:hAnsi="Book Antiqua"/>
          </w:rPr>
          <w:t>www.qualityforum.org/WorkArea/linkit.aspx?LinkIdentifier=id&amp;ItemID=87595</w:t>
        </w:r>
      </w:hyperlink>
      <w:r w:rsidRPr="00DD7290">
        <w:rPr>
          <w:rFonts w:ascii="Book Antiqua" w:hAnsi="Book Antiqua"/>
        </w:rPr>
        <w:t>. Taskforce staff will update this language, as necessary, to reflect any modifications to NQF’s definition of reliability of the measure score.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B9529" w14:textId="77777777" w:rsidR="002F2A22" w:rsidRDefault="002F2A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D7AAB"/>
    <w:multiLevelType w:val="hybridMultilevel"/>
    <w:tmpl w:val="81A63FA0"/>
    <w:lvl w:ilvl="0" w:tplc="61AA16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51189"/>
    <w:multiLevelType w:val="hybridMultilevel"/>
    <w:tmpl w:val="D1FEB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22E36"/>
    <w:multiLevelType w:val="hybridMultilevel"/>
    <w:tmpl w:val="1D56C42A"/>
    <w:lvl w:ilvl="0" w:tplc="BAF2562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317A0"/>
    <w:multiLevelType w:val="hybridMultilevel"/>
    <w:tmpl w:val="784A3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CC59B2"/>
    <w:multiLevelType w:val="hybridMultilevel"/>
    <w:tmpl w:val="AFB67DE4"/>
    <w:lvl w:ilvl="0" w:tplc="9C86346A">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461B8"/>
    <w:multiLevelType w:val="hybridMultilevel"/>
    <w:tmpl w:val="279624D2"/>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0D70337F"/>
    <w:multiLevelType w:val="hybridMultilevel"/>
    <w:tmpl w:val="7A466464"/>
    <w:lvl w:ilvl="0" w:tplc="CD70B966">
      <w:start w:val="1"/>
      <w:numFmt w:val="decimal"/>
      <w:lvlText w:val="%1."/>
      <w:lvlJc w:val="left"/>
      <w:pPr>
        <w:tabs>
          <w:tab w:val="num" w:pos="720"/>
        </w:tabs>
        <w:ind w:left="720" w:hanging="360"/>
      </w:pPr>
    </w:lvl>
    <w:lvl w:ilvl="1" w:tplc="2C40F97E" w:tentative="1">
      <w:start w:val="1"/>
      <w:numFmt w:val="decimal"/>
      <w:lvlText w:val="%2."/>
      <w:lvlJc w:val="left"/>
      <w:pPr>
        <w:tabs>
          <w:tab w:val="num" w:pos="1440"/>
        </w:tabs>
        <w:ind w:left="1440" w:hanging="360"/>
      </w:pPr>
    </w:lvl>
    <w:lvl w:ilvl="2" w:tplc="EF0E7DF0" w:tentative="1">
      <w:start w:val="1"/>
      <w:numFmt w:val="decimal"/>
      <w:lvlText w:val="%3."/>
      <w:lvlJc w:val="left"/>
      <w:pPr>
        <w:tabs>
          <w:tab w:val="num" w:pos="2160"/>
        </w:tabs>
        <w:ind w:left="2160" w:hanging="360"/>
      </w:pPr>
    </w:lvl>
    <w:lvl w:ilvl="3" w:tplc="06C07620" w:tentative="1">
      <w:start w:val="1"/>
      <w:numFmt w:val="decimal"/>
      <w:lvlText w:val="%4."/>
      <w:lvlJc w:val="left"/>
      <w:pPr>
        <w:tabs>
          <w:tab w:val="num" w:pos="2880"/>
        </w:tabs>
        <w:ind w:left="2880" w:hanging="360"/>
      </w:pPr>
    </w:lvl>
    <w:lvl w:ilvl="4" w:tplc="150008C0" w:tentative="1">
      <w:start w:val="1"/>
      <w:numFmt w:val="decimal"/>
      <w:lvlText w:val="%5."/>
      <w:lvlJc w:val="left"/>
      <w:pPr>
        <w:tabs>
          <w:tab w:val="num" w:pos="3600"/>
        </w:tabs>
        <w:ind w:left="3600" w:hanging="360"/>
      </w:pPr>
    </w:lvl>
    <w:lvl w:ilvl="5" w:tplc="F1F4C488" w:tentative="1">
      <w:start w:val="1"/>
      <w:numFmt w:val="decimal"/>
      <w:lvlText w:val="%6."/>
      <w:lvlJc w:val="left"/>
      <w:pPr>
        <w:tabs>
          <w:tab w:val="num" w:pos="4320"/>
        </w:tabs>
        <w:ind w:left="4320" w:hanging="360"/>
      </w:pPr>
    </w:lvl>
    <w:lvl w:ilvl="6" w:tplc="4A646FB2" w:tentative="1">
      <w:start w:val="1"/>
      <w:numFmt w:val="decimal"/>
      <w:lvlText w:val="%7."/>
      <w:lvlJc w:val="left"/>
      <w:pPr>
        <w:tabs>
          <w:tab w:val="num" w:pos="5040"/>
        </w:tabs>
        <w:ind w:left="5040" w:hanging="360"/>
      </w:pPr>
    </w:lvl>
    <w:lvl w:ilvl="7" w:tplc="8F82D58E" w:tentative="1">
      <w:start w:val="1"/>
      <w:numFmt w:val="decimal"/>
      <w:lvlText w:val="%8."/>
      <w:lvlJc w:val="left"/>
      <w:pPr>
        <w:tabs>
          <w:tab w:val="num" w:pos="5760"/>
        </w:tabs>
        <w:ind w:left="5760" w:hanging="360"/>
      </w:pPr>
    </w:lvl>
    <w:lvl w:ilvl="8" w:tplc="3E5E129C" w:tentative="1">
      <w:start w:val="1"/>
      <w:numFmt w:val="decimal"/>
      <w:lvlText w:val="%9."/>
      <w:lvlJc w:val="left"/>
      <w:pPr>
        <w:tabs>
          <w:tab w:val="num" w:pos="6480"/>
        </w:tabs>
        <w:ind w:left="6480" w:hanging="360"/>
      </w:pPr>
    </w:lvl>
  </w:abstractNum>
  <w:abstractNum w:abstractNumId="7" w15:restartNumberingAfterBreak="0">
    <w:nsid w:val="0DB75C0C"/>
    <w:multiLevelType w:val="hybridMultilevel"/>
    <w:tmpl w:val="783287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083A6C"/>
    <w:multiLevelType w:val="hybridMultilevel"/>
    <w:tmpl w:val="EDDEE678"/>
    <w:lvl w:ilvl="0" w:tplc="4D2CEA3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9035ED"/>
    <w:multiLevelType w:val="hybridMultilevel"/>
    <w:tmpl w:val="6B82CCBA"/>
    <w:lvl w:ilvl="0" w:tplc="BAF2562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034245"/>
    <w:multiLevelType w:val="hybridMultilevel"/>
    <w:tmpl w:val="4A643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7B7251"/>
    <w:multiLevelType w:val="hybridMultilevel"/>
    <w:tmpl w:val="A61AB8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432EF8"/>
    <w:multiLevelType w:val="hybridMultilevel"/>
    <w:tmpl w:val="9F16A486"/>
    <w:lvl w:ilvl="0" w:tplc="47E8FC3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2D1551"/>
    <w:multiLevelType w:val="hybridMultilevel"/>
    <w:tmpl w:val="176CF43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50F7B3A"/>
    <w:multiLevelType w:val="hybridMultilevel"/>
    <w:tmpl w:val="7528DF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7895F98"/>
    <w:multiLevelType w:val="hybridMultilevel"/>
    <w:tmpl w:val="96F6D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DF1878"/>
    <w:multiLevelType w:val="hybridMultilevel"/>
    <w:tmpl w:val="4A843512"/>
    <w:lvl w:ilvl="0" w:tplc="9C86346A">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927000"/>
    <w:multiLevelType w:val="hybridMultilevel"/>
    <w:tmpl w:val="F1EA4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9D59BD"/>
    <w:multiLevelType w:val="hybridMultilevel"/>
    <w:tmpl w:val="E2380B9C"/>
    <w:lvl w:ilvl="0" w:tplc="E4C27EDE">
      <w:start w:val="1"/>
      <w:numFmt w:val="decimal"/>
      <w:lvlText w:val="%1."/>
      <w:lvlJc w:val="left"/>
      <w:pPr>
        <w:tabs>
          <w:tab w:val="num" w:pos="720"/>
        </w:tabs>
        <w:ind w:left="720" w:hanging="360"/>
      </w:pPr>
    </w:lvl>
    <w:lvl w:ilvl="1" w:tplc="944CB302">
      <w:start w:val="1"/>
      <w:numFmt w:val="decimal"/>
      <w:lvlText w:val="%2."/>
      <w:lvlJc w:val="left"/>
      <w:pPr>
        <w:tabs>
          <w:tab w:val="num" w:pos="1440"/>
        </w:tabs>
        <w:ind w:left="1440" w:hanging="360"/>
      </w:pPr>
    </w:lvl>
    <w:lvl w:ilvl="2" w:tplc="CEE0FEB8" w:tentative="1">
      <w:start w:val="1"/>
      <w:numFmt w:val="decimal"/>
      <w:lvlText w:val="%3."/>
      <w:lvlJc w:val="left"/>
      <w:pPr>
        <w:tabs>
          <w:tab w:val="num" w:pos="2160"/>
        </w:tabs>
        <w:ind w:left="2160" w:hanging="360"/>
      </w:pPr>
    </w:lvl>
    <w:lvl w:ilvl="3" w:tplc="9B3A9F26" w:tentative="1">
      <w:start w:val="1"/>
      <w:numFmt w:val="decimal"/>
      <w:lvlText w:val="%4."/>
      <w:lvlJc w:val="left"/>
      <w:pPr>
        <w:tabs>
          <w:tab w:val="num" w:pos="2880"/>
        </w:tabs>
        <w:ind w:left="2880" w:hanging="360"/>
      </w:pPr>
    </w:lvl>
    <w:lvl w:ilvl="4" w:tplc="E6B8A8E4" w:tentative="1">
      <w:start w:val="1"/>
      <w:numFmt w:val="decimal"/>
      <w:lvlText w:val="%5."/>
      <w:lvlJc w:val="left"/>
      <w:pPr>
        <w:tabs>
          <w:tab w:val="num" w:pos="3600"/>
        </w:tabs>
        <w:ind w:left="3600" w:hanging="360"/>
      </w:pPr>
    </w:lvl>
    <w:lvl w:ilvl="5" w:tplc="C302C312" w:tentative="1">
      <w:start w:val="1"/>
      <w:numFmt w:val="decimal"/>
      <w:lvlText w:val="%6."/>
      <w:lvlJc w:val="left"/>
      <w:pPr>
        <w:tabs>
          <w:tab w:val="num" w:pos="4320"/>
        </w:tabs>
        <w:ind w:left="4320" w:hanging="360"/>
      </w:pPr>
    </w:lvl>
    <w:lvl w:ilvl="6" w:tplc="FAA8971E" w:tentative="1">
      <w:start w:val="1"/>
      <w:numFmt w:val="decimal"/>
      <w:lvlText w:val="%7."/>
      <w:lvlJc w:val="left"/>
      <w:pPr>
        <w:tabs>
          <w:tab w:val="num" w:pos="5040"/>
        </w:tabs>
        <w:ind w:left="5040" w:hanging="360"/>
      </w:pPr>
    </w:lvl>
    <w:lvl w:ilvl="7" w:tplc="EF1E07C4" w:tentative="1">
      <w:start w:val="1"/>
      <w:numFmt w:val="decimal"/>
      <w:lvlText w:val="%8."/>
      <w:lvlJc w:val="left"/>
      <w:pPr>
        <w:tabs>
          <w:tab w:val="num" w:pos="5760"/>
        </w:tabs>
        <w:ind w:left="5760" w:hanging="360"/>
      </w:pPr>
    </w:lvl>
    <w:lvl w:ilvl="8" w:tplc="3328D950" w:tentative="1">
      <w:start w:val="1"/>
      <w:numFmt w:val="decimal"/>
      <w:lvlText w:val="%9."/>
      <w:lvlJc w:val="left"/>
      <w:pPr>
        <w:tabs>
          <w:tab w:val="num" w:pos="6480"/>
        </w:tabs>
        <w:ind w:left="6480" w:hanging="360"/>
      </w:pPr>
    </w:lvl>
  </w:abstractNum>
  <w:abstractNum w:abstractNumId="19" w15:restartNumberingAfterBreak="0">
    <w:nsid w:val="302D5FBF"/>
    <w:multiLevelType w:val="hybridMultilevel"/>
    <w:tmpl w:val="9C58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FE3E9C"/>
    <w:multiLevelType w:val="hybridMultilevel"/>
    <w:tmpl w:val="5FFA7B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3EE6101"/>
    <w:multiLevelType w:val="hybridMultilevel"/>
    <w:tmpl w:val="412A6F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4F42973"/>
    <w:multiLevelType w:val="hybridMultilevel"/>
    <w:tmpl w:val="C0B8FC7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15:restartNumberingAfterBreak="0">
    <w:nsid w:val="3500798F"/>
    <w:multiLevelType w:val="hybridMultilevel"/>
    <w:tmpl w:val="0ABABB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A61783"/>
    <w:multiLevelType w:val="hybridMultilevel"/>
    <w:tmpl w:val="6B82CCBA"/>
    <w:lvl w:ilvl="0" w:tplc="BAF2562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C95FDB"/>
    <w:multiLevelType w:val="hybridMultilevel"/>
    <w:tmpl w:val="9C5CE7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D862F8"/>
    <w:multiLevelType w:val="hybridMultilevel"/>
    <w:tmpl w:val="17EC37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45B14B85"/>
    <w:multiLevelType w:val="hybridMultilevel"/>
    <w:tmpl w:val="6B82CCBA"/>
    <w:lvl w:ilvl="0" w:tplc="BAF2562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12727B"/>
    <w:multiLevelType w:val="hybridMultilevel"/>
    <w:tmpl w:val="B0760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274422"/>
    <w:multiLevelType w:val="hybridMultilevel"/>
    <w:tmpl w:val="0FE63A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3D7F0A"/>
    <w:multiLevelType w:val="hybridMultilevel"/>
    <w:tmpl w:val="E23217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46718F"/>
    <w:multiLevelType w:val="hybridMultilevel"/>
    <w:tmpl w:val="8FA2A1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771CCE"/>
    <w:multiLevelType w:val="hybridMultilevel"/>
    <w:tmpl w:val="9A82D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934454"/>
    <w:multiLevelType w:val="hybridMultilevel"/>
    <w:tmpl w:val="6B82CCBA"/>
    <w:lvl w:ilvl="0" w:tplc="BAF2562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0416B6"/>
    <w:multiLevelType w:val="hybridMultilevel"/>
    <w:tmpl w:val="E1260D42"/>
    <w:lvl w:ilvl="0" w:tplc="F4E20D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BF30CE"/>
    <w:multiLevelType w:val="hybridMultilevel"/>
    <w:tmpl w:val="19C62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3F4730"/>
    <w:multiLevelType w:val="hybridMultilevel"/>
    <w:tmpl w:val="8D30F3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F9315A"/>
    <w:multiLevelType w:val="hybridMultilevel"/>
    <w:tmpl w:val="2C10B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0167B0"/>
    <w:multiLevelType w:val="hybridMultilevel"/>
    <w:tmpl w:val="530EC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AC05C7"/>
    <w:multiLevelType w:val="hybridMultilevel"/>
    <w:tmpl w:val="AA0E5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05408B"/>
    <w:multiLevelType w:val="hybridMultilevel"/>
    <w:tmpl w:val="E23217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1A5711"/>
    <w:multiLevelType w:val="hybridMultilevel"/>
    <w:tmpl w:val="5AE21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D64833"/>
    <w:multiLevelType w:val="hybridMultilevel"/>
    <w:tmpl w:val="9C12FD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72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59C0A5AA">
      <w:start w:val="2"/>
      <w:numFmt w:val="bullet"/>
      <w:lvlText w:val="•"/>
      <w:lvlJc w:val="left"/>
      <w:pPr>
        <w:ind w:left="5400" w:hanging="720"/>
      </w:pPr>
      <w:rPr>
        <w:rFonts w:ascii="Book Antiqua" w:eastAsiaTheme="minorHAnsi" w:hAnsi="Book Antiqua" w:cstheme="minorBidi"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344765"/>
    <w:multiLevelType w:val="hybridMultilevel"/>
    <w:tmpl w:val="69CC1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1F661F"/>
    <w:multiLevelType w:val="hybridMultilevel"/>
    <w:tmpl w:val="09B48F2E"/>
    <w:lvl w:ilvl="0" w:tplc="40E4F472">
      <w:start w:val="1"/>
      <w:numFmt w:val="decimal"/>
      <w:lvlText w:val="%1."/>
      <w:lvlJc w:val="left"/>
      <w:pPr>
        <w:tabs>
          <w:tab w:val="num" w:pos="720"/>
        </w:tabs>
        <w:ind w:left="720" w:hanging="360"/>
      </w:pPr>
    </w:lvl>
    <w:lvl w:ilvl="1" w:tplc="83525230">
      <w:start w:val="1"/>
      <w:numFmt w:val="decimal"/>
      <w:lvlText w:val="%2."/>
      <w:lvlJc w:val="left"/>
      <w:pPr>
        <w:tabs>
          <w:tab w:val="num" w:pos="1440"/>
        </w:tabs>
        <w:ind w:left="1440" w:hanging="360"/>
      </w:pPr>
    </w:lvl>
    <w:lvl w:ilvl="2" w:tplc="653AF00E" w:tentative="1">
      <w:start w:val="1"/>
      <w:numFmt w:val="decimal"/>
      <w:lvlText w:val="%3."/>
      <w:lvlJc w:val="left"/>
      <w:pPr>
        <w:tabs>
          <w:tab w:val="num" w:pos="2160"/>
        </w:tabs>
        <w:ind w:left="2160" w:hanging="360"/>
      </w:pPr>
    </w:lvl>
    <w:lvl w:ilvl="3" w:tplc="D1B6F228" w:tentative="1">
      <w:start w:val="1"/>
      <w:numFmt w:val="decimal"/>
      <w:lvlText w:val="%4."/>
      <w:lvlJc w:val="left"/>
      <w:pPr>
        <w:tabs>
          <w:tab w:val="num" w:pos="2880"/>
        </w:tabs>
        <w:ind w:left="2880" w:hanging="360"/>
      </w:pPr>
    </w:lvl>
    <w:lvl w:ilvl="4" w:tplc="7C229508" w:tentative="1">
      <w:start w:val="1"/>
      <w:numFmt w:val="decimal"/>
      <w:lvlText w:val="%5."/>
      <w:lvlJc w:val="left"/>
      <w:pPr>
        <w:tabs>
          <w:tab w:val="num" w:pos="3600"/>
        </w:tabs>
        <w:ind w:left="3600" w:hanging="360"/>
      </w:pPr>
    </w:lvl>
    <w:lvl w:ilvl="5" w:tplc="C0609C3E" w:tentative="1">
      <w:start w:val="1"/>
      <w:numFmt w:val="decimal"/>
      <w:lvlText w:val="%6."/>
      <w:lvlJc w:val="left"/>
      <w:pPr>
        <w:tabs>
          <w:tab w:val="num" w:pos="4320"/>
        </w:tabs>
        <w:ind w:left="4320" w:hanging="360"/>
      </w:pPr>
    </w:lvl>
    <w:lvl w:ilvl="6" w:tplc="A17A4194" w:tentative="1">
      <w:start w:val="1"/>
      <w:numFmt w:val="decimal"/>
      <w:lvlText w:val="%7."/>
      <w:lvlJc w:val="left"/>
      <w:pPr>
        <w:tabs>
          <w:tab w:val="num" w:pos="5040"/>
        </w:tabs>
        <w:ind w:left="5040" w:hanging="360"/>
      </w:pPr>
    </w:lvl>
    <w:lvl w:ilvl="7" w:tplc="3664F48C" w:tentative="1">
      <w:start w:val="1"/>
      <w:numFmt w:val="decimal"/>
      <w:lvlText w:val="%8."/>
      <w:lvlJc w:val="left"/>
      <w:pPr>
        <w:tabs>
          <w:tab w:val="num" w:pos="5760"/>
        </w:tabs>
        <w:ind w:left="5760" w:hanging="360"/>
      </w:pPr>
    </w:lvl>
    <w:lvl w:ilvl="8" w:tplc="2BC21836" w:tentative="1">
      <w:start w:val="1"/>
      <w:numFmt w:val="decimal"/>
      <w:lvlText w:val="%9."/>
      <w:lvlJc w:val="left"/>
      <w:pPr>
        <w:tabs>
          <w:tab w:val="num" w:pos="6480"/>
        </w:tabs>
        <w:ind w:left="6480" w:hanging="360"/>
      </w:pPr>
    </w:lvl>
  </w:abstractNum>
  <w:abstractNum w:abstractNumId="45" w15:restartNumberingAfterBreak="0">
    <w:nsid w:val="7F7C7C7D"/>
    <w:multiLevelType w:val="hybridMultilevel"/>
    <w:tmpl w:val="70B07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7305236">
    <w:abstractNumId w:val="16"/>
  </w:num>
  <w:num w:numId="2" w16cid:durableId="243153764">
    <w:abstractNumId w:val="4"/>
  </w:num>
  <w:num w:numId="3" w16cid:durableId="174198522">
    <w:abstractNumId w:val="27"/>
  </w:num>
  <w:num w:numId="4" w16cid:durableId="1425954185">
    <w:abstractNumId w:val="37"/>
  </w:num>
  <w:num w:numId="5" w16cid:durableId="2092386437">
    <w:abstractNumId w:val="9"/>
  </w:num>
  <w:num w:numId="6" w16cid:durableId="1501580000">
    <w:abstractNumId w:val="24"/>
  </w:num>
  <w:num w:numId="7" w16cid:durableId="1178425616">
    <w:abstractNumId w:val="28"/>
  </w:num>
  <w:num w:numId="8" w16cid:durableId="1572622639">
    <w:abstractNumId w:val="25"/>
  </w:num>
  <w:num w:numId="9" w16cid:durableId="421534789">
    <w:abstractNumId w:val="2"/>
  </w:num>
  <w:num w:numId="10" w16cid:durableId="589436800">
    <w:abstractNumId w:val="33"/>
  </w:num>
  <w:num w:numId="11" w16cid:durableId="1663973359">
    <w:abstractNumId w:val="21"/>
  </w:num>
  <w:num w:numId="12" w16cid:durableId="974528644">
    <w:abstractNumId w:val="41"/>
  </w:num>
  <w:num w:numId="13" w16cid:durableId="389037507">
    <w:abstractNumId w:val="34"/>
  </w:num>
  <w:num w:numId="14" w16cid:durableId="1456482333">
    <w:abstractNumId w:val="29"/>
  </w:num>
  <w:num w:numId="15" w16cid:durableId="1058942359">
    <w:abstractNumId w:val="14"/>
  </w:num>
  <w:num w:numId="16" w16cid:durableId="242423046">
    <w:abstractNumId w:val="13"/>
  </w:num>
  <w:num w:numId="17" w16cid:durableId="109711548">
    <w:abstractNumId w:val="22"/>
  </w:num>
  <w:num w:numId="18" w16cid:durableId="1429934793">
    <w:abstractNumId w:val="5"/>
  </w:num>
  <w:num w:numId="19" w16cid:durableId="2018000874">
    <w:abstractNumId w:val="19"/>
  </w:num>
  <w:num w:numId="20" w16cid:durableId="1322193394">
    <w:abstractNumId w:val="7"/>
  </w:num>
  <w:num w:numId="21" w16cid:durableId="589629106">
    <w:abstractNumId w:val="23"/>
  </w:num>
  <w:num w:numId="22" w16cid:durableId="1842813286">
    <w:abstractNumId w:val="42"/>
  </w:num>
  <w:num w:numId="23" w16cid:durableId="1102726184">
    <w:abstractNumId w:val="39"/>
  </w:num>
  <w:num w:numId="24" w16cid:durableId="406995431">
    <w:abstractNumId w:val="32"/>
  </w:num>
  <w:num w:numId="25" w16cid:durableId="506097260">
    <w:abstractNumId w:val="10"/>
  </w:num>
  <w:num w:numId="26" w16cid:durableId="1462113535">
    <w:abstractNumId w:val="11"/>
  </w:num>
  <w:num w:numId="27" w16cid:durableId="743068855">
    <w:abstractNumId w:val="1"/>
  </w:num>
  <w:num w:numId="28" w16cid:durableId="861358416">
    <w:abstractNumId w:val="36"/>
  </w:num>
  <w:num w:numId="29" w16cid:durableId="1372808530">
    <w:abstractNumId w:val="8"/>
  </w:num>
  <w:num w:numId="30" w16cid:durableId="1271275766">
    <w:abstractNumId w:val="15"/>
  </w:num>
  <w:num w:numId="31" w16cid:durableId="230434110">
    <w:abstractNumId w:val="20"/>
  </w:num>
  <w:num w:numId="32" w16cid:durableId="12919722">
    <w:abstractNumId w:val="6"/>
  </w:num>
  <w:num w:numId="33" w16cid:durableId="2136949859">
    <w:abstractNumId w:val="18"/>
  </w:num>
  <w:num w:numId="34" w16cid:durableId="1918902206">
    <w:abstractNumId w:val="40"/>
  </w:num>
  <w:num w:numId="35" w16cid:durableId="1874222337">
    <w:abstractNumId w:val="30"/>
  </w:num>
  <w:num w:numId="36" w16cid:durableId="1594970746">
    <w:abstractNumId w:val="43"/>
  </w:num>
  <w:num w:numId="37" w16cid:durableId="1528056087">
    <w:abstractNumId w:val="26"/>
  </w:num>
  <w:num w:numId="38" w16cid:durableId="1039478494">
    <w:abstractNumId w:val="38"/>
  </w:num>
  <w:num w:numId="39" w16cid:durableId="1974289504">
    <w:abstractNumId w:val="12"/>
  </w:num>
  <w:num w:numId="40" w16cid:durableId="2050647404">
    <w:abstractNumId w:val="35"/>
  </w:num>
  <w:num w:numId="41" w16cid:durableId="1814326600">
    <w:abstractNumId w:val="3"/>
  </w:num>
  <w:num w:numId="42" w16cid:durableId="106052020">
    <w:abstractNumId w:val="17"/>
  </w:num>
  <w:num w:numId="43" w16cid:durableId="1633710734">
    <w:abstractNumId w:val="45"/>
  </w:num>
  <w:num w:numId="44" w16cid:durableId="1379547030">
    <w:abstractNumId w:val="31"/>
  </w:num>
  <w:num w:numId="45" w16cid:durableId="529489999">
    <w:abstractNumId w:val="44"/>
  </w:num>
  <w:num w:numId="46" w16cid:durableId="202342986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25416b,#609ed1,#e0dad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9F5"/>
    <w:rsid w:val="00000459"/>
    <w:rsid w:val="00002134"/>
    <w:rsid w:val="00002B88"/>
    <w:rsid w:val="00005671"/>
    <w:rsid w:val="00011698"/>
    <w:rsid w:val="00012C8F"/>
    <w:rsid w:val="000169AC"/>
    <w:rsid w:val="00021902"/>
    <w:rsid w:val="00023208"/>
    <w:rsid w:val="00023222"/>
    <w:rsid w:val="0002525A"/>
    <w:rsid w:val="00027815"/>
    <w:rsid w:val="000310E2"/>
    <w:rsid w:val="00031B1E"/>
    <w:rsid w:val="00032BCF"/>
    <w:rsid w:val="00032E67"/>
    <w:rsid w:val="00035EBC"/>
    <w:rsid w:val="0004007A"/>
    <w:rsid w:val="00040B47"/>
    <w:rsid w:val="0004134F"/>
    <w:rsid w:val="00041A51"/>
    <w:rsid w:val="00045188"/>
    <w:rsid w:val="0004556B"/>
    <w:rsid w:val="0005114D"/>
    <w:rsid w:val="000522F8"/>
    <w:rsid w:val="0006091E"/>
    <w:rsid w:val="00060C51"/>
    <w:rsid w:val="00061744"/>
    <w:rsid w:val="00061AD1"/>
    <w:rsid w:val="00061F2B"/>
    <w:rsid w:val="000637BC"/>
    <w:rsid w:val="00063AAF"/>
    <w:rsid w:val="0006513B"/>
    <w:rsid w:val="00065F61"/>
    <w:rsid w:val="0006624A"/>
    <w:rsid w:val="00066D89"/>
    <w:rsid w:val="0007057C"/>
    <w:rsid w:val="00071246"/>
    <w:rsid w:val="0007221D"/>
    <w:rsid w:val="000767A3"/>
    <w:rsid w:val="00077BFD"/>
    <w:rsid w:val="00081EF6"/>
    <w:rsid w:val="00082895"/>
    <w:rsid w:val="00082DA4"/>
    <w:rsid w:val="00086925"/>
    <w:rsid w:val="00090B1D"/>
    <w:rsid w:val="000943A0"/>
    <w:rsid w:val="00094D98"/>
    <w:rsid w:val="00094DF5"/>
    <w:rsid w:val="00095052"/>
    <w:rsid w:val="00095C41"/>
    <w:rsid w:val="0009689B"/>
    <w:rsid w:val="0009796E"/>
    <w:rsid w:val="000A01E9"/>
    <w:rsid w:val="000A0BAA"/>
    <w:rsid w:val="000A4921"/>
    <w:rsid w:val="000A65E4"/>
    <w:rsid w:val="000A79C9"/>
    <w:rsid w:val="000A79FE"/>
    <w:rsid w:val="000B4364"/>
    <w:rsid w:val="000B439A"/>
    <w:rsid w:val="000B62F6"/>
    <w:rsid w:val="000B6623"/>
    <w:rsid w:val="000B6A9E"/>
    <w:rsid w:val="000B6D14"/>
    <w:rsid w:val="000B7229"/>
    <w:rsid w:val="000C1C95"/>
    <w:rsid w:val="000C3C13"/>
    <w:rsid w:val="000C7AD5"/>
    <w:rsid w:val="000C7BB7"/>
    <w:rsid w:val="000D0EF9"/>
    <w:rsid w:val="000D22F1"/>
    <w:rsid w:val="000D2494"/>
    <w:rsid w:val="000D6DAD"/>
    <w:rsid w:val="000E05E4"/>
    <w:rsid w:val="000E170B"/>
    <w:rsid w:val="000E2879"/>
    <w:rsid w:val="000E3127"/>
    <w:rsid w:val="000E6F1B"/>
    <w:rsid w:val="000F0232"/>
    <w:rsid w:val="000F19FF"/>
    <w:rsid w:val="000F2D38"/>
    <w:rsid w:val="000F36A7"/>
    <w:rsid w:val="000F4F01"/>
    <w:rsid w:val="000F52C3"/>
    <w:rsid w:val="000F53AD"/>
    <w:rsid w:val="000F57B9"/>
    <w:rsid w:val="000F5F47"/>
    <w:rsid w:val="000F7FDA"/>
    <w:rsid w:val="00100D39"/>
    <w:rsid w:val="00103C97"/>
    <w:rsid w:val="00103DF6"/>
    <w:rsid w:val="00104747"/>
    <w:rsid w:val="00105164"/>
    <w:rsid w:val="00107A76"/>
    <w:rsid w:val="00110D09"/>
    <w:rsid w:val="00110D48"/>
    <w:rsid w:val="00111121"/>
    <w:rsid w:val="001119CF"/>
    <w:rsid w:val="001136D2"/>
    <w:rsid w:val="00113D66"/>
    <w:rsid w:val="00114197"/>
    <w:rsid w:val="00114CB6"/>
    <w:rsid w:val="00122E46"/>
    <w:rsid w:val="001248FA"/>
    <w:rsid w:val="00125471"/>
    <w:rsid w:val="00127506"/>
    <w:rsid w:val="0013137F"/>
    <w:rsid w:val="0013220C"/>
    <w:rsid w:val="001322E9"/>
    <w:rsid w:val="0013524A"/>
    <w:rsid w:val="001369FF"/>
    <w:rsid w:val="00136CF5"/>
    <w:rsid w:val="00141738"/>
    <w:rsid w:val="0014341B"/>
    <w:rsid w:val="00143643"/>
    <w:rsid w:val="00143824"/>
    <w:rsid w:val="00144151"/>
    <w:rsid w:val="00145677"/>
    <w:rsid w:val="00145B03"/>
    <w:rsid w:val="001465C6"/>
    <w:rsid w:val="001509F1"/>
    <w:rsid w:val="00155E4B"/>
    <w:rsid w:val="00160970"/>
    <w:rsid w:val="001612BA"/>
    <w:rsid w:val="00164AC9"/>
    <w:rsid w:val="00167C8C"/>
    <w:rsid w:val="00171774"/>
    <w:rsid w:val="00172C73"/>
    <w:rsid w:val="0017338D"/>
    <w:rsid w:val="00173A02"/>
    <w:rsid w:val="001763D6"/>
    <w:rsid w:val="00176927"/>
    <w:rsid w:val="00177773"/>
    <w:rsid w:val="0018163A"/>
    <w:rsid w:val="00182108"/>
    <w:rsid w:val="00185BFA"/>
    <w:rsid w:val="001860D4"/>
    <w:rsid w:val="001863A2"/>
    <w:rsid w:val="00191EEB"/>
    <w:rsid w:val="0019281A"/>
    <w:rsid w:val="00192A0D"/>
    <w:rsid w:val="001944CD"/>
    <w:rsid w:val="001947BE"/>
    <w:rsid w:val="001947EE"/>
    <w:rsid w:val="00195081"/>
    <w:rsid w:val="00195486"/>
    <w:rsid w:val="001964E5"/>
    <w:rsid w:val="0019724A"/>
    <w:rsid w:val="001A1B86"/>
    <w:rsid w:val="001A3526"/>
    <w:rsid w:val="001A6647"/>
    <w:rsid w:val="001A7762"/>
    <w:rsid w:val="001B0085"/>
    <w:rsid w:val="001B0E30"/>
    <w:rsid w:val="001B2956"/>
    <w:rsid w:val="001B30D1"/>
    <w:rsid w:val="001B3CDA"/>
    <w:rsid w:val="001B538D"/>
    <w:rsid w:val="001C1492"/>
    <w:rsid w:val="001C17A0"/>
    <w:rsid w:val="001C18FB"/>
    <w:rsid w:val="001C3941"/>
    <w:rsid w:val="001C5503"/>
    <w:rsid w:val="001C55DE"/>
    <w:rsid w:val="001C5FE2"/>
    <w:rsid w:val="001D012E"/>
    <w:rsid w:val="001D4355"/>
    <w:rsid w:val="001D4F2C"/>
    <w:rsid w:val="001D7920"/>
    <w:rsid w:val="001E0190"/>
    <w:rsid w:val="001E2DE2"/>
    <w:rsid w:val="001E39DE"/>
    <w:rsid w:val="001E700F"/>
    <w:rsid w:val="001E71BA"/>
    <w:rsid w:val="001E76D2"/>
    <w:rsid w:val="001F05E2"/>
    <w:rsid w:val="001F10BB"/>
    <w:rsid w:val="001F15BA"/>
    <w:rsid w:val="001F1F48"/>
    <w:rsid w:val="001F228E"/>
    <w:rsid w:val="001F3DB8"/>
    <w:rsid w:val="001F562A"/>
    <w:rsid w:val="001F58DA"/>
    <w:rsid w:val="001F6FE3"/>
    <w:rsid w:val="002025B0"/>
    <w:rsid w:val="00206047"/>
    <w:rsid w:val="002062B6"/>
    <w:rsid w:val="00206EA7"/>
    <w:rsid w:val="00213F1A"/>
    <w:rsid w:val="002164BA"/>
    <w:rsid w:val="00217F8B"/>
    <w:rsid w:val="0022348F"/>
    <w:rsid w:val="0022389D"/>
    <w:rsid w:val="00224BF6"/>
    <w:rsid w:val="00227D76"/>
    <w:rsid w:val="00230647"/>
    <w:rsid w:val="002311C5"/>
    <w:rsid w:val="00231E0E"/>
    <w:rsid w:val="00232566"/>
    <w:rsid w:val="002340D8"/>
    <w:rsid w:val="00235E4C"/>
    <w:rsid w:val="00240873"/>
    <w:rsid w:val="0024269B"/>
    <w:rsid w:val="00243202"/>
    <w:rsid w:val="002440F1"/>
    <w:rsid w:val="00246B15"/>
    <w:rsid w:val="0024799F"/>
    <w:rsid w:val="002504BD"/>
    <w:rsid w:val="00250676"/>
    <w:rsid w:val="002514E1"/>
    <w:rsid w:val="002530AD"/>
    <w:rsid w:val="00254A82"/>
    <w:rsid w:val="00256EC7"/>
    <w:rsid w:val="00260D35"/>
    <w:rsid w:val="00261A80"/>
    <w:rsid w:val="00262E1D"/>
    <w:rsid w:val="002717E1"/>
    <w:rsid w:val="00271E7A"/>
    <w:rsid w:val="00272EC6"/>
    <w:rsid w:val="002735DE"/>
    <w:rsid w:val="002743C6"/>
    <w:rsid w:val="002774D1"/>
    <w:rsid w:val="0028259B"/>
    <w:rsid w:val="00282A65"/>
    <w:rsid w:val="0029099B"/>
    <w:rsid w:val="0029171E"/>
    <w:rsid w:val="0029202F"/>
    <w:rsid w:val="002942BD"/>
    <w:rsid w:val="00294AC8"/>
    <w:rsid w:val="00294AEE"/>
    <w:rsid w:val="00294B17"/>
    <w:rsid w:val="00294EA1"/>
    <w:rsid w:val="00295607"/>
    <w:rsid w:val="00297370"/>
    <w:rsid w:val="002A3011"/>
    <w:rsid w:val="002A4348"/>
    <w:rsid w:val="002A53A1"/>
    <w:rsid w:val="002A55AE"/>
    <w:rsid w:val="002A5FF3"/>
    <w:rsid w:val="002B095F"/>
    <w:rsid w:val="002B1299"/>
    <w:rsid w:val="002B1772"/>
    <w:rsid w:val="002B66F6"/>
    <w:rsid w:val="002B69E8"/>
    <w:rsid w:val="002C29EC"/>
    <w:rsid w:val="002C2F70"/>
    <w:rsid w:val="002C3FAE"/>
    <w:rsid w:val="002C43EC"/>
    <w:rsid w:val="002C6A69"/>
    <w:rsid w:val="002D12F1"/>
    <w:rsid w:val="002D1DEC"/>
    <w:rsid w:val="002D28C0"/>
    <w:rsid w:val="002D3133"/>
    <w:rsid w:val="002D4582"/>
    <w:rsid w:val="002D6570"/>
    <w:rsid w:val="002D6EFF"/>
    <w:rsid w:val="002D710C"/>
    <w:rsid w:val="002E03F0"/>
    <w:rsid w:val="002E520D"/>
    <w:rsid w:val="002E6A2A"/>
    <w:rsid w:val="002E6AC9"/>
    <w:rsid w:val="002F1D97"/>
    <w:rsid w:val="002F2A22"/>
    <w:rsid w:val="002F383D"/>
    <w:rsid w:val="00301DCE"/>
    <w:rsid w:val="00301FE4"/>
    <w:rsid w:val="00302A04"/>
    <w:rsid w:val="0030550A"/>
    <w:rsid w:val="00306629"/>
    <w:rsid w:val="00307B6C"/>
    <w:rsid w:val="00310838"/>
    <w:rsid w:val="003110EA"/>
    <w:rsid w:val="003129B5"/>
    <w:rsid w:val="00312E53"/>
    <w:rsid w:val="00312E99"/>
    <w:rsid w:val="00321145"/>
    <w:rsid w:val="00322AB0"/>
    <w:rsid w:val="00323A6F"/>
    <w:rsid w:val="00323E4D"/>
    <w:rsid w:val="00326179"/>
    <w:rsid w:val="00327544"/>
    <w:rsid w:val="00327E26"/>
    <w:rsid w:val="00330DFC"/>
    <w:rsid w:val="00332195"/>
    <w:rsid w:val="00333453"/>
    <w:rsid w:val="003361F9"/>
    <w:rsid w:val="00336272"/>
    <w:rsid w:val="003364E0"/>
    <w:rsid w:val="003410E3"/>
    <w:rsid w:val="00341AB1"/>
    <w:rsid w:val="00343E45"/>
    <w:rsid w:val="003446C2"/>
    <w:rsid w:val="00345597"/>
    <w:rsid w:val="00345BBA"/>
    <w:rsid w:val="003465A1"/>
    <w:rsid w:val="00346669"/>
    <w:rsid w:val="00351F44"/>
    <w:rsid w:val="0035288D"/>
    <w:rsid w:val="003531FB"/>
    <w:rsid w:val="00356A49"/>
    <w:rsid w:val="00357FC7"/>
    <w:rsid w:val="00362073"/>
    <w:rsid w:val="00365997"/>
    <w:rsid w:val="00365D38"/>
    <w:rsid w:val="003660C0"/>
    <w:rsid w:val="00367BF9"/>
    <w:rsid w:val="0037364B"/>
    <w:rsid w:val="00373CDC"/>
    <w:rsid w:val="00374C2C"/>
    <w:rsid w:val="00375A89"/>
    <w:rsid w:val="00376A53"/>
    <w:rsid w:val="00380070"/>
    <w:rsid w:val="00380EFE"/>
    <w:rsid w:val="003819BD"/>
    <w:rsid w:val="00385256"/>
    <w:rsid w:val="0038580B"/>
    <w:rsid w:val="00385D46"/>
    <w:rsid w:val="00386126"/>
    <w:rsid w:val="003870AD"/>
    <w:rsid w:val="00390753"/>
    <w:rsid w:val="003919A1"/>
    <w:rsid w:val="00391F9E"/>
    <w:rsid w:val="00392D8D"/>
    <w:rsid w:val="00392F54"/>
    <w:rsid w:val="003964FB"/>
    <w:rsid w:val="00396C29"/>
    <w:rsid w:val="00396F61"/>
    <w:rsid w:val="003A4027"/>
    <w:rsid w:val="003A4EFD"/>
    <w:rsid w:val="003A58F9"/>
    <w:rsid w:val="003A6826"/>
    <w:rsid w:val="003A6BE4"/>
    <w:rsid w:val="003B04A2"/>
    <w:rsid w:val="003B2F95"/>
    <w:rsid w:val="003B7574"/>
    <w:rsid w:val="003B7E08"/>
    <w:rsid w:val="003C1F42"/>
    <w:rsid w:val="003C2915"/>
    <w:rsid w:val="003D06B6"/>
    <w:rsid w:val="003D1EDF"/>
    <w:rsid w:val="003D20A1"/>
    <w:rsid w:val="003D3CAA"/>
    <w:rsid w:val="003D4969"/>
    <w:rsid w:val="003D5FA8"/>
    <w:rsid w:val="003D6740"/>
    <w:rsid w:val="003D7DC4"/>
    <w:rsid w:val="003E171D"/>
    <w:rsid w:val="003E18A8"/>
    <w:rsid w:val="003E1AE3"/>
    <w:rsid w:val="003E273E"/>
    <w:rsid w:val="003E338D"/>
    <w:rsid w:val="003E38BC"/>
    <w:rsid w:val="003E3AB7"/>
    <w:rsid w:val="003E7D78"/>
    <w:rsid w:val="003F14E0"/>
    <w:rsid w:val="003F205B"/>
    <w:rsid w:val="003F3797"/>
    <w:rsid w:val="003F3CFE"/>
    <w:rsid w:val="003F405D"/>
    <w:rsid w:val="003F4BAB"/>
    <w:rsid w:val="003F66A0"/>
    <w:rsid w:val="003F7BF4"/>
    <w:rsid w:val="003F7FD3"/>
    <w:rsid w:val="0040033A"/>
    <w:rsid w:val="00401FEC"/>
    <w:rsid w:val="00402655"/>
    <w:rsid w:val="004044CC"/>
    <w:rsid w:val="004051D4"/>
    <w:rsid w:val="004067DE"/>
    <w:rsid w:val="00407737"/>
    <w:rsid w:val="0040783A"/>
    <w:rsid w:val="00412492"/>
    <w:rsid w:val="00412903"/>
    <w:rsid w:val="004138CB"/>
    <w:rsid w:val="00413CF4"/>
    <w:rsid w:val="00415410"/>
    <w:rsid w:val="00416DA6"/>
    <w:rsid w:val="00416F2F"/>
    <w:rsid w:val="0041765E"/>
    <w:rsid w:val="00421A27"/>
    <w:rsid w:val="00424AB7"/>
    <w:rsid w:val="004262FD"/>
    <w:rsid w:val="00427EE2"/>
    <w:rsid w:val="00431613"/>
    <w:rsid w:val="00434F8F"/>
    <w:rsid w:val="00435B0D"/>
    <w:rsid w:val="00437235"/>
    <w:rsid w:val="00437835"/>
    <w:rsid w:val="00437B93"/>
    <w:rsid w:val="00440736"/>
    <w:rsid w:val="00440EE6"/>
    <w:rsid w:val="004430F6"/>
    <w:rsid w:val="00451827"/>
    <w:rsid w:val="00451992"/>
    <w:rsid w:val="00454FC8"/>
    <w:rsid w:val="00455733"/>
    <w:rsid w:val="004569B1"/>
    <w:rsid w:val="00457F11"/>
    <w:rsid w:val="00460596"/>
    <w:rsid w:val="0046154E"/>
    <w:rsid w:val="00462796"/>
    <w:rsid w:val="00463C84"/>
    <w:rsid w:val="00471786"/>
    <w:rsid w:val="00471ECF"/>
    <w:rsid w:val="0047379A"/>
    <w:rsid w:val="00473844"/>
    <w:rsid w:val="0047460A"/>
    <w:rsid w:val="00475EDF"/>
    <w:rsid w:val="00476C32"/>
    <w:rsid w:val="00477A8F"/>
    <w:rsid w:val="0048101B"/>
    <w:rsid w:val="00481BDE"/>
    <w:rsid w:val="00483C85"/>
    <w:rsid w:val="004857E8"/>
    <w:rsid w:val="00485CA4"/>
    <w:rsid w:val="00492478"/>
    <w:rsid w:val="00494773"/>
    <w:rsid w:val="00495C3D"/>
    <w:rsid w:val="00497D3B"/>
    <w:rsid w:val="004A0BB8"/>
    <w:rsid w:val="004A2F75"/>
    <w:rsid w:val="004A527E"/>
    <w:rsid w:val="004A5472"/>
    <w:rsid w:val="004A5EA4"/>
    <w:rsid w:val="004B1EC7"/>
    <w:rsid w:val="004B2215"/>
    <w:rsid w:val="004B30F1"/>
    <w:rsid w:val="004B4C9F"/>
    <w:rsid w:val="004B5FEC"/>
    <w:rsid w:val="004C4E16"/>
    <w:rsid w:val="004C727A"/>
    <w:rsid w:val="004C745E"/>
    <w:rsid w:val="004C7AC9"/>
    <w:rsid w:val="004D503C"/>
    <w:rsid w:val="004D5FB2"/>
    <w:rsid w:val="004D695F"/>
    <w:rsid w:val="004E1152"/>
    <w:rsid w:val="004E1783"/>
    <w:rsid w:val="004E1C72"/>
    <w:rsid w:val="004E31E4"/>
    <w:rsid w:val="004E4DD8"/>
    <w:rsid w:val="004E650B"/>
    <w:rsid w:val="004E7B7F"/>
    <w:rsid w:val="004F2E62"/>
    <w:rsid w:val="004F4311"/>
    <w:rsid w:val="004F52E9"/>
    <w:rsid w:val="004F55D5"/>
    <w:rsid w:val="0050006F"/>
    <w:rsid w:val="005022FE"/>
    <w:rsid w:val="00506DD2"/>
    <w:rsid w:val="00507C2B"/>
    <w:rsid w:val="00510E3C"/>
    <w:rsid w:val="00511569"/>
    <w:rsid w:val="00512AB0"/>
    <w:rsid w:val="0051307D"/>
    <w:rsid w:val="00513E48"/>
    <w:rsid w:val="005142C9"/>
    <w:rsid w:val="00514D63"/>
    <w:rsid w:val="00515C95"/>
    <w:rsid w:val="00520725"/>
    <w:rsid w:val="00527541"/>
    <w:rsid w:val="005329B4"/>
    <w:rsid w:val="00534F91"/>
    <w:rsid w:val="0054317C"/>
    <w:rsid w:val="005432C5"/>
    <w:rsid w:val="0054330A"/>
    <w:rsid w:val="0054406A"/>
    <w:rsid w:val="00545449"/>
    <w:rsid w:val="00545960"/>
    <w:rsid w:val="00545E64"/>
    <w:rsid w:val="00547206"/>
    <w:rsid w:val="00553ED4"/>
    <w:rsid w:val="00553FCA"/>
    <w:rsid w:val="00556C59"/>
    <w:rsid w:val="005573BA"/>
    <w:rsid w:val="00560B63"/>
    <w:rsid w:val="00564692"/>
    <w:rsid w:val="00565269"/>
    <w:rsid w:val="00565E8A"/>
    <w:rsid w:val="00567041"/>
    <w:rsid w:val="005706B2"/>
    <w:rsid w:val="00570B4A"/>
    <w:rsid w:val="0057239E"/>
    <w:rsid w:val="005751F4"/>
    <w:rsid w:val="005827E6"/>
    <w:rsid w:val="00585DFB"/>
    <w:rsid w:val="005906DC"/>
    <w:rsid w:val="00590816"/>
    <w:rsid w:val="0059099C"/>
    <w:rsid w:val="005919EF"/>
    <w:rsid w:val="005923EE"/>
    <w:rsid w:val="0059495B"/>
    <w:rsid w:val="00594A9D"/>
    <w:rsid w:val="00594F55"/>
    <w:rsid w:val="00595AE0"/>
    <w:rsid w:val="00595B44"/>
    <w:rsid w:val="005960E8"/>
    <w:rsid w:val="005977B9"/>
    <w:rsid w:val="005A0671"/>
    <w:rsid w:val="005A328C"/>
    <w:rsid w:val="005A3ED4"/>
    <w:rsid w:val="005A5E59"/>
    <w:rsid w:val="005B048C"/>
    <w:rsid w:val="005B122D"/>
    <w:rsid w:val="005B1EDB"/>
    <w:rsid w:val="005C00CD"/>
    <w:rsid w:val="005C01BB"/>
    <w:rsid w:val="005C2A4A"/>
    <w:rsid w:val="005C6601"/>
    <w:rsid w:val="005C6A13"/>
    <w:rsid w:val="005C7414"/>
    <w:rsid w:val="005D4BAF"/>
    <w:rsid w:val="005D528D"/>
    <w:rsid w:val="005D70A1"/>
    <w:rsid w:val="005E1B0D"/>
    <w:rsid w:val="005E4EE3"/>
    <w:rsid w:val="005E5CB6"/>
    <w:rsid w:val="005E7DDE"/>
    <w:rsid w:val="005F30F7"/>
    <w:rsid w:val="005F7227"/>
    <w:rsid w:val="005F7C87"/>
    <w:rsid w:val="0060103E"/>
    <w:rsid w:val="00602748"/>
    <w:rsid w:val="00604207"/>
    <w:rsid w:val="0061233E"/>
    <w:rsid w:val="0061294F"/>
    <w:rsid w:val="0061489E"/>
    <w:rsid w:val="00615209"/>
    <w:rsid w:val="00615ADF"/>
    <w:rsid w:val="00617246"/>
    <w:rsid w:val="00617334"/>
    <w:rsid w:val="00621232"/>
    <w:rsid w:val="00624AF6"/>
    <w:rsid w:val="006252E7"/>
    <w:rsid w:val="00625982"/>
    <w:rsid w:val="006271BF"/>
    <w:rsid w:val="0063055A"/>
    <w:rsid w:val="00632529"/>
    <w:rsid w:val="00632E27"/>
    <w:rsid w:val="006360B7"/>
    <w:rsid w:val="00636553"/>
    <w:rsid w:val="00636845"/>
    <w:rsid w:val="00637114"/>
    <w:rsid w:val="0063711A"/>
    <w:rsid w:val="0063762E"/>
    <w:rsid w:val="00637C19"/>
    <w:rsid w:val="00644014"/>
    <w:rsid w:val="006465B8"/>
    <w:rsid w:val="00646E3A"/>
    <w:rsid w:val="00647E10"/>
    <w:rsid w:val="00650BA5"/>
    <w:rsid w:val="006536D2"/>
    <w:rsid w:val="00653B4B"/>
    <w:rsid w:val="00657BAA"/>
    <w:rsid w:val="00660025"/>
    <w:rsid w:val="00660087"/>
    <w:rsid w:val="00662B8E"/>
    <w:rsid w:val="00662F60"/>
    <w:rsid w:val="0066422B"/>
    <w:rsid w:val="006644BA"/>
    <w:rsid w:val="006650FB"/>
    <w:rsid w:val="006667A9"/>
    <w:rsid w:val="006669C0"/>
    <w:rsid w:val="00667ADE"/>
    <w:rsid w:val="0067151C"/>
    <w:rsid w:val="00672FE4"/>
    <w:rsid w:val="00673FCD"/>
    <w:rsid w:val="006740D1"/>
    <w:rsid w:val="0067549D"/>
    <w:rsid w:val="00676565"/>
    <w:rsid w:val="006775C8"/>
    <w:rsid w:val="006779EB"/>
    <w:rsid w:val="00685A1C"/>
    <w:rsid w:val="00690051"/>
    <w:rsid w:val="0069234D"/>
    <w:rsid w:val="006932E7"/>
    <w:rsid w:val="00696FD6"/>
    <w:rsid w:val="00697329"/>
    <w:rsid w:val="00697CF6"/>
    <w:rsid w:val="006A0917"/>
    <w:rsid w:val="006A0C0A"/>
    <w:rsid w:val="006A1995"/>
    <w:rsid w:val="006A26EF"/>
    <w:rsid w:val="006A2BAF"/>
    <w:rsid w:val="006A37B4"/>
    <w:rsid w:val="006A3C8C"/>
    <w:rsid w:val="006A4FCA"/>
    <w:rsid w:val="006A7394"/>
    <w:rsid w:val="006B10E8"/>
    <w:rsid w:val="006B2927"/>
    <w:rsid w:val="006B39C0"/>
    <w:rsid w:val="006B3B08"/>
    <w:rsid w:val="006B67F6"/>
    <w:rsid w:val="006B6902"/>
    <w:rsid w:val="006B6B2F"/>
    <w:rsid w:val="006B79AD"/>
    <w:rsid w:val="006B7CE2"/>
    <w:rsid w:val="006C0DF7"/>
    <w:rsid w:val="006C3645"/>
    <w:rsid w:val="006C5108"/>
    <w:rsid w:val="006C5AA3"/>
    <w:rsid w:val="006C6C70"/>
    <w:rsid w:val="006C7710"/>
    <w:rsid w:val="006D3EC6"/>
    <w:rsid w:val="006D415C"/>
    <w:rsid w:val="006D7170"/>
    <w:rsid w:val="006E25DA"/>
    <w:rsid w:val="006E39F5"/>
    <w:rsid w:val="006E3DCF"/>
    <w:rsid w:val="006E45A4"/>
    <w:rsid w:val="006F2767"/>
    <w:rsid w:val="006F4157"/>
    <w:rsid w:val="006F5771"/>
    <w:rsid w:val="006F6E99"/>
    <w:rsid w:val="006F742C"/>
    <w:rsid w:val="00701398"/>
    <w:rsid w:val="00702C41"/>
    <w:rsid w:val="00704EFB"/>
    <w:rsid w:val="007051B2"/>
    <w:rsid w:val="00705A33"/>
    <w:rsid w:val="00705FAD"/>
    <w:rsid w:val="00706F94"/>
    <w:rsid w:val="007077EA"/>
    <w:rsid w:val="00711ABB"/>
    <w:rsid w:val="00720BB0"/>
    <w:rsid w:val="00722F72"/>
    <w:rsid w:val="0072436A"/>
    <w:rsid w:val="00725927"/>
    <w:rsid w:val="00725A91"/>
    <w:rsid w:val="007278EE"/>
    <w:rsid w:val="00730635"/>
    <w:rsid w:val="007312A7"/>
    <w:rsid w:val="007330F4"/>
    <w:rsid w:val="007332C9"/>
    <w:rsid w:val="00734771"/>
    <w:rsid w:val="00736024"/>
    <w:rsid w:val="007467EB"/>
    <w:rsid w:val="00751015"/>
    <w:rsid w:val="00752464"/>
    <w:rsid w:val="007525F4"/>
    <w:rsid w:val="0075532F"/>
    <w:rsid w:val="00755B1A"/>
    <w:rsid w:val="00756173"/>
    <w:rsid w:val="007605D6"/>
    <w:rsid w:val="00760E78"/>
    <w:rsid w:val="00761143"/>
    <w:rsid w:val="00761B76"/>
    <w:rsid w:val="00764415"/>
    <w:rsid w:val="00764B41"/>
    <w:rsid w:val="007654A3"/>
    <w:rsid w:val="007666BB"/>
    <w:rsid w:val="00767949"/>
    <w:rsid w:val="00770013"/>
    <w:rsid w:val="00773618"/>
    <w:rsid w:val="00773803"/>
    <w:rsid w:val="00773938"/>
    <w:rsid w:val="00773C96"/>
    <w:rsid w:val="00773FBA"/>
    <w:rsid w:val="00775AA4"/>
    <w:rsid w:val="007760CA"/>
    <w:rsid w:val="00777AC9"/>
    <w:rsid w:val="007819DF"/>
    <w:rsid w:val="00781AD9"/>
    <w:rsid w:val="00781F67"/>
    <w:rsid w:val="007825C5"/>
    <w:rsid w:val="00784F81"/>
    <w:rsid w:val="007860C6"/>
    <w:rsid w:val="00786945"/>
    <w:rsid w:val="0079246F"/>
    <w:rsid w:val="00793313"/>
    <w:rsid w:val="00793750"/>
    <w:rsid w:val="00793882"/>
    <w:rsid w:val="007939AE"/>
    <w:rsid w:val="00793E18"/>
    <w:rsid w:val="00795300"/>
    <w:rsid w:val="00795CF6"/>
    <w:rsid w:val="007978FA"/>
    <w:rsid w:val="007A08AD"/>
    <w:rsid w:val="007A0EAC"/>
    <w:rsid w:val="007A578C"/>
    <w:rsid w:val="007B0CCB"/>
    <w:rsid w:val="007B11D0"/>
    <w:rsid w:val="007B47B1"/>
    <w:rsid w:val="007B51E2"/>
    <w:rsid w:val="007B6EB1"/>
    <w:rsid w:val="007C3053"/>
    <w:rsid w:val="007C4A07"/>
    <w:rsid w:val="007C53A1"/>
    <w:rsid w:val="007C5B21"/>
    <w:rsid w:val="007C5CEB"/>
    <w:rsid w:val="007C6071"/>
    <w:rsid w:val="007C783F"/>
    <w:rsid w:val="007C78EB"/>
    <w:rsid w:val="007D04D3"/>
    <w:rsid w:val="007D1A0D"/>
    <w:rsid w:val="007D1C4E"/>
    <w:rsid w:val="007D2694"/>
    <w:rsid w:val="007D39D8"/>
    <w:rsid w:val="007D429F"/>
    <w:rsid w:val="007D650B"/>
    <w:rsid w:val="007D7D27"/>
    <w:rsid w:val="007E0FF2"/>
    <w:rsid w:val="007E4C1C"/>
    <w:rsid w:val="007E5B39"/>
    <w:rsid w:val="007E5B63"/>
    <w:rsid w:val="007E75AC"/>
    <w:rsid w:val="007E7DFE"/>
    <w:rsid w:val="007F0B21"/>
    <w:rsid w:val="007F0FA4"/>
    <w:rsid w:val="007F2B8E"/>
    <w:rsid w:val="007F4C85"/>
    <w:rsid w:val="007F6223"/>
    <w:rsid w:val="007F76BB"/>
    <w:rsid w:val="007F79C4"/>
    <w:rsid w:val="008022AB"/>
    <w:rsid w:val="00803E71"/>
    <w:rsid w:val="0080462E"/>
    <w:rsid w:val="008075A7"/>
    <w:rsid w:val="00811C26"/>
    <w:rsid w:val="00812478"/>
    <w:rsid w:val="00812C04"/>
    <w:rsid w:val="00815171"/>
    <w:rsid w:val="008158F2"/>
    <w:rsid w:val="008171E4"/>
    <w:rsid w:val="0082056C"/>
    <w:rsid w:val="00821321"/>
    <w:rsid w:val="008232DD"/>
    <w:rsid w:val="00823B9F"/>
    <w:rsid w:val="008249FB"/>
    <w:rsid w:val="00827C77"/>
    <w:rsid w:val="00831647"/>
    <w:rsid w:val="00833B22"/>
    <w:rsid w:val="00834A74"/>
    <w:rsid w:val="00836392"/>
    <w:rsid w:val="00836723"/>
    <w:rsid w:val="008370A5"/>
    <w:rsid w:val="0084053C"/>
    <w:rsid w:val="00841C74"/>
    <w:rsid w:val="00843BF2"/>
    <w:rsid w:val="00843F0B"/>
    <w:rsid w:val="00845A56"/>
    <w:rsid w:val="00845E14"/>
    <w:rsid w:val="00847A9C"/>
    <w:rsid w:val="008530C2"/>
    <w:rsid w:val="00853D09"/>
    <w:rsid w:val="00857730"/>
    <w:rsid w:val="00857766"/>
    <w:rsid w:val="00860180"/>
    <w:rsid w:val="008633D4"/>
    <w:rsid w:val="00864428"/>
    <w:rsid w:val="00865054"/>
    <w:rsid w:val="008653AB"/>
    <w:rsid w:val="00865B99"/>
    <w:rsid w:val="00871EC3"/>
    <w:rsid w:val="00872E03"/>
    <w:rsid w:val="008739A5"/>
    <w:rsid w:val="00874CD1"/>
    <w:rsid w:val="00875784"/>
    <w:rsid w:val="00876131"/>
    <w:rsid w:val="0087629E"/>
    <w:rsid w:val="00883599"/>
    <w:rsid w:val="00883A23"/>
    <w:rsid w:val="00884CA6"/>
    <w:rsid w:val="0088645A"/>
    <w:rsid w:val="0088737E"/>
    <w:rsid w:val="00893D87"/>
    <w:rsid w:val="00896954"/>
    <w:rsid w:val="008A1747"/>
    <w:rsid w:val="008A1B8F"/>
    <w:rsid w:val="008A1C3A"/>
    <w:rsid w:val="008A46B6"/>
    <w:rsid w:val="008A6599"/>
    <w:rsid w:val="008A70C1"/>
    <w:rsid w:val="008A7809"/>
    <w:rsid w:val="008B307B"/>
    <w:rsid w:val="008B60DE"/>
    <w:rsid w:val="008C2E6A"/>
    <w:rsid w:val="008C34BC"/>
    <w:rsid w:val="008C54FA"/>
    <w:rsid w:val="008C6D70"/>
    <w:rsid w:val="008D06F9"/>
    <w:rsid w:val="008D1C23"/>
    <w:rsid w:val="008D38B2"/>
    <w:rsid w:val="008D64E4"/>
    <w:rsid w:val="008D671B"/>
    <w:rsid w:val="008D7395"/>
    <w:rsid w:val="008D7437"/>
    <w:rsid w:val="008E3D07"/>
    <w:rsid w:val="008E6392"/>
    <w:rsid w:val="008E6627"/>
    <w:rsid w:val="008E7BE9"/>
    <w:rsid w:val="008F1AAF"/>
    <w:rsid w:val="008F1D4C"/>
    <w:rsid w:val="008F469F"/>
    <w:rsid w:val="008F4AFD"/>
    <w:rsid w:val="008F513B"/>
    <w:rsid w:val="008F5397"/>
    <w:rsid w:val="008F615F"/>
    <w:rsid w:val="00900204"/>
    <w:rsid w:val="009022D8"/>
    <w:rsid w:val="00903A41"/>
    <w:rsid w:val="00904B00"/>
    <w:rsid w:val="0090510E"/>
    <w:rsid w:val="00906486"/>
    <w:rsid w:val="0090797A"/>
    <w:rsid w:val="00914EF6"/>
    <w:rsid w:val="00921153"/>
    <w:rsid w:val="009236DF"/>
    <w:rsid w:val="00925B83"/>
    <w:rsid w:val="00926034"/>
    <w:rsid w:val="00931AC6"/>
    <w:rsid w:val="00932DD9"/>
    <w:rsid w:val="00933B24"/>
    <w:rsid w:val="00933D3A"/>
    <w:rsid w:val="00934275"/>
    <w:rsid w:val="009344FC"/>
    <w:rsid w:val="009369BA"/>
    <w:rsid w:val="00936A73"/>
    <w:rsid w:val="00937F00"/>
    <w:rsid w:val="009406CA"/>
    <w:rsid w:val="00944632"/>
    <w:rsid w:val="0094528A"/>
    <w:rsid w:val="00950648"/>
    <w:rsid w:val="00951CFC"/>
    <w:rsid w:val="009542A9"/>
    <w:rsid w:val="0095508C"/>
    <w:rsid w:val="0096178E"/>
    <w:rsid w:val="00962568"/>
    <w:rsid w:val="0096311B"/>
    <w:rsid w:val="00965880"/>
    <w:rsid w:val="00970797"/>
    <w:rsid w:val="00971B7D"/>
    <w:rsid w:val="00972899"/>
    <w:rsid w:val="00973A2B"/>
    <w:rsid w:val="00973A4B"/>
    <w:rsid w:val="00976154"/>
    <w:rsid w:val="009762AE"/>
    <w:rsid w:val="00983EF4"/>
    <w:rsid w:val="00986977"/>
    <w:rsid w:val="00987EDB"/>
    <w:rsid w:val="00993537"/>
    <w:rsid w:val="00995B12"/>
    <w:rsid w:val="00996BBD"/>
    <w:rsid w:val="0099716C"/>
    <w:rsid w:val="009A0043"/>
    <w:rsid w:val="009A1929"/>
    <w:rsid w:val="009A1B6B"/>
    <w:rsid w:val="009A274E"/>
    <w:rsid w:val="009A49C9"/>
    <w:rsid w:val="009A5632"/>
    <w:rsid w:val="009A67B9"/>
    <w:rsid w:val="009B2D2F"/>
    <w:rsid w:val="009C1308"/>
    <w:rsid w:val="009C3828"/>
    <w:rsid w:val="009C47AB"/>
    <w:rsid w:val="009C4906"/>
    <w:rsid w:val="009C50B2"/>
    <w:rsid w:val="009C7FA7"/>
    <w:rsid w:val="009D179B"/>
    <w:rsid w:val="009D2D3E"/>
    <w:rsid w:val="009D35CE"/>
    <w:rsid w:val="009D67D3"/>
    <w:rsid w:val="009D6851"/>
    <w:rsid w:val="009E566D"/>
    <w:rsid w:val="009E674D"/>
    <w:rsid w:val="009E6C4C"/>
    <w:rsid w:val="009F2BA2"/>
    <w:rsid w:val="009F3439"/>
    <w:rsid w:val="009F5296"/>
    <w:rsid w:val="009F54FE"/>
    <w:rsid w:val="00A0314B"/>
    <w:rsid w:val="00A05B03"/>
    <w:rsid w:val="00A060E3"/>
    <w:rsid w:val="00A0674B"/>
    <w:rsid w:val="00A06820"/>
    <w:rsid w:val="00A07673"/>
    <w:rsid w:val="00A1149D"/>
    <w:rsid w:val="00A13A9E"/>
    <w:rsid w:val="00A14D11"/>
    <w:rsid w:val="00A16606"/>
    <w:rsid w:val="00A1738B"/>
    <w:rsid w:val="00A2186A"/>
    <w:rsid w:val="00A231E8"/>
    <w:rsid w:val="00A251D0"/>
    <w:rsid w:val="00A26513"/>
    <w:rsid w:val="00A26B95"/>
    <w:rsid w:val="00A3073D"/>
    <w:rsid w:val="00A31E21"/>
    <w:rsid w:val="00A33729"/>
    <w:rsid w:val="00A42346"/>
    <w:rsid w:val="00A42EA5"/>
    <w:rsid w:val="00A42F0F"/>
    <w:rsid w:val="00A43010"/>
    <w:rsid w:val="00A44C2E"/>
    <w:rsid w:val="00A44EFF"/>
    <w:rsid w:val="00A512A8"/>
    <w:rsid w:val="00A520F1"/>
    <w:rsid w:val="00A52212"/>
    <w:rsid w:val="00A523C3"/>
    <w:rsid w:val="00A52E79"/>
    <w:rsid w:val="00A5629C"/>
    <w:rsid w:val="00A63622"/>
    <w:rsid w:val="00A65242"/>
    <w:rsid w:val="00A704C3"/>
    <w:rsid w:val="00A70589"/>
    <w:rsid w:val="00A73F97"/>
    <w:rsid w:val="00A76983"/>
    <w:rsid w:val="00A778BD"/>
    <w:rsid w:val="00A80BDC"/>
    <w:rsid w:val="00A8460F"/>
    <w:rsid w:val="00A85C26"/>
    <w:rsid w:val="00A90C0F"/>
    <w:rsid w:val="00A94E95"/>
    <w:rsid w:val="00A96E04"/>
    <w:rsid w:val="00A97DB8"/>
    <w:rsid w:val="00AA0991"/>
    <w:rsid w:val="00AA1C07"/>
    <w:rsid w:val="00AA1C3C"/>
    <w:rsid w:val="00AA2E1F"/>
    <w:rsid w:val="00AA3607"/>
    <w:rsid w:val="00AA3E6F"/>
    <w:rsid w:val="00AA5DA0"/>
    <w:rsid w:val="00AA60C7"/>
    <w:rsid w:val="00AA7011"/>
    <w:rsid w:val="00AA75B2"/>
    <w:rsid w:val="00AB174C"/>
    <w:rsid w:val="00AB3B2E"/>
    <w:rsid w:val="00AB606C"/>
    <w:rsid w:val="00AB60C7"/>
    <w:rsid w:val="00AB6118"/>
    <w:rsid w:val="00AB612A"/>
    <w:rsid w:val="00AC0C29"/>
    <w:rsid w:val="00AC22F9"/>
    <w:rsid w:val="00AC3F9A"/>
    <w:rsid w:val="00AC4590"/>
    <w:rsid w:val="00AC795A"/>
    <w:rsid w:val="00AC7E17"/>
    <w:rsid w:val="00AD1106"/>
    <w:rsid w:val="00AD1DC7"/>
    <w:rsid w:val="00AD3CA9"/>
    <w:rsid w:val="00AD43E4"/>
    <w:rsid w:val="00AE0E80"/>
    <w:rsid w:val="00AE17C2"/>
    <w:rsid w:val="00AE1B32"/>
    <w:rsid w:val="00AE1B70"/>
    <w:rsid w:val="00AE3CB8"/>
    <w:rsid w:val="00AE4232"/>
    <w:rsid w:val="00AE43A9"/>
    <w:rsid w:val="00AE4D2C"/>
    <w:rsid w:val="00AF082E"/>
    <w:rsid w:val="00AF1FC2"/>
    <w:rsid w:val="00AF42B4"/>
    <w:rsid w:val="00AF4D34"/>
    <w:rsid w:val="00AF71CA"/>
    <w:rsid w:val="00AF7C7F"/>
    <w:rsid w:val="00B04E1E"/>
    <w:rsid w:val="00B05246"/>
    <w:rsid w:val="00B0607B"/>
    <w:rsid w:val="00B0790A"/>
    <w:rsid w:val="00B112F3"/>
    <w:rsid w:val="00B11311"/>
    <w:rsid w:val="00B1154B"/>
    <w:rsid w:val="00B12ACA"/>
    <w:rsid w:val="00B1307C"/>
    <w:rsid w:val="00B132C3"/>
    <w:rsid w:val="00B132CA"/>
    <w:rsid w:val="00B163C2"/>
    <w:rsid w:val="00B21A29"/>
    <w:rsid w:val="00B21E02"/>
    <w:rsid w:val="00B2478D"/>
    <w:rsid w:val="00B31400"/>
    <w:rsid w:val="00B31809"/>
    <w:rsid w:val="00B31D27"/>
    <w:rsid w:val="00B320E7"/>
    <w:rsid w:val="00B32387"/>
    <w:rsid w:val="00B351C5"/>
    <w:rsid w:val="00B35456"/>
    <w:rsid w:val="00B36CA3"/>
    <w:rsid w:val="00B36E86"/>
    <w:rsid w:val="00B37F8F"/>
    <w:rsid w:val="00B41C62"/>
    <w:rsid w:val="00B430CF"/>
    <w:rsid w:val="00B5131C"/>
    <w:rsid w:val="00B5166C"/>
    <w:rsid w:val="00B519BB"/>
    <w:rsid w:val="00B525B4"/>
    <w:rsid w:val="00B53E81"/>
    <w:rsid w:val="00B5449E"/>
    <w:rsid w:val="00B54A66"/>
    <w:rsid w:val="00B60213"/>
    <w:rsid w:val="00B62719"/>
    <w:rsid w:val="00B63A18"/>
    <w:rsid w:val="00B64C43"/>
    <w:rsid w:val="00B66AEF"/>
    <w:rsid w:val="00B70FEE"/>
    <w:rsid w:val="00B71403"/>
    <w:rsid w:val="00B714ED"/>
    <w:rsid w:val="00B75142"/>
    <w:rsid w:val="00B75EFA"/>
    <w:rsid w:val="00B770EE"/>
    <w:rsid w:val="00B775AA"/>
    <w:rsid w:val="00B77BD1"/>
    <w:rsid w:val="00B802CF"/>
    <w:rsid w:val="00B80EA2"/>
    <w:rsid w:val="00B81A4C"/>
    <w:rsid w:val="00B84E79"/>
    <w:rsid w:val="00B87278"/>
    <w:rsid w:val="00B90ACE"/>
    <w:rsid w:val="00B90CAB"/>
    <w:rsid w:val="00B910F3"/>
    <w:rsid w:val="00B913A7"/>
    <w:rsid w:val="00B95A6A"/>
    <w:rsid w:val="00BA185B"/>
    <w:rsid w:val="00BA5823"/>
    <w:rsid w:val="00BA58D7"/>
    <w:rsid w:val="00BA5A3D"/>
    <w:rsid w:val="00BA67B0"/>
    <w:rsid w:val="00BA6A8D"/>
    <w:rsid w:val="00BA774C"/>
    <w:rsid w:val="00BB425C"/>
    <w:rsid w:val="00BB48CA"/>
    <w:rsid w:val="00BB5B26"/>
    <w:rsid w:val="00BB5E23"/>
    <w:rsid w:val="00BB5FFC"/>
    <w:rsid w:val="00BC1715"/>
    <w:rsid w:val="00BC21F0"/>
    <w:rsid w:val="00BC22B8"/>
    <w:rsid w:val="00BC4DF7"/>
    <w:rsid w:val="00BC4F18"/>
    <w:rsid w:val="00BC527C"/>
    <w:rsid w:val="00BC5A7B"/>
    <w:rsid w:val="00BC6669"/>
    <w:rsid w:val="00BC7A64"/>
    <w:rsid w:val="00BD1914"/>
    <w:rsid w:val="00BD1927"/>
    <w:rsid w:val="00BD5740"/>
    <w:rsid w:val="00BD7813"/>
    <w:rsid w:val="00BE13B3"/>
    <w:rsid w:val="00BE21EF"/>
    <w:rsid w:val="00BE223C"/>
    <w:rsid w:val="00BE26C6"/>
    <w:rsid w:val="00BE3E61"/>
    <w:rsid w:val="00BE478F"/>
    <w:rsid w:val="00BE6667"/>
    <w:rsid w:val="00BF47EC"/>
    <w:rsid w:val="00BF66E0"/>
    <w:rsid w:val="00BF7368"/>
    <w:rsid w:val="00C02AED"/>
    <w:rsid w:val="00C04CA3"/>
    <w:rsid w:val="00C06CD4"/>
    <w:rsid w:val="00C072EB"/>
    <w:rsid w:val="00C073C2"/>
    <w:rsid w:val="00C07640"/>
    <w:rsid w:val="00C10544"/>
    <w:rsid w:val="00C10C31"/>
    <w:rsid w:val="00C12D35"/>
    <w:rsid w:val="00C13DF3"/>
    <w:rsid w:val="00C1439F"/>
    <w:rsid w:val="00C14696"/>
    <w:rsid w:val="00C1504A"/>
    <w:rsid w:val="00C16B3D"/>
    <w:rsid w:val="00C1715D"/>
    <w:rsid w:val="00C204C3"/>
    <w:rsid w:val="00C2186D"/>
    <w:rsid w:val="00C23F3B"/>
    <w:rsid w:val="00C24345"/>
    <w:rsid w:val="00C25303"/>
    <w:rsid w:val="00C271BD"/>
    <w:rsid w:val="00C27B0F"/>
    <w:rsid w:val="00C33BD1"/>
    <w:rsid w:val="00C33CC8"/>
    <w:rsid w:val="00C34091"/>
    <w:rsid w:val="00C34120"/>
    <w:rsid w:val="00C368E7"/>
    <w:rsid w:val="00C3740B"/>
    <w:rsid w:val="00C40E23"/>
    <w:rsid w:val="00C4107B"/>
    <w:rsid w:val="00C43A53"/>
    <w:rsid w:val="00C454F8"/>
    <w:rsid w:val="00C45F14"/>
    <w:rsid w:val="00C52AEF"/>
    <w:rsid w:val="00C5380F"/>
    <w:rsid w:val="00C54216"/>
    <w:rsid w:val="00C5475E"/>
    <w:rsid w:val="00C57106"/>
    <w:rsid w:val="00C600E7"/>
    <w:rsid w:val="00C609E8"/>
    <w:rsid w:val="00C623B1"/>
    <w:rsid w:val="00C62B45"/>
    <w:rsid w:val="00C62DFE"/>
    <w:rsid w:val="00C63504"/>
    <w:rsid w:val="00C63852"/>
    <w:rsid w:val="00C663B8"/>
    <w:rsid w:val="00C670E6"/>
    <w:rsid w:val="00C679E8"/>
    <w:rsid w:val="00C67D3F"/>
    <w:rsid w:val="00C70B45"/>
    <w:rsid w:val="00C74ED7"/>
    <w:rsid w:val="00C74FDD"/>
    <w:rsid w:val="00C768C5"/>
    <w:rsid w:val="00C770C9"/>
    <w:rsid w:val="00C827DC"/>
    <w:rsid w:val="00C83120"/>
    <w:rsid w:val="00C844A4"/>
    <w:rsid w:val="00C862F0"/>
    <w:rsid w:val="00C926ED"/>
    <w:rsid w:val="00C93149"/>
    <w:rsid w:val="00C93920"/>
    <w:rsid w:val="00C943C6"/>
    <w:rsid w:val="00C96348"/>
    <w:rsid w:val="00CA112C"/>
    <w:rsid w:val="00CA3D79"/>
    <w:rsid w:val="00CA68FA"/>
    <w:rsid w:val="00CB0F81"/>
    <w:rsid w:val="00CB2CD2"/>
    <w:rsid w:val="00CB7453"/>
    <w:rsid w:val="00CC32B4"/>
    <w:rsid w:val="00CC4AC8"/>
    <w:rsid w:val="00CC6D7C"/>
    <w:rsid w:val="00CC72D4"/>
    <w:rsid w:val="00CC7CBB"/>
    <w:rsid w:val="00CD08F1"/>
    <w:rsid w:val="00CD137C"/>
    <w:rsid w:val="00CD1FB3"/>
    <w:rsid w:val="00CD292F"/>
    <w:rsid w:val="00CD365E"/>
    <w:rsid w:val="00CD4B35"/>
    <w:rsid w:val="00CD5DD8"/>
    <w:rsid w:val="00CD64E0"/>
    <w:rsid w:val="00CE095D"/>
    <w:rsid w:val="00CE0A26"/>
    <w:rsid w:val="00CE1893"/>
    <w:rsid w:val="00CE7954"/>
    <w:rsid w:val="00CF0466"/>
    <w:rsid w:val="00CF0F58"/>
    <w:rsid w:val="00CF2D2C"/>
    <w:rsid w:val="00CF3889"/>
    <w:rsid w:val="00D00B61"/>
    <w:rsid w:val="00D059EC"/>
    <w:rsid w:val="00D05EBB"/>
    <w:rsid w:val="00D1061A"/>
    <w:rsid w:val="00D10A0D"/>
    <w:rsid w:val="00D136D7"/>
    <w:rsid w:val="00D14F5A"/>
    <w:rsid w:val="00D153B1"/>
    <w:rsid w:val="00D1786A"/>
    <w:rsid w:val="00D20F73"/>
    <w:rsid w:val="00D213FF"/>
    <w:rsid w:val="00D23958"/>
    <w:rsid w:val="00D31C86"/>
    <w:rsid w:val="00D3201B"/>
    <w:rsid w:val="00D33801"/>
    <w:rsid w:val="00D33A1F"/>
    <w:rsid w:val="00D34B6D"/>
    <w:rsid w:val="00D351DE"/>
    <w:rsid w:val="00D3787E"/>
    <w:rsid w:val="00D413A4"/>
    <w:rsid w:val="00D422A8"/>
    <w:rsid w:val="00D44782"/>
    <w:rsid w:val="00D457EE"/>
    <w:rsid w:val="00D46350"/>
    <w:rsid w:val="00D46987"/>
    <w:rsid w:val="00D51AD8"/>
    <w:rsid w:val="00D55367"/>
    <w:rsid w:val="00D56456"/>
    <w:rsid w:val="00D56990"/>
    <w:rsid w:val="00D6185D"/>
    <w:rsid w:val="00D61A12"/>
    <w:rsid w:val="00D6382F"/>
    <w:rsid w:val="00D651A0"/>
    <w:rsid w:val="00D65768"/>
    <w:rsid w:val="00D67054"/>
    <w:rsid w:val="00D6707A"/>
    <w:rsid w:val="00D700B9"/>
    <w:rsid w:val="00D7031B"/>
    <w:rsid w:val="00D70728"/>
    <w:rsid w:val="00D807FC"/>
    <w:rsid w:val="00D80C02"/>
    <w:rsid w:val="00D812AE"/>
    <w:rsid w:val="00D83057"/>
    <w:rsid w:val="00D84AF5"/>
    <w:rsid w:val="00D941FF"/>
    <w:rsid w:val="00D94DD7"/>
    <w:rsid w:val="00D95DA7"/>
    <w:rsid w:val="00D97EDE"/>
    <w:rsid w:val="00DA0E69"/>
    <w:rsid w:val="00DA1851"/>
    <w:rsid w:val="00DA372D"/>
    <w:rsid w:val="00DA3A90"/>
    <w:rsid w:val="00DA6D5B"/>
    <w:rsid w:val="00DB0F9A"/>
    <w:rsid w:val="00DB1EBB"/>
    <w:rsid w:val="00DB39C9"/>
    <w:rsid w:val="00DC58EC"/>
    <w:rsid w:val="00DC5BA2"/>
    <w:rsid w:val="00DC63B9"/>
    <w:rsid w:val="00DC6DB1"/>
    <w:rsid w:val="00DD3A2D"/>
    <w:rsid w:val="00DD5C62"/>
    <w:rsid w:val="00DD5CB2"/>
    <w:rsid w:val="00DD6DF4"/>
    <w:rsid w:val="00DD6EDD"/>
    <w:rsid w:val="00DD73B0"/>
    <w:rsid w:val="00DE11BF"/>
    <w:rsid w:val="00DE32AA"/>
    <w:rsid w:val="00DE3C5D"/>
    <w:rsid w:val="00DE4661"/>
    <w:rsid w:val="00DE4856"/>
    <w:rsid w:val="00DE6314"/>
    <w:rsid w:val="00DE7AF0"/>
    <w:rsid w:val="00DE7B0C"/>
    <w:rsid w:val="00DE7CE9"/>
    <w:rsid w:val="00DF3438"/>
    <w:rsid w:val="00DF4138"/>
    <w:rsid w:val="00DF4416"/>
    <w:rsid w:val="00E001F7"/>
    <w:rsid w:val="00E02F66"/>
    <w:rsid w:val="00E03A07"/>
    <w:rsid w:val="00E05A2A"/>
    <w:rsid w:val="00E15C18"/>
    <w:rsid w:val="00E16C3B"/>
    <w:rsid w:val="00E1793C"/>
    <w:rsid w:val="00E209F5"/>
    <w:rsid w:val="00E20CB9"/>
    <w:rsid w:val="00E21438"/>
    <w:rsid w:val="00E2170C"/>
    <w:rsid w:val="00E21734"/>
    <w:rsid w:val="00E23C35"/>
    <w:rsid w:val="00E251D5"/>
    <w:rsid w:val="00E25CB9"/>
    <w:rsid w:val="00E263BF"/>
    <w:rsid w:val="00E26641"/>
    <w:rsid w:val="00E2753A"/>
    <w:rsid w:val="00E31FA4"/>
    <w:rsid w:val="00E32677"/>
    <w:rsid w:val="00E326BB"/>
    <w:rsid w:val="00E32A6C"/>
    <w:rsid w:val="00E333FB"/>
    <w:rsid w:val="00E3408B"/>
    <w:rsid w:val="00E366E8"/>
    <w:rsid w:val="00E44227"/>
    <w:rsid w:val="00E44C43"/>
    <w:rsid w:val="00E44C79"/>
    <w:rsid w:val="00E51BC3"/>
    <w:rsid w:val="00E5259D"/>
    <w:rsid w:val="00E533C3"/>
    <w:rsid w:val="00E54545"/>
    <w:rsid w:val="00E545EA"/>
    <w:rsid w:val="00E5480C"/>
    <w:rsid w:val="00E54906"/>
    <w:rsid w:val="00E5683A"/>
    <w:rsid w:val="00E61AF1"/>
    <w:rsid w:val="00E623A2"/>
    <w:rsid w:val="00E64963"/>
    <w:rsid w:val="00E64D45"/>
    <w:rsid w:val="00E6729A"/>
    <w:rsid w:val="00E71AC0"/>
    <w:rsid w:val="00E72FE8"/>
    <w:rsid w:val="00E73146"/>
    <w:rsid w:val="00E73FB6"/>
    <w:rsid w:val="00E75A32"/>
    <w:rsid w:val="00E7603A"/>
    <w:rsid w:val="00E7665D"/>
    <w:rsid w:val="00E76E97"/>
    <w:rsid w:val="00E8329A"/>
    <w:rsid w:val="00E83363"/>
    <w:rsid w:val="00E84278"/>
    <w:rsid w:val="00E84F92"/>
    <w:rsid w:val="00E84FAD"/>
    <w:rsid w:val="00E91D10"/>
    <w:rsid w:val="00E9342A"/>
    <w:rsid w:val="00E94326"/>
    <w:rsid w:val="00E9683C"/>
    <w:rsid w:val="00E974B4"/>
    <w:rsid w:val="00EA298B"/>
    <w:rsid w:val="00EA3497"/>
    <w:rsid w:val="00EA39B1"/>
    <w:rsid w:val="00EA3CF9"/>
    <w:rsid w:val="00EA609D"/>
    <w:rsid w:val="00EA6C8C"/>
    <w:rsid w:val="00EB01E5"/>
    <w:rsid w:val="00EB1A1F"/>
    <w:rsid w:val="00EB2887"/>
    <w:rsid w:val="00EB622C"/>
    <w:rsid w:val="00EB638E"/>
    <w:rsid w:val="00EB789E"/>
    <w:rsid w:val="00EC1C5C"/>
    <w:rsid w:val="00EC3E6B"/>
    <w:rsid w:val="00EC5D73"/>
    <w:rsid w:val="00EC5E33"/>
    <w:rsid w:val="00EC651E"/>
    <w:rsid w:val="00EC7FC3"/>
    <w:rsid w:val="00ED0ECE"/>
    <w:rsid w:val="00ED3E47"/>
    <w:rsid w:val="00ED45A9"/>
    <w:rsid w:val="00ED64F0"/>
    <w:rsid w:val="00ED7FCB"/>
    <w:rsid w:val="00EE6643"/>
    <w:rsid w:val="00EE6FCD"/>
    <w:rsid w:val="00EE701B"/>
    <w:rsid w:val="00EE76A4"/>
    <w:rsid w:val="00EF02CB"/>
    <w:rsid w:val="00EF0A59"/>
    <w:rsid w:val="00EF0D85"/>
    <w:rsid w:val="00EF1CA6"/>
    <w:rsid w:val="00EF49E9"/>
    <w:rsid w:val="00EF5D25"/>
    <w:rsid w:val="00EF6347"/>
    <w:rsid w:val="00EF7197"/>
    <w:rsid w:val="00F0110E"/>
    <w:rsid w:val="00F0404E"/>
    <w:rsid w:val="00F040C4"/>
    <w:rsid w:val="00F058FD"/>
    <w:rsid w:val="00F07534"/>
    <w:rsid w:val="00F12312"/>
    <w:rsid w:val="00F12CC0"/>
    <w:rsid w:val="00F16E8E"/>
    <w:rsid w:val="00F17200"/>
    <w:rsid w:val="00F20B86"/>
    <w:rsid w:val="00F20BE2"/>
    <w:rsid w:val="00F20EBC"/>
    <w:rsid w:val="00F21BB5"/>
    <w:rsid w:val="00F21F07"/>
    <w:rsid w:val="00F22A1A"/>
    <w:rsid w:val="00F25345"/>
    <w:rsid w:val="00F2700C"/>
    <w:rsid w:val="00F2769F"/>
    <w:rsid w:val="00F3160D"/>
    <w:rsid w:val="00F337C3"/>
    <w:rsid w:val="00F34EED"/>
    <w:rsid w:val="00F374C3"/>
    <w:rsid w:val="00F37D8F"/>
    <w:rsid w:val="00F40B03"/>
    <w:rsid w:val="00F41A75"/>
    <w:rsid w:val="00F43A53"/>
    <w:rsid w:val="00F441A2"/>
    <w:rsid w:val="00F44B1C"/>
    <w:rsid w:val="00F44C03"/>
    <w:rsid w:val="00F45E40"/>
    <w:rsid w:val="00F46BAB"/>
    <w:rsid w:val="00F46D73"/>
    <w:rsid w:val="00F47736"/>
    <w:rsid w:val="00F511CF"/>
    <w:rsid w:val="00F5268F"/>
    <w:rsid w:val="00F5322E"/>
    <w:rsid w:val="00F53A82"/>
    <w:rsid w:val="00F54151"/>
    <w:rsid w:val="00F55ED1"/>
    <w:rsid w:val="00F616AA"/>
    <w:rsid w:val="00F61CC7"/>
    <w:rsid w:val="00F636F5"/>
    <w:rsid w:val="00F63949"/>
    <w:rsid w:val="00F63FC1"/>
    <w:rsid w:val="00F64DF5"/>
    <w:rsid w:val="00F6623D"/>
    <w:rsid w:val="00F66FFA"/>
    <w:rsid w:val="00F67B35"/>
    <w:rsid w:val="00F7151A"/>
    <w:rsid w:val="00F73E74"/>
    <w:rsid w:val="00F7753D"/>
    <w:rsid w:val="00F77FD5"/>
    <w:rsid w:val="00F803B9"/>
    <w:rsid w:val="00F80EA4"/>
    <w:rsid w:val="00F82DA0"/>
    <w:rsid w:val="00F82E8C"/>
    <w:rsid w:val="00F85226"/>
    <w:rsid w:val="00F87590"/>
    <w:rsid w:val="00F87979"/>
    <w:rsid w:val="00F92FC2"/>
    <w:rsid w:val="00F93C49"/>
    <w:rsid w:val="00F94206"/>
    <w:rsid w:val="00FA147F"/>
    <w:rsid w:val="00FA1DE3"/>
    <w:rsid w:val="00FA594E"/>
    <w:rsid w:val="00FA68B2"/>
    <w:rsid w:val="00FB0948"/>
    <w:rsid w:val="00FB1C36"/>
    <w:rsid w:val="00FB4146"/>
    <w:rsid w:val="00FB7779"/>
    <w:rsid w:val="00FC0C98"/>
    <w:rsid w:val="00FC1BE3"/>
    <w:rsid w:val="00FC2137"/>
    <w:rsid w:val="00FC22C3"/>
    <w:rsid w:val="00FC3190"/>
    <w:rsid w:val="00FC43E4"/>
    <w:rsid w:val="00FC52A7"/>
    <w:rsid w:val="00FC6075"/>
    <w:rsid w:val="00FC6AA0"/>
    <w:rsid w:val="00FC6E63"/>
    <w:rsid w:val="00FD0946"/>
    <w:rsid w:val="00FD0C0C"/>
    <w:rsid w:val="00FD1ADE"/>
    <w:rsid w:val="00FD2ACF"/>
    <w:rsid w:val="00FD3BDC"/>
    <w:rsid w:val="00FD43DF"/>
    <w:rsid w:val="00FD7EB2"/>
    <w:rsid w:val="00FE0912"/>
    <w:rsid w:val="00FE23F0"/>
    <w:rsid w:val="00FE26F2"/>
    <w:rsid w:val="00FE4CF7"/>
    <w:rsid w:val="00FF11A5"/>
    <w:rsid w:val="00FF12C1"/>
    <w:rsid w:val="00FF1DB5"/>
    <w:rsid w:val="00FF2609"/>
    <w:rsid w:val="00FF414B"/>
    <w:rsid w:val="00FF5329"/>
    <w:rsid w:val="00FF5754"/>
    <w:rsid w:val="00FF6530"/>
    <w:rsid w:val="00FF78DF"/>
    <w:rsid w:val="00FF7B85"/>
    <w:rsid w:val="0A1B64FD"/>
    <w:rsid w:val="0C2F3BAA"/>
    <w:rsid w:val="0C3D5A6E"/>
    <w:rsid w:val="170F252D"/>
    <w:rsid w:val="1E4525E0"/>
    <w:rsid w:val="212A7AAD"/>
    <w:rsid w:val="24D1BDA6"/>
    <w:rsid w:val="2A80E15E"/>
    <w:rsid w:val="2B299B2F"/>
    <w:rsid w:val="2DD782EA"/>
    <w:rsid w:val="39DC7D7A"/>
    <w:rsid w:val="3BBD93E2"/>
    <w:rsid w:val="3F422EA8"/>
    <w:rsid w:val="480CD65F"/>
    <w:rsid w:val="481F3DEC"/>
    <w:rsid w:val="4BC6B6D3"/>
    <w:rsid w:val="4BFF1A3F"/>
    <w:rsid w:val="5766A749"/>
    <w:rsid w:val="601D2CB1"/>
    <w:rsid w:val="68EAF54E"/>
    <w:rsid w:val="7510A9A7"/>
    <w:rsid w:val="7A441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25416b,#609ed1,#e0dadd"/>
    </o:shapedefaults>
    <o:shapelayout v:ext="edit">
      <o:idmap v:ext="edit" data="2"/>
    </o:shapelayout>
  </w:shapeDefaults>
  <w:doNotEmbedSmartTags/>
  <w:decimalSymbol w:val="."/>
  <w:listSeparator w:val=","/>
  <w14:docId w14:val="12C54A68"/>
  <w14:defaultImageDpi w14:val="300"/>
  <w15:docId w15:val="{46B8FEE9-3E48-4432-B8C8-8D27F6078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F20EBC"/>
    <w:pPr>
      <w:keepNext/>
      <w:keepLines/>
      <w:spacing w:before="240"/>
      <w:outlineLvl w:val="0"/>
    </w:pPr>
    <w:rPr>
      <w:rFonts w:ascii="Book Antiqua" w:eastAsiaTheme="majorEastAsia" w:hAnsi="Book Antiqua" w:cstheme="majorBidi"/>
      <w:b/>
      <w:sz w:val="2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328EC"/>
    <w:rPr>
      <w:rFonts w:ascii="Lucida Grande" w:hAnsi="Lucida Grande"/>
      <w:sz w:val="18"/>
      <w:szCs w:val="18"/>
    </w:rPr>
  </w:style>
  <w:style w:type="table" w:styleId="TableGrid">
    <w:name w:val="Table Grid"/>
    <w:basedOn w:val="TableNormal"/>
    <w:uiPriority w:val="59"/>
    <w:rsid w:val="009411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41190"/>
    <w:pPr>
      <w:tabs>
        <w:tab w:val="center" w:pos="4320"/>
        <w:tab w:val="right" w:pos="8640"/>
      </w:tabs>
    </w:pPr>
  </w:style>
  <w:style w:type="paragraph" w:styleId="Footer">
    <w:name w:val="footer"/>
    <w:basedOn w:val="Normal"/>
    <w:link w:val="FooterChar"/>
    <w:uiPriority w:val="99"/>
    <w:rsid w:val="00941190"/>
    <w:pPr>
      <w:tabs>
        <w:tab w:val="center" w:pos="4320"/>
        <w:tab w:val="right" w:pos="8640"/>
      </w:tabs>
    </w:pPr>
  </w:style>
  <w:style w:type="character" w:styleId="Hyperlink">
    <w:name w:val="Hyperlink"/>
    <w:uiPriority w:val="99"/>
    <w:rsid w:val="00941190"/>
    <w:rPr>
      <w:color w:val="0000FF"/>
      <w:u w:val="single"/>
    </w:rPr>
  </w:style>
  <w:style w:type="character" w:styleId="PageNumber">
    <w:name w:val="page number"/>
    <w:uiPriority w:val="99"/>
    <w:semiHidden/>
    <w:unhideWhenUsed/>
    <w:rsid w:val="004A5472"/>
  </w:style>
  <w:style w:type="character" w:customStyle="1" w:styleId="FooterChar">
    <w:name w:val="Footer Char"/>
    <w:link w:val="Footer"/>
    <w:uiPriority w:val="99"/>
    <w:rsid w:val="00A14D11"/>
    <w:rPr>
      <w:sz w:val="24"/>
      <w:szCs w:val="24"/>
    </w:rPr>
  </w:style>
  <w:style w:type="paragraph" w:customStyle="1" w:styleId="Default">
    <w:name w:val="Default"/>
    <w:rsid w:val="002735DE"/>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iPriority w:val="99"/>
    <w:unhideWhenUsed/>
    <w:rsid w:val="00971B7D"/>
    <w:rPr>
      <w:sz w:val="20"/>
      <w:szCs w:val="20"/>
    </w:rPr>
  </w:style>
  <w:style w:type="character" w:customStyle="1" w:styleId="FootnoteTextChar">
    <w:name w:val="Footnote Text Char"/>
    <w:basedOn w:val="DefaultParagraphFont"/>
    <w:link w:val="FootnoteText"/>
    <w:uiPriority w:val="99"/>
    <w:rsid w:val="00971B7D"/>
  </w:style>
  <w:style w:type="character" w:styleId="FootnoteReference">
    <w:name w:val="footnote reference"/>
    <w:basedOn w:val="DefaultParagraphFont"/>
    <w:uiPriority w:val="99"/>
    <w:unhideWhenUsed/>
    <w:rsid w:val="00971B7D"/>
    <w:rPr>
      <w:vertAlign w:val="superscript"/>
    </w:rPr>
  </w:style>
  <w:style w:type="paragraph" w:styleId="ListParagraph">
    <w:name w:val="List Paragraph"/>
    <w:aliases w:val="Bullet List"/>
    <w:basedOn w:val="Normal"/>
    <w:link w:val="ListParagraphChar"/>
    <w:uiPriority w:val="34"/>
    <w:qFormat/>
    <w:rsid w:val="00440736"/>
    <w:pPr>
      <w:ind w:left="720"/>
      <w:contextualSpacing/>
    </w:pPr>
  </w:style>
  <w:style w:type="character" w:styleId="CommentReference">
    <w:name w:val="annotation reference"/>
    <w:basedOn w:val="DefaultParagraphFont"/>
    <w:uiPriority w:val="99"/>
    <w:semiHidden/>
    <w:unhideWhenUsed/>
    <w:rsid w:val="003E7D78"/>
    <w:rPr>
      <w:sz w:val="16"/>
      <w:szCs w:val="16"/>
    </w:rPr>
  </w:style>
  <w:style w:type="paragraph" w:styleId="CommentText">
    <w:name w:val="annotation text"/>
    <w:basedOn w:val="Normal"/>
    <w:link w:val="CommentTextChar"/>
    <w:uiPriority w:val="99"/>
    <w:unhideWhenUsed/>
    <w:rsid w:val="003E7D78"/>
    <w:rPr>
      <w:sz w:val="20"/>
      <w:szCs w:val="20"/>
    </w:rPr>
  </w:style>
  <w:style w:type="character" w:customStyle="1" w:styleId="CommentTextChar">
    <w:name w:val="Comment Text Char"/>
    <w:basedOn w:val="DefaultParagraphFont"/>
    <w:link w:val="CommentText"/>
    <w:uiPriority w:val="99"/>
    <w:rsid w:val="003E7D78"/>
  </w:style>
  <w:style w:type="paragraph" w:styleId="CommentSubject">
    <w:name w:val="annotation subject"/>
    <w:basedOn w:val="CommentText"/>
    <w:next w:val="CommentText"/>
    <w:link w:val="CommentSubjectChar"/>
    <w:uiPriority w:val="99"/>
    <w:semiHidden/>
    <w:unhideWhenUsed/>
    <w:rsid w:val="003E7D78"/>
    <w:rPr>
      <w:b/>
      <w:bCs/>
    </w:rPr>
  </w:style>
  <w:style w:type="character" w:customStyle="1" w:styleId="CommentSubjectChar">
    <w:name w:val="Comment Subject Char"/>
    <w:basedOn w:val="CommentTextChar"/>
    <w:link w:val="CommentSubject"/>
    <w:uiPriority w:val="99"/>
    <w:semiHidden/>
    <w:rsid w:val="003E7D78"/>
    <w:rPr>
      <w:b/>
      <w:bCs/>
    </w:rPr>
  </w:style>
  <w:style w:type="table" w:customStyle="1" w:styleId="GridTable2-Accent11">
    <w:name w:val="Grid Table 2 - Accent 11"/>
    <w:basedOn w:val="TableNormal"/>
    <w:uiPriority w:val="47"/>
    <w:rsid w:val="0054406A"/>
    <w:rPr>
      <w:rFonts w:asciiTheme="minorHAnsi" w:eastAsiaTheme="minorHAnsi" w:hAnsiTheme="minorHAnsi" w:cstheme="minorBidi"/>
      <w:sz w:val="22"/>
      <w:szCs w:val="22"/>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Spacing">
    <w:name w:val="No Spacing"/>
    <w:uiPriority w:val="1"/>
    <w:qFormat/>
    <w:rsid w:val="0050006F"/>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F20EBC"/>
    <w:rPr>
      <w:rFonts w:ascii="Book Antiqua" w:eastAsiaTheme="majorEastAsia" w:hAnsi="Book Antiqua" w:cstheme="majorBidi"/>
      <w:b/>
      <w:sz w:val="22"/>
      <w:szCs w:val="32"/>
      <w:u w:val="single"/>
    </w:rPr>
  </w:style>
  <w:style w:type="character" w:customStyle="1" w:styleId="UnresolvedMention1">
    <w:name w:val="Unresolved Mention1"/>
    <w:basedOn w:val="DefaultParagraphFont"/>
    <w:uiPriority w:val="99"/>
    <w:semiHidden/>
    <w:unhideWhenUsed/>
    <w:rsid w:val="00F20EBC"/>
    <w:rPr>
      <w:color w:val="808080"/>
      <w:shd w:val="clear" w:color="auto" w:fill="E6E6E6"/>
    </w:rPr>
  </w:style>
  <w:style w:type="character" w:customStyle="1" w:styleId="BalloonTextChar">
    <w:name w:val="Balloon Text Char"/>
    <w:basedOn w:val="DefaultParagraphFont"/>
    <w:link w:val="BalloonText"/>
    <w:uiPriority w:val="99"/>
    <w:semiHidden/>
    <w:rsid w:val="00082895"/>
    <w:rPr>
      <w:rFonts w:ascii="Lucida Grande" w:hAnsi="Lucida Grande"/>
      <w:sz w:val="18"/>
      <w:szCs w:val="18"/>
    </w:rPr>
  </w:style>
  <w:style w:type="character" w:styleId="FollowedHyperlink">
    <w:name w:val="FollowedHyperlink"/>
    <w:basedOn w:val="DefaultParagraphFont"/>
    <w:uiPriority w:val="99"/>
    <w:semiHidden/>
    <w:unhideWhenUsed/>
    <w:rsid w:val="006E39F5"/>
    <w:rPr>
      <w:color w:val="800080" w:themeColor="followedHyperlink"/>
      <w:u w:val="single"/>
    </w:rPr>
  </w:style>
  <w:style w:type="character" w:customStyle="1" w:styleId="ListParagraphChar">
    <w:name w:val="List Paragraph Char"/>
    <w:aliases w:val="Bullet List Char"/>
    <w:basedOn w:val="DefaultParagraphFont"/>
    <w:link w:val="ListParagraph"/>
    <w:uiPriority w:val="34"/>
    <w:locked/>
    <w:rsid w:val="00A0674B"/>
    <w:rPr>
      <w:sz w:val="24"/>
      <w:szCs w:val="24"/>
    </w:rPr>
  </w:style>
  <w:style w:type="table" w:styleId="GridTable2-Accent1">
    <w:name w:val="Grid Table 2 Accent 1"/>
    <w:basedOn w:val="TableNormal"/>
    <w:uiPriority w:val="47"/>
    <w:rsid w:val="002F2A22"/>
    <w:rPr>
      <w:rFonts w:asciiTheme="minorHAnsi" w:eastAsiaTheme="minorHAnsi" w:hAnsiTheme="minorHAnsi" w:cstheme="minorBidi"/>
      <w:sz w:val="22"/>
      <w:szCs w:val="22"/>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2F2A22"/>
    <w:rPr>
      <w:color w:val="808080"/>
      <w:shd w:val="clear" w:color="auto" w:fill="E6E6E6"/>
    </w:rPr>
  </w:style>
  <w:style w:type="paragraph" w:styleId="Revision">
    <w:name w:val="Revision"/>
    <w:hidden/>
    <w:uiPriority w:val="71"/>
    <w:rsid w:val="008739A5"/>
    <w:rPr>
      <w:sz w:val="24"/>
      <w:szCs w:val="24"/>
    </w:rPr>
  </w:style>
  <w:style w:type="character" w:customStyle="1" w:styleId="normaltextrun">
    <w:name w:val="normaltextrun"/>
    <w:basedOn w:val="DefaultParagraphFont"/>
    <w:rsid w:val="004E4D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0837">
      <w:bodyDiv w:val="1"/>
      <w:marLeft w:val="0"/>
      <w:marRight w:val="0"/>
      <w:marTop w:val="0"/>
      <w:marBottom w:val="0"/>
      <w:divBdr>
        <w:top w:val="none" w:sz="0" w:space="0" w:color="auto"/>
        <w:left w:val="none" w:sz="0" w:space="0" w:color="auto"/>
        <w:bottom w:val="none" w:sz="0" w:space="0" w:color="auto"/>
        <w:right w:val="none" w:sz="0" w:space="0" w:color="auto"/>
      </w:divBdr>
    </w:div>
    <w:div w:id="108086643">
      <w:bodyDiv w:val="1"/>
      <w:marLeft w:val="0"/>
      <w:marRight w:val="0"/>
      <w:marTop w:val="0"/>
      <w:marBottom w:val="0"/>
      <w:divBdr>
        <w:top w:val="none" w:sz="0" w:space="0" w:color="auto"/>
        <w:left w:val="none" w:sz="0" w:space="0" w:color="auto"/>
        <w:bottom w:val="none" w:sz="0" w:space="0" w:color="auto"/>
        <w:right w:val="none" w:sz="0" w:space="0" w:color="auto"/>
      </w:divBdr>
    </w:div>
    <w:div w:id="337856033">
      <w:bodyDiv w:val="1"/>
      <w:marLeft w:val="0"/>
      <w:marRight w:val="0"/>
      <w:marTop w:val="0"/>
      <w:marBottom w:val="0"/>
      <w:divBdr>
        <w:top w:val="none" w:sz="0" w:space="0" w:color="auto"/>
        <w:left w:val="none" w:sz="0" w:space="0" w:color="auto"/>
        <w:bottom w:val="none" w:sz="0" w:space="0" w:color="auto"/>
        <w:right w:val="none" w:sz="0" w:space="0" w:color="auto"/>
      </w:divBdr>
      <w:divsChild>
        <w:div w:id="1003976059">
          <w:marLeft w:val="720"/>
          <w:marRight w:val="0"/>
          <w:marTop w:val="0"/>
          <w:marBottom w:val="240"/>
          <w:divBdr>
            <w:top w:val="none" w:sz="0" w:space="0" w:color="auto"/>
            <w:left w:val="none" w:sz="0" w:space="0" w:color="auto"/>
            <w:bottom w:val="none" w:sz="0" w:space="0" w:color="auto"/>
            <w:right w:val="none" w:sz="0" w:space="0" w:color="auto"/>
          </w:divBdr>
        </w:div>
      </w:divsChild>
    </w:div>
    <w:div w:id="345333621">
      <w:bodyDiv w:val="1"/>
      <w:marLeft w:val="0"/>
      <w:marRight w:val="0"/>
      <w:marTop w:val="0"/>
      <w:marBottom w:val="0"/>
      <w:divBdr>
        <w:top w:val="none" w:sz="0" w:space="0" w:color="auto"/>
        <w:left w:val="none" w:sz="0" w:space="0" w:color="auto"/>
        <w:bottom w:val="none" w:sz="0" w:space="0" w:color="auto"/>
        <w:right w:val="none" w:sz="0" w:space="0" w:color="auto"/>
      </w:divBdr>
      <w:divsChild>
        <w:div w:id="293565512">
          <w:marLeft w:val="893"/>
          <w:marRight w:val="0"/>
          <w:marTop w:val="0"/>
          <w:marBottom w:val="360"/>
          <w:divBdr>
            <w:top w:val="none" w:sz="0" w:space="0" w:color="auto"/>
            <w:left w:val="none" w:sz="0" w:space="0" w:color="auto"/>
            <w:bottom w:val="none" w:sz="0" w:space="0" w:color="auto"/>
            <w:right w:val="none" w:sz="0" w:space="0" w:color="auto"/>
          </w:divBdr>
        </w:div>
        <w:div w:id="1132136696">
          <w:marLeft w:val="893"/>
          <w:marRight w:val="0"/>
          <w:marTop w:val="0"/>
          <w:marBottom w:val="0"/>
          <w:divBdr>
            <w:top w:val="none" w:sz="0" w:space="0" w:color="auto"/>
            <w:left w:val="none" w:sz="0" w:space="0" w:color="auto"/>
            <w:bottom w:val="none" w:sz="0" w:space="0" w:color="auto"/>
            <w:right w:val="none" w:sz="0" w:space="0" w:color="auto"/>
          </w:divBdr>
        </w:div>
      </w:divsChild>
    </w:div>
    <w:div w:id="351037289">
      <w:bodyDiv w:val="1"/>
      <w:marLeft w:val="0"/>
      <w:marRight w:val="0"/>
      <w:marTop w:val="0"/>
      <w:marBottom w:val="0"/>
      <w:divBdr>
        <w:top w:val="none" w:sz="0" w:space="0" w:color="auto"/>
        <w:left w:val="none" w:sz="0" w:space="0" w:color="auto"/>
        <w:bottom w:val="none" w:sz="0" w:space="0" w:color="auto"/>
        <w:right w:val="none" w:sz="0" w:space="0" w:color="auto"/>
      </w:divBdr>
    </w:div>
    <w:div w:id="875386305">
      <w:bodyDiv w:val="1"/>
      <w:marLeft w:val="0"/>
      <w:marRight w:val="0"/>
      <w:marTop w:val="0"/>
      <w:marBottom w:val="0"/>
      <w:divBdr>
        <w:top w:val="none" w:sz="0" w:space="0" w:color="auto"/>
        <w:left w:val="none" w:sz="0" w:space="0" w:color="auto"/>
        <w:bottom w:val="none" w:sz="0" w:space="0" w:color="auto"/>
        <w:right w:val="none" w:sz="0" w:space="0" w:color="auto"/>
      </w:divBdr>
    </w:div>
    <w:div w:id="877620338">
      <w:bodyDiv w:val="1"/>
      <w:marLeft w:val="0"/>
      <w:marRight w:val="0"/>
      <w:marTop w:val="0"/>
      <w:marBottom w:val="0"/>
      <w:divBdr>
        <w:top w:val="none" w:sz="0" w:space="0" w:color="auto"/>
        <w:left w:val="none" w:sz="0" w:space="0" w:color="auto"/>
        <w:bottom w:val="none" w:sz="0" w:space="0" w:color="auto"/>
        <w:right w:val="none" w:sz="0" w:space="0" w:color="auto"/>
      </w:divBdr>
      <w:divsChild>
        <w:div w:id="48506237">
          <w:marLeft w:val="1267"/>
          <w:marRight w:val="0"/>
          <w:marTop w:val="0"/>
          <w:marBottom w:val="240"/>
          <w:divBdr>
            <w:top w:val="none" w:sz="0" w:space="0" w:color="auto"/>
            <w:left w:val="none" w:sz="0" w:space="0" w:color="auto"/>
            <w:bottom w:val="none" w:sz="0" w:space="0" w:color="auto"/>
            <w:right w:val="none" w:sz="0" w:space="0" w:color="auto"/>
          </w:divBdr>
        </w:div>
      </w:divsChild>
    </w:div>
    <w:div w:id="1348796784">
      <w:bodyDiv w:val="1"/>
      <w:marLeft w:val="0"/>
      <w:marRight w:val="0"/>
      <w:marTop w:val="0"/>
      <w:marBottom w:val="0"/>
      <w:divBdr>
        <w:top w:val="none" w:sz="0" w:space="0" w:color="auto"/>
        <w:left w:val="none" w:sz="0" w:space="0" w:color="auto"/>
        <w:bottom w:val="none" w:sz="0" w:space="0" w:color="auto"/>
        <w:right w:val="none" w:sz="0" w:space="0" w:color="auto"/>
      </w:divBdr>
    </w:div>
    <w:div w:id="1366061990">
      <w:bodyDiv w:val="1"/>
      <w:marLeft w:val="0"/>
      <w:marRight w:val="0"/>
      <w:marTop w:val="0"/>
      <w:marBottom w:val="0"/>
      <w:divBdr>
        <w:top w:val="none" w:sz="0" w:space="0" w:color="auto"/>
        <w:left w:val="none" w:sz="0" w:space="0" w:color="auto"/>
        <w:bottom w:val="none" w:sz="0" w:space="0" w:color="auto"/>
        <w:right w:val="none" w:sz="0" w:space="0" w:color="auto"/>
      </w:divBdr>
    </w:div>
    <w:div w:id="1408504172">
      <w:bodyDiv w:val="1"/>
      <w:marLeft w:val="0"/>
      <w:marRight w:val="0"/>
      <w:marTop w:val="0"/>
      <w:marBottom w:val="0"/>
      <w:divBdr>
        <w:top w:val="none" w:sz="0" w:space="0" w:color="auto"/>
        <w:left w:val="none" w:sz="0" w:space="0" w:color="auto"/>
        <w:bottom w:val="none" w:sz="0" w:space="0" w:color="auto"/>
        <w:right w:val="none" w:sz="0" w:space="0" w:color="auto"/>
      </w:divBdr>
      <w:divsChild>
        <w:div w:id="1072390177">
          <w:marLeft w:val="1267"/>
          <w:marRight w:val="0"/>
          <w:marTop w:val="0"/>
          <w:marBottom w:val="240"/>
          <w:divBdr>
            <w:top w:val="none" w:sz="0" w:space="0" w:color="auto"/>
            <w:left w:val="none" w:sz="0" w:space="0" w:color="auto"/>
            <w:bottom w:val="none" w:sz="0" w:space="0" w:color="auto"/>
            <w:right w:val="none" w:sz="0" w:space="0" w:color="auto"/>
          </w:divBdr>
        </w:div>
        <w:div w:id="1814525008">
          <w:marLeft w:val="1267"/>
          <w:marRight w:val="0"/>
          <w:marTop w:val="0"/>
          <w:marBottom w:val="240"/>
          <w:divBdr>
            <w:top w:val="none" w:sz="0" w:space="0" w:color="auto"/>
            <w:left w:val="none" w:sz="0" w:space="0" w:color="auto"/>
            <w:bottom w:val="none" w:sz="0" w:space="0" w:color="auto"/>
            <w:right w:val="none" w:sz="0" w:space="0" w:color="auto"/>
          </w:divBdr>
        </w:div>
        <w:div w:id="2141337778">
          <w:marLeft w:val="1267"/>
          <w:marRight w:val="0"/>
          <w:marTop w:val="0"/>
          <w:marBottom w:val="240"/>
          <w:divBdr>
            <w:top w:val="none" w:sz="0" w:space="0" w:color="auto"/>
            <w:left w:val="none" w:sz="0" w:space="0" w:color="auto"/>
            <w:bottom w:val="none" w:sz="0" w:space="0" w:color="auto"/>
            <w:right w:val="none" w:sz="0" w:space="0" w:color="auto"/>
          </w:divBdr>
        </w:div>
      </w:divsChild>
    </w:div>
    <w:div w:id="1667322147">
      <w:bodyDiv w:val="1"/>
      <w:marLeft w:val="0"/>
      <w:marRight w:val="0"/>
      <w:marTop w:val="0"/>
      <w:marBottom w:val="0"/>
      <w:divBdr>
        <w:top w:val="none" w:sz="0" w:space="0" w:color="auto"/>
        <w:left w:val="none" w:sz="0" w:space="0" w:color="auto"/>
        <w:bottom w:val="none" w:sz="0" w:space="0" w:color="auto"/>
        <w:right w:val="none" w:sz="0" w:space="0" w:color="auto"/>
      </w:divBdr>
      <w:divsChild>
        <w:div w:id="2023050385">
          <w:marLeft w:val="605"/>
          <w:marRight w:val="0"/>
          <w:marTop w:val="0"/>
          <w:marBottom w:val="240"/>
          <w:divBdr>
            <w:top w:val="none" w:sz="0" w:space="0" w:color="auto"/>
            <w:left w:val="none" w:sz="0" w:space="0" w:color="auto"/>
            <w:bottom w:val="none" w:sz="0" w:space="0" w:color="auto"/>
            <w:right w:val="none" w:sz="0" w:space="0" w:color="auto"/>
          </w:divBdr>
        </w:div>
      </w:divsChild>
    </w:div>
    <w:div w:id="1938831464">
      <w:bodyDiv w:val="1"/>
      <w:marLeft w:val="0"/>
      <w:marRight w:val="0"/>
      <w:marTop w:val="0"/>
      <w:marBottom w:val="0"/>
      <w:divBdr>
        <w:top w:val="none" w:sz="0" w:space="0" w:color="auto"/>
        <w:left w:val="none" w:sz="0" w:space="0" w:color="auto"/>
        <w:bottom w:val="none" w:sz="0" w:space="0" w:color="auto"/>
        <w:right w:val="none" w:sz="0" w:space="0" w:color="auto"/>
      </w:divBdr>
    </w:div>
    <w:div w:id="197613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mass.gov/doc/recommended-health-equity-measure-accountability-framework-eohhs-qmat-12323-0/downloa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qualityforum.org/WorkArea/linkit.aspx?LinkIdentifier=id&amp;ItemID=875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29a8555-db37-4257-91ea-e6d336cdedf2">
      <UserInfo>
        <DisplayName>Justine Zayhowski</DisplayName>
        <AccountId>2633</AccountId>
        <AccountType/>
      </UserInfo>
      <UserInfo>
        <DisplayName>Michael Bailit</DisplayName>
        <AccountId>22</AccountId>
        <AccountType/>
      </UserInfo>
      <UserInfo>
        <DisplayName>Cory King</DisplayName>
        <AccountId>58</AccountId>
        <AccountType/>
      </UserInfo>
      <UserInfo>
        <DisplayName>Deepti Kanneganti</DisplayName>
        <AccountId>15</AccountId>
        <AccountType/>
      </UserInfo>
      <UserInfo>
        <DisplayName>Lisa.Ahlgren@state.ma.us</DisplayName>
        <AccountId>3175</AccountId>
        <AccountType/>
      </UserInfo>
    </SharedWithUsers>
    <TaxCatchAll xmlns="d29a8555-db37-4257-91ea-e6d336cdedf2" xsi:nil="true"/>
    <lcf76f155ced4ddcb4097134ff3c332f xmlns="34dc536f-1af3-405a-935d-0fb3b667488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F9B95F2EE52B4E9FB130DEE3F78C09" ma:contentTypeVersion="15" ma:contentTypeDescription="Create a new document." ma:contentTypeScope="" ma:versionID="59afba20d022c302df288309de59321e">
  <xsd:schema xmlns:xsd="http://www.w3.org/2001/XMLSchema" xmlns:xs="http://www.w3.org/2001/XMLSchema" xmlns:p="http://schemas.microsoft.com/office/2006/metadata/properties" xmlns:ns2="d29a8555-db37-4257-91ea-e6d336cdedf2" xmlns:ns3="34dc536f-1af3-405a-935d-0fb3b6674883" targetNamespace="http://schemas.microsoft.com/office/2006/metadata/properties" ma:root="true" ma:fieldsID="763315ef165982c0ac6bd77bed8af888" ns2:_="" ns3:_="">
    <xsd:import namespace="d29a8555-db37-4257-91ea-e6d336cdedf2"/>
    <xsd:import namespace="34dc536f-1af3-405a-935d-0fb3b667488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a8555-db37-4257-91ea-e6d336cdedf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d20fe0fe-7f6e-40d9-b998-99db2d565673}" ma:internalName="TaxCatchAll" ma:showField="CatchAllData" ma:web="d29a8555-db37-4257-91ea-e6d336cded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dc536f-1af3-405a-935d-0fb3b667488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64c4022-8a08-492a-8fd9-63f32d903773"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05354-9D9D-4FAF-A430-70D566C2E0F3}">
  <ds:schemaRefs>
    <ds:schemaRef ds:uri="http://purl.org/dc/dcmitype/"/>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purl.org/dc/terms/"/>
    <ds:schemaRef ds:uri="http://www.w3.org/XML/1998/namespace"/>
    <ds:schemaRef ds:uri="http://schemas.microsoft.com/office/infopath/2007/PartnerControls"/>
    <ds:schemaRef ds:uri="34dc536f-1af3-405a-935d-0fb3b6674883"/>
    <ds:schemaRef ds:uri="d29a8555-db37-4257-91ea-e6d336cdedf2"/>
  </ds:schemaRefs>
</ds:datastoreItem>
</file>

<file path=customXml/itemProps2.xml><?xml version="1.0" encoding="utf-8"?>
<ds:datastoreItem xmlns:ds="http://schemas.openxmlformats.org/officeDocument/2006/customXml" ds:itemID="{8C737119-D335-45CA-8EB8-6037E5B8B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a8555-db37-4257-91ea-e6d336cdedf2"/>
    <ds:schemaRef ds:uri="34dc536f-1af3-405a-935d-0fb3b66748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4D1BEF-C7AA-4EEA-A152-AC5CC8647AD1}">
  <ds:schemaRefs>
    <ds:schemaRef ds:uri="http://schemas.microsoft.com/sharepoint/v3/contenttype/forms"/>
  </ds:schemaRefs>
</ds:datastoreItem>
</file>

<file path=customXml/itemProps4.xml><?xml version="1.0" encoding="utf-8"?>
<ds:datastoreItem xmlns:ds="http://schemas.openxmlformats.org/officeDocument/2006/customXml" ds:itemID="{4CEC608B-EF4D-4A46-9112-D893AB33F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1285</Words>
  <Characters>7572</Characters>
  <Application>Microsoft Office Word</Application>
  <DocSecurity>0</DocSecurity>
  <Lines>63</Lines>
  <Paragraphs>17</Paragraphs>
  <ScaleCrop>false</ScaleCrop>
  <Company>Interactive Design &amp; Illustration</Company>
  <LinksUpToDate>false</LinksUpToDate>
  <CharactersWithSpaces>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Deepti Kanneganti</dc:creator>
  <cp:keywords/>
  <cp:lastModifiedBy>Lisa Ahlgren</cp:lastModifiedBy>
  <cp:revision>34</cp:revision>
  <cp:lastPrinted>2015-02-13T05:57:00Z</cp:lastPrinted>
  <dcterms:created xsi:type="dcterms:W3CDTF">2022-07-08T21:25:00Z</dcterms:created>
  <dcterms:modified xsi:type="dcterms:W3CDTF">2023-07-20T17:39:00Z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0x010100F3F9B95F2EE52B4E9FB130DEE3F78C09</vt:lpwstr>
  </property>
  <property fmtid="{D5CDD505-2E9C-101B-9397-08002B2CF9AE}" pid="3" name="AuthorIds_UIVersion_512">
    <vt:lpwstr>2633</vt:lpwstr>
  </property>
  <property fmtid="{D5CDD505-2E9C-101B-9397-08002B2CF9AE}" pid="4" name="AuthorIds_UIVersion_1536">
    <vt:lpwstr>22</vt:lpwstr>
  </property>
</Properties>
</file>